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893B19" w:rsidTr="00F138C1">
        <w:tc>
          <w:tcPr>
            <w:tcW w:w="9648" w:type="dxa"/>
            <w:gridSpan w:val="3"/>
          </w:tcPr>
          <w:p w:rsidR="00F138C1" w:rsidRPr="00893B19" w:rsidRDefault="00F138C1" w:rsidP="00F138C1">
            <w:pPr>
              <w:tabs>
                <w:tab w:val="left" w:pos="6075"/>
              </w:tabs>
              <w:jc w:val="center"/>
              <w:rPr>
                <w:b/>
                <w:sz w:val="32"/>
                <w:szCs w:val="32"/>
                <w:lang w:val="fr-CA"/>
              </w:rPr>
            </w:pPr>
            <w:r w:rsidRPr="00893B19">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893B19" w:rsidTr="00F138C1">
        <w:tc>
          <w:tcPr>
            <w:tcW w:w="4599" w:type="dxa"/>
            <w:tcMar>
              <w:top w:w="284" w:type="dxa"/>
            </w:tcMar>
          </w:tcPr>
          <w:p w:rsidR="00F138C1" w:rsidRPr="00893B19" w:rsidRDefault="00F138C1" w:rsidP="00F138C1">
            <w:pPr>
              <w:tabs>
                <w:tab w:val="left" w:pos="6075"/>
              </w:tabs>
              <w:jc w:val="center"/>
              <w:rPr>
                <w:b/>
                <w:sz w:val="32"/>
                <w:szCs w:val="32"/>
              </w:rPr>
            </w:pPr>
            <w:r w:rsidRPr="00893B19">
              <w:rPr>
                <w:b/>
                <w:sz w:val="32"/>
                <w:szCs w:val="32"/>
              </w:rPr>
              <w:t>SUPREME COURT OF CANADA</w:t>
            </w:r>
          </w:p>
        </w:tc>
        <w:tc>
          <w:tcPr>
            <w:tcW w:w="483" w:type="dxa"/>
          </w:tcPr>
          <w:p w:rsidR="00F138C1" w:rsidRPr="00893B19" w:rsidRDefault="00F138C1" w:rsidP="00F138C1">
            <w:pPr>
              <w:tabs>
                <w:tab w:val="left" w:pos="6075"/>
              </w:tabs>
              <w:jc w:val="center"/>
              <w:rPr>
                <w:sz w:val="32"/>
                <w:szCs w:val="32"/>
              </w:rPr>
            </w:pPr>
          </w:p>
        </w:tc>
        <w:tc>
          <w:tcPr>
            <w:tcW w:w="4566" w:type="dxa"/>
            <w:tcMar>
              <w:top w:w="284" w:type="dxa"/>
            </w:tcMar>
          </w:tcPr>
          <w:p w:rsidR="00F138C1" w:rsidRPr="00893B19" w:rsidRDefault="00F138C1" w:rsidP="00F138C1">
            <w:pPr>
              <w:tabs>
                <w:tab w:val="left" w:pos="6075"/>
              </w:tabs>
              <w:jc w:val="center"/>
              <w:rPr>
                <w:b/>
                <w:sz w:val="32"/>
                <w:szCs w:val="32"/>
                <w:lang w:val="fr-CA"/>
              </w:rPr>
            </w:pPr>
            <w:r w:rsidRPr="00893B19">
              <w:rPr>
                <w:b/>
                <w:sz w:val="32"/>
                <w:szCs w:val="32"/>
                <w:lang w:val="fr-CA"/>
              </w:rPr>
              <w:t>COUR SUPRÊME DU CANADA</w:t>
            </w:r>
          </w:p>
        </w:tc>
      </w:tr>
      <w:tr w:rsidR="00F138C1" w:rsidRPr="00893B19" w:rsidTr="00F138C1">
        <w:tc>
          <w:tcPr>
            <w:tcW w:w="4599" w:type="dxa"/>
            <w:tcMar>
              <w:top w:w="567" w:type="dxa"/>
            </w:tcMar>
          </w:tcPr>
          <w:p w:rsidR="00F138C1" w:rsidRPr="00893B19" w:rsidRDefault="00F138C1" w:rsidP="00F138C1">
            <w:pPr>
              <w:tabs>
                <w:tab w:val="left" w:pos="6075"/>
              </w:tabs>
              <w:jc w:val="center"/>
              <w:rPr>
                <w:sz w:val="28"/>
                <w:szCs w:val="28"/>
              </w:rPr>
            </w:pPr>
            <w:r w:rsidRPr="00893B19">
              <w:rPr>
                <w:sz w:val="28"/>
                <w:szCs w:val="28"/>
              </w:rPr>
              <w:t>BULLETIN OF</w:t>
            </w:r>
            <w:r w:rsidRPr="00893B19">
              <w:rPr>
                <w:sz w:val="28"/>
                <w:szCs w:val="28"/>
              </w:rPr>
              <w:br/>
              <w:t xml:space="preserve"> PROCEEDINGS</w:t>
            </w:r>
          </w:p>
        </w:tc>
        <w:tc>
          <w:tcPr>
            <w:tcW w:w="483" w:type="dxa"/>
          </w:tcPr>
          <w:p w:rsidR="00F138C1" w:rsidRPr="00893B19" w:rsidRDefault="00F138C1" w:rsidP="00F138C1">
            <w:pPr>
              <w:tabs>
                <w:tab w:val="left" w:pos="6075"/>
              </w:tabs>
            </w:pPr>
          </w:p>
        </w:tc>
        <w:tc>
          <w:tcPr>
            <w:tcW w:w="4566" w:type="dxa"/>
            <w:tcMar>
              <w:top w:w="567" w:type="dxa"/>
            </w:tcMar>
          </w:tcPr>
          <w:p w:rsidR="00F138C1" w:rsidRPr="00893B19" w:rsidRDefault="00F138C1" w:rsidP="00F138C1">
            <w:pPr>
              <w:tabs>
                <w:tab w:val="left" w:pos="6075"/>
              </w:tabs>
              <w:jc w:val="center"/>
              <w:rPr>
                <w:sz w:val="28"/>
                <w:szCs w:val="28"/>
                <w:lang w:val="fr-CA"/>
              </w:rPr>
            </w:pPr>
            <w:r w:rsidRPr="00893B19">
              <w:rPr>
                <w:sz w:val="28"/>
                <w:szCs w:val="28"/>
                <w:lang w:val="fr-CA"/>
              </w:rPr>
              <w:t>BULLETIN DES</w:t>
            </w:r>
            <w:r w:rsidRPr="00893B19">
              <w:rPr>
                <w:sz w:val="28"/>
                <w:szCs w:val="28"/>
                <w:lang w:val="fr-CA"/>
              </w:rPr>
              <w:br/>
              <w:t xml:space="preserve"> PROCÉDURES</w:t>
            </w:r>
          </w:p>
        </w:tc>
      </w:tr>
      <w:tr w:rsidR="00F138C1" w:rsidRPr="00867539" w:rsidTr="00F138C1">
        <w:tc>
          <w:tcPr>
            <w:tcW w:w="4599" w:type="dxa"/>
            <w:tcMar>
              <w:top w:w="567" w:type="dxa"/>
            </w:tcMar>
          </w:tcPr>
          <w:p w:rsidR="00F138C1" w:rsidRPr="00893B19" w:rsidRDefault="00F138C1" w:rsidP="00F138C1">
            <w:pPr>
              <w:tabs>
                <w:tab w:val="left" w:pos="6075"/>
              </w:tabs>
              <w:jc w:val="both"/>
              <w:rPr>
                <w:rFonts w:ascii="Arial" w:hAnsi="Arial" w:cs="Arial"/>
                <w:i/>
                <w:sz w:val="20"/>
                <w:szCs w:val="20"/>
              </w:rPr>
            </w:pPr>
            <w:r w:rsidRPr="00893B1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93B1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93B19" w:rsidRDefault="00F138C1" w:rsidP="00F138C1">
            <w:pPr>
              <w:tabs>
                <w:tab w:val="left" w:pos="6075"/>
              </w:tabs>
              <w:jc w:val="both"/>
              <w:rPr>
                <w:rFonts w:ascii="Arial" w:hAnsi="Arial" w:cs="Arial"/>
                <w:i/>
                <w:sz w:val="20"/>
                <w:szCs w:val="20"/>
                <w:lang w:val="fr-CA"/>
              </w:rPr>
            </w:pPr>
            <w:r w:rsidRPr="00893B1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67539" w:rsidTr="00F138C1">
        <w:tc>
          <w:tcPr>
            <w:tcW w:w="4599" w:type="dxa"/>
            <w:tcMar>
              <w:top w:w="567" w:type="dxa"/>
            </w:tcMar>
          </w:tcPr>
          <w:p w:rsidR="00F138C1" w:rsidRPr="00893B19" w:rsidRDefault="00F138C1" w:rsidP="00F138C1">
            <w:pPr>
              <w:tabs>
                <w:tab w:val="left" w:pos="6075"/>
              </w:tabs>
              <w:jc w:val="both"/>
              <w:rPr>
                <w:rFonts w:ascii="Arial" w:hAnsi="Arial" w:cs="Arial"/>
                <w:i/>
                <w:sz w:val="20"/>
                <w:szCs w:val="20"/>
              </w:rPr>
            </w:pPr>
            <w:r w:rsidRPr="00893B19">
              <w:rPr>
                <w:rFonts w:ascii="Arial" w:hAnsi="Arial" w:cs="Arial"/>
                <w:i/>
                <w:sz w:val="20"/>
                <w:szCs w:val="20"/>
              </w:rPr>
              <w:t>During Court sessions, the Bulletin is usually issued weekly.</w:t>
            </w:r>
          </w:p>
        </w:tc>
        <w:tc>
          <w:tcPr>
            <w:tcW w:w="483" w:type="dxa"/>
          </w:tcPr>
          <w:p w:rsidR="00F138C1" w:rsidRPr="00893B1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93B19" w:rsidRDefault="00F138C1" w:rsidP="00F138C1">
            <w:pPr>
              <w:tabs>
                <w:tab w:val="left" w:pos="6075"/>
              </w:tabs>
              <w:jc w:val="both"/>
              <w:rPr>
                <w:rFonts w:ascii="Arial" w:hAnsi="Arial" w:cs="Arial"/>
                <w:i/>
                <w:sz w:val="20"/>
                <w:szCs w:val="20"/>
                <w:lang w:val="fr-CA"/>
              </w:rPr>
            </w:pPr>
            <w:r w:rsidRPr="00893B19">
              <w:rPr>
                <w:rFonts w:ascii="Arial" w:hAnsi="Arial" w:cs="Arial"/>
                <w:i/>
                <w:sz w:val="20"/>
                <w:szCs w:val="20"/>
                <w:lang w:val="fr-CA"/>
              </w:rPr>
              <w:t>Le Bulletin paraît en principe toutes les semaines pendant les sessions de la Cour.</w:t>
            </w:r>
          </w:p>
        </w:tc>
      </w:tr>
      <w:tr w:rsidR="00F138C1" w:rsidRPr="00867539" w:rsidTr="00F138C1">
        <w:tc>
          <w:tcPr>
            <w:tcW w:w="4599" w:type="dxa"/>
            <w:tcMar>
              <w:top w:w="567" w:type="dxa"/>
            </w:tcMar>
          </w:tcPr>
          <w:p w:rsidR="00F138C1" w:rsidRPr="00893B19" w:rsidRDefault="00F138C1" w:rsidP="00F138C1">
            <w:pPr>
              <w:tabs>
                <w:tab w:val="left" w:pos="6075"/>
              </w:tabs>
              <w:jc w:val="both"/>
              <w:rPr>
                <w:rFonts w:ascii="Arial" w:hAnsi="Arial" w:cs="Arial"/>
                <w:i/>
                <w:sz w:val="20"/>
                <w:szCs w:val="20"/>
              </w:rPr>
            </w:pPr>
            <w:r w:rsidRPr="00893B19">
              <w:rPr>
                <w:rFonts w:ascii="Arial" w:hAnsi="Arial" w:cs="Arial"/>
                <w:i/>
                <w:sz w:val="20"/>
                <w:szCs w:val="20"/>
              </w:rPr>
              <w:fldChar w:fldCharType="begin"/>
            </w:r>
            <w:r w:rsidRPr="00893B19">
              <w:rPr>
                <w:rFonts w:ascii="Arial" w:hAnsi="Arial" w:cs="Arial"/>
                <w:i/>
                <w:sz w:val="20"/>
                <w:szCs w:val="20"/>
              </w:rPr>
              <w:instrText xml:space="preserve"> SEQ CHAPTER \h \r 1</w:instrText>
            </w:r>
            <w:r w:rsidRPr="00893B19">
              <w:rPr>
                <w:rFonts w:ascii="Arial" w:hAnsi="Arial" w:cs="Arial"/>
                <w:i/>
                <w:sz w:val="20"/>
                <w:szCs w:val="20"/>
              </w:rPr>
              <w:fldChar w:fldCharType="end"/>
            </w:r>
            <w:r w:rsidRPr="00893B1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893B1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93B19" w:rsidRDefault="00F138C1" w:rsidP="00F138C1">
            <w:pPr>
              <w:tabs>
                <w:tab w:val="left" w:pos="6075"/>
              </w:tabs>
              <w:jc w:val="both"/>
              <w:rPr>
                <w:rFonts w:ascii="Arial" w:hAnsi="Arial" w:cs="Arial"/>
                <w:i/>
                <w:sz w:val="20"/>
                <w:szCs w:val="20"/>
                <w:lang w:val="fr-CA"/>
              </w:rPr>
            </w:pPr>
            <w:r w:rsidRPr="00893B19">
              <w:rPr>
                <w:rFonts w:ascii="Arial" w:hAnsi="Arial" w:cs="Arial"/>
                <w:i/>
                <w:sz w:val="20"/>
                <w:szCs w:val="20"/>
                <w:lang w:val="fr-CA"/>
              </w:rPr>
              <w:fldChar w:fldCharType="begin"/>
            </w:r>
            <w:r w:rsidRPr="00893B19">
              <w:rPr>
                <w:rFonts w:ascii="Arial" w:hAnsi="Arial" w:cs="Arial"/>
                <w:i/>
                <w:sz w:val="20"/>
                <w:szCs w:val="20"/>
                <w:lang w:val="fr-CA"/>
              </w:rPr>
              <w:instrText xml:space="preserve"> SEQ CHAPTER \h \r 1</w:instrText>
            </w:r>
            <w:r w:rsidRPr="00893B19">
              <w:rPr>
                <w:rFonts w:ascii="Arial" w:hAnsi="Arial" w:cs="Arial"/>
                <w:i/>
                <w:sz w:val="20"/>
                <w:szCs w:val="20"/>
                <w:lang w:val="fr-CA"/>
              </w:rPr>
              <w:fldChar w:fldCharType="end"/>
            </w:r>
            <w:r w:rsidRPr="00893B1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867539" w:rsidTr="00F138C1">
        <w:tc>
          <w:tcPr>
            <w:tcW w:w="4599" w:type="dxa"/>
            <w:tcMar>
              <w:top w:w="567" w:type="dxa"/>
            </w:tcMar>
          </w:tcPr>
          <w:p w:rsidR="00F138C1" w:rsidRPr="00893B19" w:rsidRDefault="00F138C1" w:rsidP="00F138C1">
            <w:pPr>
              <w:tabs>
                <w:tab w:val="left" w:pos="6075"/>
              </w:tabs>
              <w:jc w:val="both"/>
              <w:rPr>
                <w:rFonts w:ascii="Arial" w:hAnsi="Arial" w:cs="Arial"/>
                <w:i/>
                <w:sz w:val="20"/>
                <w:szCs w:val="20"/>
              </w:rPr>
            </w:pPr>
            <w:r w:rsidRPr="00893B19">
              <w:rPr>
                <w:rFonts w:ascii="Arial" w:hAnsi="Arial" w:cs="Arial"/>
                <w:i/>
                <w:sz w:val="20"/>
                <w:szCs w:val="20"/>
                <w:lang w:val="en-US"/>
              </w:rPr>
              <w:t>Please c</w:t>
            </w:r>
            <w:r w:rsidRPr="00893B19">
              <w:rPr>
                <w:rFonts w:ascii="Arial" w:hAnsi="Arial" w:cs="Arial"/>
                <w:i/>
                <w:sz w:val="20"/>
                <w:szCs w:val="20"/>
              </w:rPr>
              <w:t xml:space="preserve">onsult the Supreme Court of Canada website at </w:t>
            </w:r>
            <w:hyperlink r:id="rId9" w:history="1">
              <w:r w:rsidRPr="00893B19">
                <w:rPr>
                  <w:rStyle w:val="Hyperlink"/>
                  <w:rFonts w:ascii="Arial" w:hAnsi="Arial" w:cs="Arial"/>
                  <w:i/>
                  <w:sz w:val="20"/>
                  <w:szCs w:val="20"/>
                </w:rPr>
                <w:t>www.scc-csc.ca</w:t>
              </w:r>
            </w:hyperlink>
            <w:r w:rsidRPr="00893B19">
              <w:rPr>
                <w:rFonts w:ascii="Arial" w:hAnsi="Arial" w:cs="Arial"/>
                <w:i/>
                <w:sz w:val="20"/>
                <w:szCs w:val="20"/>
              </w:rPr>
              <w:t xml:space="preserve"> for more information.</w:t>
            </w:r>
          </w:p>
        </w:tc>
        <w:tc>
          <w:tcPr>
            <w:tcW w:w="483" w:type="dxa"/>
          </w:tcPr>
          <w:p w:rsidR="00F138C1" w:rsidRPr="00893B1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93B19" w:rsidRDefault="00F138C1" w:rsidP="00F138C1">
            <w:pPr>
              <w:tabs>
                <w:tab w:val="left" w:pos="6075"/>
              </w:tabs>
              <w:jc w:val="both"/>
              <w:rPr>
                <w:rFonts w:ascii="Arial" w:hAnsi="Arial" w:cs="Arial"/>
                <w:i/>
                <w:sz w:val="20"/>
                <w:szCs w:val="20"/>
                <w:lang w:val="fr-CA"/>
              </w:rPr>
            </w:pPr>
            <w:r w:rsidRPr="00893B19">
              <w:rPr>
                <w:rFonts w:ascii="Arial" w:hAnsi="Arial" w:cs="Arial"/>
                <w:i/>
                <w:sz w:val="20"/>
                <w:szCs w:val="20"/>
                <w:lang w:val="fr-CA"/>
              </w:rPr>
              <w:t xml:space="preserve">Pour de plus amples informations, veuillez consulter le site Web de la Cour suprême du Canada à l’adresse suivante : </w:t>
            </w:r>
            <w:hyperlink r:id="rId10" w:history="1">
              <w:r w:rsidRPr="00893B19">
                <w:rPr>
                  <w:rStyle w:val="Hyperlink"/>
                  <w:rFonts w:ascii="Arial" w:hAnsi="Arial" w:cs="Arial"/>
                  <w:i/>
                  <w:sz w:val="20"/>
                  <w:szCs w:val="20"/>
                  <w:lang w:val="fr-CA"/>
                </w:rPr>
                <w:t>www.scc-csc.ca</w:t>
              </w:r>
            </w:hyperlink>
            <w:r w:rsidRPr="00893B19">
              <w:rPr>
                <w:rFonts w:ascii="Arial" w:hAnsi="Arial" w:cs="Arial"/>
                <w:i/>
                <w:sz w:val="20"/>
                <w:szCs w:val="20"/>
                <w:lang w:val="fr-CA"/>
              </w:rPr>
              <w:t xml:space="preserve"> </w:t>
            </w:r>
          </w:p>
        </w:tc>
      </w:tr>
    </w:tbl>
    <w:p w:rsidR="00F138C1" w:rsidRPr="00893B1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893B19" w:rsidTr="00F138C1">
        <w:tc>
          <w:tcPr>
            <w:tcW w:w="2250" w:type="pct"/>
            <w:tcBorders>
              <w:top w:val="single" w:sz="4" w:space="0" w:color="auto"/>
            </w:tcBorders>
            <w:tcMar>
              <w:top w:w="284" w:type="dxa"/>
              <w:bottom w:w="284" w:type="dxa"/>
            </w:tcMar>
          </w:tcPr>
          <w:p w:rsidR="00F138C1" w:rsidRPr="00893B19" w:rsidRDefault="00DA1D48" w:rsidP="00BF4E60">
            <w:pPr>
              <w:tabs>
                <w:tab w:val="left" w:pos="6075"/>
              </w:tabs>
              <w:rPr>
                <w:rFonts w:ascii="Arial" w:hAnsi="Arial" w:cs="Arial"/>
                <w:i/>
                <w:sz w:val="20"/>
                <w:szCs w:val="20"/>
              </w:rPr>
            </w:pPr>
            <w:r w:rsidRPr="00893B19">
              <w:rPr>
                <w:lang w:val="fr-CA"/>
              </w:rPr>
              <w:t>Ma</w:t>
            </w:r>
            <w:r w:rsidR="00BF4E60" w:rsidRPr="00893B19">
              <w:rPr>
                <w:lang w:val="fr-CA"/>
              </w:rPr>
              <w:t>y</w:t>
            </w:r>
            <w:r w:rsidR="00F138C1" w:rsidRPr="00893B19">
              <w:rPr>
                <w:lang w:val="fr-CA"/>
              </w:rPr>
              <w:t xml:space="preserve"> </w:t>
            </w:r>
            <w:r w:rsidRPr="00893B19">
              <w:rPr>
                <w:lang w:val="fr-CA"/>
              </w:rPr>
              <w:t>2</w:t>
            </w:r>
            <w:r w:rsidR="00BF4E60" w:rsidRPr="00893B19">
              <w:rPr>
                <w:lang w:val="fr-CA"/>
              </w:rPr>
              <w:t>9</w:t>
            </w:r>
            <w:r w:rsidR="00F138C1" w:rsidRPr="00893B19">
              <w:rPr>
                <w:lang w:val="fr-CA"/>
              </w:rPr>
              <w:t>, 2020</w:t>
            </w:r>
          </w:p>
        </w:tc>
        <w:tc>
          <w:tcPr>
            <w:tcW w:w="500" w:type="pct"/>
            <w:tcBorders>
              <w:top w:val="single" w:sz="4" w:space="0" w:color="auto"/>
            </w:tcBorders>
            <w:tcMar>
              <w:top w:w="284" w:type="dxa"/>
              <w:bottom w:w="284" w:type="dxa"/>
            </w:tcMar>
          </w:tcPr>
          <w:p w:rsidR="00F138C1" w:rsidRPr="00893B19" w:rsidRDefault="00F138C1" w:rsidP="00893B19">
            <w:pPr>
              <w:tabs>
                <w:tab w:val="left" w:pos="6075"/>
              </w:tabs>
              <w:jc w:val="center"/>
              <w:rPr>
                <w:rFonts w:ascii="Arial" w:hAnsi="Arial" w:cs="Arial"/>
                <w:i/>
                <w:sz w:val="20"/>
                <w:szCs w:val="20"/>
              </w:rPr>
            </w:pPr>
            <w:r w:rsidRPr="00893B19">
              <w:rPr>
                <w:lang w:val="fr-CA"/>
              </w:rPr>
              <w:t xml:space="preserve">1 - </w:t>
            </w:r>
            <w:r w:rsidR="00893B19" w:rsidRPr="00893B19">
              <w:rPr>
                <w:lang w:val="fr-CA"/>
              </w:rPr>
              <w:t>2</w:t>
            </w:r>
            <w:r w:rsidR="00DE0E87" w:rsidRPr="00893B19">
              <w:rPr>
                <w:lang w:val="fr-CA"/>
              </w:rPr>
              <w:t>6</w:t>
            </w:r>
          </w:p>
        </w:tc>
        <w:tc>
          <w:tcPr>
            <w:tcW w:w="2250" w:type="pct"/>
            <w:tcBorders>
              <w:top w:val="single" w:sz="4" w:space="0" w:color="auto"/>
            </w:tcBorders>
            <w:tcMar>
              <w:top w:w="284" w:type="dxa"/>
              <w:bottom w:w="284" w:type="dxa"/>
            </w:tcMar>
          </w:tcPr>
          <w:p w:rsidR="00F138C1" w:rsidRPr="00893B19" w:rsidRDefault="00F138C1" w:rsidP="00BF4E60">
            <w:pPr>
              <w:tabs>
                <w:tab w:val="left" w:pos="6075"/>
              </w:tabs>
              <w:jc w:val="right"/>
              <w:rPr>
                <w:rFonts w:ascii="Arial" w:hAnsi="Arial" w:cs="Arial"/>
                <w:i/>
                <w:sz w:val="20"/>
                <w:szCs w:val="20"/>
                <w:lang w:val="fr-CA"/>
              </w:rPr>
            </w:pPr>
            <w:r w:rsidRPr="00893B19">
              <w:rPr>
                <w:lang w:val="fr-CA"/>
              </w:rPr>
              <w:t xml:space="preserve">Le </w:t>
            </w:r>
            <w:r w:rsidR="00DA1D48" w:rsidRPr="00893B19">
              <w:rPr>
                <w:lang w:val="fr-CA"/>
              </w:rPr>
              <w:t>2</w:t>
            </w:r>
            <w:r w:rsidR="00BF4E60" w:rsidRPr="00893B19">
              <w:rPr>
                <w:lang w:val="fr-CA"/>
              </w:rPr>
              <w:t>9</w:t>
            </w:r>
            <w:r w:rsidRPr="00893B19">
              <w:rPr>
                <w:lang w:val="fr-CA"/>
              </w:rPr>
              <w:t xml:space="preserve"> </w:t>
            </w:r>
            <w:r w:rsidR="00DA1D48" w:rsidRPr="00893B19">
              <w:rPr>
                <w:lang w:val="fr-CA"/>
              </w:rPr>
              <w:t>ma</w:t>
            </w:r>
            <w:r w:rsidR="00BF4E60" w:rsidRPr="00893B19">
              <w:rPr>
                <w:lang w:val="fr-CA"/>
              </w:rPr>
              <w:t>i</w:t>
            </w:r>
            <w:r w:rsidRPr="00893B19">
              <w:rPr>
                <w:lang w:val="fr-CA"/>
              </w:rPr>
              <w:t xml:space="preserve"> 2020</w:t>
            </w:r>
          </w:p>
        </w:tc>
      </w:tr>
      <w:tr w:rsidR="00F138C1" w:rsidRPr="00867539" w:rsidTr="00F138C1">
        <w:tc>
          <w:tcPr>
            <w:tcW w:w="2250" w:type="pct"/>
            <w:tcBorders>
              <w:bottom w:val="single" w:sz="4" w:space="0" w:color="auto"/>
            </w:tcBorders>
            <w:tcMar>
              <w:top w:w="284" w:type="dxa"/>
              <w:bottom w:w="284" w:type="dxa"/>
            </w:tcMar>
          </w:tcPr>
          <w:p w:rsidR="00F138C1" w:rsidRPr="00893B19" w:rsidRDefault="00F138C1" w:rsidP="00F138C1">
            <w:pPr>
              <w:tabs>
                <w:tab w:val="left" w:pos="6075"/>
              </w:tabs>
              <w:rPr>
                <w:rFonts w:ascii="Arial" w:hAnsi="Arial" w:cs="Arial"/>
                <w:i/>
                <w:sz w:val="20"/>
                <w:szCs w:val="20"/>
              </w:rPr>
            </w:pPr>
            <w:r w:rsidRPr="00893B19">
              <w:rPr>
                <w:sz w:val="18"/>
                <w:szCs w:val="18"/>
                <w:lang w:val="en-US"/>
              </w:rPr>
              <w:t>© Supreme Court of Canada (2020)</w:t>
            </w:r>
            <w:r w:rsidRPr="00893B19">
              <w:rPr>
                <w:sz w:val="18"/>
                <w:szCs w:val="18"/>
                <w:lang w:val="en-US"/>
              </w:rPr>
              <w:br/>
              <w:t>ISSN 1918-8358 (Online)</w:t>
            </w:r>
          </w:p>
        </w:tc>
        <w:tc>
          <w:tcPr>
            <w:tcW w:w="500" w:type="pct"/>
            <w:tcBorders>
              <w:bottom w:val="single" w:sz="4" w:space="0" w:color="auto"/>
            </w:tcBorders>
            <w:tcMar>
              <w:top w:w="284" w:type="dxa"/>
              <w:bottom w:w="284" w:type="dxa"/>
            </w:tcMar>
          </w:tcPr>
          <w:p w:rsidR="00F138C1" w:rsidRPr="00893B1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93B19" w:rsidRDefault="00F138C1" w:rsidP="00F138C1">
            <w:pPr>
              <w:tabs>
                <w:tab w:val="left" w:pos="6075"/>
              </w:tabs>
              <w:jc w:val="right"/>
              <w:rPr>
                <w:rFonts w:ascii="Arial" w:hAnsi="Arial" w:cs="Arial"/>
                <w:i/>
                <w:sz w:val="20"/>
                <w:szCs w:val="20"/>
                <w:lang w:val="fr-CA"/>
              </w:rPr>
            </w:pPr>
            <w:r w:rsidRPr="00893B19">
              <w:rPr>
                <w:sz w:val="18"/>
                <w:szCs w:val="18"/>
                <w:lang w:val="fr-CA"/>
              </w:rPr>
              <w:t>© Cour suprême du Canada (2020</w:t>
            </w:r>
            <w:proofErr w:type="gramStart"/>
            <w:r w:rsidRPr="00893B19">
              <w:rPr>
                <w:sz w:val="18"/>
                <w:szCs w:val="18"/>
                <w:lang w:val="fr-CA"/>
              </w:rPr>
              <w:t>)</w:t>
            </w:r>
            <w:proofErr w:type="gramEnd"/>
            <w:r w:rsidRPr="00893B19">
              <w:rPr>
                <w:sz w:val="18"/>
                <w:szCs w:val="18"/>
                <w:lang w:val="fr-CA"/>
              </w:rPr>
              <w:br/>
              <w:t>ISSN 1918-8358 (En ligne)</w:t>
            </w:r>
          </w:p>
        </w:tc>
      </w:tr>
    </w:tbl>
    <w:p w:rsidR="0030050B" w:rsidRPr="00893B19" w:rsidRDefault="0030050B" w:rsidP="00F138C1">
      <w:pPr>
        <w:tabs>
          <w:tab w:val="left" w:pos="6075"/>
        </w:tabs>
        <w:rPr>
          <w:lang w:val="fr-CA"/>
        </w:rPr>
      </w:pPr>
    </w:p>
    <w:p w:rsidR="00560DF1" w:rsidRPr="00893B19" w:rsidRDefault="00560DF1" w:rsidP="0095096B">
      <w:pPr>
        <w:tabs>
          <w:tab w:val="right" w:pos="9360"/>
        </w:tabs>
        <w:rPr>
          <w:lang w:val="fr-CA"/>
        </w:rPr>
      </w:pPr>
    </w:p>
    <w:p w:rsidR="00F138C1" w:rsidRPr="00893B1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93B19" w:rsidRDefault="00DC6B2E" w:rsidP="00693C38">
          <w:pPr>
            <w:pStyle w:val="Title"/>
            <w:jc w:val="center"/>
            <w:rPr>
              <w:rFonts w:ascii="Times New Roman" w:hAnsi="Times New Roman" w:cs="Times New Roman"/>
              <w:b/>
              <w:sz w:val="24"/>
              <w:szCs w:val="28"/>
              <w:lang w:val="fr-CA"/>
            </w:rPr>
          </w:pPr>
          <w:r w:rsidRPr="00893B19">
            <w:rPr>
              <w:rFonts w:ascii="Times New Roman" w:hAnsi="Times New Roman" w:cs="Times New Roman"/>
              <w:b/>
              <w:sz w:val="24"/>
              <w:szCs w:val="28"/>
              <w:lang w:val="fr-CA"/>
            </w:rPr>
            <w:t>Contents</w:t>
          </w:r>
        </w:p>
        <w:p w:rsidR="00693C38" w:rsidRPr="00893B19" w:rsidRDefault="00DC6B2E" w:rsidP="00693C38">
          <w:pPr>
            <w:jc w:val="center"/>
            <w:rPr>
              <w:b/>
              <w:szCs w:val="28"/>
              <w:lang w:val="fr-CA"/>
            </w:rPr>
          </w:pPr>
          <w:r w:rsidRPr="00893B19">
            <w:rPr>
              <w:b/>
              <w:szCs w:val="28"/>
              <w:lang w:val="fr-CA"/>
            </w:rPr>
            <w:t>Table des matières</w:t>
          </w:r>
        </w:p>
        <w:p w:rsidR="00693C38" w:rsidRPr="00893B19" w:rsidRDefault="00693C38" w:rsidP="00693C38">
          <w:pPr>
            <w:rPr>
              <w:lang w:val="fr-CA"/>
            </w:rPr>
          </w:pPr>
        </w:p>
        <w:p w:rsidR="00893B19" w:rsidRPr="00893B19" w:rsidRDefault="00DC6B2E">
          <w:pPr>
            <w:pStyle w:val="TOC1"/>
            <w:tabs>
              <w:tab w:val="right" w:leader="dot" w:pos="9638"/>
            </w:tabs>
            <w:rPr>
              <w:rFonts w:asciiTheme="minorHAnsi" w:eastAsiaTheme="minorEastAsia" w:hAnsiTheme="minorHAnsi"/>
              <w:noProof/>
              <w:sz w:val="22"/>
              <w:lang w:val="en-US"/>
            </w:rPr>
          </w:pPr>
          <w:r w:rsidRPr="00893B19">
            <w:rPr>
              <w:b/>
              <w:bCs/>
              <w:noProof/>
            </w:rPr>
            <w:fldChar w:fldCharType="begin"/>
          </w:r>
          <w:r w:rsidRPr="00893B19">
            <w:rPr>
              <w:b/>
              <w:bCs/>
              <w:noProof/>
            </w:rPr>
            <w:instrText xml:space="preserve"> TOC \o "1-3" \h \z \u </w:instrText>
          </w:r>
          <w:r w:rsidRPr="00893B19">
            <w:rPr>
              <w:b/>
              <w:bCs/>
              <w:noProof/>
            </w:rPr>
            <w:fldChar w:fldCharType="separate"/>
          </w:r>
          <w:hyperlink w:anchor="_Toc41632517" w:history="1">
            <w:r w:rsidR="00893B19" w:rsidRPr="00893B19">
              <w:rPr>
                <w:rStyle w:val="Hyperlink"/>
                <w:noProof/>
                <w:lang w:val="fr-CA"/>
              </w:rPr>
              <w:t>Applications for leave to appeal filed /  Demandes d’autorisation d’appel déposées</w:t>
            </w:r>
            <w:r w:rsidR="00893B19" w:rsidRPr="00893B19">
              <w:rPr>
                <w:noProof/>
                <w:webHidden/>
              </w:rPr>
              <w:tab/>
            </w:r>
            <w:r w:rsidR="00893B19" w:rsidRPr="00893B19">
              <w:rPr>
                <w:noProof/>
                <w:webHidden/>
              </w:rPr>
              <w:fldChar w:fldCharType="begin"/>
            </w:r>
            <w:r w:rsidR="00893B19" w:rsidRPr="00893B19">
              <w:rPr>
                <w:noProof/>
                <w:webHidden/>
              </w:rPr>
              <w:instrText xml:space="preserve"> PAGEREF _Toc41632517 \h </w:instrText>
            </w:r>
            <w:r w:rsidR="00893B19" w:rsidRPr="00893B19">
              <w:rPr>
                <w:noProof/>
                <w:webHidden/>
              </w:rPr>
            </w:r>
            <w:r w:rsidR="00893B19" w:rsidRPr="00893B19">
              <w:rPr>
                <w:noProof/>
                <w:webHidden/>
              </w:rPr>
              <w:fldChar w:fldCharType="separate"/>
            </w:r>
            <w:r w:rsidR="00893B19" w:rsidRPr="00893B19">
              <w:rPr>
                <w:noProof/>
                <w:webHidden/>
              </w:rPr>
              <w:t>1</w:t>
            </w:r>
            <w:r w:rsidR="00893B19" w:rsidRPr="00893B19">
              <w:rPr>
                <w:noProof/>
                <w:webHidden/>
              </w:rPr>
              <w:fldChar w:fldCharType="end"/>
            </w:r>
          </w:hyperlink>
        </w:p>
        <w:p w:rsidR="00893B19" w:rsidRPr="00893B19" w:rsidRDefault="00867539">
          <w:pPr>
            <w:pStyle w:val="TOC1"/>
            <w:tabs>
              <w:tab w:val="right" w:leader="dot" w:pos="9638"/>
            </w:tabs>
            <w:rPr>
              <w:rFonts w:asciiTheme="minorHAnsi" w:eastAsiaTheme="minorEastAsia" w:hAnsiTheme="minorHAnsi"/>
              <w:noProof/>
              <w:sz w:val="22"/>
              <w:lang w:val="en-US"/>
            </w:rPr>
          </w:pPr>
          <w:hyperlink w:anchor="_Toc41632518" w:history="1">
            <w:r w:rsidR="00893B19" w:rsidRPr="00893B19">
              <w:rPr>
                <w:rStyle w:val="Hyperlink"/>
                <w:noProof/>
                <w:lang w:val="fr-CA"/>
              </w:rPr>
              <w:t>Judgments on applications for leave /  Jugements rendus sur les demandes d’autorisation</w:t>
            </w:r>
            <w:r w:rsidR="00893B19" w:rsidRPr="00893B19">
              <w:rPr>
                <w:noProof/>
                <w:webHidden/>
              </w:rPr>
              <w:tab/>
            </w:r>
            <w:r w:rsidR="00893B19" w:rsidRPr="00893B19">
              <w:rPr>
                <w:noProof/>
                <w:webHidden/>
              </w:rPr>
              <w:fldChar w:fldCharType="begin"/>
            </w:r>
            <w:r w:rsidR="00893B19" w:rsidRPr="00893B19">
              <w:rPr>
                <w:noProof/>
                <w:webHidden/>
              </w:rPr>
              <w:instrText xml:space="preserve"> PAGEREF _Toc41632518 \h </w:instrText>
            </w:r>
            <w:r w:rsidR="00893B19" w:rsidRPr="00893B19">
              <w:rPr>
                <w:noProof/>
                <w:webHidden/>
              </w:rPr>
            </w:r>
            <w:r w:rsidR="00893B19" w:rsidRPr="00893B19">
              <w:rPr>
                <w:noProof/>
                <w:webHidden/>
              </w:rPr>
              <w:fldChar w:fldCharType="separate"/>
            </w:r>
            <w:r w:rsidR="00893B19" w:rsidRPr="00893B19">
              <w:rPr>
                <w:noProof/>
                <w:webHidden/>
              </w:rPr>
              <w:t>4</w:t>
            </w:r>
            <w:r w:rsidR="00893B19" w:rsidRPr="00893B19">
              <w:rPr>
                <w:noProof/>
                <w:webHidden/>
              </w:rPr>
              <w:fldChar w:fldCharType="end"/>
            </w:r>
          </w:hyperlink>
        </w:p>
        <w:p w:rsidR="00893B19" w:rsidRPr="00893B19" w:rsidRDefault="00867539">
          <w:pPr>
            <w:pStyle w:val="TOC1"/>
            <w:tabs>
              <w:tab w:val="right" w:leader="dot" w:pos="9638"/>
            </w:tabs>
            <w:rPr>
              <w:rFonts w:asciiTheme="minorHAnsi" w:eastAsiaTheme="minorEastAsia" w:hAnsiTheme="minorHAnsi"/>
              <w:noProof/>
              <w:sz w:val="22"/>
              <w:lang w:val="en-US"/>
            </w:rPr>
          </w:pPr>
          <w:hyperlink w:anchor="_Toc41632519" w:history="1">
            <w:r w:rsidR="00893B19" w:rsidRPr="00893B19">
              <w:rPr>
                <w:rStyle w:val="Hyperlink"/>
                <w:noProof/>
                <w:lang w:val="fr-CA"/>
              </w:rPr>
              <w:t>Motions /  Requêtes</w:t>
            </w:r>
            <w:r w:rsidR="00893B19" w:rsidRPr="00893B19">
              <w:rPr>
                <w:noProof/>
                <w:webHidden/>
              </w:rPr>
              <w:tab/>
            </w:r>
            <w:r w:rsidR="00893B19" w:rsidRPr="00893B19">
              <w:rPr>
                <w:noProof/>
                <w:webHidden/>
              </w:rPr>
              <w:fldChar w:fldCharType="begin"/>
            </w:r>
            <w:r w:rsidR="00893B19" w:rsidRPr="00893B19">
              <w:rPr>
                <w:noProof/>
                <w:webHidden/>
              </w:rPr>
              <w:instrText xml:space="preserve"> PAGEREF _Toc41632519 \h </w:instrText>
            </w:r>
            <w:r w:rsidR="00893B19" w:rsidRPr="00893B19">
              <w:rPr>
                <w:noProof/>
                <w:webHidden/>
              </w:rPr>
            </w:r>
            <w:r w:rsidR="00893B19" w:rsidRPr="00893B19">
              <w:rPr>
                <w:noProof/>
                <w:webHidden/>
              </w:rPr>
              <w:fldChar w:fldCharType="separate"/>
            </w:r>
            <w:r w:rsidR="00893B19" w:rsidRPr="00893B19">
              <w:rPr>
                <w:noProof/>
                <w:webHidden/>
              </w:rPr>
              <w:t>21</w:t>
            </w:r>
            <w:r w:rsidR="00893B19" w:rsidRPr="00893B19">
              <w:rPr>
                <w:noProof/>
                <w:webHidden/>
              </w:rPr>
              <w:fldChar w:fldCharType="end"/>
            </w:r>
          </w:hyperlink>
        </w:p>
        <w:p w:rsidR="00893B19" w:rsidRPr="00893B19" w:rsidRDefault="00867539">
          <w:pPr>
            <w:pStyle w:val="TOC1"/>
            <w:tabs>
              <w:tab w:val="right" w:leader="dot" w:pos="9638"/>
            </w:tabs>
            <w:rPr>
              <w:rFonts w:asciiTheme="minorHAnsi" w:eastAsiaTheme="minorEastAsia" w:hAnsiTheme="minorHAnsi"/>
              <w:noProof/>
              <w:sz w:val="22"/>
              <w:lang w:val="en-US"/>
            </w:rPr>
          </w:pPr>
          <w:hyperlink w:anchor="_Toc41632520" w:history="1">
            <w:r w:rsidR="00893B19" w:rsidRPr="00893B19">
              <w:rPr>
                <w:rStyle w:val="Hyperlink"/>
                <w:noProof/>
              </w:rPr>
              <w:t xml:space="preserve">Notices of appeal filed since the last issue /  </w:t>
            </w:r>
            <w:r w:rsidR="00893B19" w:rsidRPr="00893B19">
              <w:rPr>
                <w:rStyle w:val="Hyperlink"/>
                <w:noProof/>
                <w:lang w:val="fr-CA"/>
              </w:rPr>
              <w:t>Avis d’appel déposés depuis la dernière parution</w:t>
            </w:r>
            <w:r w:rsidR="00893B19" w:rsidRPr="00893B19">
              <w:rPr>
                <w:noProof/>
                <w:webHidden/>
              </w:rPr>
              <w:tab/>
            </w:r>
            <w:r w:rsidR="00893B19" w:rsidRPr="00893B19">
              <w:rPr>
                <w:noProof/>
                <w:webHidden/>
              </w:rPr>
              <w:fldChar w:fldCharType="begin"/>
            </w:r>
            <w:r w:rsidR="00893B19" w:rsidRPr="00893B19">
              <w:rPr>
                <w:noProof/>
                <w:webHidden/>
              </w:rPr>
              <w:instrText xml:space="preserve"> PAGEREF _Toc41632520 \h </w:instrText>
            </w:r>
            <w:r w:rsidR="00893B19" w:rsidRPr="00893B19">
              <w:rPr>
                <w:noProof/>
                <w:webHidden/>
              </w:rPr>
            </w:r>
            <w:r w:rsidR="00893B19" w:rsidRPr="00893B19">
              <w:rPr>
                <w:noProof/>
                <w:webHidden/>
              </w:rPr>
              <w:fldChar w:fldCharType="separate"/>
            </w:r>
            <w:r w:rsidR="00893B19" w:rsidRPr="00893B19">
              <w:rPr>
                <w:noProof/>
                <w:webHidden/>
              </w:rPr>
              <w:t>24</w:t>
            </w:r>
            <w:r w:rsidR="00893B19" w:rsidRPr="00893B19">
              <w:rPr>
                <w:noProof/>
                <w:webHidden/>
              </w:rPr>
              <w:fldChar w:fldCharType="end"/>
            </w:r>
          </w:hyperlink>
        </w:p>
        <w:p w:rsidR="00893B19" w:rsidRPr="00893B19" w:rsidRDefault="00867539">
          <w:pPr>
            <w:pStyle w:val="TOC1"/>
            <w:tabs>
              <w:tab w:val="right" w:leader="dot" w:pos="9638"/>
            </w:tabs>
            <w:rPr>
              <w:rFonts w:asciiTheme="minorHAnsi" w:eastAsiaTheme="minorEastAsia" w:hAnsiTheme="minorHAnsi"/>
              <w:noProof/>
              <w:sz w:val="22"/>
              <w:lang w:val="en-US"/>
            </w:rPr>
          </w:pPr>
          <w:hyperlink w:anchor="_Toc41632521" w:history="1">
            <w:r w:rsidR="00893B19" w:rsidRPr="00893B19">
              <w:rPr>
                <w:rStyle w:val="Hyperlink"/>
                <w:noProof/>
                <w:lang w:val="fr-CA"/>
              </w:rPr>
              <w:t>Pronouncements of reserved appeals /  Jugements rendus sur les appels en délibéré</w:t>
            </w:r>
            <w:r w:rsidR="00893B19" w:rsidRPr="00893B19">
              <w:rPr>
                <w:noProof/>
                <w:webHidden/>
              </w:rPr>
              <w:tab/>
            </w:r>
            <w:r w:rsidR="00893B19" w:rsidRPr="00893B19">
              <w:rPr>
                <w:noProof/>
                <w:webHidden/>
              </w:rPr>
              <w:fldChar w:fldCharType="begin"/>
            </w:r>
            <w:r w:rsidR="00893B19" w:rsidRPr="00893B19">
              <w:rPr>
                <w:noProof/>
                <w:webHidden/>
              </w:rPr>
              <w:instrText xml:space="preserve"> PAGEREF _Toc41632521 \h </w:instrText>
            </w:r>
            <w:r w:rsidR="00893B19" w:rsidRPr="00893B19">
              <w:rPr>
                <w:noProof/>
                <w:webHidden/>
              </w:rPr>
            </w:r>
            <w:r w:rsidR="00893B19" w:rsidRPr="00893B19">
              <w:rPr>
                <w:noProof/>
                <w:webHidden/>
              </w:rPr>
              <w:fldChar w:fldCharType="separate"/>
            </w:r>
            <w:r w:rsidR="00893B19" w:rsidRPr="00893B19">
              <w:rPr>
                <w:noProof/>
                <w:webHidden/>
              </w:rPr>
              <w:t>25</w:t>
            </w:r>
            <w:r w:rsidR="00893B19" w:rsidRPr="00893B19">
              <w:rPr>
                <w:noProof/>
                <w:webHidden/>
              </w:rPr>
              <w:fldChar w:fldCharType="end"/>
            </w:r>
          </w:hyperlink>
        </w:p>
        <w:p w:rsidR="00893B19" w:rsidRPr="00893B19" w:rsidRDefault="00867539">
          <w:pPr>
            <w:pStyle w:val="TOC1"/>
            <w:tabs>
              <w:tab w:val="right" w:leader="dot" w:pos="9638"/>
            </w:tabs>
            <w:rPr>
              <w:rFonts w:asciiTheme="minorHAnsi" w:eastAsiaTheme="minorEastAsia" w:hAnsiTheme="minorHAnsi"/>
              <w:noProof/>
              <w:sz w:val="22"/>
              <w:lang w:val="en-US"/>
            </w:rPr>
          </w:pPr>
          <w:hyperlink w:anchor="_Toc41632522" w:history="1">
            <w:r w:rsidR="00893B19" w:rsidRPr="00893B19">
              <w:rPr>
                <w:rStyle w:val="Hyperlink"/>
                <w:noProof/>
                <w:lang w:val="fr-CA"/>
              </w:rPr>
              <w:t>Agenda and case summaries for June 2020 /  Calendrier et sommaires des causes de juin 2020</w:t>
            </w:r>
            <w:r w:rsidR="00893B19" w:rsidRPr="00893B19">
              <w:rPr>
                <w:noProof/>
                <w:webHidden/>
              </w:rPr>
              <w:tab/>
            </w:r>
            <w:r w:rsidR="00893B19" w:rsidRPr="00893B19">
              <w:rPr>
                <w:noProof/>
                <w:webHidden/>
              </w:rPr>
              <w:fldChar w:fldCharType="begin"/>
            </w:r>
            <w:r w:rsidR="00893B19" w:rsidRPr="00893B19">
              <w:rPr>
                <w:noProof/>
                <w:webHidden/>
              </w:rPr>
              <w:instrText xml:space="preserve"> PAGEREF _Toc41632522 \h </w:instrText>
            </w:r>
            <w:r w:rsidR="00893B19" w:rsidRPr="00893B19">
              <w:rPr>
                <w:noProof/>
                <w:webHidden/>
              </w:rPr>
            </w:r>
            <w:r w:rsidR="00893B19" w:rsidRPr="00893B19">
              <w:rPr>
                <w:noProof/>
                <w:webHidden/>
              </w:rPr>
              <w:fldChar w:fldCharType="separate"/>
            </w:r>
            <w:r w:rsidR="00893B19" w:rsidRPr="00893B19">
              <w:rPr>
                <w:noProof/>
                <w:webHidden/>
              </w:rPr>
              <w:t>26</w:t>
            </w:r>
            <w:r w:rsidR="00893B19" w:rsidRPr="00893B19">
              <w:rPr>
                <w:noProof/>
                <w:webHidden/>
              </w:rPr>
              <w:fldChar w:fldCharType="end"/>
            </w:r>
          </w:hyperlink>
        </w:p>
        <w:p w:rsidR="00560DF1" w:rsidRPr="00893B19" w:rsidRDefault="00DC6B2E">
          <w:r w:rsidRPr="00893B19">
            <w:rPr>
              <w:b/>
              <w:bCs/>
              <w:noProof/>
              <w:sz w:val="20"/>
            </w:rPr>
            <w:fldChar w:fldCharType="end"/>
          </w:r>
        </w:p>
      </w:sdtContent>
    </w:sdt>
    <w:p w:rsidR="00560DF1" w:rsidRPr="00893B1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867539" w:rsidTr="00F138C1">
        <w:trPr>
          <w:jc w:val="center"/>
        </w:trPr>
        <w:tc>
          <w:tcPr>
            <w:tcW w:w="9638" w:type="dxa"/>
          </w:tcPr>
          <w:p w:rsidR="00F138C1" w:rsidRPr="00893B19" w:rsidRDefault="00F138C1" w:rsidP="00F138C1">
            <w:pPr>
              <w:keepNext/>
              <w:tabs>
                <w:tab w:val="right" w:pos="9360"/>
              </w:tabs>
              <w:spacing w:after="120"/>
              <w:jc w:val="center"/>
              <w:rPr>
                <w:szCs w:val="24"/>
              </w:rPr>
            </w:pPr>
            <w:r w:rsidRPr="00893B19">
              <w:rPr>
                <w:szCs w:val="24"/>
              </w:rPr>
              <w:t>NOTICE</w:t>
            </w:r>
          </w:p>
          <w:p w:rsidR="00F138C1" w:rsidRPr="00893B19" w:rsidRDefault="00F138C1" w:rsidP="00F138C1">
            <w:pPr>
              <w:keepNext/>
              <w:tabs>
                <w:tab w:val="right" w:pos="9360"/>
              </w:tabs>
              <w:spacing w:after="120"/>
              <w:jc w:val="both"/>
              <w:rPr>
                <w:szCs w:val="24"/>
              </w:rPr>
            </w:pPr>
            <w:r w:rsidRPr="00893B19">
              <w:rPr>
                <w:szCs w:val="24"/>
              </w:rPr>
              <w:t>Case summaries included in the Bulletin are prepared by the Office of the Registrar of the Supreme Court of Canada (Law Branch) for information purposes only.</w:t>
            </w:r>
          </w:p>
          <w:p w:rsidR="00F138C1" w:rsidRPr="00893B19" w:rsidRDefault="00F138C1" w:rsidP="00F138C1">
            <w:pPr>
              <w:keepNext/>
              <w:tabs>
                <w:tab w:val="right" w:pos="9360"/>
              </w:tabs>
              <w:spacing w:after="120"/>
              <w:jc w:val="center"/>
              <w:rPr>
                <w:szCs w:val="24"/>
                <w:lang w:val="fr-CA"/>
              </w:rPr>
            </w:pPr>
            <w:r w:rsidRPr="00893B19">
              <w:rPr>
                <w:szCs w:val="24"/>
                <w:lang w:val="fr-CA"/>
              </w:rPr>
              <w:t>AVIS</w:t>
            </w:r>
          </w:p>
          <w:p w:rsidR="00F138C1" w:rsidRPr="00893B19" w:rsidRDefault="00F138C1" w:rsidP="00F138C1">
            <w:pPr>
              <w:keepNext/>
              <w:tabs>
                <w:tab w:val="right" w:pos="9360"/>
              </w:tabs>
              <w:spacing w:after="120"/>
              <w:jc w:val="both"/>
              <w:rPr>
                <w:sz w:val="20"/>
                <w:szCs w:val="20"/>
                <w:lang w:val="fr-CA"/>
              </w:rPr>
            </w:pPr>
            <w:r w:rsidRPr="00893B19">
              <w:rPr>
                <w:szCs w:val="24"/>
                <w:lang w:val="fr-CA"/>
              </w:rPr>
              <w:t>Les résumés des causes publiés dans le bulletin sont préparés par le Bureau du registraire (Direction générale du droit) uniquement à titre d’information.</w:t>
            </w:r>
          </w:p>
        </w:tc>
      </w:tr>
    </w:tbl>
    <w:p w:rsidR="00F138C1" w:rsidRPr="00893B19" w:rsidRDefault="00F138C1" w:rsidP="00F138C1">
      <w:pPr>
        <w:tabs>
          <w:tab w:val="right" w:pos="9360"/>
        </w:tabs>
        <w:rPr>
          <w:lang w:val="fr-CA"/>
        </w:rPr>
      </w:pPr>
    </w:p>
    <w:p w:rsidR="00F138C1" w:rsidRPr="00893B19" w:rsidRDefault="00F138C1" w:rsidP="00F138C1">
      <w:pPr>
        <w:tabs>
          <w:tab w:val="right" w:pos="9360"/>
        </w:tabs>
        <w:rPr>
          <w:lang w:val="fr-CA"/>
        </w:rPr>
      </w:pPr>
    </w:p>
    <w:p w:rsidR="00C01FCB" w:rsidRPr="00893B19" w:rsidRDefault="00C01FCB" w:rsidP="0095096B">
      <w:pPr>
        <w:tabs>
          <w:tab w:val="right" w:pos="9360"/>
        </w:tabs>
        <w:rPr>
          <w:lang w:val="fr-CA"/>
        </w:rPr>
      </w:pPr>
    </w:p>
    <w:p w:rsidR="00A87207" w:rsidRPr="00893B19" w:rsidRDefault="00A87207" w:rsidP="0095096B">
      <w:pPr>
        <w:tabs>
          <w:tab w:val="right" w:pos="9360"/>
        </w:tabs>
        <w:rPr>
          <w:lang w:val="fr-CA"/>
        </w:rPr>
        <w:sectPr w:rsidR="00A87207" w:rsidRPr="00893B19" w:rsidSect="0044776A">
          <w:pgSz w:w="12240" w:h="15840"/>
          <w:pgMar w:top="720" w:right="1152" w:bottom="1080" w:left="1440" w:header="706" w:footer="706" w:gutter="0"/>
          <w:cols w:space="708"/>
          <w:titlePg/>
          <w:docGrid w:linePitch="360"/>
        </w:sectPr>
      </w:pPr>
    </w:p>
    <w:p w:rsidR="00560DF1" w:rsidRPr="00893B19" w:rsidRDefault="00DD0BDC" w:rsidP="00567602">
      <w:pPr>
        <w:pStyle w:val="Header1StyleE"/>
        <w:pBdr>
          <w:bottom w:val="single" w:sz="12" w:space="1" w:color="auto"/>
        </w:pBdr>
        <w:rPr>
          <w:lang w:val="fr-CA"/>
        </w:rPr>
      </w:pPr>
      <w:bookmarkStart w:id="0" w:name="_Toc41632517"/>
      <w:r w:rsidRPr="00893B19">
        <w:rPr>
          <w:lang w:val="fr-CA"/>
        </w:rPr>
        <w:lastRenderedPageBreak/>
        <w:t>Applications for leave to appeal filed</w:t>
      </w:r>
      <w:r w:rsidR="00271E1E" w:rsidRPr="00893B19">
        <w:rPr>
          <w:lang w:val="fr-CA"/>
        </w:rPr>
        <w:t xml:space="preserve"> / </w:t>
      </w:r>
      <w:r w:rsidR="00727571" w:rsidRPr="00893B19">
        <w:rPr>
          <w:lang w:val="fr-CA"/>
        </w:rPr>
        <w:br/>
      </w:r>
      <w:r w:rsidRPr="00893B19">
        <w:rPr>
          <w:lang w:val="fr-CA"/>
        </w:rPr>
        <w:t>Demandes d’autorisation d’appel déposées</w:t>
      </w:r>
      <w:bookmarkEnd w:id="0"/>
    </w:p>
    <w:p w:rsidR="00F138C1" w:rsidRPr="00893B1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893B19" w:rsidTr="00F138C1">
        <w:tc>
          <w:tcPr>
            <w:tcW w:w="4239" w:type="dxa"/>
            <w:shd w:val="clear" w:color="auto" w:fill="auto"/>
          </w:tcPr>
          <w:p w:rsidR="00F138C1" w:rsidRPr="00893B19" w:rsidRDefault="00013222" w:rsidP="00F138C1">
            <w:pPr>
              <w:rPr>
                <w:sz w:val="20"/>
                <w:szCs w:val="20"/>
                <w:lang w:val="en-US"/>
              </w:rPr>
            </w:pPr>
            <w:r w:rsidRPr="00893B19">
              <w:rPr>
                <w:b/>
                <w:sz w:val="20"/>
                <w:szCs w:val="20"/>
                <w:lang w:val="en-US"/>
              </w:rPr>
              <w:t>Her Majesty the Queen</w:t>
            </w:r>
          </w:p>
          <w:p w:rsidR="00F138C1" w:rsidRPr="00893B19" w:rsidRDefault="00F138C1" w:rsidP="00F138C1">
            <w:pPr>
              <w:tabs>
                <w:tab w:val="left" w:pos="-1440"/>
                <w:tab w:val="left" w:pos="-720"/>
              </w:tabs>
              <w:rPr>
                <w:sz w:val="20"/>
                <w:szCs w:val="20"/>
                <w:lang w:val="en-US"/>
              </w:rPr>
            </w:pPr>
            <w:r w:rsidRPr="00893B19">
              <w:rPr>
                <w:sz w:val="20"/>
                <w:szCs w:val="20"/>
                <w:lang w:val="en-US"/>
              </w:rPr>
              <w:tab/>
            </w:r>
            <w:r w:rsidR="00013222" w:rsidRPr="00893B19">
              <w:rPr>
                <w:sz w:val="20"/>
                <w:szCs w:val="20"/>
                <w:lang w:val="en-US"/>
              </w:rPr>
              <w:t>Lagimodière, Renée</w:t>
            </w:r>
          </w:p>
          <w:p w:rsidR="00013222" w:rsidRPr="00893B19" w:rsidRDefault="00013222" w:rsidP="00F138C1">
            <w:pPr>
              <w:tabs>
                <w:tab w:val="left" w:pos="-1440"/>
                <w:tab w:val="left" w:pos="-720"/>
              </w:tabs>
              <w:rPr>
                <w:sz w:val="20"/>
                <w:szCs w:val="20"/>
                <w:lang w:val="en-US"/>
              </w:rPr>
            </w:pPr>
            <w:r w:rsidRPr="00893B19">
              <w:rPr>
                <w:sz w:val="20"/>
                <w:szCs w:val="20"/>
                <w:lang w:val="en-US"/>
              </w:rPr>
              <w:tab/>
              <w:t>Manitoba Justice</w:t>
            </w:r>
          </w:p>
          <w:p w:rsidR="00F138C1" w:rsidRPr="00893B19" w:rsidRDefault="00F138C1" w:rsidP="00F138C1">
            <w:pPr>
              <w:tabs>
                <w:tab w:val="left" w:pos="-1440"/>
                <w:tab w:val="left" w:pos="-720"/>
              </w:tabs>
              <w:rPr>
                <w:sz w:val="20"/>
                <w:szCs w:val="20"/>
                <w:lang w:val="en-US"/>
              </w:rPr>
            </w:pPr>
          </w:p>
          <w:p w:rsidR="00F138C1" w:rsidRPr="00893B19" w:rsidRDefault="00F138C1" w:rsidP="00F138C1">
            <w:pPr>
              <w:tabs>
                <w:tab w:val="left" w:pos="-1440"/>
                <w:tab w:val="left" w:pos="-720"/>
              </w:tabs>
              <w:rPr>
                <w:sz w:val="20"/>
                <w:szCs w:val="20"/>
                <w:lang w:val="en-US"/>
              </w:rPr>
            </w:pPr>
            <w:r w:rsidRPr="00893B19">
              <w:rPr>
                <w:sz w:val="20"/>
                <w:szCs w:val="20"/>
                <w:lang w:val="en-US"/>
              </w:rPr>
              <w:tab/>
              <w:t>v. (39</w:t>
            </w:r>
            <w:r w:rsidR="007A344C" w:rsidRPr="00893B19">
              <w:rPr>
                <w:sz w:val="20"/>
                <w:szCs w:val="20"/>
                <w:lang w:val="en-US"/>
              </w:rPr>
              <w:t>152</w:t>
            </w:r>
            <w:r w:rsidRPr="00893B19">
              <w:rPr>
                <w:sz w:val="20"/>
                <w:szCs w:val="20"/>
                <w:lang w:val="en-US"/>
              </w:rPr>
              <w:t>)</w:t>
            </w:r>
          </w:p>
          <w:p w:rsidR="00F138C1" w:rsidRPr="00893B19" w:rsidRDefault="00F138C1" w:rsidP="00F138C1">
            <w:pPr>
              <w:tabs>
                <w:tab w:val="left" w:pos="-1440"/>
                <w:tab w:val="left" w:pos="-720"/>
              </w:tabs>
              <w:rPr>
                <w:sz w:val="20"/>
                <w:szCs w:val="20"/>
                <w:lang w:val="en-US"/>
              </w:rPr>
            </w:pPr>
          </w:p>
          <w:p w:rsidR="00F138C1" w:rsidRPr="00893B19" w:rsidRDefault="00013222" w:rsidP="00F138C1">
            <w:pPr>
              <w:tabs>
                <w:tab w:val="left" w:pos="-1440"/>
                <w:tab w:val="left" w:pos="-720"/>
              </w:tabs>
              <w:rPr>
                <w:b/>
                <w:sz w:val="20"/>
                <w:szCs w:val="20"/>
                <w:lang w:val="en-US"/>
              </w:rPr>
            </w:pPr>
            <w:r w:rsidRPr="00893B19">
              <w:rPr>
                <w:b/>
                <w:sz w:val="20"/>
                <w:szCs w:val="20"/>
                <w:lang w:val="en-US"/>
              </w:rPr>
              <w:t xml:space="preserve">Maksym Kravchenko </w:t>
            </w:r>
            <w:r w:rsidR="00F138C1" w:rsidRPr="00893B19">
              <w:rPr>
                <w:b/>
                <w:sz w:val="20"/>
                <w:szCs w:val="20"/>
                <w:lang w:val="en-US"/>
              </w:rPr>
              <w:t>(Man.)</w:t>
            </w:r>
          </w:p>
          <w:p w:rsidR="00F138C1" w:rsidRPr="00893B19" w:rsidRDefault="00F138C1" w:rsidP="00F138C1">
            <w:pPr>
              <w:tabs>
                <w:tab w:val="left" w:pos="-1440"/>
                <w:tab w:val="left" w:pos="-720"/>
              </w:tabs>
              <w:rPr>
                <w:sz w:val="20"/>
                <w:szCs w:val="20"/>
                <w:lang w:val="en-US"/>
              </w:rPr>
            </w:pPr>
            <w:r w:rsidRPr="00893B19">
              <w:rPr>
                <w:sz w:val="20"/>
                <w:szCs w:val="20"/>
                <w:lang w:val="en-US"/>
              </w:rPr>
              <w:tab/>
            </w:r>
            <w:r w:rsidR="00013222" w:rsidRPr="00893B19">
              <w:rPr>
                <w:sz w:val="20"/>
                <w:szCs w:val="20"/>
                <w:lang w:val="en-US"/>
              </w:rPr>
              <w:t>Antila, Crystal</w:t>
            </w:r>
          </w:p>
          <w:p w:rsidR="00F138C1" w:rsidRPr="00893B19" w:rsidRDefault="00F138C1" w:rsidP="00F138C1">
            <w:pPr>
              <w:tabs>
                <w:tab w:val="left" w:pos="-1440"/>
                <w:tab w:val="left" w:pos="-720"/>
              </w:tabs>
              <w:rPr>
                <w:sz w:val="20"/>
                <w:szCs w:val="20"/>
              </w:rPr>
            </w:pPr>
            <w:r w:rsidRPr="00893B19">
              <w:rPr>
                <w:sz w:val="20"/>
                <w:szCs w:val="20"/>
                <w:lang w:val="en-US"/>
              </w:rPr>
              <w:tab/>
            </w:r>
            <w:r w:rsidR="00013222" w:rsidRPr="00893B19">
              <w:rPr>
                <w:sz w:val="20"/>
                <w:szCs w:val="20"/>
              </w:rPr>
              <w:t>Smith Corona Van Dongen &amp; Cook</w:t>
            </w:r>
          </w:p>
          <w:p w:rsidR="00F138C1" w:rsidRPr="00893B19" w:rsidRDefault="00F138C1" w:rsidP="00F138C1">
            <w:pPr>
              <w:tabs>
                <w:tab w:val="left" w:pos="-1440"/>
                <w:tab w:val="left" w:pos="-720"/>
              </w:tabs>
              <w:rPr>
                <w:sz w:val="20"/>
                <w:szCs w:val="20"/>
              </w:rPr>
            </w:pPr>
          </w:p>
          <w:p w:rsidR="00F138C1" w:rsidRPr="00893B19" w:rsidRDefault="00F138C1" w:rsidP="00F138C1">
            <w:pPr>
              <w:rPr>
                <w:sz w:val="20"/>
                <w:szCs w:val="20"/>
              </w:rPr>
            </w:pPr>
            <w:r w:rsidRPr="00893B19">
              <w:rPr>
                <w:sz w:val="20"/>
                <w:szCs w:val="20"/>
              </w:rPr>
              <w:t xml:space="preserve">FILING DATE: </w:t>
            </w:r>
            <w:r w:rsidR="00013222" w:rsidRPr="00893B19">
              <w:rPr>
                <w:sz w:val="20"/>
                <w:szCs w:val="20"/>
              </w:rPr>
              <w:t>May 13</w:t>
            </w:r>
            <w:r w:rsidRPr="00893B19">
              <w:rPr>
                <w:sz w:val="20"/>
                <w:szCs w:val="20"/>
              </w:rPr>
              <w:t>, 20</w:t>
            </w:r>
            <w:r w:rsidR="00DA1D48" w:rsidRPr="00893B19">
              <w:rPr>
                <w:sz w:val="20"/>
                <w:szCs w:val="20"/>
              </w:rPr>
              <w:t>20</w:t>
            </w:r>
          </w:p>
          <w:p w:rsidR="004B2E86" w:rsidRPr="00893B19" w:rsidRDefault="004B2E86" w:rsidP="00F138C1">
            <w:pPr>
              <w:rPr>
                <w:sz w:val="20"/>
                <w:szCs w:val="20"/>
              </w:rPr>
            </w:pPr>
          </w:p>
          <w:p w:rsidR="00F138C1" w:rsidRPr="00893B19" w:rsidRDefault="00867539"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893B19" w:rsidRDefault="00F138C1" w:rsidP="00F138C1">
            <w:pPr>
              <w:jc w:val="center"/>
              <w:rPr>
                <w:sz w:val="20"/>
                <w:szCs w:val="20"/>
              </w:rPr>
            </w:pPr>
          </w:p>
          <w:p w:rsidR="00F138C1" w:rsidRPr="00893B19" w:rsidRDefault="00F138C1" w:rsidP="00F138C1">
            <w:pPr>
              <w:jc w:val="center"/>
              <w:rPr>
                <w:sz w:val="20"/>
                <w:szCs w:val="20"/>
              </w:rPr>
            </w:pPr>
          </w:p>
          <w:p w:rsidR="00F138C1" w:rsidRPr="00893B19" w:rsidRDefault="00F138C1" w:rsidP="00F138C1">
            <w:pPr>
              <w:jc w:val="center"/>
              <w:rPr>
                <w:sz w:val="20"/>
                <w:szCs w:val="20"/>
              </w:rPr>
            </w:pPr>
          </w:p>
          <w:p w:rsidR="00F138C1" w:rsidRPr="00893B19" w:rsidRDefault="00F138C1" w:rsidP="00F138C1">
            <w:pPr>
              <w:jc w:val="center"/>
              <w:rPr>
                <w:sz w:val="20"/>
                <w:szCs w:val="20"/>
              </w:rPr>
            </w:pPr>
          </w:p>
          <w:p w:rsidR="00F138C1" w:rsidRPr="00893B19" w:rsidRDefault="00F138C1" w:rsidP="00F138C1">
            <w:pPr>
              <w:jc w:val="center"/>
              <w:rPr>
                <w:sz w:val="20"/>
                <w:szCs w:val="20"/>
              </w:rPr>
            </w:pPr>
          </w:p>
          <w:p w:rsidR="00F138C1" w:rsidRPr="00893B19" w:rsidRDefault="00F138C1" w:rsidP="00F138C1">
            <w:pPr>
              <w:jc w:val="center"/>
              <w:rPr>
                <w:sz w:val="20"/>
                <w:szCs w:val="20"/>
              </w:rPr>
            </w:pPr>
          </w:p>
          <w:p w:rsidR="00F138C1" w:rsidRPr="00893B19" w:rsidRDefault="00F138C1" w:rsidP="00F138C1">
            <w:pPr>
              <w:jc w:val="center"/>
              <w:rPr>
                <w:sz w:val="20"/>
                <w:szCs w:val="20"/>
              </w:rPr>
            </w:pPr>
          </w:p>
          <w:p w:rsidR="00F138C1" w:rsidRPr="00893B19" w:rsidRDefault="00F138C1" w:rsidP="00F138C1">
            <w:pPr>
              <w:jc w:val="center"/>
              <w:rPr>
                <w:sz w:val="20"/>
                <w:szCs w:val="20"/>
              </w:rPr>
            </w:pPr>
          </w:p>
          <w:p w:rsidR="00F138C1" w:rsidRPr="00893B19" w:rsidRDefault="00F138C1" w:rsidP="00F138C1">
            <w:pPr>
              <w:jc w:val="center"/>
              <w:rPr>
                <w:sz w:val="20"/>
                <w:szCs w:val="20"/>
              </w:rPr>
            </w:pPr>
          </w:p>
          <w:p w:rsidR="00F138C1" w:rsidRPr="00893B19" w:rsidRDefault="00F138C1" w:rsidP="00F138C1">
            <w:pPr>
              <w:jc w:val="center"/>
              <w:rPr>
                <w:sz w:val="20"/>
                <w:szCs w:val="20"/>
              </w:rPr>
            </w:pPr>
          </w:p>
          <w:p w:rsidR="00F138C1" w:rsidRPr="00893B19" w:rsidRDefault="00F138C1" w:rsidP="00F138C1">
            <w:pPr>
              <w:jc w:val="center"/>
              <w:rPr>
                <w:sz w:val="20"/>
                <w:szCs w:val="20"/>
              </w:rPr>
            </w:pPr>
          </w:p>
          <w:p w:rsidR="00F138C1" w:rsidRPr="00893B19" w:rsidRDefault="00F138C1" w:rsidP="00F138C1">
            <w:pPr>
              <w:jc w:val="center"/>
              <w:rPr>
                <w:sz w:val="20"/>
                <w:szCs w:val="20"/>
              </w:rPr>
            </w:pPr>
          </w:p>
          <w:p w:rsidR="004B2E86" w:rsidRPr="00893B19" w:rsidRDefault="004B2E86" w:rsidP="00F138C1">
            <w:pPr>
              <w:jc w:val="center"/>
              <w:rPr>
                <w:sz w:val="20"/>
                <w:szCs w:val="20"/>
              </w:rPr>
            </w:pPr>
          </w:p>
          <w:p w:rsidR="00F138C1" w:rsidRPr="00893B19" w:rsidRDefault="00F138C1" w:rsidP="00F138C1">
            <w:pPr>
              <w:jc w:val="center"/>
              <w:rPr>
                <w:sz w:val="20"/>
                <w:szCs w:val="20"/>
              </w:rPr>
            </w:pPr>
          </w:p>
        </w:tc>
        <w:tc>
          <w:tcPr>
            <w:tcW w:w="4239" w:type="dxa"/>
            <w:shd w:val="clear" w:color="auto" w:fill="auto"/>
          </w:tcPr>
          <w:p w:rsidR="00F138C1" w:rsidRPr="00893B19" w:rsidRDefault="007C27F2" w:rsidP="00F138C1">
            <w:pPr>
              <w:rPr>
                <w:b/>
                <w:sz w:val="20"/>
                <w:szCs w:val="20"/>
                <w:lang w:val="en-US"/>
              </w:rPr>
            </w:pPr>
            <w:r w:rsidRPr="00893B19">
              <w:rPr>
                <w:b/>
                <w:sz w:val="20"/>
                <w:szCs w:val="20"/>
                <w:lang w:val="en-US"/>
              </w:rPr>
              <w:t>David Walker</w:t>
            </w:r>
          </w:p>
          <w:p w:rsidR="00F138C1" w:rsidRPr="00893B19" w:rsidRDefault="00F138C1" w:rsidP="00F138C1">
            <w:pPr>
              <w:tabs>
                <w:tab w:val="left" w:pos="-1440"/>
                <w:tab w:val="left" w:pos="-720"/>
              </w:tabs>
              <w:rPr>
                <w:sz w:val="20"/>
                <w:szCs w:val="20"/>
                <w:lang w:val="en-US"/>
              </w:rPr>
            </w:pPr>
            <w:r w:rsidRPr="00893B19">
              <w:rPr>
                <w:sz w:val="20"/>
                <w:szCs w:val="20"/>
                <w:lang w:val="en-US"/>
              </w:rPr>
              <w:tab/>
            </w:r>
            <w:r w:rsidR="007C27F2" w:rsidRPr="00893B19">
              <w:rPr>
                <w:sz w:val="20"/>
                <w:szCs w:val="20"/>
                <w:lang w:val="en-US"/>
              </w:rPr>
              <w:t>Fraser, Suzan E.</w:t>
            </w:r>
          </w:p>
          <w:p w:rsidR="00F138C1" w:rsidRPr="00893B19" w:rsidRDefault="00F138C1" w:rsidP="00F138C1">
            <w:pPr>
              <w:tabs>
                <w:tab w:val="left" w:pos="-1440"/>
                <w:tab w:val="left" w:pos="-720"/>
              </w:tabs>
              <w:rPr>
                <w:sz w:val="20"/>
                <w:szCs w:val="20"/>
                <w:lang w:val="en-US"/>
              </w:rPr>
            </w:pPr>
            <w:r w:rsidRPr="00893B19">
              <w:rPr>
                <w:sz w:val="20"/>
                <w:szCs w:val="20"/>
                <w:lang w:val="en-US"/>
              </w:rPr>
              <w:tab/>
            </w:r>
            <w:r w:rsidR="007C27F2" w:rsidRPr="00893B19">
              <w:rPr>
                <w:sz w:val="20"/>
                <w:szCs w:val="20"/>
                <w:lang w:val="en-US"/>
              </w:rPr>
              <w:t>Fraser Advocacy</w:t>
            </w:r>
          </w:p>
          <w:p w:rsidR="00F138C1" w:rsidRPr="00893B19" w:rsidRDefault="00F138C1" w:rsidP="00F138C1">
            <w:pPr>
              <w:tabs>
                <w:tab w:val="left" w:pos="-1440"/>
                <w:tab w:val="left" w:pos="-720"/>
              </w:tabs>
              <w:rPr>
                <w:sz w:val="20"/>
                <w:szCs w:val="20"/>
                <w:lang w:val="en-US"/>
              </w:rPr>
            </w:pPr>
          </w:p>
          <w:p w:rsidR="00F138C1" w:rsidRPr="00893B19" w:rsidRDefault="00F138C1" w:rsidP="00F138C1">
            <w:pPr>
              <w:tabs>
                <w:tab w:val="left" w:pos="-1440"/>
                <w:tab w:val="left" w:pos="-720"/>
              </w:tabs>
              <w:rPr>
                <w:sz w:val="20"/>
                <w:szCs w:val="20"/>
                <w:lang w:val="en-US"/>
              </w:rPr>
            </w:pPr>
            <w:r w:rsidRPr="00893B19">
              <w:rPr>
                <w:sz w:val="20"/>
                <w:szCs w:val="20"/>
                <w:lang w:val="en-US"/>
              </w:rPr>
              <w:tab/>
            </w:r>
            <w:r w:rsidR="007C27F2" w:rsidRPr="00893B19">
              <w:rPr>
                <w:sz w:val="20"/>
                <w:szCs w:val="20"/>
                <w:lang w:val="en-US"/>
              </w:rPr>
              <w:t>v</w:t>
            </w:r>
            <w:r w:rsidRPr="00893B19">
              <w:rPr>
                <w:sz w:val="20"/>
                <w:szCs w:val="20"/>
                <w:lang w:val="en-US"/>
              </w:rPr>
              <w:t>. (39</w:t>
            </w:r>
            <w:r w:rsidR="007C27F2" w:rsidRPr="00893B19">
              <w:rPr>
                <w:sz w:val="20"/>
                <w:szCs w:val="20"/>
                <w:lang w:val="en-US"/>
              </w:rPr>
              <w:t>153</w:t>
            </w:r>
            <w:r w:rsidRPr="00893B19">
              <w:rPr>
                <w:sz w:val="20"/>
                <w:szCs w:val="20"/>
                <w:lang w:val="en-US"/>
              </w:rPr>
              <w:t>)</w:t>
            </w:r>
          </w:p>
          <w:p w:rsidR="00F138C1" w:rsidRPr="00893B19" w:rsidRDefault="00F138C1" w:rsidP="00F138C1">
            <w:pPr>
              <w:tabs>
                <w:tab w:val="left" w:pos="-1440"/>
                <w:tab w:val="left" w:pos="-720"/>
              </w:tabs>
              <w:rPr>
                <w:sz w:val="20"/>
                <w:szCs w:val="20"/>
                <w:lang w:val="en-US"/>
              </w:rPr>
            </w:pPr>
          </w:p>
          <w:p w:rsidR="00F138C1" w:rsidRPr="00893B19" w:rsidRDefault="007C27F2" w:rsidP="00F138C1">
            <w:pPr>
              <w:tabs>
                <w:tab w:val="left" w:pos="-1440"/>
                <w:tab w:val="left" w:pos="-720"/>
              </w:tabs>
              <w:rPr>
                <w:b/>
                <w:sz w:val="20"/>
                <w:szCs w:val="20"/>
                <w:lang w:val="en-US"/>
              </w:rPr>
            </w:pPr>
            <w:r w:rsidRPr="00893B19">
              <w:rPr>
                <w:b/>
                <w:sz w:val="20"/>
                <w:szCs w:val="20"/>
                <w:lang w:val="en-US"/>
              </w:rPr>
              <w:t xml:space="preserve">Attorney General of Ontario, et al. </w:t>
            </w:r>
            <w:r w:rsidR="00F138C1" w:rsidRPr="00893B19">
              <w:rPr>
                <w:b/>
                <w:sz w:val="20"/>
                <w:szCs w:val="20"/>
                <w:lang w:val="en-US"/>
              </w:rPr>
              <w:t>(</w:t>
            </w:r>
            <w:r w:rsidRPr="00893B19">
              <w:rPr>
                <w:b/>
                <w:sz w:val="20"/>
                <w:szCs w:val="20"/>
                <w:lang w:val="en-US"/>
              </w:rPr>
              <w:t>Ont.</w:t>
            </w:r>
            <w:r w:rsidR="00F138C1" w:rsidRPr="00893B19">
              <w:rPr>
                <w:b/>
                <w:sz w:val="20"/>
                <w:szCs w:val="20"/>
                <w:lang w:val="en-US"/>
              </w:rPr>
              <w:t>)</w:t>
            </w:r>
          </w:p>
          <w:p w:rsidR="00F138C1" w:rsidRPr="00893B19" w:rsidRDefault="00F138C1" w:rsidP="00F138C1">
            <w:pPr>
              <w:tabs>
                <w:tab w:val="left" w:pos="-1440"/>
                <w:tab w:val="left" w:pos="-720"/>
              </w:tabs>
              <w:rPr>
                <w:sz w:val="20"/>
                <w:szCs w:val="20"/>
                <w:lang w:val="en-US"/>
              </w:rPr>
            </w:pPr>
            <w:r w:rsidRPr="00893B19">
              <w:rPr>
                <w:sz w:val="20"/>
                <w:szCs w:val="20"/>
                <w:lang w:val="en-US"/>
              </w:rPr>
              <w:tab/>
            </w:r>
            <w:r w:rsidR="007C27F2" w:rsidRPr="00893B19">
              <w:rPr>
                <w:sz w:val="20"/>
                <w:szCs w:val="20"/>
                <w:lang w:val="en-US"/>
              </w:rPr>
              <w:t>Alyea, Amy</w:t>
            </w:r>
          </w:p>
          <w:p w:rsidR="00F138C1" w:rsidRPr="00893B19" w:rsidRDefault="00F138C1" w:rsidP="00F138C1">
            <w:pPr>
              <w:tabs>
                <w:tab w:val="left" w:pos="-1440"/>
                <w:tab w:val="left" w:pos="-720"/>
              </w:tabs>
              <w:rPr>
                <w:sz w:val="20"/>
                <w:szCs w:val="20"/>
                <w:lang w:val="en-US"/>
              </w:rPr>
            </w:pPr>
            <w:r w:rsidRPr="00893B19">
              <w:rPr>
                <w:sz w:val="20"/>
                <w:szCs w:val="20"/>
                <w:lang w:val="en-US"/>
              </w:rPr>
              <w:tab/>
            </w:r>
            <w:r w:rsidR="007C27F2" w:rsidRPr="00893B19">
              <w:rPr>
                <w:sz w:val="20"/>
                <w:szCs w:val="20"/>
                <w:lang w:val="en-US"/>
              </w:rPr>
              <w:t>Attorney General of Ontario</w:t>
            </w:r>
          </w:p>
          <w:p w:rsidR="00F138C1" w:rsidRPr="00893B19" w:rsidRDefault="00F138C1" w:rsidP="00F138C1">
            <w:pPr>
              <w:tabs>
                <w:tab w:val="left" w:pos="-1440"/>
                <w:tab w:val="left" w:pos="-720"/>
              </w:tabs>
              <w:rPr>
                <w:sz w:val="20"/>
                <w:szCs w:val="20"/>
                <w:lang w:val="en-US"/>
              </w:rPr>
            </w:pPr>
          </w:p>
          <w:p w:rsidR="00F138C1" w:rsidRPr="00893B19" w:rsidRDefault="007C27F2" w:rsidP="00F138C1">
            <w:pPr>
              <w:rPr>
                <w:sz w:val="20"/>
                <w:szCs w:val="20"/>
                <w:lang w:val="fr-CA"/>
              </w:rPr>
            </w:pPr>
            <w:r w:rsidRPr="00893B19">
              <w:rPr>
                <w:sz w:val="20"/>
                <w:szCs w:val="20"/>
                <w:lang w:val="fr-CA"/>
              </w:rPr>
              <w:t xml:space="preserve">FILING </w:t>
            </w:r>
            <w:r w:rsidR="00F138C1" w:rsidRPr="00893B19">
              <w:rPr>
                <w:sz w:val="20"/>
                <w:szCs w:val="20"/>
                <w:lang w:val="fr-CA"/>
              </w:rPr>
              <w:t xml:space="preserve">DATE : </w:t>
            </w:r>
            <w:r w:rsidRPr="00893B19">
              <w:rPr>
                <w:sz w:val="20"/>
                <w:szCs w:val="20"/>
                <w:lang w:val="fr-CA"/>
              </w:rPr>
              <w:t>May 13,</w:t>
            </w:r>
            <w:r w:rsidR="00F138C1" w:rsidRPr="00893B19">
              <w:rPr>
                <w:sz w:val="20"/>
                <w:szCs w:val="20"/>
                <w:lang w:val="fr-CA"/>
              </w:rPr>
              <w:t xml:space="preserve"> 20</w:t>
            </w:r>
            <w:r w:rsidR="00DA1D48" w:rsidRPr="00893B19">
              <w:rPr>
                <w:sz w:val="20"/>
                <w:szCs w:val="20"/>
                <w:lang w:val="fr-CA"/>
              </w:rPr>
              <w:t>20</w:t>
            </w:r>
          </w:p>
          <w:p w:rsidR="004B2E86" w:rsidRPr="00893B19" w:rsidRDefault="004B2E86" w:rsidP="00F138C1">
            <w:pPr>
              <w:rPr>
                <w:sz w:val="20"/>
                <w:szCs w:val="20"/>
                <w:lang w:val="fr-CA"/>
              </w:rPr>
            </w:pPr>
          </w:p>
          <w:p w:rsidR="00F138C1" w:rsidRPr="00893B19" w:rsidRDefault="00867539"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893B19" w:rsidTr="00F138C1">
        <w:tc>
          <w:tcPr>
            <w:tcW w:w="4239" w:type="dxa"/>
            <w:shd w:val="clear" w:color="auto" w:fill="auto"/>
          </w:tcPr>
          <w:p w:rsidR="00F138C1" w:rsidRPr="00893B19" w:rsidRDefault="00C55621" w:rsidP="00F138C1">
            <w:pPr>
              <w:keepNext/>
              <w:keepLines/>
              <w:tabs>
                <w:tab w:val="left" w:pos="-1440"/>
                <w:tab w:val="left" w:pos="-720"/>
              </w:tabs>
              <w:rPr>
                <w:b/>
                <w:sz w:val="20"/>
                <w:szCs w:val="20"/>
                <w:lang w:val="en-US"/>
              </w:rPr>
            </w:pPr>
            <w:r w:rsidRPr="00893B19">
              <w:rPr>
                <w:b/>
                <w:sz w:val="20"/>
                <w:szCs w:val="20"/>
                <w:lang w:val="en-US"/>
              </w:rPr>
              <w:t>Her Majesty the Queen</w:t>
            </w:r>
          </w:p>
          <w:p w:rsidR="00F138C1" w:rsidRPr="00893B19" w:rsidRDefault="00F138C1" w:rsidP="00F138C1">
            <w:pPr>
              <w:keepNext/>
              <w:keepLines/>
              <w:tabs>
                <w:tab w:val="left" w:pos="-1440"/>
                <w:tab w:val="left" w:pos="-720"/>
              </w:tabs>
              <w:rPr>
                <w:sz w:val="20"/>
                <w:szCs w:val="20"/>
                <w:lang w:val="en-US"/>
              </w:rPr>
            </w:pPr>
            <w:r w:rsidRPr="00893B19">
              <w:rPr>
                <w:sz w:val="20"/>
                <w:szCs w:val="20"/>
                <w:lang w:val="en-US"/>
              </w:rPr>
              <w:tab/>
            </w:r>
            <w:r w:rsidR="00C55621" w:rsidRPr="00893B19">
              <w:rPr>
                <w:sz w:val="20"/>
                <w:szCs w:val="20"/>
                <w:lang w:val="en-US"/>
              </w:rPr>
              <w:t>Scott, Q.C., Mark A.</w:t>
            </w:r>
          </w:p>
          <w:p w:rsidR="00C55621" w:rsidRPr="00893B19" w:rsidRDefault="00F138C1" w:rsidP="00F138C1">
            <w:pPr>
              <w:keepNext/>
              <w:keepLines/>
              <w:tabs>
                <w:tab w:val="left" w:pos="-1440"/>
                <w:tab w:val="left" w:pos="-720"/>
              </w:tabs>
              <w:rPr>
                <w:sz w:val="20"/>
                <w:szCs w:val="20"/>
                <w:lang w:val="en-US"/>
              </w:rPr>
            </w:pPr>
            <w:r w:rsidRPr="00893B19">
              <w:rPr>
                <w:sz w:val="20"/>
                <w:szCs w:val="20"/>
                <w:lang w:val="en-US"/>
              </w:rPr>
              <w:tab/>
            </w:r>
            <w:r w:rsidR="00C55621" w:rsidRPr="00893B19">
              <w:rPr>
                <w:sz w:val="20"/>
                <w:szCs w:val="20"/>
                <w:lang w:val="en-US"/>
              </w:rPr>
              <w:t xml:space="preserve">Public Prosecution Service of Nova </w:t>
            </w:r>
          </w:p>
          <w:p w:rsidR="00DA1D48" w:rsidRPr="00893B19" w:rsidRDefault="00C55621" w:rsidP="00F138C1">
            <w:pPr>
              <w:keepNext/>
              <w:keepLines/>
              <w:tabs>
                <w:tab w:val="left" w:pos="-1440"/>
                <w:tab w:val="left" w:pos="-720"/>
              </w:tabs>
              <w:rPr>
                <w:sz w:val="20"/>
                <w:szCs w:val="20"/>
                <w:lang w:val="en-US"/>
              </w:rPr>
            </w:pPr>
            <w:r w:rsidRPr="00893B19">
              <w:rPr>
                <w:sz w:val="20"/>
                <w:szCs w:val="20"/>
                <w:lang w:val="en-US"/>
              </w:rPr>
              <w:tab/>
              <w:t>Scotia</w:t>
            </w:r>
          </w:p>
          <w:p w:rsidR="00F138C1" w:rsidRPr="00893B19" w:rsidRDefault="00F138C1" w:rsidP="00F138C1">
            <w:pPr>
              <w:keepNext/>
              <w:keepLines/>
              <w:tabs>
                <w:tab w:val="left" w:pos="-1440"/>
                <w:tab w:val="left" w:pos="-720"/>
              </w:tabs>
              <w:rPr>
                <w:sz w:val="20"/>
                <w:szCs w:val="20"/>
                <w:lang w:val="en-US"/>
              </w:rPr>
            </w:pPr>
          </w:p>
          <w:p w:rsidR="00F138C1" w:rsidRPr="00893B19" w:rsidRDefault="00F138C1" w:rsidP="00F138C1">
            <w:pPr>
              <w:keepNext/>
              <w:keepLines/>
              <w:tabs>
                <w:tab w:val="left" w:pos="-1440"/>
                <w:tab w:val="left" w:pos="-720"/>
              </w:tabs>
              <w:rPr>
                <w:sz w:val="20"/>
                <w:szCs w:val="20"/>
                <w:lang w:val="en-US"/>
              </w:rPr>
            </w:pPr>
            <w:r w:rsidRPr="00893B19">
              <w:rPr>
                <w:sz w:val="20"/>
                <w:szCs w:val="20"/>
                <w:lang w:val="en-US"/>
              </w:rPr>
              <w:tab/>
              <w:t>v. (391</w:t>
            </w:r>
            <w:r w:rsidR="007C27F2" w:rsidRPr="00893B19">
              <w:rPr>
                <w:sz w:val="20"/>
                <w:szCs w:val="20"/>
                <w:lang w:val="en-US"/>
              </w:rPr>
              <w:t>54</w:t>
            </w:r>
            <w:r w:rsidRPr="00893B19">
              <w:rPr>
                <w:sz w:val="20"/>
                <w:szCs w:val="20"/>
                <w:lang w:val="en-US"/>
              </w:rPr>
              <w:t>)</w:t>
            </w:r>
          </w:p>
          <w:p w:rsidR="00F138C1" w:rsidRPr="00893B19" w:rsidRDefault="00F138C1" w:rsidP="00F138C1">
            <w:pPr>
              <w:keepNext/>
              <w:keepLines/>
              <w:tabs>
                <w:tab w:val="left" w:pos="-1440"/>
                <w:tab w:val="left" w:pos="-720"/>
              </w:tabs>
              <w:rPr>
                <w:sz w:val="20"/>
                <w:szCs w:val="20"/>
                <w:lang w:val="en-US"/>
              </w:rPr>
            </w:pPr>
          </w:p>
          <w:p w:rsidR="00F138C1" w:rsidRPr="00893B19" w:rsidRDefault="00C55621" w:rsidP="00F138C1">
            <w:pPr>
              <w:keepNext/>
              <w:keepLines/>
              <w:tabs>
                <w:tab w:val="left" w:pos="-1440"/>
                <w:tab w:val="left" w:pos="-720"/>
              </w:tabs>
              <w:rPr>
                <w:b/>
                <w:sz w:val="20"/>
                <w:szCs w:val="20"/>
                <w:lang w:val="en-US"/>
              </w:rPr>
            </w:pPr>
            <w:r w:rsidRPr="00893B19">
              <w:rPr>
                <w:b/>
                <w:sz w:val="20"/>
                <w:szCs w:val="20"/>
                <w:lang w:val="en-US"/>
              </w:rPr>
              <w:t xml:space="preserve">Adam Joseph Drake </w:t>
            </w:r>
            <w:r w:rsidR="00F138C1" w:rsidRPr="00893B19">
              <w:rPr>
                <w:b/>
                <w:sz w:val="20"/>
                <w:szCs w:val="20"/>
                <w:lang w:val="en-US"/>
              </w:rPr>
              <w:t>(</w:t>
            </w:r>
            <w:r w:rsidRPr="00893B19">
              <w:rPr>
                <w:b/>
                <w:sz w:val="20"/>
                <w:szCs w:val="20"/>
                <w:lang w:val="en-US"/>
              </w:rPr>
              <w:t>N</w:t>
            </w:r>
            <w:r w:rsidR="00F138C1" w:rsidRPr="00893B19">
              <w:rPr>
                <w:b/>
                <w:sz w:val="20"/>
                <w:szCs w:val="20"/>
                <w:lang w:val="en-US"/>
              </w:rPr>
              <w:t>.</w:t>
            </w:r>
            <w:r w:rsidRPr="00893B19">
              <w:rPr>
                <w:b/>
                <w:sz w:val="20"/>
                <w:szCs w:val="20"/>
                <w:lang w:val="en-US"/>
              </w:rPr>
              <w:t>S</w:t>
            </w:r>
            <w:r w:rsidR="00F138C1" w:rsidRPr="00893B19">
              <w:rPr>
                <w:b/>
                <w:sz w:val="20"/>
                <w:szCs w:val="20"/>
                <w:lang w:val="en-US"/>
              </w:rPr>
              <w:t>.)</w:t>
            </w:r>
          </w:p>
          <w:p w:rsidR="00F138C1" w:rsidRPr="00893B19" w:rsidRDefault="00F138C1" w:rsidP="00F138C1">
            <w:pPr>
              <w:keepNext/>
              <w:keepLines/>
              <w:tabs>
                <w:tab w:val="left" w:pos="-1440"/>
                <w:tab w:val="left" w:pos="-720"/>
              </w:tabs>
              <w:rPr>
                <w:sz w:val="20"/>
                <w:szCs w:val="20"/>
                <w:lang w:val="en-US"/>
              </w:rPr>
            </w:pPr>
            <w:r w:rsidRPr="00893B19">
              <w:rPr>
                <w:sz w:val="20"/>
                <w:szCs w:val="20"/>
                <w:lang w:val="en-US"/>
              </w:rPr>
              <w:tab/>
            </w:r>
            <w:r w:rsidR="00C55621" w:rsidRPr="00893B19">
              <w:rPr>
                <w:sz w:val="20"/>
                <w:szCs w:val="20"/>
                <w:lang w:val="en-US"/>
              </w:rPr>
              <w:t>MacDonald, Q.C., Stanley W.</w:t>
            </w:r>
          </w:p>
          <w:p w:rsidR="00F138C1" w:rsidRPr="00893B19" w:rsidRDefault="00F138C1" w:rsidP="00F138C1">
            <w:pPr>
              <w:keepNext/>
              <w:keepLines/>
              <w:tabs>
                <w:tab w:val="left" w:pos="-1440"/>
                <w:tab w:val="left" w:pos="-720"/>
              </w:tabs>
              <w:rPr>
                <w:sz w:val="20"/>
                <w:szCs w:val="20"/>
                <w:lang w:val="en-US"/>
              </w:rPr>
            </w:pPr>
            <w:r w:rsidRPr="00893B19">
              <w:rPr>
                <w:sz w:val="20"/>
                <w:szCs w:val="20"/>
                <w:lang w:val="en-US"/>
              </w:rPr>
              <w:tab/>
            </w:r>
            <w:r w:rsidR="00C55621" w:rsidRPr="00893B19">
              <w:rPr>
                <w:sz w:val="20"/>
                <w:szCs w:val="20"/>
                <w:lang w:val="en-US"/>
              </w:rPr>
              <w:t>Patterson Law</w:t>
            </w:r>
          </w:p>
          <w:p w:rsidR="00F138C1" w:rsidRPr="00893B19" w:rsidRDefault="00F138C1" w:rsidP="00F138C1">
            <w:pPr>
              <w:keepNext/>
              <w:keepLines/>
              <w:tabs>
                <w:tab w:val="left" w:pos="-1440"/>
                <w:tab w:val="left" w:pos="-720"/>
              </w:tabs>
              <w:rPr>
                <w:sz w:val="20"/>
                <w:szCs w:val="20"/>
                <w:lang w:val="en-US"/>
              </w:rPr>
            </w:pPr>
          </w:p>
          <w:p w:rsidR="004B2E86" w:rsidRPr="00893B19" w:rsidRDefault="00F138C1" w:rsidP="00F138C1">
            <w:pPr>
              <w:rPr>
                <w:sz w:val="20"/>
                <w:szCs w:val="20"/>
                <w:lang w:val="en-US"/>
              </w:rPr>
            </w:pPr>
            <w:r w:rsidRPr="00893B19">
              <w:rPr>
                <w:sz w:val="20"/>
                <w:szCs w:val="20"/>
                <w:lang w:val="en-US"/>
              </w:rPr>
              <w:t xml:space="preserve">FILING DATE: </w:t>
            </w:r>
            <w:r w:rsidR="007C27F2" w:rsidRPr="00893B19">
              <w:rPr>
                <w:sz w:val="20"/>
                <w:szCs w:val="20"/>
                <w:lang w:val="en-US"/>
              </w:rPr>
              <w:t>May 13</w:t>
            </w:r>
            <w:r w:rsidRPr="00893B19">
              <w:rPr>
                <w:sz w:val="20"/>
                <w:szCs w:val="20"/>
                <w:lang w:val="en-US"/>
              </w:rPr>
              <w:t>, 20</w:t>
            </w:r>
            <w:r w:rsidR="00DA1D48" w:rsidRPr="00893B19">
              <w:rPr>
                <w:sz w:val="20"/>
                <w:szCs w:val="20"/>
                <w:lang w:val="en-US"/>
              </w:rPr>
              <w:t>20</w:t>
            </w:r>
          </w:p>
          <w:p w:rsidR="004B2E86" w:rsidRPr="00893B19" w:rsidRDefault="004B2E86" w:rsidP="00F138C1">
            <w:pPr>
              <w:rPr>
                <w:sz w:val="20"/>
                <w:szCs w:val="20"/>
                <w:lang w:val="en-US"/>
              </w:rPr>
            </w:pPr>
          </w:p>
          <w:p w:rsidR="00F138C1" w:rsidRPr="00893B19" w:rsidRDefault="00867539"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F138C1" w:rsidRPr="00893B19" w:rsidRDefault="00F138C1" w:rsidP="00F138C1">
            <w:pPr>
              <w:jc w:val="center"/>
              <w:rPr>
                <w:sz w:val="20"/>
                <w:szCs w:val="20"/>
                <w:lang w:val="en-US"/>
              </w:rPr>
            </w:pPr>
          </w:p>
          <w:p w:rsidR="004B2E86" w:rsidRPr="00893B19" w:rsidRDefault="004B2E86" w:rsidP="00F138C1">
            <w:pPr>
              <w:jc w:val="center"/>
              <w:rPr>
                <w:sz w:val="20"/>
                <w:szCs w:val="20"/>
                <w:lang w:val="en-US"/>
              </w:rPr>
            </w:pPr>
          </w:p>
        </w:tc>
        <w:tc>
          <w:tcPr>
            <w:tcW w:w="4239" w:type="dxa"/>
            <w:shd w:val="clear" w:color="auto" w:fill="auto"/>
          </w:tcPr>
          <w:p w:rsidR="00F138C1" w:rsidRPr="00893B19" w:rsidRDefault="00C55621" w:rsidP="00F138C1">
            <w:pPr>
              <w:rPr>
                <w:b/>
                <w:sz w:val="20"/>
                <w:szCs w:val="20"/>
                <w:lang w:val="fr-CA"/>
              </w:rPr>
            </w:pPr>
            <w:r w:rsidRPr="00893B19">
              <w:rPr>
                <w:b/>
                <w:sz w:val="20"/>
                <w:szCs w:val="20"/>
                <w:lang w:val="fr-CA"/>
              </w:rPr>
              <w:t>Association de médiation familiale du Québec</w:t>
            </w:r>
          </w:p>
          <w:p w:rsidR="00F138C1" w:rsidRPr="00893B19" w:rsidRDefault="00F138C1" w:rsidP="00F138C1">
            <w:pPr>
              <w:tabs>
                <w:tab w:val="left" w:pos="-1440"/>
                <w:tab w:val="left" w:pos="-720"/>
              </w:tabs>
              <w:rPr>
                <w:sz w:val="20"/>
                <w:szCs w:val="20"/>
                <w:lang w:val="en-US"/>
              </w:rPr>
            </w:pPr>
            <w:r w:rsidRPr="00893B19">
              <w:rPr>
                <w:sz w:val="20"/>
                <w:szCs w:val="20"/>
                <w:lang w:val="fr-CA"/>
              </w:rPr>
              <w:tab/>
            </w:r>
            <w:r w:rsidR="00C55621" w:rsidRPr="00893B19">
              <w:rPr>
                <w:sz w:val="20"/>
                <w:szCs w:val="20"/>
                <w:lang w:val="en-US"/>
              </w:rPr>
              <w:t>Schirm, Ad. E., Sylvie</w:t>
            </w:r>
          </w:p>
          <w:p w:rsidR="00F138C1" w:rsidRPr="00893B19" w:rsidRDefault="00F138C1" w:rsidP="00F138C1">
            <w:pPr>
              <w:tabs>
                <w:tab w:val="left" w:pos="-1440"/>
                <w:tab w:val="left" w:pos="-720"/>
              </w:tabs>
              <w:rPr>
                <w:sz w:val="20"/>
                <w:szCs w:val="20"/>
                <w:lang w:val="en-US"/>
              </w:rPr>
            </w:pPr>
            <w:r w:rsidRPr="00893B19">
              <w:rPr>
                <w:sz w:val="20"/>
                <w:szCs w:val="20"/>
                <w:lang w:val="en-US"/>
              </w:rPr>
              <w:tab/>
            </w:r>
            <w:r w:rsidR="00C55621" w:rsidRPr="00893B19">
              <w:rPr>
                <w:sz w:val="20"/>
                <w:szCs w:val="20"/>
                <w:lang w:val="en-US"/>
              </w:rPr>
              <w:t>Schirm &amp; Tremblay, avocats</w:t>
            </w:r>
          </w:p>
          <w:p w:rsidR="00F138C1" w:rsidRPr="00893B19" w:rsidRDefault="00F138C1" w:rsidP="00F138C1">
            <w:pPr>
              <w:tabs>
                <w:tab w:val="left" w:pos="-1440"/>
                <w:tab w:val="left" w:pos="-720"/>
              </w:tabs>
              <w:rPr>
                <w:sz w:val="20"/>
                <w:szCs w:val="20"/>
                <w:lang w:val="en-US"/>
              </w:rPr>
            </w:pPr>
          </w:p>
          <w:p w:rsidR="00F138C1" w:rsidRPr="00893B19" w:rsidRDefault="00F138C1" w:rsidP="00F138C1">
            <w:pPr>
              <w:tabs>
                <w:tab w:val="left" w:pos="-1440"/>
                <w:tab w:val="left" w:pos="-720"/>
              </w:tabs>
              <w:rPr>
                <w:sz w:val="20"/>
                <w:szCs w:val="20"/>
                <w:lang w:val="fr-CA"/>
              </w:rPr>
            </w:pPr>
            <w:r w:rsidRPr="00893B19">
              <w:rPr>
                <w:sz w:val="20"/>
                <w:szCs w:val="20"/>
                <w:lang w:val="en-US"/>
              </w:rPr>
              <w:tab/>
            </w:r>
            <w:r w:rsidRPr="00893B19">
              <w:rPr>
                <w:sz w:val="20"/>
                <w:szCs w:val="20"/>
                <w:lang w:val="fr-CA"/>
              </w:rPr>
              <w:t>c. (39</w:t>
            </w:r>
            <w:r w:rsidR="00C55621" w:rsidRPr="00893B19">
              <w:rPr>
                <w:sz w:val="20"/>
                <w:szCs w:val="20"/>
                <w:lang w:val="fr-CA"/>
              </w:rPr>
              <w:t>155</w:t>
            </w:r>
            <w:r w:rsidRPr="00893B19">
              <w:rPr>
                <w:sz w:val="20"/>
                <w:szCs w:val="20"/>
                <w:lang w:val="fr-CA"/>
              </w:rPr>
              <w:t>)</w:t>
            </w:r>
          </w:p>
          <w:p w:rsidR="00F138C1" w:rsidRPr="00893B19" w:rsidRDefault="00F138C1" w:rsidP="00F138C1">
            <w:pPr>
              <w:tabs>
                <w:tab w:val="left" w:pos="-1440"/>
                <w:tab w:val="left" w:pos="-720"/>
              </w:tabs>
              <w:rPr>
                <w:sz w:val="20"/>
                <w:szCs w:val="20"/>
                <w:lang w:val="fr-CA"/>
              </w:rPr>
            </w:pPr>
          </w:p>
          <w:p w:rsidR="00F138C1" w:rsidRPr="00893B19" w:rsidRDefault="00C55621" w:rsidP="00F138C1">
            <w:pPr>
              <w:tabs>
                <w:tab w:val="left" w:pos="-1440"/>
                <w:tab w:val="left" w:pos="-720"/>
              </w:tabs>
              <w:rPr>
                <w:b/>
                <w:sz w:val="20"/>
                <w:szCs w:val="20"/>
                <w:lang w:val="fr-CA"/>
              </w:rPr>
            </w:pPr>
            <w:r w:rsidRPr="00893B19">
              <w:rPr>
                <w:b/>
                <w:sz w:val="20"/>
                <w:szCs w:val="20"/>
                <w:lang w:val="fr-CA"/>
              </w:rPr>
              <w:t xml:space="preserve">Isabelle Bisaillon, et al. </w:t>
            </w:r>
            <w:r w:rsidR="00F138C1" w:rsidRPr="00893B19">
              <w:rPr>
                <w:b/>
                <w:sz w:val="20"/>
                <w:szCs w:val="20"/>
                <w:lang w:val="fr-CA"/>
              </w:rPr>
              <w:t>(Qc)</w:t>
            </w:r>
          </w:p>
          <w:p w:rsidR="00F138C1" w:rsidRPr="00893B19" w:rsidRDefault="00F138C1" w:rsidP="00F138C1">
            <w:pPr>
              <w:tabs>
                <w:tab w:val="left" w:pos="-1440"/>
                <w:tab w:val="left" w:pos="-720"/>
              </w:tabs>
              <w:rPr>
                <w:sz w:val="20"/>
                <w:szCs w:val="20"/>
                <w:lang w:val="fr-CA"/>
              </w:rPr>
            </w:pPr>
            <w:r w:rsidRPr="00893B19">
              <w:rPr>
                <w:sz w:val="20"/>
                <w:szCs w:val="20"/>
                <w:lang w:val="fr-CA"/>
              </w:rPr>
              <w:tab/>
            </w:r>
            <w:r w:rsidR="00C55621" w:rsidRPr="00893B19">
              <w:rPr>
                <w:sz w:val="20"/>
                <w:szCs w:val="20"/>
                <w:lang w:val="fr-CA"/>
              </w:rPr>
              <w:t>Belzile, Violaine</w:t>
            </w:r>
          </w:p>
          <w:p w:rsidR="00F138C1" w:rsidRPr="00893B19" w:rsidRDefault="00F138C1" w:rsidP="00F138C1">
            <w:pPr>
              <w:tabs>
                <w:tab w:val="left" w:pos="-1440"/>
                <w:tab w:val="left" w:pos="-720"/>
              </w:tabs>
              <w:rPr>
                <w:sz w:val="20"/>
                <w:szCs w:val="20"/>
                <w:lang w:val="fr-CA"/>
              </w:rPr>
            </w:pPr>
            <w:r w:rsidRPr="00893B19">
              <w:rPr>
                <w:sz w:val="20"/>
                <w:szCs w:val="20"/>
                <w:lang w:val="fr-CA"/>
              </w:rPr>
              <w:tab/>
            </w:r>
            <w:r w:rsidR="00C55621" w:rsidRPr="00893B19">
              <w:rPr>
                <w:sz w:val="20"/>
                <w:szCs w:val="20"/>
                <w:lang w:val="fr-CA"/>
              </w:rPr>
              <w:t>Violaine Belzile, avocate S.A.</w:t>
            </w:r>
          </w:p>
          <w:p w:rsidR="00F138C1" w:rsidRPr="00893B19" w:rsidRDefault="00F138C1" w:rsidP="00F138C1">
            <w:pPr>
              <w:tabs>
                <w:tab w:val="left" w:pos="-1440"/>
                <w:tab w:val="left" w:pos="-720"/>
              </w:tabs>
              <w:rPr>
                <w:sz w:val="20"/>
                <w:szCs w:val="20"/>
                <w:lang w:val="fr-CA"/>
              </w:rPr>
            </w:pPr>
          </w:p>
          <w:p w:rsidR="00F138C1" w:rsidRPr="00893B19" w:rsidRDefault="00F138C1" w:rsidP="00F138C1">
            <w:pPr>
              <w:rPr>
                <w:sz w:val="20"/>
                <w:szCs w:val="20"/>
                <w:lang w:val="fr-CA"/>
              </w:rPr>
            </w:pPr>
            <w:r w:rsidRPr="00893B19">
              <w:rPr>
                <w:sz w:val="20"/>
                <w:szCs w:val="20"/>
                <w:lang w:val="fr-CA"/>
              </w:rPr>
              <w:t>DATE DE PRODUCTION</w:t>
            </w:r>
            <w:r w:rsidR="008474A3" w:rsidRPr="00893B19">
              <w:rPr>
                <w:sz w:val="20"/>
                <w:szCs w:val="20"/>
                <w:lang w:val="fr-CA"/>
              </w:rPr>
              <w:t xml:space="preserve"> </w:t>
            </w:r>
            <w:r w:rsidRPr="00893B19">
              <w:rPr>
                <w:sz w:val="20"/>
                <w:szCs w:val="20"/>
                <w:lang w:val="fr-CA"/>
              </w:rPr>
              <w:t xml:space="preserve">: le </w:t>
            </w:r>
            <w:r w:rsidR="00C55621" w:rsidRPr="00893B19">
              <w:rPr>
                <w:sz w:val="20"/>
                <w:szCs w:val="20"/>
                <w:lang w:val="fr-CA"/>
              </w:rPr>
              <w:t>13</w:t>
            </w:r>
            <w:r w:rsidRPr="00893B19">
              <w:rPr>
                <w:sz w:val="20"/>
                <w:szCs w:val="20"/>
                <w:lang w:val="fr-CA"/>
              </w:rPr>
              <w:t xml:space="preserve"> </w:t>
            </w:r>
            <w:r w:rsidR="00C55621" w:rsidRPr="00893B19">
              <w:rPr>
                <w:sz w:val="20"/>
                <w:szCs w:val="20"/>
                <w:lang w:val="fr-CA"/>
              </w:rPr>
              <w:t>m</w:t>
            </w:r>
            <w:r w:rsidR="00DA1D48" w:rsidRPr="00893B19">
              <w:rPr>
                <w:sz w:val="20"/>
                <w:szCs w:val="20"/>
                <w:lang w:val="fr-CA"/>
              </w:rPr>
              <w:t>ai</w:t>
            </w:r>
            <w:r w:rsidRPr="00893B19">
              <w:rPr>
                <w:sz w:val="20"/>
                <w:szCs w:val="20"/>
                <w:lang w:val="fr-CA"/>
              </w:rPr>
              <w:t xml:space="preserve"> 20</w:t>
            </w:r>
            <w:r w:rsidR="00DA1D48" w:rsidRPr="00893B19">
              <w:rPr>
                <w:sz w:val="20"/>
                <w:szCs w:val="20"/>
                <w:lang w:val="fr-CA"/>
              </w:rPr>
              <w:t>20</w:t>
            </w:r>
          </w:p>
          <w:p w:rsidR="004B2E86" w:rsidRPr="00893B19" w:rsidRDefault="004B2E86" w:rsidP="00F138C1">
            <w:pPr>
              <w:rPr>
                <w:sz w:val="20"/>
                <w:szCs w:val="20"/>
                <w:lang w:val="fr-CA"/>
              </w:rPr>
            </w:pPr>
          </w:p>
          <w:p w:rsidR="00F138C1" w:rsidRPr="00893B19" w:rsidRDefault="00867539"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893B19" w:rsidTr="00F138C1">
        <w:tc>
          <w:tcPr>
            <w:tcW w:w="4239" w:type="dxa"/>
            <w:shd w:val="clear" w:color="auto" w:fill="auto"/>
          </w:tcPr>
          <w:p w:rsidR="00DA1D48" w:rsidRPr="00893B19" w:rsidRDefault="008474A3" w:rsidP="00DA1D48">
            <w:pPr>
              <w:rPr>
                <w:sz w:val="20"/>
                <w:szCs w:val="20"/>
                <w:lang w:val="fr-CA"/>
              </w:rPr>
            </w:pPr>
            <w:r w:rsidRPr="00893B19">
              <w:rPr>
                <w:b/>
                <w:sz w:val="20"/>
                <w:szCs w:val="20"/>
                <w:lang w:val="fr-CA"/>
              </w:rPr>
              <w:t>Charles Anderson</w:t>
            </w:r>
          </w:p>
          <w:p w:rsidR="00DA1D48" w:rsidRPr="00893B19" w:rsidRDefault="00DA1D48" w:rsidP="00DA1D48">
            <w:pPr>
              <w:tabs>
                <w:tab w:val="left" w:pos="-1440"/>
                <w:tab w:val="left" w:pos="-720"/>
              </w:tabs>
              <w:rPr>
                <w:sz w:val="20"/>
                <w:szCs w:val="20"/>
                <w:lang w:val="fr-CA"/>
              </w:rPr>
            </w:pPr>
            <w:r w:rsidRPr="00893B19">
              <w:rPr>
                <w:sz w:val="20"/>
                <w:szCs w:val="20"/>
                <w:lang w:val="fr-CA"/>
              </w:rPr>
              <w:tab/>
            </w:r>
            <w:r w:rsidR="008474A3" w:rsidRPr="00893B19">
              <w:rPr>
                <w:sz w:val="20"/>
                <w:szCs w:val="20"/>
                <w:lang w:val="fr-CA"/>
              </w:rPr>
              <w:t>Robichon, Nicolas</w:t>
            </w:r>
          </w:p>
          <w:p w:rsidR="008474A3" w:rsidRPr="00893B19" w:rsidRDefault="008474A3" w:rsidP="00DA1D48">
            <w:pPr>
              <w:tabs>
                <w:tab w:val="left" w:pos="-1440"/>
                <w:tab w:val="left" w:pos="-720"/>
              </w:tabs>
              <w:rPr>
                <w:sz w:val="20"/>
                <w:szCs w:val="20"/>
                <w:lang w:val="fr-CA"/>
              </w:rPr>
            </w:pPr>
            <w:r w:rsidRPr="00893B19">
              <w:rPr>
                <w:sz w:val="20"/>
                <w:szCs w:val="20"/>
                <w:lang w:val="fr-CA"/>
              </w:rPr>
              <w:tab/>
              <w:t>Donati Maisonneuve</w:t>
            </w:r>
          </w:p>
          <w:p w:rsidR="00DA1D48" w:rsidRPr="00893B19" w:rsidRDefault="00DA1D48" w:rsidP="00DA1D48">
            <w:pPr>
              <w:tabs>
                <w:tab w:val="left" w:pos="-1440"/>
                <w:tab w:val="left" w:pos="-720"/>
              </w:tabs>
              <w:rPr>
                <w:sz w:val="20"/>
                <w:szCs w:val="20"/>
                <w:lang w:val="fr-CA"/>
              </w:rPr>
            </w:pPr>
          </w:p>
          <w:p w:rsidR="00DA1D48" w:rsidRPr="00893B19" w:rsidRDefault="00DA1D48" w:rsidP="00DA1D48">
            <w:pPr>
              <w:tabs>
                <w:tab w:val="left" w:pos="-1440"/>
                <w:tab w:val="left" w:pos="-720"/>
              </w:tabs>
              <w:rPr>
                <w:sz w:val="20"/>
                <w:szCs w:val="20"/>
                <w:lang w:val="fr-CA"/>
              </w:rPr>
            </w:pPr>
            <w:r w:rsidRPr="00893B19">
              <w:rPr>
                <w:sz w:val="20"/>
                <w:szCs w:val="20"/>
                <w:lang w:val="fr-CA"/>
              </w:rPr>
              <w:tab/>
            </w:r>
            <w:r w:rsidR="008474A3" w:rsidRPr="00893B19">
              <w:rPr>
                <w:sz w:val="20"/>
                <w:szCs w:val="20"/>
                <w:lang w:val="fr-CA"/>
              </w:rPr>
              <w:t>c</w:t>
            </w:r>
            <w:r w:rsidRPr="00893B19">
              <w:rPr>
                <w:sz w:val="20"/>
                <w:szCs w:val="20"/>
                <w:lang w:val="fr-CA"/>
              </w:rPr>
              <w:t>. (391</w:t>
            </w:r>
            <w:r w:rsidR="008474A3" w:rsidRPr="00893B19">
              <w:rPr>
                <w:sz w:val="20"/>
                <w:szCs w:val="20"/>
                <w:lang w:val="fr-CA"/>
              </w:rPr>
              <w:t>56</w:t>
            </w:r>
            <w:r w:rsidRPr="00893B19">
              <w:rPr>
                <w:sz w:val="20"/>
                <w:szCs w:val="20"/>
                <w:lang w:val="fr-CA"/>
              </w:rPr>
              <w:t>)</w:t>
            </w:r>
          </w:p>
          <w:p w:rsidR="00DA1D48" w:rsidRPr="00893B19" w:rsidRDefault="00DA1D48" w:rsidP="00DA1D48">
            <w:pPr>
              <w:tabs>
                <w:tab w:val="left" w:pos="-1440"/>
                <w:tab w:val="left" w:pos="-720"/>
              </w:tabs>
              <w:rPr>
                <w:sz w:val="20"/>
                <w:szCs w:val="20"/>
                <w:lang w:val="fr-CA"/>
              </w:rPr>
            </w:pPr>
          </w:p>
          <w:p w:rsidR="00DA1D48" w:rsidRPr="00893B19" w:rsidRDefault="008474A3" w:rsidP="00DA1D48">
            <w:pPr>
              <w:tabs>
                <w:tab w:val="left" w:pos="-1440"/>
                <w:tab w:val="left" w:pos="-720"/>
              </w:tabs>
              <w:rPr>
                <w:b/>
                <w:sz w:val="20"/>
                <w:szCs w:val="20"/>
                <w:lang w:val="fr-CA"/>
              </w:rPr>
            </w:pPr>
            <w:r w:rsidRPr="00893B19">
              <w:rPr>
                <w:b/>
                <w:sz w:val="20"/>
                <w:szCs w:val="20"/>
                <w:lang w:val="fr-CA"/>
              </w:rPr>
              <w:t xml:space="preserve">Intact compagnie d'assurance </w:t>
            </w:r>
            <w:r w:rsidR="00DA1D48" w:rsidRPr="00893B19">
              <w:rPr>
                <w:b/>
                <w:sz w:val="20"/>
                <w:szCs w:val="20"/>
                <w:lang w:val="fr-CA"/>
              </w:rPr>
              <w:t>(</w:t>
            </w:r>
            <w:r w:rsidRPr="00893B19">
              <w:rPr>
                <w:b/>
                <w:sz w:val="20"/>
                <w:szCs w:val="20"/>
                <w:lang w:val="fr-CA"/>
              </w:rPr>
              <w:t>Qc</w:t>
            </w:r>
            <w:r w:rsidR="00DA1D48" w:rsidRPr="00893B19">
              <w:rPr>
                <w:b/>
                <w:sz w:val="20"/>
                <w:szCs w:val="20"/>
                <w:lang w:val="fr-CA"/>
              </w:rPr>
              <w:t>)</w:t>
            </w:r>
          </w:p>
          <w:p w:rsidR="00DA1D48" w:rsidRPr="00893B19" w:rsidRDefault="00DA1D48" w:rsidP="00DA1D48">
            <w:pPr>
              <w:tabs>
                <w:tab w:val="left" w:pos="-1440"/>
                <w:tab w:val="left" w:pos="-720"/>
              </w:tabs>
              <w:rPr>
                <w:sz w:val="20"/>
                <w:szCs w:val="20"/>
                <w:lang w:val="fr-CA"/>
              </w:rPr>
            </w:pPr>
            <w:r w:rsidRPr="00893B19">
              <w:rPr>
                <w:sz w:val="20"/>
                <w:szCs w:val="20"/>
                <w:lang w:val="fr-CA"/>
              </w:rPr>
              <w:tab/>
            </w:r>
            <w:r w:rsidR="008474A3" w:rsidRPr="00893B19">
              <w:rPr>
                <w:sz w:val="20"/>
                <w:szCs w:val="20"/>
                <w:lang w:val="fr-CA"/>
              </w:rPr>
              <w:t>Lavallée, Chantal</w:t>
            </w:r>
          </w:p>
          <w:p w:rsidR="00DA1D48" w:rsidRPr="00893B19" w:rsidRDefault="00DA1D48" w:rsidP="00DA1D48">
            <w:pPr>
              <w:tabs>
                <w:tab w:val="left" w:pos="-1440"/>
                <w:tab w:val="left" w:pos="-720"/>
              </w:tabs>
              <w:rPr>
                <w:sz w:val="20"/>
                <w:szCs w:val="20"/>
                <w:lang w:val="fr-CA"/>
              </w:rPr>
            </w:pPr>
            <w:r w:rsidRPr="00893B19">
              <w:rPr>
                <w:sz w:val="20"/>
                <w:szCs w:val="20"/>
                <w:lang w:val="fr-CA"/>
              </w:rPr>
              <w:tab/>
            </w:r>
            <w:r w:rsidR="008474A3" w:rsidRPr="00893B19">
              <w:rPr>
                <w:sz w:val="20"/>
                <w:szCs w:val="20"/>
                <w:lang w:val="fr-CA"/>
              </w:rPr>
              <w:t>Cain Lamarre</w:t>
            </w:r>
          </w:p>
          <w:p w:rsidR="00DA1D48" w:rsidRPr="00893B19" w:rsidRDefault="00DA1D48" w:rsidP="00DA1D48">
            <w:pPr>
              <w:tabs>
                <w:tab w:val="left" w:pos="-1440"/>
                <w:tab w:val="left" w:pos="-720"/>
              </w:tabs>
              <w:rPr>
                <w:sz w:val="20"/>
                <w:szCs w:val="20"/>
                <w:lang w:val="fr-CA"/>
              </w:rPr>
            </w:pPr>
          </w:p>
          <w:p w:rsidR="00DA1D48" w:rsidRPr="00893B19" w:rsidRDefault="00DA1D48" w:rsidP="00DA1D48">
            <w:pPr>
              <w:rPr>
                <w:sz w:val="20"/>
                <w:szCs w:val="20"/>
                <w:lang w:val="fr-CA"/>
              </w:rPr>
            </w:pPr>
            <w:r w:rsidRPr="00893B19">
              <w:rPr>
                <w:sz w:val="20"/>
                <w:szCs w:val="20"/>
                <w:lang w:val="fr-CA"/>
              </w:rPr>
              <w:t>DATE</w:t>
            </w:r>
            <w:r w:rsidR="008474A3" w:rsidRPr="00893B19">
              <w:rPr>
                <w:sz w:val="20"/>
                <w:szCs w:val="20"/>
                <w:lang w:val="fr-CA"/>
              </w:rPr>
              <w:t xml:space="preserve"> DE PRODUCTION </w:t>
            </w:r>
            <w:r w:rsidRPr="00893B19">
              <w:rPr>
                <w:sz w:val="20"/>
                <w:szCs w:val="20"/>
                <w:lang w:val="fr-CA"/>
              </w:rPr>
              <w:t xml:space="preserve">: </w:t>
            </w:r>
            <w:r w:rsidR="008474A3" w:rsidRPr="00893B19">
              <w:rPr>
                <w:sz w:val="20"/>
                <w:szCs w:val="20"/>
                <w:lang w:val="fr-CA"/>
              </w:rPr>
              <w:t>le 13 mai</w:t>
            </w:r>
            <w:r w:rsidRPr="00893B19">
              <w:rPr>
                <w:sz w:val="20"/>
                <w:szCs w:val="20"/>
                <w:lang w:val="fr-CA"/>
              </w:rPr>
              <w:t xml:space="preserve"> 2020</w:t>
            </w:r>
          </w:p>
          <w:p w:rsidR="00DA1D48" w:rsidRPr="00893B19" w:rsidRDefault="00DA1D48" w:rsidP="00DA1D48">
            <w:pPr>
              <w:rPr>
                <w:sz w:val="20"/>
                <w:szCs w:val="20"/>
                <w:lang w:val="fr-CA"/>
              </w:rPr>
            </w:pPr>
          </w:p>
          <w:p w:rsidR="00F138C1" w:rsidRPr="00893B19" w:rsidRDefault="00867539"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893B19" w:rsidRDefault="00F138C1" w:rsidP="00F138C1">
            <w:pPr>
              <w:jc w:val="center"/>
              <w:rPr>
                <w:sz w:val="20"/>
                <w:szCs w:val="20"/>
                <w:lang w:val="en-US"/>
              </w:rPr>
            </w:pPr>
          </w:p>
          <w:p w:rsidR="00DA1D48" w:rsidRPr="00893B19" w:rsidRDefault="00DA1D48" w:rsidP="00F138C1">
            <w:pPr>
              <w:jc w:val="center"/>
              <w:rPr>
                <w:sz w:val="20"/>
                <w:szCs w:val="20"/>
                <w:lang w:val="en-US"/>
              </w:rPr>
            </w:pPr>
          </w:p>
          <w:p w:rsidR="00DA1D48" w:rsidRPr="00893B19" w:rsidRDefault="00DA1D48" w:rsidP="00F138C1">
            <w:pPr>
              <w:jc w:val="center"/>
              <w:rPr>
                <w:sz w:val="20"/>
                <w:szCs w:val="20"/>
                <w:lang w:val="en-US"/>
              </w:rPr>
            </w:pPr>
          </w:p>
          <w:p w:rsidR="00DA1D48" w:rsidRPr="00893B19" w:rsidRDefault="00DA1D48" w:rsidP="00F138C1">
            <w:pPr>
              <w:jc w:val="center"/>
              <w:rPr>
                <w:sz w:val="20"/>
                <w:szCs w:val="20"/>
                <w:lang w:val="en-US"/>
              </w:rPr>
            </w:pPr>
          </w:p>
          <w:p w:rsidR="00DA1D48" w:rsidRPr="00893B19" w:rsidRDefault="00DA1D48" w:rsidP="00F138C1">
            <w:pPr>
              <w:jc w:val="center"/>
              <w:rPr>
                <w:sz w:val="20"/>
                <w:szCs w:val="20"/>
                <w:lang w:val="en-US"/>
              </w:rPr>
            </w:pPr>
          </w:p>
          <w:p w:rsidR="00DA1D48" w:rsidRPr="00893B19" w:rsidRDefault="00DA1D48" w:rsidP="00F138C1">
            <w:pPr>
              <w:jc w:val="center"/>
              <w:rPr>
                <w:sz w:val="20"/>
                <w:szCs w:val="20"/>
                <w:lang w:val="en-US"/>
              </w:rPr>
            </w:pPr>
          </w:p>
          <w:p w:rsidR="00DA1D48" w:rsidRPr="00893B19" w:rsidRDefault="00DA1D48" w:rsidP="00F138C1">
            <w:pPr>
              <w:jc w:val="center"/>
              <w:rPr>
                <w:sz w:val="20"/>
                <w:szCs w:val="20"/>
                <w:lang w:val="en-US"/>
              </w:rPr>
            </w:pPr>
          </w:p>
          <w:p w:rsidR="00DA1D48" w:rsidRPr="00893B19" w:rsidRDefault="00DA1D48" w:rsidP="00F138C1">
            <w:pPr>
              <w:jc w:val="center"/>
              <w:rPr>
                <w:sz w:val="20"/>
                <w:szCs w:val="20"/>
                <w:lang w:val="en-US"/>
              </w:rPr>
            </w:pPr>
          </w:p>
          <w:p w:rsidR="00DA1D48" w:rsidRPr="00893B19" w:rsidRDefault="00DA1D48" w:rsidP="00F138C1">
            <w:pPr>
              <w:jc w:val="center"/>
              <w:rPr>
                <w:sz w:val="20"/>
                <w:szCs w:val="20"/>
                <w:lang w:val="en-US"/>
              </w:rPr>
            </w:pPr>
          </w:p>
          <w:p w:rsidR="00DA1D48" w:rsidRPr="00893B19" w:rsidRDefault="00DA1D48" w:rsidP="00F138C1">
            <w:pPr>
              <w:jc w:val="center"/>
              <w:rPr>
                <w:sz w:val="20"/>
                <w:szCs w:val="20"/>
                <w:lang w:val="en-US"/>
              </w:rPr>
            </w:pPr>
          </w:p>
          <w:p w:rsidR="00DA1D48" w:rsidRPr="00893B19" w:rsidRDefault="00DA1D48" w:rsidP="00F138C1">
            <w:pPr>
              <w:jc w:val="center"/>
              <w:rPr>
                <w:sz w:val="20"/>
                <w:szCs w:val="20"/>
                <w:lang w:val="en-US"/>
              </w:rPr>
            </w:pPr>
          </w:p>
          <w:p w:rsidR="00DA1D48" w:rsidRPr="00893B19" w:rsidRDefault="00DA1D48" w:rsidP="00F138C1">
            <w:pPr>
              <w:jc w:val="center"/>
              <w:rPr>
                <w:sz w:val="20"/>
                <w:szCs w:val="20"/>
                <w:lang w:val="en-US"/>
              </w:rPr>
            </w:pPr>
          </w:p>
          <w:p w:rsidR="00DA1D48" w:rsidRPr="00893B19" w:rsidRDefault="00DA1D48" w:rsidP="00F138C1">
            <w:pPr>
              <w:jc w:val="center"/>
              <w:rPr>
                <w:sz w:val="20"/>
                <w:szCs w:val="20"/>
                <w:lang w:val="en-US"/>
              </w:rPr>
            </w:pPr>
          </w:p>
          <w:p w:rsidR="008D33A6" w:rsidRPr="00893B19" w:rsidRDefault="008D33A6" w:rsidP="00F138C1">
            <w:pPr>
              <w:jc w:val="center"/>
              <w:rPr>
                <w:sz w:val="20"/>
                <w:szCs w:val="20"/>
                <w:lang w:val="en-US"/>
              </w:rPr>
            </w:pPr>
          </w:p>
          <w:p w:rsidR="00DA1D48" w:rsidRPr="00893B19" w:rsidRDefault="00DA1D48" w:rsidP="00F138C1">
            <w:pPr>
              <w:jc w:val="center"/>
              <w:rPr>
                <w:sz w:val="20"/>
                <w:szCs w:val="20"/>
                <w:lang w:val="en-US"/>
              </w:rPr>
            </w:pPr>
          </w:p>
        </w:tc>
        <w:tc>
          <w:tcPr>
            <w:tcW w:w="4239" w:type="dxa"/>
            <w:shd w:val="clear" w:color="auto" w:fill="auto"/>
          </w:tcPr>
          <w:p w:rsidR="00DA1D48" w:rsidRPr="00893B19" w:rsidRDefault="008D33A6" w:rsidP="00DA1D48">
            <w:pPr>
              <w:rPr>
                <w:b/>
                <w:sz w:val="20"/>
                <w:szCs w:val="20"/>
                <w:lang w:val="fr-CA"/>
              </w:rPr>
            </w:pPr>
            <w:r w:rsidRPr="00893B19">
              <w:rPr>
                <w:b/>
                <w:sz w:val="20"/>
                <w:szCs w:val="20"/>
                <w:lang w:val="fr-CA"/>
              </w:rPr>
              <w:t>Fondaction (le Fonds de développement de la Confédération des syndicats nationaux pour la coopération et l’emploi), et al.</w:t>
            </w:r>
          </w:p>
          <w:p w:rsidR="00DA1D48" w:rsidRPr="00893B19" w:rsidRDefault="00DA1D48" w:rsidP="00DA1D48">
            <w:pPr>
              <w:tabs>
                <w:tab w:val="left" w:pos="-1440"/>
                <w:tab w:val="left" w:pos="-720"/>
              </w:tabs>
              <w:rPr>
                <w:sz w:val="20"/>
                <w:szCs w:val="20"/>
                <w:lang w:val="fr-CA"/>
              </w:rPr>
            </w:pPr>
            <w:r w:rsidRPr="00893B19">
              <w:rPr>
                <w:sz w:val="20"/>
                <w:szCs w:val="20"/>
                <w:lang w:val="fr-CA"/>
              </w:rPr>
              <w:tab/>
            </w:r>
            <w:r w:rsidR="008D33A6" w:rsidRPr="00893B19">
              <w:rPr>
                <w:sz w:val="20"/>
                <w:szCs w:val="20"/>
                <w:lang w:val="fr-CA"/>
              </w:rPr>
              <w:t>La Rue, Hughes</w:t>
            </w:r>
          </w:p>
          <w:p w:rsidR="00DA1D48" w:rsidRPr="00893B19" w:rsidRDefault="00DA1D48" w:rsidP="00DA1D48">
            <w:pPr>
              <w:tabs>
                <w:tab w:val="left" w:pos="-1440"/>
                <w:tab w:val="left" w:pos="-720"/>
              </w:tabs>
              <w:rPr>
                <w:sz w:val="20"/>
                <w:szCs w:val="20"/>
                <w:lang w:val="fr-CA"/>
              </w:rPr>
            </w:pPr>
            <w:r w:rsidRPr="00893B19">
              <w:rPr>
                <w:sz w:val="20"/>
                <w:szCs w:val="20"/>
                <w:lang w:val="fr-CA"/>
              </w:rPr>
              <w:tab/>
            </w:r>
            <w:r w:rsidR="008D33A6" w:rsidRPr="00893B19">
              <w:rPr>
                <w:sz w:val="20"/>
                <w:szCs w:val="20"/>
                <w:lang w:val="fr-CA"/>
              </w:rPr>
              <w:t>Morency Société d'Avocats, s.e.n.c.</w:t>
            </w:r>
          </w:p>
          <w:p w:rsidR="00DA1D48" w:rsidRPr="00893B19" w:rsidRDefault="00DA1D48" w:rsidP="00DA1D48">
            <w:pPr>
              <w:tabs>
                <w:tab w:val="left" w:pos="-1440"/>
                <w:tab w:val="left" w:pos="-720"/>
              </w:tabs>
              <w:rPr>
                <w:sz w:val="20"/>
                <w:szCs w:val="20"/>
                <w:lang w:val="fr-CA"/>
              </w:rPr>
            </w:pPr>
          </w:p>
          <w:p w:rsidR="00DA1D48" w:rsidRPr="00893B19" w:rsidRDefault="00DA1D48" w:rsidP="00DA1D48">
            <w:pPr>
              <w:tabs>
                <w:tab w:val="left" w:pos="-1440"/>
                <w:tab w:val="left" w:pos="-720"/>
              </w:tabs>
              <w:rPr>
                <w:sz w:val="20"/>
                <w:szCs w:val="20"/>
                <w:lang w:val="fr-CA"/>
              </w:rPr>
            </w:pPr>
            <w:r w:rsidRPr="00893B19">
              <w:rPr>
                <w:sz w:val="20"/>
                <w:szCs w:val="20"/>
                <w:lang w:val="fr-CA"/>
              </w:rPr>
              <w:tab/>
              <w:t>c. (39</w:t>
            </w:r>
            <w:r w:rsidR="008474A3" w:rsidRPr="00893B19">
              <w:rPr>
                <w:sz w:val="20"/>
                <w:szCs w:val="20"/>
                <w:lang w:val="fr-CA"/>
              </w:rPr>
              <w:t>157</w:t>
            </w:r>
            <w:r w:rsidRPr="00893B19">
              <w:rPr>
                <w:sz w:val="20"/>
                <w:szCs w:val="20"/>
                <w:lang w:val="fr-CA"/>
              </w:rPr>
              <w:t>)</w:t>
            </w:r>
          </w:p>
          <w:p w:rsidR="00DA1D48" w:rsidRPr="00893B19" w:rsidRDefault="00DA1D48" w:rsidP="00DA1D48">
            <w:pPr>
              <w:tabs>
                <w:tab w:val="left" w:pos="-1440"/>
                <w:tab w:val="left" w:pos="-720"/>
              </w:tabs>
              <w:rPr>
                <w:sz w:val="20"/>
                <w:szCs w:val="20"/>
                <w:lang w:val="fr-CA"/>
              </w:rPr>
            </w:pPr>
          </w:p>
          <w:p w:rsidR="00DA1D48" w:rsidRPr="00893B19" w:rsidRDefault="008D33A6" w:rsidP="00DA1D48">
            <w:pPr>
              <w:tabs>
                <w:tab w:val="left" w:pos="-1440"/>
                <w:tab w:val="left" w:pos="-720"/>
              </w:tabs>
              <w:rPr>
                <w:b/>
                <w:sz w:val="20"/>
                <w:szCs w:val="20"/>
                <w:lang w:val="fr-CA"/>
              </w:rPr>
            </w:pPr>
            <w:r w:rsidRPr="00893B19">
              <w:rPr>
                <w:b/>
                <w:sz w:val="20"/>
                <w:szCs w:val="20"/>
                <w:lang w:val="fr-CA"/>
              </w:rPr>
              <w:t xml:space="preserve">Poutres Lamellées Leclerc Inc., et al. </w:t>
            </w:r>
            <w:r w:rsidR="00DA1D48" w:rsidRPr="00893B19">
              <w:rPr>
                <w:b/>
                <w:sz w:val="20"/>
                <w:szCs w:val="20"/>
                <w:lang w:val="fr-CA"/>
              </w:rPr>
              <w:t>(Qc)</w:t>
            </w:r>
          </w:p>
          <w:p w:rsidR="00DA1D48" w:rsidRPr="00893B19" w:rsidRDefault="00DA1D48" w:rsidP="00DA1D48">
            <w:pPr>
              <w:tabs>
                <w:tab w:val="left" w:pos="-1440"/>
                <w:tab w:val="left" w:pos="-720"/>
              </w:tabs>
              <w:rPr>
                <w:sz w:val="20"/>
                <w:szCs w:val="20"/>
                <w:lang w:val="fr-CA"/>
              </w:rPr>
            </w:pPr>
            <w:r w:rsidRPr="00893B19">
              <w:rPr>
                <w:sz w:val="20"/>
                <w:szCs w:val="20"/>
                <w:lang w:val="fr-CA"/>
              </w:rPr>
              <w:tab/>
            </w:r>
            <w:r w:rsidR="008D33A6" w:rsidRPr="00893B19">
              <w:rPr>
                <w:sz w:val="20"/>
                <w:szCs w:val="20"/>
                <w:lang w:val="fr-CA"/>
              </w:rPr>
              <w:t>Samson, Pierre</w:t>
            </w:r>
          </w:p>
          <w:p w:rsidR="00DA1D48" w:rsidRPr="00893B19" w:rsidRDefault="00DA1D48" w:rsidP="00DA1D48">
            <w:pPr>
              <w:tabs>
                <w:tab w:val="left" w:pos="-1440"/>
                <w:tab w:val="left" w:pos="-720"/>
              </w:tabs>
              <w:rPr>
                <w:sz w:val="20"/>
                <w:szCs w:val="20"/>
                <w:lang w:val="fr-CA"/>
              </w:rPr>
            </w:pPr>
          </w:p>
          <w:p w:rsidR="00DA1D48" w:rsidRPr="00893B19" w:rsidRDefault="00DA1D48" w:rsidP="00DA1D48">
            <w:pPr>
              <w:rPr>
                <w:sz w:val="20"/>
                <w:szCs w:val="20"/>
                <w:lang w:val="fr-CA"/>
              </w:rPr>
            </w:pPr>
            <w:r w:rsidRPr="00893B19">
              <w:rPr>
                <w:sz w:val="20"/>
                <w:szCs w:val="20"/>
                <w:lang w:val="fr-CA"/>
              </w:rPr>
              <w:t xml:space="preserve">DATE DE PRODUCTION : le </w:t>
            </w:r>
            <w:r w:rsidR="008D33A6" w:rsidRPr="00893B19">
              <w:rPr>
                <w:sz w:val="20"/>
                <w:szCs w:val="20"/>
                <w:lang w:val="fr-CA"/>
              </w:rPr>
              <w:t>14</w:t>
            </w:r>
            <w:r w:rsidRPr="00893B19">
              <w:rPr>
                <w:sz w:val="20"/>
                <w:szCs w:val="20"/>
                <w:lang w:val="fr-CA"/>
              </w:rPr>
              <w:t xml:space="preserve"> </w:t>
            </w:r>
            <w:r w:rsidR="008D33A6" w:rsidRPr="00893B19">
              <w:rPr>
                <w:sz w:val="20"/>
                <w:szCs w:val="20"/>
                <w:lang w:val="fr-CA"/>
              </w:rPr>
              <w:t>m</w:t>
            </w:r>
            <w:r w:rsidRPr="00893B19">
              <w:rPr>
                <w:sz w:val="20"/>
                <w:szCs w:val="20"/>
                <w:lang w:val="fr-CA"/>
              </w:rPr>
              <w:t>ai 2020</w:t>
            </w:r>
          </w:p>
          <w:p w:rsidR="00DA1D48" w:rsidRPr="00893B19" w:rsidRDefault="00DA1D48" w:rsidP="00DA1D48">
            <w:pPr>
              <w:rPr>
                <w:sz w:val="20"/>
                <w:szCs w:val="20"/>
                <w:lang w:val="fr-CA"/>
              </w:rPr>
            </w:pPr>
          </w:p>
          <w:p w:rsidR="00F138C1" w:rsidRPr="00893B19" w:rsidRDefault="00867539" w:rsidP="00DA1D48">
            <w:pPr>
              <w:rPr>
                <w:sz w:val="20"/>
                <w:szCs w:val="20"/>
                <w:lang w:val="fr-CA"/>
              </w:rPr>
            </w:pPr>
            <w:r>
              <w:rPr>
                <w:sz w:val="20"/>
                <w:szCs w:val="20"/>
                <w:lang w:val="fr-CA"/>
              </w:rPr>
              <w:pict>
                <v:rect id="_x0000_i1030" style="width:108pt;height:1pt" o:hrpct="0" o:hrstd="t" o:hrnoshade="t" o:hr="t" fillcolor="black [3213]" stroked="f"/>
              </w:pict>
            </w:r>
          </w:p>
        </w:tc>
      </w:tr>
    </w:tbl>
    <w:p w:rsidR="004D4720" w:rsidRPr="00893B19" w:rsidRDefault="004D4720">
      <w:r w:rsidRPr="00893B1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770786" w:rsidRPr="00893B19" w:rsidTr="00F138C1">
        <w:tc>
          <w:tcPr>
            <w:tcW w:w="4239" w:type="dxa"/>
            <w:shd w:val="clear" w:color="auto" w:fill="auto"/>
          </w:tcPr>
          <w:p w:rsidR="00770786" w:rsidRPr="00893B19" w:rsidRDefault="000919AD" w:rsidP="00770786">
            <w:pPr>
              <w:rPr>
                <w:sz w:val="20"/>
                <w:szCs w:val="20"/>
                <w:lang w:val="en-US"/>
              </w:rPr>
            </w:pPr>
            <w:r w:rsidRPr="00893B19">
              <w:rPr>
                <w:b/>
                <w:sz w:val="20"/>
                <w:szCs w:val="20"/>
                <w:lang w:val="en-US"/>
              </w:rPr>
              <w:t>David Gallant</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0919AD" w:rsidRPr="00893B19">
              <w:rPr>
                <w:sz w:val="20"/>
                <w:szCs w:val="20"/>
                <w:lang w:val="en-US"/>
              </w:rPr>
              <w:t>Lockyer, James</w:t>
            </w:r>
          </w:p>
          <w:p w:rsidR="000919AD" w:rsidRPr="00893B19" w:rsidRDefault="000919AD" w:rsidP="00770786">
            <w:pPr>
              <w:tabs>
                <w:tab w:val="left" w:pos="-1440"/>
                <w:tab w:val="left" w:pos="-720"/>
              </w:tabs>
              <w:rPr>
                <w:sz w:val="20"/>
                <w:szCs w:val="20"/>
                <w:lang w:val="en-US"/>
              </w:rPr>
            </w:pPr>
            <w:r w:rsidRPr="00893B19">
              <w:rPr>
                <w:sz w:val="20"/>
                <w:szCs w:val="20"/>
                <w:lang w:val="en-US"/>
              </w:rPr>
              <w:tab/>
              <w:t>Lockyer Campbell Posner</w:t>
            </w:r>
          </w:p>
          <w:p w:rsidR="00770786" w:rsidRPr="00893B19" w:rsidRDefault="00770786" w:rsidP="00770786">
            <w:pPr>
              <w:tabs>
                <w:tab w:val="left" w:pos="-1440"/>
                <w:tab w:val="left" w:pos="-720"/>
              </w:tabs>
              <w:rPr>
                <w:sz w:val="20"/>
                <w:szCs w:val="20"/>
                <w:lang w:val="en-US"/>
              </w:rPr>
            </w:pPr>
          </w:p>
          <w:p w:rsidR="00770786" w:rsidRPr="00893B19" w:rsidRDefault="00770786" w:rsidP="00770786">
            <w:pPr>
              <w:tabs>
                <w:tab w:val="left" w:pos="-1440"/>
                <w:tab w:val="left" w:pos="-720"/>
              </w:tabs>
              <w:rPr>
                <w:sz w:val="20"/>
                <w:szCs w:val="20"/>
                <w:lang w:val="en-US"/>
              </w:rPr>
            </w:pPr>
            <w:r w:rsidRPr="00893B19">
              <w:rPr>
                <w:sz w:val="20"/>
                <w:szCs w:val="20"/>
                <w:lang w:val="en-US"/>
              </w:rPr>
              <w:tab/>
              <w:t>v. (391</w:t>
            </w:r>
            <w:r w:rsidR="004D4720" w:rsidRPr="00893B19">
              <w:rPr>
                <w:sz w:val="20"/>
                <w:szCs w:val="20"/>
                <w:lang w:val="en-US"/>
              </w:rPr>
              <w:t>59</w:t>
            </w:r>
            <w:r w:rsidRPr="00893B19">
              <w:rPr>
                <w:sz w:val="20"/>
                <w:szCs w:val="20"/>
                <w:lang w:val="en-US"/>
              </w:rPr>
              <w:t>)</w:t>
            </w:r>
          </w:p>
          <w:p w:rsidR="00770786" w:rsidRPr="00893B19" w:rsidRDefault="00770786" w:rsidP="00770786">
            <w:pPr>
              <w:tabs>
                <w:tab w:val="left" w:pos="-1440"/>
                <w:tab w:val="left" w:pos="-720"/>
              </w:tabs>
              <w:rPr>
                <w:sz w:val="20"/>
                <w:szCs w:val="20"/>
                <w:lang w:val="en-US"/>
              </w:rPr>
            </w:pPr>
          </w:p>
          <w:p w:rsidR="00770786" w:rsidRPr="00893B19" w:rsidRDefault="000919AD" w:rsidP="00770786">
            <w:pPr>
              <w:tabs>
                <w:tab w:val="left" w:pos="-1440"/>
                <w:tab w:val="left" w:pos="-720"/>
              </w:tabs>
              <w:rPr>
                <w:b/>
                <w:sz w:val="20"/>
                <w:szCs w:val="20"/>
                <w:lang w:val="en-US"/>
              </w:rPr>
            </w:pPr>
            <w:r w:rsidRPr="00893B19">
              <w:rPr>
                <w:b/>
                <w:sz w:val="20"/>
                <w:szCs w:val="20"/>
                <w:lang w:val="en-US"/>
              </w:rPr>
              <w:t xml:space="preserve">Her Majesty the Queen </w:t>
            </w:r>
            <w:r w:rsidR="00770786" w:rsidRPr="00893B19">
              <w:rPr>
                <w:b/>
                <w:sz w:val="20"/>
                <w:szCs w:val="20"/>
                <w:lang w:val="en-US"/>
              </w:rPr>
              <w:t>(</w:t>
            </w:r>
            <w:r w:rsidR="004D4720" w:rsidRPr="00893B19">
              <w:rPr>
                <w:b/>
                <w:sz w:val="20"/>
                <w:szCs w:val="20"/>
                <w:lang w:val="en-US"/>
              </w:rPr>
              <w:t>B.C</w:t>
            </w:r>
            <w:r w:rsidR="00770786" w:rsidRPr="00893B19">
              <w:rPr>
                <w:b/>
                <w:sz w:val="20"/>
                <w:szCs w:val="20"/>
                <w:lang w:val="en-US"/>
              </w:rPr>
              <w:t>.)</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0919AD" w:rsidRPr="00893B19">
              <w:rPr>
                <w:sz w:val="20"/>
                <w:szCs w:val="20"/>
                <w:lang w:val="en-US"/>
              </w:rPr>
              <w:t>Chu, Lauren</w:t>
            </w:r>
          </w:p>
          <w:p w:rsidR="00770786" w:rsidRPr="00893B19" w:rsidRDefault="00770786" w:rsidP="00770786">
            <w:pPr>
              <w:tabs>
                <w:tab w:val="left" w:pos="-1440"/>
                <w:tab w:val="left" w:pos="-720"/>
              </w:tabs>
              <w:rPr>
                <w:sz w:val="20"/>
                <w:szCs w:val="20"/>
              </w:rPr>
            </w:pPr>
            <w:r w:rsidRPr="00893B19">
              <w:rPr>
                <w:sz w:val="20"/>
                <w:szCs w:val="20"/>
                <w:lang w:val="en-US"/>
              </w:rPr>
              <w:tab/>
            </w:r>
            <w:r w:rsidR="000919AD" w:rsidRPr="00893B19">
              <w:rPr>
                <w:sz w:val="20"/>
                <w:szCs w:val="20"/>
              </w:rPr>
              <w:t>Ministry of Attorney General (BC)</w:t>
            </w:r>
          </w:p>
          <w:p w:rsidR="00770786" w:rsidRPr="00893B19" w:rsidRDefault="00770786" w:rsidP="00770786">
            <w:pPr>
              <w:tabs>
                <w:tab w:val="left" w:pos="-1440"/>
                <w:tab w:val="left" w:pos="-720"/>
              </w:tabs>
              <w:rPr>
                <w:sz w:val="20"/>
                <w:szCs w:val="20"/>
              </w:rPr>
            </w:pPr>
          </w:p>
          <w:p w:rsidR="00770786" w:rsidRPr="00893B19" w:rsidRDefault="00770786" w:rsidP="00770786">
            <w:pPr>
              <w:rPr>
                <w:sz w:val="20"/>
                <w:szCs w:val="20"/>
              </w:rPr>
            </w:pPr>
            <w:r w:rsidRPr="00893B19">
              <w:rPr>
                <w:sz w:val="20"/>
                <w:szCs w:val="20"/>
              </w:rPr>
              <w:t xml:space="preserve">FILING DATE: </w:t>
            </w:r>
            <w:r w:rsidR="004D4720" w:rsidRPr="00893B19">
              <w:rPr>
                <w:sz w:val="20"/>
                <w:szCs w:val="20"/>
              </w:rPr>
              <w:t>May 14</w:t>
            </w:r>
            <w:r w:rsidRPr="00893B19">
              <w:rPr>
                <w:sz w:val="20"/>
                <w:szCs w:val="20"/>
              </w:rPr>
              <w:t>, 2020</w:t>
            </w:r>
          </w:p>
          <w:p w:rsidR="00770786" w:rsidRPr="00893B19" w:rsidRDefault="00770786" w:rsidP="00770786">
            <w:pPr>
              <w:rPr>
                <w:sz w:val="20"/>
                <w:szCs w:val="20"/>
              </w:rPr>
            </w:pPr>
          </w:p>
          <w:p w:rsidR="00770786" w:rsidRPr="00893B19" w:rsidRDefault="00867539" w:rsidP="00770786">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0919AD" w:rsidRPr="00893B19" w:rsidRDefault="000919AD"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tc>
        <w:tc>
          <w:tcPr>
            <w:tcW w:w="4239" w:type="dxa"/>
            <w:shd w:val="clear" w:color="auto" w:fill="auto"/>
          </w:tcPr>
          <w:p w:rsidR="00770786" w:rsidRPr="00893B19" w:rsidRDefault="001F2E60" w:rsidP="00770786">
            <w:pPr>
              <w:rPr>
                <w:sz w:val="20"/>
                <w:szCs w:val="20"/>
                <w:lang w:val="en-US"/>
              </w:rPr>
            </w:pPr>
            <w:r w:rsidRPr="00893B19">
              <w:rPr>
                <w:b/>
                <w:sz w:val="20"/>
                <w:szCs w:val="20"/>
                <w:lang w:val="en-US"/>
              </w:rPr>
              <w:t>David Leslie Capewell</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1F2E60" w:rsidRPr="00893B19">
              <w:rPr>
                <w:sz w:val="20"/>
                <w:szCs w:val="20"/>
                <w:lang w:val="en-US"/>
              </w:rPr>
              <w:t>Purtzki, Eric</w:t>
            </w:r>
          </w:p>
          <w:p w:rsidR="001F2E60" w:rsidRPr="00893B19" w:rsidRDefault="001F2E60" w:rsidP="00770786">
            <w:pPr>
              <w:tabs>
                <w:tab w:val="left" w:pos="-1440"/>
                <w:tab w:val="left" w:pos="-720"/>
              </w:tabs>
              <w:rPr>
                <w:sz w:val="20"/>
                <w:szCs w:val="20"/>
                <w:lang w:val="en-US"/>
              </w:rPr>
            </w:pPr>
            <w:r w:rsidRPr="00893B19">
              <w:rPr>
                <w:sz w:val="20"/>
                <w:szCs w:val="20"/>
                <w:lang w:val="en-US"/>
              </w:rPr>
              <w:tab/>
              <w:t>Melville Law Chambers</w:t>
            </w:r>
          </w:p>
          <w:p w:rsidR="00770786" w:rsidRPr="00893B19" w:rsidRDefault="00770786" w:rsidP="00770786">
            <w:pPr>
              <w:tabs>
                <w:tab w:val="left" w:pos="-1440"/>
                <w:tab w:val="left" w:pos="-720"/>
              </w:tabs>
              <w:rPr>
                <w:sz w:val="20"/>
                <w:szCs w:val="20"/>
                <w:lang w:val="en-US"/>
              </w:rPr>
            </w:pPr>
          </w:p>
          <w:p w:rsidR="00770786" w:rsidRPr="00893B19" w:rsidRDefault="00770786" w:rsidP="00770786">
            <w:pPr>
              <w:tabs>
                <w:tab w:val="left" w:pos="-1440"/>
                <w:tab w:val="left" w:pos="-720"/>
              </w:tabs>
              <w:rPr>
                <w:sz w:val="20"/>
                <w:szCs w:val="20"/>
                <w:lang w:val="en-US"/>
              </w:rPr>
            </w:pPr>
            <w:r w:rsidRPr="00893B19">
              <w:rPr>
                <w:sz w:val="20"/>
                <w:szCs w:val="20"/>
                <w:lang w:val="en-US"/>
              </w:rPr>
              <w:tab/>
              <w:t>v. (39</w:t>
            </w:r>
            <w:r w:rsidR="000919AD" w:rsidRPr="00893B19">
              <w:rPr>
                <w:sz w:val="20"/>
                <w:szCs w:val="20"/>
                <w:lang w:val="en-US"/>
              </w:rPr>
              <w:t>16</w:t>
            </w:r>
            <w:r w:rsidRPr="00893B19">
              <w:rPr>
                <w:sz w:val="20"/>
                <w:szCs w:val="20"/>
                <w:lang w:val="en-US"/>
              </w:rPr>
              <w:t>1)</w:t>
            </w:r>
          </w:p>
          <w:p w:rsidR="00770786" w:rsidRPr="00893B19" w:rsidRDefault="00770786" w:rsidP="00770786">
            <w:pPr>
              <w:tabs>
                <w:tab w:val="left" w:pos="-1440"/>
                <w:tab w:val="left" w:pos="-720"/>
              </w:tabs>
              <w:rPr>
                <w:sz w:val="20"/>
                <w:szCs w:val="20"/>
                <w:lang w:val="en-US"/>
              </w:rPr>
            </w:pPr>
          </w:p>
          <w:p w:rsidR="00770786" w:rsidRPr="00893B19" w:rsidRDefault="001F2E60" w:rsidP="00770786">
            <w:pPr>
              <w:tabs>
                <w:tab w:val="left" w:pos="-1440"/>
                <w:tab w:val="left" w:pos="-720"/>
              </w:tabs>
              <w:rPr>
                <w:b/>
                <w:sz w:val="20"/>
                <w:szCs w:val="20"/>
                <w:lang w:val="en-US"/>
              </w:rPr>
            </w:pPr>
            <w:r w:rsidRPr="00893B19">
              <w:rPr>
                <w:b/>
                <w:sz w:val="20"/>
                <w:szCs w:val="20"/>
                <w:lang w:val="en-US"/>
              </w:rPr>
              <w:t xml:space="preserve">Her Majesty the Queen </w:t>
            </w:r>
            <w:r w:rsidR="00770786" w:rsidRPr="00893B19">
              <w:rPr>
                <w:b/>
                <w:sz w:val="20"/>
                <w:szCs w:val="20"/>
                <w:lang w:val="en-US"/>
              </w:rPr>
              <w:t>(</w:t>
            </w:r>
            <w:r w:rsidRPr="00893B19">
              <w:rPr>
                <w:b/>
                <w:sz w:val="20"/>
                <w:szCs w:val="20"/>
                <w:lang w:val="en-US"/>
              </w:rPr>
              <w:t>B.C.</w:t>
            </w:r>
            <w:r w:rsidR="00770786" w:rsidRPr="00893B19">
              <w:rPr>
                <w:b/>
                <w:sz w:val="20"/>
                <w:szCs w:val="20"/>
                <w:lang w:val="en-US"/>
              </w:rPr>
              <w:t>)</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1F2E60" w:rsidRPr="00893B19">
              <w:rPr>
                <w:sz w:val="20"/>
                <w:szCs w:val="20"/>
                <w:lang w:val="en-US"/>
              </w:rPr>
              <w:t>Levitz, Q.C., Mark</w:t>
            </w:r>
          </w:p>
          <w:p w:rsidR="00770786" w:rsidRPr="00893B19" w:rsidRDefault="00770786" w:rsidP="00770786">
            <w:pPr>
              <w:tabs>
                <w:tab w:val="left" w:pos="-1440"/>
                <w:tab w:val="left" w:pos="-720"/>
              </w:tabs>
              <w:rPr>
                <w:sz w:val="20"/>
                <w:szCs w:val="20"/>
              </w:rPr>
            </w:pPr>
            <w:r w:rsidRPr="00893B19">
              <w:rPr>
                <w:sz w:val="20"/>
                <w:szCs w:val="20"/>
                <w:lang w:val="en-US"/>
              </w:rPr>
              <w:tab/>
            </w:r>
            <w:r w:rsidR="001F2E60" w:rsidRPr="00893B19">
              <w:rPr>
                <w:sz w:val="20"/>
                <w:szCs w:val="20"/>
              </w:rPr>
              <w:t>Attorney General of British Columbia</w:t>
            </w:r>
          </w:p>
          <w:p w:rsidR="00770786" w:rsidRPr="00893B19" w:rsidRDefault="00770786" w:rsidP="00770786">
            <w:pPr>
              <w:tabs>
                <w:tab w:val="left" w:pos="-1440"/>
                <w:tab w:val="left" w:pos="-720"/>
              </w:tabs>
              <w:rPr>
                <w:sz w:val="20"/>
                <w:szCs w:val="20"/>
              </w:rPr>
            </w:pPr>
          </w:p>
          <w:p w:rsidR="00770786" w:rsidRPr="00893B19" w:rsidRDefault="00770786" w:rsidP="00770786">
            <w:pPr>
              <w:rPr>
                <w:sz w:val="20"/>
                <w:szCs w:val="20"/>
              </w:rPr>
            </w:pPr>
            <w:r w:rsidRPr="00893B19">
              <w:rPr>
                <w:sz w:val="20"/>
                <w:szCs w:val="20"/>
              </w:rPr>
              <w:t xml:space="preserve">FILING DATE: </w:t>
            </w:r>
            <w:r w:rsidR="001F2E60" w:rsidRPr="00893B19">
              <w:rPr>
                <w:sz w:val="20"/>
                <w:szCs w:val="20"/>
              </w:rPr>
              <w:t>May</w:t>
            </w:r>
            <w:r w:rsidRPr="00893B19">
              <w:rPr>
                <w:sz w:val="20"/>
                <w:szCs w:val="20"/>
              </w:rPr>
              <w:t xml:space="preserve"> </w:t>
            </w:r>
            <w:r w:rsidR="001F2E60" w:rsidRPr="00893B19">
              <w:rPr>
                <w:sz w:val="20"/>
                <w:szCs w:val="20"/>
              </w:rPr>
              <w:t>15</w:t>
            </w:r>
            <w:r w:rsidRPr="00893B19">
              <w:rPr>
                <w:sz w:val="20"/>
                <w:szCs w:val="20"/>
              </w:rPr>
              <w:t>, 2020</w:t>
            </w:r>
          </w:p>
          <w:p w:rsidR="00770786" w:rsidRPr="00893B19" w:rsidRDefault="00770786" w:rsidP="00770786">
            <w:pPr>
              <w:rPr>
                <w:sz w:val="20"/>
                <w:szCs w:val="20"/>
              </w:rPr>
            </w:pPr>
          </w:p>
          <w:p w:rsidR="00770786" w:rsidRPr="00893B19" w:rsidRDefault="00867539" w:rsidP="00770786">
            <w:pPr>
              <w:rPr>
                <w:b/>
                <w:sz w:val="20"/>
                <w:szCs w:val="20"/>
                <w:lang w:val="fr-CA"/>
              </w:rPr>
            </w:pPr>
            <w:r>
              <w:rPr>
                <w:sz w:val="20"/>
                <w:szCs w:val="20"/>
                <w:lang w:val="fr-CA"/>
              </w:rPr>
              <w:pict>
                <v:rect id="_x0000_i1032" style="width:108pt;height:1pt" o:hrpct="0" o:hrstd="t" o:hrnoshade="t" o:hr="t" fillcolor="black [3213]" stroked="f"/>
              </w:pict>
            </w:r>
          </w:p>
        </w:tc>
      </w:tr>
      <w:tr w:rsidR="00770786" w:rsidRPr="00893B19" w:rsidTr="00F138C1">
        <w:tc>
          <w:tcPr>
            <w:tcW w:w="4239" w:type="dxa"/>
            <w:shd w:val="clear" w:color="auto" w:fill="auto"/>
          </w:tcPr>
          <w:p w:rsidR="00770786" w:rsidRPr="00893B19" w:rsidRDefault="00FD5D63" w:rsidP="00770786">
            <w:pPr>
              <w:rPr>
                <w:sz w:val="20"/>
                <w:szCs w:val="20"/>
                <w:lang w:val="fr-CA"/>
              </w:rPr>
            </w:pPr>
            <w:r w:rsidRPr="00893B19">
              <w:rPr>
                <w:b/>
                <w:sz w:val="20"/>
                <w:szCs w:val="20"/>
                <w:lang w:val="fr-CA"/>
              </w:rPr>
              <w:t>Pierre Donaldson, et al.</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FD5D63" w:rsidRPr="00893B19">
              <w:rPr>
                <w:sz w:val="20"/>
                <w:szCs w:val="20"/>
                <w:lang w:val="fr-CA"/>
              </w:rPr>
              <w:t>Moreau, Bernard</w:t>
            </w:r>
          </w:p>
          <w:p w:rsidR="00FD5D63" w:rsidRPr="00893B19" w:rsidRDefault="00FD5D63" w:rsidP="00770786">
            <w:pPr>
              <w:tabs>
                <w:tab w:val="left" w:pos="-1440"/>
                <w:tab w:val="left" w:pos="-720"/>
              </w:tabs>
              <w:rPr>
                <w:sz w:val="20"/>
                <w:szCs w:val="20"/>
                <w:lang w:val="fr-CA"/>
              </w:rPr>
            </w:pPr>
            <w:r w:rsidRPr="00893B19">
              <w:rPr>
                <w:sz w:val="20"/>
                <w:szCs w:val="20"/>
                <w:lang w:val="fr-CA"/>
              </w:rPr>
              <w:tab/>
              <w:t>DHC Avocats</w:t>
            </w:r>
          </w:p>
          <w:p w:rsidR="00770786" w:rsidRPr="00893B19" w:rsidRDefault="00770786" w:rsidP="00770786">
            <w:pPr>
              <w:tabs>
                <w:tab w:val="left" w:pos="-1440"/>
                <w:tab w:val="left" w:pos="-720"/>
              </w:tabs>
              <w:rPr>
                <w:sz w:val="20"/>
                <w:szCs w:val="20"/>
                <w:lang w:val="fr-CA"/>
              </w:rPr>
            </w:pP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FD5D63" w:rsidRPr="00893B19">
              <w:rPr>
                <w:sz w:val="20"/>
                <w:szCs w:val="20"/>
                <w:lang w:val="fr-CA"/>
              </w:rPr>
              <w:t>c</w:t>
            </w:r>
            <w:r w:rsidRPr="00893B19">
              <w:rPr>
                <w:sz w:val="20"/>
                <w:szCs w:val="20"/>
                <w:lang w:val="fr-CA"/>
              </w:rPr>
              <w:t>. (3</w:t>
            </w:r>
            <w:r w:rsidR="00FD5D63" w:rsidRPr="00893B19">
              <w:rPr>
                <w:sz w:val="20"/>
                <w:szCs w:val="20"/>
                <w:lang w:val="fr-CA"/>
              </w:rPr>
              <w:t>915</w:t>
            </w:r>
            <w:r w:rsidRPr="00893B19">
              <w:rPr>
                <w:sz w:val="20"/>
                <w:szCs w:val="20"/>
                <w:lang w:val="fr-CA"/>
              </w:rPr>
              <w:t>8)</w:t>
            </w:r>
          </w:p>
          <w:p w:rsidR="00770786" w:rsidRPr="00893B19" w:rsidRDefault="00770786" w:rsidP="00770786">
            <w:pPr>
              <w:tabs>
                <w:tab w:val="left" w:pos="-1440"/>
                <w:tab w:val="left" w:pos="-720"/>
              </w:tabs>
              <w:rPr>
                <w:sz w:val="20"/>
                <w:szCs w:val="20"/>
                <w:lang w:val="fr-CA"/>
              </w:rPr>
            </w:pPr>
          </w:p>
          <w:p w:rsidR="00770786" w:rsidRPr="00893B19" w:rsidRDefault="00FD5D63" w:rsidP="00770786">
            <w:pPr>
              <w:tabs>
                <w:tab w:val="left" w:pos="-1440"/>
                <w:tab w:val="left" w:pos="-720"/>
              </w:tabs>
              <w:rPr>
                <w:b/>
                <w:sz w:val="20"/>
                <w:szCs w:val="20"/>
                <w:lang w:val="fr-CA"/>
              </w:rPr>
            </w:pPr>
            <w:r w:rsidRPr="00893B19">
              <w:rPr>
                <w:b/>
                <w:sz w:val="20"/>
                <w:szCs w:val="20"/>
                <w:lang w:val="fr-CA"/>
              </w:rPr>
              <w:t xml:space="preserve">Autorité des marchés financiers, et al. </w:t>
            </w:r>
            <w:r w:rsidR="00770786" w:rsidRPr="00893B19">
              <w:rPr>
                <w:b/>
                <w:sz w:val="20"/>
                <w:szCs w:val="20"/>
                <w:lang w:val="fr-CA"/>
              </w:rPr>
              <w:t>(</w:t>
            </w:r>
            <w:r w:rsidRPr="00893B19">
              <w:rPr>
                <w:b/>
                <w:sz w:val="20"/>
                <w:szCs w:val="20"/>
                <w:lang w:val="fr-CA"/>
              </w:rPr>
              <w:t>Qc</w:t>
            </w:r>
            <w:r w:rsidR="00770786" w:rsidRPr="00893B19">
              <w:rPr>
                <w:b/>
                <w:sz w:val="20"/>
                <w:szCs w:val="20"/>
                <w:lang w:val="fr-CA"/>
              </w:rPr>
              <w:t>)</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FD5D63" w:rsidRPr="00893B19">
              <w:rPr>
                <w:sz w:val="20"/>
                <w:szCs w:val="20"/>
                <w:lang w:val="fr-CA"/>
              </w:rPr>
              <w:t>Jolin, Stéphanie</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FD5D63" w:rsidRPr="00893B19">
              <w:rPr>
                <w:sz w:val="20"/>
                <w:szCs w:val="20"/>
                <w:lang w:val="fr-CA"/>
              </w:rPr>
              <w:t>Autorité des marchés financiers</w:t>
            </w:r>
          </w:p>
          <w:p w:rsidR="00770786" w:rsidRPr="00893B19" w:rsidRDefault="00770786" w:rsidP="00770786">
            <w:pPr>
              <w:tabs>
                <w:tab w:val="left" w:pos="-1440"/>
                <w:tab w:val="left" w:pos="-720"/>
              </w:tabs>
              <w:rPr>
                <w:sz w:val="20"/>
                <w:szCs w:val="20"/>
                <w:lang w:val="fr-CA"/>
              </w:rPr>
            </w:pPr>
          </w:p>
          <w:p w:rsidR="00770786" w:rsidRPr="00893B19" w:rsidRDefault="00770786" w:rsidP="00770786">
            <w:pPr>
              <w:rPr>
                <w:sz w:val="20"/>
                <w:szCs w:val="20"/>
                <w:lang w:val="fr-CA"/>
              </w:rPr>
            </w:pPr>
            <w:r w:rsidRPr="00893B19">
              <w:rPr>
                <w:sz w:val="20"/>
                <w:szCs w:val="20"/>
                <w:lang w:val="fr-CA"/>
              </w:rPr>
              <w:t>DATE</w:t>
            </w:r>
            <w:r w:rsidR="00FD5D63" w:rsidRPr="00893B19">
              <w:rPr>
                <w:sz w:val="20"/>
                <w:szCs w:val="20"/>
                <w:lang w:val="fr-CA"/>
              </w:rPr>
              <w:t xml:space="preserve"> DE PRODUCTION </w:t>
            </w:r>
            <w:r w:rsidRPr="00893B19">
              <w:rPr>
                <w:sz w:val="20"/>
                <w:szCs w:val="20"/>
                <w:lang w:val="fr-CA"/>
              </w:rPr>
              <w:t xml:space="preserve">: </w:t>
            </w:r>
            <w:r w:rsidR="00FD5D63" w:rsidRPr="00893B19">
              <w:rPr>
                <w:sz w:val="20"/>
                <w:szCs w:val="20"/>
                <w:lang w:val="fr-CA"/>
              </w:rPr>
              <w:t>le 14 mai</w:t>
            </w:r>
            <w:r w:rsidRPr="00893B19">
              <w:rPr>
                <w:sz w:val="20"/>
                <w:szCs w:val="20"/>
                <w:lang w:val="fr-CA"/>
              </w:rPr>
              <w:t xml:space="preserve"> 2020</w:t>
            </w:r>
          </w:p>
          <w:p w:rsidR="00770786" w:rsidRPr="00893B19" w:rsidRDefault="00770786" w:rsidP="00770786">
            <w:pPr>
              <w:rPr>
                <w:sz w:val="20"/>
                <w:szCs w:val="20"/>
                <w:lang w:val="fr-CA"/>
              </w:rPr>
            </w:pPr>
          </w:p>
          <w:p w:rsidR="00770786" w:rsidRPr="00893B19" w:rsidRDefault="00867539" w:rsidP="00770786">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FD5D63" w:rsidRPr="00893B19" w:rsidRDefault="00FD5D63"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tc>
        <w:tc>
          <w:tcPr>
            <w:tcW w:w="4239" w:type="dxa"/>
            <w:shd w:val="clear" w:color="auto" w:fill="auto"/>
          </w:tcPr>
          <w:p w:rsidR="00770786" w:rsidRPr="00893B19" w:rsidRDefault="00FD5D63" w:rsidP="00770786">
            <w:pPr>
              <w:rPr>
                <w:sz w:val="20"/>
                <w:szCs w:val="20"/>
                <w:lang w:val="fr-CA"/>
              </w:rPr>
            </w:pPr>
            <w:r w:rsidRPr="00893B19">
              <w:rPr>
                <w:b/>
                <w:sz w:val="20"/>
                <w:szCs w:val="20"/>
                <w:lang w:val="fr-CA"/>
              </w:rPr>
              <w:t>Sa Majesté la Reine</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FD5D63" w:rsidRPr="00893B19">
              <w:rPr>
                <w:sz w:val="20"/>
                <w:szCs w:val="20"/>
                <w:lang w:val="fr-CA"/>
              </w:rPr>
              <w:t>Bal, Louis-Charles</w:t>
            </w:r>
          </w:p>
          <w:p w:rsidR="00FD5D63" w:rsidRPr="00893B19" w:rsidRDefault="00FD5D63" w:rsidP="00770786">
            <w:pPr>
              <w:tabs>
                <w:tab w:val="left" w:pos="-1440"/>
                <w:tab w:val="left" w:pos="-720"/>
              </w:tabs>
              <w:rPr>
                <w:sz w:val="20"/>
                <w:szCs w:val="20"/>
                <w:lang w:val="fr-CA"/>
              </w:rPr>
            </w:pPr>
            <w:r w:rsidRPr="00893B19">
              <w:rPr>
                <w:sz w:val="20"/>
                <w:szCs w:val="20"/>
                <w:lang w:val="fr-CA"/>
              </w:rPr>
              <w:tab/>
              <w:t xml:space="preserve">Poursuites criminelles et pénales du </w:t>
            </w:r>
          </w:p>
          <w:p w:rsidR="00FD5D63" w:rsidRPr="00893B19" w:rsidRDefault="00FD5D63" w:rsidP="00770786">
            <w:pPr>
              <w:tabs>
                <w:tab w:val="left" w:pos="-1440"/>
                <w:tab w:val="left" w:pos="-720"/>
              </w:tabs>
              <w:rPr>
                <w:sz w:val="20"/>
                <w:szCs w:val="20"/>
                <w:lang w:val="fr-CA"/>
              </w:rPr>
            </w:pPr>
            <w:r w:rsidRPr="00893B19">
              <w:rPr>
                <w:sz w:val="20"/>
                <w:szCs w:val="20"/>
                <w:lang w:val="fr-CA"/>
              </w:rPr>
              <w:tab/>
              <w:t>Québec</w:t>
            </w:r>
          </w:p>
          <w:p w:rsidR="00770786" w:rsidRPr="00893B19" w:rsidRDefault="00770786" w:rsidP="00770786">
            <w:pPr>
              <w:tabs>
                <w:tab w:val="left" w:pos="-1440"/>
                <w:tab w:val="left" w:pos="-720"/>
              </w:tabs>
              <w:rPr>
                <w:sz w:val="20"/>
                <w:szCs w:val="20"/>
                <w:lang w:val="fr-CA"/>
              </w:rPr>
            </w:pP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FD5D63" w:rsidRPr="00893B19">
              <w:rPr>
                <w:sz w:val="20"/>
                <w:szCs w:val="20"/>
                <w:lang w:val="fr-CA"/>
              </w:rPr>
              <w:t>c</w:t>
            </w:r>
            <w:r w:rsidRPr="00893B19">
              <w:rPr>
                <w:sz w:val="20"/>
                <w:szCs w:val="20"/>
                <w:lang w:val="fr-CA"/>
              </w:rPr>
              <w:t>. (391</w:t>
            </w:r>
            <w:r w:rsidR="00FD5D63" w:rsidRPr="00893B19">
              <w:rPr>
                <w:sz w:val="20"/>
                <w:szCs w:val="20"/>
                <w:lang w:val="fr-CA"/>
              </w:rPr>
              <w:t>62</w:t>
            </w:r>
            <w:r w:rsidRPr="00893B19">
              <w:rPr>
                <w:sz w:val="20"/>
                <w:szCs w:val="20"/>
                <w:lang w:val="fr-CA"/>
              </w:rPr>
              <w:t>)</w:t>
            </w:r>
          </w:p>
          <w:p w:rsidR="00770786" w:rsidRPr="00893B19" w:rsidRDefault="00770786" w:rsidP="00770786">
            <w:pPr>
              <w:tabs>
                <w:tab w:val="left" w:pos="-1440"/>
                <w:tab w:val="left" w:pos="-720"/>
              </w:tabs>
              <w:rPr>
                <w:sz w:val="20"/>
                <w:szCs w:val="20"/>
                <w:lang w:val="fr-CA"/>
              </w:rPr>
            </w:pPr>
          </w:p>
          <w:p w:rsidR="00770786" w:rsidRPr="00893B19" w:rsidRDefault="00FD5D63" w:rsidP="00770786">
            <w:pPr>
              <w:tabs>
                <w:tab w:val="left" w:pos="-1440"/>
                <w:tab w:val="left" w:pos="-720"/>
              </w:tabs>
              <w:rPr>
                <w:b/>
                <w:sz w:val="20"/>
                <w:szCs w:val="20"/>
                <w:lang w:val="fr-CA"/>
              </w:rPr>
            </w:pPr>
            <w:r w:rsidRPr="00893B19">
              <w:rPr>
                <w:b/>
                <w:sz w:val="20"/>
                <w:szCs w:val="20"/>
                <w:lang w:val="fr-CA"/>
              </w:rPr>
              <w:t xml:space="preserve">Richard Vallières </w:t>
            </w:r>
            <w:r w:rsidR="00770786" w:rsidRPr="00893B19">
              <w:rPr>
                <w:b/>
                <w:sz w:val="20"/>
                <w:szCs w:val="20"/>
                <w:lang w:val="fr-CA"/>
              </w:rPr>
              <w:t>(</w:t>
            </w:r>
            <w:r w:rsidRPr="00893B19">
              <w:rPr>
                <w:b/>
                <w:sz w:val="20"/>
                <w:szCs w:val="20"/>
                <w:lang w:val="fr-CA"/>
              </w:rPr>
              <w:t>Qc</w:t>
            </w:r>
            <w:r w:rsidR="00770786" w:rsidRPr="00893B19">
              <w:rPr>
                <w:b/>
                <w:sz w:val="20"/>
                <w:szCs w:val="20"/>
                <w:lang w:val="fr-CA"/>
              </w:rPr>
              <w:t>)</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FD5D63" w:rsidRPr="00893B19">
              <w:rPr>
                <w:sz w:val="20"/>
                <w:szCs w:val="20"/>
                <w:lang w:val="fr-CA"/>
              </w:rPr>
              <w:t>Vivas, Maria S.</w:t>
            </w:r>
          </w:p>
          <w:p w:rsidR="00770786" w:rsidRPr="00893B19" w:rsidRDefault="00770786" w:rsidP="00770786">
            <w:pPr>
              <w:tabs>
                <w:tab w:val="left" w:pos="-1440"/>
                <w:tab w:val="left" w:pos="-720"/>
              </w:tabs>
              <w:rPr>
                <w:sz w:val="20"/>
                <w:szCs w:val="20"/>
                <w:lang w:val="fr-CA"/>
              </w:rPr>
            </w:pPr>
          </w:p>
          <w:p w:rsidR="00770786" w:rsidRPr="00893B19" w:rsidRDefault="00770786" w:rsidP="00770786">
            <w:pPr>
              <w:rPr>
                <w:sz w:val="20"/>
                <w:szCs w:val="20"/>
                <w:lang w:val="fr-CA"/>
              </w:rPr>
            </w:pPr>
            <w:r w:rsidRPr="00893B19">
              <w:rPr>
                <w:sz w:val="20"/>
                <w:szCs w:val="20"/>
                <w:lang w:val="fr-CA"/>
              </w:rPr>
              <w:t>DATE</w:t>
            </w:r>
            <w:r w:rsidR="00FD5D63" w:rsidRPr="00893B19">
              <w:rPr>
                <w:sz w:val="20"/>
                <w:szCs w:val="20"/>
                <w:lang w:val="fr-CA"/>
              </w:rPr>
              <w:t xml:space="preserve"> DE PRODUCTION</w:t>
            </w:r>
            <w:r w:rsidR="0020305E" w:rsidRPr="00893B19">
              <w:rPr>
                <w:sz w:val="20"/>
                <w:szCs w:val="20"/>
                <w:lang w:val="fr-CA"/>
              </w:rPr>
              <w:t xml:space="preserve"> </w:t>
            </w:r>
            <w:r w:rsidRPr="00893B19">
              <w:rPr>
                <w:sz w:val="20"/>
                <w:szCs w:val="20"/>
                <w:lang w:val="fr-CA"/>
              </w:rPr>
              <w:t xml:space="preserve">: </w:t>
            </w:r>
            <w:r w:rsidR="00FD5D63" w:rsidRPr="00893B19">
              <w:rPr>
                <w:sz w:val="20"/>
                <w:szCs w:val="20"/>
                <w:lang w:val="fr-CA"/>
              </w:rPr>
              <w:t>le 15 mai</w:t>
            </w:r>
            <w:r w:rsidRPr="00893B19">
              <w:rPr>
                <w:sz w:val="20"/>
                <w:szCs w:val="20"/>
                <w:lang w:val="fr-CA"/>
              </w:rPr>
              <w:t xml:space="preserve"> 2020</w:t>
            </w:r>
          </w:p>
          <w:p w:rsidR="00770786" w:rsidRPr="00893B19" w:rsidRDefault="00770786" w:rsidP="00770786">
            <w:pPr>
              <w:rPr>
                <w:sz w:val="20"/>
                <w:szCs w:val="20"/>
                <w:lang w:val="fr-CA"/>
              </w:rPr>
            </w:pPr>
          </w:p>
          <w:p w:rsidR="00770786" w:rsidRPr="00893B19" w:rsidRDefault="00867539" w:rsidP="00770786">
            <w:pPr>
              <w:rPr>
                <w:b/>
                <w:sz w:val="20"/>
                <w:szCs w:val="20"/>
                <w:lang w:val="en-US"/>
              </w:rPr>
            </w:pPr>
            <w:r>
              <w:rPr>
                <w:sz w:val="20"/>
                <w:szCs w:val="20"/>
                <w:lang w:val="fr-CA"/>
              </w:rPr>
              <w:pict>
                <v:rect id="_x0000_i1034" style="width:108pt;height:1pt" o:hrpct="0" o:hrstd="t" o:hrnoshade="t" o:hr="t" fillcolor="black [3213]" stroked="f"/>
              </w:pict>
            </w:r>
          </w:p>
        </w:tc>
      </w:tr>
      <w:tr w:rsidR="00770786" w:rsidRPr="00893B19" w:rsidTr="00F138C1">
        <w:tc>
          <w:tcPr>
            <w:tcW w:w="4239" w:type="dxa"/>
            <w:shd w:val="clear" w:color="auto" w:fill="auto"/>
          </w:tcPr>
          <w:p w:rsidR="00770786" w:rsidRPr="00893B19" w:rsidRDefault="0020305E" w:rsidP="00770786">
            <w:pPr>
              <w:rPr>
                <w:sz w:val="20"/>
                <w:szCs w:val="20"/>
                <w:lang w:val="en-US"/>
              </w:rPr>
            </w:pPr>
            <w:r w:rsidRPr="00893B19">
              <w:rPr>
                <w:b/>
                <w:sz w:val="20"/>
                <w:szCs w:val="20"/>
                <w:lang w:val="en-US"/>
              </w:rPr>
              <w:t>625536 B.C. Ltd.</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20305E" w:rsidRPr="00893B19">
              <w:rPr>
                <w:sz w:val="20"/>
                <w:szCs w:val="20"/>
                <w:lang w:val="en-US"/>
              </w:rPr>
              <w:t>Harvey, Q.C., Christopher</w:t>
            </w:r>
          </w:p>
          <w:p w:rsidR="0020305E" w:rsidRPr="00893B19" w:rsidRDefault="0020305E" w:rsidP="00770786">
            <w:pPr>
              <w:tabs>
                <w:tab w:val="left" w:pos="-1440"/>
                <w:tab w:val="left" w:pos="-720"/>
              </w:tabs>
              <w:rPr>
                <w:sz w:val="20"/>
                <w:szCs w:val="20"/>
                <w:lang w:val="en-US"/>
              </w:rPr>
            </w:pPr>
            <w:r w:rsidRPr="00893B19">
              <w:rPr>
                <w:sz w:val="20"/>
                <w:szCs w:val="20"/>
                <w:lang w:val="en-US"/>
              </w:rPr>
              <w:tab/>
              <w:t>MacKenzie Fujisawa</w:t>
            </w:r>
          </w:p>
          <w:p w:rsidR="00770786" w:rsidRPr="00893B19" w:rsidRDefault="00770786" w:rsidP="00770786">
            <w:pPr>
              <w:tabs>
                <w:tab w:val="left" w:pos="-1440"/>
                <w:tab w:val="left" w:pos="-720"/>
              </w:tabs>
              <w:rPr>
                <w:sz w:val="20"/>
                <w:szCs w:val="20"/>
                <w:lang w:val="en-US"/>
              </w:rPr>
            </w:pPr>
          </w:p>
          <w:p w:rsidR="00770786" w:rsidRPr="00893B19" w:rsidRDefault="00770786" w:rsidP="00770786">
            <w:pPr>
              <w:tabs>
                <w:tab w:val="left" w:pos="-1440"/>
                <w:tab w:val="left" w:pos="-720"/>
              </w:tabs>
              <w:rPr>
                <w:sz w:val="20"/>
                <w:szCs w:val="20"/>
                <w:lang w:val="en-US"/>
              </w:rPr>
            </w:pPr>
            <w:r w:rsidRPr="00893B19">
              <w:rPr>
                <w:sz w:val="20"/>
                <w:szCs w:val="20"/>
                <w:lang w:val="en-US"/>
              </w:rPr>
              <w:tab/>
              <w:t>v. (391</w:t>
            </w:r>
            <w:r w:rsidR="00FD04FC" w:rsidRPr="00893B19">
              <w:rPr>
                <w:sz w:val="20"/>
                <w:szCs w:val="20"/>
                <w:lang w:val="en-US"/>
              </w:rPr>
              <w:t>64</w:t>
            </w:r>
            <w:r w:rsidRPr="00893B19">
              <w:rPr>
                <w:sz w:val="20"/>
                <w:szCs w:val="20"/>
                <w:lang w:val="en-US"/>
              </w:rPr>
              <w:t>)</w:t>
            </w:r>
          </w:p>
          <w:p w:rsidR="00770786" w:rsidRPr="00893B19" w:rsidRDefault="00770786" w:rsidP="00770786">
            <w:pPr>
              <w:tabs>
                <w:tab w:val="left" w:pos="-1440"/>
                <w:tab w:val="left" w:pos="-720"/>
              </w:tabs>
              <w:rPr>
                <w:sz w:val="20"/>
                <w:szCs w:val="20"/>
                <w:lang w:val="en-US"/>
              </w:rPr>
            </w:pPr>
          </w:p>
          <w:p w:rsidR="00770786" w:rsidRPr="00893B19" w:rsidRDefault="0020305E" w:rsidP="00770786">
            <w:pPr>
              <w:tabs>
                <w:tab w:val="left" w:pos="-1440"/>
                <w:tab w:val="left" w:pos="-720"/>
              </w:tabs>
              <w:rPr>
                <w:b/>
                <w:sz w:val="20"/>
                <w:szCs w:val="20"/>
                <w:lang w:val="en-US"/>
              </w:rPr>
            </w:pPr>
            <w:r w:rsidRPr="00893B19">
              <w:rPr>
                <w:b/>
                <w:sz w:val="20"/>
                <w:szCs w:val="20"/>
                <w:lang w:val="en-US"/>
              </w:rPr>
              <w:t xml:space="preserve">Forjay Management Ltd., et al. </w:t>
            </w:r>
            <w:r w:rsidR="00770786" w:rsidRPr="00893B19">
              <w:rPr>
                <w:b/>
                <w:sz w:val="20"/>
                <w:szCs w:val="20"/>
                <w:lang w:val="en-US"/>
              </w:rPr>
              <w:t>(</w:t>
            </w:r>
            <w:r w:rsidRPr="00893B19">
              <w:rPr>
                <w:b/>
                <w:sz w:val="20"/>
                <w:szCs w:val="20"/>
                <w:lang w:val="en-US"/>
              </w:rPr>
              <w:t>B.C</w:t>
            </w:r>
            <w:r w:rsidR="00770786" w:rsidRPr="00893B19">
              <w:rPr>
                <w:b/>
                <w:sz w:val="20"/>
                <w:szCs w:val="20"/>
                <w:lang w:val="en-US"/>
              </w:rPr>
              <w:t>.)</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20305E" w:rsidRPr="00893B19">
              <w:rPr>
                <w:sz w:val="20"/>
                <w:szCs w:val="20"/>
                <w:lang w:val="en-US"/>
              </w:rPr>
              <w:t>Jackson, Kibben</w:t>
            </w:r>
          </w:p>
          <w:p w:rsidR="00770786" w:rsidRPr="00893B19" w:rsidRDefault="00770786" w:rsidP="00770786">
            <w:pPr>
              <w:tabs>
                <w:tab w:val="left" w:pos="-1440"/>
                <w:tab w:val="left" w:pos="-720"/>
              </w:tabs>
              <w:rPr>
                <w:sz w:val="20"/>
                <w:szCs w:val="20"/>
              </w:rPr>
            </w:pPr>
            <w:r w:rsidRPr="00893B19">
              <w:rPr>
                <w:sz w:val="20"/>
                <w:szCs w:val="20"/>
                <w:lang w:val="en-US"/>
              </w:rPr>
              <w:tab/>
            </w:r>
            <w:r w:rsidR="0020305E" w:rsidRPr="00893B19">
              <w:rPr>
                <w:sz w:val="20"/>
                <w:szCs w:val="20"/>
              </w:rPr>
              <w:t>Fasken Martineau DuMoulin LLP</w:t>
            </w:r>
          </w:p>
          <w:p w:rsidR="00770786" w:rsidRPr="00893B19" w:rsidRDefault="00770786" w:rsidP="00770786">
            <w:pPr>
              <w:tabs>
                <w:tab w:val="left" w:pos="-1440"/>
                <w:tab w:val="left" w:pos="-720"/>
              </w:tabs>
              <w:rPr>
                <w:sz w:val="20"/>
                <w:szCs w:val="20"/>
              </w:rPr>
            </w:pPr>
          </w:p>
          <w:p w:rsidR="00770786" w:rsidRPr="00893B19" w:rsidRDefault="00770786" w:rsidP="00770786">
            <w:pPr>
              <w:rPr>
                <w:sz w:val="20"/>
                <w:szCs w:val="20"/>
              </w:rPr>
            </w:pPr>
            <w:r w:rsidRPr="00893B19">
              <w:rPr>
                <w:sz w:val="20"/>
                <w:szCs w:val="20"/>
              </w:rPr>
              <w:t xml:space="preserve">FILING DATE: </w:t>
            </w:r>
            <w:r w:rsidR="0020305E" w:rsidRPr="00893B19">
              <w:rPr>
                <w:sz w:val="20"/>
                <w:szCs w:val="20"/>
              </w:rPr>
              <w:t>May</w:t>
            </w:r>
            <w:r w:rsidRPr="00893B19">
              <w:rPr>
                <w:sz w:val="20"/>
                <w:szCs w:val="20"/>
              </w:rPr>
              <w:t xml:space="preserve"> </w:t>
            </w:r>
            <w:r w:rsidR="0020305E" w:rsidRPr="00893B19">
              <w:rPr>
                <w:sz w:val="20"/>
                <w:szCs w:val="20"/>
              </w:rPr>
              <w:t>1</w:t>
            </w:r>
            <w:r w:rsidRPr="00893B19">
              <w:rPr>
                <w:sz w:val="20"/>
                <w:szCs w:val="20"/>
              </w:rPr>
              <w:t>6, 2020</w:t>
            </w:r>
          </w:p>
          <w:p w:rsidR="00770786" w:rsidRPr="00893B19" w:rsidRDefault="00770786" w:rsidP="00770786">
            <w:pPr>
              <w:rPr>
                <w:sz w:val="20"/>
                <w:szCs w:val="20"/>
              </w:rPr>
            </w:pPr>
          </w:p>
          <w:p w:rsidR="00770786" w:rsidRPr="00893B19" w:rsidRDefault="00867539" w:rsidP="00770786">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6732D2" w:rsidRPr="00893B19" w:rsidRDefault="006732D2"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20305E" w:rsidRPr="00893B19" w:rsidRDefault="0020305E" w:rsidP="00F138C1">
            <w:pPr>
              <w:jc w:val="center"/>
              <w:rPr>
                <w:sz w:val="20"/>
                <w:szCs w:val="20"/>
                <w:lang w:val="en-US"/>
              </w:rPr>
            </w:pPr>
          </w:p>
          <w:p w:rsidR="006732D2" w:rsidRPr="00893B19" w:rsidRDefault="006732D2" w:rsidP="00F138C1">
            <w:pPr>
              <w:jc w:val="center"/>
              <w:rPr>
                <w:sz w:val="20"/>
                <w:szCs w:val="20"/>
                <w:lang w:val="en-US"/>
              </w:rPr>
            </w:pPr>
          </w:p>
          <w:p w:rsidR="006732D2" w:rsidRPr="00893B19" w:rsidRDefault="006732D2"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tc>
        <w:tc>
          <w:tcPr>
            <w:tcW w:w="4239" w:type="dxa"/>
            <w:shd w:val="clear" w:color="auto" w:fill="auto"/>
          </w:tcPr>
          <w:p w:rsidR="00770786" w:rsidRPr="00893B19" w:rsidRDefault="006732D2" w:rsidP="00770786">
            <w:pPr>
              <w:rPr>
                <w:sz w:val="20"/>
                <w:szCs w:val="20"/>
                <w:lang w:val="en-US"/>
              </w:rPr>
            </w:pPr>
            <w:r w:rsidRPr="00893B19">
              <w:rPr>
                <w:b/>
                <w:sz w:val="20"/>
                <w:szCs w:val="20"/>
                <w:lang w:val="en-US"/>
              </w:rPr>
              <w:t>J.B.</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6732D2" w:rsidRPr="00893B19">
              <w:rPr>
                <w:sz w:val="20"/>
                <w:szCs w:val="20"/>
                <w:lang w:val="en-US"/>
              </w:rPr>
              <w:t>Hensel, Katherine</w:t>
            </w:r>
          </w:p>
          <w:p w:rsidR="006732D2" w:rsidRPr="00893B19" w:rsidRDefault="006732D2" w:rsidP="00770786">
            <w:pPr>
              <w:tabs>
                <w:tab w:val="left" w:pos="-1440"/>
                <w:tab w:val="left" w:pos="-720"/>
              </w:tabs>
              <w:rPr>
                <w:sz w:val="20"/>
                <w:szCs w:val="20"/>
                <w:lang w:val="en-US"/>
              </w:rPr>
            </w:pPr>
            <w:r w:rsidRPr="00893B19">
              <w:rPr>
                <w:sz w:val="20"/>
                <w:szCs w:val="20"/>
                <w:lang w:val="en-US"/>
              </w:rPr>
              <w:tab/>
              <w:t>Hensel Barristers</w:t>
            </w:r>
          </w:p>
          <w:p w:rsidR="00770786" w:rsidRPr="00893B19" w:rsidRDefault="00770786" w:rsidP="00770786">
            <w:pPr>
              <w:tabs>
                <w:tab w:val="left" w:pos="-1440"/>
                <w:tab w:val="left" w:pos="-720"/>
              </w:tabs>
              <w:rPr>
                <w:sz w:val="20"/>
                <w:szCs w:val="20"/>
                <w:lang w:val="en-US"/>
              </w:rPr>
            </w:pPr>
          </w:p>
          <w:p w:rsidR="00770786" w:rsidRPr="00893B19" w:rsidRDefault="00770786" w:rsidP="00770786">
            <w:pPr>
              <w:tabs>
                <w:tab w:val="left" w:pos="-1440"/>
                <w:tab w:val="left" w:pos="-720"/>
              </w:tabs>
              <w:rPr>
                <w:sz w:val="20"/>
                <w:szCs w:val="20"/>
                <w:lang w:val="en-US"/>
              </w:rPr>
            </w:pPr>
            <w:r w:rsidRPr="00893B19">
              <w:rPr>
                <w:sz w:val="20"/>
                <w:szCs w:val="20"/>
                <w:lang w:val="en-US"/>
              </w:rPr>
              <w:tab/>
              <w:t>v. (391</w:t>
            </w:r>
            <w:r w:rsidR="006732D2" w:rsidRPr="00893B19">
              <w:rPr>
                <w:sz w:val="20"/>
                <w:szCs w:val="20"/>
                <w:lang w:val="en-US"/>
              </w:rPr>
              <w:t>65</w:t>
            </w:r>
            <w:r w:rsidRPr="00893B19">
              <w:rPr>
                <w:sz w:val="20"/>
                <w:szCs w:val="20"/>
                <w:lang w:val="en-US"/>
              </w:rPr>
              <w:t>)</w:t>
            </w:r>
          </w:p>
          <w:p w:rsidR="00770786" w:rsidRPr="00893B19" w:rsidRDefault="00770786" w:rsidP="00770786">
            <w:pPr>
              <w:tabs>
                <w:tab w:val="left" w:pos="-1440"/>
                <w:tab w:val="left" w:pos="-720"/>
              </w:tabs>
              <w:rPr>
                <w:sz w:val="20"/>
                <w:szCs w:val="20"/>
                <w:lang w:val="en-US"/>
              </w:rPr>
            </w:pPr>
          </w:p>
          <w:p w:rsidR="00770786" w:rsidRPr="00893B19" w:rsidRDefault="006732D2" w:rsidP="00770786">
            <w:pPr>
              <w:tabs>
                <w:tab w:val="left" w:pos="-1440"/>
                <w:tab w:val="left" w:pos="-720"/>
              </w:tabs>
              <w:rPr>
                <w:b/>
                <w:sz w:val="20"/>
                <w:szCs w:val="20"/>
                <w:lang w:val="en-US"/>
              </w:rPr>
            </w:pPr>
            <w:r w:rsidRPr="00893B19">
              <w:rPr>
                <w:b/>
                <w:sz w:val="20"/>
                <w:szCs w:val="20"/>
                <w:lang w:val="en-US"/>
              </w:rPr>
              <w:t xml:space="preserve">Her Majesty The Queen in Right of Ontario as represented by the Minister of Child and Youth Services and the Minister of Health and Long-Term Care, et al. </w:t>
            </w:r>
            <w:r w:rsidR="00770786" w:rsidRPr="00893B19">
              <w:rPr>
                <w:b/>
                <w:sz w:val="20"/>
                <w:szCs w:val="20"/>
                <w:lang w:val="en-US"/>
              </w:rPr>
              <w:t>(</w:t>
            </w:r>
            <w:r w:rsidRPr="00893B19">
              <w:rPr>
                <w:b/>
                <w:sz w:val="20"/>
                <w:szCs w:val="20"/>
                <w:lang w:val="en-US"/>
              </w:rPr>
              <w:t>Ont</w:t>
            </w:r>
            <w:r w:rsidR="00770786" w:rsidRPr="00893B19">
              <w:rPr>
                <w:b/>
                <w:sz w:val="20"/>
                <w:szCs w:val="20"/>
                <w:lang w:val="en-US"/>
              </w:rPr>
              <w:t>.)</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6732D2" w:rsidRPr="00893B19">
              <w:rPr>
                <w:sz w:val="20"/>
                <w:szCs w:val="20"/>
                <w:lang w:val="en-US"/>
              </w:rPr>
              <w:t>Glick, Jeremy</w:t>
            </w:r>
          </w:p>
          <w:p w:rsidR="00770786" w:rsidRPr="00893B19" w:rsidRDefault="00770786" w:rsidP="00770786">
            <w:pPr>
              <w:tabs>
                <w:tab w:val="left" w:pos="-1440"/>
                <w:tab w:val="left" w:pos="-720"/>
              </w:tabs>
              <w:rPr>
                <w:sz w:val="20"/>
                <w:szCs w:val="20"/>
              </w:rPr>
            </w:pPr>
            <w:r w:rsidRPr="00893B19">
              <w:rPr>
                <w:sz w:val="20"/>
                <w:szCs w:val="20"/>
                <w:lang w:val="en-US"/>
              </w:rPr>
              <w:tab/>
            </w:r>
            <w:r w:rsidR="006732D2" w:rsidRPr="00893B19">
              <w:rPr>
                <w:sz w:val="20"/>
                <w:szCs w:val="20"/>
              </w:rPr>
              <w:t>Attorney General of Ontario</w:t>
            </w:r>
          </w:p>
          <w:p w:rsidR="00770786" w:rsidRPr="00893B19" w:rsidRDefault="00770786" w:rsidP="00770786">
            <w:pPr>
              <w:tabs>
                <w:tab w:val="left" w:pos="-1440"/>
                <w:tab w:val="left" w:pos="-720"/>
              </w:tabs>
              <w:rPr>
                <w:sz w:val="20"/>
                <w:szCs w:val="20"/>
              </w:rPr>
            </w:pPr>
          </w:p>
          <w:p w:rsidR="00770786" w:rsidRPr="00893B19" w:rsidRDefault="00770786" w:rsidP="00770786">
            <w:pPr>
              <w:rPr>
                <w:sz w:val="20"/>
                <w:szCs w:val="20"/>
              </w:rPr>
            </w:pPr>
            <w:r w:rsidRPr="00893B19">
              <w:rPr>
                <w:sz w:val="20"/>
                <w:szCs w:val="20"/>
              </w:rPr>
              <w:t xml:space="preserve">FILING DATE: </w:t>
            </w:r>
            <w:r w:rsidR="006732D2" w:rsidRPr="00893B19">
              <w:rPr>
                <w:sz w:val="20"/>
                <w:szCs w:val="20"/>
              </w:rPr>
              <w:t>May 15</w:t>
            </w:r>
            <w:r w:rsidRPr="00893B19">
              <w:rPr>
                <w:sz w:val="20"/>
                <w:szCs w:val="20"/>
              </w:rPr>
              <w:t>, 2020</w:t>
            </w:r>
          </w:p>
          <w:p w:rsidR="00770786" w:rsidRPr="00893B19" w:rsidRDefault="00770786" w:rsidP="00770786">
            <w:pPr>
              <w:rPr>
                <w:sz w:val="20"/>
                <w:szCs w:val="20"/>
              </w:rPr>
            </w:pPr>
          </w:p>
          <w:p w:rsidR="00770786" w:rsidRPr="00893B19" w:rsidRDefault="00867539" w:rsidP="00770786">
            <w:pPr>
              <w:rPr>
                <w:b/>
                <w:sz w:val="20"/>
                <w:szCs w:val="20"/>
                <w:lang w:val="en-US"/>
              </w:rPr>
            </w:pPr>
            <w:r>
              <w:rPr>
                <w:sz w:val="20"/>
                <w:szCs w:val="20"/>
                <w:lang w:val="fr-CA"/>
              </w:rPr>
              <w:pict>
                <v:rect id="_x0000_i1036" style="width:108pt;height:1pt" o:hrpct="0" o:hrstd="t" o:hrnoshade="t" o:hr="t" fillcolor="black [3213]" stroked="f"/>
              </w:pict>
            </w:r>
          </w:p>
        </w:tc>
      </w:tr>
    </w:tbl>
    <w:p w:rsidR="006732D2" w:rsidRPr="00893B19" w:rsidRDefault="006732D2">
      <w:r w:rsidRPr="00893B1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770786" w:rsidRPr="00893B19" w:rsidTr="00F138C1">
        <w:tc>
          <w:tcPr>
            <w:tcW w:w="4239" w:type="dxa"/>
            <w:shd w:val="clear" w:color="auto" w:fill="auto"/>
          </w:tcPr>
          <w:p w:rsidR="00770786" w:rsidRPr="00893B19" w:rsidRDefault="006732D2" w:rsidP="00770786">
            <w:pPr>
              <w:rPr>
                <w:sz w:val="20"/>
                <w:szCs w:val="20"/>
                <w:lang w:val="en-US"/>
              </w:rPr>
            </w:pPr>
            <w:r w:rsidRPr="00893B19">
              <w:rPr>
                <w:b/>
                <w:sz w:val="20"/>
                <w:szCs w:val="20"/>
                <w:lang w:val="en-US"/>
              </w:rPr>
              <w:t>Rivka Moscowitz</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6732D2" w:rsidRPr="00893B19">
              <w:rPr>
                <w:sz w:val="20"/>
                <w:szCs w:val="20"/>
                <w:lang w:val="en-US"/>
              </w:rPr>
              <w:t>Zukran, Joey</w:t>
            </w:r>
          </w:p>
          <w:p w:rsidR="00770786" w:rsidRPr="00893B19" w:rsidRDefault="006732D2" w:rsidP="00770786">
            <w:pPr>
              <w:tabs>
                <w:tab w:val="left" w:pos="-1440"/>
                <w:tab w:val="left" w:pos="-720"/>
              </w:tabs>
              <w:rPr>
                <w:sz w:val="20"/>
                <w:szCs w:val="20"/>
                <w:lang w:val="en-US"/>
              </w:rPr>
            </w:pPr>
            <w:r w:rsidRPr="00893B19">
              <w:rPr>
                <w:sz w:val="20"/>
                <w:szCs w:val="20"/>
                <w:lang w:val="en-US"/>
              </w:rPr>
              <w:tab/>
              <w:t>LPC Avocat</w:t>
            </w:r>
          </w:p>
          <w:p w:rsidR="006732D2" w:rsidRPr="00893B19" w:rsidRDefault="006732D2" w:rsidP="00770786">
            <w:pPr>
              <w:tabs>
                <w:tab w:val="left" w:pos="-1440"/>
                <w:tab w:val="left" w:pos="-720"/>
              </w:tabs>
              <w:rPr>
                <w:sz w:val="20"/>
                <w:szCs w:val="20"/>
                <w:lang w:val="en-US"/>
              </w:rPr>
            </w:pPr>
          </w:p>
          <w:p w:rsidR="00770786" w:rsidRPr="00893B19" w:rsidRDefault="00770786" w:rsidP="00770786">
            <w:pPr>
              <w:tabs>
                <w:tab w:val="left" w:pos="-1440"/>
                <w:tab w:val="left" w:pos="-720"/>
              </w:tabs>
              <w:rPr>
                <w:sz w:val="20"/>
                <w:szCs w:val="20"/>
                <w:lang w:val="en-US"/>
              </w:rPr>
            </w:pPr>
            <w:r w:rsidRPr="00893B19">
              <w:rPr>
                <w:sz w:val="20"/>
                <w:szCs w:val="20"/>
                <w:lang w:val="en-US"/>
              </w:rPr>
              <w:tab/>
              <w:t>v. (391</w:t>
            </w:r>
            <w:r w:rsidR="006732D2" w:rsidRPr="00893B19">
              <w:rPr>
                <w:sz w:val="20"/>
                <w:szCs w:val="20"/>
                <w:lang w:val="en-US"/>
              </w:rPr>
              <w:t>66</w:t>
            </w:r>
            <w:r w:rsidRPr="00893B19">
              <w:rPr>
                <w:sz w:val="20"/>
                <w:szCs w:val="20"/>
                <w:lang w:val="en-US"/>
              </w:rPr>
              <w:t>)</w:t>
            </w:r>
          </w:p>
          <w:p w:rsidR="00770786" w:rsidRPr="00893B19" w:rsidRDefault="00770786" w:rsidP="00770786">
            <w:pPr>
              <w:tabs>
                <w:tab w:val="left" w:pos="-1440"/>
                <w:tab w:val="left" w:pos="-720"/>
              </w:tabs>
              <w:rPr>
                <w:sz w:val="20"/>
                <w:szCs w:val="20"/>
                <w:lang w:val="en-US"/>
              </w:rPr>
            </w:pPr>
          </w:p>
          <w:p w:rsidR="00770786" w:rsidRPr="00893B19" w:rsidRDefault="006732D2" w:rsidP="00770786">
            <w:pPr>
              <w:tabs>
                <w:tab w:val="left" w:pos="-1440"/>
                <w:tab w:val="left" w:pos="-720"/>
              </w:tabs>
              <w:rPr>
                <w:b/>
                <w:sz w:val="20"/>
                <w:szCs w:val="20"/>
                <w:lang w:val="en-US"/>
              </w:rPr>
            </w:pPr>
            <w:r w:rsidRPr="00893B19">
              <w:rPr>
                <w:b/>
                <w:sz w:val="20"/>
                <w:szCs w:val="20"/>
                <w:lang w:val="en-US"/>
              </w:rPr>
              <w:t xml:space="preserve">Attorney General of Quebec </w:t>
            </w:r>
            <w:r w:rsidR="00770786" w:rsidRPr="00893B19">
              <w:rPr>
                <w:b/>
                <w:sz w:val="20"/>
                <w:szCs w:val="20"/>
                <w:lang w:val="en-US"/>
              </w:rPr>
              <w:t>(</w:t>
            </w:r>
            <w:r w:rsidRPr="00893B19">
              <w:rPr>
                <w:b/>
                <w:sz w:val="20"/>
                <w:szCs w:val="20"/>
                <w:lang w:val="en-US"/>
              </w:rPr>
              <w:t>Que</w:t>
            </w:r>
            <w:r w:rsidR="00770786" w:rsidRPr="00893B19">
              <w:rPr>
                <w:b/>
                <w:sz w:val="20"/>
                <w:szCs w:val="20"/>
                <w:lang w:val="en-US"/>
              </w:rPr>
              <w:t>.)</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6732D2" w:rsidRPr="00893B19">
              <w:rPr>
                <w:sz w:val="20"/>
                <w:szCs w:val="20"/>
                <w:lang w:val="en-US"/>
              </w:rPr>
              <w:t>Trinh, Thi Hong Lien</w:t>
            </w:r>
          </w:p>
          <w:p w:rsidR="00770786" w:rsidRPr="00893B19" w:rsidRDefault="00770786" w:rsidP="00770786">
            <w:pPr>
              <w:tabs>
                <w:tab w:val="left" w:pos="-1440"/>
                <w:tab w:val="left" w:pos="-720"/>
              </w:tabs>
              <w:rPr>
                <w:sz w:val="20"/>
                <w:szCs w:val="20"/>
              </w:rPr>
            </w:pPr>
            <w:r w:rsidRPr="00893B19">
              <w:rPr>
                <w:sz w:val="20"/>
                <w:szCs w:val="20"/>
                <w:lang w:val="en-US"/>
              </w:rPr>
              <w:tab/>
            </w:r>
            <w:r w:rsidR="006732D2" w:rsidRPr="00893B19">
              <w:rPr>
                <w:sz w:val="20"/>
                <w:szCs w:val="20"/>
              </w:rPr>
              <w:t>Bernard Roy</w:t>
            </w:r>
          </w:p>
          <w:p w:rsidR="00770786" w:rsidRPr="00893B19" w:rsidRDefault="00770786" w:rsidP="00770786">
            <w:pPr>
              <w:tabs>
                <w:tab w:val="left" w:pos="-1440"/>
                <w:tab w:val="left" w:pos="-720"/>
              </w:tabs>
              <w:rPr>
                <w:sz w:val="20"/>
                <w:szCs w:val="20"/>
              </w:rPr>
            </w:pPr>
          </w:p>
          <w:p w:rsidR="00770786" w:rsidRPr="00893B19" w:rsidRDefault="006732D2" w:rsidP="00770786">
            <w:pPr>
              <w:rPr>
                <w:sz w:val="20"/>
                <w:szCs w:val="20"/>
              </w:rPr>
            </w:pPr>
            <w:r w:rsidRPr="00893B19">
              <w:rPr>
                <w:sz w:val="20"/>
                <w:szCs w:val="20"/>
              </w:rPr>
              <w:t>FILING DATE: May</w:t>
            </w:r>
            <w:r w:rsidR="00770786" w:rsidRPr="00893B19">
              <w:rPr>
                <w:sz w:val="20"/>
                <w:szCs w:val="20"/>
              </w:rPr>
              <w:t xml:space="preserve"> </w:t>
            </w:r>
            <w:r w:rsidRPr="00893B19">
              <w:rPr>
                <w:sz w:val="20"/>
                <w:szCs w:val="20"/>
              </w:rPr>
              <w:t>15</w:t>
            </w:r>
            <w:r w:rsidR="00770786" w:rsidRPr="00893B19">
              <w:rPr>
                <w:sz w:val="20"/>
                <w:szCs w:val="20"/>
              </w:rPr>
              <w:t>, 2020</w:t>
            </w:r>
          </w:p>
          <w:p w:rsidR="00770786" w:rsidRPr="00893B19" w:rsidRDefault="00770786" w:rsidP="00770786">
            <w:pPr>
              <w:rPr>
                <w:sz w:val="20"/>
                <w:szCs w:val="20"/>
              </w:rPr>
            </w:pPr>
          </w:p>
          <w:p w:rsidR="00770786" w:rsidRPr="00893B19" w:rsidRDefault="00867539" w:rsidP="00770786">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6732D2" w:rsidRPr="00893B19" w:rsidRDefault="006732D2"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tc>
        <w:tc>
          <w:tcPr>
            <w:tcW w:w="4239" w:type="dxa"/>
            <w:shd w:val="clear" w:color="auto" w:fill="auto"/>
          </w:tcPr>
          <w:p w:rsidR="00770786" w:rsidRPr="00893B19" w:rsidRDefault="00C84B55" w:rsidP="00770786">
            <w:pPr>
              <w:rPr>
                <w:sz w:val="20"/>
                <w:szCs w:val="20"/>
                <w:lang w:val="en-US"/>
              </w:rPr>
            </w:pPr>
            <w:r w:rsidRPr="00893B19">
              <w:rPr>
                <w:b/>
                <w:sz w:val="20"/>
                <w:szCs w:val="20"/>
                <w:lang w:val="en-US"/>
              </w:rPr>
              <w:t>Jeremy McGill</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C84B55" w:rsidRPr="00893B19">
              <w:rPr>
                <w:sz w:val="20"/>
                <w:szCs w:val="20"/>
                <w:lang w:val="en-US"/>
              </w:rPr>
              <w:t>Bookman, Steven M.</w:t>
            </w:r>
          </w:p>
          <w:p w:rsidR="00C84B55" w:rsidRPr="00893B19" w:rsidRDefault="00C84B55" w:rsidP="00770786">
            <w:pPr>
              <w:tabs>
                <w:tab w:val="left" w:pos="-1440"/>
                <w:tab w:val="left" w:pos="-720"/>
              </w:tabs>
              <w:rPr>
                <w:sz w:val="20"/>
                <w:szCs w:val="20"/>
                <w:lang w:val="en-US"/>
              </w:rPr>
            </w:pPr>
            <w:r w:rsidRPr="00893B19">
              <w:rPr>
                <w:sz w:val="20"/>
                <w:szCs w:val="20"/>
                <w:lang w:val="en-US"/>
              </w:rPr>
              <w:tab/>
              <w:t>Bookman Law Professional Corporation</w:t>
            </w:r>
          </w:p>
          <w:p w:rsidR="00770786" w:rsidRPr="00893B19" w:rsidRDefault="00770786" w:rsidP="00770786">
            <w:pPr>
              <w:tabs>
                <w:tab w:val="left" w:pos="-1440"/>
                <w:tab w:val="left" w:pos="-720"/>
              </w:tabs>
              <w:rPr>
                <w:sz w:val="20"/>
                <w:szCs w:val="20"/>
                <w:lang w:val="en-US"/>
              </w:rPr>
            </w:pPr>
          </w:p>
          <w:p w:rsidR="00770786" w:rsidRPr="00893B19" w:rsidRDefault="00770786" w:rsidP="00770786">
            <w:pPr>
              <w:tabs>
                <w:tab w:val="left" w:pos="-1440"/>
                <w:tab w:val="left" w:pos="-720"/>
              </w:tabs>
              <w:rPr>
                <w:sz w:val="20"/>
                <w:szCs w:val="20"/>
                <w:lang w:val="en-US"/>
              </w:rPr>
            </w:pPr>
            <w:r w:rsidRPr="00893B19">
              <w:rPr>
                <w:sz w:val="20"/>
                <w:szCs w:val="20"/>
                <w:lang w:val="en-US"/>
              </w:rPr>
              <w:tab/>
              <w:t>v. (391</w:t>
            </w:r>
            <w:r w:rsidR="006732D2" w:rsidRPr="00893B19">
              <w:rPr>
                <w:sz w:val="20"/>
                <w:szCs w:val="20"/>
                <w:lang w:val="en-US"/>
              </w:rPr>
              <w:t>67</w:t>
            </w:r>
            <w:r w:rsidRPr="00893B19">
              <w:rPr>
                <w:sz w:val="20"/>
                <w:szCs w:val="20"/>
                <w:lang w:val="en-US"/>
              </w:rPr>
              <w:t>)</w:t>
            </w:r>
          </w:p>
          <w:p w:rsidR="00770786" w:rsidRPr="00893B19" w:rsidRDefault="00770786" w:rsidP="00770786">
            <w:pPr>
              <w:tabs>
                <w:tab w:val="left" w:pos="-1440"/>
                <w:tab w:val="left" w:pos="-720"/>
              </w:tabs>
              <w:rPr>
                <w:sz w:val="20"/>
                <w:szCs w:val="20"/>
                <w:lang w:val="en-US"/>
              </w:rPr>
            </w:pPr>
          </w:p>
          <w:p w:rsidR="00770786" w:rsidRPr="00893B19" w:rsidRDefault="00C84B55" w:rsidP="00770786">
            <w:pPr>
              <w:tabs>
                <w:tab w:val="left" w:pos="-1440"/>
                <w:tab w:val="left" w:pos="-720"/>
              </w:tabs>
              <w:rPr>
                <w:b/>
                <w:sz w:val="20"/>
                <w:szCs w:val="20"/>
                <w:lang w:val="fr-CA"/>
              </w:rPr>
            </w:pPr>
            <w:r w:rsidRPr="00893B19">
              <w:rPr>
                <w:b/>
                <w:sz w:val="20"/>
                <w:szCs w:val="20"/>
                <w:lang w:val="fr-CA"/>
              </w:rPr>
              <w:t xml:space="preserve">Isabelle LeBlanc </w:t>
            </w:r>
            <w:r w:rsidR="00770786" w:rsidRPr="00893B19">
              <w:rPr>
                <w:b/>
                <w:sz w:val="20"/>
                <w:szCs w:val="20"/>
                <w:lang w:val="fr-CA"/>
              </w:rPr>
              <w:t>(</w:t>
            </w:r>
            <w:r w:rsidRPr="00893B19">
              <w:rPr>
                <w:b/>
                <w:sz w:val="20"/>
                <w:szCs w:val="20"/>
                <w:lang w:val="fr-CA"/>
              </w:rPr>
              <w:t>N.B</w:t>
            </w:r>
            <w:r w:rsidR="00770786" w:rsidRPr="00893B19">
              <w:rPr>
                <w:b/>
                <w:sz w:val="20"/>
                <w:szCs w:val="20"/>
                <w:lang w:val="fr-CA"/>
              </w:rPr>
              <w:t>.)</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C84B55" w:rsidRPr="00893B19">
              <w:rPr>
                <w:sz w:val="20"/>
                <w:szCs w:val="20"/>
                <w:lang w:val="fr-CA"/>
              </w:rPr>
              <w:t>Veuillette, Monique</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C84B55" w:rsidRPr="00893B19">
              <w:rPr>
                <w:sz w:val="20"/>
                <w:szCs w:val="20"/>
                <w:lang w:val="fr-CA"/>
              </w:rPr>
              <w:t>Monique Veillette C.P. Inc.</w:t>
            </w:r>
          </w:p>
          <w:p w:rsidR="00770786" w:rsidRPr="00893B19" w:rsidRDefault="00770786" w:rsidP="00770786">
            <w:pPr>
              <w:tabs>
                <w:tab w:val="left" w:pos="-1440"/>
                <w:tab w:val="left" w:pos="-720"/>
              </w:tabs>
              <w:rPr>
                <w:sz w:val="20"/>
                <w:szCs w:val="20"/>
                <w:lang w:val="fr-CA"/>
              </w:rPr>
            </w:pPr>
          </w:p>
          <w:p w:rsidR="00770786" w:rsidRPr="00893B19" w:rsidRDefault="00770786" w:rsidP="00770786">
            <w:pPr>
              <w:rPr>
                <w:sz w:val="20"/>
                <w:szCs w:val="20"/>
              </w:rPr>
            </w:pPr>
            <w:r w:rsidRPr="00893B19">
              <w:rPr>
                <w:sz w:val="20"/>
                <w:szCs w:val="20"/>
              </w:rPr>
              <w:t xml:space="preserve">FILING DATE: </w:t>
            </w:r>
            <w:r w:rsidR="00C84B55" w:rsidRPr="00893B19">
              <w:rPr>
                <w:sz w:val="20"/>
                <w:szCs w:val="20"/>
              </w:rPr>
              <w:t>May</w:t>
            </w:r>
            <w:r w:rsidRPr="00893B19">
              <w:rPr>
                <w:sz w:val="20"/>
                <w:szCs w:val="20"/>
              </w:rPr>
              <w:t xml:space="preserve"> </w:t>
            </w:r>
            <w:r w:rsidR="00C84B55" w:rsidRPr="00893B19">
              <w:rPr>
                <w:sz w:val="20"/>
                <w:szCs w:val="20"/>
              </w:rPr>
              <w:t>19</w:t>
            </w:r>
            <w:r w:rsidRPr="00893B19">
              <w:rPr>
                <w:sz w:val="20"/>
                <w:szCs w:val="20"/>
              </w:rPr>
              <w:t>, 2020</w:t>
            </w:r>
          </w:p>
          <w:p w:rsidR="00770786" w:rsidRPr="00893B19" w:rsidRDefault="00770786" w:rsidP="00770786">
            <w:pPr>
              <w:rPr>
                <w:sz w:val="20"/>
                <w:szCs w:val="20"/>
              </w:rPr>
            </w:pPr>
          </w:p>
          <w:p w:rsidR="00770786" w:rsidRPr="00893B19" w:rsidRDefault="00867539" w:rsidP="00770786">
            <w:pPr>
              <w:rPr>
                <w:b/>
                <w:sz w:val="20"/>
                <w:szCs w:val="20"/>
                <w:lang w:val="en-US"/>
              </w:rPr>
            </w:pPr>
            <w:r>
              <w:rPr>
                <w:sz w:val="20"/>
                <w:szCs w:val="20"/>
                <w:lang w:val="fr-CA"/>
              </w:rPr>
              <w:pict>
                <v:rect id="_x0000_i1038" style="width:108pt;height:1pt" o:hrpct="0" o:hrstd="t" o:hrnoshade="t" o:hr="t" fillcolor="black [3213]" stroked="f"/>
              </w:pict>
            </w:r>
          </w:p>
        </w:tc>
      </w:tr>
      <w:tr w:rsidR="00770786" w:rsidRPr="00893B19" w:rsidTr="00F138C1">
        <w:tc>
          <w:tcPr>
            <w:tcW w:w="4239" w:type="dxa"/>
            <w:shd w:val="clear" w:color="auto" w:fill="auto"/>
          </w:tcPr>
          <w:p w:rsidR="00770786" w:rsidRPr="00893B19" w:rsidRDefault="00C45721" w:rsidP="00770786">
            <w:pPr>
              <w:rPr>
                <w:sz w:val="20"/>
                <w:szCs w:val="20"/>
                <w:lang w:val="fr-CA"/>
              </w:rPr>
            </w:pPr>
            <w:r w:rsidRPr="00893B19">
              <w:rPr>
                <w:b/>
                <w:sz w:val="20"/>
                <w:szCs w:val="20"/>
                <w:lang w:val="fr-CA"/>
              </w:rPr>
              <w:t>Yvon Létourneau</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C45721" w:rsidRPr="00893B19">
              <w:rPr>
                <w:sz w:val="20"/>
                <w:szCs w:val="20"/>
                <w:lang w:val="fr-CA"/>
              </w:rPr>
              <w:t>Roberge, Caroline</w:t>
            </w:r>
          </w:p>
          <w:p w:rsidR="00770786" w:rsidRPr="00893B19" w:rsidRDefault="00770786" w:rsidP="00770786">
            <w:pPr>
              <w:tabs>
                <w:tab w:val="left" w:pos="-1440"/>
                <w:tab w:val="left" w:pos="-720"/>
              </w:tabs>
              <w:rPr>
                <w:sz w:val="20"/>
                <w:szCs w:val="20"/>
                <w:lang w:val="fr-CA"/>
              </w:rPr>
            </w:pP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C45721" w:rsidRPr="00893B19">
              <w:rPr>
                <w:sz w:val="20"/>
                <w:szCs w:val="20"/>
                <w:lang w:val="fr-CA"/>
              </w:rPr>
              <w:t>c</w:t>
            </w:r>
            <w:r w:rsidRPr="00893B19">
              <w:rPr>
                <w:sz w:val="20"/>
                <w:szCs w:val="20"/>
                <w:lang w:val="fr-CA"/>
              </w:rPr>
              <w:t>. (</w:t>
            </w:r>
            <w:r w:rsidR="00C45721" w:rsidRPr="00893B19">
              <w:rPr>
                <w:sz w:val="20"/>
                <w:szCs w:val="20"/>
                <w:lang w:val="fr-CA"/>
              </w:rPr>
              <w:t>3</w:t>
            </w:r>
            <w:r w:rsidRPr="00893B19">
              <w:rPr>
                <w:sz w:val="20"/>
                <w:szCs w:val="20"/>
                <w:lang w:val="fr-CA"/>
              </w:rPr>
              <w:t>91</w:t>
            </w:r>
            <w:r w:rsidR="00C45721" w:rsidRPr="00893B19">
              <w:rPr>
                <w:sz w:val="20"/>
                <w:szCs w:val="20"/>
                <w:lang w:val="fr-CA"/>
              </w:rPr>
              <w:t>68</w:t>
            </w:r>
            <w:r w:rsidRPr="00893B19">
              <w:rPr>
                <w:sz w:val="20"/>
                <w:szCs w:val="20"/>
                <w:lang w:val="fr-CA"/>
              </w:rPr>
              <w:t>)</w:t>
            </w:r>
          </w:p>
          <w:p w:rsidR="00770786" w:rsidRPr="00893B19" w:rsidRDefault="00770786" w:rsidP="00770786">
            <w:pPr>
              <w:tabs>
                <w:tab w:val="left" w:pos="-1440"/>
                <w:tab w:val="left" w:pos="-720"/>
              </w:tabs>
              <w:rPr>
                <w:sz w:val="20"/>
                <w:szCs w:val="20"/>
                <w:lang w:val="fr-CA"/>
              </w:rPr>
            </w:pPr>
          </w:p>
          <w:p w:rsidR="00770786" w:rsidRPr="00893B19" w:rsidRDefault="00C45721" w:rsidP="00770786">
            <w:pPr>
              <w:tabs>
                <w:tab w:val="left" w:pos="-1440"/>
                <w:tab w:val="left" w:pos="-720"/>
              </w:tabs>
              <w:rPr>
                <w:b/>
                <w:sz w:val="20"/>
                <w:szCs w:val="20"/>
                <w:lang w:val="fr-CA"/>
              </w:rPr>
            </w:pPr>
            <w:r w:rsidRPr="00893B19">
              <w:rPr>
                <w:b/>
                <w:sz w:val="20"/>
                <w:szCs w:val="20"/>
                <w:lang w:val="fr-CA"/>
              </w:rPr>
              <w:t xml:space="preserve">Procureure générale du Québec </w:t>
            </w:r>
            <w:r w:rsidR="00770786" w:rsidRPr="00893B19">
              <w:rPr>
                <w:b/>
                <w:sz w:val="20"/>
                <w:szCs w:val="20"/>
                <w:lang w:val="fr-CA"/>
              </w:rPr>
              <w:t>(</w:t>
            </w:r>
            <w:r w:rsidRPr="00893B19">
              <w:rPr>
                <w:b/>
                <w:sz w:val="20"/>
                <w:szCs w:val="20"/>
                <w:lang w:val="fr-CA"/>
              </w:rPr>
              <w:t>Qc</w:t>
            </w:r>
            <w:r w:rsidR="00770786" w:rsidRPr="00893B19">
              <w:rPr>
                <w:b/>
                <w:sz w:val="20"/>
                <w:szCs w:val="20"/>
                <w:lang w:val="fr-CA"/>
              </w:rPr>
              <w:t>)</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C45721" w:rsidRPr="00893B19">
              <w:rPr>
                <w:sz w:val="20"/>
                <w:szCs w:val="20"/>
                <w:lang w:val="fr-CA"/>
              </w:rPr>
              <w:t>Barbeau, François-Olivier</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C45721" w:rsidRPr="00893B19">
              <w:rPr>
                <w:sz w:val="20"/>
                <w:szCs w:val="20"/>
                <w:lang w:val="fr-CA"/>
              </w:rPr>
              <w:t>Ministère de la Justice</w:t>
            </w:r>
          </w:p>
          <w:p w:rsidR="00770786" w:rsidRPr="00893B19" w:rsidRDefault="00770786" w:rsidP="00770786">
            <w:pPr>
              <w:tabs>
                <w:tab w:val="left" w:pos="-1440"/>
                <w:tab w:val="left" w:pos="-720"/>
              </w:tabs>
              <w:rPr>
                <w:sz w:val="20"/>
                <w:szCs w:val="20"/>
                <w:lang w:val="fr-CA"/>
              </w:rPr>
            </w:pPr>
          </w:p>
          <w:p w:rsidR="00770786" w:rsidRPr="00893B19" w:rsidRDefault="00770786" w:rsidP="00770786">
            <w:pPr>
              <w:rPr>
                <w:sz w:val="20"/>
                <w:szCs w:val="20"/>
                <w:lang w:val="fr-CA"/>
              </w:rPr>
            </w:pPr>
            <w:r w:rsidRPr="00893B19">
              <w:rPr>
                <w:sz w:val="20"/>
                <w:szCs w:val="20"/>
                <w:lang w:val="fr-CA"/>
              </w:rPr>
              <w:t>DATE</w:t>
            </w:r>
            <w:r w:rsidR="00C45721" w:rsidRPr="00893B19">
              <w:rPr>
                <w:sz w:val="20"/>
                <w:szCs w:val="20"/>
                <w:lang w:val="fr-CA"/>
              </w:rPr>
              <w:t xml:space="preserve"> DE PRODUCTION </w:t>
            </w:r>
            <w:r w:rsidRPr="00893B19">
              <w:rPr>
                <w:sz w:val="20"/>
                <w:szCs w:val="20"/>
                <w:lang w:val="fr-CA"/>
              </w:rPr>
              <w:t xml:space="preserve">: </w:t>
            </w:r>
            <w:r w:rsidR="00C45721" w:rsidRPr="00893B19">
              <w:rPr>
                <w:sz w:val="20"/>
                <w:szCs w:val="20"/>
                <w:lang w:val="fr-CA"/>
              </w:rPr>
              <w:t>le 19 mai</w:t>
            </w:r>
            <w:r w:rsidRPr="00893B19">
              <w:rPr>
                <w:sz w:val="20"/>
                <w:szCs w:val="20"/>
                <w:lang w:val="fr-CA"/>
              </w:rPr>
              <w:t xml:space="preserve"> 2020</w:t>
            </w:r>
          </w:p>
          <w:p w:rsidR="00770786" w:rsidRPr="00893B19" w:rsidRDefault="00770786" w:rsidP="00770786">
            <w:pPr>
              <w:rPr>
                <w:sz w:val="20"/>
                <w:szCs w:val="20"/>
                <w:lang w:val="fr-CA"/>
              </w:rPr>
            </w:pPr>
          </w:p>
          <w:p w:rsidR="00770786" w:rsidRPr="00893B19" w:rsidRDefault="00867539" w:rsidP="00770786">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C45721" w:rsidRPr="00893B19" w:rsidRDefault="00C45721" w:rsidP="00F138C1">
            <w:pPr>
              <w:jc w:val="center"/>
              <w:rPr>
                <w:sz w:val="20"/>
                <w:szCs w:val="20"/>
                <w:lang w:val="en-US"/>
              </w:rPr>
            </w:pPr>
          </w:p>
          <w:p w:rsidR="00C45721" w:rsidRPr="00893B19" w:rsidRDefault="00C45721" w:rsidP="00F138C1">
            <w:pPr>
              <w:jc w:val="center"/>
              <w:rPr>
                <w:sz w:val="20"/>
                <w:szCs w:val="20"/>
                <w:lang w:val="en-US"/>
              </w:rPr>
            </w:pPr>
          </w:p>
          <w:p w:rsidR="00770786" w:rsidRPr="00893B19" w:rsidRDefault="00770786" w:rsidP="00F138C1">
            <w:pPr>
              <w:jc w:val="center"/>
              <w:rPr>
                <w:sz w:val="20"/>
                <w:szCs w:val="20"/>
                <w:lang w:val="en-US"/>
              </w:rPr>
            </w:pPr>
          </w:p>
          <w:p w:rsidR="00C45721" w:rsidRPr="00893B19" w:rsidRDefault="00C45721"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tc>
        <w:tc>
          <w:tcPr>
            <w:tcW w:w="4239" w:type="dxa"/>
            <w:shd w:val="clear" w:color="auto" w:fill="auto"/>
          </w:tcPr>
          <w:p w:rsidR="00770786" w:rsidRPr="00893B19" w:rsidRDefault="00C45721" w:rsidP="00770786">
            <w:pPr>
              <w:rPr>
                <w:sz w:val="20"/>
                <w:szCs w:val="20"/>
                <w:lang w:val="fr-CA"/>
              </w:rPr>
            </w:pPr>
            <w:r w:rsidRPr="00893B19">
              <w:rPr>
                <w:b/>
                <w:sz w:val="20"/>
                <w:szCs w:val="20"/>
                <w:lang w:val="fr-CA"/>
              </w:rPr>
              <w:t>Kim Manos</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C45721" w:rsidRPr="00893B19">
              <w:rPr>
                <w:sz w:val="20"/>
                <w:szCs w:val="20"/>
                <w:lang w:val="fr-CA"/>
              </w:rPr>
              <w:t>Tumarkin, Sivan</w:t>
            </w:r>
          </w:p>
          <w:p w:rsidR="00C45721" w:rsidRPr="00893B19" w:rsidRDefault="00C45721" w:rsidP="00770786">
            <w:pPr>
              <w:tabs>
                <w:tab w:val="left" w:pos="-1440"/>
                <w:tab w:val="left" w:pos="-720"/>
              </w:tabs>
              <w:rPr>
                <w:sz w:val="20"/>
                <w:szCs w:val="20"/>
                <w:lang w:val="fr-CA"/>
              </w:rPr>
            </w:pPr>
            <w:r w:rsidRPr="00893B19">
              <w:rPr>
                <w:sz w:val="20"/>
                <w:szCs w:val="20"/>
                <w:lang w:val="fr-CA"/>
              </w:rPr>
              <w:tab/>
              <w:t>Samfiru Tumarkin LLP</w:t>
            </w:r>
          </w:p>
          <w:p w:rsidR="00770786" w:rsidRPr="00893B19" w:rsidRDefault="00770786" w:rsidP="00770786">
            <w:pPr>
              <w:tabs>
                <w:tab w:val="left" w:pos="-1440"/>
                <w:tab w:val="left" w:pos="-720"/>
              </w:tabs>
              <w:rPr>
                <w:sz w:val="20"/>
                <w:szCs w:val="20"/>
                <w:lang w:val="fr-CA"/>
              </w:rPr>
            </w:pPr>
          </w:p>
          <w:p w:rsidR="00770786" w:rsidRPr="00893B19" w:rsidRDefault="00770786" w:rsidP="00770786">
            <w:pPr>
              <w:tabs>
                <w:tab w:val="left" w:pos="-1440"/>
                <w:tab w:val="left" w:pos="-720"/>
              </w:tabs>
              <w:rPr>
                <w:sz w:val="20"/>
                <w:szCs w:val="20"/>
                <w:lang w:val="fr-CA"/>
              </w:rPr>
            </w:pPr>
            <w:r w:rsidRPr="00893B19">
              <w:rPr>
                <w:sz w:val="20"/>
                <w:szCs w:val="20"/>
                <w:lang w:val="fr-CA"/>
              </w:rPr>
              <w:tab/>
              <w:t>v. (391</w:t>
            </w:r>
            <w:r w:rsidR="00C45721" w:rsidRPr="00893B19">
              <w:rPr>
                <w:sz w:val="20"/>
                <w:szCs w:val="20"/>
                <w:lang w:val="fr-CA"/>
              </w:rPr>
              <w:t>69</w:t>
            </w:r>
            <w:r w:rsidRPr="00893B19">
              <w:rPr>
                <w:sz w:val="20"/>
                <w:szCs w:val="20"/>
                <w:lang w:val="fr-CA"/>
              </w:rPr>
              <w:t>)</w:t>
            </w:r>
          </w:p>
          <w:p w:rsidR="00770786" w:rsidRPr="00893B19" w:rsidRDefault="00770786" w:rsidP="00770786">
            <w:pPr>
              <w:tabs>
                <w:tab w:val="left" w:pos="-1440"/>
                <w:tab w:val="left" w:pos="-720"/>
              </w:tabs>
              <w:rPr>
                <w:sz w:val="20"/>
                <w:szCs w:val="20"/>
                <w:lang w:val="fr-CA"/>
              </w:rPr>
            </w:pPr>
          </w:p>
          <w:p w:rsidR="00770786" w:rsidRPr="00893B19" w:rsidRDefault="00C45721" w:rsidP="00770786">
            <w:pPr>
              <w:tabs>
                <w:tab w:val="left" w:pos="-1440"/>
                <w:tab w:val="left" w:pos="-720"/>
              </w:tabs>
              <w:rPr>
                <w:b/>
                <w:sz w:val="20"/>
                <w:szCs w:val="20"/>
                <w:lang w:val="fr-CA"/>
              </w:rPr>
            </w:pPr>
            <w:r w:rsidRPr="00893B19">
              <w:rPr>
                <w:b/>
                <w:sz w:val="20"/>
                <w:szCs w:val="20"/>
                <w:lang w:val="fr-CA"/>
              </w:rPr>
              <w:t>Riotrin Properties (Flamborough) Inc., et al.</w:t>
            </w:r>
            <w:r w:rsidR="00770786" w:rsidRPr="00893B19">
              <w:rPr>
                <w:b/>
                <w:sz w:val="20"/>
                <w:szCs w:val="20"/>
                <w:lang w:val="fr-CA"/>
              </w:rPr>
              <w:t xml:space="preserve"> (</w:t>
            </w:r>
            <w:r w:rsidRPr="00893B19">
              <w:rPr>
                <w:b/>
                <w:sz w:val="20"/>
                <w:szCs w:val="20"/>
                <w:lang w:val="fr-CA"/>
              </w:rPr>
              <w:t>Ont</w:t>
            </w:r>
            <w:r w:rsidR="00770786" w:rsidRPr="00893B19">
              <w:rPr>
                <w:b/>
                <w:sz w:val="20"/>
                <w:szCs w:val="20"/>
                <w:lang w:val="fr-CA"/>
              </w:rPr>
              <w:t>.)</w:t>
            </w:r>
          </w:p>
          <w:p w:rsidR="00770786" w:rsidRPr="00893B19" w:rsidRDefault="00770786" w:rsidP="00770786">
            <w:pPr>
              <w:tabs>
                <w:tab w:val="left" w:pos="-1440"/>
                <w:tab w:val="left" w:pos="-720"/>
              </w:tabs>
              <w:rPr>
                <w:sz w:val="20"/>
                <w:szCs w:val="20"/>
                <w:lang w:val="fr-CA"/>
              </w:rPr>
            </w:pPr>
            <w:r w:rsidRPr="00893B19">
              <w:rPr>
                <w:sz w:val="20"/>
                <w:szCs w:val="20"/>
                <w:lang w:val="fr-CA"/>
              </w:rPr>
              <w:tab/>
            </w:r>
            <w:r w:rsidR="00C45721" w:rsidRPr="00893B19">
              <w:rPr>
                <w:sz w:val="20"/>
                <w:szCs w:val="20"/>
                <w:lang w:val="fr-CA"/>
              </w:rPr>
              <w:t>Vassalli, Sabatina</w:t>
            </w:r>
          </w:p>
          <w:p w:rsidR="00770786" w:rsidRPr="00893B19" w:rsidRDefault="00770786" w:rsidP="00770786">
            <w:pPr>
              <w:tabs>
                <w:tab w:val="left" w:pos="-1440"/>
                <w:tab w:val="left" w:pos="-720"/>
              </w:tabs>
              <w:rPr>
                <w:sz w:val="20"/>
                <w:szCs w:val="20"/>
              </w:rPr>
            </w:pPr>
            <w:r w:rsidRPr="00893B19">
              <w:rPr>
                <w:sz w:val="20"/>
                <w:szCs w:val="20"/>
                <w:lang w:val="fr-CA"/>
              </w:rPr>
              <w:tab/>
            </w:r>
            <w:r w:rsidR="00C45721" w:rsidRPr="00893B19">
              <w:rPr>
                <w:sz w:val="20"/>
                <w:szCs w:val="20"/>
              </w:rPr>
              <w:t>Agro Zaffiro LLP</w:t>
            </w:r>
          </w:p>
          <w:p w:rsidR="00770786" w:rsidRPr="00893B19" w:rsidRDefault="00770786" w:rsidP="00770786">
            <w:pPr>
              <w:tabs>
                <w:tab w:val="left" w:pos="-1440"/>
                <w:tab w:val="left" w:pos="-720"/>
              </w:tabs>
              <w:rPr>
                <w:sz w:val="20"/>
                <w:szCs w:val="20"/>
              </w:rPr>
            </w:pPr>
          </w:p>
          <w:p w:rsidR="00770786" w:rsidRPr="00893B19" w:rsidRDefault="00770786" w:rsidP="00770786">
            <w:pPr>
              <w:rPr>
                <w:sz w:val="20"/>
                <w:szCs w:val="20"/>
              </w:rPr>
            </w:pPr>
            <w:r w:rsidRPr="00893B19">
              <w:rPr>
                <w:sz w:val="20"/>
                <w:szCs w:val="20"/>
              </w:rPr>
              <w:t xml:space="preserve">FILING DATE: </w:t>
            </w:r>
            <w:r w:rsidR="00C45721" w:rsidRPr="00893B19">
              <w:rPr>
                <w:sz w:val="20"/>
                <w:szCs w:val="20"/>
              </w:rPr>
              <w:t>May</w:t>
            </w:r>
            <w:r w:rsidRPr="00893B19">
              <w:rPr>
                <w:sz w:val="20"/>
                <w:szCs w:val="20"/>
              </w:rPr>
              <w:t xml:space="preserve"> </w:t>
            </w:r>
            <w:r w:rsidR="00C45721" w:rsidRPr="00893B19">
              <w:rPr>
                <w:sz w:val="20"/>
                <w:szCs w:val="20"/>
              </w:rPr>
              <w:t>19</w:t>
            </w:r>
            <w:r w:rsidRPr="00893B19">
              <w:rPr>
                <w:sz w:val="20"/>
                <w:szCs w:val="20"/>
              </w:rPr>
              <w:t>, 2020</w:t>
            </w:r>
          </w:p>
          <w:p w:rsidR="00770786" w:rsidRPr="00893B19" w:rsidRDefault="00770786" w:rsidP="00770786">
            <w:pPr>
              <w:rPr>
                <w:sz w:val="20"/>
                <w:szCs w:val="20"/>
              </w:rPr>
            </w:pPr>
          </w:p>
          <w:p w:rsidR="00770786" w:rsidRPr="00893B19" w:rsidRDefault="00867539" w:rsidP="00770786">
            <w:pPr>
              <w:rPr>
                <w:b/>
                <w:sz w:val="20"/>
                <w:szCs w:val="20"/>
                <w:lang w:val="en-US"/>
              </w:rPr>
            </w:pPr>
            <w:r>
              <w:rPr>
                <w:sz w:val="20"/>
                <w:szCs w:val="20"/>
                <w:lang w:val="fr-CA"/>
              </w:rPr>
              <w:pict>
                <v:rect id="_x0000_i1040" style="width:108pt;height:1pt" o:hrpct="0" o:hrstd="t" o:hrnoshade="t" o:hr="t" fillcolor="black [3213]" stroked="f"/>
              </w:pict>
            </w:r>
          </w:p>
        </w:tc>
      </w:tr>
      <w:tr w:rsidR="00770786" w:rsidRPr="00893B19" w:rsidTr="00F138C1">
        <w:tc>
          <w:tcPr>
            <w:tcW w:w="4239" w:type="dxa"/>
            <w:shd w:val="clear" w:color="auto" w:fill="auto"/>
          </w:tcPr>
          <w:p w:rsidR="00770786" w:rsidRPr="00893B19" w:rsidRDefault="00C45721" w:rsidP="00770786">
            <w:pPr>
              <w:rPr>
                <w:sz w:val="20"/>
                <w:szCs w:val="20"/>
                <w:lang w:val="en-US"/>
              </w:rPr>
            </w:pPr>
            <w:r w:rsidRPr="00893B19">
              <w:rPr>
                <w:b/>
                <w:sz w:val="20"/>
                <w:szCs w:val="20"/>
                <w:lang w:val="en-US"/>
              </w:rPr>
              <w:t>Cobble Hill Holdings Ltd.</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C45721" w:rsidRPr="00893B19">
              <w:rPr>
                <w:sz w:val="20"/>
                <w:szCs w:val="20"/>
                <w:lang w:val="en-US"/>
              </w:rPr>
              <w:t>Oss-Cech, Lorenzo G.</w:t>
            </w:r>
          </w:p>
          <w:p w:rsidR="00C45721" w:rsidRPr="00893B19" w:rsidRDefault="00C45721" w:rsidP="00770786">
            <w:pPr>
              <w:tabs>
                <w:tab w:val="left" w:pos="-1440"/>
                <w:tab w:val="left" w:pos="-720"/>
              </w:tabs>
              <w:rPr>
                <w:sz w:val="20"/>
                <w:szCs w:val="20"/>
                <w:lang w:val="en-US"/>
              </w:rPr>
            </w:pPr>
            <w:r w:rsidRPr="00893B19">
              <w:rPr>
                <w:sz w:val="20"/>
                <w:szCs w:val="20"/>
                <w:lang w:val="en-US"/>
              </w:rPr>
              <w:tab/>
              <w:t>Hutchison Oss-Cech Marlatt</w:t>
            </w:r>
          </w:p>
          <w:p w:rsidR="00770786" w:rsidRPr="00893B19" w:rsidRDefault="00770786" w:rsidP="00770786">
            <w:pPr>
              <w:tabs>
                <w:tab w:val="left" w:pos="-1440"/>
                <w:tab w:val="left" w:pos="-720"/>
              </w:tabs>
              <w:rPr>
                <w:sz w:val="20"/>
                <w:szCs w:val="20"/>
                <w:lang w:val="en-US"/>
              </w:rPr>
            </w:pPr>
          </w:p>
          <w:p w:rsidR="00770786" w:rsidRPr="00893B19" w:rsidRDefault="00770786" w:rsidP="00770786">
            <w:pPr>
              <w:tabs>
                <w:tab w:val="left" w:pos="-1440"/>
                <w:tab w:val="left" w:pos="-720"/>
              </w:tabs>
              <w:rPr>
                <w:sz w:val="20"/>
                <w:szCs w:val="20"/>
                <w:lang w:val="en-US"/>
              </w:rPr>
            </w:pPr>
            <w:r w:rsidRPr="00893B19">
              <w:rPr>
                <w:sz w:val="20"/>
                <w:szCs w:val="20"/>
                <w:lang w:val="en-US"/>
              </w:rPr>
              <w:tab/>
              <w:t>v. (391</w:t>
            </w:r>
            <w:r w:rsidR="00C45721" w:rsidRPr="00893B19">
              <w:rPr>
                <w:sz w:val="20"/>
                <w:szCs w:val="20"/>
                <w:lang w:val="en-US"/>
              </w:rPr>
              <w:t>70</w:t>
            </w:r>
            <w:r w:rsidRPr="00893B19">
              <w:rPr>
                <w:sz w:val="20"/>
                <w:szCs w:val="20"/>
                <w:lang w:val="en-US"/>
              </w:rPr>
              <w:t>)</w:t>
            </w:r>
          </w:p>
          <w:p w:rsidR="00770786" w:rsidRPr="00893B19" w:rsidRDefault="00770786" w:rsidP="00770786">
            <w:pPr>
              <w:tabs>
                <w:tab w:val="left" w:pos="-1440"/>
                <w:tab w:val="left" w:pos="-720"/>
              </w:tabs>
              <w:rPr>
                <w:sz w:val="20"/>
                <w:szCs w:val="20"/>
                <w:lang w:val="en-US"/>
              </w:rPr>
            </w:pPr>
          </w:p>
          <w:p w:rsidR="00770786" w:rsidRPr="00893B19" w:rsidRDefault="00C45721" w:rsidP="00770786">
            <w:pPr>
              <w:tabs>
                <w:tab w:val="left" w:pos="-1440"/>
                <w:tab w:val="left" w:pos="-720"/>
              </w:tabs>
              <w:rPr>
                <w:b/>
                <w:sz w:val="20"/>
                <w:szCs w:val="20"/>
                <w:lang w:val="en-US"/>
              </w:rPr>
            </w:pPr>
            <w:r w:rsidRPr="00893B19">
              <w:rPr>
                <w:b/>
                <w:sz w:val="20"/>
                <w:szCs w:val="20"/>
                <w:lang w:val="en-US"/>
              </w:rPr>
              <w:t xml:space="preserve">Her Majesty the Queen in Right of the Province of British Columbia, et al. </w:t>
            </w:r>
            <w:r w:rsidR="00770786" w:rsidRPr="00893B19">
              <w:rPr>
                <w:b/>
                <w:sz w:val="20"/>
                <w:szCs w:val="20"/>
                <w:lang w:val="en-US"/>
              </w:rPr>
              <w:t>(</w:t>
            </w:r>
            <w:r w:rsidRPr="00893B19">
              <w:rPr>
                <w:b/>
                <w:sz w:val="20"/>
                <w:szCs w:val="20"/>
                <w:lang w:val="en-US"/>
              </w:rPr>
              <w:t>B.C</w:t>
            </w:r>
            <w:r w:rsidR="00770786" w:rsidRPr="00893B19">
              <w:rPr>
                <w:b/>
                <w:sz w:val="20"/>
                <w:szCs w:val="20"/>
                <w:lang w:val="en-US"/>
              </w:rPr>
              <w:t>.)</w:t>
            </w:r>
          </w:p>
          <w:p w:rsidR="00770786" w:rsidRPr="00893B19" w:rsidRDefault="00770786" w:rsidP="00770786">
            <w:pPr>
              <w:tabs>
                <w:tab w:val="left" w:pos="-1440"/>
                <w:tab w:val="left" w:pos="-720"/>
              </w:tabs>
              <w:rPr>
                <w:sz w:val="20"/>
                <w:szCs w:val="20"/>
                <w:lang w:val="en-US"/>
              </w:rPr>
            </w:pPr>
            <w:r w:rsidRPr="00893B19">
              <w:rPr>
                <w:sz w:val="20"/>
                <w:szCs w:val="20"/>
                <w:lang w:val="en-US"/>
              </w:rPr>
              <w:tab/>
            </w:r>
            <w:r w:rsidR="00C45721" w:rsidRPr="00893B19">
              <w:rPr>
                <w:sz w:val="20"/>
                <w:szCs w:val="20"/>
                <w:lang w:val="en-US"/>
              </w:rPr>
              <w:t>Butler, Meghan</w:t>
            </w:r>
          </w:p>
          <w:p w:rsidR="00770786" w:rsidRPr="00893B19" w:rsidRDefault="00770786" w:rsidP="00770786">
            <w:pPr>
              <w:tabs>
                <w:tab w:val="left" w:pos="-1440"/>
                <w:tab w:val="left" w:pos="-720"/>
              </w:tabs>
              <w:rPr>
                <w:sz w:val="20"/>
                <w:szCs w:val="20"/>
              </w:rPr>
            </w:pPr>
            <w:r w:rsidRPr="00893B19">
              <w:rPr>
                <w:sz w:val="20"/>
                <w:szCs w:val="20"/>
                <w:lang w:val="en-US"/>
              </w:rPr>
              <w:tab/>
            </w:r>
            <w:r w:rsidR="00C45721" w:rsidRPr="00893B19">
              <w:rPr>
                <w:sz w:val="20"/>
                <w:szCs w:val="20"/>
              </w:rPr>
              <w:t>Attorney General of British Columbia</w:t>
            </w:r>
          </w:p>
          <w:p w:rsidR="00770786" w:rsidRPr="00893B19" w:rsidRDefault="00770786" w:rsidP="00770786">
            <w:pPr>
              <w:tabs>
                <w:tab w:val="left" w:pos="-1440"/>
                <w:tab w:val="left" w:pos="-720"/>
              </w:tabs>
              <w:rPr>
                <w:sz w:val="20"/>
                <w:szCs w:val="20"/>
              </w:rPr>
            </w:pPr>
          </w:p>
          <w:p w:rsidR="00770786" w:rsidRPr="00893B19" w:rsidRDefault="00770786" w:rsidP="00770786">
            <w:pPr>
              <w:rPr>
                <w:sz w:val="20"/>
                <w:szCs w:val="20"/>
              </w:rPr>
            </w:pPr>
            <w:r w:rsidRPr="00893B19">
              <w:rPr>
                <w:sz w:val="20"/>
                <w:szCs w:val="20"/>
              </w:rPr>
              <w:t xml:space="preserve">FILING DATE: </w:t>
            </w:r>
            <w:r w:rsidR="00C45721" w:rsidRPr="00893B19">
              <w:rPr>
                <w:sz w:val="20"/>
                <w:szCs w:val="20"/>
              </w:rPr>
              <w:t>May</w:t>
            </w:r>
            <w:r w:rsidRPr="00893B19">
              <w:rPr>
                <w:sz w:val="20"/>
                <w:szCs w:val="20"/>
              </w:rPr>
              <w:t xml:space="preserve"> </w:t>
            </w:r>
            <w:r w:rsidR="00C45721" w:rsidRPr="00893B19">
              <w:rPr>
                <w:sz w:val="20"/>
                <w:szCs w:val="20"/>
              </w:rPr>
              <w:t>19</w:t>
            </w:r>
            <w:r w:rsidRPr="00893B19">
              <w:rPr>
                <w:sz w:val="20"/>
                <w:szCs w:val="20"/>
              </w:rPr>
              <w:t>, 2020</w:t>
            </w:r>
          </w:p>
          <w:p w:rsidR="00770786" w:rsidRPr="00893B19" w:rsidRDefault="00770786" w:rsidP="00770786">
            <w:pPr>
              <w:rPr>
                <w:sz w:val="20"/>
                <w:szCs w:val="20"/>
              </w:rPr>
            </w:pPr>
          </w:p>
          <w:p w:rsidR="00770786" w:rsidRPr="00893B19" w:rsidRDefault="00867539" w:rsidP="00770786">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C45721" w:rsidRPr="00893B19" w:rsidRDefault="00C45721"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C45721" w:rsidRPr="00893B19" w:rsidRDefault="00C45721"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p w:rsidR="00770786" w:rsidRPr="00893B19" w:rsidRDefault="00770786" w:rsidP="00F138C1">
            <w:pPr>
              <w:jc w:val="center"/>
              <w:rPr>
                <w:sz w:val="20"/>
                <w:szCs w:val="20"/>
                <w:lang w:val="en-US"/>
              </w:rPr>
            </w:pPr>
          </w:p>
        </w:tc>
        <w:tc>
          <w:tcPr>
            <w:tcW w:w="4239" w:type="dxa"/>
            <w:shd w:val="clear" w:color="auto" w:fill="auto"/>
          </w:tcPr>
          <w:p w:rsidR="00770786" w:rsidRPr="00893B19" w:rsidRDefault="00770786" w:rsidP="00770786">
            <w:pPr>
              <w:rPr>
                <w:b/>
                <w:sz w:val="20"/>
                <w:szCs w:val="20"/>
                <w:lang w:val="en-US"/>
              </w:rPr>
            </w:pPr>
          </w:p>
        </w:tc>
      </w:tr>
    </w:tbl>
    <w:p w:rsidR="00F138C1" w:rsidRPr="00893B19" w:rsidRDefault="00F138C1" w:rsidP="00F138C1">
      <w:pPr>
        <w:tabs>
          <w:tab w:val="right" w:pos="9360"/>
        </w:tabs>
        <w:rPr>
          <w:sz w:val="20"/>
          <w:szCs w:val="20"/>
          <w:lang w:val="fr-CA"/>
        </w:rPr>
      </w:pPr>
    </w:p>
    <w:p w:rsidR="00F138C1" w:rsidRPr="00893B19" w:rsidRDefault="00F138C1" w:rsidP="00F138C1">
      <w:pPr>
        <w:tabs>
          <w:tab w:val="right" w:pos="9360"/>
        </w:tabs>
        <w:rPr>
          <w:sz w:val="20"/>
          <w:szCs w:val="20"/>
          <w:lang w:val="fr-CA"/>
        </w:rPr>
      </w:pPr>
    </w:p>
    <w:p w:rsidR="00C01FCB" w:rsidRPr="00893B19" w:rsidRDefault="00C01FCB" w:rsidP="0095096B">
      <w:pPr>
        <w:tabs>
          <w:tab w:val="right" w:pos="9360"/>
        </w:tabs>
        <w:rPr>
          <w:sz w:val="20"/>
          <w:szCs w:val="20"/>
          <w:lang w:val="fr-CA"/>
        </w:rPr>
      </w:pPr>
    </w:p>
    <w:p w:rsidR="00242AEE" w:rsidRPr="00893B19" w:rsidRDefault="00242AEE" w:rsidP="0095096B">
      <w:pPr>
        <w:tabs>
          <w:tab w:val="right" w:pos="9360"/>
        </w:tabs>
        <w:rPr>
          <w:sz w:val="20"/>
          <w:szCs w:val="20"/>
          <w:lang w:val="fr-CA"/>
        </w:rPr>
        <w:sectPr w:rsidR="00242AEE" w:rsidRPr="00893B19"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93B19" w:rsidRDefault="00DD0BDC" w:rsidP="00567602">
      <w:pPr>
        <w:pStyle w:val="Header1StyleE"/>
        <w:pBdr>
          <w:bottom w:val="single" w:sz="12" w:space="1" w:color="auto"/>
        </w:pBdr>
        <w:rPr>
          <w:lang w:val="fr-CA"/>
        </w:rPr>
      </w:pPr>
      <w:bookmarkStart w:id="1" w:name="QuickMark_1"/>
      <w:bookmarkStart w:id="2" w:name="_Toc41632518"/>
      <w:bookmarkEnd w:id="1"/>
      <w:r w:rsidRPr="00893B19">
        <w:rPr>
          <w:lang w:val="fr-CA"/>
        </w:rPr>
        <w:t>Judgments on applications</w:t>
      </w:r>
      <w:r w:rsidR="000C1D9D" w:rsidRPr="00893B19">
        <w:rPr>
          <w:lang w:val="fr-CA"/>
        </w:rPr>
        <w:t xml:space="preserve"> </w:t>
      </w:r>
      <w:r w:rsidRPr="00893B19">
        <w:rPr>
          <w:lang w:val="fr-CA"/>
        </w:rPr>
        <w:t>for leave</w:t>
      </w:r>
      <w:r w:rsidR="00693C38" w:rsidRPr="00893B19">
        <w:rPr>
          <w:noProof/>
          <w:sz w:val="20"/>
          <w:lang w:val="fr-CA"/>
        </w:rPr>
        <w:t xml:space="preserve"> </w:t>
      </w:r>
      <w:r w:rsidR="00271E1E" w:rsidRPr="00893B19">
        <w:rPr>
          <w:noProof/>
          <w:sz w:val="20"/>
          <w:lang w:val="fr-CA"/>
        </w:rPr>
        <w:t xml:space="preserve">/ </w:t>
      </w:r>
      <w:r w:rsidR="00693C38" w:rsidRPr="00893B19">
        <w:rPr>
          <w:noProof/>
          <w:sz w:val="20"/>
          <w:lang w:val="fr-CA"/>
        </w:rPr>
        <w:br/>
      </w:r>
      <w:r w:rsidRPr="00893B19">
        <w:rPr>
          <w:lang w:val="fr-CA"/>
        </w:rPr>
        <w:t>Jugements rendus sur les demandes d’autorisation</w:t>
      </w:r>
      <w:bookmarkEnd w:id="2"/>
    </w:p>
    <w:p w:rsidR="00FB1DB6" w:rsidRPr="00893B19" w:rsidRDefault="00FB1DB6" w:rsidP="00693C38">
      <w:pPr>
        <w:rPr>
          <w:sz w:val="20"/>
          <w:szCs w:val="20"/>
          <w:lang w:val="fr-CA"/>
        </w:rPr>
      </w:pPr>
    </w:p>
    <w:p w:rsidR="00F16063" w:rsidRPr="00893B19" w:rsidRDefault="00691D1D" w:rsidP="00F16063">
      <w:pPr>
        <w:rPr>
          <w:b/>
          <w:sz w:val="20"/>
          <w:szCs w:val="20"/>
        </w:rPr>
      </w:pPr>
      <w:r w:rsidRPr="00893B19">
        <w:rPr>
          <w:b/>
          <w:sz w:val="20"/>
          <w:szCs w:val="20"/>
        </w:rPr>
        <w:t>MA</w:t>
      </w:r>
      <w:r w:rsidR="00BF4E60" w:rsidRPr="00893B19">
        <w:rPr>
          <w:b/>
          <w:sz w:val="20"/>
          <w:szCs w:val="20"/>
        </w:rPr>
        <w:t>Y 28</w:t>
      </w:r>
      <w:r w:rsidR="00F16063" w:rsidRPr="00893B19">
        <w:rPr>
          <w:b/>
          <w:sz w:val="20"/>
          <w:szCs w:val="20"/>
        </w:rPr>
        <w:t xml:space="preserve">, </w:t>
      </w:r>
      <w:r w:rsidR="0034657E" w:rsidRPr="00893B19">
        <w:rPr>
          <w:b/>
          <w:sz w:val="20"/>
          <w:szCs w:val="20"/>
        </w:rPr>
        <w:t>20</w:t>
      </w:r>
      <w:r w:rsidR="005967EF" w:rsidRPr="00893B19">
        <w:rPr>
          <w:b/>
          <w:sz w:val="20"/>
          <w:szCs w:val="20"/>
        </w:rPr>
        <w:t>20</w:t>
      </w:r>
      <w:r w:rsidR="00F16063" w:rsidRPr="00893B19">
        <w:rPr>
          <w:b/>
          <w:sz w:val="20"/>
          <w:szCs w:val="20"/>
        </w:rPr>
        <w:t xml:space="preserve"> / LE </w:t>
      </w:r>
      <w:r w:rsidR="00BF4E60" w:rsidRPr="00893B19">
        <w:rPr>
          <w:b/>
          <w:sz w:val="20"/>
          <w:szCs w:val="20"/>
        </w:rPr>
        <w:t>28</w:t>
      </w:r>
      <w:r w:rsidR="00F16063" w:rsidRPr="00893B19">
        <w:rPr>
          <w:b/>
          <w:sz w:val="20"/>
          <w:szCs w:val="20"/>
        </w:rPr>
        <w:t xml:space="preserve"> </w:t>
      </w:r>
      <w:r w:rsidRPr="00893B19">
        <w:rPr>
          <w:b/>
          <w:sz w:val="20"/>
          <w:szCs w:val="20"/>
        </w:rPr>
        <w:t>MA</w:t>
      </w:r>
      <w:r w:rsidR="00BF4E60" w:rsidRPr="00893B19">
        <w:rPr>
          <w:b/>
          <w:sz w:val="20"/>
          <w:szCs w:val="20"/>
        </w:rPr>
        <w:t>I</w:t>
      </w:r>
      <w:r w:rsidR="00F16063" w:rsidRPr="00893B19">
        <w:rPr>
          <w:b/>
          <w:sz w:val="20"/>
          <w:szCs w:val="20"/>
        </w:rPr>
        <w:t xml:space="preserve"> </w:t>
      </w:r>
      <w:r w:rsidR="0034657E" w:rsidRPr="00893B19">
        <w:rPr>
          <w:b/>
          <w:sz w:val="20"/>
          <w:szCs w:val="20"/>
        </w:rPr>
        <w:t>20</w:t>
      </w:r>
      <w:r w:rsidR="005967EF" w:rsidRPr="00893B19">
        <w:rPr>
          <w:b/>
          <w:sz w:val="20"/>
          <w:szCs w:val="20"/>
        </w:rPr>
        <w:t>20</w:t>
      </w:r>
    </w:p>
    <w:p w:rsidR="009B6684" w:rsidRPr="00893B19" w:rsidRDefault="009B6684" w:rsidP="009B668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684" w:rsidRPr="00893B19" w:rsidTr="009B6684">
        <w:tc>
          <w:tcPr>
            <w:tcW w:w="543" w:type="pct"/>
          </w:tcPr>
          <w:p w:rsidR="009B6684" w:rsidRPr="00893B19" w:rsidRDefault="009B6684" w:rsidP="009B6684">
            <w:pPr>
              <w:jc w:val="both"/>
              <w:rPr>
                <w:sz w:val="20"/>
              </w:rPr>
            </w:pPr>
            <w:r w:rsidRPr="00893B19">
              <w:rPr>
                <w:rStyle w:val="SCCFileNumberChar"/>
                <w:sz w:val="20"/>
                <w:szCs w:val="20"/>
              </w:rPr>
              <w:t>39009</w:t>
            </w:r>
          </w:p>
        </w:tc>
        <w:tc>
          <w:tcPr>
            <w:tcW w:w="4457" w:type="pct"/>
            <w:gridSpan w:val="3"/>
          </w:tcPr>
          <w:p w:rsidR="009B6684" w:rsidRPr="00893B19" w:rsidRDefault="009B6684" w:rsidP="009B6684">
            <w:pPr>
              <w:pStyle w:val="SCCLsocParty"/>
              <w:jc w:val="both"/>
              <w:rPr>
                <w:b/>
                <w:sz w:val="20"/>
                <w:szCs w:val="20"/>
                <w:lang w:val="en-CA"/>
              </w:rPr>
            </w:pPr>
            <w:r w:rsidRPr="00893B19">
              <w:rPr>
                <w:b/>
                <w:sz w:val="20"/>
                <w:szCs w:val="20"/>
                <w:lang w:val="en-CA"/>
              </w:rPr>
              <w:t>Michel St-Denis v. Her Majesty the Queen</w:t>
            </w:r>
          </w:p>
          <w:p w:rsidR="009B6684" w:rsidRPr="00893B19" w:rsidRDefault="009B6684" w:rsidP="009B6684">
            <w:pPr>
              <w:jc w:val="both"/>
              <w:rPr>
                <w:sz w:val="20"/>
              </w:rPr>
            </w:pPr>
            <w:r w:rsidRPr="00893B19">
              <w:rPr>
                <w:sz w:val="20"/>
              </w:rPr>
              <w:t>(Que.) (Criminal) (By Leave)</w:t>
            </w:r>
          </w:p>
        </w:tc>
      </w:tr>
      <w:tr w:rsidR="009B6684" w:rsidRPr="00893B19" w:rsidTr="009B6684">
        <w:tc>
          <w:tcPr>
            <w:tcW w:w="5000" w:type="pct"/>
            <w:gridSpan w:val="4"/>
          </w:tcPr>
          <w:p w:rsidR="009B6684" w:rsidRPr="00893B19" w:rsidRDefault="00A02DC2" w:rsidP="009B6684">
            <w:pPr>
              <w:pStyle w:val="SCCBanSummary0"/>
              <w:rPr>
                <w:smallCaps w:val="0"/>
                <w:sz w:val="20"/>
                <w:szCs w:val="20"/>
              </w:rPr>
            </w:pPr>
            <w:r w:rsidRPr="00893B19">
              <w:rPr>
                <w:smallCaps w:val="0"/>
                <w:sz w:val="20"/>
                <w:szCs w:val="20"/>
              </w:rPr>
              <w:t>The application for leave to appeal from the judgment of the</w:t>
            </w:r>
            <w:bookmarkStart w:id="3" w:name="BM_1_"/>
            <w:bookmarkEnd w:id="3"/>
            <w:r w:rsidRPr="00893B19">
              <w:rPr>
                <w:smallCaps w:val="0"/>
                <w:sz w:val="20"/>
                <w:szCs w:val="20"/>
              </w:rPr>
              <w:t xml:space="preserve"> </w:t>
            </w:r>
            <w:r w:rsidRPr="00893B19">
              <w:rPr>
                <w:smallCaps w:val="0"/>
                <w:sz w:val="20"/>
                <w:szCs w:val="20"/>
                <w:lang w:val="en-US"/>
              </w:rPr>
              <w:t>Court of Appeal of Quebec (Montréal)</w:t>
            </w:r>
            <w:r w:rsidRPr="00893B19">
              <w:rPr>
                <w:smallCaps w:val="0"/>
                <w:sz w:val="20"/>
                <w:szCs w:val="20"/>
              </w:rPr>
              <w:t xml:space="preserve">, Number </w:t>
            </w:r>
            <w:r w:rsidRPr="00893B19">
              <w:rPr>
                <w:smallCaps w:val="0"/>
                <w:sz w:val="20"/>
                <w:szCs w:val="20"/>
                <w:lang w:val="en-US"/>
              </w:rPr>
              <w:t>500-10-006491-177</w:t>
            </w:r>
            <w:r w:rsidRPr="00893B19">
              <w:rPr>
                <w:smallCaps w:val="0"/>
                <w:sz w:val="20"/>
                <w:szCs w:val="20"/>
              </w:rPr>
              <w:t xml:space="preserve">, </w:t>
            </w:r>
            <w:r w:rsidRPr="00893B19">
              <w:rPr>
                <w:smallCaps w:val="0"/>
                <w:sz w:val="20"/>
                <w:szCs w:val="20"/>
                <w:lang w:val="en-US"/>
              </w:rPr>
              <w:t xml:space="preserve">2019 QCCA 1870, </w:t>
            </w:r>
            <w:r w:rsidRPr="00893B19">
              <w:rPr>
                <w:smallCaps w:val="0"/>
                <w:sz w:val="20"/>
                <w:szCs w:val="20"/>
              </w:rPr>
              <w:t xml:space="preserve">dated </w:t>
            </w:r>
            <w:r w:rsidRPr="00893B19">
              <w:rPr>
                <w:smallCaps w:val="0"/>
                <w:sz w:val="20"/>
                <w:szCs w:val="20"/>
                <w:lang w:val="en-US"/>
              </w:rPr>
              <w:t>November 4, 2019,</w:t>
            </w:r>
            <w:r w:rsidRPr="00893B19">
              <w:rPr>
                <w:smallCaps w:val="0"/>
                <w:sz w:val="20"/>
                <w:szCs w:val="20"/>
              </w:rPr>
              <w:t xml:space="preserve"> is dismissed.</w:t>
            </w:r>
          </w:p>
          <w:p w:rsidR="00A02DC2" w:rsidRPr="00893B19" w:rsidRDefault="00A02DC2" w:rsidP="00A02DC2">
            <w:pPr>
              <w:rPr>
                <w:sz w:val="20"/>
                <w:szCs w:val="20"/>
              </w:rPr>
            </w:pPr>
          </w:p>
        </w:tc>
      </w:tr>
      <w:tr w:rsidR="009B6684" w:rsidRPr="00893B19" w:rsidTr="009B6684">
        <w:tc>
          <w:tcPr>
            <w:tcW w:w="5000" w:type="pct"/>
            <w:gridSpan w:val="4"/>
          </w:tcPr>
          <w:p w:rsidR="009B6684" w:rsidRPr="00893B19" w:rsidRDefault="009B6684" w:rsidP="009B6684">
            <w:pPr>
              <w:pStyle w:val="SCCBanSummary0"/>
              <w:rPr>
                <w:sz w:val="20"/>
                <w:szCs w:val="20"/>
              </w:rPr>
            </w:pPr>
            <w:r w:rsidRPr="00893B19">
              <w:rPr>
                <w:sz w:val="20"/>
                <w:szCs w:val="20"/>
              </w:rPr>
              <w:t xml:space="preserve">(Publication Ban / Confidentiality Order in Case) </w:t>
            </w:r>
          </w:p>
          <w:p w:rsidR="009B6684" w:rsidRPr="00893B19" w:rsidRDefault="009B6684" w:rsidP="009B6684">
            <w:pPr>
              <w:pStyle w:val="SCCBanSummary0"/>
              <w:rPr>
                <w:sz w:val="20"/>
                <w:szCs w:val="20"/>
              </w:rPr>
            </w:pPr>
            <w:r w:rsidRPr="00893B19">
              <w:rPr>
                <w:sz w:val="20"/>
                <w:szCs w:val="20"/>
              </w:rPr>
              <w:t>(Court file contains information that is not available for inspection by the public)</w:t>
            </w:r>
          </w:p>
          <w:p w:rsidR="009B6684" w:rsidRPr="00893B19" w:rsidRDefault="009B6684" w:rsidP="009B6684">
            <w:pPr>
              <w:jc w:val="both"/>
              <w:rPr>
                <w:sz w:val="20"/>
              </w:rPr>
            </w:pPr>
          </w:p>
          <w:p w:rsidR="009B6684" w:rsidRPr="00893B19" w:rsidRDefault="009B6684" w:rsidP="009B6684">
            <w:pPr>
              <w:jc w:val="both"/>
              <w:rPr>
                <w:sz w:val="20"/>
              </w:rPr>
            </w:pPr>
            <w:r w:rsidRPr="00893B19">
              <w:rPr>
                <w:sz w:val="20"/>
              </w:rPr>
              <w:t>Charter of rights</w:t>
            </w:r>
            <w:r w:rsidRPr="00893B19">
              <w:rPr>
                <w:i/>
                <w:sz w:val="20"/>
              </w:rPr>
              <w:t xml:space="preserve"> </w:t>
            </w:r>
            <w:r w:rsidRPr="00893B19">
              <w:rPr>
                <w:sz w:val="20"/>
              </w:rPr>
              <w:t xml:space="preserve">— Principles of fundamental justice — Presumption of innocence — Criminal law — Appeals — Evidence — Testimony — Credibility — Reasonable doubt — Applicant convicted of sexual assault — Whether reasonable doubt standard enunciated in </w:t>
            </w:r>
            <w:r w:rsidRPr="00893B19">
              <w:rPr>
                <w:i/>
                <w:sz w:val="20"/>
              </w:rPr>
              <w:t>R. v. W.(D.)</w:t>
            </w:r>
            <w:r w:rsidRPr="00893B19">
              <w:rPr>
                <w:sz w:val="20"/>
              </w:rPr>
              <w:t xml:space="preserve">, [1991] 1 S.C.R. 742 (namely that if judge or jury believes accused, then accused has raised reasonable doubt as to his or her guilt and must be acquitted) should apply in symmetrical manner where complainant gives testimony at trial that is not believable or is implausible </w:t>
            </w:r>
            <w:r w:rsidRPr="00893B19">
              <w:rPr>
                <w:i/>
                <w:sz w:val="20"/>
              </w:rPr>
              <w:t>ex facie</w:t>
            </w:r>
            <w:r w:rsidRPr="00893B19">
              <w:rPr>
                <w:sz w:val="20"/>
              </w:rPr>
              <w:t xml:space="preserve"> with respect to absence of consent or alleged acts — Whether trial judge ignored this legal standard and rendered unreasonable verdict not supported by evidence, thereby erring in law and depriving accused of benefit of presumption of innocence and of reasonable doubt — Whether Court of Appeal erred in law in dismissing appeal from trial judge’s verdict — </w:t>
            </w:r>
            <w:r w:rsidRPr="00893B19">
              <w:rPr>
                <w:i/>
                <w:sz w:val="20"/>
              </w:rPr>
              <w:t>Canadian Charter of Rights and Freedoms</w:t>
            </w:r>
            <w:r w:rsidRPr="00893B19">
              <w:rPr>
                <w:sz w:val="20"/>
              </w:rPr>
              <w:t>, ss. 7 and 11(</w:t>
            </w:r>
            <w:r w:rsidRPr="00893B19">
              <w:rPr>
                <w:i/>
                <w:sz w:val="20"/>
              </w:rPr>
              <w:t>d</w:t>
            </w:r>
            <w:r w:rsidRPr="00893B19">
              <w:rPr>
                <w:sz w:val="20"/>
              </w:rPr>
              <w:t>).</w:t>
            </w:r>
          </w:p>
        </w:tc>
      </w:tr>
      <w:tr w:rsidR="009B6684" w:rsidRPr="00893B19" w:rsidTr="009B6684">
        <w:tc>
          <w:tcPr>
            <w:tcW w:w="5000" w:type="pct"/>
            <w:gridSpan w:val="4"/>
          </w:tcPr>
          <w:p w:rsidR="009B6684" w:rsidRPr="00893B19" w:rsidRDefault="009B6684" w:rsidP="009B6684">
            <w:pPr>
              <w:jc w:val="both"/>
              <w:rPr>
                <w:sz w:val="20"/>
              </w:rPr>
            </w:pPr>
          </w:p>
        </w:tc>
      </w:tr>
      <w:tr w:rsidR="009B6684" w:rsidRPr="00893B19" w:rsidTr="009B6684">
        <w:tc>
          <w:tcPr>
            <w:tcW w:w="5000" w:type="pct"/>
            <w:gridSpan w:val="4"/>
          </w:tcPr>
          <w:p w:rsidR="009B6684" w:rsidRPr="00893B19" w:rsidRDefault="009B6684" w:rsidP="009B6684">
            <w:pPr>
              <w:jc w:val="both"/>
              <w:rPr>
                <w:sz w:val="20"/>
              </w:rPr>
            </w:pPr>
            <w:r w:rsidRPr="00893B19">
              <w:rPr>
                <w:sz w:val="20"/>
              </w:rPr>
              <w:t>The applicant, Mr. St</w:t>
            </w:r>
            <w:r w:rsidRPr="00893B19">
              <w:rPr>
                <w:sz w:val="20"/>
              </w:rPr>
              <w:noBreakHyphen/>
              <w:t>Denis, was charged with sexually assaulting a 16</w:t>
            </w:r>
            <w:r w:rsidRPr="00893B19">
              <w:rPr>
                <w:sz w:val="20"/>
              </w:rPr>
              <w:noBreakHyphen/>
              <w:t>year</w:t>
            </w:r>
            <w:r w:rsidRPr="00893B19">
              <w:rPr>
                <w:sz w:val="20"/>
              </w:rPr>
              <w:noBreakHyphen/>
              <w:t xml:space="preserve">old complainant. The respective versions and accounts given by the accused and the complainant concerning the events and facts, particularly the alleged acts and the presence or absence of consent, were difficult to reconcile. </w:t>
            </w:r>
          </w:p>
          <w:p w:rsidR="009B6684" w:rsidRPr="00893B19" w:rsidRDefault="009B6684" w:rsidP="009B6684">
            <w:pPr>
              <w:jc w:val="both"/>
              <w:rPr>
                <w:sz w:val="20"/>
              </w:rPr>
            </w:pPr>
          </w:p>
          <w:p w:rsidR="009B6684" w:rsidRPr="00893B19" w:rsidRDefault="009B6684" w:rsidP="009B6684">
            <w:pPr>
              <w:jc w:val="both"/>
              <w:rPr>
                <w:sz w:val="20"/>
              </w:rPr>
            </w:pPr>
            <w:r w:rsidRPr="00893B19">
              <w:rPr>
                <w:sz w:val="20"/>
              </w:rPr>
              <w:t>The trial judge on the Court of Québec found that the testimony given by Mr. St</w:t>
            </w:r>
            <w:r w:rsidRPr="00893B19">
              <w:rPr>
                <w:sz w:val="20"/>
              </w:rPr>
              <w:noBreakHyphen/>
              <w:t>Denis did not raise a reasonable doubt whereas the complainant’s testimony was credible and corroborated by several pieces of evidence. Mr. St</w:t>
            </w:r>
            <w:r w:rsidRPr="00893B19">
              <w:rPr>
                <w:sz w:val="20"/>
              </w:rPr>
              <w:noBreakHyphen/>
              <w:t>Denis was convicted and sentenced to 90 days in prison to be served intermittently and two years of probation, with conditions. His appeal was dismissed by a unanimous Court of Appeal, which found that the trial judge’s assessment of the witnesses’ credibility rested on a reasonable interpretation of the evidence.</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July 6, 2017</w:t>
            </w:r>
          </w:p>
          <w:p w:rsidR="009B6684" w:rsidRPr="00893B19" w:rsidRDefault="009B6684" w:rsidP="009B6684">
            <w:pPr>
              <w:jc w:val="both"/>
              <w:rPr>
                <w:sz w:val="20"/>
              </w:rPr>
            </w:pPr>
            <w:r w:rsidRPr="00893B19">
              <w:rPr>
                <w:sz w:val="20"/>
              </w:rPr>
              <w:t>Court of Québec</w:t>
            </w:r>
          </w:p>
          <w:p w:rsidR="009B6684" w:rsidRPr="00893B19" w:rsidRDefault="009B6684" w:rsidP="009B6684">
            <w:pPr>
              <w:jc w:val="both"/>
              <w:rPr>
                <w:sz w:val="20"/>
              </w:rPr>
            </w:pPr>
            <w:r w:rsidRPr="00893B19">
              <w:rPr>
                <w:sz w:val="20"/>
              </w:rPr>
              <w:t>(Judge Doucet) (oral judgment)</w:t>
            </w:r>
          </w:p>
          <w:p w:rsidR="009B6684" w:rsidRPr="00893B19" w:rsidRDefault="009B6684" w:rsidP="009B6684">
            <w:pPr>
              <w:jc w:val="both"/>
              <w:rPr>
                <w:sz w:val="20"/>
              </w:rPr>
            </w:pPr>
            <w:r w:rsidRPr="00893B19">
              <w:rPr>
                <w:sz w:val="20"/>
              </w:rPr>
              <w:t>File No.: 760</w:t>
            </w:r>
            <w:r w:rsidRPr="00893B19">
              <w:rPr>
                <w:sz w:val="20"/>
              </w:rPr>
              <w:noBreakHyphen/>
              <w:t>01</w:t>
            </w:r>
            <w:r w:rsidRPr="00893B19">
              <w:rPr>
                <w:sz w:val="20"/>
              </w:rPr>
              <w:noBreakHyphen/>
              <w:t>063239</w:t>
            </w:r>
            <w:r w:rsidRPr="00893B19">
              <w:rPr>
                <w:sz w:val="20"/>
              </w:rPr>
              <w:noBreakHyphen/>
              <w:t>120</w:t>
            </w:r>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Mr. St</w:t>
            </w:r>
            <w:r w:rsidRPr="00893B19">
              <w:rPr>
                <w:sz w:val="20"/>
              </w:rPr>
              <w:noBreakHyphen/>
              <w:t>Denis convicted of sexual assault</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May 31, 2018</w:t>
            </w:r>
          </w:p>
          <w:p w:rsidR="009B6684" w:rsidRPr="00893B19" w:rsidRDefault="009B6684" w:rsidP="009B6684">
            <w:pPr>
              <w:jc w:val="both"/>
              <w:rPr>
                <w:sz w:val="20"/>
              </w:rPr>
            </w:pPr>
            <w:r w:rsidRPr="00893B19">
              <w:rPr>
                <w:sz w:val="20"/>
              </w:rPr>
              <w:t>Court of Québec</w:t>
            </w:r>
          </w:p>
          <w:p w:rsidR="009B6684" w:rsidRPr="00893B19" w:rsidRDefault="009B6684" w:rsidP="009B6684">
            <w:pPr>
              <w:jc w:val="both"/>
              <w:rPr>
                <w:sz w:val="20"/>
              </w:rPr>
            </w:pPr>
            <w:r w:rsidRPr="00893B19">
              <w:rPr>
                <w:sz w:val="20"/>
              </w:rPr>
              <w:t>(Judge Doucet)</w:t>
            </w:r>
          </w:p>
          <w:p w:rsidR="009B6684" w:rsidRPr="00893B19" w:rsidRDefault="00867539" w:rsidP="009B6684">
            <w:pPr>
              <w:jc w:val="both"/>
              <w:rPr>
                <w:sz w:val="20"/>
              </w:rPr>
            </w:pPr>
            <w:hyperlink r:id="rId15" w:history="1">
              <w:r w:rsidR="009B6684" w:rsidRPr="00893B19">
                <w:rPr>
                  <w:rStyle w:val="Hyperlink"/>
                  <w:sz w:val="20"/>
                </w:rPr>
                <w:t>2018 QCCQ 19078</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Mr. St</w:t>
            </w:r>
            <w:r w:rsidRPr="00893B19">
              <w:rPr>
                <w:sz w:val="20"/>
              </w:rPr>
              <w:noBreakHyphen/>
              <w:t xml:space="preserve">Denis sentenced to 90 days in prison to be served intermittently and two years of probation, with conditions </w:t>
            </w:r>
          </w:p>
        </w:tc>
      </w:tr>
      <w:tr w:rsidR="009B6684" w:rsidRPr="00893B19" w:rsidTr="009B6684">
        <w:tc>
          <w:tcPr>
            <w:tcW w:w="2427" w:type="pct"/>
            <w:gridSpan w:val="2"/>
          </w:tcPr>
          <w:p w:rsidR="009B6684" w:rsidRPr="00893B19" w:rsidRDefault="009B6684" w:rsidP="009B6684">
            <w:pPr>
              <w:jc w:val="both"/>
              <w:rPr>
                <w:sz w:val="20"/>
              </w:rPr>
            </w:pPr>
            <w:r w:rsidRPr="00893B19">
              <w:rPr>
                <w:sz w:val="20"/>
              </w:rPr>
              <w:t>November 4, 2019</w:t>
            </w:r>
          </w:p>
          <w:p w:rsidR="009B6684" w:rsidRPr="00893B19" w:rsidRDefault="009B6684" w:rsidP="009B6684">
            <w:pPr>
              <w:jc w:val="both"/>
              <w:rPr>
                <w:sz w:val="20"/>
              </w:rPr>
            </w:pPr>
            <w:r w:rsidRPr="00893B19">
              <w:rPr>
                <w:sz w:val="20"/>
              </w:rPr>
              <w:t>Quebec Court of Appeal (Québec)</w:t>
            </w:r>
          </w:p>
          <w:p w:rsidR="009B6684" w:rsidRPr="00893B19" w:rsidRDefault="009B6684" w:rsidP="009B6684">
            <w:pPr>
              <w:jc w:val="both"/>
              <w:rPr>
                <w:sz w:val="20"/>
              </w:rPr>
            </w:pPr>
            <w:r w:rsidRPr="00893B19">
              <w:rPr>
                <w:sz w:val="20"/>
              </w:rPr>
              <w:t>(Schrager, Mainville and Beaupré JJ.A.)</w:t>
            </w:r>
          </w:p>
          <w:p w:rsidR="009B6684" w:rsidRPr="00893B19" w:rsidRDefault="00867539" w:rsidP="009B6684">
            <w:pPr>
              <w:jc w:val="both"/>
              <w:rPr>
                <w:sz w:val="20"/>
              </w:rPr>
            </w:pPr>
            <w:hyperlink r:id="rId16" w:anchor="document" w:history="1">
              <w:r w:rsidR="009B6684" w:rsidRPr="00893B19">
                <w:rPr>
                  <w:rStyle w:val="Hyperlink"/>
                  <w:sz w:val="20"/>
                </w:rPr>
                <w:t>2019 QCCA 1870</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Appeal of Mr. St</w:t>
            </w:r>
            <w:r w:rsidRPr="00893B19">
              <w:rPr>
                <w:sz w:val="20"/>
              </w:rPr>
              <w:noBreakHyphen/>
              <w:t>Denis dismissed</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January 3, 2020</w:t>
            </w:r>
          </w:p>
          <w:p w:rsidR="009B6684" w:rsidRPr="00893B19" w:rsidRDefault="009B6684" w:rsidP="009B6684">
            <w:pPr>
              <w:jc w:val="both"/>
              <w:rPr>
                <w:sz w:val="20"/>
              </w:rPr>
            </w:pPr>
            <w:r w:rsidRPr="00893B19">
              <w:rPr>
                <w:sz w:val="20"/>
              </w:rPr>
              <w:t>Supreme Court of Canada</w:t>
            </w: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Application for leave to appeal filed by Mr. St</w:t>
            </w:r>
            <w:r w:rsidRPr="00893B19">
              <w:rPr>
                <w:sz w:val="20"/>
              </w:rPr>
              <w:noBreakHyphen/>
              <w:t>Denis</w:t>
            </w:r>
          </w:p>
        </w:tc>
      </w:tr>
    </w:tbl>
    <w:p w:rsidR="009B6684" w:rsidRPr="00893B19" w:rsidRDefault="009B6684" w:rsidP="009B6684">
      <w:pPr>
        <w:jc w:val="both"/>
        <w:rPr>
          <w:sz w:val="20"/>
        </w:rPr>
      </w:pPr>
    </w:p>
    <w:p w:rsidR="009B6684" w:rsidRPr="00893B19" w:rsidRDefault="00867539" w:rsidP="009B6684">
      <w:pPr>
        <w:jc w:val="both"/>
        <w:rPr>
          <w:sz w:val="20"/>
        </w:rPr>
      </w:pPr>
      <w:r>
        <w:rPr>
          <w:sz w:val="20"/>
        </w:rPr>
        <w:pict>
          <v:rect id="_x0000_i1044" style="width:2in;height:1pt" o:hrpct="0" o:hralign="center" o:hrstd="t" o:hrnoshade="t" o:hr="t" fillcolor="black [3213]" stroked="f"/>
        </w:pict>
      </w:r>
    </w:p>
    <w:p w:rsidR="009B6684" w:rsidRPr="00893B19" w:rsidRDefault="009B6684" w:rsidP="009B66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684" w:rsidRPr="00893B19" w:rsidTr="009B6684">
        <w:tc>
          <w:tcPr>
            <w:tcW w:w="543" w:type="pct"/>
          </w:tcPr>
          <w:p w:rsidR="009B6684" w:rsidRPr="00893B19" w:rsidRDefault="009B6684" w:rsidP="009B6684">
            <w:pPr>
              <w:jc w:val="both"/>
              <w:rPr>
                <w:sz w:val="20"/>
              </w:rPr>
            </w:pPr>
            <w:r w:rsidRPr="00893B19">
              <w:rPr>
                <w:rStyle w:val="SCCFileNumberChar"/>
                <w:sz w:val="20"/>
                <w:szCs w:val="20"/>
              </w:rPr>
              <w:t>39009</w:t>
            </w:r>
          </w:p>
        </w:tc>
        <w:tc>
          <w:tcPr>
            <w:tcW w:w="4457" w:type="pct"/>
            <w:gridSpan w:val="3"/>
          </w:tcPr>
          <w:p w:rsidR="009B6684" w:rsidRPr="00893B19" w:rsidRDefault="009B6684" w:rsidP="009B6684">
            <w:pPr>
              <w:pStyle w:val="SCCLsocParty"/>
              <w:jc w:val="both"/>
              <w:rPr>
                <w:b/>
                <w:sz w:val="20"/>
                <w:szCs w:val="20"/>
              </w:rPr>
            </w:pPr>
            <w:r w:rsidRPr="00893B19">
              <w:rPr>
                <w:b/>
                <w:sz w:val="20"/>
                <w:szCs w:val="20"/>
              </w:rPr>
              <w:t>Michel St-Denis c. Sa Majesté la Reine</w:t>
            </w:r>
          </w:p>
          <w:p w:rsidR="009B6684" w:rsidRPr="00893B19" w:rsidRDefault="009B6684" w:rsidP="009B6684">
            <w:pPr>
              <w:jc w:val="both"/>
              <w:rPr>
                <w:sz w:val="20"/>
              </w:rPr>
            </w:pPr>
            <w:r w:rsidRPr="00893B19">
              <w:rPr>
                <w:sz w:val="20"/>
              </w:rPr>
              <w:t>(Qc) (Criminelle) (Autorisation)</w:t>
            </w:r>
          </w:p>
        </w:tc>
      </w:tr>
      <w:tr w:rsidR="009B6684" w:rsidRPr="00867539" w:rsidTr="009B6684">
        <w:tc>
          <w:tcPr>
            <w:tcW w:w="5000" w:type="pct"/>
            <w:gridSpan w:val="4"/>
          </w:tcPr>
          <w:p w:rsidR="009B6684" w:rsidRPr="00893B19" w:rsidRDefault="00A02DC2" w:rsidP="009B6684">
            <w:pPr>
              <w:pStyle w:val="SCCBanSummary0"/>
              <w:rPr>
                <w:smallCaps w:val="0"/>
                <w:sz w:val="20"/>
                <w:szCs w:val="20"/>
                <w:lang w:val="fr-CA"/>
              </w:rPr>
            </w:pPr>
            <w:r w:rsidRPr="00893B19">
              <w:rPr>
                <w:smallCaps w:val="0"/>
                <w:sz w:val="20"/>
                <w:szCs w:val="20"/>
                <w:lang w:val="fr-CA"/>
              </w:rPr>
              <w:t>La demande d’autorisation d’appel de l’arrêt de la Cour d’appel du Québec (Montréal), numéro 500-10-006491-177, 2019 QCCA 1870, daté du 4 novembre 2019, est rejetée.</w:t>
            </w:r>
          </w:p>
          <w:p w:rsidR="00A02DC2" w:rsidRPr="00893B19" w:rsidRDefault="00A02DC2" w:rsidP="00A02DC2">
            <w:pPr>
              <w:rPr>
                <w:sz w:val="20"/>
                <w:szCs w:val="20"/>
                <w:lang w:val="fr-CA"/>
              </w:rPr>
            </w:pPr>
          </w:p>
        </w:tc>
      </w:tr>
      <w:tr w:rsidR="009B6684" w:rsidRPr="00867539" w:rsidTr="009B6684">
        <w:tc>
          <w:tcPr>
            <w:tcW w:w="5000" w:type="pct"/>
            <w:gridSpan w:val="4"/>
          </w:tcPr>
          <w:p w:rsidR="009B6684" w:rsidRPr="00893B19" w:rsidRDefault="009B6684" w:rsidP="009B6684">
            <w:pPr>
              <w:pStyle w:val="SCCBanSummary0"/>
              <w:rPr>
                <w:sz w:val="20"/>
                <w:szCs w:val="20"/>
                <w:lang w:val="fr-CA"/>
              </w:rPr>
            </w:pPr>
            <w:r w:rsidRPr="00893B19">
              <w:rPr>
                <w:sz w:val="20"/>
                <w:szCs w:val="20"/>
                <w:lang w:val="fr-CA"/>
              </w:rPr>
              <w:t>(Ordonnance de non</w:t>
            </w:r>
            <w:r w:rsidRPr="00893B19">
              <w:rPr>
                <w:sz w:val="20"/>
                <w:szCs w:val="20"/>
                <w:lang w:val="fr-CA"/>
              </w:rPr>
              <w:noBreakHyphen/>
              <w:t xml:space="preserve">publication / confidentialité dans le dossier) </w:t>
            </w:r>
          </w:p>
          <w:p w:rsidR="009B6684" w:rsidRPr="00893B19" w:rsidRDefault="009B6684" w:rsidP="009B6684">
            <w:pPr>
              <w:pStyle w:val="SCCBanSummary0"/>
              <w:rPr>
                <w:sz w:val="20"/>
                <w:szCs w:val="20"/>
                <w:lang w:val="fr-CA"/>
              </w:rPr>
            </w:pPr>
            <w:r w:rsidRPr="00893B19">
              <w:rPr>
                <w:sz w:val="20"/>
                <w:szCs w:val="20"/>
                <w:lang w:val="fr-CA"/>
              </w:rPr>
              <w:t>(Le dossier de la Cour renferme des données que le public n’est pas autorisé à consulter)</w:t>
            </w:r>
          </w:p>
          <w:p w:rsidR="009B6684" w:rsidRPr="00893B19" w:rsidRDefault="009B6684" w:rsidP="009B6684">
            <w:pPr>
              <w:jc w:val="both"/>
              <w:rPr>
                <w:sz w:val="20"/>
                <w:lang w:val="fr-CA"/>
              </w:rPr>
            </w:pPr>
          </w:p>
          <w:p w:rsidR="009B6684" w:rsidRPr="00893B19" w:rsidRDefault="009B6684" w:rsidP="009B6684">
            <w:pPr>
              <w:jc w:val="both"/>
              <w:rPr>
                <w:sz w:val="20"/>
                <w:lang w:val="fr-CA"/>
              </w:rPr>
            </w:pPr>
            <w:r w:rsidRPr="00893B19">
              <w:rPr>
                <w:i/>
                <w:sz w:val="20"/>
                <w:lang w:val="fr-CA"/>
              </w:rPr>
              <w:t xml:space="preserve">Charte des droits </w:t>
            </w:r>
            <w:r w:rsidRPr="00893B19">
              <w:rPr>
                <w:sz w:val="20"/>
                <w:lang w:val="fr-CA"/>
              </w:rPr>
              <w:t xml:space="preserve">— Principes de justice fondamentale — Présomption d’innocence — Droit criminel — Appels — Preuve — Témoignage — Crédibilité — Doute raisonnable — Demandeur déclaré coupable d’agression sexuelle — La norme énoncée dans </w:t>
            </w:r>
            <w:r w:rsidRPr="00893B19">
              <w:rPr>
                <w:i/>
                <w:sz w:val="20"/>
                <w:lang w:val="fr-CA"/>
              </w:rPr>
              <w:t>R. c. W.(D.)</w:t>
            </w:r>
            <w:r w:rsidRPr="00893B19">
              <w:rPr>
                <w:sz w:val="20"/>
                <w:lang w:val="fr-CA"/>
              </w:rPr>
              <w:t xml:space="preserve">, [1991] 1 R.C.S. 742, quant au doute raisonnable (qui prévoit que, lorsque le juge ou le jury croit l’accusé, l’accusé a donc soulevé un doute raisonnable quant à sa culpabilité, et un verdict d’acquittement s’impose), devrait-elle avoir une portée symétrique lorsque la plaignante rend au procès un témoignage incroyable, invraisemblable </w:t>
            </w:r>
            <w:r w:rsidRPr="00893B19">
              <w:rPr>
                <w:i/>
                <w:sz w:val="20"/>
                <w:lang w:val="fr-CA"/>
              </w:rPr>
              <w:t>ex facie</w:t>
            </w:r>
            <w:r w:rsidRPr="00893B19">
              <w:rPr>
                <w:sz w:val="20"/>
                <w:lang w:val="fr-CA"/>
              </w:rPr>
              <w:t xml:space="preserve"> concernant l’absence de consentement ou les gestes reprochés? — La juge de procès a</w:t>
            </w:r>
            <w:r w:rsidRPr="00893B19">
              <w:rPr>
                <w:sz w:val="20"/>
                <w:lang w:val="fr-CA"/>
              </w:rPr>
              <w:noBreakHyphen/>
              <w:t>t</w:t>
            </w:r>
            <w:r w:rsidRPr="00893B19">
              <w:rPr>
                <w:sz w:val="20"/>
                <w:lang w:val="fr-CA"/>
              </w:rPr>
              <w:noBreakHyphen/>
              <w:t>elle fait fi de cette norme juridique et rendu un verdict déraisonnable, non étayé par la preuve, commettant ainsi une erreur de droit et privant l’accusé du bénéfice de la présomption d’innocence et du doute raisonnable? — La Cour d’appel a</w:t>
            </w:r>
            <w:r w:rsidRPr="00893B19">
              <w:rPr>
                <w:sz w:val="20"/>
                <w:lang w:val="fr-CA"/>
              </w:rPr>
              <w:noBreakHyphen/>
              <w:t>t</w:t>
            </w:r>
            <w:r w:rsidRPr="00893B19">
              <w:rPr>
                <w:sz w:val="20"/>
                <w:lang w:val="fr-CA"/>
              </w:rPr>
              <w:noBreakHyphen/>
              <w:t xml:space="preserve">elle commis une erreur de droit en rejetant l’appel interjeté à l’encontre du verdict rendu par la juge de procès? — </w:t>
            </w:r>
            <w:r w:rsidRPr="00893B19">
              <w:rPr>
                <w:i/>
                <w:sz w:val="20"/>
                <w:lang w:val="fr-CA"/>
              </w:rPr>
              <w:t>Charte canadienne des droits et libertés</w:t>
            </w:r>
            <w:r w:rsidRPr="00893B19">
              <w:rPr>
                <w:sz w:val="20"/>
                <w:lang w:val="fr-CA"/>
              </w:rPr>
              <w:t>, art. 7, 11d)</w:t>
            </w:r>
          </w:p>
        </w:tc>
      </w:tr>
      <w:tr w:rsidR="009B6684" w:rsidRPr="00867539" w:rsidTr="009B6684">
        <w:tc>
          <w:tcPr>
            <w:tcW w:w="5000" w:type="pct"/>
            <w:gridSpan w:val="4"/>
          </w:tcPr>
          <w:p w:rsidR="009B6684" w:rsidRPr="00893B19" w:rsidRDefault="009B6684" w:rsidP="009B6684">
            <w:pPr>
              <w:jc w:val="both"/>
              <w:rPr>
                <w:sz w:val="20"/>
                <w:lang w:val="fr-CA"/>
              </w:rPr>
            </w:pPr>
          </w:p>
        </w:tc>
      </w:tr>
      <w:tr w:rsidR="009B6684" w:rsidRPr="00867539" w:rsidTr="009B6684">
        <w:tc>
          <w:tcPr>
            <w:tcW w:w="5000" w:type="pct"/>
            <w:gridSpan w:val="4"/>
          </w:tcPr>
          <w:p w:rsidR="009B6684" w:rsidRPr="00893B19" w:rsidRDefault="009B6684" w:rsidP="009B6684">
            <w:pPr>
              <w:jc w:val="both"/>
              <w:rPr>
                <w:sz w:val="20"/>
                <w:lang w:val="fr-CA"/>
              </w:rPr>
            </w:pPr>
            <w:r w:rsidRPr="00893B19">
              <w:rPr>
                <w:sz w:val="20"/>
                <w:lang w:val="fr-CA"/>
              </w:rPr>
              <w:t>Le demandeur, M. St</w:t>
            </w:r>
            <w:r w:rsidRPr="00893B19">
              <w:rPr>
                <w:sz w:val="20"/>
                <w:lang w:val="fr-CA"/>
              </w:rPr>
              <w:noBreakHyphen/>
              <w:t xml:space="preserve">Denis, est accusé d’avoir commis un acte d’agression sexuelle envers une plaignante âgée de 16 ans. Les versions et récits respectifs de l’accusé et de la plaignante, quant aux événements et faits, et surtout quant aux gestes reprochés et la présence ou l’absence de consentement, sont difficilement conciliables. </w:t>
            </w:r>
          </w:p>
          <w:p w:rsidR="009B6684" w:rsidRPr="00893B19" w:rsidRDefault="009B6684" w:rsidP="009B6684">
            <w:pPr>
              <w:jc w:val="both"/>
              <w:rPr>
                <w:sz w:val="20"/>
                <w:lang w:val="fr-CA"/>
              </w:rPr>
            </w:pPr>
          </w:p>
          <w:p w:rsidR="009B6684" w:rsidRPr="00893B19" w:rsidRDefault="009B6684" w:rsidP="009B6684">
            <w:pPr>
              <w:jc w:val="both"/>
              <w:rPr>
                <w:sz w:val="20"/>
                <w:lang w:val="fr-CA"/>
              </w:rPr>
            </w:pPr>
            <w:r w:rsidRPr="00893B19">
              <w:rPr>
                <w:sz w:val="20"/>
                <w:lang w:val="fr-CA"/>
              </w:rPr>
              <w:t>La juge de procès à la Cour du Québec conclut que le témoignage de M. St</w:t>
            </w:r>
            <w:r w:rsidRPr="00893B19">
              <w:rPr>
                <w:sz w:val="20"/>
                <w:lang w:val="fr-CA"/>
              </w:rPr>
              <w:noBreakHyphen/>
              <w:t>Denis ne soulève pas de doute raisonnable, tandis que le témoignage de la plaignante est digne de foi et corroboré par plusieurs éléments de la preuve. Monsieur St</w:t>
            </w:r>
            <w:r w:rsidRPr="00893B19">
              <w:rPr>
                <w:sz w:val="20"/>
                <w:lang w:val="fr-CA"/>
              </w:rPr>
              <w:noBreakHyphen/>
              <w:t>Denis est déclaré coupable et condamné à une peine d’emprisonnement d’une période de 90 jours, à être purgée de façon discontinue, et une période de probation de deux ans, avec conditions. Son appel est rejeté à l’unanimité par la Cour d’appel, étant d’avis que l’appréciation de la crédibilité des témoins par la juge de procès s’appuyait sur une interprétation raisonnable de la preuve.</w:t>
            </w: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Le 6 juillet 2017</w:t>
            </w:r>
          </w:p>
          <w:p w:rsidR="009B6684" w:rsidRPr="00893B19" w:rsidRDefault="009B6684" w:rsidP="009B6684">
            <w:pPr>
              <w:jc w:val="both"/>
              <w:rPr>
                <w:sz w:val="20"/>
                <w:lang w:val="fr-CA"/>
              </w:rPr>
            </w:pPr>
            <w:r w:rsidRPr="00893B19">
              <w:rPr>
                <w:sz w:val="20"/>
                <w:lang w:val="fr-CA"/>
              </w:rPr>
              <w:t>Cour du Québec</w:t>
            </w:r>
          </w:p>
          <w:p w:rsidR="009B6684" w:rsidRPr="00893B19" w:rsidRDefault="009B6684" w:rsidP="009B6684">
            <w:pPr>
              <w:jc w:val="both"/>
              <w:rPr>
                <w:sz w:val="20"/>
                <w:lang w:val="fr-CA"/>
              </w:rPr>
            </w:pPr>
            <w:r w:rsidRPr="00893B19">
              <w:rPr>
                <w:sz w:val="20"/>
                <w:lang w:val="fr-CA"/>
              </w:rPr>
              <w:t>(la juge Doucet) (jugement oral)</w:t>
            </w:r>
          </w:p>
          <w:p w:rsidR="009B6684" w:rsidRPr="00893B19" w:rsidRDefault="009B6684" w:rsidP="009B6684">
            <w:pPr>
              <w:jc w:val="both"/>
              <w:rPr>
                <w:sz w:val="20"/>
              </w:rPr>
            </w:pPr>
            <w:r w:rsidRPr="00893B19">
              <w:rPr>
                <w:sz w:val="20"/>
              </w:rPr>
              <w:t>Numéro de dossier : 760</w:t>
            </w:r>
            <w:r w:rsidRPr="00893B19">
              <w:rPr>
                <w:sz w:val="20"/>
              </w:rPr>
              <w:noBreakHyphen/>
              <w:t>01</w:t>
            </w:r>
            <w:r w:rsidRPr="00893B19">
              <w:rPr>
                <w:sz w:val="20"/>
              </w:rPr>
              <w:noBreakHyphen/>
              <w:t>063239</w:t>
            </w:r>
            <w:r w:rsidRPr="00893B19">
              <w:rPr>
                <w:sz w:val="20"/>
              </w:rPr>
              <w:noBreakHyphen/>
              <w:t>120</w:t>
            </w:r>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lang w:val="fr-CA"/>
              </w:rPr>
            </w:pPr>
            <w:r w:rsidRPr="00893B19">
              <w:rPr>
                <w:sz w:val="20"/>
                <w:lang w:val="fr-CA"/>
              </w:rPr>
              <w:t>Déclaration de culpabilité pour agression sexuelle</w:t>
            </w: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Le 31 mai 2018</w:t>
            </w:r>
          </w:p>
          <w:p w:rsidR="009B6684" w:rsidRPr="00893B19" w:rsidRDefault="009B6684" w:rsidP="009B6684">
            <w:pPr>
              <w:jc w:val="both"/>
              <w:rPr>
                <w:sz w:val="20"/>
                <w:lang w:val="fr-CA"/>
              </w:rPr>
            </w:pPr>
            <w:r w:rsidRPr="00893B19">
              <w:rPr>
                <w:sz w:val="20"/>
                <w:lang w:val="fr-CA"/>
              </w:rPr>
              <w:t>Cour du Québec</w:t>
            </w:r>
          </w:p>
          <w:p w:rsidR="009B6684" w:rsidRPr="00893B19" w:rsidRDefault="009B6684" w:rsidP="009B6684">
            <w:pPr>
              <w:jc w:val="both"/>
              <w:rPr>
                <w:sz w:val="20"/>
                <w:lang w:val="fr-CA"/>
              </w:rPr>
            </w:pPr>
            <w:r w:rsidRPr="00893B19">
              <w:rPr>
                <w:sz w:val="20"/>
                <w:lang w:val="fr-CA"/>
              </w:rPr>
              <w:t>(la juge Doucet)</w:t>
            </w:r>
          </w:p>
          <w:p w:rsidR="009B6684" w:rsidRPr="00893B19" w:rsidRDefault="00867539" w:rsidP="009B6684">
            <w:pPr>
              <w:jc w:val="both"/>
              <w:rPr>
                <w:sz w:val="20"/>
              </w:rPr>
            </w:pPr>
            <w:hyperlink r:id="rId17" w:history="1">
              <w:r w:rsidR="009B6684" w:rsidRPr="00893B19">
                <w:rPr>
                  <w:rStyle w:val="Hyperlink"/>
                  <w:sz w:val="20"/>
                </w:rPr>
                <w:t>2018 QCCQ 19078</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lang w:val="fr-CA"/>
              </w:rPr>
            </w:pPr>
            <w:r w:rsidRPr="00893B19">
              <w:rPr>
                <w:sz w:val="20"/>
                <w:lang w:val="fr-CA"/>
              </w:rPr>
              <w:t>Peine imposée — peine d’emprisonnement de 90 jours, à être purgée de façon discontinue; probation de deux ans, avec conditions</w:t>
            </w: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Le 4 novembre 2019</w:t>
            </w:r>
          </w:p>
          <w:p w:rsidR="009B6684" w:rsidRPr="00893B19" w:rsidRDefault="009B6684" w:rsidP="009B6684">
            <w:pPr>
              <w:jc w:val="both"/>
              <w:rPr>
                <w:sz w:val="20"/>
                <w:lang w:val="fr-CA"/>
              </w:rPr>
            </w:pPr>
            <w:r w:rsidRPr="00893B19">
              <w:rPr>
                <w:sz w:val="20"/>
                <w:lang w:val="fr-CA"/>
              </w:rPr>
              <w:t>Cour d’appel du Québec (Québec)</w:t>
            </w:r>
          </w:p>
          <w:p w:rsidR="009B6684" w:rsidRPr="00893B19" w:rsidRDefault="009B6684" w:rsidP="009B6684">
            <w:pPr>
              <w:jc w:val="both"/>
              <w:rPr>
                <w:sz w:val="20"/>
                <w:lang w:val="fr-CA"/>
              </w:rPr>
            </w:pPr>
            <w:r w:rsidRPr="00893B19">
              <w:rPr>
                <w:sz w:val="20"/>
                <w:lang w:val="fr-CA"/>
              </w:rPr>
              <w:t>(les juges Schrager, Mainville et Beaupré)</w:t>
            </w:r>
          </w:p>
          <w:p w:rsidR="009B6684" w:rsidRPr="00893B19" w:rsidRDefault="00867539" w:rsidP="009B6684">
            <w:pPr>
              <w:jc w:val="both"/>
              <w:rPr>
                <w:sz w:val="20"/>
              </w:rPr>
            </w:pPr>
            <w:hyperlink r:id="rId18" w:anchor="document" w:history="1">
              <w:r w:rsidR="009B6684" w:rsidRPr="00893B19">
                <w:rPr>
                  <w:rStyle w:val="Hyperlink"/>
                  <w:sz w:val="20"/>
                </w:rPr>
                <w:t>2019 QCCA 1870</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lang w:val="fr-CA"/>
              </w:rPr>
            </w:pPr>
            <w:r w:rsidRPr="00893B19">
              <w:rPr>
                <w:sz w:val="20"/>
                <w:lang w:val="fr-CA"/>
              </w:rPr>
              <w:t>Appel de M. St</w:t>
            </w:r>
            <w:r w:rsidRPr="00893B19">
              <w:rPr>
                <w:sz w:val="20"/>
                <w:lang w:val="fr-CA"/>
              </w:rPr>
              <w:noBreakHyphen/>
              <w:t>Denis — rejeté</w:t>
            </w: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Le 3 janvier 2020</w:t>
            </w:r>
          </w:p>
          <w:p w:rsidR="009B6684" w:rsidRPr="00893B19" w:rsidRDefault="009B6684" w:rsidP="009B6684">
            <w:pPr>
              <w:jc w:val="both"/>
              <w:rPr>
                <w:sz w:val="20"/>
                <w:lang w:val="fr-CA"/>
              </w:rPr>
            </w:pPr>
            <w:r w:rsidRPr="00893B19">
              <w:rPr>
                <w:sz w:val="20"/>
                <w:lang w:val="fr-CA"/>
              </w:rPr>
              <w:t>Cour suprême du Canada</w:t>
            </w: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Demande d’autorisation d’appel déposée par M. St-Denis</w:t>
            </w:r>
          </w:p>
        </w:tc>
      </w:tr>
    </w:tbl>
    <w:p w:rsidR="009B6684" w:rsidRPr="00893B19" w:rsidRDefault="009B6684" w:rsidP="009B6684">
      <w:pPr>
        <w:jc w:val="both"/>
        <w:rPr>
          <w:sz w:val="20"/>
          <w:lang w:val="fr-CA"/>
        </w:rPr>
      </w:pPr>
    </w:p>
    <w:p w:rsidR="009B6684" w:rsidRPr="00893B19" w:rsidRDefault="00867539" w:rsidP="009B6684">
      <w:pPr>
        <w:widowControl w:val="0"/>
        <w:jc w:val="both"/>
        <w:rPr>
          <w:sz w:val="20"/>
          <w:lang w:val="fr-CA"/>
        </w:rPr>
      </w:pPr>
      <w:r>
        <w:rPr>
          <w:sz w:val="20"/>
        </w:rPr>
        <w:pict>
          <v:rect id="_x0000_i1045" style="width:2in;height:1pt" o:hrpct="0" o:hralign="center" o:hrstd="t" o:hrnoshade="t" o:hr="t" fillcolor="black [3213]" stroked="f"/>
        </w:pict>
      </w:r>
    </w:p>
    <w:p w:rsidR="009B6684" w:rsidRPr="00893B19" w:rsidRDefault="009B6684" w:rsidP="009B66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684" w:rsidRPr="00893B19" w:rsidTr="009B6684">
        <w:tc>
          <w:tcPr>
            <w:tcW w:w="543" w:type="pct"/>
          </w:tcPr>
          <w:p w:rsidR="009B6684" w:rsidRPr="00893B19" w:rsidRDefault="009B6684" w:rsidP="009B6684">
            <w:pPr>
              <w:jc w:val="both"/>
              <w:rPr>
                <w:sz w:val="20"/>
              </w:rPr>
            </w:pPr>
            <w:r w:rsidRPr="00893B19">
              <w:rPr>
                <w:rStyle w:val="SCCFileNumberChar"/>
                <w:sz w:val="20"/>
                <w:szCs w:val="20"/>
              </w:rPr>
              <w:t>38992</w:t>
            </w:r>
          </w:p>
        </w:tc>
        <w:tc>
          <w:tcPr>
            <w:tcW w:w="4457" w:type="pct"/>
            <w:gridSpan w:val="3"/>
          </w:tcPr>
          <w:p w:rsidR="009B6684" w:rsidRPr="00893B19" w:rsidRDefault="009B6684" w:rsidP="009B6684">
            <w:pPr>
              <w:pStyle w:val="SCCLsocParty"/>
              <w:jc w:val="both"/>
              <w:rPr>
                <w:b/>
                <w:sz w:val="20"/>
                <w:szCs w:val="20"/>
                <w:lang w:val="en-US"/>
              </w:rPr>
            </w:pPr>
            <w:r w:rsidRPr="00893B19">
              <w:rPr>
                <w:b/>
                <w:sz w:val="20"/>
                <w:szCs w:val="20"/>
                <w:lang w:val="en-US"/>
              </w:rPr>
              <w:t>Canadian Broadcasting Corporation v. Her Majesty the Queen, Stanley Frank Ostrowski, B.B., spouse of the late M.D., and J.D., in his capacity as executor of the estate of the late M.D.</w:t>
            </w:r>
          </w:p>
          <w:p w:rsidR="009B6684" w:rsidRPr="00893B19" w:rsidRDefault="009B6684" w:rsidP="009B6684">
            <w:pPr>
              <w:jc w:val="both"/>
              <w:rPr>
                <w:sz w:val="20"/>
              </w:rPr>
            </w:pPr>
            <w:r w:rsidRPr="00893B19">
              <w:rPr>
                <w:sz w:val="20"/>
              </w:rPr>
              <w:t>(Man.) (Civil) (By Leave)</w:t>
            </w:r>
          </w:p>
        </w:tc>
      </w:tr>
      <w:tr w:rsidR="009B6684" w:rsidRPr="00893B19" w:rsidTr="009B6684">
        <w:tc>
          <w:tcPr>
            <w:tcW w:w="5000" w:type="pct"/>
            <w:gridSpan w:val="4"/>
          </w:tcPr>
          <w:p w:rsidR="009B6684" w:rsidRPr="00893B19" w:rsidRDefault="00A02DC2" w:rsidP="009B6684">
            <w:pPr>
              <w:pStyle w:val="SCCBanSummary0"/>
              <w:rPr>
                <w:smallCaps w:val="0"/>
                <w:sz w:val="20"/>
                <w:szCs w:val="20"/>
              </w:rPr>
            </w:pPr>
            <w:r w:rsidRPr="00893B19">
              <w:rPr>
                <w:smallCaps w:val="0"/>
                <w:sz w:val="20"/>
                <w:szCs w:val="20"/>
              </w:rPr>
              <w:t>The motions for an extension of time to serve and file the applications for leave to appeal and the applicant’s reply are granted. The applications for leave to appeal from the judgments of the Court of Appeal of Manitoba, Number AR14-30-08288, 2018 MBCA 125, dated November 27, 2018, and Number AR14-30-08288, 2019 MBCA 122, dated October 28, 2019, are granted.</w:t>
            </w:r>
          </w:p>
          <w:p w:rsidR="00A02DC2" w:rsidRPr="00893B19" w:rsidRDefault="00A02DC2" w:rsidP="00A02DC2">
            <w:pPr>
              <w:rPr>
                <w:sz w:val="20"/>
                <w:szCs w:val="20"/>
              </w:rPr>
            </w:pPr>
          </w:p>
        </w:tc>
      </w:tr>
      <w:tr w:rsidR="009B6684" w:rsidRPr="00893B19" w:rsidTr="009B6684">
        <w:tc>
          <w:tcPr>
            <w:tcW w:w="5000" w:type="pct"/>
            <w:gridSpan w:val="4"/>
          </w:tcPr>
          <w:p w:rsidR="009B6684" w:rsidRPr="00893B19" w:rsidRDefault="009B6684" w:rsidP="009B6684">
            <w:pPr>
              <w:pStyle w:val="SCCBanSummary0"/>
              <w:rPr>
                <w:sz w:val="20"/>
                <w:szCs w:val="20"/>
              </w:rPr>
            </w:pPr>
            <w:r w:rsidRPr="00893B19">
              <w:rPr>
                <w:sz w:val="20"/>
                <w:szCs w:val="20"/>
              </w:rPr>
              <w:t>(Publication ban in case) (Sealing order)</w:t>
            </w:r>
          </w:p>
          <w:p w:rsidR="009B6684" w:rsidRPr="00893B19" w:rsidRDefault="009B6684" w:rsidP="009B6684">
            <w:pPr>
              <w:jc w:val="both"/>
              <w:rPr>
                <w:sz w:val="20"/>
              </w:rPr>
            </w:pPr>
          </w:p>
          <w:p w:rsidR="009B6684" w:rsidRPr="00893B19" w:rsidRDefault="009B6684" w:rsidP="009B6684">
            <w:pPr>
              <w:jc w:val="both"/>
              <w:rPr>
                <w:sz w:val="20"/>
              </w:rPr>
            </w:pPr>
            <w:r w:rsidRPr="00893B19">
              <w:rPr>
                <w:sz w:val="20"/>
              </w:rPr>
              <w:t xml:space="preserve">Courts — Jurisdiction — Publication bans — Criminal proceedings — Appeals — Whether and in what circumstances a Court authorized to issue a publication ban retains jurisdiction to set aside, vary or clarify its order — Does the doctrine of </w:t>
            </w:r>
            <w:r w:rsidRPr="00893B19">
              <w:rPr>
                <w:i/>
                <w:sz w:val="20"/>
              </w:rPr>
              <w:t>functus officio</w:t>
            </w:r>
            <w:r w:rsidRPr="00893B19">
              <w:rPr>
                <w:sz w:val="20"/>
              </w:rPr>
              <w:t xml:space="preserve"> apply to orders respecting collateral matters to a proceeding and do publication bans issued in the course of proceedings constitute such collateral matters — Should publication bans be presumptively interpreted as subject to further order of the court, especially when they are issued without notice to affected parties, meaning that the doctrine of </w:t>
            </w:r>
            <w:r w:rsidRPr="00893B19">
              <w:rPr>
                <w:i/>
                <w:sz w:val="20"/>
              </w:rPr>
              <w:t>functus officio</w:t>
            </w:r>
            <w:r w:rsidRPr="00893B19">
              <w:rPr>
                <w:sz w:val="20"/>
              </w:rPr>
              <w:t xml:space="preserve"> would not apply — Does the doctrine of </w:t>
            </w:r>
            <w:r w:rsidRPr="00893B19">
              <w:rPr>
                <w:i/>
                <w:sz w:val="20"/>
              </w:rPr>
              <w:t>functus officio</w:t>
            </w:r>
            <w:r w:rsidRPr="00893B19">
              <w:rPr>
                <w:sz w:val="20"/>
              </w:rPr>
              <w:t xml:space="preserve"> apply to decisions made that are not documented and entered — Does the doctrine of </w:t>
            </w:r>
            <w:r w:rsidRPr="00893B19">
              <w:rPr>
                <w:i/>
                <w:sz w:val="20"/>
              </w:rPr>
              <w:t>functus officio</w:t>
            </w:r>
            <w:r w:rsidRPr="00893B19">
              <w:rPr>
                <w:sz w:val="20"/>
              </w:rPr>
              <w:t xml:space="preserve"> preclude a court from clarifying its order — Whether a Court of Appeal retains jurisdiction to make orders affecting public access to its judicial records of a criminal proceeding after that proceeding has been determined — Whether the right of public access to Court documents and proceedings protected by section 2(b) of the </w:t>
            </w:r>
            <w:r w:rsidRPr="00893B19">
              <w:rPr>
                <w:i/>
                <w:sz w:val="20"/>
              </w:rPr>
              <w:t>Charter</w:t>
            </w:r>
            <w:r w:rsidRPr="00893B19">
              <w:rPr>
                <w:sz w:val="20"/>
              </w:rPr>
              <w:t xml:space="preserve"> and the common law applies to evidence tendered in judicial proceedings but not admitted as evidence by the Court — Are there minimum constitutional requirements for giving notice to the public and the media before a Court issues a final common law discretionary publication ban — Does the law require a Court granting a common law discretionary publication ban to give reasons identifying the risk to the administration of justice upon which the Court relies, the evidence of that risk and that it considered reasonable alternative measures to mitigate the risk — Does the law require the terms of a common law discretionary publication ban to be set out with sufficiently certainty to permit a reasonable person to ascertain what will constitute unlawful expression — Does the law require the information that is subject to a publication ban to be clearly documented in a manner that is accessible to the public — Does evidence that is tendered and reviewed by a Court but ultimately not admitted form part of the public record that is </w:t>
            </w:r>
            <w:r w:rsidRPr="00893B19">
              <w:rPr>
                <w:i/>
                <w:sz w:val="20"/>
              </w:rPr>
              <w:t>prima facie</w:t>
            </w:r>
            <w:r w:rsidRPr="00893B19">
              <w:rPr>
                <w:sz w:val="20"/>
              </w:rPr>
              <w:t xml:space="preserve"> open to the public pursuant to section 2(b) of the </w:t>
            </w:r>
            <w:r w:rsidRPr="00893B19">
              <w:rPr>
                <w:i/>
                <w:sz w:val="20"/>
              </w:rPr>
              <w:t>Charter</w:t>
            </w:r>
            <w:r w:rsidRPr="00893B19">
              <w:rPr>
                <w:sz w:val="20"/>
              </w:rPr>
              <w:t xml:space="preserve"> and the common law open court principle — </w:t>
            </w:r>
            <w:r w:rsidRPr="00893B19">
              <w:rPr>
                <w:i/>
                <w:sz w:val="20"/>
              </w:rPr>
              <w:t>Dagenais v. Canadian Broadcasting Corp</w:t>
            </w:r>
            <w:r w:rsidRPr="00893B19">
              <w:rPr>
                <w:sz w:val="20"/>
              </w:rPr>
              <w:t xml:space="preserve">., [1994] 3 S.C.R. 835; </w:t>
            </w:r>
            <w:r w:rsidRPr="00893B19">
              <w:rPr>
                <w:i/>
                <w:sz w:val="20"/>
                <w:lang w:val="en-GB"/>
              </w:rPr>
              <w:t xml:space="preserve">R. </w:t>
            </w:r>
            <w:r w:rsidRPr="00893B19">
              <w:rPr>
                <w:i/>
                <w:iCs/>
                <w:sz w:val="20"/>
                <w:lang w:val="en-GB"/>
              </w:rPr>
              <w:t>v.</w:t>
            </w:r>
            <w:r w:rsidRPr="00893B19">
              <w:rPr>
                <w:i/>
                <w:sz w:val="20"/>
                <w:lang w:val="en-GB"/>
              </w:rPr>
              <w:t xml:space="preserve"> Mentuck</w:t>
            </w:r>
            <w:r w:rsidRPr="00893B19">
              <w:rPr>
                <w:sz w:val="20"/>
                <w:lang w:val="en-GB"/>
              </w:rPr>
              <w:t>, [2001] 3 S.C.R. 442, 2001 SCC 76.</w:t>
            </w:r>
          </w:p>
        </w:tc>
      </w:tr>
      <w:tr w:rsidR="009B6684" w:rsidRPr="00893B19" w:rsidTr="009B6684">
        <w:tc>
          <w:tcPr>
            <w:tcW w:w="5000" w:type="pct"/>
            <w:gridSpan w:val="4"/>
          </w:tcPr>
          <w:p w:rsidR="009B6684" w:rsidRPr="00893B19" w:rsidRDefault="009B6684" w:rsidP="009B6684">
            <w:pPr>
              <w:jc w:val="both"/>
              <w:rPr>
                <w:sz w:val="20"/>
              </w:rPr>
            </w:pPr>
          </w:p>
        </w:tc>
      </w:tr>
      <w:tr w:rsidR="009B6684" w:rsidRPr="00893B19" w:rsidTr="009B6684">
        <w:tc>
          <w:tcPr>
            <w:tcW w:w="5000" w:type="pct"/>
            <w:gridSpan w:val="4"/>
          </w:tcPr>
          <w:p w:rsidR="009B6684" w:rsidRPr="00893B19" w:rsidRDefault="009B6684" w:rsidP="009B6684">
            <w:pPr>
              <w:widowControl w:val="0"/>
              <w:spacing w:line="0" w:lineRule="atLeast"/>
              <w:jc w:val="both"/>
              <w:rPr>
                <w:sz w:val="20"/>
              </w:rPr>
            </w:pPr>
            <w:r w:rsidRPr="00893B19">
              <w:rPr>
                <w:sz w:val="20"/>
              </w:rPr>
              <w:t>During the appeal of an accused’s conviction for first degree murder, the defence brought two motions to admit fresh evidence. On the basis of evidence from the first motion that was admitted and made publicly available, the parties agreed that the conviction should be set aside and that there should not be a new trial. The only issue remaining was whether there should be an acquittal or a new trial, but with a judicial stay of further proceedings. In 2018 MBCA 125, the Manitoba Court of Appeal determined that the evidence proposed under the second motion to admit fresh evidence was irrelevant to the remaining issue, and therefore denied the motion and ordered that the publication ban on it remain in effect. The Court set aside the conviction, ordered a new trial and stayed any further proceedings.</w:t>
            </w:r>
          </w:p>
          <w:p w:rsidR="009B6684" w:rsidRPr="00893B19" w:rsidRDefault="009B6684" w:rsidP="009B6684">
            <w:pPr>
              <w:widowControl w:val="0"/>
              <w:spacing w:line="0" w:lineRule="atLeast"/>
              <w:jc w:val="both"/>
              <w:rPr>
                <w:sz w:val="20"/>
              </w:rPr>
            </w:pPr>
          </w:p>
          <w:p w:rsidR="009B6684" w:rsidRPr="00893B19" w:rsidRDefault="009B6684" w:rsidP="009B6684">
            <w:pPr>
              <w:jc w:val="both"/>
              <w:rPr>
                <w:sz w:val="20"/>
              </w:rPr>
            </w:pPr>
            <w:r w:rsidRPr="00893B19">
              <w:rPr>
                <w:sz w:val="20"/>
              </w:rPr>
              <w:t xml:space="preserve">The applicant brought a motion before the Manitoba Court of Appeal to set aside the publication ban protecting the fresh evidence sought to be admitted under the second motion. In 2019 MBCA 122, the Court denied the motion on the basis that it lacked jurisdiction to rehear or interpret the publication ban according to the </w:t>
            </w:r>
            <w:r w:rsidRPr="00893B19">
              <w:rPr>
                <w:i/>
                <w:sz w:val="20"/>
                <w:lang w:val="en"/>
              </w:rPr>
              <w:t>Court of Appeal Rules</w:t>
            </w:r>
            <w:r w:rsidRPr="00893B19">
              <w:rPr>
                <w:sz w:val="20"/>
                <w:lang w:val="en"/>
              </w:rPr>
              <w:t>, Man Reg 555/88 R</w:t>
            </w:r>
            <w:r w:rsidRPr="00893B19">
              <w:rPr>
                <w:sz w:val="20"/>
              </w:rPr>
              <w:t>.  The CBC filed motions for an extension of time and applications for leave to appeal the 2018 MBCA 125 and 2019 MBCA 122 decisions.</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November 27, 2018</w:t>
            </w:r>
          </w:p>
          <w:p w:rsidR="009B6684" w:rsidRPr="00893B19" w:rsidRDefault="009B6684" w:rsidP="009B6684">
            <w:pPr>
              <w:jc w:val="both"/>
              <w:rPr>
                <w:sz w:val="20"/>
              </w:rPr>
            </w:pPr>
            <w:r w:rsidRPr="00893B19">
              <w:rPr>
                <w:sz w:val="20"/>
              </w:rPr>
              <w:t>Court of Appeal of Manitoba</w:t>
            </w:r>
          </w:p>
          <w:p w:rsidR="009B6684" w:rsidRPr="00893B19" w:rsidRDefault="009B6684" w:rsidP="009B6684">
            <w:pPr>
              <w:jc w:val="both"/>
              <w:rPr>
                <w:sz w:val="20"/>
              </w:rPr>
            </w:pPr>
            <w:r w:rsidRPr="00893B19">
              <w:rPr>
                <w:sz w:val="20"/>
              </w:rPr>
              <w:t>(Beard, Burnett and Pfuetzner JJ.A.)</w:t>
            </w:r>
          </w:p>
          <w:p w:rsidR="009B6684" w:rsidRPr="00893B19" w:rsidRDefault="00867539" w:rsidP="009B6684">
            <w:pPr>
              <w:jc w:val="both"/>
              <w:rPr>
                <w:sz w:val="20"/>
              </w:rPr>
            </w:pPr>
            <w:hyperlink r:id="rId19" w:history="1">
              <w:r w:rsidR="009B6684" w:rsidRPr="00893B19">
                <w:rPr>
                  <w:rStyle w:val="Hyperlink"/>
                  <w:sz w:val="20"/>
                </w:rPr>
                <w:t>2018 MBCA 125</w:t>
              </w:r>
            </w:hyperlink>
            <w:r w:rsidR="009B6684" w:rsidRPr="00893B19">
              <w:rPr>
                <w:sz w:val="20"/>
              </w:rPr>
              <w:t xml:space="preserve"> </w:t>
            </w:r>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Motion to admit fresh evidence dismissed, with order that publication ban relating to it remain in effect; Accused’s appeal granted to extent of quashing his conviction but application for an acquittal dismissed; New trial ordered but judicial stay on further judicial proceedings entered.</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October 28, 2019</w:t>
            </w:r>
          </w:p>
          <w:p w:rsidR="009B6684" w:rsidRPr="00893B19" w:rsidRDefault="009B6684" w:rsidP="009B6684">
            <w:pPr>
              <w:jc w:val="both"/>
              <w:rPr>
                <w:sz w:val="20"/>
              </w:rPr>
            </w:pPr>
            <w:r w:rsidRPr="00893B19">
              <w:rPr>
                <w:sz w:val="20"/>
              </w:rPr>
              <w:t>Court of Appeal of Manitoba</w:t>
            </w:r>
          </w:p>
          <w:p w:rsidR="009B6684" w:rsidRPr="00893B19" w:rsidRDefault="009B6684" w:rsidP="009B6684">
            <w:pPr>
              <w:jc w:val="both"/>
              <w:rPr>
                <w:sz w:val="20"/>
              </w:rPr>
            </w:pPr>
            <w:r w:rsidRPr="00893B19">
              <w:rPr>
                <w:sz w:val="20"/>
              </w:rPr>
              <w:t>(Beard, Burnett and Pfuetzner JJ.A.)</w:t>
            </w:r>
          </w:p>
          <w:p w:rsidR="009B6684" w:rsidRPr="00893B19" w:rsidRDefault="00867539" w:rsidP="009B6684">
            <w:pPr>
              <w:jc w:val="both"/>
              <w:rPr>
                <w:sz w:val="20"/>
              </w:rPr>
            </w:pPr>
            <w:hyperlink r:id="rId20" w:history="1">
              <w:r w:rsidR="009B6684" w:rsidRPr="00893B19">
                <w:rPr>
                  <w:rStyle w:val="Hyperlink"/>
                  <w:sz w:val="20"/>
                </w:rPr>
                <w:t>2019 MBCA 122</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Motion to set aside publication ban denied; Court does not have jurisdiction to hear motion to rehear or interpret its order of a publication ban.</w:t>
            </w:r>
          </w:p>
        </w:tc>
      </w:tr>
      <w:tr w:rsidR="009B6684" w:rsidRPr="00893B19" w:rsidTr="009B6684">
        <w:tc>
          <w:tcPr>
            <w:tcW w:w="2427" w:type="pct"/>
            <w:gridSpan w:val="2"/>
          </w:tcPr>
          <w:p w:rsidR="009B6684" w:rsidRPr="00893B19" w:rsidRDefault="009B6684" w:rsidP="009B6684">
            <w:pPr>
              <w:jc w:val="both"/>
              <w:rPr>
                <w:sz w:val="20"/>
              </w:rPr>
            </w:pPr>
            <w:r w:rsidRPr="00893B19">
              <w:rPr>
                <w:sz w:val="20"/>
              </w:rPr>
              <w:t>December 24, 2019</w:t>
            </w:r>
          </w:p>
          <w:p w:rsidR="009B6684" w:rsidRPr="00893B19" w:rsidRDefault="009B6684" w:rsidP="009B6684">
            <w:pPr>
              <w:jc w:val="both"/>
              <w:rPr>
                <w:sz w:val="20"/>
              </w:rPr>
            </w:pPr>
            <w:r w:rsidRPr="00893B19">
              <w:rPr>
                <w:sz w:val="20"/>
              </w:rPr>
              <w:t>Supreme Court of Canada</w:t>
            </w: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Motion for an extension of time to serve and file application for leave to appeal 2019 MBCA 122 filed.</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January 27, 2020</w:t>
            </w:r>
          </w:p>
          <w:p w:rsidR="009B6684" w:rsidRPr="00893B19" w:rsidRDefault="009B6684" w:rsidP="009B6684">
            <w:pPr>
              <w:jc w:val="both"/>
              <w:rPr>
                <w:sz w:val="20"/>
              </w:rPr>
            </w:pPr>
            <w:r w:rsidRPr="00893B19">
              <w:rPr>
                <w:sz w:val="20"/>
              </w:rPr>
              <w:t>Supreme Court of Canada</w:t>
            </w:r>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Motion for an extension of time to serve and file application for leave to appeal 2018 MBCA 125 and application for leave filed; Application for leave to appeal 2019 MBCA 122 filed.</w:t>
            </w:r>
          </w:p>
        </w:tc>
      </w:tr>
    </w:tbl>
    <w:p w:rsidR="009B6684" w:rsidRPr="00893B19" w:rsidRDefault="009B6684" w:rsidP="009B6684">
      <w:pPr>
        <w:jc w:val="both"/>
        <w:rPr>
          <w:sz w:val="20"/>
        </w:rPr>
      </w:pPr>
    </w:p>
    <w:p w:rsidR="009B6684" w:rsidRPr="00893B19" w:rsidRDefault="00867539" w:rsidP="009B6684">
      <w:pPr>
        <w:jc w:val="both"/>
        <w:rPr>
          <w:sz w:val="20"/>
        </w:rPr>
      </w:pPr>
      <w:r>
        <w:rPr>
          <w:sz w:val="20"/>
        </w:rPr>
        <w:pict>
          <v:rect id="_x0000_i1046" style="width:2in;height:1pt" o:hrpct="0" o:hralign="center" o:hrstd="t" o:hrnoshade="t" o:hr="t" fillcolor="black [3213]" stroked="f"/>
        </w:pict>
      </w:r>
    </w:p>
    <w:p w:rsidR="009B6684" w:rsidRPr="00893B19" w:rsidRDefault="009B6684" w:rsidP="009B66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684" w:rsidRPr="00893B19" w:rsidTr="009B6684">
        <w:tc>
          <w:tcPr>
            <w:tcW w:w="543" w:type="pct"/>
          </w:tcPr>
          <w:p w:rsidR="009B6684" w:rsidRPr="00893B19" w:rsidRDefault="009B6684" w:rsidP="009B6684">
            <w:pPr>
              <w:jc w:val="both"/>
              <w:rPr>
                <w:sz w:val="20"/>
              </w:rPr>
            </w:pPr>
            <w:r w:rsidRPr="00893B19">
              <w:rPr>
                <w:rStyle w:val="SCCFileNumberChar"/>
                <w:sz w:val="20"/>
                <w:szCs w:val="20"/>
              </w:rPr>
              <w:t>38992</w:t>
            </w:r>
          </w:p>
        </w:tc>
        <w:tc>
          <w:tcPr>
            <w:tcW w:w="4457" w:type="pct"/>
          </w:tcPr>
          <w:p w:rsidR="009B6684" w:rsidRPr="00893B19" w:rsidRDefault="009B6684" w:rsidP="009B6684">
            <w:pPr>
              <w:pStyle w:val="SCCLsocParty"/>
              <w:jc w:val="both"/>
              <w:rPr>
                <w:b/>
                <w:sz w:val="20"/>
                <w:szCs w:val="20"/>
              </w:rPr>
            </w:pPr>
            <w:r w:rsidRPr="00893B19">
              <w:rPr>
                <w:b/>
                <w:sz w:val="20"/>
                <w:szCs w:val="20"/>
              </w:rPr>
              <w:t>Société Radio-Canada c. Sa Majesté la Reine, Stanley Frank Ostrowski, B.B., conjoint de feu M.D., et J.D., en sa qualité d’exécuteur de la succession de feu M.D.</w:t>
            </w:r>
          </w:p>
          <w:p w:rsidR="009B6684" w:rsidRPr="00893B19" w:rsidRDefault="009B6684" w:rsidP="009B6684">
            <w:pPr>
              <w:jc w:val="both"/>
              <w:rPr>
                <w:sz w:val="20"/>
              </w:rPr>
            </w:pPr>
            <w:r w:rsidRPr="00893B19">
              <w:rPr>
                <w:sz w:val="20"/>
              </w:rPr>
              <w:t>(Man.) (Civile) (Sur autorisation)</w:t>
            </w:r>
          </w:p>
        </w:tc>
      </w:tr>
      <w:tr w:rsidR="009B6684" w:rsidRPr="00867539" w:rsidTr="009B6684">
        <w:tc>
          <w:tcPr>
            <w:tcW w:w="5000" w:type="pct"/>
            <w:gridSpan w:val="2"/>
          </w:tcPr>
          <w:p w:rsidR="009B6684" w:rsidRPr="00893B19" w:rsidRDefault="00A02DC2" w:rsidP="009B6684">
            <w:pPr>
              <w:pStyle w:val="SCCBanSummary0"/>
              <w:rPr>
                <w:smallCaps w:val="0"/>
                <w:sz w:val="20"/>
                <w:szCs w:val="20"/>
                <w:lang w:val="fr-CA"/>
              </w:rPr>
            </w:pPr>
            <w:r w:rsidRPr="00893B19">
              <w:rPr>
                <w:smallCaps w:val="0"/>
                <w:sz w:val="20"/>
                <w:szCs w:val="20"/>
                <w:lang w:val="fr-CA"/>
              </w:rPr>
              <w:t xml:space="preserve">Les requêtes en prorogation du délai de signification et de dépôt des demandes d’autorisation d’appel et la réplique de la demanderesse sont accueillies. Les demandes d’autorisation d’appel des arrêts de la </w:t>
            </w:r>
            <w:r w:rsidRPr="00893B19">
              <w:rPr>
                <w:smallCaps w:val="0"/>
                <w:sz w:val="20"/>
                <w:szCs w:val="20"/>
                <w:lang w:val="fr-FR"/>
              </w:rPr>
              <w:t>Cour d’appel du Manitoba</w:t>
            </w:r>
            <w:r w:rsidRPr="00893B19">
              <w:rPr>
                <w:smallCaps w:val="0"/>
                <w:sz w:val="20"/>
                <w:szCs w:val="20"/>
                <w:lang w:val="fr-CA"/>
              </w:rPr>
              <w:t xml:space="preserve">, numéro </w:t>
            </w:r>
            <w:r w:rsidRPr="00893B19">
              <w:rPr>
                <w:smallCaps w:val="0"/>
                <w:sz w:val="20"/>
                <w:szCs w:val="20"/>
                <w:lang w:val="fr-FR"/>
              </w:rPr>
              <w:t xml:space="preserve">AR14-30-08288, </w:t>
            </w:r>
            <w:r w:rsidRPr="00893B19">
              <w:rPr>
                <w:smallCaps w:val="0"/>
                <w:sz w:val="20"/>
                <w:szCs w:val="20"/>
                <w:lang w:val="fr-CA"/>
              </w:rPr>
              <w:t>2018 MBCA 125, daté du 27</w:t>
            </w:r>
            <w:r w:rsidRPr="00893B19">
              <w:rPr>
                <w:smallCaps w:val="0"/>
                <w:sz w:val="20"/>
                <w:szCs w:val="20"/>
                <w:lang w:val="fr-FR"/>
              </w:rPr>
              <w:t> </w:t>
            </w:r>
            <w:r w:rsidRPr="00893B19">
              <w:rPr>
                <w:smallCaps w:val="0"/>
                <w:sz w:val="20"/>
                <w:szCs w:val="20"/>
                <w:lang w:val="fr-CA"/>
              </w:rPr>
              <w:t>novembre</w:t>
            </w:r>
            <w:r w:rsidRPr="00893B19">
              <w:rPr>
                <w:smallCaps w:val="0"/>
                <w:sz w:val="20"/>
                <w:szCs w:val="20"/>
                <w:lang w:val="fr-FR"/>
              </w:rPr>
              <w:t> </w:t>
            </w:r>
            <w:r w:rsidRPr="00893B19">
              <w:rPr>
                <w:smallCaps w:val="0"/>
                <w:sz w:val="20"/>
                <w:szCs w:val="20"/>
                <w:lang w:val="fr-CA"/>
              </w:rPr>
              <w:t xml:space="preserve">2018, et numéro </w:t>
            </w:r>
            <w:r w:rsidRPr="00893B19">
              <w:rPr>
                <w:smallCaps w:val="0"/>
                <w:sz w:val="20"/>
                <w:szCs w:val="20"/>
                <w:lang w:val="fr-FR"/>
              </w:rPr>
              <w:t xml:space="preserve">AR14-30-08288, 2019 MBCA 122, </w:t>
            </w:r>
            <w:r w:rsidRPr="00893B19">
              <w:rPr>
                <w:smallCaps w:val="0"/>
                <w:sz w:val="20"/>
                <w:szCs w:val="20"/>
                <w:lang w:val="fr-CA"/>
              </w:rPr>
              <w:t xml:space="preserve">daté du </w:t>
            </w:r>
            <w:r w:rsidRPr="00893B19">
              <w:rPr>
                <w:smallCaps w:val="0"/>
                <w:sz w:val="20"/>
                <w:szCs w:val="20"/>
                <w:lang w:val="fr-FR"/>
              </w:rPr>
              <w:t>28 octobre 2019</w:t>
            </w:r>
            <w:r w:rsidRPr="00893B19">
              <w:rPr>
                <w:smallCaps w:val="0"/>
                <w:sz w:val="20"/>
                <w:szCs w:val="20"/>
                <w:lang w:val="fr-CA"/>
              </w:rPr>
              <w:t>, sont accueillies.</w:t>
            </w:r>
          </w:p>
          <w:p w:rsidR="00A02DC2" w:rsidRPr="00893B19" w:rsidRDefault="00A02DC2" w:rsidP="00A02DC2">
            <w:pPr>
              <w:rPr>
                <w:sz w:val="20"/>
                <w:szCs w:val="20"/>
                <w:lang w:val="fr-CA"/>
              </w:rPr>
            </w:pPr>
          </w:p>
        </w:tc>
      </w:tr>
      <w:tr w:rsidR="009B6684" w:rsidRPr="00867539" w:rsidTr="009B6684">
        <w:tc>
          <w:tcPr>
            <w:tcW w:w="5000" w:type="pct"/>
            <w:gridSpan w:val="2"/>
          </w:tcPr>
          <w:p w:rsidR="009B6684" w:rsidRPr="00893B19" w:rsidRDefault="009B6684" w:rsidP="009B6684">
            <w:pPr>
              <w:pStyle w:val="SCCBanSummary0"/>
              <w:rPr>
                <w:sz w:val="20"/>
                <w:szCs w:val="20"/>
                <w:lang w:val="fr-CA"/>
              </w:rPr>
            </w:pPr>
            <w:r w:rsidRPr="00893B19">
              <w:rPr>
                <w:sz w:val="20"/>
                <w:szCs w:val="20"/>
                <w:lang w:val="fr-CA"/>
              </w:rPr>
              <w:t>(Ordonnance de non</w:t>
            </w:r>
            <w:r w:rsidRPr="00893B19">
              <w:rPr>
                <w:sz w:val="20"/>
                <w:szCs w:val="20"/>
                <w:lang w:val="fr-CA"/>
              </w:rPr>
              <w:noBreakHyphen/>
              <w:t>Publication dans le dossier) (Ordonnance de mise sous scellés)</w:t>
            </w:r>
          </w:p>
          <w:p w:rsidR="009B6684" w:rsidRPr="00893B19" w:rsidRDefault="009B6684" w:rsidP="009B6684">
            <w:pPr>
              <w:jc w:val="both"/>
              <w:rPr>
                <w:sz w:val="20"/>
                <w:lang w:val="fr-CA"/>
              </w:rPr>
            </w:pPr>
          </w:p>
          <w:p w:rsidR="009B6684" w:rsidRPr="00893B19" w:rsidRDefault="009B6684" w:rsidP="009B6684">
            <w:pPr>
              <w:jc w:val="both"/>
              <w:rPr>
                <w:sz w:val="20"/>
                <w:lang w:val="fr-CA"/>
              </w:rPr>
            </w:pPr>
            <w:r w:rsidRPr="00893B19">
              <w:rPr>
                <w:sz w:val="20"/>
                <w:lang w:val="fr-CA"/>
              </w:rPr>
              <w:t>Cours — Compétence — Ordonnances de non</w:t>
            </w:r>
            <w:r w:rsidRPr="00893B19">
              <w:rPr>
                <w:sz w:val="20"/>
                <w:lang w:val="fr-CA"/>
              </w:rPr>
              <w:noBreakHyphen/>
              <w:t>publication — Procès criminel — Appels — Dans quelles circonstances, le cas échéant, un tribunal autorisé à rendre une ordonnance de non</w:t>
            </w:r>
            <w:r w:rsidRPr="00893B19">
              <w:rPr>
                <w:sz w:val="20"/>
                <w:lang w:val="fr-CA"/>
              </w:rPr>
              <w:noBreakHyphen/>
              <w:t>publication demeure</w:t>
            </w:r>
            <w:r w:rsidRPr="00893B19">
              <w:rPr>
                <w:sz w:val="20"/>
                <w:lang w:val="fr-CA"/>
              </w:rPr>
              <w:noBreakHyphen/>
              <w:t>t</w:t>
            </w:r>
            <w:r w:rsidRPr="00893B19">
              <w:rPr>
                <w:sz w:val="20"/>
                <w:lang w:val="fr-CA"/>
              </w:rPr>
              <w:noBreakHyphen/>
              <w:t xml:space="preserve">il compétent pour l’annuler, la modifier ou la préciser? — La règle du </w:t>
            </w:r>
            <w:r w:rsidRPr="00893B19">
              <w:rPr>
                <w:i/>
                <w:sz w:val="20"/>
                <w:lang w:val="fr-CA"/>
              </w:rPr>
              <w:t>functus officio</w:t>
            </w:r>
            <w:r w:rsidRPr="00893B19">
              <w:rPr>
                <w:sz w:val="20"/>
                <w:lang w:val="fr-CA"/>
              </w:rPr>
              <w:t xml:space="preserve"> s’applique</w:t>
            </w:r>
            <w:r w:rsidRPr="00893B19">
              <w:rPr>
                <w:sz w:val="20"/>
                <w:lang w:val="fr-CA"/>
              </w:rPr>
              <w:noBreakHyphen/>
              <w:t>t</w:t>
            </w:r>
            <w:r w:rsidRPr="00893B19">
              <w:rPr>
                <w:sz w:val="20"/>
                <w:lang w:val="fr-CA"/>
              </w:rPr>
              <w:noBreakHyphen/>
              <w:t>elle aux ordonnances sur des questions accessoires à une procédure et les ordonnances de non</w:t>
            </w:r>
            <w:r w:rsidRPr="00893B19">
              <w:rPr>
                <w:sz w:val="20"/>
                <w:lang w:val="fr-CA"/>
              </w:rPr>
              <w:noBreakHyphen/>
              <w:t>publication rendues au cours de la procédure constituent</w:t>
            </w:r>
            <w:r w:rsidRPr="00893B19">
              <w:rPr>
                <w:sz w:val="20"/>
                <w:lang w:val="fr-CA"/>
              </w:rPr>
              <w:noBreakHyphen/>
              <w:t>elles des questions de ce genre? — Y a</w:t>
            </w:r>
            <w:r w:rsidRPr="00893B19">
              <w:rPr>
                <w:sz w:val="20"/>
                <w:lang w:val="fr-CA"/>
              </w:rPr>
              <w:noBreakHyphen/>
              <w:t>t</w:t>
            </w:r>
            <w:r w:rsidRPr="00893B19">
              <w:rPr>
                <w:sz w:val="20"/>
                <w:lang w:val="fr-CA"/>
              </w:rPr>
              <w:noBreakHyphen/>
              <w:t>il lieu de présumer que de telles ordonnances de non</w:t>
            </w:r>
            <w:r w:rsidRPr="00893B19">
              <w:rPr>
                <w:sz w:val="20"/>
                <w:lang w:val="fr-CA"/>
              </w:rPr>
              <w:noBreakHyphen/>
              <w:t xml:space="preserve">publication soient visées par une autre ordonnance du tribunal, surtout lorsqu’elles sont prononcées sans préavis aux parties touchées, ce qui veut dire que la règle du </w:t>
            </w:r>
            <w:r w:rsidRPr="00893B19">
              <w:rPr>
                <w:i/>
                <w:sz w:val="20"/>
                <w:lang w:val="fr-CA"/>
              </w:rPr>
              <w:t>functus officio</w:t>
            </w:r>
            <w:r w:rsidRPr="00893B19">
              <w:rPr>
                <w:sz w:val="20"/>
                <w:lang w:val="fr-CA"/>
              </w:rPr>
              <w:t xml:space="preserve"> ne s’appliquerait pas? — La règle du </w:t>
            </w:r>
            <w:r w:rsidRPr="00893B19">
              <w:rPr>
                <w:i/>
                <w:sz w:val="20"/>
                <w:lang w:val="fr-CA"/>
              </w:rPr>
              <w:t>functus officio</w:t>
            </w:r>
            <w:r w:rsidRPr="00893B19">
              <w:rPr>
                <w:sz w:val="20"/>
                <w:lang w:val="fr-CA"/>
              </w:rPr>
              <w:t xml:space="preserve"> s’applique</w:t>
            </w:r>
            <w:r w:rsidRPr="00893B19">
              <w:rPr>
                <w:sz w:val="20"/>
                <w:lang w:val="fr-CA"/>
              </w:rPr>
              <w:noBreakHyphen/>
              <w:t>t</w:t>
            </w:r>
            <w:r w:rsidRPr="00893B19">
              <w:rPr>
                <w:sz w:val="20"/>
                <w:lang w:val="fr-CA"/>
              </w:rPr>
              <w:noBreakHyphen/>
              <w:t xml:space="preserve">elle aux décisions non documentées et consignées? — La règle du </w:t>
            </w:r>
            <w:r w:rsidRPr="00893B19">
              <w:rPr>
                <w:i/>
                <w:sz w:val="20"/>
                <w:lang w:val="fr-CA"/>
              </w:rPr>
              <w:t>functus officio</w:t>
            </w:r>
            <w:r w:rsidRPr="00893B19">
              <w:rPr>
                <w:sz w:val="20"/>
                <w:lang w:val="fr-CA"/>
              </w:rPr>
              <w:t xml:space="preserve"> empêche</w:t>
            </w:r>
            <w:r w:rsidRPr="00893B19">
              <w:rPr>
                <w:sz w:val="20"/>
                <w:lang w:val="fr-CA"/>
              </w:rPr>
              <w:noBreakHyphen/>
              <w:t>t</w:t>
            </w:r>
            <w:r w:rsidRPr="00893B19">
              <w:rPr>
                <w:sz w:val="20"/>
                <w:lang w:val="fr-CA"/>
              </w:rPr>
              <w:noBreakHyphen/>
              <w:t>elle un tribunal de préciser son ordonnance? — Une cour d’appel demeure</w:t>
            </w:r>
            <w:r w:rsidRPr="00893B19">
              <w:rPr>
                <w:sz w:val="20"/>
                <w:lang w:val="fr-CA"/>
              </w:rPr>
              <w:noBreakHyphen/>
              <w:t>t</w:t>
            </w:r>
            <w:r w:rsidRPr="00893B19">
              <w:rPr>
                <w:sz w:val="20"/>
                <w:lang w:val="fr-CA"/>
              </w:rPr>
              <w:noBreakHyphen/>
              <w:t>elle compétente pour rendre des ordonnances influant sur l’accès du public à ses documents judiciaires d’un procès criminel après l’issue de ce procès? — Le droit du public d’avoir accès aux documents judiciaires et à la procédure est-il protégé par l’alinéa 2</w:t>
            </w:r>
            <w:r w:rsidRPr="00893B19">
              <w:rPr>
                <w:i/>
                <w:sz w:val="20"/>
                <w:lang w:val="fr-CA"/>
              </w:rPr>
              <w:t>b</w:t>
            </w:r>
            <w:r w:rsidRPr="00893B19">
              <w:rPr>
                <w:sz w:val="20"/>
                <w:lang w:val="fr-CA"/>
              </w:rPr>
              <w:t xml:space="preserve">) de la </w:t>
            </w:r>
            <w:r w:rsidRPr="00893B19">
              <w:rPr>
                <w:i/>
                <w:sz w:val="20"/>
                <w:lang w:val="fr-CA"/>
              </w:rPr>
              <w:t>Charte</w:t>
            </w:r>
            <w:r w:rsidRPr="00893B19">
              <w:rPr>
                <w:sz w:val="20"/>
                <w:lang w:val="fr-CA"/>
              </w:rPr>
              <w:t xml:space="preserve"> et la common law s’applique</w:t>
            </w:r>
            <w:r w:rsidRPr="00893B19">
              <w:rPr>
                <w:sz w:val="20"/>
                <w:lang w:val="fr-CA"/>
              </w:rPr>
              <w:noBreakHyphen/>
              <w:t>t</w:t>
            </w:r>
            <w:r w:rsidRPr="00893B19">
              <w:rPr>
                <w:sz w:val="20"/>
                <w:lang w:val="fr-CA"/>
              </w:rPr>
              <w:noBreakHyphen/>
              <w:t>elle à la preuve produite dans une instance judiciaire mais non admise par la Cour? — Un tribunal doit</w:t>
            </w:r>
            <w:r w:rsidRPr="00893B19">
              <w:rPr>
                <w:sz w:val="20"/>
                <w:lang w:val="fr-CA"/>
              </w:rPr>
              <w:noBreakHyphen/>
              <w:t>il respecter des exigences constitutionnelles minimales pour ce qui est de l’avis au public et aux médias avant de rendre une ordonnance définitive de non</w:t>
            </w:r>
            <w:r w:rsidRPr="00893B19">
              <w:rPr>
                <w:sz w:val="20"/>
                <w:lang w:val="fr-CA"/>
              </w:rPr>
              <w:noBreakHyphen/>
              <w:t>publication dans l’exercice de son pouvoir discrétionnaire en common law? — Le droit exige</w:t>
            </w:r>
            <w:r w:rsidRPr="00893B19">
              <w:rPr>
                <w:sz w:val="20"/>
                <w:lang w:val="fr-CA"/>
              </w:rPr>
              <w:noBreakHyphen/>
              <w:t>t</w:t>
            </w:r>
            <w:r w:rsidRPr="00893B19">
              <w:rPr>
                <w:sz w:val="20"/>
                <w:lang w:val="fr-CA"/>
              </w:rPr>
              <w:noBreakHyphen/>
              <w:t>il du tribunal rendant une ordonnance de non</w:t>
            </w:r>
            <w:r w:rsidRPr="00893B19">
              <w:rPr>
                <w:sz w:val="20"/>
                <w:lang w:val="fr-CA"/>
              </w:rPr>
              <w:noBreakHyphen/>
              <w:t>publication en vertu de son pouvoir discrétionnaire en common law qu’il donne des motifs qui font état du risque pour l’administration de la justice sur lequel il se fonde, de la preuve de ce risque et du fait qu’il a envisagé des solutions de rechange raisonnables en vue d’atténuer le risque? — Le droit exige</w:t>
            </w:r>
            <w:r w:rsidRPr="00893B19">
              <w:rPr>
                <w:sz w:val="20"/>
                <w:lang w:val="fr-CA"/>
              </w:rPr>
              <w:noBreakHyphen/>
              <w:t>t</w:t>
            </w:r>
            <w:r w:rsidRPr="00893B19">
              <w:rPr>
                <w:sz w:val="20"/>
                <w:lang w:val="fr-CA"/>
              </w:rPr>
              <w:noBreakHyphen/>
              <w:t>il que les modalités d’une ordonnance de non</w:t>
            </w:r>
            <w:r w:rsidRPr="00893B19">
              <w:rPr>
                <w:sz w:val="20"/>
                <w:lang w:val="fr-CA"/>
              </w:rPr>
              <w:noBreakHyphen/>
              <w:t>publication rendue dans l’exercice du pouvoir discrétionnaire en common law soient énoncées avec une certitude suffisante pour permettre à une personne raisonnable d’établir ce qui constitue une expression illicite? — Le droit exige</w:t>
            </w:r>
            <w:r w:rsidRPr="00893B19">
              <w:rPr>
                <w:sz w:val="20"/>
                <w:lang w:val="fr-CA"/>
              </w:rPr>
              <w:noBreakHyphen/>
              <w:t>t</w:t>
            </w:r>
            <w:r w:rsidRPr="00893B19">
              <w:rPr>
                <w:sz w:val="20"/>
                <w:lang w:val="fr-CA"/>
              </w:rPr>
              <w:noBreakHyphen/>
              <w:t>il que l’information assujettie à une ordonnance de non-publication soit clairement documentée de manière à être accessible au public? — La preuve produite puis examinée par un tribunal mais non admise au bout du compte fait</w:t>
            </w:r>
            <w:r w:rsidRPr="00893B19">
              <w:rPr>
                <w:sz w:val="20"/>
                <w:lang w:val="fr-CA"/>
              </w:rPr>
              <w:noBreakHyphen/>
              <w:t>elle partie du dossier public que le public peut consulter à première vue en vertu de l’alinéa 2</w:t>
            </w:r>
            <w:r w:rsidRPr="00893B19">
              <w:rPr>
                <w:i/>
                <w:sz w:val="20"/>
                <w:lang w:val="fr-CA"/>
              </w:rPr>
              <w:t>b</w:t>
            </w:r>
            <w:r w:rsidRPr="00893B19">
              <w:rPr>
                <w:sz w:val="20"/>
                <w:lang w:val="fr-CA"/>
              </w:rPr>
              <w:t xml:space="preserve">) de la </w:t>
            </w:r>
            <w:r w:rsidRPr="00893B19">
              <w:rPr>
                <w:i/>
                <w:sz w:val="20"/>
                <w:lang w:val="fr-CA"/>
              </w:rPr>
              <w:t>Charte</w:t>
            </w:r>
            <w:r w:rsidRPr="00893B19">
              <w:rPr>
                <w:sz w:val="20"/>
                <w:lang w:val="fr-CA"/>
              </w:rPr>
              <w:t xml:space="preserve"> et du principe de la publicité des débats judiciaires reconnu en common law? — </w:t>
            </w:r>
            <w:r w:rsidRPr="00893B19">
              <w:rPr>
                <w:i/>
                <w:sz w:val="20"/>
                <w:lang w:val="fr-CA"/>
              </w:rPr>
              <w:t>Dagenais c. Société Radio-Canada</w:t>
            </w:r>
            <w:r w:rsidRPr="00893B19">
              <w:rPr>
                <w:sz w:val="20"/>
                <w:lang w:val="fr-CA"/>
              </w:rPr>
              <w:t xml:space="preserve">, [1994] 3 R.C.S. 835; </w:t>
            </w:r>
            <w:r w:rsidRPr="00893B19">
              <w:rPr>
                <w:i/>
                <w:sz w:val="20"/>
                <w:lang w:val="fr-CA"/>
              </w:rPr>
              <w:t>R. c</w:t>
            </w:r>
            <w:r w:rsidRPr="00893B19">
              <w:rPr>
                <w:i/>
                <w:iCs/>
                <w:sz w:val="20"/>
                <w:lang w:val="fr-CA"/>
              </w:rPr>
              <w:t>.</w:t>
            </w:r>
            <w:r w:rsidRPr="00893B19">
              <w:rPr>
                <w:i/>
                <w:sz w:val="20"/>
                <w:lang w:val="fr-CA"/>
              </w:rPr>
              <w:t xml:space="preserve"> Mentuck</w:t>
            </w:r>
            <w:r w:rsidRPr="00893B19">
              <w:rPr>
                <w:sz w:val="20"/>
                <w:lang w:val="fr-CA"/>
              </w:rPr>
              <w:t>, [2001] 3 R.C.S. 442, 2001 CSC 76.</w:t>
            </w:r>
          </w:p>
        </w:tc>
      </w:tr>
      <w:tr w:rsidR="009B6684" w:rsidRPr="00867539" w:rsidTr="009B6684">
        <w:tc>
          <w:tcPr>
            <w:tcW w:w="5000" w:type="pct"/>
            <w:gridSpan w:val="2"/>
          </w:tcPr>
          <w:p w:rsidR="009B6684" w:rsidRPr="00893B19" w:rsidRDefault="009B6684" w:rsidP="009B6684">
            <w:pPr>
              <w:jc w:val="both"/>
              <w:rPr>
                <w:sz w:val="20"/>
                <w:lang w:val="fr-CA"/>
              </w:rPr>
            </w:pPr>
          </w:p>
        </w:tc>
      </w:tr>
    </w:tbl>
    <w:p w:rsidR="000F34A6" w:rsidRPr="00893B19" w:rsidRDefault="000F34A6">
      <w:pPr>
        <w:rPr>
          <w:lang w:val="fr-CA"/>
        </w:rPr>
      </w:pPr>
      <w:r w:rsidRPr="00893B1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684" w:rsidRPr="00867539" w:rsidTr="009B6684">
        <w:tc>
          <w:tcPr>
            <w:tcW w:w="5000" w:type="pct"/>
            <w:gridSpan w:val="3"/>
          </w:tcPr>
          <w:p w:rsidR="009B6684" w:rsidRPr="00893B19" w:rsidRDefault="009B6684" w:rsidP="009B6684">
            <w:pPr>
              <w:widowControl w:val="0"/>
              <w:spacing w:line="0" w:lineRule="atLeast"/>
              <w:jc w:val="both"/>
              <w:rPr>
                <w:sz w:val="20"/>
                <w:lang w:val="fr-CA"/>
              </w:rPr>
            </w:pPr>
            <w:r w:rsidRPr="00893B19">
              <w:rPr>
                <w:sz w:val="20"/>
                <w:lang w:val="fr-CA"/>
              </w:rPr>
              <w:t>Durant l’appel de la déclaration de culpabilité d’un accusé pour meurtre au premier degré, la défense a présenté deux requêtes en vue de faire admettre une preuve nouvelle. Sur la foi des éléments de preuve découlant de la première requête qui ont été admis et mis à la disposition du public, les parties ont convenu qu’il y a lieu d’annuler la déclaration de culpabilité et de tenir un nouveau procès. Il restait seulement à déterminer si le tribunal devrait prononcer un acquittement ou tenir un nouveau procès, mais en suspendant toute procédure ultérieure. Dans l’arrêt 2018 MBCA 125, la Cour d’appel du Manitoba a décidé que la preuve proposée dans le cadre de la deuxième requête en admissibilité d’une preuve nouvelle n’était pas pertinente pour la question qu’il restait à trancher, et elle a donc rejeté la requête et a déclaré que l’ordonnance de non</w:t>
            </w:r>
            <w:r w:rsidRPr="00893B19">
              <w:rPr>
                <w:sz w:val="20"/>
                <w:lang w:val="fr-CA"/>
              </w:rPr>
              <w:noBreakHyphen/>
              <w:t xml:space="preserve">publication demeurait en vigueur. La Cour d’appel a annulé la déclaration de culpabilité, ordonné la tenue d’un nouveau procès et suspend toute procédure ultérieure. </w:t>
            </w:r>
          </w:p>
          <w:p w:rsidR="009B6684" w:rsidRPr="00893B19" w:rsidRDefault="009B6684" w:rsidP="009B6684">
            <w:pPr>
              <w:widowControl w:val="0"/>
              <w:spacing w:line="0" w:lineRule="atLeast"/>
              <w:jc w:val="both"/>
              <w:rPr>
                <w:sz w:val="20"/>
                <w:lang w:val="fr-CA"/>
              </w:rPr>
            </w:pPr>
          </w:p>
          <w:p w:rsidR="009B6684" w:rsidRPr="00893B19" w:rsidRDefault="009B6684" w:rsidP="009B6684">
            <w:pPr>
              <w:jc w:val="both"/>
              <w:rPr>
                <w:sz w:val="20"/>
                <w:lang w:val="fr-CA"/>
              </w:rPr>
            </w:pPr>
            <w:r w:rsidRPr="00893B19">
              <w:rPr>
                <w:sz w:val="20"/>
                <w:lang w:val="fr-CA"/>
              </w:rPr>
              <w:t>Le demandeur a présenté une requête devant la Cour d’appel du Manitoba pour faire annuler l’ordonnance de non-publication protégeant la preuve nouvelle dont on sollicitait l’admissibilité dans la seconde requête.  Dans l’arrêt 2019 MBCA 122, la Cour a rejeté la requête au motif qu’elle n’avait pas compétence pour juger à nouveau ou interpréter l’ordonnnance de non</w:t>
            </w:r>
            <w:r w:rsidRPr="00893B19">
              <w:rPr>
                <w:sz w:val="20"/>
                <w:lang w:val="fr-CA"/>
              </w:rPr>
              <w:noBreakHyphen/>
              <w:t xml:space="preserve">publication conformément aux </w:t>
            </w:r>
            <w:r w:rsidRPr="00893B19">
              <w:rPr>
                <w:i/>
                <w:sz w:val="20"/>
                <w:lang w:val="fr-CA"/>
              </w:rPr>
              <w:t>Règles de la Cour d’appel</w:t>
            </w:r>
            <w:r w:rsidRPr="00893B19">
              <w:rPr>
                <w:sz w:val="20"/>
                <w:lang w:val="fr-CA"/>
              </w:rPr>
              <w:t>, Règl. du Man. 555/88 R. La SRC a déposé des requêtes en prorogation de délai et des demandes d’autorisation d’appel contre les arrêts 2018 MBCA 125 et 2019 MBCA 122.</w:t>
            </w: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27 novembre 2018</w:t>
            </w:r>
          </w:p>
          <w:p w:rsidR="009B6684" w:rsidRPr="00893B19" w:rsidRDefault="009B6684" w:rsidP="009B6684">
            <w:pPr>
              <w:jc w:val="both"/>
              <w:rPr>
                <w:sz w:val="20"/>
                <w:lang w:val="fr-CA"/>
              </w:rPr>
            </w:pPr>
            <w:r w:rsidRPr="00893B19">
              <w:rPr>
                <w:sz w:val="20"/>
                <w:lang w:val="fr-CA"/>
              </w:rPr>
              <w:t>Cour d’appel du Manitoba</w:t>
            </w:r>
          </w:p>
          <w:p w:rsidR="009B6684" w:rsidRPr="00893B19" w:rsidRDefault="009B6684" w:rsidP="009B6684">
            <w:pPr>
              <w:jc w:val="both"/>
              <w:rPr>
                <w:sz w:val="20"/>
                <w:lang w:val="fr-CA"/>
              </w:rPr>
            </w:pPr>
            <w:r w:rsidRPr="00893B19">
              <w:rPr>
                <w:sz w:val="20"/>
                <w:lang w:val="fr-CA"/>
              </w:rPr>
              <w:t>(Juges Beard, Burnett et Pfuetzner)</w:t>
            </w:r>
          </w:p>
          <w:p w:rsidR="009B6684" w:rsidRPr="00893B19" w:rsidRDefault="00867539" w:rsidP="009B6684">
            <w:pPr>
              <w:jc w:val="both"/>
              <w:rPr>
                <w:sz w:val="20"/>
              </w:rPr>
            </w:pPr>
            <w:hyperlink r:id="rId21" w:history="1">
              <w:r w:rsidR="009B6684" w:rsidRPr="00893B19">
                <w:rPr>
                  <w:rStyle w:val="Hyperlink"/>
                  <w:sz w:val="20"/>
                </w:rPr>
                <w:t>2018 MBCA 125</w:t>
              </w:r>
            </w:hyperlink>
            <w:r w:rsidR="009B6684" w:rsidRPr="00893B19">
              <w:rPr>
                <w:sz w:val="20"/>
              </w:rPr>
              <w:t xml:space="preserve"> </w:t>
            </w:r>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lang w:val="fr-CA"/>
              </w:rPr>
            </w:pPr>
            <w:r w:rsidRPr="00893B19">
              <w:rPr>
                <w:sz w:val="20"/>
                <w:lang w:val="fr-CA"/>
              </w:rPr>
              <w:t xml:space="preserve">Rejet de la requête en admissibilité d’une preuve nouvelle et déclaration que l’ordonnance de non-publication connexe reste en vigueur; appel de l’accusé accueilli dans la mesure où sa déclaration de culpabilité est cassée, mais rejet de la demande d’acquittement; nouveau procès ordonné mais suspension par le tribunal de toute procédure en justice ultérieure. </w:t>
            </w: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28 octobre 2019</w:t>
            </w:r>
          </w:p>
          <w:p w:rsidR="009B6684" w:rsidRPr="00893B19" w:rsidRDefault="009B6684" w:rsidP="009B6684">
            <w:pPr>
              <w:jc w:val="both"/>
              <w:rPr>
                <w:sz w:val="20"/>
                <w:lang w:val="fr-CA"/>
              </w:rPr>
            </w:pPr>
            <w:r w:rsidRPr="00893B19">
              <w:rPr>
                <w:sz w:val="20"/>
                <w:lang w:val="fr-CA"/>
              </w:rPr>
              <w:t>Cour d’appel du Manitoba</w:t>
            </w:r>
          </w:p>
          <w:p w:rsidR="009B6684" w:rsidRPr="00893B19" w:rsidRDefault="009B6684" w:rsidP="009B6684">
            <w:pPr>
              <w:jc w:val="both"/>
              <w:rPr>
                <w:sz w:val="20"/>
                <w:lang w:val="fr-CA"/>
              </w:rPr>
            </w:pPr>
            <w:r w:rsidRPr="00893B19">
              <w:rPr>
                <w:sz w:val="20"/>
                <w:lang w:val="fr-CA"/>
              </w:rPr>
              <w:t>(Juges Beard, Burnett et Pfuetzner)</w:t>
            </w:r>
          </w:p>
          <w:p w:rsidR="009B6684" w:rsidRPr="00893B19" w:rsidRDefault="00867539" w:rsidP="009B6684">
            <w:pPr>
              <w:jc w:val="both"/>
              <w:rPr>
                <w:sz w:val="20"/>
              </w:rPr>
            </w:pPr>
            <w:hyperlink r:id="rId22" w:history="1">
              <w:r w:rsidR="009B6684" w:rsidRPr="00893B19">
                <w:rPr>
                  <w:rStyle w:val="Hyperlink"/>
                  <w:sz w:val="20"/>
                </w:rPr>
                <w:t>2019 MBCA 122</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lang w:val="fr-CA"/>
              </w:rPr>
            </w:pPr>
            <w:r w:rsidRPr="00893B19">
              <w:rPr>
                <w:sz w:val="20"/>
                <w:lang w:val="fr-CA"/>
              </w:rPr>
              <w:t>Rejet de la requête en annulation de l’ordonnance de non</w:t>
            </w:r>
            <w:r w:rsidRPr="00893B19">
              <w:rPr>
                <w:sz w:val="20"/>
                <w:lang w:val="fr-CA"/>
              </w:rPr>
              <w:noBreakHyphen/>
              <w:t>publication; la Cour d’appel n’a pas compétence pour entendre la requête en nouvelle instruction ou en interprétation de son ordonnance de non</w:t>
            </w:r>
            <w:r w:rsidRPr="00893B19">
              <w:rPr>
                <w:sz w:val="20"/>
                <w:lang w:val="fr-CA"/>
              </w:rPr>
              <w:noBreakHyphen/>
              <w:t>publication.</w:t>
            </w: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24 décembre 2019</w:t>
            </w:r>
          </w:p>
          <w:p w:rsidR="009B6684" w:rsidRPr="00893B19" w:rsidRDefault="009B6684" w:rsidP="009B6684">
            <w:pPr>
              <w:jc w:val="both"/>
              <w:rPr>
                <w:sz w:val="20"/>
                <w:lang w:val="fr-CA"/>
              </w:rPr>
            </w:pPr>
            <w:r w:rsidRPr="00893B19">
              <w:rPr>
                <w:sz w:val="20"/>
                <w:lang w:val="fr-CA"/>
              </w:rPr>
              <w:t>Cour suprême du Canada</w:t>
            </w: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Dépôt d’une requête en prorogation de délai pour signifier et déposer la demande d’autorisation d’appel de l’arrêt 2019 MBCA 122.</w:t>
            </w: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27 janvier 2020</w:t>
            </w:r>
          </w:p>
          <w:p w:rsidR="009B6684" w:rsidRPr="00893B19" w:rsidRDefault="009B6684" w:rsidP="009B6684">
            <w:pPr>
              <w:jc w:val="both"/>
              <w:rPr>
                <w:sz w:val="20"/>
                <w:lang w:val="fr-CA"/>
              </w:rPr>
            </w:pPr>
            <w:r w:rsidRPr="00893B19">
              <w:rPr>
                <w:sz w:val="20"/>
                <w:lang w:val="fr-CA"/>
              </w:rPr>
              <w:t xml:space="preserve">Cour suprême du Canada </w:t>
            </w: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Dépôt d’une requête en prorogation de délai pour signifier et déposer la demande d’autorisation d’appel de l’arrêt 2018 MBCA 125 ainsi que de la demande d’autorisation d’appel; dépôt de la demande d’autorisation d’appel visant l’arrêt  2019 MBCA 122.</w:t>
            </w:r>
          </w:p>
        </w:tc>
      </w:tr>
    </w:tbl>
    <w:p w:rsidR="009B6684" w:rsidRPr="00893B19" w:rsidRDefault="009B6684" w:rsidP="009B6684">
      <w:pPr>
        <w:jc w:val="both"/>
        <w:rPr>
          <w:sz w:val="20"/>
          <w:lang w:val="fr-CA"/>
        </w:rPr>
      </w:pPr>
    </w:p>
    <w:p w:rsidR="009B6684" w:rsidRPr="00893B19" w:rsidRDefault="00867539" w:rsidP="009B6684">
      <w:pPr>
        <w:jc w:val="both"/>
        <w:rPr>
          <w:sz w:val="20"/>
          <w:lang w:val="fr-CA"/>
        </w:rPr>
      </w:pPr>
      <w:r>
        <w:rPr>
          <w:sz w:val="20"/>
        </w:rPr>
        <w:pict>
          <v:rect id="_x0000_i1047" style="width:2in;height:1pt" o:hrpct="0" o:hralign="center" o:hrstd="t" o:hrnoshade="t" o:hr="t" fillcolor="black [3213]" stroked="f"/>
        </w:pict>
      </w:r>
    </w:p>
    <w:p w:rsidR="009B6684" w:rsidRPr="00893B19" w:rsidRDefault="009B6684" w:rsidP="009B66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684" w:rsidRPr="00893B19" w:rsidTr="009B6684">
        <w:tc>
          <w:tcPr>
            <w:tcW w:w="543" w:type="pct"/>
          </w:tcPr>
          <w:p w:rsidR="009B6684" w:rsidRPr="00893B19" w:rsidRDefault="009B6684" w:rsidP="009B6684">
            <w:pPr>
              <w:jc w:val="both"/>
              <w:rPr>
                <w:sz w:val="20"/>
              </w:rPr>
            </w:pPr>
            <w:r w:rsidRPr="00893B19">
              <w:rPr>
                <w:rStyle w:val="SCCFileNumberChar"/>
                <w:sz w:val="20"/>
                <w:szCs w:val="20"/>
              </w:rPr>
              <w:t>39070</w:t>
            </w:r>
          </w:p>
        </w:tc>
        <w:tc>
          <w:tcPr>
            <w:tcW w:w="4457" w:type="pct"/>
          </w:tcPr>
          <w:p w:rsidR="009B6684" w:rsidRPr="00893B19" w:rsidRDefault="009B6684" w:rsidP="009B6684">
            <w:pPr>
              <w:pStyle w:val="SCCLsocParty"/>
              <w:jc w:val="both"/>
              <w:rPr>
                <w:b/>
                <w:sz w:val="20"/>
                <w:szCs w:val="20"/>
                <w:lang w:val="en-US"/>
              </w:rPr>
            </w:pPr>
            <w:r w:rsidRPr="00893B19">
              <w:rPr>
                <w:b/>
                <w:sz w:val="20"/>
                <w:szCs w:val="20"/>
                <w:lang w:val="en-US"/>
              </w:rPr>
              <w:t>M.H. v. A.B.</w:t>
            </w:r>
          </w:p>
          <w:p w:rsidR="009B6684" w:rsidRPr="00893B19" w:rsidRDefault="009B6684" w:rsidP="009B6684">
            <w:pPr>
              <w:jc w:val="both"/>
              <w:rPr>
                <w:sz w:val="20"/>
              </w:rPr>
            </w:pPr>
            <w:r w:rsidRPr="00893B19">
              <w:rPr>
                <w:sz w:val="20"/>
              </w:rPr>
              <w:t>(Sask.) (Civil) (By Leave)</w:t>
            </w:r>
          </w:p>
        </w:tc>
      </w:tr>
      <w:tr w:rsidR="009B6684" w:rsidRPr="00893B19" w:rsidTr="009B6684">
        <w:tc>
          <w:tcPr>
            <w:tcW w:w="5000" w:type="pct"/>
            <w:gridSpan w:val="2"/>
          </w:tcPr>
          <w:p w:rsidR="00455B20" w:rsidRPr="00893B19" w:rsidRDefault="00455B20" w:rsidP="00455B20">
            <w:pPr>
              <w:jc w:val="both"/>
              <w:rPr>
                <w:sz w:val="20"/>
                <w:szCs w:val="20"/>
              </w:rPr>
            </w:pPr>
            <w:r w:rsidRPr="00893B19">
              <w:rPr>
                <w:sz w:val="20"/>
                <w:szCs w:val="20"/>
              </w:rPr>
              <w:t>The application for leave to appeal from the judgment of the Court of Appeal for Saskatchewan, Number CACV3342, 2019 SKCA 135, dated December 17, 2019, is dismissed with costs.</w:t>
            </w:r>
          </w:p>
          <w:p w:rsidR="009B6684" w:rsidRPr="00893B19" w:rsidRDefault="009B6684" w:rsidP="009B6684">
            <w:pPr>
              <w:pStyle w:val="SCCBanSummary0"/>
              <w:rPr>
                <w:sz w:val="20"/>
                <w:szCs w:val="20"/>
              </w:rPr>
            </w:pPr>
          </w:p>
        </w:tc>
      </w:tr>
    </w:tbl>
    <w:p w:rsidR="000F34A6" w:rsidRPr="00893B19" w:rsidRDefault="000F34A6">
      <w:r w:rsidRPr="00893B19">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684" w:rsidRPr="00893B19" w:rsidTr="009B6684">
        <w:tc>
          <w:tcPr>
            <w:tcW w:w="5000" w:type="pct"/>
            <w:gridSpan w:val="3"/>
          </w:tcPr>
          <w:p w:rsidR="009B6684" w:rsidRPr="00893B19" w:rsidRDefault="009B6684" w:rsidP="009B6684">
            <w:pPr>
              <w:pStyle w:val="SCCBanSummary0"/>
              <w:rPr>
                <w:sz w:val="20"/>
                <w:szCs w:val="20"/>
              </w:rPr>
            </w:pPr>
            <w:r w:rsidRPr="00893B19">
              <w:rPr>
                <w:sz w:val="20"/>
                <w:szCs w:val="20"/>
              </w:rPr>
              <w:t>(Publication ban in case) (Court file contains information that is not available for inspection by the public)</w:t>
            </w:r>
          </w:p>
          <w:p w:rsidR="009B6684" w:rsidRPr="00893B19" w:rsidRDefault="009B6684" w:rsidP="009B6684">
            <w:pPr>
              <w:jc w:val="both"/>
              <w:rPr>
                <w:sz w:val="20"/>
              </w:rPr>
            </w:pPr>
          </w:p>
          <w:p w:rsidR="009B6684" w:rsidRPr="00893B19" w:rsidRDefault="009B6684" w:rsidP="009B6684">
            <w:pPr>
              <w:jc w:val="both"/>
              <w:rPr>
                <w:sz w:val="20"/>
              </w:rPr>
            </w:pPr>
            <w:r w:rsidRPr="00893B19">
              <w:rPr>
                <w:sz w:val="20"/>
              </w:rPr>
              <w:t>Family law — Custody — Parenting time — Maximum contact principle — Lower courts awarding mother of child greater share of parenting time — Whether lower courts failed to properly consider and apply maximum contact principle — Whether the maximum contact principle should be clarified due to the high number of cases where equal parenting is a feasible option.</w:t>
            </w:r>
          </w:p>
        </w:tc>
      </w:tr>
      <w:tr w:rsidR="009B6684" w:rsidRPr="00893B19" w:rsidTr="009B6684">
        <w:tc>
          <w:tcPr>
            <w:tcW w:w="5000" w:type="pct"/>
            <w:gridSpan w:val="3"/>
          </w:tcPr>
          <w:p w:rsidR="009B6684" w:rsidRPr="00893B19" w:rsidRDefault="009B6684" w:rsidP="009B6684">
            <w:pPr>
              <w:jc w:val="both"/>
              <w:rPr>
                <w:sz w:val="20"/>
              </w:rPr>
            </w:pPr>
          </w:p>
        </w:tc>
      </w:tr>
      <w:tr w:rsidR="009B6684" w:rsidRPr="00893B19" w:rsidTr="009B6684">
        <w:tc>
          <w:tcPr>
            <w:tcW w:w="5000" w:type="pct"/>
            <w:gridSpan w:val="3"/>
          </w:tcPr>
          <w:p w:rsidR="009B6684" w:rsidRPr="00893B19" w:rsidRDefault="009B6684" w:rsidP="009B6684">
            <w:pPr>
              <w:jc w:val="both"/>
              <w:rPr>
                <w:sz w:val="20"/>
              </w:rPr>
            </w:pPr>
            <w:r w:rsidRPr="00893B19">
              <w:rPr>
                <w:sz w:val="20"/>
              </w:rPr>
              <w:t>The father and the mother have one child who was born in March 2014. They have never cohabited. From the time of their child’s birth, the father was involved in his care. The parties began having difficulty negotiating a mutually satisfactory parenting schedule. The father wanted more time with the child and by 2017, he sought equal parenting time. The mother obtained an interim order for sole custody. The father was awarded two 24 hour days per week. At trial, the father proposed a shared parenting arrangement whereby he would have the child four days one week and three days the next. The mother’s position was that the existing schedule worked well and sought an order for sole custody. The trial judge ordered joint custody with primary residence to the mother. The father was awarded 35 per cent of the parenting time. The father was also ordered to pay retroactive and ongoing child support. The Court of Appeal dismissed the father’s appeal with respect to the parenting issues and allowed his appeal in part with respect to the calculation of his income.</w:t>
            </w:r>
          </w:p>
          <w:p w:rsidR="009B6684" w:rsidRPr="00893B19" w:rsidRDefault="009B6684" w:rsidP="009B6684">
            <w:pPr>
              <w:jc w:val="both"/>
              <w:rPr>
                <w:sz w:val="20"/>
              </w:rPr>
            </w:pPr>
          </w:p>
        </w:tc>
      </w:tr>
      <w:tr w:rsidR="009B6684" w:rsidRPr="00893B19" w:rsidTr="009B6684">
        <w:tc>
          <w:tcPr>
            <w:tcW w:w="2427" w:type="pct"/>
          </w:tcPr>
          <w:p w:rsidR="009B6684" w:rsidRPr="00893B19" w:rsidRDefault="009B6684" w:rsidP="009B6684">
            <w:pPr>
              <w:jc w:val="both"/>
              <w:rPr>
                <w:sz w:val="20"/>
              </w:rPr>
            </w:pPr>
            <w:r w:rsidRPr="00893B19">
              <w:rPr>
                <w:sz w:val="20"/>
              </w:rPr>
              <w:t>November 19, 2018</w:t>
            </w:r>
          </w:p>
          <w:p w:rsidR="009B6684" w:rsidRPr="00893B19" w:rsidRDefault="009B6684" w:rsidP="009B6684">
            <w:pPr>
              <w:jc w:val="both"/>
              <w:rPr>
                <w:sz w:val="20"/>
              </w:rPr>
            </w:pPr>
            <w:r w:rsidRPr="00893B19">
              <w:rPr>
                <w:sz w:val="20"/>
              </w:rPr>
              <w:t>Court of Queen’s Bench of Saskatchewan</w:t>
            </w:r>
          </w:p>
          <w:p w:rsidR="009B6684" w:rsidRPr="00893B19" w:rsidRDefault="009B6684" w:rsidP="009B6684">
            <w:pPr>
              <w:jc w:val="both"/>
              <w:rPr>
                <w:sz w:val="20"/>
              </w:rPr>
            </w:pPr>
            <w:r w:rsidRPr="00893B19">
              <w:rPr>
                <w:sz w:val="20"/>
              </w:rPr>
              <w:t>(McIntyre J.)</w:t>
            </w:r>
          </w:p>
          <w:p w:rsidR="009B6684" w:rsidRPr="00893B19" w:rsidRDefault="00867539" w:rsidP="009B6684">
            <w:pPr>
              <w:jc w:val="both"/>
              <w:rPr>
                <w:sz w:val="20"/>
              </w:rPr>
            </w:pPr>
            <w:hyperlink r:id="rId23" w:history="1">
              <w:r w:rsidR="009B6684" w:rsidRPr="00893B19">
                <w:rPr>
                  <w:rStyle w:val="Hyperlink"/>
                  <w:sz w:val="20"/>
                </w:rPr>
                <w:t>2018 SKQB 317</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Order for joint custody of child with primary residence awarded to the mother; Order for retroactive and ongoing child support to be paid by the father</w:t>
            </w:r>
          </w:p>
          <w:p w:rsidR="009B6684" w:rsidRPr="00893B19" w:rsidRDefault="009B6684" w:rsidP="009B6684">
            <w:pPr>
              <w:jc w:val="both"/>
              <w:rPr>
                <w:sz w:val="20"/>
              </w:rPr>
            </w:pPr>
          </w:p>
        </w:tc>
      </w:tr>
      <w:tr w:rsidR="009B6684" w:rsidRPr="00893B19" w:rsidTr="009B6684">
        <w:tc>
          <w:tcPr>
            <w:tcW w:w="2427" w:type="pct"/>
          </w:tcPr>
          <w:p w:rsidR="009B6684" w:rsidRPr="00893B19" w:rsidRDefault="009B6684" w:rsidP="009B6684">
            <w:pPr>
              <w:jc w:val="both"/>
              <w:rPr>
                <w:sz w:val="20"/>
              </w:rPr>
            </w:pPr>
            <w:r w:rsidRPr="00893B19">
              <w:rPr>
                <w:sz w:val="20"/>
              </w:rPr>
              <w:t>December 17, 2019</w:t>
            </w:r>
          </w:p>
          <w:p w:rsidR="009B6684" w:rsidRPr="00893B19" w:rsidRDefault="009B6684" w:rsidP="009B6684">
            <w:pPr>
              <w:jc w:val="both"/>
              <w:rPr>
                <w:sz w:val="20"/>
              </w:rPr>
            </w:pPr>
            <w:r w:rsidRPr="00893B19">
              <w:rPr>
                <w:sz w:val="20"/>
              </w:rPr>
              <w:t>Court of Appeal for Saskatchewan</w:t>
            </w:r>
          </w:p>
          <w:p w:rsidR="009B6684" w:rsidRPr="00893B19" w:rsidRDefault="009B6684" w:rsidP="009B6684">
            <w:pPr>
              <w:jc w:val="both"/>
              <w:rPr>
                <w:sz w:val="20"/>
              </w:rPr>
            </w:pPr>
            <w:r w:rsidRPr="00893B19">
              <w:rPr>
                <w:sz w:val="20"/>
              </w:rPr>
              <w:t>(Caldwell, Schwann and Kalmakoff JJ.A.)</w:t>
            </w:r>
          </w:p>
          <w:p w:rsidR="009B6684" w:rsidRPr="00893B19" w:rsidRDefault="00867539" w:rsidP="009B6684">
            <w:pPr>
              <w:jc w:val="both"/>
              <w:rPr>
                <w:sz w:val="20"/>
              </w:rPr>
            </w:pPr>
            <w:hyperlink r:id="rId24" w:history="1">
              <w:r w:rsidR="009B6684" w:rsidRPr="00893B19">
                <w:rPr>
                  <w:rStyle w:val="Hyperlink"/>
                  <w:sz w:val="20"/>
                </w:rPr>
                <w:t>2019 SKCA 135</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Father’s appeal allowed in part; order varying calculation of father’s income for child support purposes</w:t>
            </w:r>
          </w:p>
          <w:p w:rsidR="009B6684" w:rsidRPr="00893B19" w:rsidRDefault="009B6684" w:rsidP="009B6684">
            <w:pPr>
              <w:jc w:val="both"/>
              <w:rPr>
                <w:sz w:val="20"/>
              </w:rPr>
            </w:pPr>
          </w:p>
          <w:p w:rsidR="009B6684" w:rsidRPr="00893B19" w:rsidRDefault="009B6684" w:rsidP="009B6684">
            <w:pPr>
              <w:jc w:val="both"/>
              <w:rPr>
                <w:sz w:val="20"/>
              </w:rPr>
            </w:pPr>
          </w:p>
        </w:tc>
      </w:tr>
      <w:tr w:rsidR="009B6684" w:rsidRPr="00893B19" w:rsidTr="009B6684">
        <w:tc>
          <w:tcPr>
            <w:tcW w:w="2427" w:type="pct"/>
          </w:tcPr>
          <w:p w:rsidR="009B6684" w:rsidRPr="00893B19" w:rsidRDefault="009B6684" w:rsidP="009B6684">
            <w:pPr>
              <w:jc w:val="both"/>
              <w:rPr>
                <w:sz w:val="20"/>
              </w:rPr>
            </w:pPr>
            <w:r w:rsidRPr="00893B19">
              <w:rPr>
                <w:sz w:val="20"/>
              </w:rPr>
              <w:t>February 14, 2020</w:t>
            </w:r>
          </w:p>
          <w:p w:rsidR="009B6684" w:rsidRPr="00893B19" w:rsidRDefault="009B6684" w:rsidP="009B6684">
            <w:pPr>
              <w:jc w:val="both"/>
              <w:rPr>
                <w:sz w:val="20"/>
              </w:rPr>
            </w:pPr>
            <w:r w:rsidRPr="00893B19">
              <w:rPr>
                <w:sz w:val="20"/>
              </w:rPr>
              <w:t>Supreme Court of Canada</w:t>
            </w: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Application for leave to appeal filed</w:t>
            </w:r>
          </w:p>
          <w:p w:rsidR="009B6684" w:rsidRPr="00893B19" w:rsidRDefault="009B6684" w:rsidP="009B6684">
            <w:pPr>
              <w:jc w:val="both"/>
              <w:rPr>
                <w:sz w:val="20"/>
              </w:rPr>
            </w:pPr>
          </w:p>
        </w:tc>
      </w:tr>
    </w:tbl>
    <w:p w:rsidR="009B6684" w:rsidRPr="00893B19" w:rsidRDefault="009B6684" w:rsidP="009B6684">
      <w:pPr>
        <w:jc w:val="both"/>
        <w:rPr>
          <w:sz w:val="20"/>
        </w:rPr>
      </w:pPr>
    </w:p>
    <w:p w:rsidR="009B6684" w:rsidRPr="00893B19" w:rsidRDefault="00867539" w:rsidP="009B6684">
      <w:pPr>
        <w:jc w:val="both"/>
        <w:rPr>
          <w:sz w:val="20"/>
        </w:rPr>
      </w:pPr>
      <w:r>
        <w:rPr>
          <w:sz w:val="20"/>
        </w:rPr>
        <w:pict>
          <v:rect id="_x0000_i1048" style="width:2in;height:1pt" o:hrpct="0" o:hralign="center" o:hrstd="t" o:hrnoshade="t" o:hr="t" fillcolor="black [3213]" stroked="f"/>
        </w:pict>
      </w:r>
    </w:p>
    <w:p w:rsidR="009B6684" w:rsidRPr="00893B19" w:rsidRDefault="009B6684" w:rsidP="009B66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684" w:rsidRPr="00893B19" w:rsidTr="009B6684">
        <w:tc>
          <w:tcPr>
            <w:tcW w:w="543" w:type="pct"/>
          </w:tcPr>
          <w:p w:rsidR="009B6684" w:rsidRPr="00893B19" w:rsidRDefault="009B6684" w:rsidP="009B6684">
            <w:pPr>
              <w:jc w:val="both"/>
              <w:rPr>
                <w:sz w:val="20"/>
                <w:lang w:val="fr-CA"/>
              </w:rPr>
            </w:pPr>
            <w:r w:rsidRPr="00893B19">
              <w:rPr>
                <w:rStyle w:val="SCCFileNumberChar"/>
                <w:sz w:val="20"/>
                <w:szCs w:val="20"/>
                <w:lang w:val="fr-CA"/>
              </w:rPr>
              <w:t>39070</w:t>
            </w:r>
          </w:p>
        </w:tc>
        <w:tc>
          <w:tcPr>
            <w:tcW w:w="4457" w:type="pct"/>
          </w:tcPr>
          <w:p w:rsidR="009B6684" w:rsidRPr="00893B19" w:rsidRDefault="009B6684" w:rsidP="009B6684">
            <w:pPr>
              <w:pStyle w:val="SCCLsocParty"/>
              <w:jc w:val="both"/>
              <w:rPr>
                <w:b/>
                <w:sz w:val="20"/>
                <w:szCs w:val="20"/>
              </w:rPr>
            </w:pPr>
            <w:r w:rsidRPr="00893B19">
              <w:rPr>
                <w:b/>
                <w:sz w:val="20"/>
                <w:szCs w:val="20"/>
              </w:rPr>
              <w:t>M.H. c. A.B.</w:t>
            </w:r>
          </w:p>
          <w:p w:rsidR="009B6684" w:rsidRPr="00893B19" w:rsidRDefault="009B6684" w:rsidP="009B6684">
            <w:pPr>
              <w:jc w:val="both"/>
              <w:rPr>
                <w:sz w:val="20"/>
                <w:lang w:val="fr-CA"/>
              </w:rPr>
            </w:pPr>
            <w:r w:rsidRPr="00893B19">
              <w:rPr>
                <w:sz w:val="20"/>
                <w:lang w:val="fr-CA"/>
              </w:rPr>
              <w:t>(Sask.) (Civile) (Autorisation)</w:t>
            </w:r>
          </w:p>
        </w:tc>
      </w:tr>
      <w:tr w:rsidR="009B6684" w:rsidRPr="00867539" w:rsidTr="009B6684">
        <w:tc>
          <w:tcPr>
            <w:tcW w:w="5000" w:type="pct"/>
            <w:gridSpan w:val="2"/>
          </w:tcPr>
          <w:p w:rsidR="009B6684" w:rsidRPr="00893B19" w:rsidRDefault="00455B20" w:rsidP="009B6684">
            <w:pPr>
              <w:pStyle w:val="SCCBanSummary0"/>
              <w:rPr>
                <w:smallCaps w:val="0"/>
                <w:sz w:val="20"/>
                <w:szCs w:val="20"/>
                <w:lang w:val="fr-CA"/>
              </w:rPr>
            </w:pPr>
            <w:r w:rsidRPr="00893B19">
              <w:rPr>
                <w:smallCaps w:val="0"/>
                <w:sz w:val="20"/>
                <w:szCs w:val="20"/>
                <w:lang w:val="fr-CA"/>
              </w:rPr>
              <w:t>La demande d’autorisation d’appel de l’arrêt de la Cour d’appel de la Saskatchewan, numéro CACV3342, 2019 SKCA 135,  daté du 17 décembre 2019, est rejetée avec dépens.</w:t>
            </w:r>
          </w:p>
          <w:p w:rsidR="00455B20" w:rsidRPr="00893B19" w:rsidRDefault="00455B20" w:rsidP="00455B20">
            <w:pPr>
              <w:rPr>
                <w:sz w:val="20"/>
                <w:szCs w:val="20"/>
                <w:lang w:val="fr-CA"/>
              </w:rPr>
            </w:pPr>
          </w:p>
        </w:tc>
      </w:tr>
      <w:tr w:rsidR="009B6684" w:rsidRPr="00867539" w:rsidTr="009B6684">
        <w:tc>
          <w:tcPr>
            <w:tcW w:w="5000" w:type="pct"/>
            <w:gridSpan w:val="2"/>
          </w:tcPr>
          <w:p w:rsidR="009B6684" w:rsidRPr="00893B19" w:rsidRDefault="009B6684" w:rsidP="009B6684">
            <w:pPr>
              <w:pStyle w:val="SCCBanSummary0"/>
              <w:rPr>
                <w:sz w:val="20"/>
                <w:szCs w:val="20"/>
                <w:lang w:val="fr-CA"/>
              </w:rPr>
            </w:pPr>
            <w:r w:rsidRPr="00893B19">
              <w:rPr>
                <w:sz w:val="20"/>
                <w:szCs w:val="20"/>
                <w:lang w:val="fr-CA"/>
              </w:rPr>
              <w:t>(Ordonnance de non</w:t>
            </w:r>
            <w:r w:rsidRPr="00893B19">
              <w:rPr>
                <w:sz w:val="20"/>
                <w:szCs w:val="20"/>
                <w:lang w:val="fr-CA"/>
              </w:rPr>
              <w:noBreakHyphen/>
              <w:t>publication dans le dossier) (Le dossier de la Cour renferme des données que le public n’est pas autorisé à consulter)</w:t>
            </w:r>
          </w:p>
          <w:p w:rsidR="009B6684" w:rsidRPr="00893B19" w:rsidRDefault="009B6684" w:rsidP="009B6684">
            <w:pPr>
              <w:jc w:val="both"/>
              <w:rPr>
                <w:sz w:val="20"/>
                <w:lang w:val="fr-CA"/>
              </w:rPr>
            </w:pPr>
          </w:p>
          <w:p w:rsidR="009B6684" w:rsidRPr="00893B19" w:rsidRDefault="009B6684" w:rsidP="009B6684">
            <w:pPr>
              <w:jc w:val="both"/>
              <w:rPr>
                <w:sz w:val="20"/>
                <w:lang w:val="fr-CA"/>
              </w:rPr>
            </w:pPr>
            <w:r w:rsidRPr="00893B19">
              <w:rPr>
                <w:sz w:val="20"/>
                <w:lang w:val="fr-CA"/>
              </w:rPr>
              <w:t>Droit de la famille — Garde — Temps de parentage — Principe du contact maximum — Les juridictions inférieures ont accordé à la mère de l’enfant une part plus importante du temps de parentage — Les juridictions inférieures ont</w:t>
            </w:r>
            <w:r w:rsidRPr="00893B19">
              <w:rPr>
                <w:sz w:val="20"/>
                <w:lang w:val="fr-CA"/>
              </w:rPr>
              <w:noBreakHyphen/>
              <w:t>elles omis de considérer et d’appliquer comme il se doit le principe du contact maximum? — Y a</w:t>
            </w:r>
            <w:r w:rsidRPr="00893B19">
              <w:rPr>
                <w:sz w:val="20"/>
                <w:lang w:val="fr-CA"/>
              </w:rPr>
              <w:noBreakHyphen/>
              <w:t>t</w:t>
            </w:r>
            <w:r w:rsidRPr="00893B19">
              <w:rPr>
                <w:sz w:val="20"/>
                <w:lang w:val="fr-CA"/>
              </w:rPr>
              <w:noBreakHyphen/>
              <w:t>il lieu d’éclaircir le principe du contact maximum en raison du grand nombre d’affaires où le parentage en parts égales est une option réalisable?</w:t>
            </w:r>
          </w:p>
        </w:tc>
      </w:tr>
      <w:tr w:rsidR="009B6684" w:rsidRPr="00867539" w:rsidTr="009B6684">
        <w:tc>
          <w:tcPr>
            <w:tcW w:w="5000" w:type="pct"/>
            <w:gridSpan w:val="2"/>
          </w:tcPr>
          <w:p w:rsidR="009B6684" w:rsidRPr="00893B19" w:rsidRDefault="009B6684" w:rsidP="009B6684">
            <w:pPr>
              <w:jc w:val="both"/>
              <w:rPr>
                <w:sz w:val="20"/>
                <w:lang w:val="fr-CA"/>
              </w:rPr>
            </w:pPr>
          </w:p>
        </w:tc>
      </w:tr>
    </w:tbl>
    <w:p w:rsidR="000F34A6" w:rsidRPr="00893B19" w:rsidRDefault="000F34A6">
      <w:pPr>
        <w:rPr>
          <w:lang w:val="fr-CA"/>
        </w:rPr>
      </w:pPr>
      <w:r w:rsidRPr="00893B1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684" w:rsidRPr="00867539" w:rsidTr="009B6684">
        <w:tc>
          <w:tcPr>
            <w:tcW w:w="5000" w:type="pct"/>
            <w:gridSpan w:val="3"/>
          </w:tcPr>
          <w:p w:rsidR="009B6684" w:rsidRPr="00893B19" w:rsidRDefault="009B6684" w:rsidP="009B6684">
            <w:pPr>
              <w:jc w:val="both"/>
              <w:rPr>
                <w:sz w:val="20"/>
                <w:lang w:val="fr-CA"/>
              </w:rPr>
            </w:pPr>
            <w:r w:rsidRPr="00893B19">
              <w:rPr>
                <w:sz w:val="20"/>
                <w:lang w:val="fr-CA"/>
              </w:rPr>
              <w:t>Le père et la mère ont un enfant né en mars 2014. Les parents n’ont jamais cohabité. Dès la naissance de l’enfant, le père a pris part aux soins de l’enfant. Les parents se sont mis à avoir de la difficulté à négocier un calendrier de parentage mutuellement satisfaisant. Le père voulait plus de temps avec l’enfant et, à partir de 2017, il a demandé du temps de parentage en parts égales. La mère a obtenu une ordonnance provisoire de garde exclusive. Le père s’est vu accorder deux journées de 24 heures par semaine. Au procès, le père a proposé un arrangement de parentage partagé par lequel il aurait l’enfant quatre jours par semaine, puis trois jours par semaine, en alternance. La mère a soutenu que le calendrier actuel fonctionnait bien et a demandé une ordonnance de garde exclusive. Le juge de première instance a ordonné la garde partagée et que la résidence principale soit chez la mère. Le père s’est vu accorder 35 pour cent du temps de parentage. Le père s’est en outre vu condamné à verser une pension alimentaire pour l’enfant, rétroactive et pour l’avenir. La Cour d’appel a rejeté l’appel du père pour ce qui est des questions relatives au parentage et a accueilli son appel en partie pour ce qui est du calcul de son revenu.</w:t>
            </w: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19 novembre 2018</w:t>
            </w:r>
          </w:p>
          <w:p w:rsidR="009B6684" w:rsidRPr="00893B19" w:rsidRDefault="009B6684" w:rsidP="009B6684">
            <w:pPr>
              <w:jc w:val="both"/>
              <w:rPr>
                <w:sz w:val="20"/>
                <w:lang w:val="fr-CA"/>
              </w:rPr>
            </w:pPr>
            <w:r w:rsidRPr="00893B19">
              <w:rPr>
                <w:sz w:val="20"/>
                <w:lang w:val="fr-CA"/>
              </w:rPr>
              <w:t>Cour du Banc de la Reine de la Saskatchewan</w:t>
            </w:r>
          </w:p>
          <w:p w:rsidR="009B6684" w:rsidRPr="00893B19" w:rsidRDefault="009B6684" w:rsidP="009B6684">
            <w:pPr>
              <w:jc w:val="both"/>
              <w:rPr>
                <w:sz w:val="20"/>
                <w:lang w:val="fr-CA"/>
              </w:rPr>
            </w:pPr>
            <w:r w:rsidRPr="00893B19">
              <w:rPr>
                <w:sz w:val="20"/>
                <w:lang w:val="fr-CA"/>
              </w:rPr>
              <w:t>(Juge McIntyre)</w:t>
            </w:r>
          </w:p>
          <w:p w:rsidR="009B6684" w:rsidRPr="00893B19" w:rsidRDefault="00867539" w:rsidP="009B6684">
            <w:pPr>
              <w:jc w:val="both"/>
              <w:rPr>
                <w:sz w:val="20"/>
                <w:lang w:val="fr-CA"/>
              </w:rPr>
            </w:pPr>
            <w:hyperlink r:id="rId25" w:history="1">
              <w:r w:rsidR="009B6684" w:rsidRPr="00893B19">
                <w:rPr>
                  <w:rStyle w:val="Hyperlink"/>
                  <w:sz w:val="20"/>
                  <w:lang w:val="fr-CA"/>
                </w:rPr>
                <w:t>2018 SKQB 317</w:t>
              </w:r>
            </w:hyperlink>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Jugement ordonnant la garde partagée de l’enfant et accordant la résidence principale à la mère, condamnant le père à verser une pension alimentaire pour l’enfant, rétroactive et pour l’avenir</w:t>
            </w: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17 décembre 2019</w:t>
            </w:r>
          </w:p>
          <w:p w:rsidR="009B6684" w:rsidRPr="00893B19" w:rsidRDefault="009B6684" w:rsidP="009B6684">
            <w:pPr>
              <w:jc w:val="both"/>
              <w:rPr>
                <w:sz w:val="20"/>
                <w:lang w:val="fr-CA"/>
              </w:rPr>
            </w:pPr>
            <w:r w:rsidRPr="00893B19">
              <w:rPr>
                <w:sz w:val="20"/>
                <w:lang w:val="fr-CA"/>
              </w:rPr>
              <w:t>Cour d’appel de la Saskatchewan</w:t>
            </w:r>
          </w:p>
          <w:p w:rsidR="009B6684" w:rsidRPr="00893B19" w:rsidRDefault="009B6684" w:rsidP="009B6684">
            <w:pPr>
              <w:jc w:val="both"/>
              <w:rPr>
                <w:sz w:val="20"/>
              </w:rPr>
            </w:pPr>
            <w:r w:rsidRPr="00893B19">
              <w:rPr>
                <w:sz w:val="20"/>
              </w:rPr>
              <w:t>(Juges Caldwell, Schwann et Kalmakoff)</w:t>
            </w:r>
          </w:p>
          <w:p w:rsidR="009B6684" w:rsidRPr="00893B19" w:rsidRDefault="00867539" w:rsidP="009B6684">
            <w:pPr>
              <w:jc w:val="both"/>
              <w:rPr>
                <w:sz w:val="20"/>
                <w:lang w:val="fr-CA"/>
              </w:rPr>
            </w:pPr>
            <w:hyperlink r:id="rId26" w:history="1">
              <w:r w:rsidR="009B6684" w:rsidRPr="00893B19">
                <w:rPr>
                  <w:rStyle w:val="Hyperlink"/>
                  <w:sz w:val="20"/>
                  <w:lang w:val="fr-CA"/>
                </w:rPr>
                <w:t>2019 SKCA 135</w:t>
              </w:r>
            </w:hyperlink>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Arrêt accueillant en partie l’appel du père, ordonnant la modification du calcul du revenu du père aux fins de la pension alimentaire pour l’enfant</w:t>
            </w:r>
          </w:p>
          <w:p w:rsidR="009B6684" w:rsidRPr="00893B19" w:rsidRDefault="009B6684" w:rsidP="009B6684">
            <w:pPr>
              <w:jc w:val="both"/>
              <w:rPr>
                <w:sz w:val="20"/>
                <w:lang w:val="fr-CA"/>
              </w:rPr>
            </w:pP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14 février 2020</w:t>
            </w:r>
          </w:p>
          <w:p w:rsidR="009B6684" w:rsidRPr="00893B19" w:rsidRDefault="009B6684" w:rsidP="009B6684">
            <w:pPr>
              <w:jc w:val="both"/>
              <w:rPr>
                <w:sz w:val="20"/>
                <w:lang w:val="fr-CA"/>
              </w:rPr>
            </w:pPr>
            <w:r w:rsidRPr="00893B19">
              <w:rPr>
                <w:sz w:val="20"/>
                <w:lang w:val="fr-CA"/>
              </w:rPr>
              <w:t>Cour suprême du Canada</w:t>
            </w: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Dépôt de la demande d’autorisation d’appel</w:t>
            </w:r>
          </w:p>
          <w:p w:rsidR="009B6684" w:rsidRPr="00893B19" w:rsidRDefault="009B6684" w:rsidP="009B6684">
            <w:pPr>
              <w:jc w:val="both"/>
              <w:rPr>
                <w:sz w:val="20"/>
                <w:lang w:val="fr-CA"/>
              </w:rPr>
            </w:pPr>
          </w:p>
        </w:tc>
      </w:tr>
    </w:tbl>
    <w:p w:rsidR="009B6684" w:rsidRPr="00893B19" w:rsidRDefault="009B6684" w:rsidP="009B6684">
      <w:pPr>
        <w:jc w:val="both"/>
        <w:rPr>
          <w:sz w:val="20"/>
          <w:lang w:val="fr-CA"/>
        </w:rPr>
      </w:pPr>
    </w:p>
    <w:p w:rsidR="009B6684" w:rsidRPr="00893B19" w:rsidRDefault="00867539" w:rsidP="009B6684">
      <w:pPr>
        <w:jc w:val="both"/>
        <w:rPr>
          <w:sz w:val="20"/>
          <w:lang w:val="fr-CA"/>
        </w:rPr>
      </w:pPr>
      <w:r>
        <w:rPr>
          <w:sz w:val="20"/>
        </w:rPr>
        <w:pict>
          <v:rect id="_x0000_i1049" style="width:2in;height:1pt" o:hrpct="0" o:hralign="center" o:hrstd="t" o:hrnoshade="t" o:hr="t" fillcolor="black [3213]" stroked="f"/>
        </w:pict>
      </w:r>
    </w:p>
    <w:p w:rsidR="009B6684" w:rsidRPr="00893B19" w:rsidRDefault="009B6684" w:rsidP="009B66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684" w:rsidRPr="00893B19" w:rsidTr="009B6684">
        <w:tc>
          <w:tcPr>
            <w:tcW w:w="543" w:type="pct"/>
          </w:tcPr>
          <w:p w:rsidR="009B6684" w:rsidRPr="00893B19" w:rsidRDefault="009B6684" w:rsidP="009B6684">
            <w:pPr>
              <w:jc w:val="both"/>
              <w:rPr>
                <w:sz w:val="20"/>
              </w:rPr>
            </w:pPr>
            <w:r w:rsidRPr="00893B19">
              <w:rPr>
                <w:rStyle w:val="SCCFileNumberChar"/>
                <w:sz w:val="20"/>
                <w:szCs w:val="20"/>
              </w:rPr>
              <w:t>39065</w:t>
            </w:r>
          </w:p>
        </w:tc>
        <w:tc>
          <w:tcPr>
            <w:tcW w:w="4457" w:type="pct"/>
          </w:tcPr>
          <w:p w:rsidR="009B6684" w:rsidRPr="00893B19" w:rsidRDefault="009B6684" w:rsidP="009B6684">
            <w:pPr>
              <w:pStyle w:val="SCCLsocParty"/>
              <w:jc w:val="both"/>
              <w:rPr>
                <w:b/>
                <w:sz w:val="20"/>
                <w:szCs w:val="20"/>
                <w:lang w:val="en-US"/>
              </w:rPr>
            </w:pPr>
            <w:r w:rsidRPr="00893B19">
              <w:rPr>
                <w:b/>
                <w:sz w:val="20"/>
                <w:szCs w:val="20"/>
                <w:lang w:val="en-US"/>
              </w:rPr>
              <w:t>Christopher Roblin v. Sir-Wilfrid-Laurier School Board</w:t>
            </w:r>
          </w:p>
          <w:p w:rsidR="009B6684" w:rsidRPr="00893B19" w:rsidRDefault="009B6684" w:rsidP="009B6684">
            <w:pPr>
              <w:pStyle w:val="SCCLsocOtherPartySeparator"/>
              <w:rPr>
                <w:sz w:val="20"/>
                <w:szCs w:val="20"/>
              </w:rPr>
            </w:pPr>
            <w:r w:rsidRPr="00893B19">
              <w:rPr>
                <w:sz w:val="20"/>
                <w:szCs w:val="20"/>
              </w:rPr>
              <w:t>- and -</w:t>
            </w:r>
          </w:p>
          <w:p w:rsidR="009B6684" w:rsidRPr="00893B19" w:rsidRDefault="001300F2" w:rsidP="009B6684">
            <w:pPr>
              <w:pStyle w:val="SCCLsocParty"/>
              <w:jc w:val="both"/>
              <w:rPr>
                <w:b/>
                <w:sz w:val="20"/>
                <w:szCs w:val="20"/>
                <w:lang w:val="en-US"/>
              </w:rPr>
            </w:pPr>
            <w:r w:rsidRPr="00893B19">
              <w:rPr>
                <w:b/>
                <w:sz w:val="20"/>
                <w:szCs w:val="20"/>
                <w:lang w:val="en-US"/>
              </w:rPr>
              <w:t>Administrative Labour Tribunal</w:t>
            </w:r>
          </w:p>
          <w:p w:rsidR="009B6684" w:rsidRPr="00893B19" w:rsidRDefault="009B6684" w:rsidP="009B6684">
            <w:pPr>
              <w:jc w:val="both"/>
              <w:rPr>
                <w:sz w:val="20"/>
                <w:lang w:val="en-US"/>
              </w:rPr>
            </w:pPr>
            <w:r w:rsidRPr="00893B19">
              <w:rPr>
                <w:sz w:val="20"/>
                <w:lang w:val="en-US"/>
              </w:rPr>
              <w:t>(Que.) (Civil) (By Leave)</w:t>
            </w:r>
          </w:p>
        </w:tc>
      </w:tr>
      <w:tr w:rsidR="009B6684" w:rsidRPr="00893B19" w:rsidTr="009B6684">
        <w:tc>
          <w:tcPr>
            <w:tcW w:w="5000" w:type="pct"/>
            <w:gridSpan w:val="2"/>
          </w:tcPr>
          <w:p w:rsidR="001300F2" w:rsidRPr="00893B19" w:rsidRDefault="001300F2" w:rsidP="001300F2">
            <w:pPr>
              <w:jc w:val="both"/>
              <w:rPr>
                <w:sz w:val="20"/>
                <w:szCs w:val="20"/>
              </w:rPr>
            </w:pPr>
            <w:r w:rsidRPr="00893B19">
              <w:rPr>
                <w:sz w:val="20"/>
                <w:szCs w:val="20"/>
              </w:rPr>
              <w:t>The application for leave to appeal from the judgment of the Court of Appeal of Quebec (Montréal), Number 500-09-028677-193, 2019 QCCA 2073, dated November 28, 2019, is dismissed with costs to the respondent, Sir-Wilfrid-Laurier School Board.</w:t>
            </w:r>
          </w:p>
          <w:p w:rsidR="009B6684" w:rsidRPr="00893B19" w:rsidRDefault="009B6684" w:rsidP="009B6684">
            <w:pPr>
              <w:jc w:val="both"/>
              <w:rPr>
                <w:sz w:val="20"/>
              </w:rPr>
            </w:pPr>
          </w:p>
        </w:tc>
      </w:tr>
      <w:tr w:rsidR="009B6684" w:rsidRPr="00893B19" w:rsidTr="009B6684">
        <w:tc>
          <w:tcPr>
            <w:tcW w:w="5000" w:type="pct"/>
            <w:gridSpan w:val="2"/>
          </w:tcPr>
          <w:p w:rsidR="009B6684" w:rsidRPr="00893B19" w:rsidRDefault="009B6684" w:rsidP="009B6684">
            <w:pPr>
              <w:jc w:val="both"/>
              <w:rPr>
                <w:sz w:val="20"/>
              </w:rPr>
            </w:pPr>
            <w:r w:rsidRPr="00893B19">
              <w:rPr>
                <w:i/>
                <w:sz w:val="20"/>
              </w:rPr>
              <w:t>Charter of Rights</w:t>
            </w:r>
            <w:r w:rsidRPr="00893B19">
              <w:rPr>
                <w:sz w:val="20"/>
              </w:rPr>
              <w:t xml:space="preserve"> — Fundamental justice — Employment law — Unjust dismissal — Administrative law — Natural justice — Applicant filing complaints against employer for harassment and wrongful dismissal — Administrative tribunal refusing applicant’s request to file expert testimony evidence — Complaints dismissed — Permission to appeal denied — Whether applicant’s rights to submit pertinent proof and counterproof regarding complaints of psychological harassment and dismissal were denied — Whether denial of rights was contrary to </w:t>
            </w:r>
            <w:r w:rsidRPr="00893B19">
              <w:rPr>
                <w:i/>
                <w:sz w:val="20"/>
              </w:rPr>
              <w:t>Canadian Charter of Rights and Freedoms</w:t>
            </w:r>
            <w:r w:rsidRPr="00893B19">
              <w:rPr>
                <w:sz w:val="20"/>
              </w:rPr>
              <w:t xml:space="preserve">, Quebec </w:t>
            </w:r>
            <w:r w:rsidRPr="00893B19">
              <w:rPr>
                <w:i/>
                <w:sz w:val="20"/>
              </w:rPr>
              <w:t>Charter of Human Rights and Freedoms</w:t>
            </w:r>
            <w:r w:rsidRPr="00893B19">
              <w:rPr>
                <w:sz w:val="20"/>
              </w:rPr>
              <w:t xml:space="preserve"> and </w:t>
            </w:r>
            <w:r w:rsidRPr="00893B19">
              <w:rPr>
                <w:i/>
                <w:sz w:val="20"/>
              </w:rPr>
              <w:t>Civil Code of Quebec</w:t>
            </w:r>
            <w:r w:rsidRPr="00893B19">
              <w:rPr>
                <w:sz w:val="20"/>
              </w:rPr>
              <w:t xml:space="preserve"> — Whether Quebec courts failed to adhere to high standard of justice when applicant’s employment and reputation were at stake — Whether Quebec courts breached principles of natural justice — Whether Tribunal administratif du travail and respondent employer breached rule of fairness — </w:t>
            </w:r>
            <w:r w:rsidRPr="00893B19">
              <w:rPr>
                <w:i/>
                <w:sz w:val="20"/>
              </w:rPr>
              <w:t>Canadian Charter of Rights and Freedoms</w:t>
            </w:r>
            <w:r w:rsidRPr="00893B19">
              <w:rPr>
                <w:sz w:val="20"/>
              </w:rPr>
              <w:t xml:space="preserve">, ss. 7, 15 — (Quebec) </w:t>
            </w:r>
            <w:r w:rsidRPr="00893B19">
              <w:rPr>
                <w:i/>
                <w:sz w:val="20"/>
              </w:rPr>
              <w:t>Charter of Human Rights and Freedoms</w:t>
            </w:r>
            <w:r w:rsidRPr="00893B19">
              <w:rPr>
                <w:sz w:val="20"/>
              </w:rPr>
              <w:t xml:space="preserve">, articles 10, 10.1, 16, 23 — </w:t>
            </w:r>
            <w:r w:rsidRPr="00893B19">
              <w:rPr>
                <w:i/>
                <w:sz w:val="20"/>
              </w:rPr>
              <w:t>Civil Code of Quebec</w:t>
            </w:r>
            <w:r w:rsidRPr="00893B19">
              <w:rPr>
                <w:sz w:val="20"/>
              </w:rPr>
              <w:t>, article 2857.</w:t>
            </w:r>
          </w:p>
        </w:tc>
      </w:tr>
      <w:tr w:rsidR="009B6684" w:rsidRPr="00893B19" w:rsidTr="009B6684">
        <w:tc>
          <w:tcPr>
            <w:tcW w:w="5000" w:type="pct"/>
            <w:gridSpan w:val="2"/>
          </w:tcPr>
          <w:p w:rsidR="009B6684" w:rsidRPr="00893B19" w:rsidRDefault="009B6684" w:rsidP="009B6684">
            <w:pPr>
              <w:jc w:val="both"/>
              <w:rPr>
                <w:sz w:val="20"/>
              </w:rPr>
            </w:pPr>
          </w:p>
        </w:tc>
      </w:tr>
    </w:tbl>
    <w:p w:rsidR="000F34A6" w:rsidRPr="00893B19" w:rsidRDefault="000F34A6">
      <w:r w:rsidRPr="00893B1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684" w:rsidRPr="00893B19" w:rsidTr="009B6684">
        <w:tc>
          <w:tcPr>
            <w:tcW w:w="5000" w:type="pct"/>
            <w:gridSpan w:val="3"/>
          </w:tcPr>
          <w:p w:rsidR="009B6684" w:rsidRPr="00893B19" w:rsidRDefault="009B6684" w:rsidP="009B6684">
            <w:pPr>
              <w:jc w:val="both"/>
              <w:rPr>
                <w:sz w:val="20"/>
              </w:rPr>
            </w:pPr>
            <w:r w:rsidRPr="00893B19">
              <w:rPr>
                <w:sz w:val="20"/>
              </w:rPr>
              <w:t>The applicant Mr. Christopher Roblin, filed four complaints against his former employer, the respondent Sir</w:t>
            </w:r>
            <w:r w:rsidRPr="00893B19">
              <w:rPr>
                <w:sz w:val="20"/>
              </w:rPr>
              <w:noBreakHyphen/>
              <w:t>Wilfrid</w:t>
            </w:r>
            <w:r w:rsidRPr="00893B19">
              <w:rPr>
                <w:sz w:val="20"/>
              </w:rPr>
              <w:noBreakHyphen/>
              <w:t>Laurier School Board, for harassment and wrongful dismissal. The Quebec Tribunal administratif du travail (“TAT”) issued three decisions — 1) refusing Mr. Roblin permission to file expert testimony in support of his complaints, 2) dismissing his complaints on the merits, and 3) dismissing a request to review the first two decisions. Mr. Roblin then brought an application for judicial review of all three TAT decisions. The Superior Court of Quebec dismissed the application for judicial review, finding that the first TAT decision did not violate any rules or principles of fairness or natural justice, and that the second and third TAT decisions were not unreasonable. A single judge of the Quebec Court of Appeal of Quebec refused Mr. Roblin permission to appeal the Superior Court decision.</w:t>
            </w:r>
          </w:p>
          <w:p w:rsidR="009B6684" w:rsidRPr="00893B19" w:rsidRDefault="009B6684" w:rsidP="009B6684">
            <w:pPr>
              <w:jc w:val="both"/>
              <w:rPr>
                <w:sz w:val="20"/>
              </w:rPr>
            </w:pPr>
          </w:p>
        </w:tc>
      </w:tr>
      <w:tr w:rsidR="009B6684" w:rsidRPr="00893B19" w:rsidTr="009B6684">
        <w:tc>
          <w:tcPr>
            <w:tcW w:w="2427" w:type="pct"/>
          </w:tcPr>
          <w:p w:rsidR="009B6684" w:rsidRPr="00893B19" w:rsidRDefault="009B6684" w:rsidP="009B6684">
            <w:pPr>
              <w:jc w:val="both"/>
              <w:rPr>
                <w:sz w:val="20"/>
                <w:lang w:val="fr-CA"/>
              </w:rPr>
            </w:pPr>
            <w:r w:rsidRPr="00893B19">
              <w:rPr>
                <w:sz w:val="20"/>
                <w:lang w:val="fr-CA"/>
              </w:rPr>
              <w:t>September 19, 2014</w:t>
            </w:r>
          </w:p>
          <w:p w:rsidR="009B6684" w:rsidRPr="00893B19" w:rsidRDefault="009B6684" w:rsidP="009B6684">
            <w:pPr>
              <w:jc w:val="both"/>
              <w:rPr>
                <w:sz w:val="20"/>
                <w:lang w:val="fr-CA"/>
              </w:rPr>
            </w:pPr>
            <w:r w:rsidRPr="00893B19">
              <w:rPr>
                <w:sz w:val="20"/>
                <w:lang w:val="fr-CA"/>
              </w:rPr>
              <w:t>Tribunal administratif du travail</w:t>
            </w:r>
          </w:p>
          <w:p w:rsidR="009B6684" w:rsidRPr="00893B19" w:rsidRDefault="009B6684" w:rsidP="009B6684">
            <w:pPr>
              <w:jc w:val="both"/>
              <w:rPr>
                <w:sz w:val="20"/>
                <w:lang w:val="fr-CA"/>
              </w:rPr>
            </w:pPr>
            <w:r w:rsidRPr="00893B19">
              <w:rPr>
                <w:sz w:val="20"/>
                <w:lang w:val="fr-CA"/>
              </w:rPr>
              <w:t>(Flageole J.)</w:t>
            </w:r>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rPr>
            </w:pPr>
            <w:r w:rsidRPr="00893B19">
              <w:rPr>
                <w:sz w:val="20"/>
              </w:rPr>
              <w:t>Mr. Roblin’s request for permission to allow expert testimony — refused</w:t>
            </w:r>
          </w:p>
          <w:p w:rsidR="009B6684" w:rsidRPr="00893B19" w:rsidRDefault="009B6684" w:rsidP="009B6684">
            <w:pPr>
              <w:jc w:val="both"/>
              <w:rPr>
                <w:sz w:val="20"/>
              </w:rPr>
            </w:pPr>
          </w:p>
        </w:tc>
      </w:tr>
      <w:tr w:rsidR="009B6684" w:rsidRPr="00893B19" w:rsidTr="009B6684">
        <w:tc>
          <w:tcPr>
            <w:tcW w:w="2427" w:type="pct"/>
          </w:tcPr>
          <w:p w:rsidR="009B6684" w:rsidRPr="00893B19" w:rsidRDefault="009B6684" w:rsidP="009B6684">
            <w:pPr>
              <w:jc w:val="both"/>
              <w:rPr>
                <w:sz w:val="20"/>
                <w:lang w:val="fr-CA"/>
              </w:rPr>
            </w:pPr>
            <w:r w:rsidRPr="00893B19">
              <w:rPr>
                <w:sz w:val="20"/>
                <w:lang w:val="fr-CA"/>
              </w:rPr>
              <w:t>August 25, 2017</w:t>
            </w:r>
          </w:p>
          <w:p w:rsidR="009B6684" w:rsidRPr="00893B19" w:rsidRDefault="009B6684" w:rsidP="009B6684">
            <w:pPr>
              <w:jc w:val="both"/>
              <w:rPr>
                <w:sz w:val="20"/>
                <w:lang w:val="fr-CA"/>
              </w:rPr>
            </w:pPr>
            <w:r w:rsidRPr="00893B19">
              <w:rPr>
                <w:sz w:val="20"/>
                <w:lang w:val="fr-CA"/>
              </w:rPr>
              <w:t>Tribunal administratif du travail</w:t>
            </w:r>
          </w:p>
          <w:p w:rsidR="009B6684" w:rsidRPr="00893B19" w:rsidRDefault="009B6684" w:rsidP="009B6684">
            <w:pPr>
              <w:jc w:val="both"/>
              <w:rPr>
                <w:sz w:val="20"/>
                <w:lang w:val="fr-CA"/>
              </w:rPr>
            </w:pPr>
            <w:r w:rsidRPr="00893B19">
              <w:rPr>
                <w:sz w:val="20"/>
                <w:lang w:val="fr-CA"/>
              </w:rPr>
              <w:t>(Flageole J.)</w:t>
            </w:r>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rPr>
            </w:pPr>
            <w:r w:rsidRPr="00893B19">
              <w:rPr>
                <w:sz w:val="20"/>
              </w:rPr>
              <w:t>Mr. Roblin’s complaints for harassment and wrongful dismissal — dismissed</w:t>
            </w:r>
          </w:p>
          <w:p w:rsidR="009B6684" w:rsidRPr="00893B19" w:rsidRDefault="009B6684" w:rsidP="009B6684">
            <w:pPr>
              <w:jc w:val="both"/>
              <w:rPr>
                <w:sz w:val="20"/>
              </w:rPr>
            </w:pPr>
          </w:p>
        </w:tc>
      </w:tr>
      <w:tr w:rsidR="009B6684" w:rsidRPr="00893B19" w:rsidTr="009B6684">
        <w:tc>
          <w:tcPr>
            <w:tcW w:w="2427" w:type="pct"/>
          </w:tcPr>
          <w:p w:rsidR="009B6684" w:rsidRPr="00893B19" w:rsidRDefault="009B6684" w:rsidP="009B6684">
            <w:pPr>
              <w:jc w:val="both"/>
              <w:rPr>
                <w:sz w:val="20"/>
                <w:lang w:val="fr-CA"/>
              </w:rPr>
            </w:pPr>
            <w:r w:rsidRPr="00893B19">
              <w:rPr>
                <w:sz w:val="20"/>
                <w:lang w:val="fr-CA"/>
              </w:rPr>
              <w:t>April 26, 2018</w:t>
            </w:r>
          </w:p>
          <w:p w:rsidR="009B6684" w:rsidRPr="00893B19" w:rsidRDefault="009B6684" w:rsidP="009B6684">
            <w:pPr>
              <w:jc w:val="both"/>
              <w:rPr>
                <w:sz w:val="20"/>
                <w:lang w:val="fr-CA"/>
              </w:rPr>
            </w:pPr>
            <w:r w:rsidRPr="00893B19">
              <w:rPr>
                <w:sz w:val="20"/>
                <w:lang w:val="fr-CA"/>
              </w:rPr>
              <w:t>Tribunal administratif du travail</w:t>
            </w:r>
          </w:p>
          <w:p w:rsidR="009B6684" w:rsidRPr="00893B19" w:rsidRDefault="009B6684" w:rsidP="009B6684">
            <w:pPr>
              <w:jc w:val="both"/>
              <w:rPr>
                <w:sz w:val="20"/>
                <w:lang w:val="fr-CA"/>
              </w:rPr>
            </w:pPr>
            <w:r w:rsidRPr="00893B19">
              <w:rPr>
                <w:sz w:val="20"/>
                <w:lang w:val="fr-CA"/>
              </w:rPr>
              <w:t>(Member Plante)</w:t>
            </w:r>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rPr>
            </w:pPr>
            <w:r w:rsidRPr="00893B19">
              <w:rPr>
                <w:sz w:val="20"/>
              </w:rPr>
              <w:t>Mr. Roblin’s request for review of first two decisions — dismissed</w:t>
            </w:r>
          </w:p>
          <w:p w:rsidR="009B6684" w:rsidRPr="00893B19" w:rsidRDefault="009B6684" w:rsidP="009B6684">
            <w:pPr>
              <w:jc w:val="both"/>
              <w:rPr>
                <w:sz w:val="20"/>
              </w:rPr>
            </w:pPr>
          </w:p>
        </w:tc>
      </w:tr>
      <w:tr w:rsidR="009B6684" w:rsidRPr="00893B19" w:rsidTr="009B6684">
        <w:tc>
          <w:tcPr>
            <w:tcW w:w="2427" w:type="pct"/>
          </w:tcPr>
          <w:p w:rsidR="009B6684" w:rsidRPr="00893B19" w:rsidRDefault="009B6684" w:rsidP="009B6684">
            <w:pPr>
              <w:jc w:val="both"/>
              <w:rPr>
                <w:sz w:val="20"/>
              </w:rPr>
            </w:pPr>
            <w:r w:rsidRPr="00893B19">
              <w:rPr>
                <w:sz w:val="20"/>
              </w:rPr>
              <w:t>October 2, 2019</w:t>
            </w:r>
          </w:p>
          <w:p w:rsidR="009B6684" w:rsidRPr="00893B19" w:rsidRDefault="009B6684" w:rsidP="009B6684">
            <w:pPr>
              <w:jc w:val="both"/>
              <w:rPr>
                <w:sz w:val="20"/>
              </w:rPr>
            </w:pPr>
            <w:r w:rsidRPr="00893B19">
              <w:rPr>
                <w:sz w:val="20"/>
              </w:rPr>
              <w:t>Superior Court of Quebec</w:t>
            </w:r>
          </w:p>
          <w:p w:rsidR="009B6684" w:rsidRPr="00893B19" w:rsidRDefault="009B6684" w:rsidP="009B6684">
            <w:pPr>
              <w:jc w:val="both"/>
              <w:rPr>
                <w:sz w:val="20"/>
              </w:rPr>
            </w:pPr>
            <w:r w:rsidRPr="00893B19">
              <w:rPr>
                <w:sz w:val="20"/>
              </w:rPr>
              <w:t>(Sheehan J.)</w:t>
            </w:r>
          </w:p>
          <w:p w:rsidR="009B6684" w:rsidRPr="00893B19" w:rsidRDefault="00867539" w:rsidP="009B6684">
            <w:pPr>
              <w:jc w:val="both"/>
              <w:rPr>
                <w:sz w:val="20"/>
              </w:rPr>
            </w:pPr>
            <w:hyperlink r:id="rId27" w:history="1">
              <w:r w:rsidR="009B6684" w:rsidRPr="00893B19">
                <w:rPr>
                  <w:rStyle w:val="Hyperlink"/>
                  <w:sz w:val="20"/>
                </w:rPr>
                <w:t>2019 QCCS 4082</w:t>
              </w:r>
            </w:hyperlink>
            <w:r w:rsidR="009B6684" w:rsidRPr="00893B19">
              <w:rPr>
                <w:sz w:val="20"/>
              </w:rPr>
              <w:t xml:space="preserve"> </w:t>
            </w:r>
          </w:p>
          <w:p w:rsidR="009B6684" w:rsidRPr="00893B19" w:rsidRDefault="009B6684" w:rsidP="009B6684">
            <w:pPr>
              <w:jc w:val="both"/>
              <w:rPr>
                <w:sz w:val="20"/>
              </w:rPr>
            </w:pPr>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Mr. Roblin’s application for judicial review — dismissed</w:t>
            </w:r>
          </w:p>
          <w:p w:rsidR="009B6684" w:rsidRPr="00893B19" w:rsidRDefault="009B6684" w:rsidP="009B6684">
            <w:pPr>
              <w:jc w:val="both"/>
              <w:rPr>
                <w:sz w:val="20"/>
              </w:rPr>
            </w:pPr>
          </w:p>
        </w:tc>
      </w:tr>
      <w:tr w:rsidR="009B6684" w:rsidRPr="00893B19" w:rsidTr="009B6684">
        <w:tc>
          <w:tcPr>
            <w:tcW w:w="2427" w:type="pct"/>
          </w:tcPr>
          <w:p w:rsidR="009B6684" w:rsidRPr="00893B19" w:rsidRDefault="009B6684" w:rsidP="009B6684">
            <w:pPr>
              <w:jc w:val="both"/>
              <w:rPr>
                <w:sz w:val="20"/>
              </w:rPr>
            </w:pPr>
            <w:r w:rsidRPr="00893B19">
              <w:rPr>
                <w:sz w:val="20"/>
              </w:rPr>
              <w:t>November 28, 2019</w:t>
            </w:r>
          </w:p>
          <w:p w:rsidR="009B6684" w:rsidRPr="00893B19" w:rsidRDefault="009B6684" w:rsidP="009B6684">
            <w:pPr>
              <w:jc w:val="both"/>
              <w:rPr>
                <w:sz w:val="20"/>
              </w:rPr>
            </w:pPr>
            <w:r w:rsidRPr="00893B19">
              <w:rPr>
                <w:sz w:val="20"/>
              </w:rPr>
              <w:t>Court of Appeal of Quebec (Montréal)</w:t>
            </w:r>
          </w:p>
          <w:p w:rsidR="009B6684" w:rsidRPr="00893B19" w:rsidRDefault="009B6684" w:rsidP="009B6684">
            <w:pPr>
              <w:jc w:val="both"/>
              <w:rPr>
                <w:sz w:val="20"/>
              </w:rPr>
            </w:pPr>
            <w:r w:rsidRPr="00893B19">
              <w:rPr>
                <w:sz w:val="20"/>
              </w:rPr>
              <w:t>(Moore J.A.)</w:t>
            </w:r>
          </w:p>
          <w:p w:rsidR="009B6684" w:rsidRPr="00893B19" w:rsidRDefault="00867539" w:rsidP="009B6684">
            <w:pPr>
              <w:jc w:val="both"/>
              <w:rPr>
                <w:sz w:val="20"/>
              </w:rPr>
            </w:pPr>
            <w:hyperlink r:id="rId28" w:history="1">
              <w:r w:rsidR="009B6684" w:rsidRPr="00893B19">
                <w:rPr>
                  <w:rStyle w:val="Hyperlink"/>
                  <w:sz w:val="20"/>
                </w:rPr>
                <w:t>2019 QCCA 2073</w:t>
              </w:r>
            </w:hyperlink>
            <w:r w:rsidR="009B6684" w:rsidRPr="00893B19">
              <w:rPr>
                <w:sz w:val="20"/>
              </w:rPr>
              <w:t xml:space="preserve"> </w:t>
            </w:r>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Mr. Roblin’s application for leave to appeal — dismissed</w:t>
            </w:r>
          </w:p>
          <w:p w:rsidR="009B6684" w:rsidRPr="00893B19" w:rsidRDefault="009B6684" w:rsidP="009B6684">
            <w:pPr>
              <w:jc w:val="both"/>
              <w:rPr>
                <w:sz w:val="20"/>
              </w:rPr>
            </w:pPr>
          </w:p>
        </w:tc>
      </w:tr>
      <w:tr w:rsidR="009B6684" w:rsidRPr="00893B19" w:rsidTr="009B6684">
        <w:tc>
          <w:tcPr>
            <w:tcW w:w="2427" w:type="pct"/>
          </w:tcPr>
          <w:p w:rsidR="009B6684" w:rsidRPr="00893B19" w:rsidRDefault="009B6684" w:rsidP="009B6684">
            <w:pPr>
              <w:jc w:val="both"/>
              <w:rPr>
                <w:sz w:val="20"/>
              </w:rPr>
            </w:pPr>
            <w:r w:rsidRPr="00893B19">
              <w:rPr>
                <w:sz w:val="20"/>
              </w:rPr>
              <w:t>January 27, 2020</w:t>
            </w:r>
          </w:p>
          <w:p w:rsidR="009B6684" w:rsidRPr="00893B19" w:rsidRDefault="009B6684" w:rsidP="009B6684">
            <w:pPr>
              <w:jc w:val="both"/>
              <w:rPr>
                <w:sz w:val="20"/>
              </w:rPr>
            </w:pPr>
            <w:r w:rsidRPr="00893B19">
              <w:rPr>
                <w:sz w:val="20"/>
              </w:rPr>
              <w:t>Supreme Court of Canada</w:t>
            </w: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Application for leave to appeal filed by Mr. Roblin</w:t>
            </w:r>
          </w:p>
        </w:tc>
      </w:tr>
    </w:tbl>
    <w:p w:rsidR="009B6684" w:rsidRPr="00893B19" w:rsidRDefault="009B6684" w:rsidP="009B6684">
      <w:pPr>
        <w:jc w:val="both"/>
        <w:rPr>
          <w:sz w:val="20"/>
        </w:rPr>
      </w:pPr>
    </w:p>
    <w:p w:rsidR="009B6684" w:rsidRPr="00893B19" w:rsidRDefault="00867539" w:rsidP="009B6684">
      <w:pPr>
        <w:jc w:val="both"/>
        <w:rPr>
          <w:sz w:val="20"/>
        </w:rPr>
      </w:pPr>
      <w:r>
        <w:rPr>
          <w:sz w:val="20"/>
        </w:rPr>
        <w:pict>
          <v:rect id="_x0000_i1050" style="width:2in;height:1pt" o:hrpct="0" o:hralign="center" o:hrstd="t" o:hrnoshade="t" o:hr="t" fillcolor="black [3213]" stroked="f"/>
        </w:pict>
      </w:r>
    </w:p>
    <w:p w:rsidR="009B6684" w:rsidRPr="00893B19" w:rsidRDefault="009B6684" w:rsidP="009B66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684" w:rsidRPr="00893B19" w:rsidTr="009B6684">
        <w:tc>
          <w:tcPr>
            <w:tcW w:w="543" w:type="pct"/>
          </w:tcPr>
          <w:p w:rsidR="009B6684" w:rsidRPr="00893B19" w:rsidRDefault="009B6684" w:rsidP="009B6684">
            <w:pPr>
              <w:jc w:val="both"/>
              <w:rPr>
                <w:sz w:val="20"/>
                <w:lang w:val="fr-CA"/>
              </w:rPr>
            </w:pPr>
            <w:r w:rsidRPr="00893B19">
              <w:rPr>
                <w:rStyle w:val="SCCFileNumberChar"/>
                <w:sz w:val="20"/>
                <w:szCs w:val="20"/>
                <w:lang w:val="fr-CA"/>
              </w:rPr>
              <w:t>39065</w:t>
            </w:r>
          </w:p>
        </w:tc>
        <w:tc>
          <w:tcPr>
            <w:tcW w:w="4457" w:type="pct"/>
          </w:tcPr>
          <w:p w:rsidR="009B6684" w:rsidRPr="00893B19" w:rsidRDefault="009B6684" w:rsidP="009B6684">
            <w:pPr>
              <w:pStyle w:val="SCCLsocParty"/>
              <w:jc w:val="both"/>
              <w:rPr>
                <w:b/>
                <w:sz w:val="20"/>
                <w:szCs w:val="20"/>
              </w:rPr>
            </w:pPr>
            <w:r w:rsidRPr="00893B19">
              <w:rPr>
                <w:b/>
                <w:sz w:val="20"/>
                <w:szCs w:val="20"/>
              </w:rPr>
              <w:t>Christopher Roblin c. Commissi</w:t>
            </w:r>
            <w:r w:rsidR="001300F2" w:rsidRPr="00893B19">
              <w:rPr>
                <w:b/>
                <w:sz w:val="20"/>
                <w:szCs w:val="20"/>
              </w:rPr>
              <w:t>on Scolaire Sir-Wilfrid-Laurier</w:t>
            </w:r>
          </w:p>
          <w:p w:rsidR="009B6684" w:rsidRPr="00893B19" w:rsidRDefault="009B6684" w:rsidP="009B6684">
            <w:pPr>
              <w:pStyle w:val="SCCLsocOtherPartySeparator"/>
              <w:rPr>
                <w:sz w:val="20"/>
                <w:szCs w:val="20"/>
                <w:lang w:val="fr-CA"/>
              </w:rPr>
            </w:pPr>
            <w:r w:rsidRPr="00893B19">
              <w:rPr>
                <w:sz w:val="20"/>
                <w:szCs w:val="20"/>
                <w:lang w:val="fr-CA"/>
              </w:rPr>
              <w:t>- et -</w:t>
            </w:r>
          </w:p>
          <w:p w:rsidR="009B6684" w:rsidRPr="00893B19" w:rsidRDefault="009B6684" w:rsidP="009B6684">
            <w:pPr>
              <w:pStyle w:val="SCCLsocParty"/>
              <w:jc w:val="both"/>
              <w:rPr>
                <w:b/>
                <w:sz w:val="20"/>
                <w:szCs w:val="20"/>
              </w:rPr>
            </w:pPr>
            <w:r w:rsidRPr="00893B19">
              <w:rPr>
                <w:b/>
                <w:sz w:val="20"/>
                <w:szCs w:val="20"/>
              </w:rPr>
              <w:t>Tribunal administratif du travail</w:t>
            </w:r>
          </w:p>
          <w:p w:rsidR="009B6684" w:rsidRPr="00893B19" w:rsidRDefault="009B6684" w:rsidP="009B6684">
            <w:pPr>
              <w:jc w:val="both"/>
              <w:rPr>
                <w:sz w:val="20"/>
                <w:lang w:val="fr-CA"/>
              </w:rPr>
            </w:pPr>
            <w:r w:rsidRPr="00893B19">
              <w:rPr>
                <w:sz w:val="20"/>
                <w:lang w:val="fr-CA"/>
              </w:rPr>
              <w:t>(Qc) (Civile) (Autorisation)</w:t>
            </w:r>
          </w:p>
        </w:tc>
      </w:tr>
      <w:tr w:rsidR="009B6684" w:rsidRPr="00867539" w:rsidTr="009B6684">
        <w:tc>
          <w:tcPr>
            <w:tcW w:w="5000" w:type="pct"/>
            <w:gridSpan w:val="2"/>
          </w:tcPr>
          <w:p w:rsidR="009B6684" w:rsidRPr="00893B19" w:rsidRDefault="001300F2" w:rsidP="009B6684">
            <w:pPr>
              <w:jc w:val="both"/>
              <w:rPr>
                <w:sz w:val="20"/>
                <w:szCs w:val="20"/>
                <w:lang w:val="fr-CA"/>
              </w:rPr>
            </w:pPr>
            <w:r w:rsidRPr="00893B19">
              <w:rPr>
                <w:sz w:val="20"/>
                <w:szCs w:val="20"/>
                <w:lang w:val="fr-CA"/>
              </w:rPr>
              <w:t>La demande d’autorisation d’appel de l’arrêt de la Cour d’appel du Québec (Montréal), numéro 500-09-028677-193, 2019 QCCA 2073, daté du 28 novembre 2019, est rejetée avec dépens en faveur de l’intimée, Commission scolaire Sir-Wilfrid-Laurier.</w:t>
            </w:r>
          </w:p>
          <w:p w:rsidR="001300F2" w:rsidRPr="00893B19" w:rsidRDefault="001300F2" w:rsidP="009B6684">
            <w:pPr>
              <w:jc w:val="both"/>
              <w:rPr>
                <w:sz w:val="20"/>
                <w:lang w:val="fr-CA"/>
              </w:rPr>
            </w:pPr>
          </w:p>
        </w:tc>
      </w:tr>
    </w:tbl>
    <w:p w:rsidR="000F34A6" w:rsidRPr="00893B19" w:rsidRDefault="000F34A6">
      <w:pPr>
        <w:rPr>
          <w:lang w:val="fr-CA"/>
        </w:rPr>
      </w:pPr>
      <w:r w:rsidRPr="00893B1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684" w:rsidRPr="00867539" w:rsidTr="009B6684">
        <w:tc>
          <w:tcPr>
            <w:tcW w:w="5000" w:type="pct"/>
            <w:gridSpan w:val="3"/>
          </w:tcPr>
          <w:p w:rsidR="009B6684" w:rsidRPr="00893B19" w:rsidRDefault="009B6684" w:rsidP="009B6684">
            <w:pPr>
              <w:jc w:val="both"/>
              <w:rPr>
                <w:sz w:val="20"/>
                <w:lang w:val="fr-CA"/>
              </w:rPr>
            </w:pPr>
            <w:r w:rsidRPr="00893B19">
              <w:rPr>
                <w:i/>
                <w:sz w:val="20"/>
                <w:lang w:val="fr-CA"/>
              </w:rPr>
              <w:t>Charte des droits</w:t>
            </w:r>
            <w:r w:rsidRPr="00893B19">
              <w:rPr>
                <w:sz w:val="20"/>
                <w:lang w:val="fr-CA"/>
              </w:rPr>
              <w:t xml:space="preserve"> — Justice fondamentale — Droit de l’emploi — Congédiement injustifié — Droit administratif — Justice naturelle — Le demandeur a déposé des plaintes contre l’employeur pour harcèlement et congédiement injustifié — Le tribunal administratif a rejeté la demande du demandeur en vue de déposer des témoignages d’experts — Les plaintes ont été rejetées — La permission d’en appeler a été refusée — Le demandeur s’est</w:t>
            </w:r>
            <w:r w:rsidRPr="00893B19">
              <w:rPr>
                <w:sz w:val="20"/>
                <w:lang w:val="fr-CA"/>
              </w:rPr>
              <w:noBreakHyphen/>
              <w:t>il vu privé de ses droits de présenter des éléments de preuve et de contre-preuve pertinents relativement aux plaintes de harcèlement psychologique et de congédiement? — Le déni des droits était</w:t>
            </w:r>
            <w:r w:rsidRPr="00893B19">
              <w:rPr>
                <w:sz w:val="20"/>
                <w:lang w:val="fr-CA"/>
              </w:rPr>
              <w:noBreakHyphen/>
              <w:t xml:space="preserve">il contraire à la </w:t>
            </w:r>
            <w:r w:rsidRPr="00893B19">
              <w:rPr>
                <w:i/>
                <w:sz w:val="20"/>
                <w:lang w:val="fr-CA"/>
              </w:rPr>
              <w:t>Charte canadienne des droits et libertés</w:t>
            </w:r>
            <w:r w:rsidRPr="00893B19">
              <w:rPr>
                <w:sz w:val="20"/>
                <w:lang w:val="fr-CA"/>
              </w:rPr>
              <w:t xml:space="preserve">, à la </w:t>
            </w:r>
            <w:r w:rsidRPr="00893B19">
              <w:rPr>
                <w:i/>
                <w:sz w:val="20"/>
                <w:lang w:val="fr-CA"/>
              </w:rPr>
              <w:t>Charte des droits et libertés de la personne</w:t>
            </w:r>
            <w:r w:rsidRPr="00893B19">
              <w:rPr>
                <w:sz w:val="20"/>
                <w:lang w:val="fr-CA"/>
              </w:rPr>
              <w:t xml:space="preserve"> (Québec) et au </w:t>
            </w:r>
            <w:r w:rsidRPr="00893B19">
              <w:rPr>
                <w:i/>
                <w:sz w:val="20"/>
                <w:lang w:val="fr-CA"/>
              </w:rPr>
              <w:t>Code civil du Québec</w:t>
            </w:r>
            <w:r w:rsidRPr="00893B19">
              <w:rPr>
                <w:sz w:val="20"/>
                <w:lang w:val="fr-CA"/>
              </w:rPr>
              <w:t>? — Les tribunaux québécois ont</w:t>
            </w:r>
            <w:r w:rsidRPr="00893B19">
              <w:rPr>
                <w:sz w:val="20"/>
                <w:lang w:val="fr-CA"/>
              </w:rPr>
              <w:noBreakHyphen/>
              <w:t>ils omis d’adhérer à la norme élevée de justice alors que l’emploi et la réputation du demandeur étaient en jeu? — Les tribunaux québécois ont</w:t>
            </w:r>
            <w:r w:rsidRPr="00893B19">
              <w:rPr>
                <w:sz w:val="20"/>
                <w:lang w:val="fr-CA"/>
              </w:rPr>
              <w:noBreakHyphen/>
              <w:t xml:space="preserve">ils violé des principes de justice naturelle? — Le Tribunal administratif du travail et l’employeur intimé ont-ils violé la règle de l’équité? — </w:t>
            </w:r>
            <w:r w:rsidRPr="00893B19">
              <w:rPr>
                <w:i/>
                <w:sz w:val="20"/>
                <w:lang w:val="fr-CA"/>
              </w:rPr>
              <w:t>Charte canadienne des droits et libertés</w:t>
            </w:r>
            <w:r w:rsidRPr="00893B19">
              <w:rPr>
                <w:sz w:val="20"/>
                <w:lang w:val="fr-CA"/>
              </w:rPr>
              <w:t xml:space="preserve">, art. 7, 15 — </w:t>
            </w:r>
            <w:r w:rsidRPr="00893B19">
              <w:rPr>
                <w:i/>
                <w:sz w:val="20"/>
                <w:lang w:val="fr-CA"/>
              </w:rPr>
              <w:t xml:space="preserve">Charte des droits et libertés de la personne </w:t>
            </w:r>
            <w:r w:rsidRPr="00893B19">
              <w:rPr>
                <w:sz w:val="20"/>
                <w:lang w:val="fr-CA"/>
              </w:rPr>
              <w:t xml:space="preserve">(Québec), articles 10, 10.1, 16, 23 — </w:t>
            </w:r>
            <w:r w:rsidRPr="00893B19">
              <w:rPr>
                <w:i/>
                <w:sz w:val="20"/>
                <w:lang w:val="fr-CA"/>
              </w:rPr>
              <w:t>Code civil du Québec</w:t>
            </w:r>
            <w:r w:rsidRPr="00893B19">
              <w:rPr>
                <w:sz w:val="20"/>
                <w:lang w:val="fr-CA"/>
              </w:rPr>
              <w:t>, article 2857.</w:t>
            </w:r>
          </w:p>
        </w:tc>
      </w:tr>
      <w:tr w:rsidR="009B6684" w:rsidRPr="00867539" w:rsidTr="009B6684">
        <w:tc>
          <w:tcPr>
            <w:tcW w:w="5000" w:type="pct"/>
            <w:gridSpan w:val="3"/>
          </w:tcPr>
          <w:p w:rsidR="009B6684" w:rsidRPr="00893B19" w:rsidRDefault="009B6684" w:rsidP="009B6684">
            <w:pPr>
              <w:jc w:val="both"/>
              <w:rPr>
                <w:sz w:val="20"/>
                <w:lang w:val="fr-CA"/>
              </w:rPr>
            </w:pPr>
          </w:p>
        </w:tc>
      </w:tr>
      <w:tr w:rsidR="009B6684" w:rsidRPr="00867539" w:rsidTr="009B6684">
        <w:tc>
          <w:tcPr>
            <w:tcW w:w="5000" w:type="pct"/>
            <w:gridSpan w:val="3"/>
          </w:tcPr>
          <w:p w:rsidR="009B6684" w:rsidRPr="00893B19" w:rsidRDefault="009B6684" w:rsidP="009B6684">
            <w:pPr>
              <w:jc w:val="both"/>
              <w:rPr>
                <w:sz w:val="20"/>
                <w:lang w:val="fr-CA"/>
              </w:rPr>
            </w:pPr>
            <w:r w:rsidRPr="00893B19">
              <w:rPr>
                <w:sz w:val="20"/>
                <w:lang w:val="fr-CA"/>
              </w:rPr>
              <w:t>Le demandeur, M. Christopher Roblin, a déposé quatre plaintes contre son ancien employeur, la Commission scolaire Sir</w:t>
            </w:r>
            <w:r w:rsidRPr="00893B19">
              <w:rPr>
                <w:sz w:val="20"/>
                <w:lang w:val="fr-CA"/>
              </w:rPr>
              <w:noBreakHyphen/>
              <w:t>Wilfrid</w:t>
            </w:r>
            <w:r w:rsidRPr="00893B19">
              <w:rPr>
                <w:sz w:val="20"/>
                <w:lang w:val="fr-CA"/>
              </w:rPr>
              <w:noBreakHyphen/>
              <w:t>Laurier, intimée, pour harcèlement et congédiement injustifié. Le Tribunal administratif du travail du Québec (« TAT ») a rendu trois décisions — 1) une décision refusant à M. Roblin la permission de déposer des témoignages d’experts au soutien de ses plaintes, 2) une décision rejetant ses plaintes au fond et 3) une décision rejetant une demande en révision des deux premières décisions. Monsieur Roblin s’est ensuite pourvu en contrôle judiciaire des trois décisions du TAT. La Cour supérieure du Québec a rejeté le pourvoi en contrôle judiciaire, concluant que la première décision du TAT ne violait aucune règle ni aucun principe d’équité ou de justice naturelle, et que les deuxième et troisième décisions du TAT n’étaient pas déraisonnables. Un juge de la Cour d’appel du Québec, siégeant seul, a refusé à  M. Roblin la permission d’en appeler de la décision de la Cour supérieure.</w:t>
            </w: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19 septembre 2014</w:t>
            </w:r>
          </w:p>
          <w:p w:rsidR="009B6684" w:rsidRPr="00893B19" w:rsidRDefault="009B6684" w:rsidP="009B6684">
            <w:pPr>
              <w:jc w:val="both"/>
              <w:rPr>
                <w:sz w:val="20"/>
                <w:lang w:val="fr-CA"/>
              </w:rPr>
            </w:pPr>
            <w:r w:rsidRPr="00893B19">
              <w:rPr>
                <w:sz w:val="20"/>
                <w:lang w:val="fr-CA"/>
              </w:rPr>
              <w:t>Tribunal administratif du travail</w:t>
            </w:r>
          </w:p>
          <w:p w:rsidR="009B6684" w:rsidRPr="00893B19" w:rsidRDefault="009B6684" w:rsidP="009B6684">
            <w:pPr>
              <w:jc w:val="both"/>
              <w:rPr>
                <w:sz w:val="20"/>
                <w:lang w:val="fr-CA"/>
              </w:rPr>
            </w:pPr>
            <w:r w:rsidRPr="00893B19">
              <w:rPr>
                <w:sz w:val="20"/>
                <w:lang w:val="fr-CA"/>
              </w:rPr>
              <w:t>(Juge administratif Flageole)</w:t>
            </w:r>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Rejet de la demande de permission d’admettre des témoignages d’experts présentée par M. Roblin</w:t>
            </w: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25 août 2017</w:t>
            </w:r>
          </w:p>
          <w:p w:rsidR="009B6684" w:rsidRPr="00893B19" w:rsidRDefault="009B6684" w:rsidP="009B6684">
            <w:pPr>
              <w:jc w:val="both"/>
              <w:rPr>
                <w:sz w:val="20"/>
                <w:lang w:val="fr-CA"/>
              </w:rPr>
            </w:pPr>
            <w:r w:rsidRPr="00893B19">
              <w:rPr>
                <w:sz w:val="20"/>
                <w:lang w:val="fr-CA"/>
              </w:rPr>
              <w:t>Tribunal administratif du travail</w:t>
            </w:r>
          </w:p>
          <w:p w:rsidR="009B6684" w:rsidRPr="00893B19" w:rsidRDefault="009B6684" w:rsidP="009B6684">
            <w:pPr>
              <w:jc w:val="both"/>
              <w:rPr>
                <w:sz w:val="20"/>
                <w:lang w:val="fr-CA"/>
              </w:rPr>
            </w:pPr>
            <w:r w:rsidRPr="00893B19">
              <w:rPr>
                <w:sz w:val="20"/>
                <w:lang w:val="fr-CA"/>
              </w:rPr>
              <w:t>(Juge administratif Flageole)</w:t>
            </w:r>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Rejet des plaintes de harcèlement et de congédiement injustifié déposées par M. Roblin</w:t>
            </w: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26 avril 2018</w:t>
            </w:r>
          </w:p>
          <w:p w:rsidR="009B6684" w:rsidRPr="00893B19" w:rsidRDefault="009B6684" w:rsidP="009B6684">
            <w:pPr>
              <w:jc w:val="both"/>
              <w:rPr>
                <w:sz w:val="20"/>
                <w:lang w:val="fr-CA"/>
              </w:rPr>
            </w:pPr>
            <w:r w:rsidRPr="00893B19">
              <w:rPr>
                <w:sz w:val="20"/>
                <w:lang w:val="fr-CA"/>
              </w:rPr>
              <w:t>Tribunal administratif du travail</w:t>
            </w:r>
          </w:p>
          <w:p w:rsidR="009B6684" w:rsidRPr="00893B19" w:rsidRDefault="009B6684" w:rsidP="009B6684">
            <w:pPr>
              <w:jc w:val="both"/>
              <w:rPr>
                <w:sz w:val="20"/>
                <w:lang w:val="fr-CA"/>
              </w:rPr>
            </w:pPr>
            <w:r w:rsidRPr="00893B19">
              <w:rPr>
                <w:sz w:val="20"/>
                <w:lang w:val="fr-CA"/>
              </w:rPr>
              <w:t>(Juge administrative Plante)</w:t>
            </w:r>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 xml:space="preserve">Rejet de la demande de révision des deux premières décisions présentée par M. Roblin </w:t>
            </w: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2 octobre 2019</w:t>
            </w:r>
          </w:p>
          <w:p w:rsidR="009B6684" w:rsidRPr="00893B19" w:rsidRDefault="009B6684" w:rsidP="009B6684">
            <w:pPr>
              <w:jc w:val="both"/>
              <w:rPr>
                <w:sz w:val="20"/>
                <w:lang w:val="fr-CA"/>
              </w:rPr>
            </w:pPr>
            <w:r w:rsidRPr="00893B19">
              <w:rPr>
                <w:sz w:val="20"/>
                <w:lang w:val="fr-CA"/>
              </w:rPr>
              <w:t>Cour supérieure du Québec</w:t>
            </w:r>
          </w:p>
          <w:p w:rsidR="009B6684" w:rsidRPr="00893B19" w:rsidRDefault="009B6684" w:rsidP="009B6684">
            <w:pPr>
              <w:jc w:val="both"/>
              <w:rPr>
                <w:sz w:val="20"/>
                <w:lang w:val="fr-CA"/>
              </w:rPr>
            </w:pPr>
            <w:r w:rsidRPr="00893B19">
              <w:rPr>
                <w:sz w:val="20"/>
                <w:lang w:val="fr-CA"/>
              </w:rPr>
              <w:t>(Juge Sheehan)</w:t>
            </w:r>
          </w:p>
          <w:p w:rsidR="009B6684" w:rsidRPr="00893B19" w:rsidRDefault="00867539" w:rsidP="009B6684">
            <w:pPr>
              <w:jc w:val="both"/>
              <w:rPr>
                <w:sz w:val="20"/>
                <w:lang w:val="fr-CA"/>
              </w:rPr>
            </w:pPr>
            <w:hyperlink r:id="rId29" w:history="1">
              <w:r w:rsidR="009B6684" w:rsidRPr="00893B19">
                <w:rPr>
                  <w:rStyle w:val="Hyperlink"/>
                  <w:sz w:val="20"/>
                  <w:lang w:val="fr-CA"/>
                </w:rPr>
                <w:t>2019 QCCS 4082</w:t>
              </w:r>
            </w:hyperlink>
            <w:r w:rsidR="009B6684" w:rsidRPr="00893B19">
              <w:rPr>
                <w:sz w:val="20"/>
                <w:lang w:val="fr-CA"/>
              </w:rPr>
              <w:t xml:space="preserve"> </w:t>
            </w:r>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 xml:space="preserve">Rejet du pourvoi en contrôle judiciaire présenté par M. Roblin </w:t>
            </w: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28 novembre 2019</w:t>
            </w:r>
          </w:p>
          <w:p w:rsidR="009B6684" w:rsidRPr="00893B19" w:rsidRDefault="009B6684" w:rsidP="009B6684">
            <w:pPr>
              <w:jc w:val="both"/>
              <w:rPr>
                <w:sz w:val="20"/>
                <w:lang w:val="fr-CA"/>
              </w:rPr>
            </w:pPr>
            <w:r w:rsidRPr="00893B19">
              <w:rPr>
                <w:sz w:val="20"/>
                <w:lang w:val="fr-CA"/>
              </w:rPr>
              <w:t>Cour d’appel du Québec (Montréal)</w:t>
            </w:r>
          </w:p>
          <w:p w:rsidR="009B6684" w:rsidRPr="00893B19" w:rsidRDefault="009B6684" w:rsidP="009B6684">
            <w:pPr>
              <w:jc w:val="both"/>
              <w:rPr>
                <w:sz w:val="20"/>
                <w:lang w:val="fr-CA"/>
              </w:rPr>
            </w:pPr>
            <w:r w:rsidRPr="00893B19">
              <w:rPr>
                <w:sz w:val="20"/>
                <w:lang w:val="fr-CA"/>
              </w:rPr>
              <w:t>(Juge Moore)</w:t>
            </w:r>
          </w:p>
          <w:p w:rsidR="009B6684" w:rsidRPr="00893B19" w:rsidRDefault="00867539" w:rsidP="009B6684">
            <w:pPr>
              <w:jc w:val="both"/>
              <w:rPr>
                <w:sz w:val="20"/>
                <w:lang w:val="fr-CA"/>
              </w:rPr>
            </w:pPr>
            <w:hyperlink r:id="rId30" w:history="1">
              <w:r w:rsidR="009B6684" w:rsidRPr="00893B19">
                <w:rPr>
                  <w:rStyle w:val="Hyperlink"/>
                  <w:sz w:val="20"/>
                  <w:lang w:val="fr-CA"/>
                </w:rPr>
                <w:t>2019 QCCA 2073</w:t>
              </w:r>
            </w:hyperlink>
            <w:r w:rsidR="009B6684" w:rsidRPr="00893B19">
              <w:rPr>
                <w:sz w:val="20"/>
                <w:lang w:val="fr-CA"/>
              </w:rPr>
              <w:t xml:space="preserve"> </w:t>
            </w:r>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Rejet de la demande de permission d’appeler présentée par M. Roblin</w:t>
            </w:r>
          </w:p>
          <w:p w:rsidR="009B6684" w:rsidRPr="00893B19" w:rsidRDefault="009B6684" w:rsidP="009B6684">
            <w:pPr>
              <w:jc w:val="both"/>
              <w:rPr>
                <w:sz w:val="20"/>
                <w:lang w:val="fr-CA"/>
              </w:rPr>
            </w:pPr>
          </w:p>
        </w:tc>
      </w:tr>
      <w:tr w:rsidR="009B6684" w:rsidRPr="00867539" w:rsidTr="009B6684">
        <w:tc>
          <w:tcPr>
            <w:tcW w:w="2427" w:type="pct"/>
          </w:tcPr>
          <w:p w:rsidR="009B6684" w:rsidRPr="00893B19" w:rsidRDefault="009B6684" w:rsidP="009B6684">
            <w:pPr>
              <w:jc w:val="both"/>
              <w:rPr>
                <w:sz w:val="20"/>
                <w:lang w:val="fr-CA"/>
              </w:rPr>
            </w:pPr>
            <w:r w:rsidRPr="00893B19">
              <w:rPr>
                <w:sz w:val="20"/>
                <w:lang w:val="fr-CA"/>
              </w:rPr>
              <w:t>27 janvier 2020</w:t>
            </w:r>
          </w:p>
          <w:p w:rsidR="009B6684" w:rsidRPr="00893B19" w:rsidRDefault="009B6684" w:rsidP="009B6684">
            <w:pPr>
              <w:jc w:val="both"/>
              <w:rPr>
                <w:sz w:val="20"/>
                <w:lang w:val="fr-CA"/>
              </w:rPr>
            </w:pPr>
            <w:r w:rsidRPr="00893B19">
              <w:rPr>
                <w:sz w:val="20"/>
                <w:lang w:val="fr-CA"/>
              </w:rPr>
              <w:t>Cour suprême du Canada</w:t>
            </w: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Dépôt, par M. Roblin, de la demande d’autorisation d’appel</w:t>
            </w:r>
          </w:p>
        </w:tc>
      </w:tr>
    </w:tbl>
    <w:p w:rsidR="009B6684" w:rsidRPr="00893B19" w:rsidRDefault="009B6684" w:rsidP="009B6684">
      <w:pPr>
        <w:jc w:val="both"/>
        <w:rPr>
          <w:sz w:val="20"/>
          <w:lang w:val="fr-CA"/>
        </w:rPr>
      </w:pPr>
    </w:p>
    <w:p w:rsidR="009B6684" w:rsidRPr="00893B19" w:rsidRDefault="00867539" w:rsidP="009B6684">
      <w:pPr>
        <w:jc w:val="both"/>
        <w:rPr>
          <w:sz w:val="20"/>
          <w:lang w:val="fr-CA"/>
        </w:rPr>
      </w:pPr>
      <w:r>
        <w:rPr>
          <w:sz w:val="20"/>
        </w:rPr>
        <w:pict>
          <v:rect id="_x0000_i1051" style="width:2in;height:1pt" o:hrpct="0" o:hralign="center" o:hrstd="t" o:hrnoshade="t" o:hr="t" fillcolor="black [3213]" stroked="f"/>
        </w:pict>
      </w:r>
    </w:p>
    <w:p w:rsidR="009B6684" w:rsidRPr="00893B19" w:rsidRDefault="009B6684" w:rsidP="009B6684">
      <w:pPr>
        <w:widowControl w:val="0"/>
        <w:jc w:val="both"/>
        <w:rPr>
          <w:sz w:val="20"/>
          <w:lang w:val="fr-CA"/>
        </w:rPr>
      </w:pPr>
    </w:p>
    <w:p w:rsidR="000F34A6" w:rsidRPr="00893B19" w:rsidRDefault="000F34A6">
      <w:r w:rsidRPr="00893B1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684" w:rsidRPr="00893B19" w:rsidTr="009B6684">
        <w:tc>
          <w:tcPr>
            <w:tcW w:w="543" w:type="pct"/>
          </w:tcPr>
          <w:p w:rsidR="009B6684" w:rsidRPr="00893B19" w:rsidRDefault="009B6684" w:rsidP="009B6684">
            <w:pPr>
              <w:jc w:val="both"/>
              <w:rPr>
                <w:sz w:val="20"/>
              </w:rPr>
            </w:pPr>
            <w:r w:rsidRPr="00893B19">
              <w:rPr>
                <w:rStyle w:val="SCCFileNumberChar"/>
                <w:sz w:val="20"/>
                <w:szCs w:val="20"/>
              </w:rPr>
              <w:t>39078</w:t>
            </w:r>
          </w:p>
        </w:tc>
        <w:tc>
          <w:tcPr>
            <w:tcW w:w="4457" w:type="pct"/>
            <w:gridSpan w:val="3"/>
          </w:tcPr>
          <w:p w:rsidR="009B6684" w:rsidRPr="00893B19" w:rsidRDefault="009B6684" w:rsidP="009B6684">
            <w:pPr>
              <w:pStyle w:val="SCCLsocParty"/>
              <w:jc w:val="both"/>
              <w:rPr>
                <w:b/>
                <w:sz w:val="20"/>
                <w:szCs w:val="20"/>
                <w:lang w:val="en-US"/>
              </w:rPr>
            </w:pPr>
            <w:r w:rsidRPr="00893B19">
              <w:rPr>
                <w:b/>
                <w:sz w:val="20"/>
                <w:szCs w:val="20"/>
                <w:lang w:val="en-US"/>
              </w:rPr>
              <w:t>Douglas Cowell v. Her Majesty the Queen</w:t>
            </w:r>
          </w:p>
          <w:p w:rsidR="009B6684" w:rsidRPr="00893B19" w:rsidRDefault="009B6684" w:rsidP="009B6684">
            <w:pPr>
              <w:jc w:val="both"/>
              <w:rPr>
                <w:sz w:val="20"/>
              </w:rPr>
            </w:pPr>
            <w:r w:rsidRPr="00893B19">
              <w:rPr>
                <w:sz w:val="20"/>
              </w:rPr>
              <w:t>(Ont.) (Criminal) (By Leave)</w:t>
            </w:r>
          </w:p>
        </w:tc>
      </w:tr>
      <w:tr w:rsidR="009B6684" w:rsidRPr="00893B19" w:rsidTr="009B6684">
        <w:tc>
          <w:tcPr>
            <w:tcW w:w="5000" w:type="pct"/>
            <w:gridSpan w:val="4"/>
          </w:tcPr>
          <w:p w:rsidR="001300F2" w:rsidRPr="00893B19" w:rsidRDefault="001300F2" w:rsidP="001300F2">
            <w:pPr>
              <w:jc w:val="both"/>
              <w:rPr>
                <w:sz w:val="20"/>
                <w:szCs w:val="20"/>
              </w:rPr>
            </w:pPr>
            <w:r w:rsidRPr="00893B19">
              <w:rPr>
                <w:sz w:val="20"/>
                <w:szCs w:val="20"/>
              </w:rPr>
              <w:t>The application for leave to appeal from the judgment of the Court of Appeal for Ontario, Number C63899, 2019 ONCA 972, dated December 11, 2019, is dismissed.</w:t>
            </w:r>
          </w:p>
          <w:p w:rsidR="009B6684" w:rsidRPr="00893B19" w:rsidRDefault="009B6684" w:rsidP="009B6684">
            <w:pPr>
              <w:jc w:val="both"/>
              <w:rPr>
                <w:sz w:val="20"/>
              </w:rPr>
            </w:pPr>
          </w:p>
        </w:tc>
      </w:tr>
      <w:tr w:rsidR="009B6684" w:rsidRPr="00893B19" w:rsidTr="009B6684">
        <w:tc>
          <w:tcPr>
            <w:tcW w:w="5000" w:type="pct"/>
            <w:gridSpan w:val="4"/>
          </w:tcPr>
          <w:p w:rsidR="009B6684" w:rsidRPr="00893B19" w:rsidRDefault="009B6684" w:rsidP="009B6684">
            <w:pPr>
              <w:jc w:val="both"/>
              <w:rPr>
                <w:sz w:val="20"/>
              </w:rPr>
            </w:pPr>
            <w:r w:rsidRPr="00893B19">
              <w:rPr>
                <w:i/>
                <w:sz w:val="20"/>
              </w:rPr>
              <w:t>Charter of Rights</w:t>
            </w:r>
            <w:r w:rsidRPr="00893B19">
              <w:rPr>
                <w:sz w:val="20"/>
              </w:rPr>
              <w:t xml:space="preserve"> — Constitutional law — Cruel and unusual treatment or punishment — Police sting operation — Applicant charged with child luring after communicating online with police officer posing as a 16</w:t>
            </w:r>
            <w:r w:rsidRPr="00893B19">
              <w:rPr>
                <w:sz w:val="20"/>
              </w:rPr>
              <w:noBreakHyphen/>
              <w:t>year</w:t>
            </w:r>
            <w:r w:rsidRPr="00893B19">
              <w:rPr>
                <w:sz w:val="20"/>
              </w:rPr>
              <w:noBreakHyphen/>
              <w:t xml:space="preserve">old girl — Applicant also charged with communicating with a person he believed to be under the age of eighteen years for the purpose of obtaining sexual services for consideration — Applicant contesting </w:t>
            </w:r>
            <w:r w:rsidRPr="00893B19">
              <w:rPr>
                <w:sz w:val="20"/>
                <w:lang w:val="en"/>
              </w:rPr>
              <w:t>constitutionality of mandatory minimum sentences</w:t>
            </w:r>
            <w:r w:rsidRPr="00893B19">
              <w:rPr>
                <w:sz w:val="20"/>
              </w:rPr>
              <w:t xml:space="preserve"> — Whether the mandatory minimum sentences infringe the applicant’s s. 12 </w:t>
            </w:r>
            <w:r w:rsidRPr="00893B19">
              <w:rPr>
                <w:i/>
                <w:sz w:val="20"/>
              </w:rPr>
              <w:t>Charter</w:t>
            </w:r>
            <w:r w:rsidRPr="00893B19">
              <w:rPr>
                <w:sz w:val="20"/>
              </w:rPr>
              <w:t xml:space="preserve"> rights — If so, whether infringement justified — </w:t>
            </w:r>
            <w:r w:rsidRPr="00893B19">
              <w:rPr>
                <w:i/>
                <w:sz w:val="20"/>
              </w:rPr>
              <w:t>Canadian Charter of Rights and Freedoms</w:t>
            </w:r>
            <w:r w:rsidRPr="00893B19">
              <w:rPr>
                <w:sz w:val="20"/>
              </w:rPr>
              <w:t xml:space="preserve">, ss. 1, 12 — </w:t>
            </w:r>
            <w:r w:rsidRPr="00893B19">
              <w:rPr>
                <w:i/>
                <w:sz w:val="20"/>
              </w:rPr>
              <w:t>Criminal Code</w:t>
            </w:r>
            <w:r w:rsidRPr="00893B19">
              <w:rPr>
                <w:sz w:val="20"/>
              </w:rPr>
              <w:t>, R.S.C. 1985, c. C</w:t>
            </w:r>
            <w:r w:rsidRPr="00893B19">
              <w:rPr>
                <w:sz w:val="20"/>
              </w:rPr>
              <w:noBreakHyphen/>
              <w:t>46, ss. 172.1(2)(a), 212(4).</w:t>
            </w:r>
          </w:p>
          <w:p w:rsidR="009B6684" w:rsidRPr="00893B19" w:rsidRDefault="009B6684" w:rsidP="009B6684">
            <w:pPr>
              <w:jc w:val="both"/>
              <w:rPr>
                <w:sz w:val="20"/>
              </w:rPr>
            </w:pPr>
          </w:p>
        </w:tc>
      </w:tr>
      <w:tr w:rsidR="009B6684" w:rsidRPr="00893B19" w:rsidTr="009B6684">
        <w:tc>
          <w:tcPr>
            <w:tcW w:w="5000" w:type="pct"/>
            <w:gridSpan w:val="4"/>
          </w:tcPr>
          <w:p w:rsidR="009B6684" w:rsidRPr="00893B19" w:rsidRDefault="009B6684" w:rsidP="009B6684">
            <w:pPr>
              <w:jc w:val="both"/>
              <w:rPr>
                <w:sz w:val="20"/>
                <w:lang w:val="en"/>
              </w:rPr>
            </w:pPr>
            <w:r w:rsidRPr="00893B19">
              <w:rPr>
                <w:sz w:val="20"/>
                <w:lang w:val="en"/>
              </w:rPr>
              <w:t>The applicant responded to an advertisement on a website used to buy and sell sex. Over the next two days, the applicant and “Kathy” exchanged messages. The applicant’s messages were sexually explicit. “Kathy” presented as an inexperienced 16</w:t>
            </w:r>
            <w:r w:rsidRPr="00893B19">
              <w:rPr>
                <w:sz w:val="20"/>
                <w:lang w:val="en"/>
              </w:rPr>
              <w:noBreakHyphen/>
              <w:t>year</w:t>
            </w:r>
            <w:r w:rsidRPr="00893B19">
              <w:rPr>
                <w:sz w:val="20"/>
                <w:lang w:val="en"/>
              </w:rPr>
              <w:noBreakHyphen/>
              <w:t xml:space="preserve">old sex trade worker. The applicant arranged to meet “Kathy” at a hotel in Markham. The applicant was arrested upon his arrival at the hotel. </w:t>
            </w:r>
            <w:r w:rsidRPr="00893B19">
              <w:rPr>
                <w:sz w:val="20"/>
              </w:rPr>
              <w:t xml:space="preserve">The applicant </w:t>
            </w:r>
            <w:r w:rsidRPr="00893B19">
              <w:rPr>
                <w:sz w:val="20"/>
                <w:lang w:val="en"/>
              </w:rPr>
              <w:t xml:space="preserve">was convicted of child luring, and communicating with a person he believed to be under the age of eighteen years for the purpose of obtaining sexual services for consideration. The sentencing judge dismissed the applicant’s constitutional challenge to the mandatory minimum sentences. </w:t>
            </w:r>
            <w:r w:rsidRPr="00893B19">
              <w:rPr>
                <w:sz w:val="20"/>
              </w:rPr>
              <w:t>The applicant was sentenced to the mandatory minimum sentences of 12 months’ imprisonment and 6 months to be served concurrently, and two years’ probation.</w:t>
            </w:r>
            <w:r w:rsidRPr="00893B19">
              <w:rPr>
                <w:sz w:val="20"/>
                <w:lang w:val="en"/>
              </w:rPr>
              <w:t xml:space="preserve"> The Court of Appeal was unanimous in its dismissal of the applicant’s appeal against conviction; however, it was divided as to the appeal against sentence. The majority of the Court of Appeal dismissed the sentence appeal, and upheld the constitutionality of the one-year mandatory minimum sentence for child luring, when prosecuted by indictment, under s. 172.1(2)(a) of the </w:t>
            </w:r>
            <w:r w:rsidRPr="00893B19">
              <w:rPr>
                <w:i/>
                <w:sz w:val="20"/>
                <w:lang w:val="en"/>
              </w:rPr>
              <w:t>Criminal Code</w:t>
            </w:r>
            <w:r w:rsidRPr="00893B19">
              <w:rPr>
                <w:sz w:val="20"/>
                <w:lang w:val="en"/>
              </w:rPr>
              <w:t xml:space="preserve">. The majority of the Court of Appeal declined to decide the constitutionality of the mandatory minimum punishment under s. 212(4) of the </w:t>
            </w:r>
            <w:r w:rsidRPr="00893B19">
              <w:rPr>
                <w:i/>
                <w:sz w:val="20"/>
                <w:lang w:val="en"/>
              </w:rPr>
              <w:t>Code</w:t>
            </w:r>
            <w:r w:rsidRPr="00893B19">
              <w:rPr>
                <w:sz w:val="20"/>
                <w:lang w:val="en"/>
              </w:rPr>
              <w:t xml:space="preserve">. In dissenting reasons, Trotter J.A. would have allowed the appeal against sentence in part, and would have struck down s. 172.1(2)(a) of the </w:t>
            </w:r>
            <w:r w:rsidRPr="00893B19">
              <w:rPr>
                <w:i/>
                <w:sz w:val="20"/>
                <w:lang w:val="en"/>
              </w:rPr>
              <w:t>Criminal Code</w:t>
            </w:r>
            <w:r w:rsidRPr="00893B19">
              <w:rPr>
                <w:sz w:val="20"/>
                <w:lang w:val="en"/>
              </w:rPr>
              <w:t>.</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August 12, 2016</w:t>
            </w:r>
          </w:p>
          <w:p w:rsidR="009B6684" w:rsidRPr="00893B19" w:rsidRDefault="009B6684" w:rsidP="009B6684">
            <w:pPr>
              <w:jc w:val="both"/>
              <w:rPr>
                <w:sz w:val="20"/>
              </w:rPr>
            </w:pPr>
            <w:r w:rsidRPr="00893B19">
              <w:rPr>
                <w:sz w:val="20"/>
              </w:rPr>
              <w:t>Ontario Court of Justice</w:t>
            </w:r>
          </w:p>
          <w:p w:rsidR="009B6684" w:rsidRPr="00893B19" w:rsidRDefault="009B6684" w:rsidP="009B6684">
            <w:pPr>
              <w:jc w:val="both"/>
              <w:rPr>
                <w:sz w:val="20"/>
              </w:rPr>
            </w:pPr>
            <w:r w:rsidRPr="00893B19">
              <w:rPr>
                <w:sz w:val="20"/>
              </w:rPr>
              <w:t>(Minard J.)</w:t>
            </w:r>
          </w:p>
          <w:p w:rsidR="009B6684" w:rsidRPr="00893B19" w:rsidRDefault="009B6684" w:rsidP="009B6684">
            <w:pPr>
              <w:jc w:val="both"/>
              <w:rPr>
                <w:sz w:val="20"/>
              </w:rPr>
            </w:pPr>
            <w:r w:rsidRPr="00893B19">
              <w:rPr>
                <w:sz w:val="20"/>
              </w:rPr>
              <w:t>(unreported)</w:t>
            </w:r>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Convictions entered: child luring, communicating with a person he believed to be under the age of eighteen years for the purpose of obtaining sexual services for consideration</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May 15, 2017</w:t>
            </w:r>
          </w:p>
          <w:p w:rsidR="009B6684" w:rsidRPr="00893B19" w:rsidRDefault="009B6684" w:rsidP="009B6684">
            <w:pPr>
              <w:jc w:val="both"/>
              <w:rPr>
                <w:sz w:val="20"/>
              </w:rPr>
            </w:pPr>
            <w:r w:rsidRPr="00893B19">
              <w:rPr>
                <w:sz w:val="20"/>
              </w:rPr>
              <w:t>Ontario Court of Justice</w:t>
            </w:r>
          </w:p>
          <w:p w:rsidR="009B6684" w:rsidRPr="00893B19" w:rsidRDefault="009B6684" w:rsidP="009B6684">
            <w:pPr>
              <w:jc w:val="both"/>
              <w:rPr>
                <w:sz w:val="20"/>
              </w:rPr>
            </w:pPr>
            <w:r w:rsidRPr="00893B19">
              <w:rPr>
                <w:sz w:val="20"/>
              </w:rPr>
              <w:t>(Minard J.)</w:t>
            </w:r>
          </w:p>
          <w:p w:rsidR="009B6684" w:rsidRPr="00893B19" w:rsidRDefault="009B6684" w:rsidP="009B6684">
            <w:pPr>
              <w:jc w:val="both"/>
              <w:rPr>
                <w:sz w:val="20"/>
              </w:rPr>
            </w:pPr>
            <w:r w:rsidRPr="00893B19">
              <w:rPr>
                <w:sz w:val="20"/>
              </w:rPr>
              <w:t>(unreported)</w:t>
            </w:r>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Sentence imposed: 12 months’ imprisonment and 6 months to be served concurrently, two years’ probation</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December 11, 2019</w:t>
            </w:r>
          </w:p>
          <w:p w:rsidR="009B6684" w:rsidRPr="00893B19" w:rsidRDefault="009B6684" w:rsidP="009B6684">
            <w:pPr>
              <w:jc w:val="both"/>
              <w:rPr>
                <w:sz w:val="20"/>
              </w:rPr>
            </w:pPr>
            <w:r w:rsidRPr="00893B19">
              <w:rPr>
                <w:sz w:val="20"/>
              </w:rPr>
              <w:t>Court of Appeal for Ontario</w:t>
            </w:r>
          </w:p>
          <w:p w:rsidR="009B6684" w:rsidRPr="00893B19" w:rsidRDefault="009B6684" w:rsidP="009B6684">
            <w:pPr>
              <w:jc w:val="both"/>
              <w:rPr>
                <w:sz w:val="20"/>
              </w:rPr>
            </w:pPr>
            <w:r w:rsidRPr="00893B19">
              <w:rPr>
                <w:sz w:val="20"/>
              </w:rPr>
              <w:t>(Benotto and Miller JJ.A., and Trotter J.A.</w:t>
            </w:r>
          </w:p>
          <w:p w:rsidR="009B6684" w:rsidRPr="00893B19" w:rsidRDefault="009B6684" w:rsidP="009B6684">
            <w:pPr>
              <w:jc w:val="both"/>
              <w:rPr>
                <w:sz w:val="20"/>
              </w:rPr>
            </w:pPr>
            <w:r w:rsidRPr="00893B19">
              <w:rPr>
                <w:sz w:val="20"/>
              </w:rPr>
              <w:t>(dissenting))</w:t>
            </w:r>
          </w:p>
          <w:p w:rsidR="009B6684" w:rsidRPr="00893B19" w:rsidRDefault="00867539" w:rsidP="009B6684">
            <w:pPr>
              <w:jc w:val="both"/>
              <w:rPr>
                <w:sz w:val="20"/>
              </w:rPr>
            </w:pPr>
            <w:hyperlink r:id="rId31" w:history="1">
              <w:r w:rsidR="009B6684" w:rsidRPr="00893B19">
                <w:rPr>
                  <w:rStyle w:val="Hyperlink"/>
                  <w:sz w:val="20"/>
                </w:rPr>
                <w:t>2019 ONCA 972</w:t>
              </w:r>
            </w:hyperlink>
          </w:p>
          <w:p w:rsidR="009B6684" w:rsidRPr="00893B19" w:rsidRDefault="009B6684" w:rsidP="009B6684">
            <w:pPr>
              <w:jc w:val="both"/>
              <w:rPr>
                <w:sz w:val="20"/>
              </w:rPr>
            </w:pPr>
            <w:r w:rsidRPr="00893B19">
              <w:rPr>
                <w:sz w:val="20"/>
              </w:rPr>
              <w:t>C63899</w:t>
            </w:r>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Conviction and sentence appeals dismissed</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February 7, 2020</w:t>
            </w:r>
          </w:p>
          <w:p w:rsidR="009B6684" w:rsidRPr="00893B19" w:rsidRDefault="009B6684" w:rsidP="009B6684">
            <w:pPr>
              <w:jc w:val="both"/>
              <w:rPr>
                <w:sz w:val="20"/>
              </w:rPr>
            </w:pPr>
            <w:r w:rsidRPr="00893B19">
              <w:rPr>
                <w:sz w:val="20"/>
              </w:rPr>
              <w:t>Supreme Court of Canada</w:t>
            </w: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Application for leave to appeal filed</w:t>
            </w:r>
          </w:p>
          <w:p w:rsidR="009B6684" w:rsidRPr="00893B19" w:rsidRDefault="009B6684" w:rsidP="009B6684">
            <w:pPr>
              <w:jc w:val="both"/>
              <w:rPr>
                <w:sz w:val="20"/>
              </w:rPr>
            </w:pPr>
          </w:p>
        </w:tc>
      </w:tr>
    </w:tbl>
    <w:p w:rsidR="009B6684" w:rsidRPr="00893B19" w:rsidRDefault="009B6684" w:rsidP="009B6684">
      <w:pPr>
        <w:jc w:val="both"/>
        <w:rPr>
          <w:sz w:val="20"/>
        </w:rPr>
      </w:pPr>
    </w:p>
    <w:p w:rsidR="009B6684" w:rsidRPr="00893B19" w:rsidRDefault="00867539" w:rsidP="009B6684">
      <w:pPr>
        <w:jc w:val="both"/>
        <w:rPr>
          <w:sz w:val="20"/>
        </w:rPr>
      </w:pPr>
      <w:r>
        <w:rPr>
          <w:sz w:val="20"/>
        </w:rPr>
        <w:pict>
          <v:rect id="_x0000_i1052" style="width:2in;height:1pt" o:hrpct="0" o:hralign="center" o:hrstd="t" o:hrnoshade="t" o:hr="t" fillcolor="black [3213]" stroked="f"/>
        </w:pict>
      </w:r>
    </w:p>
    <w:p w:rsidR="009B6684" w:rsidRPr="00893B19" w:rsidRDefault="009B6684" w:rsidP="009B6684">
      <w:pPr>
        <w:jc w:val="both"/>
        <w:rPr>
          <w:sz w:val="20"/>
        </w:rPr>
      </w:pPr>
    </w:p>
    <w:p w:rsidR="000F34A6" w:rsidRPr="00893B19" w:rsidRDefault="000F34A6">
      <w:r w:rsidRPr="00893B1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684" w:rsidRPr="00893B19" w:rsidTr="009B6684">
        <w:tc>
          <w:tcPr>
            <w:tcW w:w="543" w:type="pct"/>
          </w:tcPr>
          <w:p w:rsidR="009B6684" w:rsidRPr="00893B19" w:rsidRDefault="009B6684" w:rsidP="009B6684">
            <w:pPr>
              <w:jc w:val="both"/>
              <w:rPr>
                <w:sz w:val="20"/>
                <w:lang w:val="fr-CA"/>
              </w:rPr>
            </w:pPr>
            <w:r w:rsidRPr="00893B19">
              <w:rPr>
                <w:rStyle w:val="SCCFileNumberChar"/>
                <w:sz w:val="20"/>
                <w:szCs w:val="20"/>
                <w:lang w:val="fr-CA"/>
              </w:rPr>
              <w:t>39078</w:t>
            </w:r>
          </w:p>
        </w:tc>
        <w:tc>
          <w:tcPr>
            <w:tcW w:w="4457" w:type="pct"/>
            <w:gridSpan w:val="3"/>
          </w:tcPr>
          <w:p w:rsidR="009B6684" w:rsidRPr="00893B19" w:rsidRDefault="009B6684" w:rsidP="009B6684">
            <w:pPr>
              <w:pStyle w:val="SCCLsocParty"/>
              <w:jc w:val="both"/>
              <w:rPr>
                <w:b/>
                <w:sz w:val="20"/>
                <w:szCs w:val="20"/>
              </w:rPr>
            </w:pPr>
            <w:r w:rsidRPr="00893B19">
              <w:rPr>
                <w:b/>
                <w:sz w:val="20"/>
                <w:szCs w:val="20"/>
              </w:rPr>
              <w:t>Douglas Cowell c. Sa Majesté la Reine</w:t>
            </w:r>
          </w:p>
          <w:p w:rsidR="009B6684" w:rsidRPr="00893B19" w:rsidRDefault="009B6684" w:rsidP="009B6684">
            <w:pPr>
              <w:jc w:val="both"/>
              <w:rPr>
                <w:sz w:val="20"/>
                <w:lang w:val="fr-CA"/>
              </w:rPr>
            </w:pPr>
            <w:r w:rsidRPr="00893B19">
              <w:rPr>
                <w:sz w:val="20"/>
                <w:lang w:val="fr-CA"/>
              </w:rPr>
              <w:t>(Ont.) (Criminelle) (Autorisation)</w:t>
            </w:r>
          </w:p>
        </w:tc>
      </w:tr>
      <w:tr w:rsidR="009B6684" w:rsidRPr="00867539" w:rsidTr="009B6684">
        <w:tc>
          <w:tcPr>
            <w:tcW w:w="5000" w:type="pct"/>
            <w:gridSpan w:val="4"/>
          </w:tcPr>
          <w:p w:rsidR="009B6684" w:rsidRPr="00893B19" w:rsidRDefault="001300F2" w:rsidP="009B6684">
            <w:pPr>
              <w:jc w:val="both"/>
              <w:rPr>
                <w:sz w:val="20"/>
                <w:szCs w:val="20"/>
                <w:lang w:val="fr-CA"/>
              </w:rPr>
            </w:pPr>
            <w:r w:rsidRPr="00893B19">
              <w:rPr>
                <w:sz w:val="20"/>
                <w:szCs w:val="20"/>
                <w:lang w:val="fr-CA"/>
              </w:rPr>
              <w:t>La demande d’autorisation d’appel de l’arrêt de la Cour d’appel de l’Ontario, numéro C63899, 2019 ONCA 972, daté du 11 décembre 2019, est rejetée.</w:t>
            </w:r>
          </w:p>
          <w:p w:rsidR="001300F2" w:rsidRPr="00893B19" w:rsidRDefault="001300F2" w:rsidP="009B6684">
            <w:pPr>
              <w:jc w:val="both"/>
              <w:rPr>
                <w:sz w:val="20"/>
                <w:lang w:val="fr-CA"/>
              </w:rPr>
            </w:pPr>
          </w:p>
        </w:tc>
      </w:tr>
      <w:tr w:rsidR="009B6684" w:rsidRPr="00893B19" w:rsidTr="009B6684">
        <w:tc>
          <w:tcPr>
            <w:tcW w:w="5000" w:type="pct"/>
            <w:gridSpan w:val="4"/>
          </w:tcPr>
          <w:p w:rsidR="009B6684" w:rsidRPr="00893B19" w:rsidRDefault="009B6684" w:rsidP="009B6684">
            <w:pPr>
              <w:jc w:val="both"/>
              <w:rPr>
                <w:sz w:val="20"/>
                <w:lang w:val="fr-CA"/>
              </w:rPr>
            </w:pPr>
            <w:r w:rsidRPr="00893B19">
              <w:rPr>
                <w:i/>
                <w:sz w:val="20"/>
                <w:lang w:val="fr-CA"/>
              </w:rPr>
              <w:t>Charte des droits</w:t>
            </w:r>
            <w:r w:rsidRPr="00893B19">
              <w:rPr>
                <w:sz w:val="20"/>
                <w:lang w:val="fr-CA"/>
              </w:rPr>
              <w:t xml:space="preserve"> — Droit constitutionnel — Traitements et peines cruels et inusités — Opération d’infiltration policière — Le demandeur a été accusé de leurre d’enfant après avoir communiqué en ligne avec un policier qui s’est fait passer pour une adolescente de 16 ans — Le demandeur a en outre été accusé d’avoir communiqué avec une personne qu’il croyait âgée de moins de dix</w:t>
            </w:r>
            <w:r w:rsidRPr="00893B19">
              <w:rPr>
                <w:sz w:val="20"/>
                <w:lang w:val="fr-CA"/>
              </w:rPr>
              <w:noBreakHyphen/>
              <w:t>huit ans dans le but d’obtenir des services sexuels moyennant rétribution — Le demandeur a contesté la constitutionnalité des peines minimales obligatoires — Les peines minimales obligatoires violent</w:t>
            </w:r>
            <w:r w:rsidRPr="00893B19">
              <w:rPr>
                <w:sz w:val="20"/>
                <w:lang w:val="fr-CA"/>
              </w:rPr>
              <w:noBreakHyphen/>
              <w:t xml:space="preserve">elles les droits que l’art. 12 de la </w:t>
            </w:r>
            <w:r w:rsidRPr="00893B19">
              <w:rPr>
                <w:i/>
                <w:sz w:val="20"/>
                <w:lang w:val="fr-CA"/>
              </w:rPr>
              <w:t>Charte</w:t>
            </w:r>
            <w:r w:rsidRPr="00893B19">
              <w:rPr>
                <w:sz w:val="20"/>
                <w:lang w:val="fr-CA"/>
              </w:rPr>
              <w:t xml:space="preserve"> garantit au demandeur? — Dans l’affirmative, cette violation est</w:t>
            </w:r>
            <w:r w:rsidRPr="00893B19">
              <w:rPr>
                <w:sz w:val="20"/>
                <w:lang w:val="fr-CA"/>
              </w:rPr>
              <w:noBreakHyphen/>
              <w:t xml:space="preserve">elle justifiée? — </w:t>
            </w:r>
            <w:r w:rsidRPr="00893B19">
              <w:rPr>
                <w:i/>
                <w:sz w:val="20"/>
                <w:lang w:val="fr-CA"/>
              </w:rPr>
              <w:t>Charte canadienne des droits et libertés</w:t>
            </w:r>
            <w:r w:rsidRPr="00893B19">
              <w:rPr>
                <w:sz w:val="20"/>
                <w:lang w:val="fr-CA"/>
              </w:rPr>
              <w:t xml:space="preserve">, art. 1, 12 — </w:t>
            </w:r>
            <w:r w:rsidRPr="00893B19">
              <w:rPr>
                <w:i/>
                <w:sz w:val="20"/>
                <w:lang w:val="fr-CA"/>
              </w:rPr>
              <w:t>Code criminel</w:t>
            </w:r>
            <w:r w:rsidRPr="00893B19">
              <w:rPr>
                <w:sz w:val="20"/>
                <w:lang w:val="fr-CA"/>
              </w:rPr>
              <w:t>, L.R.C. 1985, ch. C</w:t>
            </w:r>
            <w:r w:rsidRPr="00893B19">
              <w:rPr>
                <w:sz w:val="20"/>
                <w:lang w:val="fr-CA"/>
              </w:rPr>
              <w:noBreakHyphen/>
              <w:t>46, art. 172.1(2)a), 212(4).</w:t>
            </w:r>
          </w:p>
          <w:p w:rsidR="009B6684" w:rsidRPr="00893B19" w:rsidRDefault="009B6684" w:rsidP="009B6684">
            <w:pPr>
              <w:jc w:val="both"/>
              <w:rPr>
                <w:sz w:val="20"/>
                <w:lang w:val="fr-CA"/>
              </w:rPr>
            </w:pPr>
          </w:p>
        </w:tc>
      </w:tr>
      <w:tr w:rsidR="009B6684" w:rsidRPr="00867539" w:rsidTr="009B6684">
        <w:tc>
          <w:tcPr>
            <w:tcW w:w="5000" w:type="pct"/>
            <w:gridSpan w:val="4"/>
          </w:tcPr>
          <w:p w:rsidR="009B6684" w:rsidRPr="00893B19" w:rsidRDefault="009B6684" w:rsidP="009B6684">
            <w:pPr>
              <w:jc w:val="both"/>
              <w:rPr>
                <w:sz w:val="20"/>
                <w:lang w:val="fr-CA"/>
              </w:rPr>
            </w:pPr>
            <w:r w:rsidRPr="00893B19">
              <w:rPr>
                <w:sz w:val="20"/>
                <w:lang w:val="fr-CA"/>
              </w:rPr>
              <w:t xml:space="preserve">Le demandeur a répondu à une annonce sur un site Web utilisé pour acheter et vendre des services sexuels. Au cours des deux journées qui ont suivi, le demandeur et « Kathy » se sont échangés des messages. Les messages du demandeur étaient sexuellement explicites. « Kathy » se présentait comme une travailleuse du sexe sans expérience âgée de 16 ans. Le demandeur a donné à « Kathy » rendez-vous à un hôtel à Markham. Le demandeur a été arrêté à son arrivée à l’hôtel. Le demandeur a été déclaré coupable de leurre d’enfant et d’avoir communiqué avec une personne qu’il croyait âgée de moins de dix-huit ans dans le but d’obtenir des services sexuels moyennant rétribution. Le juge de la peine a rejeté la contestation constitutionnelle des peines minimales obligatoires. Le demandeur a été condamné aux peines minimales obligatoires de 12 mois d’emprisonnement et de 6 mois, à purger concurremment, et assujetti à deux ans de probation. À l’unanimité, la Cour d’appel a rejeté l’appel de la déclaration de culpabilité interjeté par le demandeur; toutefois, elle s’est divisée quant à l’appel de la peine. Les juges majoritaires de la Cour d’appel ont rejeté l’appel de la peine et ont confirmé la constitutionnalité de la peine minimale d’un an pour le leurre d’enfant, lorsque la poursuite se fait par voie mise en accusation en application de l’al. 172.1(2)a) du </w:t>
            </w:r>
            <w:r w:rsidRPr="00893B19">
              <w:rPr>
                <w:i/>
                <w:sz w:val="20"/>
                <w:lang w:val="fr-CA"/>
              </w:rPr>
              <w:t>Code criminel</w:t>
            </w:r>
            <w:r w:rsidRPr="00893B19">
              <w:rPr>
                <w:sz w:val="20"/>
                <w:lang w:val="fr-CA"/>
              </w:rPr>
              <w:t xml:space="preserve">. Les juges majoritaires ont refusé de statuer sur la constitutionnalité de la peine minimale obligatoire en application du par. 212(4) du </w:t>
            </w:r>
            <w:r w:rsidRPr="00893B19">
              <w:rPr>
                <w:i/>
                <w:sz w:val="20"/>
                <w:lang w:val="fr-CA"/>
              </w:rPr>
              <w:t>Code</w:t>
            </w:r>
            <w:r w:rsidRPr="00893B19">
              <w:rPr>
                <w:sz w:val="20"/>
                <w:lang w:val="fr-CA"/>
              </w:rPr>
              <w:t xml:space="preserve">. Dans ses motifs dissidents, le juge Trotter aurait accueilli en partie l’appel de la peine, et aurait invalidé l’al. 172.1(2)a) du </w:t>
            </w:r>
            <w:r w:rsidRPr="00893B19">
              <w:rPr>
                <w:i/>
                <w:sz w:val="20"/>
                <w:lang w:val="fr-CA"/>
              </w:rPr>
              <w:t>Code criminel</w:t>
            </w:r>
            <w:r w:rsidRPr="00893B19">
              <w:rPr>
                <w:sz w:val="20"/>
                <w:lang w:val="fr-CA"/>
              </w:rPr>
              <w:t>.</w:t>
            </w: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12 août 2016</w:t>
            </w:r>
          </w:p>
          <w:p w:rsidR="009B6684" w:rsidRPr="00893B19" w:rsidRDefault="009B6684" w:rsidP="009B6684">
            <w:pPr>
              <w:jc w:val="both"/>
              <w:rPr>
                <w:sz w:val="20"/>
                <w:lang w:val="fr-CA"/>
              </w:rPr>
            </w:pPr>
            <w:r w:rsidRPr="00893B19">
              <w:rPr>
                <w:sz w:val="20"/>
                <w:lang w:val="fr-CA"/>
              </w:rPr>
              <w:t>Cour de justice de l’Ontario</w:t>
            </w:r>
          </w:p>
          <w:p w:rsidR="009B6684" w:rsidRPr="00893B19" w:rsidRDefault="009B6684" w:rsidP="009B6684">
            <w:pPr>
              <w:jc w:val="both"/>
              <w:rPr>
                <w:sz w:val="20"/>
                <w:lang w:val="fr-CA"/>
              </w:rPr>
            </w:pPr>
            <w:r w:rsidRPr="00893B19">
              <w:rPr>
                <w:sz w:val="20"/>
                <w:lang w:val="fr-CA"/>
              </w:rPr>
              <w:t>(Juge Minard)</w:t>
            </w:r>
          </w:p>
          <w:p w:rsidR="009B6684" w:rsidRPr="00893B19" w:rsidRDefault="009B6684" w:rsidP="009B6684">
            <w:pPr>
              <w:jc w:val="both"/>
              <w:rPr>
                <w:sz w:val="20"/>
                <w:lang w:val="fr-CA"/>
              </w:rPr>
            </w:pPr>
            <w:r w:rsidRPr="00893B19">
              <w:rPr>
                <w:sz w:val="20"/>
                <w:lang w:val="fr-CA"/>
              </w:rPr>
              <w:t>(non publié)</w:t>
            </w:r>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Déclarations de culpabilité inscrites : leurre d’enfant et avoir communiqué avec une personne qu’il croyait âgée de moins de dix-huit ans dans le but d’obtenir des services sexuels moyennant rétribution</w:t>
            </w: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15 mai 2017</w:t>
            </w:r>
          </w:p>
          <w:p w:rsidR="009B6684" w:rsidRPr="00893B19" w:rsidRDefault="009B6684" w:rsidP="009B6684">
            <w:pPr>
              <w:jc w:val="both"/>
              <w:rPr>
                <w:sz w:val="20"/>
                <w:lang w:val="fr-CA"/>
              </w:rPr>
            </w:pPr>
            <w:r w:rsidRPr="00893B19">
              <w:rPr>
                <w:sz w:val="20"/>
                <w:lang w:val="fr-CA"/>
              </w:rPr>
              <w:t>Cour de justice de l’Ontario</w:t>
            </w:r>
          </w:p>
          <w:p w:rsidR="009B6684" w:rsidRPr="00893B19" w:rsidRDefault="009B6684" w:rsidP="009B6684">
            <w:pPr>
              <w:jc w:val="both"/>
              <w:rPr>
                <w:sz w:val="20"/>
                <w:lang w:val="fr-CA"/>
              </w:rPr>
            </w:pPr>
            <w:r w:rsidRPr="00893B19">
              <w:rPr>
                <w:sz w:val="20"/>
                <w:lang w:val="fr-CA"/>
              </w:rPr>
              <w:t>(Juge Minard)</w:t>
            </w:r>
          </w:p>
          <w:p w:rsidR="009B6684" w:rsidRPr="00893B19" w:rsidRDefault="009B6684" w:rsidP="009B6684">
            <w:pPr>
              <w:jc w:val="both"/>
              <w:rPr>
                <w:sz w:val="20"/>
                <w:lang w:val="fr-CA"/>
              </w:rPr>
            </w:pPr>
            <w:r w:rsidRPr="00893B19">
              <w:rPr>
                <w:sz w:val="20"/>
                <w:lang w:val="fr-CA"/>
              </w:rPr>
              <w:t>(non publié)</w:t>
            </w:r>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Peine imposée : 12 mois d’emprisonnement et de 6 mois, à purger concurremment, deux ans de probation</w:t>
            </w: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11 décembre 2019</w:t>
            </w:r>
          </w:p>
          <w:p w:rsidR="009B6684" w:rsidRPr="00893B19" w:rsidRDefault="009B6684" w:rsidP="009B6684">
            <w:pPr>
              <w:jc w:val="both"/>
              <w:rPr>
                <w:sz w:val="20"/>
                <w:lang w:val="fr-CA"/>
              </w:rPr>
            </w:pPr>
            <w:r w:rsidRPr="00893B19">
              <w:rPr>
                <w:sz w:val="20"/>
                <w:lang w:val="fr-CA"/>
              </w:rPr>
              <w:t>Cour d’appel de l’Ontario</w:t>
            </w:r>
          </w:p>
          <w:p w:rsidR="009B6684" w:rsidRPr="00893B19" w:rsidRDefault="009B6684" w:rsidP="009B6684">
            <w:pPr>
              <w:jc w:val="both"/>
              <w:rPr>
                <w:sz w:val="20"/>
                <w:lang w:val="fr-CA"/>
              </w:rPr>
            </w:pPr>
            <w:r w:rsidRPr="00893B19">
              <w:rPr>
                <w:sz w:val="20"/>
                <w:lang w:val="fr-CA"/>
              </w:rPr>
              <w:t>(Juges Benotto, Miller et Trotter (dissident))</w:t>
            </w:r>
          </w:p>
          <w:p w:rsidR="009B6684" w:rsidRPr="00893B19" w:rsidRDefault="00867539" w:rsidP="009B6684">
            <w:pPr>
              <w:jc w:val="both"/>
              <w:rPr>
                <w:sz w:val="20"/>
                <w:lang w:val="fr-CA"/>
              </w:rPr>
            </w:pPr>
            <w:hyperlink r:id="rId32" w:history="1">
              <w:r w:rsidR="009B6684" w:rsidRPr="00893B19">
                <w:rPr>
                  <w:rStyle w:val="Hyperlink"/>
                  <w:sz w:val="20"/>
                  <w:lang w:val="fr-CA"/>
                </w:rPr>
                <w:t>2019 ONCA 972</w:t>
              </w:r>
            </w:hyperlink>
          </w:p>
          <w:p w:rsidR="009B6684" w:rsidRPr="00893B19" w:rsidRDefault="009B6684" w:rsidP="009B6684">
            <w:pPr>
              <w:jc w:val="both"/>
              <w:rPr>
                <w:sz w:val="20"/>
                <w:lang w:val="fr-CA"/>
              </w:rPr>
            </w:pPr>
            <w:r w:rsidRPr="00893B19">
              <w:rPr>
                <w:sz w:val="20"/>
                <w:lang w:val="fr-CA"/>
              </w:rPr>
              <w:t>C63899</w:t>
            </w:r>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Rejet des appels de la déclaration de culpabilité et de la peine</w:t>
            </w: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7 février 2020</w:t>
            </w:r>
          </w:p>
          <w:p w:rsidR="009B6684" w:rsidRPr="00893B19" w:rsidRDefault="009B6684" w:rsidP="009B6684">
            <w:pPr>
              <w:jc w:val="both"/>
              <w:rPr>
                <w:sz w:val="20"/>
                <w:lang w:val="fr-CA"/>
              </w:rPr>
            </w:pPr>
            <w:r w:rsidRPr="00893B19">
              <w:rPr>
                <w:sz w:val="20"/>
                <w:lang w:val="fr-CA"/>
              </w:rPr>
              <w:t>Cour suprême du Canada</w:t>
            </w: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Dépôt de la demande d’autorisation d’appel</w:t>
            </w:r>
          </w:p>
          <w:p w:rsidR="009B6684" w:rsidRPr="00893B19" w:rsidRDefault="009B6684" w:rsidP="009B6684">
            <w:pPr>
              <w:jc w:val="both"/>
              <w:rPr>
                <w:sz w:val="20"/>
                <w:lang w:val="fr-CA"/>
              </w:rPr>
            </w:pPr>
          </w:p>
        </w:tc>
      </w:tr>
    </w:tbl>
    <w:p w:rsidR="009B6684" w:rsidRPr="00893B19" w:rsidRDefault="009B6684" w:rsidP="009B6684">
      <w:pPr>
        <w:jc w:val="both"/>
        <w:rPr>
          <w:sz w:val="20"/>
          <w:lang w:val="fr-CA"/>
        </w:rPr>
      </w:pPr>
    </w:p>
    <w:p w:rsidR="009B6684" w:rsidRPr="00893B19" w:rsidRDefault="00867539" w:rsidP="009B6684">
      <w:pPr>
        <w:jc w:val="both"/>
        <w:rPr>
          <w:sz w:val="20"/>
          <w:lang w:val="fr-CA"/>
        </w:rPr>
      </w:pPr>
      <w:r>
        <w:rPr>
          <w:sz w:val="20"/>
        </w:rPr>
        <w:pict>
          <v:rect id="_x0000_i1053" style="width:2in;height:1pt" o:hrpct="0" o:hralign="center" o:hrstd="t" o:hrnoshade="t" o:hr="t" fillcolor="black [3213]" stroked="f"/>
        </w:pict>
      </w:r>
    </w:p>
    <w:p w:rsidR="009B6684" w:rsidRPr="00893B19" w:rsidRDefault="009B6684" w:rsidP="009B6684">
      <w:pPr>
        <w:widowControl w:val="0"/>
        <w:jc w:val="both"/>
        <w:rPr>
          <w:sz w:val="20"/>
          <w:lang w:val="fr-CA"/>
        </w:rPr>
      </w:pPr>
    </w:p>
    <w:p w:rsidR="000F34A6" w:rsidRPr="00893B19" w:rsidRDefault="000F34A6">
      <w:r w:rsidRPr="00893B1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684" w:rsidRPr="00893B19" w:rsidTr="009B6684">
        <w:tc>
          <w:tcPr>
            <w:tcW w:w="543" w:type="pct"/>
          </w:tcPr>
          <w:p w:rsidR="009B6684" w:rsidRPr="00893B19" w:rsidRDefault="009B6684" w:rsidP="009B6684">
            <w:pPr>
              <w:jc w:val="both"/>
              <w:rPr>
                <w:sz w:val="20"/>
              </w:rPr>
            </w:pPr>
            <w:r w:rsidRPr="00893B19">
              <w:rPr>
                <w:rStyle w:val="SCCFileNumberChar"/>
                <w:sz w:val="20"/>
                <w:szCs w:val="20"/>
              </w:rPr>
              <w:t>39042</w:t>
            </w:r>
          </w:p>
        </w:tc>
        <w:tc>
          <w:tcPr>
            <w:tcW w:w="4457" w:type="pct"/>
            <w:gridSpan w:val="3"/>
          </w:tcPr>
          <w:p w:rsidR="009B6684" w:rsidRPr="00893B19" w:rsidRDefault="009B6684" w:rsidP="009B6684">
            <w:pPr>
              <w:pStyle w:val="SCCLsocParty"/>
              <w:jc w:val="both"/>
              <w:rPr>
                <w:b/>
                <w:sz w:val="20"/>
                <w:szCs w:val="20"/>
                <w:lang w:val="en-US"/>
              </w:rPr>
            </w:pPr>
            <w:r w:rsidRPr="00893B19">
              <w:rPr>
                <w:b/>
                <w:sz w:val="20"/>
                <w:szCs w:val="20"/>
                <w:lang w:val="en-US"/>
              </w:rPr>
              <w:t>Stout &amp; Company LLP</w:t>
            </w:r>
            <w:r w:rsidR="00394DB9" w:rsidRPr="00893B19">
              <w:rPr>
                <w:b/>
                <w:sz w:val="20"/>
                <w:szCs w:val="20"/>
                <w:lang w:val="en-US"/>
              </w:rPr>
              <w:t xml:space="preserve"> and</w:t>
            </w:r>
            <w:r w:rsidRPr="00893B19">
              <w:rPr>
                <w:b/>
                <w:sz w:val="20"/>
                <w:szCs w:val="20"/>
                <w:lang w:val="en-US"/>
              </w:rPr>
              <w:t xml:space="preserve"> James Stout v. Cooperatieve Centrale Raiffeisen-Boerenleenbank B.A., “Rabobank International”, New York Branch</w:t>
            </w:r>
          </w:p>
          <w:p w:rsidR="009B6684" w:rsidRPr="00893B19" w:rsidRDefault="009B6684" w:rsidP="009B6684">
            <w:pPr>
              <w:jc w:val="both"/>
              <w:rPr>
                <w:sz w:val="20"/>
              </w:rPr>
            </w:pPr>
            <w:r w:rsidRPr="00893B19">
              <w:rPr>
                <w:sz w:val="20"/>
              </w:rPr>
              <w:t>(Alta.) (Civil) (By Leave)</w:t>
            </w:r>
          </w:p>
        </w:tc>
      </w:tr>
      <w:tr w:rsidR="009B6684" w:rsidRPr="00893B19" w:rsidTr="009B6684">
        <w:tc>
          <w:tcPr>
            <w:tcW w:w="5000" w:type="pct"/>
            <w:gridSpan w:val="4"/>
          </w:tcPr>
          <w:p w:rsidR="00394DB9" w:rsidRPr="00893B19" w:rsidRDefault="00394DB9" w:rsidP="00394DB9">
            <w:pPr>
              <w:jc w:val="both"/>
              <w:rPr>
                <w:sz w:val="20"/>
                <w:szCs w:val="20"/>
              </w:rPr>
            </w:pPr>
            <w:r w:rsidRPr="00893B19">
              <w:rPr>
                <w:sz w:val="20"/>
                <w:szCs w:val="20"/>
              </w:rPr>
              <w:t>The motion for leave to intervene by the Chartered Professional Accountants of Canada is dismissed. The application for leave to appeal from the judgment of the Court of Appeal of Alberta (Calgary), Number 1701</w:t>
            </w:r>
            <w:r w:rsidRPr="00893B19">
              <w:rPr>
                <w:sz w:val="20"/>
                <w:szCs w:val="20"/>
              </w:rPr>
              <w:noBreakHyphen/>
              <w:t>0328</w:t>
            </w:r>
            <w:r w:rsidRPr="00893B19">
              <w:rPr>
                <w:sz w:val="20"/>
                <w:szCs w:val="20"/>
              </w:rPr>
              <w:noBreakHyphen/>
              <w:t>AC, 2019 ABCA 455, dated November 27, 2019, is dismissed with costs.</w:t>
            </w:r>
          </w:p>
          <w:p w:rsidR="00394DB9" w:rsidRPr="00893B19" w:rsidRDefault="00394DB9" w:rsidP="00394DB9">
            <w:pPr>
              <w:jc w:val="both"/>
              <w:rPr>
                <w:sz w:val="20"/>
                <w:szCs w:val="20"/>
              </w:rPr>
            </w:pPr>
          </w:p>
          <w:p w:rsidR="009B6684" w:rsidRPr="00893B19" w:rsidRDefault="00394DB9" w:rsidP="00394DB9">
            <w:pPr>
              <w:jc w:val="both"/>
              <w:rPr>
                <w:sz w:val="20"/>
                <w:szCs w:val="20"/>
              </w:rPr>
            </w:pPr>
            <w:r w:rsidRPr="00893B19">
              <w:rPr>
                <w:sz w:val="20"/>
                <w:szCs w:val="20"/>
              </w:rPr>
              <w:t>Martin J. took no part in the judgment.</w:t>
            </w:r>
          </w:p>
          <w:p w:rsidR="00394DB9" w:rsidRPr="00893B19" w:rsidRDefault="00394DB9" w:rsidP="00394DB9">
            <w:pPr>
              <w:jc w:val="both"/>
              <w:rPr>
                <w:sz w:val="20"/>
              </w:rPr>
            </w:pPr>
          </w:p>
        </w:tc>
      </w:tr>
      <w:tr w:rsidR="009B6684" w:rsidRPr="00893B19" w:rsidTr="009B6684">
        <w:tc>
          <w:tcPr>
            <w:tcW w:w="5000" w:type="pct"/>
            <w:gridSpan w:val="4"/>
          </w:tcPr>
          <w:p w:rsidR="009B6684" w:rsidRPr="00893B19" w:rsidRDefault="009B6684" w:rsidP="009B6684">
            <w:pPr>
              <w:jc w:val="both"/>
              <w:rPr>
                <w:sz w:val="20"/>
              </w:rPr>
            </w:pPr>
            <w:r w:rsidRPr="00893B19">
              <w:rPr>
                <w:sz w:val="20"/>
              </w:rPr>
              <w:t xml:space="preserve">Torts — Negligence — Misrepresentation — Professional liability — Whether the applicants raised a new issue that reverses the burden to prove the respondent’s losses absent the misrepresentations —Whether </w:t>
            </w:r>
            <w:r w:rsidRPr="00893B19">
              <w:rPr>
                <w:i/>
                <w:sz w:val="20"/>
              </w:rPr>
              <w:t>Rainbow Industrial Caterers Ltd. v. Canadian National Railway Company</w:t>
            </w:r>
            <w:r w:rsidRPr="00893B19">
              <w:rPr>
                <w:sz w:val="20"/>
              </w:rPr>
              <w:t>, [1991] 3 SCR 3, should be clarified or refined, if not overturned, to achieve coherence in its application by Canadian courts with the Supreme Court of Canada’s more recent causation decisions.</w:t>
            </w:r>
          </w:p>
        </w:tc>
      </w:tr>
      <w:tr w:rsidR="009B6684" w:rsidRPr="00893B19" w:rsidTr="009B6684">
        <w:tc>
          <w:tcPr>
            <w:tcW w:w="5000" w:type="pct"/>
            <w:gridSpan w:val="4"/>
          </w:tcPr>
          <w:p w:rsidR="009B6684" w:rsidRPr="00893B19" w:rsidRDefault="009B6684" w:rsidP="009B6684">
            <w:pPr>
              <w:jc w:val="both"/>
              <w:rPr>
                <w:sz w:val="20"/>
              </w:rPr>
            </w:pPr>
          </w:p>
        </w:tc>
      </w:tr>
      <w:tr w:rsidR="009B6684" w:rsidRPr="00893B19" w:rsidTr="009B6684">
        <w:tc>
          <w:tcPr>
            <w:tcW w:w="5000" w:type="pct"/>
            <w:gridSpan w:val="4"/>
          </w:tcPr>
          <w:p w:rsidR="009B6684" w:rsidRPr="00893B19" w:rsidRDefault="009B6684" w:rsidP="009B6684">
            <w:pPr>
              <w:jc w:val="both"/>
              <w:rPr>
                <w:sz w:val="20"/>
              </w:rPr>
            </w:pPr>
            <w:r w:rsidRPr="00893B19">
              <w:rPr>
                <w:sz w:val="20"/>
              </w:rPr>
              <w:t>The respondent, a Dutch cooperative bank, provided financing to an Albertan company (“Agra”) buying and selling agricultural commodities in Mexico. Since 2001, Agra obtained financing from the respondent by selling its receivables to the bank at a discount, and then passing the bank the full amount as the receivables became due 90 to 120 days later. Under their agreement, Agra was to provide audited financial statements. The applicants prepared Agra’s financial statements for 2007 to 2010, with each audit representing that Agra’s financial statements presented fairly, in all material respects, the financial position, results of operations and cash flow of the company.</w:t>
            </w:r>
          </w:p>
          <w:p w:rsidR="009B6684" w:rsidRPr="00893B19" w:rsidRDefault="009B6684" w:rsidP="009B6684">
            <w:pPr>
              <w:jc w:val="both"/>
              <w:rPr>
                <w:sz w:val="20"/>
              </w:rPr>
            </w:pPr>
          </w:p>
          <w:p w:rsidR="009B6684" w:rsidRPr="00893B19" w:rsidRDefault="009B6684" w:rsidP="009B6684">
            <w:pPr>
              <w:jc w:val="both"/>
              <w:rPr>
                <w:sz w:val="20"/>
              </w:rPr>
            </w:pPr>
            <w:r w:rsidRPr="00893B19">
              <w:rPr>
                <w:sz w:val="20"/>
              </w:rPr>
              <w:t>By 2009, all of Agra’s operations had been moved to Mexico. It was later discovered that Agra began creating fake purchase and sale agreements and hiding that fact by cycling funds back to the respondent. The respondent sued the applicants and others for negligent misrepresentation, alleging that its reliance on the misstatements in the 2009 and 2010 financial statements caused the bank to purchase the uncollectible receivables and lose $36,088,470. An issue became whether the applicants were correct to assess Agra’s fraud risk as low, which meant they did not contact Agra’s customers to confirm their sales. This affected the standard of care to be applied.</w:t>
            </w:r>
          </w:p>
          <w:p w:rsidR="009B6684" w:rsidRPr="00893B19" w:rsidRDefault="009B6684" w:rsidP="009B6684">
            <w:pPr>
              <w:jc w:val="both"/>
              <w:rPr>
                <w:sz w:val="20"/>
              </w:rPr>
            </w:pPr>
          </w:p>
          <w:p w:rsidR="009B6684" w:rsidRPr="00893B19" w:rsidRDefault="009B6684" w:rsidP="009B6684">
            <w:pPr>
              <w:jc w:val="both"/>
              <w:rPr>
                <w:sz w:val="20"/>
              </w:rPr>
            </w:pPr>
            <w:r w:rsidRPr="00893B19">
              <w:rPr>
                <w:sz w:val="20"/>
              </w:rPr>
              <w:t>The Court of Queen’s Bench of Alberta found that all the elements of negligent misrepresentation were made out except a breach of the standard of care. The Court of Appeal of Alberta allowed Rabobank’s appeal, dismissed a cross</w:t>
            </w:r>
            <w:r w:rsidRPr="00893B19">
              <w:rPr>
                <w:sz w:val="20"/>
              </w:rPr>
              <w:noBreakHyphen/>
              <w:t>appeal and ordered a new trial. The Court concluded that the trial judge had made a reviewable error in her reasons for preferring the evidence of the applicants’ expert. Wakeling J.A., dissenting, would have allowed the cross</w:t>
            </w:r>
            <w:r w:rsidRPr="00893B19">
              <w:rPr>
                <w:sz w:val="20"/>
              </w:rPr>
              <w:noBreakHyphen/>
              <w:t>appeal on the issues of damages and contributory negligence and dismissed the appeal. The applicants submit that the wrong principles were applied and that the respondent did not prove the misrepresentations were the cause of its damages.</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October 20, 2017</w:t>
            </w:r>
          </w:p>
          <w:p w:rsidR="009B6684" w:rsidRPr="00893B19" w:rsidRDefault="009B6684" w:rsidP="009B6684">
            <w:pPr>
              <w:jc w:val="both"/>
              <w:rPr>
                <w:sz w:val="20"/>
              </w:rPr>
            </w:pPr>
            <w:r w:rsidRPr="00893B19">
              <w:rPr>
                <w:sz w:val="20"/>
              </w:rPr>
              <w:t>Court of Queen’s Bench of Alberta</w:t>
            </w:r>
          </w:p>
          <w:p w:rsidR="009B6684" w:rsidRPr="00893B19" w:rsidRDefault="009B6684" w:rsidP="009B6684">
            <w:pPr>
              <w:jc w:val="both"/>
              <w:rPr>
                <w:sz w:val="20"/>
              </w:rPr>
            </w:pPr>
            <w:r w:rsidRPr="00893B19">
              <w:rPr>
                <w:sz w:val="20"/>
              </w:rPr>
              <w:t>(Nixon J.)</w:t>
            </w:r>
          </w:p>
          <w:p w:rsidR="009B6684" w:rsidRPr="00893B19" w:rsidRDefault="00867539" w:rsidP="009B6684">
            <w:pPr>
              <w:jc w:val="both"/>
              <w:rPr>
                <w:sz w:val="20"/>
              </w:rPr>
            </w:pPr>
            <w:hyperlink r:id="rId33" w:history="1">
              <w:r w:rsidR="009B6684" w:rsidRPr="00893B19">
                <w:rPr>
                  <w:rStyle w:val="Hyperlink"/>
                  <w:sz w:val="20"/>
                </w:rPr>
                <w:t>2017 ABQB 637</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Respondent’s action dismissed: Applicant held not to be negligent in making misrepresentations in its audit reports.</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November 27, 2019</w:t>
            </w:r>
          </w:p>
          <w:p w:rsidR="009B6684" w:rsidRPr="00893B19" w:rsidRDefault="009B6684" w:rsidP="009B6684">
            <w:pPr>
              <w:jc w:val="both"/>
              <w:rPr>
                <w:sz w:val="20"/>
              </w:rPr>
            </w:pPr>
            <w:r w:rsidRPr="00893B19">
              <w:rPr>
                <w:sz w:val="20"/>
              </w:rPr>
              <w:t>Court of Appeal of Alberta (Calgary)</w:t>
            </w:r>
          </w:p>
          <w:p w:rsidR="009B6684" w:rsidRPr="00893B19" w:rsidRDefault="009B6684" w:rsidP="009B6684">
            <w:pPr>
              <w:jc w:val="both"/>
              <w:rPr>
                <w:sz w:val="20"/>
              </w:rPr>
            </w:pPr>
            <w:r w:rsidRPr="00893B19">
              <w:rPr>
                <w:sz w:val="20"/>
              </w:rPr>
              <w:t>(Wakeling, Greckol and Pentelechuk JJ.A.)</w:t>
            </w:r>
          </w:p>
          <w:p w:rsidR="009B6684" w:rsidRPr="00893B19" w:rsidRDefault="00867539" w:rsidP="009B6684">
            <w:pPr>
              <w:jc w:val="both"/>
              <w:rPr>
                <w:rStyle w:val="Hyperlink"/>
                <w:sz w:val="20"/>
              </w:rPr>
            </w:pPr>
            <w:hyperlink r:id="rId34" w:history="1">
              <w:r w:rsidR="009B6684" w:rsidRPr="00893B19">
                <w:rPr>
                  <w:rStyle w:val="Hyperlink"/>
                  <w:sz w:val="20"/>
                </w:rPr>
                <w:t>2019 ABCA 455</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Appeal allowed and new trial ordered; cross-appeal dismissed.</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January 27, 2020</w:t>
            </w:r>
          </w:p>
          <w:p w:rsidR="009B6684" w:rsidRPr="00893B19" w:rsidRDefault="009B6684" w:rsidP="009B6684">
            <w:pPr>
              <w:jc w:val="both"/>
              <w:rPr>
                <w:sz w:val="20"/>
              </w:rPr>
            </w:pPr>
            <w:r w:rsidRPr="00893B19">
              <w:rPr>
                <w:sz w:val="20"/>
              </w:rPr>
              <w:t>Supreme Court of Canada</w:t>
            </w: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Application for leave to appeal filed</w:t>
            </w:r>
          </w:p>
          <w:p w:rsidR="009B6684" w:rsidRPr="00893B19" w:rsidRDefault="009B6684" w:rsidP="009B6684">
            <w:pPr>
              <w:jc w:val="both"/>
              <w:rPr>
                <w:sz w:val="20"/>
              </w:rPr>
            </w:pPr>
          </w:p>
        </w:tc>
      </w:tr>
    </w:tbl>
    <w:p w:rsidR="009B6684" w:rsidRPr="00893B19" w:rsidRDefault="009B6684" w:rsidP="009B6684">
      <w:pPr>
        <w:jc w:val="both"/>
        <w:rPr>
          <w:sz w:val="20"/>
        </w:rPr>
      </w:pPr>
    </w:p>
    <w:p w:rsidR="009B6684" w:rsidRPr="00893B19" w:rsidRDefault="00867539" w:rsidP="009B6684">
      <w:pPr>
        <w:jc w:val="both"/>
        <w:rPr>
          <w:sz w:val="20"/>
        </w:rPr>
      </w:pPr>
      <w:r>
        <w:rPr>
          <w:sz w:val="20"/>
        </w:rPr>
        <w:pict>
          <v:rect id="_x0000_i1054" style="width:2in;height:1pt" o:hrpct="0" o:hralign="center" o:hrstd="t" o:hrnoshade="t" o:hr="t" fillcolor="black [3213]" stroked="f"/>
        </w:pict>
      </w:r>
    </w:p>
    <w:p w:rsidR="009B6684" w:rsidRPr="00893B19" w:rsidRDefault="009B6684" w:rsidP="009B66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684" w:rsidRPr="00893B19" w:rsidTr="009B6684">
        <w:tc>
          <w:tcPr>
            <w:tcW w:w="543" w:type="pct"/>
          </w:tcPr>
          <w:p w:rsidR="009B6684" w:rsidRPr="00893B19" w:rsidRDefault="009B6684" w:rsidP="009B6684">
            <w:pPr>
              <w:jc w:val="both"/>
              <w:rPr>
                <w:sz w:val="20"/>
                <w:lang w:val="fr-CA"/>
              </w:rPr>
            </w:pPr>
            <w:r w:rsidRPr="00893B19">
              <w:rPr>
                <w:rStyle w:val="SCCFileNumberChar"/>
                <w:sz w:val="20"/>
                <w:szCs w:val="20"/>
                <w:lang w:val="fr-CA"/>
              </w:rPr>
              <w:t>39042</w:t>
            </w:r>
          </w:p>
        </w:tc>
        <w:tc>
          <w:tcPr>
            <w:tcW w:w="4457" w:type="pct"/>
            <w:gridSpan w:val="3"/>
          </w:tcPr>
          <w:p w:rsidR="009B6684" w:rsidRPr="00893B19" w:rsidRDefault="009B6684" w:rsidP="009B6684">
            <w:pPr>
              <w:pStyle w:val="SCCLsocParty"/>
              <w:jc w:val="both"/>
              <w:rPr>
                <w:b/>
                <w:sz w:val="20"/>
                <w:szCs w:val="20"/>
                <w:lang w:val="en-US"/>
              </w:rPr>
            </w:pPr>
            <w:r w:rsidRPr="00893B19">
              <w:rPr>
                <w:b/>
                <w:sz w:val="20"/>
                <w:szCs w:val="20"/>
                <w:lang w:val="en-US"/>
              </w:rPr>
              <w:t>Stout &amp; Company LLP</w:t>
            </w:r>
            <w:r w:rsidR="00394DB9" w:rsidRPr="00893B19">
              <w:rPr>
                <w:b/>
                <w:sz w:val="20"/>
                <w:szCs w:val="20"/>
                <w:lang w:val="en-US"/>
              </w:rPr>
              <w:t xml:space="preserve"> et</w:t>
            </w:r>
            <w:r w:rsidRPr="00893B19">
              <w:rPr>
                <w:b/>
                <w:sz w:val="20"/>
                <w:szCs w:val="20"/>
                <w:lang w:val="en-US"/>
              </w:rPr>
              <w:t xml:space="preserve"> James Stout c. Cooperatieve Centrale Raiffeisen-Boerenleenbank B.A., “Rabobank International”, New York Branch</w:t>
            </w:r>
          </w:p>
          <w:p w:rsidR="009B6684" w:rsidRPr="00893B19" w:rsidRDefault="009B6684" w:rsidP="009B6684">
            <w:pPr>
              <w:jc w:val="both"/>
              <w:rPr>
                <w:sz w:val="20"/>
                <w:lang w:val="fr-CA"/>
              </w:rPr>
            </w:pPr>
            <w:r w:rsidRPr="00893B19">
              <w:rPr>
                <w:sz w:val="20"/>
                <w:lang w:val="fr-CA"/>
              </w:rPr>
              <w:t>(Alb.) (Civile) (Autorisation)</w:t>
            </w:r>
          </w:p>
        </w:tc>
      </w:tr>
      <w:tr w:rsidR="009B6684" w:rsidRPr="00867539" w:rsidTr="009B6684">
        <w:tc>
          <w:tcPr>
            <w:tcW w:w="5000" w:type="pct"/>
            <w:gridSpan w:val="4"/>
          </w:tcPr>
          <w:p w:rsidR="00394DB9" w:rsidRPr="00893B19" w:rsidRDefault="00394DB9" w:rsidP="00394DB9">
            <w:pPr>
              <w:jc w:val="both"/>
              <w:rPr>
                <w:sz w:val="20"/>
                <w:szCs w:val="20"/>
                <w:lang w:val="fr-CA"/>
              </w:rPr>
            </w:pPr>
            <w:r w:rsidRPr="00893B19">
              <w:rPr>
                <w:sz w:val="20"/>
                <w:szCs w:val="20"/>
                <w:lang w:val="fr-CA"/>
              </w:rPr>
              <w:t>La requête pour permission d’intervenir de Comptables professionnels agréés du Canada est rejetée. La demande d’autorisation d’appel de l’arrêt de la Cour d’appel de l’Alberta (Calgary), numéro 1701</w:t>
            </w:r>
            <w:r w:rsidRPr="00893B19">
              <w:rPr>
                <w:sz w:val="20"/>
                <w:szCs w:val="20"/>
                <w:lang w:val="fr-CA"/>
              </w:rPr>
              <w:noBreakHyphen/>
              <w:t>0328</w:t>
            </w:r>
            <w:r w:rsidRPr="00893B19">
              <w:rPr>
                <w:sz w:val="20"/>
                <w:szCs w:val="20"/>
                <w:lang w:val="fr-CA"/>
              </w:rPr>
              <w:noBreakHyphen/>
              <w:t xml:space="preserve">AC, 2019 ABCA 455, daté du 27 novembre 2019, est rejetée avec dépens. </w:t>
            </w:r>
          </w:p>
          <w:p w:rsidR="00394DB9" w:rsidRPr="00893B19" w:rsidRDefault="00394DB9" w:rsidP="00394DB9">
            <w:pPr>
              <w:jc w:val="both"/>
              <w:rPr>
                <w:sz w:val="20"/>
                <w:szCs w:val="20"/>
                <w:lang w:val="fr-CA"/>
              </w:rPr>
            </w:pPr>
          </w:p>
          <w:p w:rsidR="009B6684" w:rsidRPr="00893B19" w:rsidRDefault="00394DB9" w:rsidP="00394DB9">
            <w:pPr>
              <w:jc w:val="both"/>
              <w:rPr>
                <w:sz w:val="20"/>
                <w:szCs w:val="20"/>
                <w:lang w:val="fr-CA"/>
              </w:rPr>
            </w:pPr>
            <w:r w:rsidRPr="00893B19">
              <w:rPr>
                <w:sz w:val="20"/>
                <w:szCs w:val="20"/>
                <w:lang w:val="fr-CA"/>
              </w:rPr>
              <w:t>La juge Martin n’a pas participé au jugement.</w:t>
            </w:r>
          </w:p>
          <w:p w:rsidR="00394DB9" w:rsidRPr="00893B19" w:rsidRDefault="00394DB9" w:rsidP="00394DB9">
            <w:pPr>
              <w:jc w:val="both"/>
              <w:rPr>
                <w:sz w:val="20"/>
                <w:lang w:val="fr-CA"/>
              </w:rPr>
            </w:pPr>
          </w:p>
        </w:tc>
      </w:tr>
      <w:tr w:rsidR="009B6684" w:rsidRPr="00867539" w:rsidTr="009B6684">
        <w:tc>
          <w:tcPr>
            <w:tcW w:w="5000" w:type="pct"/>
            <w:gridSpan w:val="4"/>
          </w:tcPr>
          <w:p w:rsidR="009B6684" w:rsidRPr="00893B19" w:rsidRDefault="009B6684" w:rsidP="009B6684">
            <w:pPr>
              <w:jc w:val="both"/>
              <w:rPr>
                <w:sz w:val="20"/>
                <w:lang w:val="fr-CA"/>
              </w:rPr>
            </w:pPr>
            <w:r w:rsidRPr="00893B19">
              <w:rPr>
                <w:sz w:val="20"/>
                <w:lang w:val="fr-CA"/>
              </w:rPr>
              <w:t>Responsabilité délictuelle — Négligence — Assertion inexacte — Responsabilité délictuelle — Les demandeurs ont-ils soulevé une nouvelle question qui renverse le fardeau de prouver les pertes subies par les intimées en l’absence d’assertions inexactes? —Y a</w:t>
            </w:r>
            <w:r w:rsidRPr="00893B19">
              <w:rPr>
                <w:sz w:val="20"/>
                <w:lang w:val="fr-CA"/>
              </w:rPr>
              <w:noBreakHyphen/>
              <w:t>t</w:t>
            </w:r>
            <w:r w:rsidRPr="00893B19">
              <w:rPr>
                <w:sz w:val="20"/>
                <w:lang w:val="fr-CA"/>
              </w:rPr>
              <w:noBreakHyphen/>
              <w:t xml:space="preserve">il lieu d’éclaircir ou de raffiner, voire de rétracter, l’arrêt </w:t>
            </w:r>
            <w:r w:rsidRPr="00893B19">
              <w:rPr>
                <w:i/>
                <w:sz w:val="20"/>
                <w:lang w:val="fr-CA"/>
              </w:rPr>
              <w:t>Rainbow Industrial Caterers Ltd. c. Compagnie des chemins de fer nationaux du Canada</w:t>
            </w:r>
            <w:r w:rsidRPr="00893B19">
              <w:rPr>
                <w:sz w:val="20"/>
                <w:lang w:val="fr-CA"/>
              </w:rPr>
              <w:t>, [1991] 3 RCS 3, pour assurer la cohérence dans son application par les tribunaux canadiens avec les arrêts plus récents de la Cour suprême du Canada en matière de causalité?</w:t>
            </w:r>
          </w:p>
        </w:tc>
      </w:tr>
      <w:tr w:rsidR="009B6684" w:rsidRPr="00867539" w:rsidTr="009B6684">
        <w:tc>
          <w:tcPr>
            <w:tcW w:w="5000" w:type="pct"/>
            <w:gridSpan w:val="4"/>
          </w:tcPr>
          <w:p w:rsidR="009B6684" w:rsidRPr="00893B19" w:rsidRDefault="009B6684" w:rsidP="009B6684">
            <w:pPr>
              <w:jc w:val="both"/>
              <w:rPr>
                <w:sz w:val="20"/>
                <w:lang w:val="fr-CA"/>
              </w:rPr>
            </w:pPr>
          </w:p>
        </w:tc>
      </w:tr>
      <w:tr w:rsidR="009B6684" w:rsidRPr="00867539" w:rsidTr="009B6684">
        <w:tc>
          <w:tcPr>
            <w:tcW w:w="5000" w:type="pct"/>
            <w:gridSpan w:val="4"/>
          </w:tcPr>
          <w:p w:rsidR="009B6684" w:rsidRPr="00893B19" w:rsidRDefault="009B6684" w:rsidP="009B6684">
            <w:pPr>
              <w:jc w:val="both"/>
              <w:rPr>
                <w:sz w:val="20"/>
                <w:lang w:val="fr-CA"/>
              </w:rPr>
            </w:pPr>
            <w:r w:rsidRPr="00893B19">
              <w:rPr>
                <w:sz w:val="20"/>
                <w:lang w:val="fr-CA"/>
              </w:rPr>
              <w:t>L’intimée, une coopérative de crédit néerlandaise, a apporté du financement à une société albertaine (« Agra ») qui achète et qui vend des produits agricoles au Mexique. Depuis 2001, Agra obtenait du financement de l’intimée en vendant ses comptes clients à la coopérative moyennant un escompte, puis en passait le plein montant à la coopérative à mesure que les comptes clients arrivaient à échéance 90 à 120 jours plus tard. En vertu de leur entente, Agra devait fournir des états financiers vérifiés. Les demandeurs ont préparé les états financiers d’Agra de 2007 à 2010, chaque vérification déclarant que les états financiers d’Agra donnaient, à tous les égards importants, une image fidèle de la situation financière de la société, de ses résultats d’exploitation et de son flux de trésorerie.</w:t>
            </w:r>
          </w:p>
          <w:p w:rsidR="009B6684" w:rsidRPr="00893B19" w:rsidRDefault="009B6684" w:rsidP="009B6684">
            <w:pPr>
              <w:jc w:val="both"/>
              <w:rPr>
                <w:sz w:val="20"/>
                <w:lang w:val="fr-CA"/>
              </w:rPr>
            </w:pPr>
          </w:p>
          <w:p w:rsidR="009B6684" w:rsidRPr="00893B19" w:rsidRDefault="009B6684" w:rsidP="009B6684">
            <w:pPr>
              <w:jc w:val="both"/>
              <w:rPr>
                <w:sz w:val="20"/>
                <w:lang w:val="fr-CA"/>
              </w:rPr>
            </w:pPr>
            <w:r w:rsidRPr="00893B19">
              <w:rPr>
                <w:sz w:val="20"/>
                <w:lang w:val="fr-CA"/>
              </w:rPr>
              <w:t>En 2009, toutes les opérations d’Agra avaient été déménagées au Mexique. On a découvert plus tard qu’Agra avait commencé à créer des conventions d’achat et de vente factices et à dissimuler ce fait en recyclant des fonds à l’intimée. L’intimée a poursuivi les demandeurs et d’autres pour assertions inexactes faites par négligence, alléguant que parce qu’elle s’était appuyée sur les déclarations inexactes dans les états financiers de 2009 et 2010, la coopérative avait acheté les comptes clients irrécouvrables et avait subi une perte de 36 088 470 $. Une des questions en litige était de savoir si les demandeurs avaient eu raison d’évaluer comme faible le risque de fraude d’Agra, faisant en sorte qu’ils n’avaient pas communiqué avec les clients d’Agra pour confirmer leurs ventes. Ceci a eu une incidence sur la norme de diligence à appliquer.</w:t>
            </w:r>
          </w:p>
          <w:p w:rsidR="009B6684" w:rsidRPr="00893B19" w:rsidRDefault="009B6684" w:rsidP="009B6684">
            <w:pPr>
              <w:jc w:val="both"/>
              <w:rPr>
                <w:sz w:val="20"/>
                <w:lang w:val="fr-CA"/>
              </w:rPr>
            </w:pPr>
          </w:p>
          <w:p w:rsidR="009B6684" w:rsidRPr="00893B19" w:rsidRDefault="009B6684" w:rsidP="009B6684">
            <w:pPr>
              <w:jc w:val="both"/>
              <w:rPr>
                <w:sz w:val="20"/>
                <w:lang w:val="fr-CA"/>
              </w:rPr>
            </w:pPr>
            <w:r w:rsidRPr="00893B19">
              <w:rPr>
                <w:sz w:val="20"/>
                <w:lang w:val="fr-CA"/>
              </w:rPr>
              <w:t>La Cour du Banc de la Reine de l’Alberta a conclu que tous les éléments de la déclaration inexacte faite par négligence avaient été établis, sauf le manquement à la norme de diligence. La Cour d’appel de l’Alberta a accueilli l’appel de Rabobank, rejetant un appel incident et ordonnant la tenue d’un nouveau procès. La Cour a conclu que la juge de première instance avait commis dans ses motifs une erreur révisable en préférant la preuve de l’expert des demandeurs. Le juge Wakeling, dissident, aurait accueilli l’appel incident sur les questions des dommages</w:t>
            </w:r>
            <w:r w:rsidRPr="00893B19">
              <w:rPr>
                <w:sz w:val="20"/>
                <w:lang w:val="fr-CA"/>
              </w:rPr>
              <w:noBreakHyphen/>
              <w:t>intérêts et de la négligence de la victime et rejeté l’appel. Les demandeurs soutiennent que les mauvais principes ont été appliqués et que l’intimée n’avait pas prouvé que les assertions inexactes étaient la cause du préjudice qu’elle avait subi.</w:t>
            </w: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20 octobre 2017</w:t>
            </w:r>
          </w:p>
          <w:p w:rsidR="009B6684" w:rsidRPr="00893B19" w:rsidRDefault="009B6684" w:rsidP="009B6684">
            <w:pPr>
              <w:jc w:val="both"/>
              <w:rPr>
                <w:sz w:val="20"/>
                <w:lang w:val="fr-CA"/>
              </w:rPr>
            </w:pPr>
            <w:r w:rsidRPr="00893B19">
              <w:rPr>
                <w:sz w:val="20"/>
                <w:lang w:val="fr-CA"/>
              </w:rPr>
              <w:t>Cour du Banc de la Reine de l’Alberta</w:t>
            </w:r>
          </w:p>
          <w:p w:rsidR="009B6684" w:rsidRPr="00893B19" w:rsidRDefault="009B6684" w:rsidP="009B6684">
            <w:pPr>
              <w:jc w:val="both"/>
              <w:rPr>
                <w:sz w:val="20"/>
                <w:lang w:val="fr-CA"/>
              </w:rPr>
            </w:pPr>
            <w:r w:rsidRPr="00893B19">
              <w:rPr>
                <w:sz w:val="20"/>
                <w:lang w:val="fr-CA"/>
              </w:rPr>
              <w:t>(Juge Nixon)</w:t>
            </w:r>
          </w:p>
          <w:p w:rsidR="009B6684" w:rsidRPr="00893B19" w:rsidRDefault="00867539" w:rsidP="009B6684">
            <w:pPr>
              <w:jc w:val="both"/>
              <w:rPr>
                <w:sz w:val="20"/>
                <w:lang w:val="fr-CA"/>
              </w:rPr>
            </w:pPr>
            <w:hyperlink r:id="rId35" w:history="1">
              <w:r w:rsidR="009B6684" w:rsidRPr="00893B19">
                <w:rPr>
                  <w:rStyle w:val="Hyperlink"/>
                  <w:sz w:val="20"/>
                  <w:lang w:val="fr-CA"/>
                </w:rPr>
                <w:t>2017 ABQB 637</w:t>
              </w:r>
            </w:hyperlink>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Jugement rejetant l’action de l’intimée, statuant que le demandeur n’avait pas été négligent en faisant les assertions inexactes dans ses rapports de vérification.</w:t>
            </w: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27 novembre 2019</w:t>
            </w:r>
          </w:p>
          <w:p w:rsidR="009B6684" w:rsidRPr="00893B19" w:rsidRDefault="009B6684" w:rsidP="009B6684">
            <w:pPr>
              <w:jc w:val="both"/>
              <w:rPr>
                <w:sz w:val="20"/>
                <w:lang w:val="fr-CA"/>
              </w:rPr>
            </w:pPr>
            <w:r w:rsidRPr="00893B19">
              <w:rPr>
                <w:sz w:val="20"/>
                <w:lang w:val="fr-CA"/>
              </w:rPr>
              <w:t>Cour d’appel de l’Alberta (Calgary)</w:t>
            </w:r>
          </w:p>
          <w:p w:rsidR="009B6684" w:rsidRPr="00893B19" w:rsidRDefault="009B6684" w:rsidP="009B6684">
            <w:pPr>
              <w:jc w:val="both"/>
              <w:rPr>
                <w:sz w:val="20"/>
              </w:rPr>
            </w:pPr>
            <w:r w:rsidRPr="00893B19">
              <w:rPr>
                <w:sz w:val="20"/>
              </w:rPr>
              <w:t>(Juges Wakeling, Greckol et Pentelechuk)</w:t>
            </w:r>
          </w:p>
          <w:p w:rsidR="009B6684" w:rsidRPr="00893B19" w:rsidRDefault="00867539" w:rsidP="009B6684">
            <w:pPr>
              <w:jc w:val="both"/>
              <w:rPr>
                <w:rStyle w:val="Hyperlink"/>
                <w:sz w:val="20"/>
                <w:lang w:val="fr-CA"/>
              </w:rPr>
            </w:pPr>
            <w:hyperlink r:id="rId36" w:history="1">
              <w:r w:rsidR="009B6684" w:rsidRPr="00893B19">
                <w:rPr>
                  <w:rStyle w:val="Hyperlink"/>
                  <w:sz w:val="20"/>
                  <w:lang w:val="fr-CA"/>
                </w:rPr>
                <w:t>2019 ABCA 455</w:t>
              </w:r>
            </w:hyperlink>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Arrêt accueillant l’appel, ordonnant la tenue d’un nouveau procès et rejetant l’appel incident.</w:t>
            </w:r>
          </w:p>
          <w:p w:rsidR="009B6684" w:rsidRPr="00893B19" w:rsidRDefault="009B6684" w:rsidP="009B6684">
            <w:pPr>
              <w:jc w:val="both"/>
              <w:rPr>
                <w:sz w:val="20"/>
                <w:lang w:val="fr-CA"/>
              </w:rPr>
            </w:pPr>
          </w:p>
        </w:tc>
      </w:tr>
    </w:tbl>
    <w:p w:rsidR="000F34A6" w:rsidRPr="00893B19" w:rsidRDefault="000F34A6">
      <w:pPr>
        <w:rPr>
          <w:lang w:val="fr-CA"/>
        </w:rPr>
      </w:pPr>
      <w:r w:rsidRPr="00893B1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684" w:rsidRPr="00867539" w:rsidTr="009B6684">
        <w:tc>
          <w:tcPr>
            <w:tcW w:w="2427" w:type="pct"/>
          </w:tcPr>
          <w:p w:rsidR="009B6684" w:rsidRPr="00893B19" w:rsidRDefault="009B6684" w:rsidP="009B6684">
            <w:pPr>
              <w:jc w:val="both"/>
              <w:rPr>
                <w:sz w:val="20"/>
                <w:lang w:val="fr-CA"/>
              </w:rPr>
            </w:pPr>
            <w:r w:rsidRPr="00893B19">
              <w:rPr>
                <w:sz w:val="20"/>
                <w:lang w:val="fr-CA"/>
              </w:rPr>
              <w:t>27 janvier 2020</w:t>
            </w:r>
          </w:p>
          <w:p w:rsidR="009B6684" w:rsidRPr="00893B19" w:rsidRDefault="009B6684" w:rsidP="009B6684">
            <w:pPr>
              <w:jc w:val="both"/>
              <w:rPr>
                <w:sz w:val="20"/>
                <w:lang w:val="fr-CA"/>
              </w:rPr>
            </w:pPr>
            <w:r w:rsidRPr="00893B19">
              <w:rPr>
                <w:sz w:val="20"/>
                <w:lang w:val="fr-CA"/>
              </w:rPr>
              <w:t>Cour suprême du Canada</w:t>
            </w: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Dépôt de la demande d’autorisation d’appel</w:t>
            </w:r>
          </w:p>
          <w:p w:rsidR="009B6684" w:rsidRPr="00893B19" w:rsidRDefault="009B6684" w:rsidP="009B6684">
            <w:pPr>
              <w:jc w:val="both"/>
              <w:rPr>
                <w:sz w:val="20"/>
                <w:lang w:val="fr-CA"/>
              </w:rPr>
            </w:pPr>
          </w:p>
        </w:tc>
      </w:tr>
    </w:tbl>
    <w:p w:rsidR="009B6684" w:rsidRPr="00893B19" w:rsidRDefault="009B6684" w:rsidP="009B6684">
      <w:pPr>
        <w:jc w:val="both"/>
        <w:rPr>
          <w:sz w:val="20"/>
          <w:lang w:val="fr-CA"/>
        </w:rPr>
      </w:pPr>
    </w:p>
    <w:p w:rsidR="009B6684" w:rsidRPr="00893B19" w:rsidRDefault="00867539" w:rsidP="009B6684">
      <w:pPr>
        <w:jc w:val="both"/>
        <w:rPr>
          <w:sz w:val="20"/>
          <w:lang w:val="fr-CA"/>
        </w:rPr>
      </w:pPr>
      <w:r>
        <w:rPr>
          <w:sz w:val="20"/>
        </w:rPr>
        <w:pict>
          <v:rect id="_x0000_i1055" style="width:2in;height:1pt" o:hrpct="0" o:hralign="center" o:hrstd="t" o:hrnoshade="t" o:hr="t" fillcolor="black [3213]" stroked="f"/>
        </w:pict>
      </w:r>
    </w:p>
    <w:p w:rsidR="009B6684" w:rsidRPr="00893B19" w:rsidRDefault="009B6684" w:rsidP="009B66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684" w:rsidRPr="00893B19" w:rsidTr="009B6684">
        <w:tc>
          <w:tcPr>
            <w:tcW w:w="543" w:type="pct"/>
          </w:tcPr>
          <w:p w:rsidR="009B6684" w:rsidRPr="00893B19" w:rsidRDefault="009B6684" w:rsidP="009B6684">
            <w:pPr>
              <w:jc w:val="both"/>
              <w:rPr>
                <w:sz w:val="20"/>
              </w:rPr>
            </w:pPr>
            <w:r w:rsidRPr="00893B19">
              <w:rPr>
                <w:rStyle w:val="SCCFileNumberChar"/>
                <w:sz w:val="20"/>
                <w:szCs w:val="20"/>
              </w:rPr>
              <w:t>39049</w:t>
            </w:r>
          </w:p>
        </w:tc>
        <w:tc>
          <w:tcPr>
            <w:tcW w:w="4457" w:type="pct"/>
            <w:gridSpan w:val="3"/>
          </w:tcPr>
          <w:p w:rsidR="009B6684" w:rsidRPr="00893B19" w:rsidRDefault="009B6684" w:rsidP="009B6684">
            <w:pPr>
              <w:pStyle w:val="SCCLsocParty"/>
              <w:jc w:val="both"/>
              <w:rPr>
                <w:b/>
                <w:sz w:val="20"/>
                <w:szCs w:val="20"/>
                <w:lang w:val="en-US"/>
              </w:rPr>
            </w:pPr>
            <w:r w:rsidRPr="00893B19">
              <w:rPr>
                <w:b/>
                <w:sz w:val="20"/>
                <w:szCs w:val="20"/>
                <w:lang w:val="en-US"/>
              </w:rPr>
              <w:t>Karen Armstrong v. Colin Ward</w:t>
            </w:r>
          </w:p>
          <w:p w:rsidR="009B6684" w:rsidRPr="00893B19" w:rsidRDefault="009B6684" w:rsidP="009B6684">
            <w:pPr>
              <w:jc w:val="both"/>
              <w:rPr>
                <w:sz w:val="20"/>
              </w:rPr>
            </w:pPr>
            <w:r w:rsidRPr="00893B19">
              <w:rPr>
                <w:sz w:val="20"/>
              </w:rPr>
              <w:t>(Ont.) (Civil) (By Leave)</w:t>
            </w:r>
          </w:p>
        </w:tc>
      </w:tr>
      <w:tr w:rsidR="009B6684" w:rsidRPr="00893B19" w:rsidTr="009B6684">
        <w:tc>
          <w:tcPr>
            <w:tcW w:w="5000" w:type="pct"/>
            <w:gridSpan w:val="4"/>
          </w:tcPr>
          <w:p w:rsidR="00394DB9" w:rsidRPr="00893B19" w:rsidRDefault="00394DB9" w:rsidP="00394DB9">
            <w:pPr>
              <w:jc w:val="both"/>
              <w:rPr>
                <w:sz w:val="20"/>
                <w:szCs w:val="20"/>
              </w:rPr>
            </w:pPr>
            <w:r w:rsidRPr="00893B19">
              <w:rPr>
                <w:sz w:val="20"/>
                <w:szCs w:val="20"/>
              </w:rPr>
              <w:t>The application for leave to appeal from the judgment of the Court of Appeal for Ontario, Number C65404, 2019 ONCA 963, dated December 6, 2019, is granted with costs in the cause.</w:t>
            </w:r>
          </w:p>
          <w:p w:rsidR="009B6684" w:rsidRPr="00893B19" w:rsidRDefault="009B6684" w:rsidP="009B6684">
            <w:pPr>
              <w:jc w:val="both"/>
              <w:rPr>
                <w:sz w:val="20"/>
              </w:rPr>
            </w:pPr>
          </w:p>
        </w:tc>
      </w:tr>
      <w:tr w:rsidR="009B6684" w:rsidRPr="00893B19" w:rsidTr="009B6684">
        <w:tc>
          <w:tcPr>
            <w:tcW w:w="5000" w:type="pct"/>
            <w:gridSpan w:val="4"/>
          </w:tcPr>
          <w:p w:rsidR="009B6684" w:rsidRPr="00893B19" w:rsidRDefault="009B6684" w:rsidP="009B6684">
            <w:pPr>
              <w:jc w:val="both"/>
              <w:rPr>
                <w:sz w:val="20"/>
              </w:rPr>
            </w:pPr>
            <w:r w:rsidRPr="00893B19">
              <w:rPr>
                <w:sz w:val="20"/>
              </w:rPr>
              <w:t>Torts — Negligence — Standard of care — Appeals — Standard of review — What is the standard of care for professional negligence in Canada? — Where should courts draw the line on the acceptable margin for error? — May causation be used as circumstantial evidence to inform the standard of care determination? — Is it an error of law to use outcomes or goals as the standard of care? — Must a trier of fact consider and/or rule out other non</w:t>
            </w:r>
            <w:r w:rsidRPr="00893B19">
              <w:rPr>
                <w:sz w:val="20"/>
              </w:rPr>
              <w:noBreakHyphen/>
              <w:t>negligent causes of injury? —Where is the burden of proof? — What must a trial judge do to avoid the “perilous” articulation of the standard of care? — In the circumstances of professional negligence, how far must a trial judge go to identify the steps to be taken by a prudent physician?</w:t>
            </w:r>
          </w:p>
        </w:tc>
      </w:tr>
      <w:tr w:rsidR="009B6684" w:rsidRPr="00893B19" w:rsidTr="009B6684">
        <w:tc>
          <w:tcPr>
            <w:tcW w:w="5000" w:type="pct"/>
            <w:gridSpan w:val="4"/>
          </w:tcPr>
          <w:p w:rsidR="009B6684" w:rsidRPr="00893B19" w:rsidRDefault="009B6684" w:rsidP="009B6684">
            <w:pPr>
              <w:jc w:val="both"/>
              <w:rPr>
                <w:sz w:val="20"/>
              </w:rPr>
            </w:pPr>
          </w:p>
        </w:tc>
      </w:tr>
      <w:tr w:rsidR="009B6684" w:rsidRPr="00893B19" w:rsidTr="009B6684">
        <w:tc>
          <w:tcPr>
            <w:tcW w:w="5000" w:type="pct"/>
            <w:gridSpan w:val="4"/>
          </w:tcPr>
          <w:p w:rsidR="009B6684" w:rsidRPr="00893B19" w:rsidRDefault="009B6684" w:rsidP="009B6684">
            <w:pPr>
              <w:jc w:val="both"/>
              <w:rPr>
                <w:sz w:val="20"/>
              </w:rPr>
            </w:pPr>
            <w:r w:rsidRPr="00893B19">
              <w:rPr>
                <w:sz w:val="20"/>
              </w:rPr>
              <w:t>In February 2010, Dr. Ward removed Ms. Armstrong’s colon using laparoscopic surgery. The surgery appeared to have been uneventful and there was no sign that Ms. Armstrong had been injured. Over the next several weeks, however, she developed increasingly more concerning post</w:t>
            </w:r>
            <w:r w:rsidRPr="00893B19">
              <w:rPr>
                <w:sz w:val="20"/>
              </w:rPr>
              <w:noBreakHyphen/>
              <w:t>operative abdominal pain. A CT scan revealed that her ureter was blocked with scar tissue, causing severe damage to her left kidney. She was required to undergo a second surgery to remove her kidney in October 2010. She sued Dr. Ward, alleging that he caused the scar tissue that formed the blockage in her ureter by improperly using a cauterizing device during the colectomy, known as a LigaSure. Ms. Armstrong contended that Dr. Ward negligently touched or came within two millimetres of her ureter with the LigaSure during the colectomy procedure, causing a thermal injury. The trial judge held that Dr. Ward was liable in negligence for the damage caused to Ms. Armstrong’s ureter. This decision was overturned on appeal.</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April 16, 2018</w:t>
            </w:r>
          </w:p>
          <w:p w:rsidR="009B6684" w:rsidRPr="00893B19" w:rsidRDefault="009B6684" w:rsidP="009B6684">
            <w:pPr>
              <w:jc w:val="both"/>
              <w:rPr>
                <w:sz w:val="20"/>
              </w:rPr>
            </w:pPr>
            <w:r w:rsidRPr="00893B19">
              <w:rPr>
                <w:sz w:val="20"/>
              </w:rPr>
              <w:t>Ontario Superior Court of Justice</w:t>
            </w:r>
          </w:p>
          <w:p w:rsidR="009B6684" w:rsidRPr="00893B19" w:rsidRDefault="009B6684" w:rsidP="009B6684">
            <w:pPr>
              <w:jc w:val="both"/>
              <w:rPr>
                <w:sz w:val="20"/>
              </w:rPr>
            </w:pPr>
            <w:r w:rsidRPr="00893B19">
              <w:rPr>
                <w:sz w:val="20"/>
              </w:rPr>
              <w:t>(Mulligan J.)</w:t>
            </w:r>
          </w:p>
          <w:p w:rsidR="009B6684" w:rsidRPr="00893B19" w:rsidRDefault="00867539" w:rsidP="009B6684">
            <w:pPr>
              <w:jc w:val="both"/>
              <w:rPr>
                <w:sz w:val="20"/>
              </w:rPr>
            </w:pPr>
            <w:hyperlink r:id="rId37" w:history="1">
              <w:r w:rsidR="009B6684" w:rsidRPr="00893B19">
                <w:rPr>
                  <w:rStyle w:val="Hyperlink"/>
                  <w:sz w:val="20"/>
                </w:rPr>
                <w:t>2018 ONSC 2439</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Respondent found to be liable in negligence for applicant’s injuries</w:t>
            </w:r>
          </w:p>
          <w:p w:rsidR="009B6684" w:rsidRPr="00893B19" w:rsidRDefault="009B6684" w:rsidP="009B6684">
            <w:pPr>
              <w:jc w:val="both"/>
              <w:rPr>
                <w:sz w:val="20"/>
              </w:rPr>
            </w:pP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December 6, 2019</w:t>
            </w:r>
          </w:p>
          <w:p w:rsidR="009B6684" w:rsidRPr="00893B19" w:rsidRDefault="009B6684" w:rsidP="009B6684">
            <w:pPr>
              <w:jc w:val="both"/>
              <w:rPr>
                <w:sz w:val="20"/>
              </w:rPr>
            </w:pPr>
            <w:r w:rsidRPr="00893B19">
              <w:rPr>
                <w:sz w:val="20"/>
              </w:rPr>
              <w:t>Court of Appeal for Ontario</w:t>
            </w:r>
          </w:p>
          <w:p w:rsidR="009B6684" w:rsidRPr="00893B19" w:rsidRDefault="009B6684" w:rsidP="009B6684">
            <w:pPr>
              <w:jc w:val="both"/>
              <w:rPr>
                <w:sz w:val="20"/>
              </w:rPr>
            </w:pPr>
            <w:r w:rsidRPr="00893B19">
              <w:rPr>
                <w:sz w:val="20"/>
              </w:rPr>
              <w:t>(Juriansz, van Rensburg [dissenting] and</w:t>
            </w:r>
          </w:p>
          <w:p w:rsidR="009B6684" w:rsidRPr="00893B19" w:rsidRDefault="009B6684" w:rsidP="009B6684">
            <w:pPr>
              <w:jc w:val="both"/>
              <w:rPr>
                <w:sz w:val="20"/>
              </w:rPr>
            </w:pPr>
            <w:r w:rsidRPr="00893B19">
              <w:rPr>
                <w:sz w:val="20"/>
              </w:rPr>
              <w:t>Paciocco JJ.A.)</w:t>
            </w:r>
          </w:p>
          <w:p w:rsidR="009B6684" w:rsidRPr="00893B19" w:rsidRDefault="00867539" w:rsidP="009B6684">
            <w:pPr>
              <w:jc w:val="both"/>
              <w:rPr>
                <w:sz w:val="20"/>
              </w:rPr>
            </w:pPr>
            <w:hyperlink r:id="rId38" w:history="1">
              <w:r w:rsidR="009B6684" w:rsidRPr="00893B19">
                <w:rPr>
                  <w:rStyle w:val="Hyperlink"/>
                  <w:sz w:val="20"/>
                </w:rPr>
                <w:t>2019 ONCA 963</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Respondent’s appeal granted; Applicant’s action dismissed</w:t>
            </w:r>
          </w:p>
          <w:p w:rsidR="009B6684" w:rsidRPr="00893B19" w:rsidRDefault="009B6684" w:rsidP="009B6684">
            <w:pPr>
              <w:jc w:val="both"/>
              <w:rPr>
                <w:sz w:val="20"/>
              </w:rPr>
            </w:pP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February 3, 2020</w:t>
            </w:r>
          </w:p>
          <w:p w:rsidR="009B6684" w:rsidRPr="00893B19" w:rsidRDefault="009B6684" w:rsidP="009B6684">
            <w:pPr>
              <w:jc w:val="both"/>
              <w:rPr>
                <w:sz w:val="20"/>
              </w:rPr>
            </w:pPr>
            <w:r w:rsidRPr="00893B19">
              <w:rPr>
                <w:sz w:val="20"/>
              </w:rPr>
              <w:t>Supreme Court of Canada</w:t>
            </w: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Application for leave to appeal filed</w:t>
            </w:r>
          </w:p>
          <w:p w:rsidR="009B6684" w:rsidRPr="00893B19" w:rsidRDefault="009B6684" w:rsidP="009B6684">
            <w:pPr>
              <w:jc w:val="both"/>
              <w:rPr>
                <w:sz w:val="20"/>
              </w:rPr>
            </w:pPr>
          </w:p>
        </w:tc>
      </w:tr>
    </w:tbl>
    <w:p w:rsidR="009B6684" w:rsidRPr="00893B19" w:rsidRDefault="009B6684" w:rsidP="009B6684">
      <w:pPr>
        <w:jc w:val="both"/>
        <w:rPr>
          <w:sz w:val="20"/>
        </w:rPr>
      </w:pPr>
    </w:p>
    <w:p w:rsidR="009B6684" w:rsidRPr="00893B19" w:rsidRDefault="00867539" w:rsidP="009B6684">
      <w:pPr>
        <w:jc w:val="both"/>
        <w:rPr>
          <w:sz w:val="20"/>
        </w:rPr>
      </w:pPr>
      <w:r>
        <w:rPr>
          <w:sz w:val="20"/>
        </w:rPr>
        <w:pict>
          <v:rect id="_x0000_i1056" style="width:2in;height:1pt" o:hrpct="0" o:hralign="center" o:hrstd="t" o:hrnoshade="t" o:hr="t" fillcolor="black [3213]" stroked="f"/>
        </w:pict>
      </w:r>
    </w:p>
    <w:p w:rsidR="009B6684" w:rsidRPr="00893B19" w:rsidRDefault="009B6684" w:rsidP="009B6684">
      <w:pPr>
        <w:jc w:val="both"/>
        <w:rPr>
          <w:sz w:val="20"/>
        </w:rPr>
      </w:pPr>
    </w:p>
    <w:p w:rsidR="000F34A6" w:rsidRPr="00893B19" w:rsidRDefault="000F34A6">
      <w:r w:rsidRPr="00893B1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684" w:rsidRPr="00893B19" w:rsidTr="009B6684">
        <w:tc>
          <w:tcPr>
            <w:tcW w:w="543" w:type="pct"/>
          </w:tcPr>
          <w:p w:rsidR="009B6684" w:rsidRPr="00893B19" w:rsidRDefault="009B6684" w:rsidP="009B6684">
            <w:pPr>
              <w:jc w:val="both"/>
              <w:rPr>
                <w:sz w:val="20"/>
                <w:lang w:val="fr-CA"/>
              </w:rPr>
            </w:pPr>
            <w:r w:rsidRPr="00893B19">
              <w:rPr>
                <w:rStyle w:val="SCCFileNumberChar"/>
                <w:sz w:val="20"/>
                <w:szCs w:val="20"/>
                <w:lang w:val="fr-CA"/>
              </w:rPr>
              <w:t>39049</w:t>
            </w:r>
          </w:p>
        </w:tc>
        <w:tc>
          <w:tcPr>
            <w:tcW w:w="4457" w:type="pct"/>
            <w:gridSpan w:val="3"/>
          </w:tcPr>
          <w:p w:rsidR="009B6684" w:rsidRPr="00893B19" w:rsidRDefault="009B6684" w:rsidP="009B6684">
            <w:pPr>
              <w:pStyle w:val="SCCLsocParty"/>
              <w:jc w:val="both"/>
              <w:rPr>
                <w:b/>
                <w:sz w:val="20"/>
                <w:szCs w:val="20"/>
                <w:lang w:val="en-US"/>
              </w:rPr>
            </w:pPr>
            <w:r w:rsidRPr="00893B19">
              <w:rPr>
                <w:b/>
                <w:sz w:val="20"/>
                <w:szCs w:val="20"/>
                <w:lang w:val="en-US"/>
              </w:rPr>
              <w:t>Karen Armstrong c. Colin Ward</w:t>
            </w:r>
          </w:p>
          <w:p w:rsidR="009B6684" w:rsidRPr="00893B19" w:rsidRDefault="009B6684" w:rsidP="009B6684">
            <w:pPr>
              <w:jc w:val="both"/>
              <w:rPr>
                <w:sz w:val="20"/>
              </w:rPr>
            </w:pPr>
            <w:r w:rsidRPr="00893B19">
              <w:rPr>
                <w:sz w:val="20"/>
              </w:rPr>
              <w:t>(Ont.) (Civile) (Autorisation)</w:t>
            </w:r>
          </w:p>
        </w:tc>
      </w:tr>
      <w:tr w:rsidR="009B6684" w:rsidRPr="00867539" w:rsidTr="009B6684">
        <w:tc>
          <w:tcPr>
            <w:tcW w:w="5000" w:type="pct"/>
            <w:gridSpan w:val="4"/>
          </w:tcPr>
          <w:p w:rsidR="009B6684" w:rsidRPr="00893B19" w:rsidRDefault="00394DB9" w:rsidP="009B6684">
            <w:pPr>
              <w:jc w:val="both"/>
              <w:rPr>
                <w:sz w:val="20"/>
                <w:szCs w:val="20"/>
                <w:lang w:val="fr-CA"/>
              </w:rPr>
            </w:pPr>
            <w:r w:rsidRPr="00893B19">
              <w:rPr>
                <w:sz w:val="20"/>
                <w:szCs w:val="20"/>
                <w:lang w:val="fr-CA"/>
              </w:rPr>
              <w:t>La demande d’autorisation d’appel de l’arrêt de la Cour d’appel de l’Ontario, numéro C65404, 2019 ONCA 963, daté du 6 décembre 2019, est accueillie avec dépens suivant l’issue de la cause.</w:t>
            </w:r>
          </w:p>
          <w:p w:rsidR="00394DB9" w:rsidRPr="00893B19" w:rsidRDefault="00394DB9" w:rsidP="009B6684">
            <w:pPr>
              <w:jc w:val="both"/>
              <w:rPr>
                <w:sz w:val="20"/>
                <w:lang w:val="fr-CA"/>
              </w:rPr>
            </w:pPr>
          </w:p>
        </w:tc>
      </w:tr>
      <w:tr w:rsidR="009B6684" w:rsidRPr="00867539" w:rsidTr="009B6684">
        <w:tc>
          <w:tcPr>
            <w:tcW w:w="5000" w:type="pct"/>
            <w:gridSpan w:val="4"/>
          </w:tcPr>
          <w:p w:rsidR="009B6684" w:rsidRPr="00893B19" w:rsidRDefault="009B6684" w:rsidP="009B6684">
            <w:pPr>
              <w:jc w:val="both"/>
              <w:rPr>
                <w:sz w:val="20"/>
                <w:lang w:val="fr-CA"/>
              </w:rPr>
            </w:pPr>
            <w:r w:rsidRPr="00893B19">
              <w:rPr>
                <w:sz w:val="20"/>
                <w:lang w:val="fr-CA"/>
              </w:rPr>
              <w:t>Responsabilité délictuelle — Négligence — Norme de diligence — Appels — Norme de contrôle — Quelle est la norme de diligence en matière de négligence professionnelle au Canada? — Où les tribunaux doivent</w:t>
            </w:r>
            <w:r w:rsidRPr="00893B19">
              <w:rPr>
                <w:sz w:val="20"/>
                <w:lang w:val="fr-CA"/>
              </w:rPr>
              <w:noBreakHyphen/>
              <w:t>ils tracer la ligne quant à la marge d’erreur acceptable? — Le lien de causalité peut</w:t>
            </w:r>
            <w:r w:rsidRPr="00893B19">
              <w:rPr>
                <w:sz w:val="20"/>
                <w:lang w:val="fr-CA"/>
              </w:rPr>
              <w:noBreakHyphen/>
              <w:t>il être utilisé comme preuve circonstancielle pour aider à déterminer la norme de diligence? — Est</w:t>
            </w:r>
            <w:r w:rsidRPr="00893B19">
              <w:rPr>
                <w:sz w:val="20"/>
                <w:lang w:val="fr-CA"/>
              </w:rPr>
              <w:noBreakHyphen/>
              <w:t>ce une erreur de droit que de faire appel aux résultats ou aux buts comme norme de contrôle? — Le juge des faits doit</w:t>
            </w:r>
            <w:r w:rsidRPr="00893B19">
              <w:rPr>
                <w:sz w:val="20"/>
                <w:lang w:val="fr-CA"/>
              </w:rPr>
              <w:noBreakHyphen/>
              <w:t>il examiner ou écarter les causes de préjudice autres que la négligence? — Quel est le fardeau de la preuve? — Que doit faire le juge de première instance pour éviter la formulation « hasardeuse » de la norme de diligence? — Dans une situation de négligence professionnelle, jusqu’où doit aller le juge de première instance pour identifier les mesures que doit prendre le médecin prudent?</w:t>
            </w:r>
          </w:p>
        </w:tc>
      </w:tr>
      <w:tr w:rsidR="009B6684" w:rsidRPr="00867539" w:rsidTr="009B6684">
        <w:tc>
          <w:tcPr>
            <w:tcW w:w="5000" w:type="pct"/>
            <w:gridSpan w:val="4"/>
          </w:tcPr>
          <w:p w:rsidR="009B6684" w:rsidRPr="00893B19" w:rsidRDefault="009B6684" w:rsidP="009B6684">
            <w:pPr>
              <w:jc w:val="both"/>
              <w:rPr>
                <w:sz w:val="20"/>
                <w:lang w:val="fr-CA"/>
              </w:rPr>
            </w:pPr>
          </w:p>
        </w:tc>
      </w:tr>
      <w:tr w:rsidR="009B6684" w:rsidRPr="00893B19" w:rsidTr="009B6684">
        <w:tc>
          <w:tcPr>
            <w:tcW w:w="5000" w:type="pct"/>
            <w:gridSpan w:val="4"/>
          </w:tcPr>
          <w:p w:rsidR="009B6684" w:rsidRPr="00893B19" w:rsidRDefault="009B6684" w:rsidP="009B6684">
            <w:pPr>
              <w:jc w:val="both"/>
              <w:rPr>
                <w:sz w:val="20"/>
                <w:lang w:val="fr-CA"/>
              </w:rPr>
            </w:pPr>
            <w:r w:rsidRPr="00893B19">
              <w:rPr>
                <w:sz w:val="20"/>
                <w:lang w:val="fr-CA"/>
              </w:rPr>
              <w:t>En février 2010, le D</w:t>
            </w:r>
            <w:r w:rsidRPr="00893B19">
              <w:rPr>
                <w:sz w:val="20"/>
                <w:vertAlign w:val="superscript"/>
                <w:lang w:val="fr-CA"/>
              </w:rPr>
              <w:t>r</w:t>
            </w:r>
            <w:r w:rsidRPr="00893B19">
              <w:rPr>
                <w:sz w:val="20"/>
                <w:lang w:val="fr-CA"/>
              </w:rPr>
              <w:t xml:space="preserve"> Ward a fait l’ablation du côlon de M</w:t>
            </w:r>
            <w:r w:rsidRPr="00893B19">
              <w:rPr>
                <w:sz w:val="20"/>
                <w:vertAlign w:val="superscript"/>
                <w:lang w:val="fr-CA"/>
              </w:rPr>
              <w:t>me</w:t>
            </w:r>
            <w:r w:rsidRPr="00893B19">
              <w:rPr>
                <w:sz w:val="20"/>
                <w:lang w:val="fr-CA"/>
              </w:rPr>
              <w:t xml:space="preserve"> Armstrong par chirurgie laparoscopique. La chirurgie s’est apparemment déroulée sans incident et il n’y avait aucun signe que M</w:t>
            </w:r>
            <w:r w:rsidRPr="00893B19">
              <w:rPr>
                <w:sz w:val="20"/>
                <w:vertAlign w:val="superscript"/>
                <w:lang w:val="fr-CA"/>
              </w:rPr>
              <w:t>me</w:t>
            </w:r>
            <w:r w:rsidRPr="00893B19">
              <w:rPr>
                <w:sz w:val="20"/>
                <w:lang w:val="fr-CA"/>
              </w:rPr>
              <w:t xml:space="preserve"> Armstrong avait subi des lésions. Toutefois, au cours des semaines qui ont suivi, elle s’est mise à avoir des douleurs abdominales postopératoires de plus en plus inquiétantes. Un tomodensitogramme a révélé que son uretère était obstrué par du tissu cicatriciel, causant un grave dommage à son rein gauche. En octobre 2010, elle a dû subir une deuxième intervention chirurgicale pour lui faire l’ablation du rein. Elle a poursuivi le D</w:t>
            </w:r>
            <w:r w:rsidRPr="00893B19">
              <w:rPr>
                <w:sz w:val="20"/>
                <w:vertAlign w:val="superscript"/>
                <w:lang w:val="fr-CA"/>
              </w:rPr>
              <w:t>r</w:t>
            </w:r>
            <w:r w:rsidRPr="00893B19">
              <w:rPr>
                <w:sz w:val="20"/>
                <w:lang w:val="fr-CA"/>
              </w:rPr>
              <w:t xml:space="preserve"> Ward, alléguant qu’il avait causé le tissu cicatriciel qui avait formé l’obstruction dans son uretère en employant inadéquatement, pendant la colectomie, un appareil de cautérisation appelé « LigaSure ». Selon M</w:t>
            </w:r>
            <w:r w:rsidRPr="00893B19">
              <w:rPr>
                <w:sz w:val="20"/>
                <w:vertAlign w:val="superscript"/>
                <w:lang w:val="fr-CA"/>
              </w:rPr>
              <w:t>me</w:t>
            </w:r>
            <w:r w:rsidRPr="00893B19">
              <w:rPr>
                <w:sz w:val="20"/>
                <w:lang w:val="fr-CA"/>
              </w:rPr>
              <w:t xml:space="preserve"> Armstrong, le D</w:t>
            </w:r>
            <w:r w:rsidRPr="00893B19">
              <w:rPr>
                <w:sz w:val="20"/>
                <w:vertAlign w:val="superscript"/>
                <w:lang w:val="fr-CA"/>
              </w:rPr>
              <w:t>r</w:t>
            </w:r>
            <w:r w:rsidRPr="00893B19">
              <w:rPr>
                <w:sz w:val="20"/>
                <w:lang w:val="fr-CA"/>
              </w:rPr>
              <w:t xml:space="preserve"> Ward aurait, par négligence, touché ou frôlé de deux millimètres son uretère avec le LigaSure pendant la colectomie, causant une lésion thermique. Le juge de première instance a statué que le D</w:t>
            </w:r>
            <w:r w:rsidRPr="00893B19">
              <w:rPr>
                <w:sz w:val="20"/>
                <w:vertAlign w:val="superscript"/>
                <w:lang w:val="fr-CA"/>
              </w:rPr>
              <w:t>r</w:t>
            </w:r>
            <w:r w:rsidRPr="00893B19">
              <w:rPr>
                <w:sz w:val="20"/>
                <w:lang w:val="fr-CA"/>
              </w:rPr>
              <w:t xml:space="preserve"> Ward était responsable par négligence de la lésion causée à l’uretère de M</w:t>
            </w:r>
            <w:r w:rsidRPr="00893B19">
              <w:rPr>
                <w:sz w:val="20"/>
                <w:vertAlign w:val="superscript"/>
                <w:lang w:val="fr-CA"/>
              </w:rPr>
              <w:t>me</w:t>
            </w:r>
            <w:r w:rsidRPr="00893B19">
              <w:rPr>
                <w:sz w:val="20"/>
                <w:lang w:val="fr-CA"/>
              </w:rPr>
              <w:t xml:space="preserve"> Armstrong. Cette décision a été infirmée en appel.</w:t>
            </w: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16 avril 2018</w:t>
            </w:r>
          </w:p>
          <w:p w:rsidR="009B6684" w:rsidRPr="00893B19" w:rsidRDefault="009B6684" w:rsidP="009B6684">
            <w:pPr>
              <w:jc w:val="both"/>
              <w:rPr>
                <w:sz w:val="20"/>
                <w:lang w:val="fr-CA"/>
              </w:rPr>
            </w:pPr>
            <w:r w:rsidRPr="00893B19">
              <w:rPr>
                <w:sz w:val="20"/>
                <w:lang w:val="fr-CA"/>
              </w:rPr>
              <w:t>Cour supérieure de justice de l’Ontario</w:t>
            </w:r>
          </w:p>
          <w:p w:rsidR="009B6684" w:rsidRPr="00893B19" w:rsidRDefault="009B6684" w:rsidP="009B6684">
            <w:pPr>
              <w:jc w:val="both"/>
              <w:rPr>
                <w:sz w:val="20"/>
                <w:lang w:val="fr-CA"/>
              </w:rPr>
            </w:pPr>
            <w:r w:rsidRPr="00893B19">
              <w:rPr>
                <w:sz w:val="20"/>
                <w:lang w:val="fr-CA"/>
              </w:rPr>
              <w:t>(Juge Mulligan)</w:t>
            </w:r>
          </w:p>
          <w:p w:rsidR="009B6684" w:rsidRPr="00893B19" w:rsidRDefault="00867539" w:rsidP="009B6684">
            <w:pPr>
              <w:jc w:val="both"/>
              <w:rPr>
                <w:sz w:val="20"/>
                <w:lang w:val="fr-CA"/>
              </w:rPr>
            </w:pPr>
            <w:hyperlink r:id="rId39" w:history="1">
              <w:r w:rsidR="009B6684" w:rsidRPr="00893B19">
                <w:rPr>
                  <w:rStyle w:val="Hyperlink"/>
                  <w:sz w:val="20"/>
                  <w:lang w:val="fr-CA"/>
                </w:rPr>
                <w:t>2018 ONSC 2439</w:t>
              </w:r>
            </w:hyperlink>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Jugement concluant que le l’intimé était responsable de négligence pour les lésions subies par la demanderesse</w:t>
            </w:r>
          </w:p>
          <w:p w:rsidR="009B6684" w:rsidRPr="00893B19" w:rsidRDefault="009B6684" w:rsidP="009B6684">
            <w:pPr>
              <w:jc w:val="both"/>
              <w:rPr>
                <w:sz w:val="20"/>
                <w:lang w:val="fr-CA"/>
              </w:rPr>
            </w:pP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6 décembre 2019</w:t>
            </w:r>
          </w:p>
          <w:p w:rsidR="009B6684" w:rsidRPr="00893B19" w:rsidRDefault="009B6684" w:rsidP="009B6684">
            <w:pPr>
              <w:jc w:val="both"/>
              <w:rPr>
                <w:sz w:val="20"/>
                <w:lang w:val="fr-CA"/>
              </w:rPr>
            </w:pPr>
            <w:r w:rsidRPr="00893B19">
              <w:rPr>
                <w:sz w:val="20"/>
                <w:lang w:val="fr-CA"/>
              </w:rPr>
              <w:t>Cour d’appel de l’Ontario</w:t>
            </w:r>
          </w:p>
          <w:p w:rsidR="009B6684" w:rsidRPr="00893B19" w:rsidRDefault="009B6684" w:rsidP="009B6684">
            <w:pPr>
              <w:jc w:val="both"/>
              <w:rPr>
                <w:sz w:val="20"/>
                <w:lang w:val="fr-CA"/>
              </w:rPr>
            </w:pPr>
            <w:r w:rsidRPr="00893B19">
              <w:rPr>
                <w:sz w:val="20"/>
                <w:lang w:val="fr-CA"/>
              </w:rPr>
              <w:t>(Juges Juriansz, van Rensburg [dissidente] et</w:t>
            </w:r>
          </w:p>
          <w:p w:rsidR="009B6684" w:rsidRPr="00893B19" w:rsidRDefault="009B6684" w:rsidP="009B6684">
            <w:pPr>
              <w:jc w:val="both"/>
              <w:rPr>
                <w:sz w:val="20"/>
                <w:lang w:val="fr-CA"/>
              </w:rPr>
            </w:pPr>
            <w:r w:rsidRPr="00893B19">
              <w:rPr>
                <w:sz w:val="20"/>
                <w:lang w:val="fr-CA"/>
              </w:rPr>
              <w:t>Paciocco)</w:t>
            </w:r>
          </w:p>
          <w:p w:rsidR="009B6684" w:rsidRPr="00893B19" w:rsidRDefault="00867539" w:rsidP="009B6684">
            <w:pPr>
              <w:jc w:val="both"/>
              <w:rPr>
                <w:sz w:val="20"/>
                <w:lang w:val="fr-CA"/>
              </w:rPr>
            </w:pPr>
            <w:hyperlink r:id="rId40" w:history="1">
              <w:r w:rsidR="009B6684" w:rsidRPr="00893B19">
                <w:rPr>
                  <w:rStyle w:val="Hyperlink"/>
                  <w:sz w:val="20"/>
                  <w:lang w:val="fr-CA"/>
                </w:rPr>
                <w:t>2019 ONCA 963</w:t>
              </w:r>
            </w:hyperlink>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Arrêt accueillant l’appel de l’intimé et rejetant l’action de la demanderesse</w:t>
            </w:r>
          </w:p>
          <w:p w:rsidR="009B6684" w:rsidRPr="00893B19" w:rsidRDefault="009B6684" w:rsidP="009B6684">
            <w:pPr>
              <w:jc w:val="both"/>
              <w:rPr>
                <w:sz w:val="20"/>
                <w:lang w:val="fr-CA"/>
              </w:rPr>
            </w:pP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3 février 2020</w:t>
            </w:r>
          </w:p>
          <w:p w:rsidR="009B6684" w:rsidRPr="00893B19" w:rsidRDefault="009B6684" w:rsidP="009B6684">
            <w:pPr>
              <w:jc w:val="both"/>
              <w:rPr>
                <w:sz w:val="20"/>
                <w:lang w:val="fr-CA"/>
              </w:rPr>
            </w:pPr>
            <w:r w:rsidRPr="00893B19">
              <w:rPr>
                <w:sz w:val="20"/>
                <w:lang w:val="fr-CA"/>
              </w:rPr>
              <w:t>Cour suprême du Canada</w:t>
            </w: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Dépôt de la demande d’autorisation d’appel</w:t>
            </w:r>
          </w:p>
          <w:p w:rsidR="009B6684" w:rsidRPr="00893B19" w:rsidRDefault="009B6684" w:rsidP="009B6684">
            <w:pPr>
              <w:jc w:val="both"/>
              <w:rPr>
                <w:sz w:val="20"/>
                <w:lang w:val="fr-CA"/>
              </w:rPr>
            </w:pPr>
          </w:p>
        </w:tc>
      </w:tr>
    </w:tbl>
    <w:p w:rsidR="009B6684" w:rsidRPr="00893B19" w:rsidRDefault="009B6684" w:rsidP="009B6684">
      <w:pPr>
        <w:jc w:val="both"/>
        <w:rPr>
          <w:sz w:val="20"/>
          <w:lang w:val="fr-CA"/>
        </w:rPr>
      </w:pPr>
    </w:p>
    <w:p w:rsidR="009B6684" w:rsidRPr="00893B19" w:rsidRDefault="00867539" w:rsidP="009B6684">
      <w:pPr>
        <w:jc w:val="both"/>
        <w:rPr>
          <w:sz w:val="20"/>
          <w:lang w:val="fr-CA"/>
        </w:rPr>
      </w:pPr>
      <w:r>
        <w:rPr>
          <w:sz w:val="20"/>
        </w:rPr>
        <w:pict>
          <v:rect id="_x0000_i1057" style="width:2in;height:1pt" o:hrpct="0" o:hralign="center" o:hrstd="t" o:hrnoshade="t" o:hr="t" fillcolor="black [3213]" stroked="f"/>
        </w:pict>
      </w:r>
    </w:p>
    <w:p w:rsidR="009B6684" w:rsidRPr="00893B19" w:rsidRDefault="009B6684" w:rsidP="009B66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684" w:rsidRPr="00893B19" w:rsidTr="009B6684">
        <w:tc>
          <w:tcPr>
            <w:tcW w:w="543" w:type="pct"/>
          </w:tcPr>
          <w:p w:rsidR="009B6684" w:rsidRPr="00893B19" w:rsidRDefault="009B6684" w:rsidP="009B6684">
            <w:pPr>
              <w:jc w:val="both"/>
              <w:rPr>
                <w:sz w:val="20"/>
              </w:rPr>
            </w:pPr>
            <w:r w:rsidRPr="00893B19">
              <w:rPr>
                <w:rStyle w:val="SCCFileNumberChar"/>
                <w:sz w:val="20"/>
                <w:szCs w:val="20"/>
              </w:rPr>
              <w:t>39054</w:t>
            </w:r>
          </w:p>
        </w:tc>
        <w:tc>
          <w:tcPr>
            <w:tcW w:w="4457" w:type="pct"/>
            <w:gridSpan w:val="3"/>
          </w:tcPr>
          <w:p w:rsidR="009B6684" w:rsidRPr="00893B19" w:rsidRDefault="009B6684" w:rsidP="009B6684">
            <w:pPr>
              <w:pStyle w:val="SCCLsocParty"/>
              <w:jc w:val="both"/>
              <w:rPr>
                <w:b/>
                <w:sz w:val="20"/>
                <w:szCs w:val="20"/>
                <w:lang w:val="en-US"/>
              </w:rPr>
            </w:pPr>
            <w:r w:rsidRPr="00893B19">
              <w:rPr>
                <w:b/>
                <w:sz w:val="20"/>
                <w:szCs w:val="20"/>
                <w:lang w:val="en-US"/>
              </w:rPr>
              <w:t xml:space="preserve">Moshe Segalovich v. C.S.T. Consultants Inc., </w:t>
            </w:r>
            <w:r w:rsidR="000F34A6" w:rsidRPr="00893B19">
              <w:rPr>
                <w:b/>
                <w:sz w:val="20"/>
                <w:szCs w:val="20"/>
                <w:lang w:val="en-US"/>
              </w:rPr>
              <w:t>Canadian Scholarship Trust Foundation, Heritage Educational Foundation, Kaleido Growth Inc. (formerly known as Universitas Management Inc.), Kaleido Foundation (formerly known as Universitas Foundation of Canada), Children’s Education Funds Inc., Children’s Educational Foundation of Canada, Global RESP Corporation, Global Educational Trust Foundation, Knowledge First Financial Inc. and Knowledge First Foundation, personally and in continuance of proceedings for Heritage Education Funds Inc.</w:t>
            </w:r>
          </w:p>
          <w:p w:rsidR="009B6684" w:rsidRPr="00893B19" w:rsidRDefault="009B6684" w:rsidP="009B6684">
            <w:pPr>
              <w:jc w:val="both"/>
              <w:rPr>
                <w:sz w:val="20"/>
              </w:rPr>
            </w:pPr>
            <w:r w:rsidRPr="00893B19">
              <w:rPr>
                <w:sz w:val="20"/>
              </w:rPr>
              <w:t>(Que.) (Civil) (By Leave)</w:t>
            </w:r>
          </w:p>
        </w:tc>
      </w:tr>
      <w:tr w:rsidR="009B6684" w:rsidRPr="00893B19" w:rsidTr="009B6684">
        <w:tc>
          <w:tcPr>
            <w:tcW w:w="5000" w:type="pct"/>
            <w:gridSpan w:val="4"/>
          </w:tcPr>
          <w:p w:rsidR="000F34A6" w:rsidRPr="00893B19" w:rsidRDefault="000F34A6" w:rsidP="000F34A6">
            <w:pPr>
              <w:jc w:val="both"/>
              <w:rPr>
                <w:sz w:val="20"/>
                <w:szCs w:val="20"/>
              </w:rPr>
            </w:pPr>
            <w:r w:rsidRPr="00893B19">
              <w:rPr>
                <w:sz w:val="20"/>
                <w:szCs w:val="20"/>
              </w:rPr>
              <w:t>The application for leave to appeal from the judgment of the Court of Appeal of Quebec (Montréal), Number 500</w:t>
            </w:r>
            <w:r w:rsidRPr="00893B19">
              <w:rPr>
                <w:sz w:val="20"/>
                <w:szCs w:val="20"/>
              </w:rPr>
              <w:noBreakHyphen/>
              <w:t>09</w:t>
            </w:r>
            <w:r w:rsidRPr="00893B19">
              <w:rPr>
                <w:sz w:val="20"/>
                <w:szCs w:val="20"/>
              </w:rPr>
              <w:noBreakHyphen/>
              <w:t>027725</w:t>
            </w:r>
            <w:r w:rsidRPr="00893B19">
              <w:rPr>
                <w:sz w:val="20"/>
                <w:szCs w:val="20"/>
              </w:rPr>
              <w:noBreakHyphen/>
              <w:t>183, 2019 QCCA 2144, dated December 11, 2019, is dismissed with costs.</w:t>
            </w:r>
          </w:p>
          <w:p w:rsidR="009B6684" w:rsidRPr="00893B19" w:rsidRDefault="009B6684" w:rsidP="009B6684">
            <w:pPr>
              <w:jc w:val="both"/>
              <w:rPr>
                <w:sz w:val="20"/>
              </w:rPr>
            </w:pPr>
          </w:p>
        </w:tc>
      </w:tr>
      <w:tr w:rsidR="009B6684" w:rsidRPr="00893B19" w:rsidTr="009B6684">
        <w:tc>
          <w:tcPr>
            <w:tcW w:w="5000" w:type="pct"/>
            <w:gridSpan w:val="4"/>
          </w:tcPr>
          <w:p w:rsidR="009B6684" w:rsidRPr="00893B19" w:rsidRDefault="009B6684" w:rsidP="009B6684">
            <w:pPr>
              <w:jc w:val="both"/>
              <w:rPr>
                <w:sz w:val="20"/>
              </w:rPr>
            </w:pPr>
            <w:r w:rsidRPr="00893B19">
              <w:rPr>
                <w:sz w:val="20"/>
              </w:rPr>
              <w:t xml:space="preserve">Civil procedure — Class actions — Authorization — Proper representation of class members —Prescription — Impossibility to act — Applicant seeking authorization to institute class action against defendants having charged sales, enrolment and/or membership fees through Registered Education Savings Plans payments — Fees charged allegedly in violation of </w:t>
            </w:r>
            <w:r w:rsidRPr="00893B19">
              <w:rPr>
                <w:i/>
                <w:sz w:val="20"/>
              </w:rPr>
              <w:t>Regulation 15</w:t>
            </w:r>
            <w:r w:rsidRPr="00893B19">
              <w:rPr>
                <w:sz w:val="20"/>
              </w:rPr>
              <w:t xml:space="preserve"> and claimed to be abusive under </w:t>
            </w:r>
            <w:r w:rsidRPr="00893B19">
              <w:rPr>
                <w:i/>
                <w:sz w:val="20"/>
              </w:rPr>
              <w:t>Civil Code of Québec</w:t>
            </w:r>
            <w:r w:rsidRPr="00893B19">
              <w:rPr>
                <w:sz w:val="20"/>
              </w:rPr>
              <w:t xml:space="preserve"> — Courts below finding that applicant’s personal claim is prescribed, such that he is not in position to properly represent class members — Did the Court of Appeal err in finding that the applicant’s claim was prescribed? — Did the Court of Appeal err by not considering certain arguments put forward by applicant? — </w:t>
            </w:r>
            <w:r w:rsidRPr="00893B19">
              <w:rPr>
                <w:i/>
                <w:sz w:val="20"/>
              </w:rPr>
              <w:t>Civil Code of Procedure</w:t>
            </w:r>
            <w:r w:rsidRPr="00893B19">
              <w:rPr>
                <w:sz w:val="20"/>
              </w:rPr>
              <w:t>, C.Q.L.R. c. C</w:t>
            </w:r>
            <w:r w:rsidRPr="00893B19">
              <w:rPr>
                <w:sz w:val="20"/>
              </w:rPr>
              <w:noBreakHyphen/>
              <w:t xml:space="preserve">25.01, art. 575(4) — </w:t>
            </w:r>
            <w:r w:rsidRPr="00893B19">
              <w:rPr>
                <w:i/>
                <w:sz w:val="20"/>
              </w:rPr>
              <w:t>Civil Code of Québec</w:t>
            </w:r>
            <w:r w:rsidRPr="00893B19">
              <w:rPr>
                <w:sz w:val="20"/>
              </w:rPr>
              <w:t xml:space="preserve">, arts. 1437, 2880, 2904 and 2932 — </w:t>
            </w:r>
            <w:r w:rsidRPr="00893B19">
              <w:rPr>
                <w:i/>
                <w:sz w:val="20"/>
              </w:rPr>
              <w:t>Regulation No. 15 respecting Conditions Precedent to Acceptance of Scholarship or Educational Plan Prospectuses</w:t>
            </w:r>
            <w:r w:rsidRPr="00893B19">
              <w:rPr>
                <w:sz w:val="20"/>
              </w:rPr>
              <w:t>, C.Q.L.R. c. V</w:t>
            </w:r>
            <w:r w:rsidRPr="00893B19">
              <w:rPr>
                <w:sz w:val="20"/>
              </w:rPr>
              <w:noBreakHyphen/>
              <w:t>1.1, r. 44, ss. 1.1(7) and 1.1(11).</w:t>
            </w:r>
          </w:p>
        </w:tc>
      </w:tr>
      <w:tr w:rsidR="009B6684" w:rsidRPr="00893B19" w:rsidTr="009B6684">
        <w:tc>
          <w:tcPr>
            <w:tcW w:w="5000" w:type="pct"/>
            <w:gridSpan w:val="4"/>
          </w:tcPr>
          <w:p w:rsidR="009B6684" w:rsidRPr="00893B19" w:rsidRDefault="009B6684" w:rsidP="009B6684">
            <w:pPr>
              <w:jc w:val="both"/>
              <w:rPr>
                <w:sz w:val="20"/>
              </w:rPr>
            </w:pPr>
          </w:p>
          <w:p w:rsidR="009B6684" w:rsidRPr="00893B19" w:rsidRDefault="009B6684" w:rsidP="009B6684">
            <w:pPr>
              <w:jc w:val="both"/>
              <w:rPr>
                <w:sz w:val="20"/>
              </w:rPr>
            </w:pPr>
            <w:r w:rsidRPr="00893B19">
              <w:rPr>
                <w:sz w:val="20"/>
              </w:rPr>
              <w:t xml:space="preserve">The applicant, Mr. Segalovich, sought authorization to institute a class action against the respondents, who all offer </w:t>
            </w:r>
            <w:r w:rsidRPr="00893B19">
              <w:rPr>
                <w:color w:val="000000"/>
                <w:sz w:val="20"/>
              </w:rPr>
              <w:t>group Registered Education Savings Plans (“RESPs”) for the purposes of saving for post</w:t>
            </w:r>
            <w:r w:rsidRPr="00893B19">
              <w:rPr>
                <w:color w:val="000000"/>
                <w:sz w:val="20"/>
              </w:rPr>
              <w:noBreakHyphen/>
              <w:t xml:space="preserve">secondary education. Persons adhering and/or contributing to such plans pay enrolment and other fees over the course of their membership. In the event of cancellation of the plans, these fees are forfeited. Mr. Segalovich opened four RESPs for his children with two of the respondents beginning in June 2006. He cancelled his plan in 2015, which resulted in a forfeiture of a proportion of his total contributions. He alleges that these fees are illegal, in that they contravene the requirements of </w:t>
            </w:r>
            <w:r w:rsidRPr="00893B19">
              <w:rPr>
                <w:sz w:val="20"/>
              </w:rPr>
              <w:t xml:space="preserve">a provincial regulation limiting these kinds of fees to 200$ per plan. Mr. Segalovich also alleges that the fees are abusive in light of art. 1437 of the </w:t>
            </w:r>
            <w:r w:rsidRPr="00893B19">
              <w:rPr>
                <w:i/>
                <w:sz w:val="20"/>
              </w:rPr>
              <w:t>Civil Code of Québec</w:t>
            </w:r>
            <w:r w:rsidRPr="00893B19">
              <w:rPr>
                <w:sz w:val="20"/>
              </w:rPr>
              <w:t xml:space="preserve">. The Superior Court of Québec dismissed Mr. Segalovich’s application. Applying the criteria laid out in art. 575 of the </w:t>
            </w:r>
            <w:r w:rsidRPr="00893B19">
              <w:rPr>
                <w:i/>
                <w:sz w:val="20"/>
              </w:rPr>
              <w:t>Civil Code of Procedure</w:t>
            </w:r>
            <w:r w:rsidRPr="00893B19">
              <w:rPr>
                <w:sz w:val="20"/>
              </w:rPr>
              <w:t>, C.Q.L.R. c. C</w:t>
            </w:r>
            <w:r w:rsidRPr="00893B19">
              <w:rPr>
                <w:sz w:val="20"/>
              </w:rPr>
              <w:noBreakHyphen/>
              <w:t>25.01 (“C.c.p.”) for authorization of a class action, the court found that Mr. Segalovich was not in a position to properly represent the class members (art. 575(4) C.c.p.) because his personal claim against some of the respondents was prescribed. He accordingly lacked a personal interest in the proposed action. The Court of Appeal of Québec dismissed Mr. Segalovich’s appeal. It found that Mr. Segalovich had advanced no errors on the grounds of prescription that would justify its intervention.</w:t>
            </w:r>
          </w:p>
        </w:tc>
      </w:tr>
      <w:tr w:rsidR="009B6684" w:rsidRPr="00893B19" w:rsidTr="009B6684">
        <w:tc>
          <w:tcPr>
            <w:tcW w:w="5000" w:type="pct"/>
            <w:gridSpan w:val="4"/>
          </w:tcPr>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June 14, 2018</w:t>
            </w:r>
          </w:p>
          <w:p w:rsidR="009B6684" w:rsidRPr="00893B19" w:rsidRDefault="009B6684" w:rsidP="009B6684">
            <w:pPr>
              <w:jc w:val="both"/>
              <w:rPr>
                <w:sz w:val="20"/>
              </w:rPr>
            </w:pPr>
            <w:r w:rsidRPr="00893B19">
              <w:rPr>
                <w:sz w:val="20"/>
              </w:rPr>
              <w:t>Superior Court of Quebec</w:t>
            </w:r>
          </w:p>
          <w:p w:rsidR="009B6684" w:rsidRPr="00893B19" w:rsidRDefault="009B6684" w:rsidP="009B6684">
            <w:pPr>
              <w:jc w:val="both"/>
              <w:rPr>
                <w:sz w:val="20"/>
              </w:rPr>
            </w:pPr>
            <w:r w:rsidRPr="00893B19">
              <w:rPr>
                <w:sz w:val="20"/>
              </w:rPr>
              <w:t>(Riordan J.)</w:t>
            </w:r>
          </w:p>
          <w:p w:rsidR="009B6684" w:rsidRPr="00893B19" w:rsidRDefault="00867539" w:rsidP="009B6684">
            <w:pPr>
              <w:jc w:val="both"/>
              <w:rPr>
                <w:sz w:val="20"/>
              </w:rPr>
            </w:pPr>
            <w:hyperlink r:id="rId41" w:history="1">
              <w:r w:rsidR="009B6684" w:rsidRPr="00893B19">
                <w:rPr>
                  <w:rStyle w:val="Hyperlink"/>
                  <w:sz w:val="20"/>
                </w:rPr>
                <w:t>2018 QCCS 6122</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Application for authorization to institute a class action and to appoint applicant as representative plaintiff dismissed</w:t>
            </w:r>
          </w:p>
        </w:tc>
      </w:tr>
      <w:tr w:rsidR="009B6684" w:rsidRPr="00893B19" w:rsidTr="009B6684">
        <w:tc>
          <w:tcPr>
            <w:tcW w:w="2427" w:type="pct"/>
            <w:gridSpan w:val="2"/>
          </w:tcPr>
          <w:p w:rsidR="009B6684" w:rsidRPr="00893B19" w:rsidRDefault="009B6684" w:rsidP="009B6684">
            <w:pPr>
              <w:jc w:val="both"/>
              <w:rPr>
                <w:sz w:val="20"/>
              </w:rPr>
            </w:pPr>
            <w:r w:rsidRPr="00893B19">
              <w:rPr>
                <w:sz w:val="20"/>
              </w:rPr>
              <w:t>December 11, 2019</w:t>
            </w:r>
          </w:p>
          <w:p w:rsidR="009B6684" w:rsidRPr="00893B19" w:rsidRDefault="009B6684" w:rsidP="009B6684">
            <w:pPr>
              <w:jc w:val="both"/>
              <w:rPr>
                <w:sz w:val="20"/>
              </w:rPr>
            </w:pPr>
            <w:r w:rsidRPr="00893B19">
              <w:rPr>
                <w:sz w:val="20"/>
              </w:rPr>
              <w:t>Court of Appeal of Quebec (Montréal)</w:t>
            </w:r>
          </w:p>
          <w:p w:rsidR="009B6684" w:rsidRPr="00893B19" w:rsidRDefault="009B6684" w:rsidP="009B6684">
            <w:pPr>
              <w:jc w:val="both"/>
              <w:rPr>
                <w:sz w:val="20"/>
              </w:rPr>
            </w:pPr>
            <w:r w:rsidRPr="00893B19">
              <w:rPr>
                <w:sz w:val="20"/>
              </w:rPr>
              <w:t>(Morissette, Cotnam and Sansfaçon JJ.A.)</w:t>
            </w:r>
          </w:p>
          <w:p w:rsidR="009B6684" w:rsidRPr="00893B19" w:rsidRDefault="009B6684" w:rsidP="009B6684">
            <w:pPr>
              <w:jc w:val="both"/>
              <w:rPr>
                <w:sz w:val="20"/>
              </w:rPr>
            </w:pPr>
            <w:r w:rsidRPr="00893B19">
              <w:rPr>
                <w:sz w:val="20"/>
              </w:rPr>
              <w:t>File no. 500</w:t>
            </w:r>
            <w:r w:rsidRPr="00893B19">
              <w:rPr>
                <w:sz w:val="20"/>
              </w:rPr>
              <w:noBreakHyphen/>
              <w:t>09</w:t>
            </w:r>
            <w:r w:rsidRPr="00893B19">
              <w:rPr>
                <w:sz w:val="20"/>
              </w:rPr>
              <w:noBreakHyphen/>
              <w:t>027725</w:t>
            </w:r>
            <w:r w:rsidRPr="00893B19">
              <w:rPr>
                <w:sz w:val="20"/>
              </w:rPr>
              <w:noBreakHyphen/>
              <w:t>183</w:t>
            </w:r>
          </w:p>
          <w:p w:rsidR="009B6684" w:rsidRPr="00893B19" w:rsidRDefault="00867539" w:rsidP="009B6684">
            <w:pPr>
              <w:jc w:val="both"/>
              <w:rPr>
                <w:rStyle w:val="Hyperlink"/>
                <w:sz w:val="20"/>
              </w:rPr>
            </w:pPr>
            <w:hyperlink r:id="rId42" w:history="1">
              <w:r w:rsidR="009B6684" w:rsidRPr="00893B19">
                <w:rPr>
                  <w:rStyle w:val="Hyperlink"/>
                  <w:sz w:val="20"/>
                </w:rPr>
                <w:t>2019 QCCA 2144</w:t>
              </w:r>
            </w:hyperlink>
          </w:p>
          <w:p w:rsidR="009B6684" w:rsidRPr="00893B19" w:rsidRDefault="009B6684" w:rsidP="009B6684">
            <w:pPr>
              <w:jc w:val="both"/>
              <w:rPr>
                <w:sz w:val="20"/>
              </w:rPr>
            </w:pP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 xml:space="preserve">Applicant’s appeal dismissed; Respondents’ motion </w:t>
            </w:r>
            <w:r w:rsidRPr="00893B19">
              <w:rPr>
                <w:i/>
                <w:sz w:val="20"/>
              </w:rPr>
              <w:t>de bene esse</w:t>
            </w:r>
            <w:r w:rsidRPr="00893B19">
              <w:rPr>
                <w:sz w:val="20"/>
              </w:rPr>
              <w:t xml:space="preserve"> for leave to appeal dismissed</w:t>
            </w:r>
          </w:p>
          <w:p w:rsidR="009B6684" w:rsidRPr="00893B19" w:rsidRDefault="009B6684" w:rsidP="009B6684">
            <w:pPr>
              <w:jc w:val="both"/>
              <w:rPr>
                <w:sz w:val="20"/>
              </w:rPr>
            </w:pPr>
          </w:p>
        </w:tc>
      </w:tr>
      <w:tr w:rsidR="009B6684" w:rsidRPr="00893B19" w:rsidTr="009B6684">
        <w:tc>
          <w:tcPr>
            <w:tcW w:w="2427" w:type="pct"/>
            <w:gridSpan w:val="2"/>
          </w:tcPr>
          <w:p w:rsidR="009B6684" w:rsidRPr="00893B19" w:rsidRDefault="009B6684" w:rsidP="009B6684">
            <w:pPr>
              <w:jc w:val="both"/>
              <w:rPr>
                <w:sz w:val="20"/>
              </w:rPr>
            </w:pPr>
            <w:r w:rsidRPr="00893B19">
              <w:rPr>
                <w:sz w:val="20"/>
              </w:rPr>
              <w:t>February 10, 2020</w:t>
            </w:r>
          </w:p>
          <w:p w:rsidR="009B6684" w:rsidRPr="00893B19" w:rsidRDefault="009B6684" w:rsidP="009B6684">
            <w:pPr>
              <w:jc w:val="both"/>
              <w:rPr>
                <w:sz w:val="20"/>
              </w:rPr>
            </w:pPr>
            <w:r w:rsidRPr="00893B19">
              <w:rPr>
                <w:sz w:val="20"/>
              </w:rPr>
              <w:t>Supreme Court of Canada</w:t>
            </w:r>
          </w:p>
        </w:tc>
        <w:tc>
          <w:tcPr>
            <w:tcW w:w="243" w:type="pct"/>
          </w:tcPr>
          <w:p w:rsidR="009B6684" w:rsidRPr="00893B19" w:rsidRDefault="009B6684" w:rsidP="009B6684">
            <w:pPr>
              <w:jc w:val="both"/>
              <w:rPr>
                <w:sz w:val="20"/>
              </w:rPr>
            </w:pPr>
          </w:p>
        </w:tc>
        <w:tc>
          <w:tcPr>
            <w:tcW w:w="2330" w:type="pct"/>
          </w:tcPr>
          <w:p w:rsidR="009B6684" w:rsidRPr="00893B19" w:rsidRDefault="009B6684" w:rsidP="009B6684">
            <w:pPr>
              <w:jc w:val="both"/>
              <w:rPr>
                <w:sz w:val="20"/>
              </w:rPr>
            </w:pPr>
            <w:r w:rsidRPr="00893B19">
              <w:rPr>
                <w:sz w:val="20"/>
              </w:rPr>
              <w:t>Application for leave to appeal filed</w:t>
            </w:r>
          </w:p>
          <w:p w:rsidR="009B6684" w:rsidRPr="00893B19" w:rsidRDefault="009B6684" w:rsidP="009B6684">
            <w:pPr>
              <w:jc w:val="both"/>
              <w:rPr>
                <w:sz w:val="20"/>
              </w:rPr>
            </w:pPr>
          </w:p>
        </w:tc>
      </w:tr>
    </w:tbl>
    <w:p w:rsidR="009B6684" w:rsidRPr="00893B19" w:rsidRDefault="009B6684" w:rsidP="009B6684">
      <w:pPr>
        <w:jc w:val="both"/>
        <w:rPr>
          <w:sz w:val="20"/>
        </w:rPr>
      </w:pPr>
    </w:p>
    <w:p w:rsidR="009B6684" w:rsidRPr="00893B19" w:rsidRDefault="00867539" w:rsidP="009B6684">
      <w:pPr>
        <w:jc w:val="both"/>
        <w:rPr>
          <w:sz w:val="20"/>
        </w:rPr>
      </w:pPr>
      <w:r>
        <w:rPr>
          <w:sz w:val="20"/>
        </w:rPr>
        <w:pict>
          <v:rect id="_x0000_i1058" style="width:2in;height:1pt" o:hrpct="0" o:hralign="center" o:hrstd="t" o:hrnoshade="t" o:hr="t" fillcolor="black [3213]" stroked="f"/>
        </w:pict>
      </w:r>
    </w:p>
    <w:p w:rsidR="009B6684" w:rsidRPr="00893B19" w:rsidRDefault="009B6684" w:rsidP="009B66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684" w:rsidRPr="00893B19" w:rsidTr="009B6684">
        <w:tc>
          <w:tcPr>
            <w:tcW w:w="543" w:type="pct"/>
          </w:tcPr>
          <w:p w:rsidR="009B6684" w:rsidRPr="00893B19" w:rsidRDefault="009B6684" w:rsidP="009B6684">
            <w:pPr>
              <w:jc w:val="both"/>
              <w:rPr>
                <w:sz w:val="20"/>
                <w:lang w:val="fr-CA"/>
              </w:rPr>
            </w:pPr>
            <w:r w:rsidRPr="00893B19">
              <w:rPr>
                <w:rStyle w:val="SCCFileNumberChar"/>
                <w:sz w:val="20"/>
                <w:szCs w:val="20"/>
                <w:lang w:val="fr-CA"/>
              </w:rPr>
              <w:t>39054</w:t>
            </w:r>
          </w:p>
        </w:tc>
        <w:tc>
          <w:tcPr>
            <w:tcW w:w="4457" w:type="pct"/>
            <w:gridSpan w:val="3"/>
          </w:tcPr>
          <w:p w:rsidR="009B6684" w:rsidRPr="00893B19" w:rsidRDefault="009B6684" w:rsidP="009B6684">
            <w:pPr>
              <w:pStyle w:val="SCCLsocParty"/>
              <w:jc w:val="both"/>
              <w:rPr>
                <w:b/>
                <w:sz w:val="20"/>
                <w:szCs w:val="20"/>
              </w:rPr>
            </w:pPr>
            <w:r w:rsidRPr="00893B19">
              <w:rPr>
                <w:b/>
                <w:sz w:val="20"/>
                <w:szCs w:val="20"/>
              </w:rPr>
              <w:t xml:space="preserve">Moshe Segalovich c. </w:t>
            </w:r>
            <w:r w:rsidR="000F34A6" w:rsidRPr="00893B19">
              <w:rPr>
                <w:b/>
                <w:sz w:val="20"/>
                <w:szCs w:val="20"/>
              </w:rPr>
              <w:t>Consultants C.S.T. inc., Fondation fiduciaire canadienne de bourses d’études, Fondation éducationnelle Héritage, Kaleido Croissance inc. (anciennement connue sous le nom d’Universitas Management Inc.), Fondation Kaleido (anciennement connue sous le nom d’Universitas Foundation of Canada), Fonds d’études pour les enfants inc., Fondation pour l’éducation des enfants du Canada, Corporation REÉÉ Global, Global Educational Trust Foundation, Première financière du savoir inc. et Première fondation du savoir, personnellement et en reprise d’instance pour Heritage Education Funds Inc.</w:t>
            </w:r>
          </w:p>
          <w:p w:rsidR="009B6684" w:rsidRPr="00893B19" w:rsidRDefault="009B6684" w:rsidP="009B6684">
            <w:pPr>
              <w:jc w:val="both"/>
              <w:rPr>
                <w:sz w:val="20"/>
                <w:lang w:val="fr-CA"/>
              </w:rPr>
            </w:pPr>
            <w:r w:rsidRPr="00893B19">
              <w:rPr>
                <w:sz w:val="20"/>
                <w:lang w:val="fr-CA"/>
              </w:rPr>
              <w:t>(Qc) (Civile) (Autorisation)</w:t>
            </w:r>
          </w:p>
        </w:tc>
      </w:tr>
      <w:tr w:rsidR="009B6684" w:rsidRPr="00867539" w:rsidTr="009B6684">
        <w:tc>
          <w:tcPr>
            <w:tcW w:w="5000" w:type="pct"/>
            <w:gridSpan w:val="4"/>
          </w:tcPr>
          <w:p w:rsidR="009B6684" w:rsidRPr="00893B19" w:rsidRDefault="000F34A6" w:rsidP="009B6684">
            <w:pPr>
              <w:jc w:val="both"/>
              <w:rPr>
                <w:sz w:val="20"/>
                <w:szCs w:val="20"/>
                <w:lang w:val="fr-CA"/>
              </w:rPr>
            </w:pPr>
            <w:r w:rsidRPr="00893B19">
              <w:rPr>
                <w:sz w:val="20"/>
                <w:szCs w:val="20"/>
                <w:lang w:val="fr-CA"/>
              </w:rPr>
              <w:t>La demande d’autorisation d’appel de l’arrêt de la Cour d’appel du Québec (Montréal), numéro 500</w:t>
            </w:r>
            <w:r w:rsidRPr="00893B19">
              <w:rPr>
                <w:sz w:val="20"/>
                <w:szCs w:val="20"/>
                <w:lang w:val="fr-CA"/>
              </w:rPr>
              <w:noBreakHyphen/>
              <w:t>09</w:t>
            </w:r>
            <w:r w:rsidRPr="00893B19">
              <w:rPr>
                <w:sz w:val="20"/>
                <w:szCs w:val="20"/>
                <w:lang w:val="fr-CA"/>
              </w:rPr>
              <w:noBreakHyphen/>
              <w:t>027725</w:t>
            </w:r>
            <w:r w:rsidRPr="00893B19">
              <w:rPr>
                <w:sz w:val="20"/>
                <w:szCs w:val="20"/>
                <w:lang w:val="fr-CA"/>
              </w:rPr>
              <w:noBreakHyphen/>
              <w:t>183, 2019 QCCA 2144, daté du 11 décembre 2019, est rejetée avec dépens.</w:t>
            </w:r>
          </w:p>
          <w:p w:rsidR="000F34A6" w:rsidRPr="00893B19" w:rsidRDefault="000F34A6" w:rsidP="009B6684">
            <w:pPr>
              <w:jc w:val="both"/>
              <w:rPr>
                <w:sz w:val="20"/>
                <w:lang w:val="fr-CA"/>
              </w:rPr>
            </w:pPr>
          </w:p>
        </w:tc>
      </w:tr>
      <w:tr w:rsidR="009B6684" w:rsidRPr="00893B19" w:rsidTr="009B6684">
        <w:tc>
          <w:tcPr>
            <w:tcW w:w="5000" w:type="pct"/>
            <w:gridSpan w:val="4"/>
          </w:tcPr>
          <w:p w:rsidR="009B6684" w:rsidRPr="00893B19" w:rsidRDefault="009B6684" w:rsidP="009B6684">
            <w:pPr>
              <w:jc w:val="both"/>
              <w:rPr>
                <w:sz w:val="20"/>
                <w:lang w:val="fr-CA"/>
              </w:rPr>
            </w:pPr>
            <w:r w:rsidRPr="00893B19">
              <w:rPr>
                <w:sz w:val="20"/>
                <w:lang w:val="fr-CA"/>
              </w:rPr>
              <w:t>Procédure civile — Recours collectifs — Autorisation — Représentation adéquate des membres du groupe — Prescription — Impossibilité d’agir — Le demandeur sollicite l’autorisation d’intenter une action collective contre les défenderesses qui ont facturé des frais de souscription  à des Régimes enregistrés d’épargne</w:t>
            </w:r>
            <w:r w:rsidRPr="00893B19">
              <w:rPr>
                <w:sz w:val="20"/>
                <w:lang w:val="fr-CA"/>
              </w:rPr>
              <w:noBreakHyphen/>
              <w:t xml:space="preserve">études et d’autres frais — Les frais demandés contreviendraient au </w:t>
            </w:r>
            <w:r w:rsidRPr="00893B19">
              <w:rPr>
                <w:i/>
                <w:sz w:val="20"/>
                <w:lang w:val="fr-CA"/>
              </w:rPr>
              <w:t>Règlement C</w:t>
            </w:r>
            <w:r w:rsidRPr="00893B19">
              <w:rPr>
                <w:i/>
                <w:sz w:val="20"/>
                <w:lang w:val="fr-CA"/>
              </w:rPr>
              <w:noBreakHyphen/>
              <w:t>15 15</w:t>
            </w:r>
            <w:r w:rsidRPr="00893B19">
              <w:rPr>
                <w:sz w:val="20"/>
                <w:lang w:val="fr-CA"/>
              </w:rPr>
              <w:t xml:space="preserve"> et auraient un caractère abusif au regard du </w:t>
            </w:r>
            <w:r w:rsidRPr="00893B19">
              <w:rPr>
                <w:i/>
                <w:sz w:val="20"/>
                <w:lang w:val="fr-CA"/>
              </w:rPr>
              <w:t>Code civil du Québec</w:t>
            </w:r>
            <w:r w:rsidRPr="00893B19">
              <w:rPr>
                <w:sz w:val="20"/>
                <w:lang w:val="fr-CA"/>
              </w:rPr>
              <w:t xml:space="preserve"> — Les juridictions inférieures ont conclu que le recours personnel du demandeur était prescrit — La Cour d’appel a</w:t>
            </w:r>
            <w:r w:rsidRPr="00893B19">
              <w:rPr>
                <w:sz w:val="20"/>
                <w:lang w:val="fr-CA"/>
              </w:rPr>
              <w:noBreakHyphen/>
              <w:t>t</w:t>
            </w:r>
            <w:r w:rsidRPr="00893B19">
              <w:rPr>
                <w:sz w:val="20"/>
                <w:lang w:val="fr-CA"/>
              </w:rPr>
              <w:noBreakHyphen/>
              <w:t>elle eu tort de conclure que le recours du demandeur était prescrit? — La Cour d’appel a</w:t>
            </w:r>
            <w:r w:rsidRPr="00893B19">
              <w:rPr>
                <w:sz w:val="20"/>
                <w:lang w:val="fr-CA"/>
              </w:rPr>
              <w:noBreakHyphen/>
              <w:t>t</w:t>
            </w:r>
            <w:r w:rsidRPr="00893B19">
              <w:rPr>
                <w:sz w:val="20"/>
                <w:lang w:val="fr-CA"/>
              </w:rPr>
              <w:noBreakHyphen/>
              <w:t xml:space="preserve">elle eu tort de ne pas prendre en compte certains arguments soulevés par le demandeur? — </w:t>
            </w:r>
            <w:r w:rsidRPr="00893B19">
              <w:rPr>
                <w:i/>
                <w:sz w:val="20"/>
                <w:lang w:val="fr-CA"/>
              </w:rPr>
              <w:t>Code de procédure civile</w:t>
            </w:r>
            <w:r w:rsidRPr="00893B19">
              <w:rPr>
                <w:sz w:val="20"/>
                <w:lang w:val="fr-CA"/>
              </w:rPr>
              <w:t>, R.L.R.Q. ch. C</w:t>
            </w:r>
            <w:r w:rsidRPr="00893B19">
              <w:rPr>
                <w:sz w:val="20"/>
                <w:lang w:val="fr-CA"/>
              </w:rPr>
              <w:noBreakHyphen/>
              <w:t xml:space="preserve">25.01, par. 575(4) — </w:t>
            </w:r>
            <w:r w:rsidRPr="00893B19">
              <w:rPr>
                <w:i/>
                <w:sz w:val="20"/>
                <w:lang w:val="fr-CA"/>
              </w:rPr>
              <w:t>Code civil du Québec</w:t>
            </w:r>
            <w:r w:rsidRPr="00893B19">
              <w:rPr>
                <w:sz w:val="20"/>
                <w:lang w:val="fr-CA"/>
              </w:rPr>
              <w:t xml:space="preserve">, art. 1437, 2880, 2904 et 2932 — </w:t>
            </w:r>
            <w:r w:rsidRPr="00893B19">
              <w:rPr>
                <w:i/>
                <w:iCs/>
                <w:sz w:val="20"/>
                <w:lang w:val="fr-CA"/>
              </w:rPr>
              <w:t>Règlement C</w:t>
            </w:r>
            <w:r w:rsidRPr="00893B19">
              <w:rPr>
                <w:i/>
                <w:iCs/>
                <w:sz w:val="20"/>
                <w:lang w:val="fr-CA"/>
              </w:rPr>
              <w:noBreakHyphen/>
              <w:t>15</w:t>
            </w:r>
            <w:r w:rsidRPr="00893B19">
              <w:rPr>
                <w:i/>
                <w:sz w:val="20"/>
                <w:lang w:val="fr-CA"/>
              </w:rPr>
              <w:t> </w:t>
            </w:r>
            <w:r w:rsidRPr="00893B19">
              <w:rPr>
                <w:i/>
                <w:iCs/>
                <w:sz w:val="20"/>
                <w:lang w:val="fr-CA"/>
              </w:rPr>
              <w:t>sur les conditions préalables à l’acceptation du prospectus des fondations des bourses d’études</w:t>
            </w:r>
            <w:r w:rsidRPr="00893B19">
              <w:rPr>
                <w:sz w:val="20"/>
                <w:lang w:val="fr-CA"/>
              </w:rPr>
              <w:t>, R.L.R.Q. ch. V</w:t>
            </w:r>
            <w:r w:rsidRPr="00893B19">
              <w:rPr>
                <w:sz w:val="20"/>
                <w:lang w:val="fr-CA"/>
              </w:rPr>
              <w:noBreakHyphen/>
              <w:t>1.1, r. 44, par. 1.1(7) et 1.1(11).</w:t>
            </w:r>
          </w:p>
        </w:tc>
      </w:tr>
      <w:tr w:rsidR="009B6684" w:rsidRPr="00867539" w:rsidTr="009B6684">
        <w:tc>
          <w:tcPr>
            <w:tcW w:w="5000" w:type="pct"/>
            <w:gridSpan w:val="4"/>
          </w:tcPr>
          <w:p w:rsidR="009B6684" w:rsidRPr="00893B19" w:rsidRDefault="009B6684" w:rsidP="009B6684">
            <w:pPr>
              <w:jc w:val="both"/>
              <w:rPr>
                <w:sz w:val="20"/>
                <w:lang w:val="fr-CA"/>
              </w:rPr>
            </w:pPr>
          </w:p>
          <w:p w:rsidR="009B6684" w:rsidRPr="00893B19" w:rsidRDefault="009B6684" w:rsidP="009B6684">
            <w:pPr>
              <w:jc w:val="both"/>
              <w:rPr>
                <w:sz w:val="20"/>
                <w:lang w:val="fr-CA"/>
              </w:rPr>
            </w:pPr>
            <w:r w:rsidRPr="00893B19">
              <w:rPr>
                <w:sz w:val="20"/>
                <w:lang w:val="fr-CA"/>
              </w:rPr>
              <w:t>Le demandeur, M. Segalovich, a sollicité l’autorisation d’intenter une action collective contre les intimées qui offrent toutes des Régimes enregistrés d’épargne</w:t>
            </w:r>
            <w:r w:rsidRPr="00893B19">
              <w:rPr>
                <w:sz w:val="20"/>
                <w:lang w:val="fr-CA"/>
              </w:rPr>
              <w:noBreakHyphen/>
              <w:t xml:space="preserve">études collectifs </w:t>
            </w:r>
            <w:r w:rsidRPr="00893B19">
              <w:rPr>
                <w:color w:val="000000"/>
                <w:sz w:val="20"/>
                <w:lang w:val="fr-CA"/>
              </w:rPr>
              <w:t>(« REÉÉ ») qui permettent d’épargner pour les études postsecondaires. Les personnes qui adhèrent ou qui cotisent à de tels régimes acquittent des frais de souscription et d’autres frais pendant la durée de leur adhésion. En cas d’annulation de la participation à ces régimes, ces frais sont perdus. Monsieur Segalovich a souscrit à quatre REÉÉ pour ses enfants auprès de deux des intimées à compter de juin 2006. Il a annulé sa participation au régime en 2015, ce qui a entraîné la perte d’une partie de ses cotisations totales. Il allègue que ces frais sont illégaux et qu’ils contreviennent aux exigences d’un règlement provincial qui limite ces types de frais à</w:t>
            </w:r>
            <w:r w:rsidRPr="00893B19">
              <w:rPr>
                <w:sz w:val="20"/>
                <w:lang w:val="fr-CA"/>
              </w:rPr>
              <w:t xml:space="preserve"> $ 200 par régime. Monsieur Segalovich allègue en outre que ces frais étaient abusifs au regard de l’art. 1437 du </w:t>
            </w:r>
            <w:r w:rsidRPr="00893B19">
              <w:rPr>
                <w:i/>
                <w:sz w:val="20"/>
                <w:lang w:val="fr-CA"/>
              </w:rPr>
              <w:t>Code civil du Québec</w:t>
            </w:r>
            <w:r w:rsidRPr="00893B19">
              <w:rPr>
                <w:sz w:val="20"/>
                <w:lang w:val="fr-CA"/>
              </w:rPr>
              <w:t xml:space="preserve">. La Cour supérieure du Québec a rejeté la demande de M. Segalovich. Appliquant les critères énoncés à l’art. 575 du </w:t>
            </w:r>
            <w:r w:rsidRPr="00893B19">
              <w:rPr>
                <w:i/>
                <w:sz w:val="20"/>
                <w:lang w:val="fr-CA"/>
              </w:rPr>
              <w:t>Code de procédure civile</w:t>
            </w:r>
            <w:r w:rsidRPr="00893B19">
              <w:rPr>
                <w:sz w:val="20"/>
                <w:lang w:val="fr-CA"/>
              </w:rPr>
              <w:t>, R.L.R.Q. ch. C</w:t>
            </w:r>
            <w:r w:rsidRPr="00893B19">
              <w:rPr>
                <w:sz w:val="20"/>
                <w:lang w:val="fr-CA"/>
              </w:rPr>
              <w:noBreakHyphen/>
              <w:t>25.01 (« C.p.c. ») relatifs à l’autorisation d’une action collective, le tribunal a conclu que  M. Segalovich n’était pas en mesure d’assurer une représentation adéquate des membres du groupe (par. 575(4) C.p.c.) parce que son recours personnel contre certaines intimées était prescrit. Il n’avait donc pas l’intérêt personnel à poursuivre dans l’action proposée. La Cour d’appel a rejeté l’appel de M. Segalovich. Elle a conclu que M. Segalovich n’avait établi aucune erreur touchant les motifs de prescription justifiant son intervention.</w:t>
            </w:r>
          </w:p>
        </w:tc>
      </w:tr>
      <w:tr w:rsidR="009B6684" w:rsidRPr="00867539" w:rsidTr="009B6684">
        <w:tc>
          <w:tcPr>
            <w:tcW w:w="5000" w:type="pct"/>
            <w:gridSpan w:val="4"/>
          </w:tcPr>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14 juin 2018</w:t>
            </w:r>
          </w:p>
          <w:p w:rsidR="009B6684" w:rsidRPr="00893B19" w:rsidRDefault="009B6684" w:rsidP="009B6684">
            <w:pPr>
              <w:jc w:val="both"/>
              <w:rPr>
                <w:sz w:val="20"/>
                <w:lang w:val="fr-CA"/>
              </w:rPr>
            </w:pPr>
            <w:r w:rsidRPr="00893B19">
              <w:rPr>
                <w:sz w:val="20"/>
                <w:lang w:val="fr-CA"/>
              </w:rPr>
              <w:t>Cour supérieure du Québec</w:t>
            </w:r>
          </w:p>
          <w:p w:rsidR="009B6684" w:rsidRPr="00893B19" w:rsidRDefault="009B6684" w:rsidP="009B6684">
            <w:pPr>
              <w:jc w:val="both"/>
              <w:rPr>
                <w:sz w:val="20"/>
                <w:lang w:val="fr-CA"/>
              </w:rPr>
            </w:pPr>
            <w:r w:rsidRPr="00893B19">
              <w:rPr>
                <w:sz w:val="20"/>
                <w:lang w:val="fr-CA"/>
              </w:rPr>
              <w:t>(Juge Riordan)</w:t>
            </w:r>
          </w:p>
          <w:p w:rsidR="009B6684" w:rsidRPr="00893B19" w:rsidRDefault="00867539" w:rsidP="009B6684">
            <w:pPr>
              <w:jc w:val="both"/>
              <w:rPr>
                <w:sz w:val="20"/>
                <w:lang w:val="fr-CA"/>
              </w:rPr>
            </w:pPr>
            <w:hyperlink r:id="rId43" w:history="1">
              <w:r w:rsidR="009B6684" w:rsidRPr="00893B19">
                <w:rPr>
                  <w:rStyle w:val="Hyperlink"/>
                  <w:sz w:val="20"/>
                  <w:lang w:val="fr-CA"/>
                </w:rPr>
                <w:t>2018 QCCS 6122</w:t>
              </w:r>
            </w:hyperlink>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Rejet de la demande d’autorisation d’intenter une action collective et de nommer le demandeur comme représentant du groupe</w:t>
            </w: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11 décembre 2019</w:t>
            </w:r>
          </w:p>
          <w:p w:rsidR="009B6684" w:rsidRPr="00893B19" w:rsidRDefault="009B6684" w:rsidP="009B6684">
            <w:pPr>
              <w:jc w:val="both"/>
              <w:rPr>
                <w:sz w:val="20"/>
                <w:lang w:val="fr-CA"/>
              </w:rPr>
            </w:pPr>
            <w:r w:rsidRPr="00893B19">
              <w:rPr>
                <w:sz w:val="20"/>
                <w:lang w:val="fr-CA"/>
              </w:rPr>
              <w:t>Cour d’appel du Québec (Montréal)</w:t>
            </w:r>
          </w:p>
          <w:p w:rsidR="009B6684" w:rsidRPr="00893B19" w:rsidRDefault="009B6684" w:rsidP="009B6684">
            <w:pPr>
              <w:jc w:val="both"/>
              <w:rPr>
                <w:sz w:val="20"/>
                <w:lang w:val="fr-CA"/>
              </w:rPr>
            </w:pPr>
            <w:r w:rsidRPr="00893B19">
              <w:rPr>
                <w:sz w:val="20"/>
                <w:lang w:val="fr-CA"/>
              </w:rPr>
              <w:t>(Juges Morissette, Cotnam et Sansfaçon)</w:t>
            </w:r>
          </w:p>
          <w:p w:rsidR="009B6684" w:rsidRPr="00893B19" w:rsidRDefault="009B6684" w:rsidP="009B6684">
            <w:pPr>
              <w:jc w:val="both"/>
              <w:rPr>
                <w:sz w:val="20"/>
                <w:lang w:val="fr-CA"/>
              </w:rPr>
            </w:pPr>
            <w:r w:rsidRPr="00893B19">
              <w:rPr>
                <w:sz w:val="20"/>
                <w:lang w:val="fr-CA"/>
              </w:rPr>
              <w:t>N</w:t>
            </w:r>
            <w:r w:rsidRPr="00893B19">
              <w:rPr>
                <w:sz w:val="20"/>
                <w:vertAlign w:val="superscript"/>
                <w:lang w:val="fr-CA"/>
              </w:rPr>
              <w:t>o</w:t>
            </w:r>
            <w:r w:rsidRPr="00893B19">
              <w:rPr>
                <w:sz w:val="20"/>
                <w:lang w:val="fr-CA"/>
              </w:rPr>
              <w:t xml:space="preserve"> de dossier 500</w:t>
            </w:r>
            <w:r w:rsidRPr="00893B19">
              <w:rPr>
                <w:sz w:val="20"/>
                <w:lang w:val="fr-CA"/>
              </w:rPr>
              <w:noBreakHyphen/>
              <w:t>09</w:t>
            </w:r>
            <w:r w:rsidRPr="00893B19">
              <w:rPr>
                <w:sz w:val="20"/>
                <w:lang w:val="fr-CA"/>
              </w:rPr>
              <w:noBreakHyphen/>
              <w:t>027725</w:t>
            </w:r>
            <w:r w:rsidRPr="00893B19">
              <w:rPr>
                <w:sz w:val="20"/>
                <w:lang w:val="fr-CA"/>
              </w:rPr>
              <w:noBreakHyphen/>
              <w:t>183</w:t>
            </w:r>
          </w:p>
          <w:p w:rsidR="009B6684" w:rsidRPr="00893B19" w:rsidRDefault="00867539" w:rsidP="009B6684">
            <w:pPr>
              <w:jc w:val="both"/>
              <w:rPr>
                <w:rStyle w:val="Hyperlink"/>
                <w:sz w:val="20"/>
                <w:lang w:val="fr-CA"/>
              </w:rPr>
            </w:pPr>
            <w:hyperlink r:id="rId44" w:history="1">
              <w:r w:rsidR="009B6684" w:rsidRPr="00893B19">
                <w:rPr>
                  <w:rStyle w:val="Hyperlink"/>
                  <w:sz w:val="20"/>
                  <w:lang w:val="fr-CA"/>
                </w:rPr>
                <w:t>2019 QCCA 2144</w:t>
              </w:r>
            </w:hyperlink>
          </w:p>
          <w:p w:rsidR="009B6684" w:rsidRPr="00893B19" w:rsidRDefault="009B6684" w:rsidP="009B6684">
            <w:pPr>
              <w:jc w:val="both"/>
              <w:rPr>
                <w:sz w:val="20"/>
                <w:lang w:val="fr-CA"/>
              </w:rPr>
            </w:pP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Rejet de l’appel du demandeur et rejet de</w:t>
            </w:r>
            <w:r w:rsidRPr="00893B19">
              <w:rPr>
                <w:rFonts w:ascii="Arial" w:hAnsi="Arial" w:cs="Arial"/>
                <w:color w:val="000000"/>
                <w:sz w:val="20"/>
                <w:shd w:val="clear" w:color="auto" w:fill="FFFFFF"/>
                <w:lang w:val="fr-CA"/>
              </w:rPr>
              <w:t xml:space="preserve"> </w:t>
            </w:r>
            <w:r w:rsidRPr="00893B19">
              <w:rPr>
                <w:sz w:val="20"/>
                <w:lang w:val="fr-CA"/>
              </w:rPr>
              <w:t>la requête pour permission d’appeler de </w:t>
            </w:r>
            <w:r w:rsidRPr="00893B19">
              <w:rPr>
                <w:i/>
                <w:iCs/>
                <w:sz w:val="20"/>
                <w:lang w:val="fr-CA"/>
              </w:rPr>
              <w:t>bene esse</w:t>
            </w:r>
            <w:r w:rsidRPr="00893B19">
              <w:rPr>
                <w:sz w:val="20"/>
                <w:lang w:val="fr-CA"/>
              </w:rPr>
              <w:t xml:space="preserve"> présentée par les intimées </w:t>
            </w:r>
          </w:p>
          <w:p w:rsidR="009B6684" w:rsidRPr="00893B19" w:rsidRDefault="009B6684" w:rsidP="009B6684">
            <w:pPr>
              <w:jc w:val="both"/>
              <w:rPr>
                <w:sz w:val="20"/>
                <w:lang w:val="fr-CA"/>
              </w:rPr>
            </w:pPr>
          </w:p>
        </w:tc>
      </w:tr>
      <w:tr w:rsidR="009B6684" w:rsidRPr="00867539" w:rsidTr="009B6684">
        <w:tc>
          <w:tcPr>
            <w:tcW w:w="2427" w:type="pct"/>
            <w:gridSpan w:val="2"/>
          </w:tcPr>
          <w:p w:rsidR="009B6684" w:rsidRPr="00893B19" w:rsidRDefault="009B6684" w:rsidP="009B6684">
            <w:pPr>
              <w:jc w:val="both"/>
              <w:rPr>
                <w:sz w:val="20"/>
                <w:lang w:val="fr-CA"/>
              </w:rPr>
            </w:pPr>
            <w:r w:rsidRPr="00893B19">
              <w:rPr>
                <w:sz w:val="20"/>
                <w:lang w:val="fr-CA"/>
              </w:rPr>
              <w:t>10 février 2020</w:t>
            </w:r>
          </w:p>
          <w:p w:rsidR="009B6684" w:rsidRPr="00893B19" w:rsidRDefault="009B6684" w:rsidP="009B6684">
            <w:pPr>
              <w:jc w:val="both"/>
              <w:rPr>
                <w:sz w:val="20"/>
                <w:lang w:val="fr-CA"/>
              </w:rPr>
            </w:pPr>
            <w:r w:rsidRPr="00893B19">
              <w:rPr>
                <w:sz w:val="20"/>
                <w:lang w:val="fr-CA"/>
              </w:rPr>
              <w:t>Cour suprême du Canada</w:t>
            </w:r>
          </w:p>
        </w:tc>
        <w:tc>
          <w:tcPr>
            <w:tcW w:w="243" w:type="pct"/>
          </w:tcPr>
          <w:p w:rsidR="009B6684" w:rsidRPr="00893B19" w:rsidRDefault="009B6684" w:rsidP="009B6684">
            <w:pPr>
              <w:jc w:val="both"/>
              <w:rPr>
                <w:sz w:val="20"/>
                <w:lang w:val="fr-CA"/>
              </w:rPr>
            </w:pPr>
          </w:p>
        </w:tc>
        <w:tc>
          <w:tcPr>
            <w:tcW w:w="2330" w:type="pct"/>
          </w:tcPr>
          <w:p w:rsidR="009B6684" w:rsidRPr="00893B19" w:rsidRDefault="009B6684" w:rsidP="009B6684">
            <w:pPr>
              <w:jc w:val="both"/>
              <w:rPr>
                <w:sz w:val="20"/>
                <w:lang w:val="fr-CA"/>
              </w:rPr>
            </w:pPr>
            <w:r w:rsidRPr="00893B19">
              <w:rPr>
                <w:sz w:val="20"/>
                <w:lang w:val="fr-CA"/>
              </w:rPr>
              <w:t>Dépôt de la demande d’autorisation d’appel</w:t>
            </w:r>
          </w:p>
          <w:p w:rsidR="009B6684" w:rsidRPr="00893B19" w:rsidRDefault="009B6684" w:rsidP="009B6684">
            <w:pPr>
              <w:jc w:val="both"/>
              <w:rPr>
                <w:sz w:val="20"/>
                <w:lang w:val="fr-CA"/>
              </w:rPr>
            </w:pPr>
          </w:p>
        </w:tc>
      </w:tr>
    </w:tbl>
    <w:p w:rsidR="004B2E86" w:rsidRPr="00893B19" w:rsidRDefault="004B2E86" w:rsidP="004B2E86">
      <w:pPr>
        <w:jc w:val="both"/>
        <w:rPr>
          <w:sz w:val="20"/>
          <w:szCs w:val="20"/>
          <w:lang w:val="fr-CA"/>
        </w:rPr>
      </w:pPr>
    </w:p>
    <w:p w:rsidR="00102792" w:rsidRPr="00893B19" w:rsidRDefault="00867539" w:rsidP="004B2E86">
      <w:pPr>
        <w:jc w:val="both"/>
        <w:rPr>
          <w:sz w:val="20"/>
          <w:szCs w:val="20"/>
          <w:lang w:val="fr-CA"/>
        </w:rPr>
      </w:pPr>
      <w:r>
        <w:rPr>
          <w:sz w:val="20"/>
          <w:szCs w:val="20"/>
        </w:rPr>
        <w:pict>
          <v:rect id="_x0000_i1059" style="width:2in;height:1pt" o:hrpct="0" o:hralign="center" o:hrstd="t" o:hrnoshade="t" o:hr="t" fillcolor="black" stroked="f"/>
        </w:pict>
      </w:r>
    </w:p>
    <w:p w:rsidR="00E06F20" w:rsidRPr="00893B19" w:rsidRDefault="00E06F20" w:rsidP="00102792">
      <w:pPr>
        <w:jc w:val="both"/>
        <w:rPr>
          <w:sz w:val="20"/>
          <w:lang w:val="fr-CA"/>
        </w:rPr>
      </w:pPr>
    </w:p>
    <w:p w:rsidR="009B6684" w:rsidRPr="00893B19" w:rsidRDefault="009B6684" w:rsidP="00102792">
      <w:pPr>
        <w:jc w:val="both"/>
        <w:rPr>
          <w:sz w:val="20"/>
          <w:lang w:val="fr-CA"/>
        </w:rPr>
      </w:pPr>
    </w:p>
    <w:p w:rsidR="00890FEB" w:rsidRPr="00893B19" w:rsidRDefault="00890FEB" w:rsidP="008D292F">
      <w:pPr>
        <w:rPr>
          <w:sz w:val="20"/>
          <w:szCs w:val="20"/>
          <w:lang w:val="fr-CA"/>
        </w:rPr>
      </w:pPr>
    </w:p>
    <w:p w:rsidR="00890FEB" w:rsidRPr="00893B19" w:rsidRDefault="00890FEB" w:rsidP="008D292F">
      <w:pPr>
        <w:rPr>
          <w:b/>
          <w:sz w:val="20"/>
          <w:szCs w:val="20"/>
          <w:lang w:val="fr-CA"/>
        </w:rPr>
        <w:sectPr w:rsidR="00890FEB" w:rsidRPr="00893B19" w:rsidSect="008D292F">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693C38" w:rsidRPr="00893B19" w:rsidRDefault="00DD0BDC" w:rsidP="00567602">
      <w:pPr>
        <w:pStyle w:val="Header1StyleE"/>
        <w:pBdr>
          <w:bottom w:val="single" w:sz="12" w:space="1" w:color="auto"/>
        </w:pBdr>
        <w:rPr>
          <w:lang w:val="fr-CA"/>
        </w:rPr>
      </w:pPr>
      <w:bookmarkStart w:id="4" w:name="_Toc41632519"/>
      <w:r w:rsidRPr="00893B19">
        <w:rPr>
          <w:lang w:val="fr-CA"/>
        </w:rPr>
        <w:t>Motions</w:t>
      </w:r>
      <w:r w:rsidR="00271E1E" w:rsidRPr="00893B19">
        <w:rPr>
          <w:lang w:val="fr-CA"/>
        </w:rPr>
        <w:t xml:space="preserve"> / </w:t>
      </w:r>
      <w:r w:rsidR="00693C38" w:rsidRPr="00893B19">
        <w:rPr>
          <w:lang w:val="fr-CA"/>
        </w:rPr>
        <w:br/>
      </w:r>
      <w:r w:rsidRPr="00893B19">
        <w:rPr>
          <w:lang w:val="fr-CA"/>
        </w:rPr>
        <w:t>Requêtes</w:t>
      </w:r>
      <w:bookmarkEnd w:id="4"/>
    </w:p>
    <w:p w:rsidR="00890FEB" w:rsidRPr="00893B19" w:rsidRDefault="00890FEB" w:rsidP="00890FEB">
      <w:pPr>
        <w:rPr>
          <w:sz w:val="20"/>
          <w:szCs w:val="20"/>
          <w:lang w:val="fr-CA"/>
        </w:rPr>
      </w:pPr>
    </w:p>
    <w:p w:rsidR="008859F1" w:rsidRPr="00893B19" w:rsidRDefault="00691D1D" w:rsidP="008859F1">
      <w:pPr>
        <w:rPr>
          <w:b/>
          <w:sz w:val="20"/>
          <w:szCs w:val="20"/>
          <w:lang w:val="fr-CA"/>
        </w:rPr>
      </w:pPr>
      <w:r w:rsidRPr="00893B19">
        <w:rPr>
          <w:b/>
          <w:sz w:val="20"/>
          <w:szCs w:val="20"/>
          <w:lang w:val="fr-CA"/>
        </w:rPr>
        <w:t>MA</w:t>
      </w:r>
      <w:r w:rsidR="00597CE0" w:rsidRPr="00893B19">
        <w:rPr>
          <w:b/>
          <w:sz w:val="20"/>
          <w:szCs w:val="20"/>
          <w:lang w:val="fr-CA"/>
        </w:rPr>
        <w:t xml:space="preserve">Y </w:t>
      </w:r>
      <w:r w:rsidRPr="00893B19">
        <w:rPr>
          <w:b/>
          <w:sz w:val="20"/>
          <w:szCs w:val="20"/>
          <w:lang w:val="fr-CA"/>
        </w:rPr>
        <w:t>1</w:t>
      </w:r>
      <w:r w:rsidR="00597CE0" w:rsidRPr="00893B19">
        <w:rPr>
          <w:b/>
          <w:sz w:val="20"/>
          <w:szCs w:val="20"/>
          <w:lang w:val="fr-CA"/>
        </w:rPr>
        <w:t>9</w:t>
      </w:r>
      <w:r w:rsidR="008859F1" w:rsidRPr="00893B19">
        <w:rPr>
          <w:b/>
          <w:sz w:val="20"/>
          <w:szCs w:val="20"/>
          <w:lang w:val="fr-CA"/>
        </w:rPr>
        <w:t>, 20</w:t>
      </w:r>
      <w:r w:rsidR="005967EF" w:rsidRPr="00893B19">
        <w:rPr>
          <w:b/>
          <w:sz w:val="20"/>
          <w:szCs w:val="20"/>
          <w:lang w:val="fr-CA"/>
        </w:rPr>
        <w:t>20</w:t>
      </w:r>
      <w:r w:rsidR="008859F1" w:rsidRPr="00893B19">
        <w:rPr>
          <w:b/>
          <w:sz w:val="20"/>
          <w:szCs w:val="20"/>
          <w:lang w:val="fr-CA"/>
        </w:rPr>
        <w:t xml:space="preserve"> / LE </w:t>
      </w:r>
      <w:r w:rsidRPr="00893B19">
        <w:rPr>
          <w:b/>
          <w:sz w:val="20"/>
          <w:szCs w:val="20"/>
          <w:lang w:val="fr-CA"/>
        </w:rPr>
        <w:t>1</w:t>
      </w:r>
      <w:r w:rsidR="00597CE0" w:rsidRPr="00893B19">
        <w:rPr>
          <w:b/>
          <w:sz w:val="20"/>
          <w:szCs w:val="20"/>
          <w:lang w:val="fr-CA"/>
        </w:rPr>
        <w:t>9</w:t>
      </w:r>
      <w:r w:rsidR="008859F1" w:rsidRPr="00893B19">
        <w:rPr>
          <w:b/>
          <w:sz w:val="20"/>
          <w:szCs w:val="20"/>
          <w:lang w:val="fr-CA"/>
        </w:rPr>
        <w:t xml:space="preserve"> </w:t>
      </w:r>
      <w:r w:rsidRPr="00893B19">
        <w:rPr>
          <w:b/>
          <w:sz w:val="20"/>
          <w:szCs w:val="20"/>
          <w:lang w:val="fr-CA"/>
        </w:rPr>
        <w:t>MA</w:t>
      </w:r>
      <w:r w:rsidR="00597CE0" w:rsidRPr="00893B19">
        <w:rPr>
          <w:b/>
          <w:sz w:val="20"/>
          <w:szCs w:val="20"/>
          <w:lang w:val="fr-CA"/>
        </w:rPr>
        <w:t>I</w:t>
      </w:r>
      <w:r w:rsidR="008859F1" w:rsidRPr="00893B19">
        <w:rPr>
          <w:b/>
          <w:sz w:val="20"/>
          <w:szCs w:val="20"/>
          <w:lang w:val="fr-CA"/>
        </w:rPr>
        <w:t xml:space="preserve"> 20</w:t>
      </w:r>
      <w:r w:rsidR="005967EF" w:rsidRPr="00893B19">
        <w:rPr>
          <w:b/>
          <w:sz w:val="20"/>
          <w:szCs w:val="20"/>
          <w:lang w:val="fr-CA"/>
        </w:rPr>
        <w:t>20</w:t>
      </w:r>
    </w:p>
    <w:p w:rsidR="00102792" w:rsidRPr="00893B1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893B19" w:rsidTr="00691D1D">
        <w:tc>
          <w:tcPr>
            <w:tcW w:w="4410" w:type="dxa"/>
            <w:tcBorders>
              <w:top w:val="nil"/>
              <w:left w:val="nil"/>
              <w:bottom w:val="nil"/>
              <w:right w:val="nil"/>
            </w:tcBorders>
          </w:tcPr>
          <w:p w:rsidR="00D93A6C" w:rsidRPr="00893B19" w:rsidRDefault="00D93A6C" w:rsidP="00597CE0">
            <w:pPr>
              <w:jc w:val="both"/>
              <w:rPr>
                <w:rFonts w:cs="Times New Roman"/>
                <w:b/>
                <w:bCs/>
                <w:sz w:val="20"/>
                <w:szCs w:val="20"/>
                <w:lang w:val="en-US"/>
              </w:rPr>
            </w:pPr>
            <w:r w:rsidRPr="00893B19">
              <w:rPr>
                <w:rFonts w:eastAsia="Times New Roman" w:cs="Times New Roman"/>
                <w:b/>
                <w:sz w:val="20"/>
                <w:szCs w:val="20"/>
                <w:lang w:val="en-US" w:eastAsia="en-CA"/>
              </w:rPr>
              <w:t xml:space="preserve">Motion </w:t>
            </w:r>
            <w:r w:rsidR="00597CE0" w:rsidRPr="00893B19">
              <w:rPr>
                <w:rFonts w:eastAsia="Times New Roman" w:cs="Times New Roman"/>
                <w:b/>
                <w:sz w:val="20"/>
                <w:szCs w:val="20"/>
                <w:lang w:val="en-US" w:eastAsia="en-CA"/>
              </w:rPr>
              <w:t>f</w:t>
            </w:r>
            <w:r w:rsidRPr="00893B19">
              <w:rPr>
                <w:rFonts w:eastAsia="Times New Roman" w:cs="Times New Roman"/>
                <w:b/>
                <w:sz w:val="20"/>
                <w:szCs w:val="20"/>
                <w:lang w:val="en-US" w:eastAsia="en-CA"/>
              </w:rPr>
              <w:t>o</w:t>
            </w:r>
            <w:r w:rsidR="00597CE0" w:rsidRPr="00893B19">
              <w:rPr>
                <w:rFonts w:eastAsia="Times New Roman" w:cs="Times New Roman"/>
                <w:b/>
                <w:sz w:val="20"/>
                <w:szCs w:val="20"/>
                <w:lang w:val="en-US" w:eastAsia="en-CA"/>
              </w:rPr>
              <w:t>r leave to intervene</w:t>
            </w:r>
          </w:p>
        </w:tc>
        <w:tc>
          <w:tcPr>
            <w:tcW w:w="810" w:type="dxa"/>
            <w:tcBorders>
              <w:top w:val="nil"/>
              <w:left w:val="nil"/>
              <w:bottom w:val="nil"/>
              <w:right w:val="nil"/>
            </w:tcBorders>
          </w:tcPr>
          <w:p w:rsidR="00D93A6C" w:rsidRPr="00893B1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893B19" w:rsidRDefault="00597CE0" w:rsidP="00691D1D">
            <w:pPr>
              <w:jc w:val="both"/>
              <w:rPr>
                <w:rFonts w:cs="Times New Roman"/>
                <w:b/>
                <w:bCs/>
                <w:sz w:val="20"/>
                <w:szCs w:val="20"/>
                <w:lang w:val="fr-CA"/>
              </w:rPr>
            </w:pPr>
            <w:r w:rsidRPr="00893B19">
              <w:rPr>
                <w:rFonts w:eastAsia="Times New Roman" w:cs="Times New Roman"/>
                <w:b/>
                <w:sz w:val="20"/>
                <w:szCs w:val="20"/>
                <w:lang w:val="fr-CA" w:eastAsia="en-CA"/>
              </w:rPr>
              <w:t>Requête en autorisation d'intervention</w:t>
            </w:r>
          </w:p>
        </w:tc>
      </w:tr>
    </w:tbl>
    <w:p w:rsidR="00D93A6C" w:rsidRPr="00893B19" w:rsidRDefault="00D93A6C" w:rsidP="00102792">
      <w:pPr>
        <w:tabs>
          <w:tab w:val="left" w:pos="-1440"/>
          <w:tab w:val="left" w:pos="-720"/>
        </w:tabs>
        <w:jc w:val="both"/>
        <w:rPr>
          <w:rFonts w:eastAsia="Times New Roman" w:cs="Times New Roman"/>
          <w:sz w:val="20"/>
          <w:szCs w:val="20"/>
          <w:lang w:val="fr-CA" w:eastAsia="en-CA"/>
        </w:rPr>
      </w:pPr>
    </w:p>
    <w:p w:rsidR="00D93A6C" w:rsidRPr="00893B19" w:rsidRDefault="00D93A6C" w:rsidP="00102792">
      <w:pPr>
        <w:tabs>
          <w:tab w:val="left" w:pos="-1440"/>
          <w:tab w:val="left" w:pos="-720"/>
        </w:tabs>
        <w:jc w:val="both"/>
        <w:rPr>
          <w:rFonts w:eastAsia="Times New Roman" w:cs="Times New Roman"/>
          <w:sz w:val="20"/>
          <w:szCs w:val="20"/>
          <w:lang w:val="fr-CA" w:eastAsia="en-CA"/>
        </w:rPr>
      </w:pPr>
    </w:p>
    <w:p w:rsidR="00597CE0" w:rsidRPr="00893B19" w:rsidRDefault="00597CE0" w:rsidP="00597CE0">
      <w:pPr>
        <w:rPr>
          <w:rFonts w:cs="Times New Roman"/>
          <w:b/>
          <w:bCs/>
          <w:sz w:val="20"/>
          <w:szCs w:val="20"/>
          <w:lang w:val="en-US"/>
        </w:rPr>
      </w:pPr>
      <w:r w:rsidRPr="00893B19">
        <w:rPr>
          <w:rFonts w:cs="Times New Roman"/>
          <w:b/>
          <w:bCs/>
          <w:sz w:val="20"/>
          <w:szCs w:val="20"/>
        </w:rPr>
        <w:t>HER MAJESTY THE QUEEN v. THOMAS SLATTER</w:t>
      </w:r>
    </w:p>
    <w:p w:rsidR="00597CE0" w:rsidRPr="00893B19" w:rsidRDefault="00597CE0" w:rsidP="00597CE0">
      <w:pPr>
        <w:rPr>
          <w:rFonts w:cs="Times New Roman"/>
          <w:bCs/>
          <w:sz w:val="20"/>
          <w:szCs w:val="20"/>
        </w:rPr>
      </w:pPr>
      <w:r w:rsidRPr="00893B19">
        <w:rPr>
          <w:rFonts w:cs="Times New Roman"/>
          <w:bCs/>
          <w:sz w:val="20"/>
          <w:szCs w:val="20"/>
        </w:rPr>
        <w:t>(Ont.) (38870)</w:t>
      </w:r>
    </w:p>
    <w:p w:rsidR="00597CE0" w:rsidRPr="00893B19" w:rsidRDefault="00597CE0" w:rsidP="00597CE0">
      <w:pPr>
        <w:rPr>
          <w:rFonts w:cs="Times New Roman"/>
          <w:sz w:val="20"/>
          <w:szCs w:val="20"/>
        </w:rPr>
      </w:pPr>
    </w:p>
    <w:p w:rsidR="00597CE0" w:rsidRPr="00893B19" w:rsidRDefault="00597CE0" w:rsidP="00597CE0">
      <w:pPr>
        <w:rPr>
          <w:rFonts w:cs="Times New Roman"/>
          <w:sz w:val="20"/>
          <w:szCs w:val="20"/>
        </w:rPr>
      </w:pPr>
      <w:r w:rsidRPr="00893B19">
        <w:rPr>
          <w:rFonts w:cs="Times New Roman"/>
          <w:b/>
          <w:bCs/>
          <w:sz w:val="20"/>
          <w:szCs w:val="20"/>
          <w:u w:val="single"/>
        </w:rPr>
        <w:t>JUSTICE C</w:t>
      </w:r>
      <w:r w:rsidRPr="00893B19">
        <w:rPr>
          <w:rFonts w:cs="Times New Roman"/>
          <w:b/>
          <w:bCs/>
          <w:sz w:val="20"/>
          <w:szCs w:val="20"/>
          <w:u w:val="single"/>
          <w:lang w:val="en-US"/>
        </w:rPr>
        <w:t>ÔTÉ</w:t>
      </w:r>
      <w:r w:rsidRPr="00893B19">
        <w:rPr>
          <w:rFonts w:cs="Times New Roman"/>
          <w:b/>
          <w:bCs/>
          <w:sz w:val="20"/>
          <w:szCs w:val="20"/>
        </w:rPr>
        <w:t>:</w:t>
      </w:r>
    </w:p>
    <w:p w:rsidR="00597CE0" w:rsidRPr="00893B19" w:rsidRDefault="00597CE0" w:rsidP="00597CE0">
      <w:pPr>
        <w:rPr>
          <w:rFonts w:cs="Times New Roman"/>
          <w:sz w:val="20"/>
          <w:szCs w:val="20"/>
        </w:rPr>
      </w:pPr>
    </w:p>
    <w:p w:rsidR="00597CE0" w:rsidRPr="00893B19" w:rsidRDefault="00597CE0" w:rsidP="00597CE0">
      <w:pPr>
        <w:rPr>
          <w:rFonts w:cs="Times New Roman"/>
          <w:sz w:val="20"/>
          <w:szCs w:val="20"/>
        </w:rPr>
      </w:pPr>
      <w:r w:rsidRPr="00893B19">
        <w:rPr>
          <w:rFonts w:cs="Times New Roman"/>
          <w:b/>
          <w:bCs/>
          <w:sz w:val="20"/>
          <w:szCs w:val="20"/>
        </w:rPr>
        <w:t xml:space="preserve">UPON APPLICATION </w:t>
      </w:r>
      <w:r w:rsidRPr="00893B19">
        <w:rPr>
          <w:rFonts w:cs="Times New Roman"/>
          <w:sz w:val="20"/>
          <w:szCs w:val="20"/>
        </w:rPr>
        <w:t>by the Canadian Association for Community Living; the Women’s Legal Education and Action Fund Inc., the DisAbled Women’s Network Canada and the ARCH Disability Law Centre (jointly); and the Barbra Schlifer Commemorative Clinic for leave to intervene in the above appeal;</w:t>
      </w:r>
    </w:p>
    <w:p w:rsidR="00597CE0" w:rsidRPr="00893B19" w:rsidRDefault="00597CE0" w:rsidP="00597CE0">
      <w:pPr>
        <w:spacing w:line="232" w:lineRule="auto"/>
        <w:rPr>
          <w:rFonts w:cs="Times New Roman"/>
          <w:sz w:val="20"/>
          <w:szCs w:val="20"/>
        </w:rPr>
      </w:pPr>
    </w:p>
    <w:p w:rsidR="00597CE0" w:rsidRPr="00893B19" w:rsidRDefault="00597CE0" w:rsidP="00597CE0">
      <w:pPr>
        <w:spacing w:line="232" w:lineRule="auto"/>
        <w:rPr>
          <w:rFonts w:cs="Times New Roman"/>
          <w:sz w:val="20"/>
          <w:szCs w:val="20"/>
          <w:lang w:val="en-US"/>
        </w:rPr>
      </w:pPr>
      <w:r w:rsidRPr="00893B19">
        <w:rPr>
          <w:rFonts w:cs="Times New Roman"/>
          <w:b/>
          <w:bCs/>
          <w:sz w:val="20"/>
          <w:szCs w:val="20"/>
        </w:rPr>
        <w:t>AND THE MATERIAL FILED</w:t>
      </w:r>
      <w:r w:rsidRPr="00893B19">
        <w:rPr>
          <w:rFonts w:cs="Times New Roman"/>
          <w:sz w:val="20"/>
          <w:szCs w:val="20"/>
        </w:rPr>
        <w:t xml:space="preserve"> having been read;</w:t>
      </w:r>
    </w:p>
    <w:p w:rsidR="00597CE0" w:rsidRPr="00893B19" w:rsidRDefault="00597CE0" w:rsidP="00597CE0">
      <w:pPr>
        <w:spacing w:line="232" w:lineRule="auto"/>
        <w:rPr>
          <w:rFonts w:cs="Times New Roman"/>
          <w:sz w:val="20"/>
          <w:szCs w:val="20"/>
        </w:rPr>
      </w:pPr>
    </w:p>
    <w:p w:rsidR="00597CE0" w:rsidRPr="00893B19" w:rsidRDefault="00597CE0" w:rsidP="00597CE0">
      <w:pPr>
        <w:spacing w:line="232" w:lineRule="auto"/>
        <w:rPr>
          <w:rFonts w:cs="Times New Roman"/>
          <w:b/>
          <w:bCs/>
          <w:sz w:val="20"/>
          <w:szCs w:val="20"/>
        </w:rPr>
      </w:pPr>
      <w:r w:rsidRPr="00893B19">
        <w:rPr>
          <w:rFonts w:cs="Times New Roman"/>
          <w:b/>
          <w:bCs/>
          <w:sz w:val="20"/>
          <w:szCs w:val="20"/>
        </w:rPr>
        <w:t>IT IS HEREBY ORDERED THAT:</w:t>
      </w:r>
    </w:p>
    <w:p w:rsidR="00597CE0" w:rsidRPr="00893B19" w:rsidRDefault="00597CE0" w:rsidP="00597CE0">
      <w:pPr>
        <w:spacing w:line="232" w:lineRule="auto"/>
        <w:rPr>
          <w:rFonts w:cs="Times New Roman"/>
          <w:sz w:val="20"/>
          <w:szCs w:val="20"/>
        </w:rPr>
      </w:pPr>
    </w:p>
    <w:p w:rsidR="00597CE0" w:rsidRPr="00893B19" w:rsidRDefault="00597CE0" w:rsidP="00597CE0">
      <w:pPr>
        <w:rPr>
          <w:rFonts w:cs="Times New Roman"/>
          <w:sz w:val="20"/>
          <w:szCs w:val="20"/>
        </w:rPr>
      </w:pPr>
      <w:r w:rsidRPr="00893B19">
        <w:rPr>
          <w:rFonts w:cs="Times New Roman"/>
          <w:sz w:val="20"/>
          <w:szCs w:val="20"/>
        </w:rPr>
        <w:t xml:space="preserve">The motions for leave to intervene are granted without costs. The said three (3) interveners or groups of interveners shall be entitled to each serve and file a single factum not to exceed ten (10) pages in length, and book of authorities, if any, on or before July 27, 2020. </w:t>
      </w:r>
    </w:p>
    <w:p w:rsidR="00597CE0" w:rsidRPr="00893B19" w:rsidRDefault="00597CE0" w:rsidP="00597CE0">
      <w:pPr>
        <w:rPr>
          <w:rFonts w:cs="Times New Roman"/>
          <w:sz w:val="20"/>
          <w:szCs w:val="20"/>
        </w:rPr>
      </w:pPr>
    </w:p>
    <w:p w:rsidR="00597CE0" w:rsidRPr="00893B19" w:rsidRDefault="00597CE0" w:rsidP="00597CE0">
      <w:pPr>
        <w:rPr>
          <w:rFonts w:cs="Times New Roman"/>
          <w:sz w:val="20"/>
          <w:szCs w:val="20"/>
        </w:rPr>
      </w:pPr>
      <w:r w:rsidRPr="00893B19">
        <w:rPr>
          <w:rFonts w:cs="Times New Roman"/>
          <w:sz w:val="20"/>
          <w:szCs w:val="20"/>
        </w:rPr>
        <w:t>The said three (3) interveners or groups of interveners are each granted permission to present oral argument not exceeding five (5) minutes at the hearing of the appeals.</w:t>
      </w:r>
    </w:p>
    <w:p w:rsidR="00597CE0" w:rsidRPr="00893B19" w:rsidRDefault="00597CE0" w:rsidP="00597CE0">
      <w:pPr>
        <w:rPr>
          <w:rFonts w:cs="Times New Roman"/>
          <w:sz w:val="20"/>
          <w:szCs w:val="20"/>
        </w:rPr>
      </w:pPr>
    </w:p>
    <w:p w:rsidR="00597CE0" w:rsidRPr="00893B19" w:rsidRDefault="00597CE0" w:rsidP="00597CE0">
      <w:pPr>
        <w:rPr>
          <w:rFonts w:cs="Times New Roman"/>
          <w:sz w:val="20"/>
          <w:szCs w:val="20"/>
        </w:rPr>
      </w:pPr>
      <w:r w:rsidRPr="00893B19">
        <w:rPr>
          <w:rFonts w:cs="Times New Roman"/>
          <w:sz w:val="20"/>
          <w:szCs w:val="20"/>
        </w:rPr>
        <w:t xml:space="preserve">Any other person wishing to intervene in this appeal under Rule 55 of the </w:t>
      </w:r>
      <w:r w:rsidRPr="00893B19">
        <w:rPr>
          <w:rFonts w:cs="Times New Roman"/>
          <w:i/>
          <w:sz w:val="20"/>
          <w:szCs w:val="20"/>
        </w:rPr>
        <w:t>Rules of the Supreme Court of Canada</w:t>
      </w:r>
      <w:r w:rsidRPr="00893B19">
        <w:rPr>
          <w:rFonts w:cs="Times New Roman"/>
          <w:sz w:val="20"/>
          <w:szCs w:val="20"/>
        </w:rPr>
        <w:t xml:space="preserve"> must serve and file a motion for leave to intervene on or before June 12, 2020. Notice of this deadline will be placed on the Court’s website.</w:t>
      </w:r>
      <w:r w:rsidRPr="00893B19">
        <w:rPr>
          <w:sz w:val="20"/>
          <w:szCs w:val="20"/>
        </w:rPr>
        <w:t xml:space="preserve"> </w:t>
      </w:r>
      <w:r w:rsidRPr="00893B19">
        <w:rPr>
          <w:rFonts w:cs="Times New Roman"/>
          <w:sz w:val="20"/>
          <w:szCs w:val="20"/>
        </w:rPr>
        <w:t xml:space="preserve">Any further intervener granted leave to intervene under Rule 59 of the </w:t>
      </w:r>
      <w:r w:rsidRPr="00893B19">
        <w:rPr>
          <w:rFonts w:cs="Times New Roman"/>
          <w:i/>
          <w:sz w:val="20"/>
          <w:szCs w:val="20"/>
        </w:rPr>
        <w:t>Rules of the Supreme Court of Canada</w:t>
      </w:r>
      <w:r w:rsidRPr="00893B19">
        <w:rPr>
          <w:rFonts w:cs="Times New Roman"/>
          <w:sz w:val="20"/>
          <w:szCs w:val="20"/>
        </w:rPr>
        <w:t xml:space="preserve"> must also serve and file its respective factum, not to exceed ten (10) pages, and book of authorities, if any, on or before July 27, 2020.</w:t>
      </w:r>
    </w:p>
    <w:p w:rsidR="00597CE0" w:rsidRPr="00893B19" w:rsidRDefault="00597CE0" w:rsidP="00597CE0">
      <w:pPr>
        <w:rPr>
          <w:rFonts w:cs="Times New Roman"/>
          <w:sz w:val="20"/>
          <w:szCs w:val="20"/>
        </w:rPr>
      </w:pPr>
    </w:p>
    <w:p w:rsidR="00597CE0" w:rsidRPr="00893B19" w:rsidRDefault="00597CE0" w:rsidP="00597CE0">
      <w:pPr>
        <w:rPr>
          <w:rFonts w:cs="Times New Roman"/>
          <w:sz w:val="20"/>
          <w:szCs w:val="20"/>
        </w:rPr>
      </w:pPr>
      <w:r w:rsidRPr="00893B19">
        <w:rPr>
          <w:rFonts w:cs="Times New Roman"/>
          <w:sz w:val="20"/>
          <w:szCs w:val="20"/>
        </w:rPr>
        <w:t>The respondent is granted permission to serve and file a single factum in reply to all interventions not to exceed ten (10) pages in length on or before August 4, 2020.</w:t>
      </w:r>
    </w:p>
    <w:p w:rsidR="00597CE0" w:rsidRPr="00893B19" w:rsidRDefault="00597CE0" w:rsidP="00597CE0">
      <w:pPr>
        <w:rPr>
          <w:rFonts w:cs="Times New Roman"/>
          <w:sz w:val="20"/>
          <w:szCs w:val="20"/>
        </w:rPr>
      </w:pPr>
    </w:p>
    <w:p w:rsidR="00597CE0" w:rsidRPr="00893B19" w:rsidRDefault="00597CE0" w:rsidP="00597CE0">
      <w:pPr>
        <w:rPr>
          <w:rFonts w:cs="Times New Roman"/>
          <w:b/>
          <w:sz w:val="20"/>
          <w:szCs w:val="20"/>
        </w:rPr>
      </w:pPr>
      <w:r w:rsidRPr="00893B19">
        <w:rPr>
          <w:rFonts w:cs="Times New Roman"/>
          <w:b/>
          <w:sz w:val="20"/>
          <w:szCs w:val="20"/>
        </w:rPr>
        <w:fldChar w:fldCharType="begin"/>
      </w:r>
      <w:r w:rsidRPr="00893B19">
        <w:rPr>
          <w:rFonts w:cs="Times New Roman"/>
          <w:b/>
          <w:sz w:val="20"/>
          <w:szCs w:val="20"/>
        </w:rPr>
        <w:instrText xml:space="preserve"> SEQ CHAPTER \h \r 1</w:instrText>
      </w:r>
      <w:r w:rsidRPr="00893B19">
        <w:rPr>
          <w:rFonts w:cs="Times New Roman"/>
          <w:b/>
          <w:sz w:val="20"/>
          <w:szCs w:val="20"/>
        </w:rPr>
        <w:fldChar w:fldCharType="end"/>
      </w:r>
      <w:r w:rsidRPr="00893B19">
        <w:rPr>
          <w:rFonts w:cs="Times New Roman"/>
          <w:b/>
          <w:sz w:val="20"/>
          <w:szCs w:val="20"/>
        </w:rPr>
        <w:t>The interveners are not entitled to raise new issues or to adduce further evidence or otherwise to supplement the record of the parties.</w:t>
      </w:r>
    </w:p>
    <w:p w:rsidR="00597CE0" w:rsidRPr="00893B19" w:rsidRDefault="00597CE0" w:rsidP="00597CE0">
      <w:pPr>
        <w:rPr>
          <w:rFonts w:cs="Times New Roman"/>
          <w:sz w:val="20"/>
          <w:szCs w:val="20"/>
        </w:rPr>
      </w:pPr>
    </w:p>
    <w:p w:rsidR="00597CE0" w:rsidRPr="00893B19" w:rsidRDefault="00597CE0" w:rsidP="00597CE0">
      <w:pPr>
        <w:rPr>
          <w:rFonts w:cs="Times New Roman"/>
          <w:sz w:val="20"/>
          <w:szCs w:val="20"/>
        </w:rPr>
      </w:pPr>
      <w:r w:rsidRPr="00893B19">
        <w:rPr>
          <w:rFonts w:cs="Times New Roman"/>
          <w:sz w:val="20"/>
          <w:szCs w:val="20"/>
        </w:rPr>
        <w:t xml:space="preserve">Pursuant to Rule 59(1)(a) of the </w:t>
      </w:r>
      <w:r w:rsidRPr="00893B19">
        <w:rPr>
          <w:rFonts w:cs="Times New Roman"/>
          <w:i/>
          <w:sz w:val="20"/>
          <w:szCs w:val="20"/>
        </w:rPr>
        <w:t>Rules of the Supreme Court of Canada</w:t>
      </w:r>
      <w:r w:rsidRPr="00893B19">
        <w:rPr>
          <w:rFonts w:cs="Times New Roman"/>
          <w:sz w:val="20"/>
          <w:szCs w:val="20"/>
        </w:rPr>
        <w:t>, the interveners shall pay to the appellant and the respondent any additional disbursements resulting from their interventions.</w:t>
      </w:r>
    </w:p>
    <w:p w:rsidR="00102792" w:rsidRPr="00893B19" w:rsidRDefault="00102792" w:rsidP="00102792">
      <w:pPr>
        <w:spacing w:line="228" w:lineRule="auto"/>
        <w:rPr>
          <w:sz w:val="20"/>
        </w:rPr>
      </w:pPr>
    </w:p>
    <w:p w:rsidR="005967EF" w:rsidRPr="00893B19" w:rsidRDefault="005967EF" w:rsidP="007A344C">
      <w:pPr>
        <w:spacing w:line="228" w:lineRule="auto"/>
        <w:rPr>
          <w:sz w:val="20"/>
          <w:szCs w:val="20"/>
        </w:rPr>
      </w:pPr>
    </w:p>
    <w:p w:rsidR="007A344C" w:rsidRPr="00893B19" w:rsidRDefault="007A344C" w:rsidP="007A344C">
      <w:pPr>
        <w:spacing w:line="276" w:lineRule="auto"/>
        <w:rPr>
          <w:rFonts w:cs="Times New Roman"/>
          <w:sz w:val="20"/>
          <w:szCs w:val="20"/>
          <w:lang w:val="fr-CA"/>
        </w:rPr>
      </w:pPr>
      <w:r w:rsidRPr="00893B19">
        <w:rPr>
          <w:rFonts w:cs="Times New Roman"/>
          <w:b/>
          <w:sz w:val="20"/>
          <w:szCs w:val="20"/>
          <w:lang w:val="fr-CA"/>
        </w:rPr>
        <w:t>À LA SUITE DES REQUÊTES</w:t>
      </w:r>
      <w:r w:rsidRPr="00893B19">
        <w:rPr>
          <w:rFonts w:cs="Times New Roman"/>
          <w:sz w:val="20"/>
          <w:szCs w:val="20"/>
          <w:lang w:val="fr-CA"/>
        </w:rPr>
        <w:t xml:space="preserve"> présentées par l’Association canadienne pour l’intégration communautaire; le Fonds d’action et d’éducation juridiques pour les femmes inc., le Réseau d’action des femmes handicapées du Canada et le ARCH Disability Law Centre (conjointement); et la Barbra Schlifer Commemorative Clinic en vue d’intervenir dans l’appel;</w:t>
      </w:r>
    </w:p>
    <w:p w:rsidR="007A344C" w:rsidRPr="00893B19" w:rsidRDefault="007A344C" w:rsidP="007A344C">
      <w:pPr>
        <w:spacing w:line="276" w:lineRule="auto"/>
        <w:rPr>
          <w:rFonts w:cs="Times New Roman"/>
          <w:sz w:val="20"/>
          <w:szCs w:val="20"/>
          <w:lang w:val="fr-CA"/>
        </w:rPr>
      </w:pPr>
    </w:p>
    <w:p w:rsidR="007A344C" w:rsidRPr="00893B19" w:rsidRDefault="007A344C" w:rsidP="007A344C">
      <w:pPr>
        <w:spacing w:line="276" w:lineRule="auto"/>
        <w:rPr>
          <w:rFonts w:cs="Times New Roman"/>
          <w:sz w:val="20"/>
          <w:szCs w:val="20"/>
          <w:lang w:val="fr-CA"/>
        </w:rPr>
      </w:pPr>
      <w:r w:rsidRPr="00893B19">
        <w:rPr>
          <w:rFonts w:cs="Times New Roman"/>
          <w:b/>
          <w:sz w:val="20"/>
          <w:szCs w:val="20"/>
          <w:lang w:val="fr-CA"/>
        </w:rPr>
        <w:t>ET APRÈS EXAMEN</w:t>
      </w:r>
      <w:r w:rsidRPr="00893B19">
        <w:rPr>
          <w:rFonts w:cs="Times New Roman"/>
          <w:sz w:val="20"/>
          <w:szCs w:val="20"/>
          <w:lang w:val="fr-CA"/>
        </w:rPr>
        <w:t xml:space="preserve"> des documents déposés;</w:t>
      </w:r>
    </w:p>
    <w:p w:rsidR="007A344C" w:rsidRPr="00893B19" w:rsidRDefault="007A344C" w:rsidP="007A344C">
      <w:pPr>
        <w:spacing w:line="276" w:lineRule="auto"/>
        <w:rPr>
          <w:rFonts w:cs="Times New Roman"/>
          <w:sz w:val="20"/>
          <w:szCs w:val="20"/>
          <w:lang w:val="fr-CA"/>
        </w:rPr>
      </w:pPr>
    </w:p>
    <w:p w:rsidR="007A344C" w:rsidRPr="00893B19" w:rsidRDefault="007A344C">
      <w:pPr>
        <w:rPr>
          <w:rFonts w:cs="Times New Roman"/>
          <w:b/>
          <w:sz w:val="20"/>
          <w:szCs w:val="20"/>
          <w:lang w:val="fr-CA"/>
        </w:rPr>
      </w:pPr>
      <w:r w:rsidRPr="00893B19">
        <w:rPr>
          <w:rFonts w:cs="Times New Roman"/>
          <w:b/>
          <w:sz w:val="20"/>
          <w:szCs w:val="20"/>
          <w:lang w:val="fr-CA"/>
        </w:rPr>
        <w:br w:type="page"/>
      </w:r>
    </w:p>
    <w:p w:rsidR="007A344C" w:rsidRPr="00893B19" w:rsidRDefault="007A344C" w:rsidP="007A344C">
      <w:pPr>
        <w:spacing w:line="276" w:lineRule="auto"/>
        <w:rPr>
          <w:rFonts w:cs="Times New Roman"/>
          <w:b/>
          <w:sz w:val="20"/>
          <w:szCs w:val="20"/>
          <w:lang w:val="fr-CA"/>
        </w:rPr>
      </w:pPr>
      <w:r w:rsidRPr="00893B19">
        <w:rPr>
          <w:rFonts w:cs="Times New Roman"/>
          <w:b/>
          <w:sz w:val="20"/>
          <w:szCs w:val="20"/>
          <w:lang w:val="fr-CA"/>
        </w:rPr>
        <w:t>IL EST ORDONNÉ CE QUI SUIT :</w:t>
      </w:r>
    </w:p>
    <w:p w:rsidR="007A344C" w:rsidRPr="00893B19" w:rsidRDefault="007A344C" w:rsidP="007A344C">
      <w:pPr>
        <w:spacing w:line="276" w:lineRule="auto"/>
        <w:rPr>
          <w:rFonts w:cs="Times New Roman"/>
          <w:sz w:val="20"/>
          <w:szCs w:val="20"/>
          <w:lang w:val="fr-CA"/>
        </w:rPr>
      </w:pPr>
    </w:p>
    <w:p w:rsidR="007A344C" w:rsidRPr="00893B19" w:rsidRDefault="007A344C" w:rsidP="007A344C">
      <w:pPr>
        <w:spacing w:line="276" w:lineRule="auto"/>
        <w:rPr>
          <w:rFonts w:cs="Times New Roman"/>
          <w:sz w:val="20"/>
          <w:szCs w:val="20"/>
          <w:lang w:val="fr-CA"/>
        </w:rPr>
      </w:pPr>
      <w:r w:rsidRPr="00893B19">
        <w:rPr>
          <w:rFonts w:cs="Times New Roman"/>
          <w:sz w:val="20"/>
          <w:szCs w:val="20"/>
          <w:lang w:val="fr-CA"/>
        </w:rPr>
        <w:t>Les requêtes en autorisation d’intervenir sont accueillies sans dépens. Chacun de ces trois (3) intervenants ou groupe d’intervenant pourra signifier et déposer un mémoire d’au plus 10 pages, ainsi qu’un recueil de sources, le cas échéant, au plus tard le 27 juillet 2020.</w:t>
      </w:r>
    </w:p>
    <w:p w:rsidR="007A344C" w:rsidRPr="00893B19" w:rsidRDefault="007A344C" w:rsidP="007A344C">
      <w:pPr>
        <w:spacing w:line="276" w:lineRule="auto"/>
        <w:rPr>
          <w:rFonts w:cs="Times New Roman"/>
          <w:sz w:val="20"/>
          <w:szCs w:val="20"/>
          <w:lang w:val="fr-CA"/>
        </w:rPr>
      </w:pPr>
    </w:p>
    <w:p w:rsidR="007A344C" w:rsidRPr="00893B19" w:rsidRDefault="007A344C" w:rsidP="007A344C">
      <w:pPr>
        <w:rPr>
          <w:rFonts w:cs="Times New Roman"/>
          <w:sz w:val="20"/>
          <w:szCs w:val="20"/>
          <w:lang w:val="fr-CA"/>
        </w:rPr>
      </w:pPr>
      <w:r w:rsidRPr="00893B19">
        <w:rPr>
          <w:rFonts w:cs="Times New Roman"/>
          <w:sz w:val="20"/>
          <w:szCs w:val="20"/>
          <w:lang w:val="fr-CA"/>
        </w:rPr>
        <w:t>Chacun de ces trois (3) intervenants ou groupe d’intervenant pourra présenter une plaidoirie orale d’au plus cinq (5) minutes lors de l’audition de l’appel.</w:t>
      </w:r>
    </w:p>
    <w:p w:rsidR="007A344C" w:rsidRPr="00893B19" w:rsidRDefault="007A344C" w:rsidP="007A344C">
      <w:pPr>
        <w:rPr>
          <w:rFonts w:cs="Times New Roman"/>
          <w:sz w:val="20"/>
          <w:szCs w:val="20"/>
          <w:lang w:val="fr-CA"/>
        </w:rPr>
      </w:pPr>
    </w:p>
    <w:p w:rsidR="007A344C" w:rsidRPr="00893B19" w:rsidRDefault="007A344C" w:rsidP="007A344C">
      <w:pPr>
        <w:rPr>
          <w:rFonts w:cs="Times New Roman"/>
          <w:sz w:val="20"/>
          <w:szCs w:val="20"/>
          <w:lang w:val="fr-CA"/>
        </w:rPr>
      </w:pPr>
      <w:r w:rsidRPr="00893B19">
        <w:rPr>
          <w:rFonts w:cs="Times New Roman"/>
          <w:sz w:val="20"/>
          <w:szCs w:val="20"/>
          <w:lang w:val="fr-CA"/>
        </w:rPr>
        <w:t xml:space="preserve">Toute autre personne souhaitant intervenir dans l’appel en vertu de l’art. 55 des </w:t>
      </w:r>
      <w:r w:rsidRPr="00893B19">
        <w:rPr>
          <w:rFonts w:cs="Times New Roman"/>
          <w:i/>
          <w:sz w:val="20"/>
          <w:szCs w:val="20"/>
          <w:lang w:val="fr-CA"/>
        </w:rPr>
        <w:t>Règles de la Cour suprême du Canada</w:t>
      </w:r>
      <w:r w:rsidRPr="00893B19">
        <w:rPr>
          <w:rFonts w:cs="Times New Roman"/>
          <w:sz w:val="20"/>
          <w:szCs w:val="20"/>
          <w:lang w:val="fr-CA"/>
        </w:rPr>
        <w:t xml:space="preserve"> doit signifier et déposer une requête en intervention au plus tard le 12 juin 2020. Un avis à cet effet sera affiché sur le site Web de la Cour. Toute autre personne qui sera autorisée à intervenir en application de l’art. 59 des </w:t>
      </w:r>
      <w:r w:rsidRPr="00893B19">
        <w:rPr>
          <w:rFonts w:cs="Times New Roman"/>
          <w:i/>
          <w:sz w:val="20"/>
          <w:szCs w:val="20"/>
          <w:lang w:val="fr-CA"/>
        </w:rPr>
        <w:t>Règles de la Cour suprême du Canada</w:t>
      </w:r>
      <w:r w:rsidRPr="00893B19">
        <w:rPr>
          <w:rFonts w:cs="Times New Roman"/>
          <w:sz w:val="20"/>
          <w:szCs w:val="20"/>
          <w:lang w:val="fr-CA"/>
        </w:rPr>
        <w:t xml:space="preserve"> devra aussi signifier et déposer son mémoire, d’au plus dix (10) pages, ainsi qu’un recueil de sources, le cas échéant, au plus tard le 27 juillet 2020.</w:t>
      </w:r>
    </w:p>
    <w:p w:rsidR="007A344C" w:rsidRPr="00893B19" w:rsidRDefault="007A344C" w:rsidP="007A344C">
      <w:pPr>
        <w:rPr>
          <w:rFonts w:cs="Times New Roman"/>
          <w:sz w:val="20"/>
          <w:szCs w:val="20"/>
          <w:lang w:val="fr-CA"/>
        </w:rPr>
      </w:pPr>
    </w:p>
    <w:p w:rsidR="007A344C" w:rsidRPr="00893B19" w:rsidRDefault="007A344C" w:rsidP="007A344C">
      <w:pPr>
        <w:rPr>
          <w:rFonts w:cs="Times New Roman"/>
          <w:sz w:val="20"/>
          <w:szCs w:val="20"/>
          <w:lang w:val="fr-CA"/>
        </w:rPr>
      </w:pPr>
      <w:r w:rsidRPr="00893B19">
        <w:rPr>
          <w:rFonts w:cs="Times New Roman"/>
          <w:sz w:val="20"/>
          <w:szCs w:val="20"/>
          <w:lang w:val="fr-CA"/>
        </w:rPr>
        <w:t>L’intimé est autorisé à signifier et à déposer un seul mémoire d’au plus dix (10) pages en réplique à toutes les interventions au plus tard le 4 août 2020.</w:t>
      </w:r>
    </w:p>
    <w:p w:rsidR="007A344C" w:rsidRPr="00893B19" w:rsidRDefault="007A344C" w:rsidP="007A344C">
      <w:pPr>
        <w:spacing w:line="276" w:lineRule="auto"/>
        <w:rPr>
          <w:rFonts w:cs="Times New Roman"/>
          <w:sz w:val="20"/>
          <w:szCs w:val="20"/>
          <w:lang w:val="fr-CA"/>
        </w:rPr>
      </w:pPr>
    </w:p>
    <w:p w:rsidR="007A344C" w:rsidRPr="00893B19" w:rsidRDefault="007A344C" w:rsidP="007A344C">
      <w:pPr>
        <w:spacing w:line="276" w:lineRule="auto"/>
        <w:rPr>
          <w:rFonts w:cs="Times New Roman"/>
          <w:b/>
          <w:sz w:val="20"/>
          <w:szCs w:val="20"/>
          <w:lang w:val="fr-CA"/>
        </w:rPr>
      </w:pPr>
      <w:r w:rsidRPr="00893B19">
        <w:rPr>
          <w:rFonts w:cs="Times New Roman"/>
          <w:b/>
          <w:sz w:val="20"/>
          <w:szCs w:val="20"/>
          <w:lang w:val="fr-CA"/>
        </w:rPr>
        <w:t>Les intervenants n’ont pas le droit de soulever de nouvelles questions, de produire d’autres éléments de preuve ni de compléter de quelque autre façon le dossier des parties.</w:t>
      </w:r>
    </w:p>
    <w:p w:rsidR="007A344C" w:rsidRPr="00893B19" w:rsidRDefault="007A344C" w:rsidP="007A344C">
      <w:pPr>
        <w:spacing w:line="276" w:lineRule="auto"/>
        <w:rPr>
          <w:rFonts w:cs="Times New Roman"/>
          <w:sz w:val="20"/>
          <w:szCs w:val="20"/>
          <w:lang w:val="fr-CA"/>
        </w:rPr>
      </w:pPr>
    </w:p>
    <w:p w:rsidR="007A344C" w:rsidRPr="00893B19" w:rsidRDefault="007A344C" w:rsidP="007A344C">
      <w:pPr>
        <w:spacing w:line="276" w:lineRule="auto"/>
        <w:rPr>
          <w:rFonts w:cs="Times New Roman"/>
          <w:sz w:val="20"/>
          <w:szCs w:val="20"/>
          <w:lang w:val="fr-CA"/>
        </w:rPr>
      </w:pPr>
      <w:r w:rsidRPr="00893B19">
        <w:rPr>
          <w:rFonts w:cs="Times New Roman"/>
          <w:sz w:val="20"/>
          <w:szCs w:val="20"/>
          <w:lang w:val="fr-CA"/>
        </w:rPr>
        <w:t>Conformément à l’alinéa 59(1)</w:t>
      </w:r>
      <w:r w:rsidRPr="00893B19">
        <w:rPr>
          <w:rFonts w:cs="Times New Roman"/>
          <w:i/>
          <w:sz w:val="20"/>
          <w:szCs w:val="20"/>
          <w:lang w:val="fr-CA"/>
        </w:rPr>
        <w:t>a</w:t>
      </w:r>
      <w:r w:rsidRPr="00893B19">
        <w:rPr>
          <w:rFonts w:cs="Times New Roman"/>
          <w:sz w:val="20"/>
          <w:szCs w:val="20"/>
          <w:lang w:val="fr-CA"/>
        </w:rPr>
        <w:t xml:space="preserve">) des </w:t>
      </w:r>
      <w:r w:rsidRPr="00893B19">
        <w:rPr>
          <w:rFonts w:cs="Times New Roman"/>
          <w:i/>
          <w:sz w:val="20"/>
          <w:szCs w:val="20"/>
          <w:lang w:val="fr-CA"/>
        </w:rPr>
        <w:t>Règles de la Cour suprême du Canada</w:t>
      </w:r>
      <w:r w:rsidRPr="00893B19">
        <w:rPr>
          <w:rFonts w:cs="Times New Roman"/>
          <w:sz w:val="20"/>
          <w:szCs w:val="20"/>
          <w:lang w:val="fr-CA"/>
        </w:rPr>
        <w:t>, les intervenants paieront à l’appelante et à l’intimé tous débours supplémentaires résultant de leur intervention.</w:t>
      </w:r>
    </w:p>
    <w:p w:rsidR="00597CE0" w:rsidRPr="00893B19" w:rsidRDefault="00597CE0" w:rsidP="00102792">
      <w:pPr>
        <w:spacing w:line="232" w:lineRule="auto"/>
        <w:rPr>
          <w:rFonts w:cs="Times New Roman"/>
          <w:sz w:val="20"/>
          <w:lang w:val="fr-CA"/>
        </w:rPr>
      </w:pPr>
    </w:p>
    <w:p w:rsidR="00102792" w:rsidRPr="00893B19" w:rsidRDefault="00867539"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5967EF" w:rsidRPr="00893B19" w:rsidRDefault="005967EF" w:rsidP="00102792">
      <w:pPr>
        <w:rPr>
          <w:rFonts w:eastAsia="Times New Roman" w:cs="Times New Roman"/>
          <w:sz w:val="20"/>
          <w:szCs w:val="20"/>
          <w:lang w:val="fr-CA" w:eastAsia="en-CA"/>
        </w:rPr>
      </w:pPr>
    </w:p>
    <w:p w:rsidR="007B09D6" w:rsidRPr="00893B19" w:rsidRDefault="007B09D6" w:rsidP="00102792">
      <w:pPr>
        <w:rPr>
          <w:rFonts w:eastAsia="Times New Roman" w:cs="Times New Roman"/>
          <w:sz w:val="20"/>
          <w:szCs w:val="20"/>
          <w:lang w:val="fr-CA" w:eastAsia="en-CA"/>
        </w:rPr>
      </w:pPr>
    </w:p>
    <w:p w:rsidR="00102792" w:rsidRPr="00893B19" w:rsidRDefault="00102792" w:rsidP="00102792">
      <w:pPr>
        <w:rPr>
          <w:rFonts w:eastAsia="Times New Roman" w:cs="Times New Roman"/>
          <w:sz w:val="20"/>
          <w:szCs w:val="20"/>
          <w:lang w:val="fr-CA" w:eastAsia="en-CA"/>
        </w:rPr>
      </w:pPr>
      <w:r w:rsidRPr="00893B19">
        <w:rPr>
          <w:rFonts w:eastAsia="Times New Roman" w:cs="Times New Roman"/>
          <w:sz w:val="20"/>
          <w:szCs w:val="20"/>
          <w:lang w:val="fr-CA" w:eastAsia="en-CA"/>
        </w:rPr>
        <w:br w:type="page"/>
      </w:r>
    </w:p>
    <w:p w:rsidR="008859F1" w:rsidRPr="00893B19" w:rsidRDefault="00691D1D" w:rsidP="008859F1">
      <w:pPr>
        <w:rPr>
          <w:b/>
          <w:sz w:val="20"/>
          <w:szCs w:val="20"/>
        </w:rPr>
      </w:pPr>
      <w:r w:rsidRPr="00893B19">
        <w:rPr>
          <w:b/>
          <w:sz w:val="20"/>
          <w:szCs w:val="20"/>
        </w:rPr>
        <w:t>MA</w:t>
      </w:r>
      <w:r w:rsidR="00597CE0" w:rsidRPr="00893B19">
        <w:rPr>
          <w:b/>
          <w:sz w:val="20"/>
          <w:szCs w:val="20"/>
        </w:rPr>
        <w:t>Y</w:t>
      </w:r>
      <w:r w:rsidR="008859F1" w:rsidRPr="00893B19">
        <w:rPr>
          <w:b/>
          <w:sz w:val="20"/>
          <w:szCs w:val="20"/>
        </w:rPr>
        <w:t xml:space="preserve"> </w:t>
      </w:r>
      <w:r w:rsidR="00597CE0" w:rsidRPr="00893B19">
        <w:rPr>
          <w:b/>
          <w:sz w:val="20"/>
          <w:szCs w:val="20"/>
        </w:rPr>
        <w:t>2</w:t>
      </w:r>
      <w:r w:rsidRPr="00893B19">
        <w:rPr>
          <w:b/>
          <w:sz w:val="20"/>
          <w:szCs w:val="20"/>
        </w:rPr>
        <w:t>1</w:t>
      </w:r>
      <w:r w:rsidR="008859F1" w:rsidRPr="00893B19">
        <w:rPr>
          <w:b/>
          <w:sz w:val="20"/>
          <w:szCs w:val="20"/>
        </w:rPr>
        <w:t>, 20</w:t>
      </w:r>
      <w:r w:rsidR="005967EF" w:rsidRPr="00893B19">
        <w:rPr>
          <w:b/>
          <w:sz w:val="20"/>
          <w:szCs w:val="20"/>
        </w:rPr>
        <w:t>20</w:t>
      </w:r>
      <w:r w:rsidR="008859F1" w:rsidRPr="00893B19">
        <w:rPr>
          <w:b/>
          <w:sz w:val="20"/>
          <w:szCs w:val="20"/>
        </w:rPr>
        <w:t xml:space="preserve"> / LE </w:t>
      </w:r>
      <w:r w:rsidR="00597CE0" w:rsidRPr="00893B19">
        <w:rPr>
          <w:b/>
          <w:sz w:val="20"/>
          <w:szCs w:val="20"/>
        </w:rPr>
        <w:t>2</w:t>
      </w:r>
      <w:r w:rsidRPr="00893B19">
        <w:rPr>
          <w:b/>
          <w:sz w:val="20"/>
          <w:szCs w:val="20"/>
        </w:rPr>
        <w:t>1</w:t>
      </w:r>
      <w:r w:rsidR="008859F1" w:rsidRPr="00893B19">
        <w:rPr>
          <w:b/>
          <w:sz w:val="20"/>
          <w:szCs w:val="20"/>
        </w:rPr>
        <w:t xml:space="preserve"> </w:t>
      </w:r>
      <w:r w:rsidRPr="00893B19">
        <w:rPr>
          <w:b/>
          <w:sz w:val="20"/>
          <w:szCs w:val="20"/>
        </w:rPr>
        <w:t>MA</w:t>
      </w:r>
      <w:r w:rsidR="00597CE0" w:rsidRPr="00893B19">
        <w:rPr>
          <w:b/>
          <w:sz w:val="20"/>
          <w:szCs w:val="20"/>
        </w:rPr>
        <w:t>I</w:t>
      </w:r>
      <w:r w:rsidR="008859F1" w:rsidRPr="00893B19">
        <w:rPr>
          <w:b/>
          <w:sz w:val="20"/>
          <w:szCs w:val="20"/>
        </w:rPr>
        <w:t xml:space="preserve"> 20</w:t>
      </w:r>
      <w:r w:rsidR="005967EF" w:rsidRPr="00893B19">
        <w:rPr>
          <w:b/>
          <w:sz w:val="20"/>
          <w:szCs w:val="20"/>
        </w:rPr>
        <w:t>20</w:t>
      </w:r>
    </w:p>
    <w:p w:rsidR="00102792" w:rsidRPr="00893B19" w:rsidRDefault="00102792" w:rsidP="00102792">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93A6C" w:rsidRPr="00867539" w:rsidTr="00691D1D">
        <w:tc>
          <w:tcPr>
            <w:tcW w:w="4410" w:type="dxa"/>
            <w:tcBorders>
              <w:top w:val="nil"/>
              <w:left w:val="nil"/>
              <w:bottom w:val="nil"/>
              <w:right w:val="nil"/>
            </w:tcBorders>
          </w:tcPr>
          <w:p w:rsidR="00D93A6C" w:rsidRPr="00893B19" w:rsidRDefault="00D93A6C" w:rsidP="00691D1D">
            <w:pPr>
              <w:jc w:val="both"/>
              <w:rPr>
                <w:rFonts w:cs="Times New Roman"/>
                <w:b/>
                <w:bCs/>
                <w:sz w:val="20"/>
                <w:szCs w:val="20"/>
                <w:lang w:val="en-US"/>
              </w:rPr>
            </w:pPr>
            <w:r w:rsidRPr="00893B19">
              <w:rPr>
                <w:rFonts w:eastAsia="Times New Roman" w:cs="Times New Roman"/>
                <w:b/>
                <w:sz w:val="20"/>
                <w:szCs w:val="20"/>
                <w:lang w:val="en-US" w:eastAsia="en-CA"/>
              </w:rPr>
              <w:t xml:space="preserve">Motion </w:t>
            </w:r>
            <w:r w:rsidR="00597CE0" w:rsidRPr="00893B19">
              <w:rPr>
                <w:rFonts w:eastAsia="Times New Roman" w:cs="Times New Roman"/>
                <w:b/>
                <w:sz w:val="20"/>
                <w:szCs w:val="20"/>
                <w:lang w:val="en-US" w:eastAsia="en-CA"/>
              </w:rPr>
              <w:t>to adduce new evidence</w:t>
            </w:r>
          </w:p>
        </w:tc>
        <w:tc>
          <w:tcPr>
            <w:tcW w:w="810" w:type="dxa"/>
            <w:tcBorders>
              <w:top w:val="nil"/>
              <w:left w:val="nil"/>
              <w:bottom w:val="nil"/>
              <w:right w:val="nil"/>
            </w:tcBorders>
          </w:tcPr>
          <w:p w:rsidR="00D93A6C" w:rsidRPr="00893B1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893B19" w:rsidRDefault="00D93A6C" w:rsidP="00691D1D">
            <w:pPr>
              <w:jc w:val="both"/>
              <w:rPr>
                <w:rFonts w:cs="Times New Roman"/>
                <w:b/>
                <w:bCs/>
                <w:sz w:val="20"/>
                <w:szCs w:val="20"/>
                <w:lang w:val="fr-CA"/>
              </w:rPr>
            </w:pPr>
            <w:r w:rsidRPr="00893B19">
              <w:rPr>
                <w:rFonts w:eastAsia="Times New Roman" w:cs="Times New Roman"/>
                <w:b/>
                <w:sz w:val="20"/>
                <w:szCs w:val="20"/>
                <w:lang w:val="fr-CA" w:eastAsia="en-CA"/>
              </w:rPr>
              <w:t xml:space="preserve">Requête </w:t>
            </w:r>
            <w:r w:rsidR="00597CE0" w:rsidRPr="00893B19">
              <w:rPr>
                <w:rFonts w:eastAsia="Times New Roman" w:cs="Times New Roman"/>
                <w:b/>
                <w:sz w:val="20"/>
                <w:szCs w:val="20"/>
                <w:lang w:val="fr-CA" w:eastAsia="en-CA"/>
              </w:rPr>
              <w:t>pour déposer de nouveaux éléments de preuve</w:t>
            </w:r>
          </w:p>
        </w:tc>
      </w:tr>
    </w:tbl>
    <w:p w:rsidR="00102792" w:rsidRPr="00893B19" w:rsidRDefault="00102792" w:rsidP="00102792">
      <w:pPr>
        <w:spacing w:line="232" w:lineRule="auto"/>
        <w:jc w:val="both"/>
        <w:rPr>
          <w:rFonts w:cs="Times New Roman"/>
          <w:sz w:val="20"/>
          <w:szCs w:val="24"/>
          <w:lang w:val="fr-CA"/>
        </w:rPr>
      </w:pPr>
    </w:p>
    <w:p w:rsidR="00E06F20" w:rsidRPr="00893B19" w:rsidRDefault="00E06F20" w:rsidP="00102792">
      <w:pPr>
        <w:spacing w:line="232" w:lineRule="auto"/>
        <w:jc w:val="both"/>
        <w:rPr>
          <w:rFonts w:cs="Times New Roman"/>
          <w:sz w:val="20"/>
          <w:szCs w:val="20"/>
          <w:lang w:val="fr-CA"/>
        </w:rPr>
      </w:pPr>
    </w:p>
    <w:p w:rsidR="00597CE0" w:rsidRPr="00893B19" w:rsidRDefault="00597CE0" w:rsidP="00597CE0">
      <w:pPr>
        <w:spacing w:line="232" w:lineRule="auto"/>
        <w:jc w:val="both"/>
        <w:rPr>
          <w:rFonts w:cs="Times New Roman"/>
          <w:b/>
          <w:sz w:val="20"/>
          <w:szCs w:val="20"/>
        </w:rPr>
      </w:pPr>
      <w:r w:rsidRPr="00893B19">
        <w:rPr>
          <w:rFonts w:cs="Times New Roman"/>
          <w:b/>
          <w:sz w:val="20"/>
          <w:szCs w:val="20"/>
        </w:rPr>
        <w:t>ESTATE OF BERNARD SHERMAN AND THE TRUSTEES OF THE ESTATE AND ESTATE OF HONEY SHERMAN AND THE TRUSTEES OF THE ESTATE v. KEVIN DONOVAN AND TORONTO STAR NEWSPAPERS LTD.</w:t>
      </w:r>
    </w:p>
    <w:p w:rsidR="00597CE0" w:rsidRPr="00893B19" w:rsidRDefault="00597CE0" w:rsidP="00597CE0">
      <w:pPr>
        <w:spacing w:line="232" w:lineRule="auto"/>
        <w:jc w:val="both"/>
        <w:rPr>
          <w:rFonts w:cs="Times New Roman"/>
          <w:sz w:val="20"/>
          <w:szCs w:val="20"/>
        </w:rPr>
      </w:pPr>
      <w:r w:rsidRPr="00893B19">
        <w:rPr>
          <w:rFonts w:cs="Times New Roman"/>
          <w:sz w:val="20"/>
          <w:szCs w:val="20"/>
        </w:rPr>
        <w:t>(Ont.) (38695)</w:t>
      </w:r>
    </w:p>
    <w:p w:rsidR="00597CE0" w:rsidRPr="00893B19" w:rsidRDefault="00597CE0" w:rsidP="00597CE0">
      <w:pPr>
        <w:spacing w:line="232" w:lineRule="auto"/>
        <w:jc w:val="both"/>
        <w:rPr>
          <w:rFonts w:cs="Times New Roman"/>
          <w:sz w:val="20"/>
          <w:szCs w:val="20"/>
        </w:rPr>
      </w:pPr>
    </w:p>
    <w:p w:rsidR="00597CE0" w:rsidRPr="00893B19" w:rsidRDefault="00597CE0" w:rsidP="00597CE0">
      <w:pPr>
        <w:spacing w:line="232" w:lineRule="auto"/>
        <w:jc w:val="both"/>
        <w:rPr>
          <w:rFonts w:cs="Times New Roman"/>
          <w:sz w:val="20"/>
          <w:szCs w:val="20"/>
        </w:rPr>
      </w:pPr>
      <w:r w:rsidRPr="00893B19">
        <w:rPr>
          <w:rFonts w:cs="Times New Roman"/>
          <w:b/>
          <w:sz w:val="20"/>
          <w:szCs w:val="20"/>
          <w:u w:val="single"/>
        </w:rPr>
        <w:t>ROWE J.</w:t>
      </w:r>
      <w:r w:rsidRPr="00893B19">
        <w:rPr>
          <w:rFonts w:cs="Times New Roman"/>
          <w:b/>
          <w:sz w:val="20"/>
          <w:szCs w:val="20"/>
        </w:rPr>
        <w:t>:</w:t>
      </w:r>
    </w:p>
    <w:p w:rsidR="00597CE0" w:rsidRPr="00893B19" w:rsidRDefault="00597CE0" w:rsidP="00597CE0">
      <w:pPr>
        <w:spacing w:line="232" w:lineRule="auto"/>
        <w:jc w:val="both"/>
        <w:rPr>
          <w:rFonts w:cs="Times New Roman"/>
          <w:sz w:val="20"/>
          <w:szCs w:val="20"/>
        </w:rPr>
      </w:pPr>
    </w:p>
    <w:p w:rsidR="00597CE0" w:rsidRPr="00893B19" w:rsidRDefault="00597CE0" w:rsidP="00597CE0">
      <w:pPr>
        <w:spacing w:line="232" w:lineRule="auto"/>
        <w:jc w:val="both"/>
        <w:rPr>
          <w:rFonts w:cs="Times New Roman"/>
          <w:bCs/>
          <w:sz w:val="20"/>
          <w:szCs w:val="20"/>
        </w:rPr>
      </w:pPr>
      <w:r w:rsidRPr="00893B19">
        <w:rPr>
          <w:rFonts w:cs="Times New Roman"/>
          <w:b/>
          <w:bCs/>
          <w:sz w:val="20"/>
          <w:szCs w:val="20"/>
        </w:rPr>
        <w:t xml:space="preserve">UPON APPLICATION </w:t>
      </w:r>
      <w:r w:rsidRPr="00893B19">
        <w:rPr>
          <w:rFonts w:cs="Times New Roman"/>
          <w:bCs/>
          <w:sz w:val="20"/>
          <w:szCs w:val="20"/>
        </w:rPr>
        <w:t>by the respondent, Kevin Donovan, for an order</w:t>
      </w:r>
      <w:r w:rsidRPr="00893B19">
        <w:rPr>
          <w:rFonts w:cs="Times New Roman"/>
          <w:b/>
          <w:bCs/>
          <w:sz w:val="20"/>
          <w:szCs w:val="20"/>
        </w:rPr>
        <w:t xml:space="preserve"> </w:t>
      </w:r>
      <w:r w:rsidRPr="00893B19">
        <w:rPr>
          <w:rFonts w:cs="Times New Roman"/>
          <w:bCs/>
          <w:sz w:val="20"/>
          <w:szCs w:val="20"/>
        </w:rPr>
        <w:t>to adduce new evidence;</w:t>
      </w:r>
    </w:p>
    <w:p w:rsidR="00597CE0" w:rsidRPr="00893B19" w:rsidRDefault="00597CE0" w:rsidP="00597CE0">
      <w:pPr>
        <w:spacing w:line="232" w:lineRule="auto"/>
        <w:jc w:val="both"/>
        <w:rPr>
          <w:rFonts w:cs="Times New Roman"/>
          <w:bCs/>
          <w:sz w:val="20"/>
          <w:szCs w:val="20"/>
        </w:rPr>
      </w:pPr>
    </w:p>
    <w:p w:rsidR="00597CE0" w:rsidRPr="00893B19" w:rsidRDefault="00597CE0" w:rsidP="00597CE0">
      <w:pPr>
        <w:spacing w:line="232" w:lineRule="auto"/>
        <w:jc w:val="both"/>
        <w:rPr>
          <w:rFonts w:cs="Times New Roman"/>
          <w:sz w:val="20"/>
          <w:szCs w:val="20"/>
        </w:rPr>
      </w:pPr>
      <w:r w:rsidRPr="00893B19">
        <w:rPr>
          <w:rFonts w:cs="Times New Roman"/>
          <w:b/>
          <w:bCs/>
          <w:sz w:val="20"/>
          <w:szCs w:val="20"/>
        </w:rPr>
        <w:t xml:space="preserve">AND THE MATERIAL FILED </w:t>
      </w:r>
      <w:r w:rsidRPr="00893B19">
        <w:rPr>
          <w:rFonts w:cs="Times New Roman"/>
          <w:bCs/>
          <w:sz w:val="20"/>
          <w:szCs w:val="20"/>
        </w:rPr>
        <w:t>having been read;</w:t>
      </w:r>
    </w:p>
    <w:p w:rsidR="00597CE0" w:rsidRPr="00893B19" w:rsidRDefault="00597CE0" w:rsidP="00597CE0">
      <w:pPr>
        <w:spacing w:line="232" w:lineRule="auto"/>
        <w:jc w:val="both"/>
        <w:rPr>
          <w:rFonts w:cs="Times New Roman"/>
          <w:sz w:val="20"/>
          <w:szCs w:val="20"/>
        </w:rPr>
      </w:pPr>
    </w:p>
    <w:p w:rsidR="00597CE0" w:rsidRPr="00893B19" w:rsidRDefault="00597CE0" w:rsidP="00597CE0">
      <w:pPr>
        <w:spacing w:line="232" w:lineRule="auto"/>
        <w:jc w:val="both"/>
        <w:rPr>
          <w:rFonts w:cs="Times New Roman"/>
          <w:sz w:val="20"/>
          <w:szCs w:val="20"/>
        </w:rPr>
      </w:pPr>
      <w:r w:rsidRPr="00893B19">
        <w:rPr>
          <w:rFonts w:cs="Times New Roman"/>
          <w:b/>
          <w:bCs/>
          <w:sz w:val="20"/>
          <w:szCs w:val="20"/>
        </w:rPr>
        <w:t xml:space="preserve">IT IS HEREBY ORDERED THAT: </w:t>
      </w:r>
    </w:p>
    <w:p w:rsidR="00597CE0" w:rsidRPr="00893B19" w:rsidRDefault="00597CE0" w:rsidP="00597CE0">
      <w:pPr>
        <w:spacing w:line="232" w:lineRule="auto"/>
        <w:jc w:val="both"/>
        <w:rPr>
          <w:rFonts w:cs="Times New Roman"/>
          <w:sz w:val="20"/>
          <w:szCs w:val="20"/>
        </w:rPr>
      </w:pPr>
    </w:p>
    <w:p w:rsidR="00597CE0" w:rsidRPr="00893B19" w:rsidRDefault="00597CE0" w:rsidP="00597CE0">
      <w:pPr>
        <w:spacing w:line="232" w:lineRule="auto"/>
        <w:jc w:val="both"/>
        <w:rPr>
          <w:rFonts w:cs="Times New Roman"/>
          <w:sz w:val="20"/>
          <w:szCs w:val="20"/>
        </w:rPr>
      </w:pPr>
      <w:r w:rsidRPr="00893B19">
        <w:rPr>
          <w:rFonts w:cs="Times New Roman"/>
          <w:sz w:val="20"/>
          <w:szCs w:val="20"/>
        </w:rPr>
        <w:t>The motion is deferred to the panel hearing the appeal.</w:t>
      </w:r>
    </w:p>
    <w:p w:rsidR="00597CE0" w:rsidRPr="00893B19" w:rsidRDefault="00597CE0" w:rsidP="00597CE0">
      <w:pPr>
        <w:spacing w:line="232" w:lineRule="auto"/>
        <w:jc w:val="both"/>
        <w:rPr>
          <w:rFonts w:cs="Times New Roman"/>
          <w:sz w:val="20"/>
          <w:szCs w:val="20"/>
        </w:rPr>
      </w:pPr>
    </w:p>
    <w:p w:rsidR="00597CE0" w:rsidRPr="00893B19" w:rsidRDefault="00597CE0" w:rsidP="00597CE0">
      <w:pPr>
        <w:spacing w:line="232" w:lineRule="auto"/>
        <w:jc w:val="both"/>
        <w:rPr>
          <w:rFonts w:cs="Times New Roman"/>
          <w:sz w:val="20"/>
          <w:szCs w:val="20"/>
        </w:rPr>
      </w:pPr>
    </w:p>
    <w:p w:rsidR="00597CE0" w:rsidRPr="00893B19" w:rsidRDefault="00597CE0" w:rsidP="00597CE0">
      <w:pPr>
        <w:spacing w:line="232" w:lineRule="auto"/>
        <w:jc w:val="both"/>
        <w:rPr>
          <w:rFonts w:cs="Times New Roman"/>
          <w:sz w:val="20"/>
          <w:szCs w:val="20"/>
          <w:lang w:val="fr-CA"/>
        </w:rPr>
      </w:pPr>
      <w:r w:rsidRPr="00893B19">
        <w:rPr>
          <w:rFonts w:cs="Times New Roman"/>
          <w:b/>
          <w:sz w:val="20"/>
          <w:szCs w:val="20"/>
          <w:lang w:val="fr-CA"/>
        </w:rPr>
        <w:t>À LA SUITE DE LA DEMANDE</w:t>
      </w:r>
      <w:r w:rsidRPr="00893B19">
        <w:rPr>
          <w:rFonts w:cs="Times New Roman"/>
          <w:sz w:val="20"/>
          <w:szCs w:val="20"/>
          <w:lang w:val="fr-CA"/>
        </w:rPr>
        <w:t xml:space="preserve"> présentée par l’intimé, Kevin Donovan, en vue d’obtenir l’autorisation de présenter de nouveaux éléments de preuve;</w:t>
      </w:r>
    </w:p>
    <w:p w:rsidR="00597CE0" w:rsidRPr="00893B19" w:rsidRDefault="00597CE0" w:rsidP="00597CE0">
      <w:pPr>
        <w:spacing w:line="232" w:lineRule="auto"/>
        <w:jc w:val="both"/>
        <w:rPr>
          <w:rFonts w:cs="Times New Roman"/>
          <w:sz w:val="20"/>
          <w:szCs w:val="20"/>
          <w:lang w:val="fr-CA"/>
        </w:rPr>
      </w:pPr>
    </w:p>
    <w:p w:rsidR="00597CE0" w:rsidRPr="00893B19" w:rsidRDefault="00597CE0" w:rsidP="00597CE0">
      <w:pPr>
        <w:spacing w:line="232" w:lineRule="auto"/>
        <w:jc w:val="both"/>
        <w:rPr>
          <w:rFonts w:cs="Times New Roman"/>
          <w:sz w:val="20"/>
          <w:szCs w:val="20"/>
          <w:lang w:val="fr-CA"/>
        </w:rPr>
      </w:pPr>
      <w:r w:rsidRPr="00893B19">
        <w:rPr>
          <w:rFonts w:cs="Times New Roman"/>
          <w:b/>
          <w:sz w:val="20"/>
          <w:szCs w:val="20"/>
          <w:lang w:val="fr-CA"/>
        </w:rPr>
        <w:t>ET APRÈS EXAMEN</w:t>
      </w:r>
      <w:r w:rsidRPr="00893B19">
        <w:rPr>
          <w:rFonts w:cs="Times New Roman"/>
          <w:sz w:val="20"/>
          <w:szCs w:val="20"/>
          <w:lang w:val="fr-CA"/>
        </w:rPr>
        <w:t xml:space="preserve"> des documents déposés;</w:t>
      </w:r>
    </w:p>
    <w:p w:rsidR="00597CE0" w:rsidRPr="00893B19" w:rsidRDefault="00597CE0" w:rsidP="00597CE0">
      <w:pPr>
        <w:spacing w:line="232" w:lineRule="auto"/>
        <w:jc w:val="both"/>
        <w:rPr>
          <w:rFonts w:cs="Times New Roman"/>
          <w:sz w:val="20"/>
          <w:szCs w:val="20"/>
          <w:lang w:val="fr-CA"/>
        </w:rPr>
      </w:pPr>
    </w:p>
    <w:p w:rsidR="00597CE0" w:rsidRPr="00893B19" w:rsidRDefault="00597CE0" w:rsidP="00597CE0">
      <w:pPr>
        <w:spacing w:line="232" w:lineRule="auto"/>
        <w:jc w:val="both"/>
        <w:rPr>
          <w:rFonts w:cs="Times New Roman"/>
          <w:b/>
          <w:sz w:val="20"/>
          <w:szCs w:val="20"/>
          <w:lang w:val="fr-CA"/>
        </w:rPr>
      </w:pPr>
      <w:r w:rsidRPr="00893B19">
        <w:rPr>
          <w:rFonts w:cs="Times New Roman"/>
          <w:b/>
          <w:sz w:val="20"/>
          <w:szCs w:val="20"/>
          <w:lang w:val="fr-CA"/>
        </w:rPr>
        <w:t>IL EST ORDONNÉ CE QUI SUIT :</w:t>
      </w:r>
    </w:p>
    <w:p w:rsidR="00597CE0" w:rsidRPr="00893B19" w:rsidRDefault="00597CE0" w:rsidP="00597CE0">
      <w:pPr>
        <w:spacing w:line="232" w:lineRule="auto"/>
        <w:jc w:val="both"/>
        <w:rPr>
          <w:rFonts w:cs="Times New Roman"/>
          <w:sz w:val="20"/>
          <w:szCs w:val="20"/>
          <w:lang w:val="fr-CA"/>
        </w:rPr>
      </w:pPr>
    </w:p>
    <w:p w:rsidR="00597CE0" w:rsidRPr="00893B19" w:rsidRDefault="00597CE0" w:rsidP="00597CE0">
      <w:pPr>
        <w:spacing w:line="232" w:lineRule="auto"/>
        <w:jc w:val="both"/>
        <w:rPr>
          <w:rFonts w:cs="Times New Roman"/>
          <w:sz w:val="20"/>
          <w:szCs w:val="20"/>
          <w:lang w:val="fr-CA"/>
        </w:rPr>
      </w:pPr>
      <w:r w:rsidRPr="00893B19">
        <w:rPr>
          <w:rFonts w:cs="Times New Roman"/>
          <w:sz w:val="20"/>
          <w:szCs w:val="20"/>
          <w:lang w:val="fr-CA"/>
        </w:rPr>
        <w:t>La requête est déférée à la formation qui entendra l’appel.</w:t>
      </w:r>
    </w:p>
    <w:p w:rsidR="00102792" w:rsidRPr="00893B19" w:rsidRDefault="00102792" w:rsidP="00102792">
      <w:pPr>
        <w:widowControl w:val="0"/>
        <w:rPr>
          <w:rFonts w:eastAsia="Times New Roman" w:cs="Times New Roman"/>
          <w:sz w:val="20"/>
          <w:szCs w:val="20"/>
          <w:lang w:val="fr-CA" w:eastAsia="en-CA"/>
        </w:rPr>
      </w:pPr>
    </w:p>
    <w:p w:rsidR="00CA2DEA" w:rsidRPr="00893B19" w:rsidRDefault="00867539"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CA2DEA" w:rsidRPr="00893B19" w:rsidRDefault="00CA2DEA" w:rsidP="00CA2DEA">
      <w:pPr>
        <w:widowControl w:val="0"/>
        <w:rPr>
          <w:rFonts w:eastAsia="Times New Roman" w:cs="Times New Roman"/>
          <w:sz w:val="20"/>
          <w:szCs w:val="20"/>
          <w:lang w:val="en-US" w:eastAsia="en-CA"/>
        </w:rPr>
      </w:pPr>
    </w:p>
    <w:p w:rsidR="004E7281" w:rsidRPr="00893B19" w:rsidRDefault="004E7281" w:rsidP="00CA2DEA">
      <w:pPr>
        <w:widowControl w:val="0"/>
        <w:rPr>
          <w:rFonts w:eastAsia="Times New Roman" w:cs="Times New Roman"/>
          <w:sz w:val="20"/>
          <w:szCs w:val="20"/>
          <w:lang w:val="en-US" w:eastAsia="en-CA"/>
        </w:rPr>
      </w:pPr>
    </w:p>
    <w:p w:rsidR="00890FEB" w:rsidRPr="00893B19" w:rsidRDefault="00890FEB" w:rsidP="00831CA9">
      <w:pPr>
        <w:jc w:val="both"/>
        <w:rPr>
          <w:sz w:val="20"/>
          <w:szCs w:val="20"/>
          <w:lang w:val="fr-CA"/>
        </w:rPr>
      </w:pPr>
    </w:p>
    <w:p w:rsidR="00831CA9" w:rsidRPr="00893B19" w:rsidRDefault="00831CA9" w:rsidP="00831CA9">
      <w:pPr>
        <w:jc w:val="both"/>
        <w:rPr>
          <w:sz w:val="20"/>
          <w:szCs w:val="20"/>
          <w:lang w:val="fr-CA"/>
        </w:rPr>
        <w:sectPr w:rsidR="00831CA9" w:rsidRPr="00893B19" w:rsidSect="00831CA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893B19" w:rsidRDefault="001434B9" w:rsidP="00567602">
      <w:pPr>
        <w:pStyle w:val="Header1StyleE"/>
        <w:pBdr>
          <w:bottom w:val="single" w:sz="12" w:space="1" w:color="auto"/>
        </w:pBdr>
        <w:rPr>
          <w:sz w:val="20"/>
          <w:lang w:val="en-US"/>
        </w:rPr>
      </w:pPr>
      <w:bookmarkStart w:id="5" w:name="_Toc41632520"/>
      <w:r w:rsidRPr="00893B19">
        <w:t>Notices of appeal filed since the last issue</w:t>
      </w:r>
      <w:r w:rsidR="00271E1E" w:rsidRPr="00893B19">
        <w:t xml:space="preserve"> / </w:t>
      </w:r>
      <w:r w:rsidR="00567602" w:rsidRPr="00893B19">
        <w:br/>
      </w:r>
      <w:r w:rsidRPr="00893B19">
        <w:rPr>
          <w:lang w:val="fr-CA"/>
        </w:rPr>
        <w:t>Avis d’appel déposés depuis la dernière parution</w:t>
      </w:r>
      <w:bookmarkEnd w:id="5"/>
    </w:p>
    <w:p w:rsidR="00FB1DB6" w:rsidRPr="00893B19"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893B19" w:rsidTr="005F1ED8">
        <w:trPr>
          <w:cantSplit/>
        </w:trPr>
        <w:tc>
          <w:tcPr>
            <w:tcW w:w="2206" w:type="pct"/>
            <w:tcMar>
              <w:left w:w="0" w:type="dxa"/>
              <w:right w:w="0" w:type="dxa"/>
            </w:tcMar>
          </w:tcPr>
          <w:p w:rsidR="0086340B" w:rsidRPr="00893B19" w:rsidRDefault="00654A27" w:rsidP="005F1ED8">
            <w:pPr>
              <w:rPr>
                <w:sz w:val="20"/>
                <w:szCs w:val="20"/>
                <w:lang w:val="fr-CA"/>
              </w:rPr>
            </w:pPr>
            <w:r w:rsidRPr="00893B19">
              <w:rPr>
                <w:sz w:val="20"/>
                <w:szCs w:val="20"/>
                <w:lang w:val="fr-CA"/>
              </w:rPr>
              <w:t>Le 6 mai 2020</w:t>
            </w:r>
          </w:p>
          <w:p w:rsidR="0034657E" w:rsidRPr="00893B19" w:rsidRDefault="0034657E" w:rsidP="005F1ED8">
            <w:pPr>
              <w:rPr>
                <w:sz w:val="20"/>
                <w:szCs w:val="20"/>
                <w:lang w:val="fr-CA"/>
              </w:rPr>
            </w:pPr>
          </w:p>
          <w:p w:rsidR="0086340B" w:rsidRPr="00893B19" w:rsidRDefault="00654A27" w:rsidP="005F1ED8">
            <w:pPr>
              <w:rPr>
                <w:b/>
                <w:sz w:val="20"/>
                <w:szCs w:val="20"/>
                <w:lang w:val="fr-CA"/>
              </w:rPr>
            </w:pPr>
            <w:r w:rsidRPr="00893B19">
              <w:rPr>
                <w:b/>
                <w:sz w:val="20"/>
                <w:szCs w:val="20"/>
                <w:lang w:val="fr-CA"/>
              </w:rPr>
              <w:t>La compagnie d'assurance générale co-operators</w:t>
            </w:r>
          </w:p>
          <w:p w:rsidR="0086340B" w:rsidRPr="00893B19" w:rsidRDefault="0086340B" w:rsidP="005F1ED8">
            <w:pPr>
              <w:rPr>
                <w:sz w:val="20"/>
                <w:szCs w:val="20"/>
                <w:lang w:val="fr-CA"/>
              </w:rPr>
            </w:pPr>
          </w:p>
          <w:p w:rsidR="0086340B" w:rsidRPr="00893B19" w:rsidRDefault="0086340B" w:rsidP="005F1ED8">
            <w:pPr>
              <w:rPr>
                <w:b/>
                <w:sz w:val="20"/>
                <w:szCs w:val="20"/>
                <w:lang w:val="fr-CA"/>
              </w:rPr>
            </w:pPr>
            <w:r w:rsidRPr="00893B19">
              <w:rPr>
                <w:b/>
                <w:sz w:val="20"/>
                <w:szCs w:val="20"/>
                <w:lang w:val="fr-CA"/>
              </w:rPr>
              <w:tab/>
            </w:r>
            <w:r w:rsidR="00654A27" w:rsidRPr="00893B19">
              <w:rPr>
                <w:b/>
                <w:sz w:val="20"/>
                <w:szCs w:val="20"/>
                <w:lang w:val="fr-CA"/>
              </w:rPr>
              <w:t>c</w:t>
            </w:r>
            <w:r w:rsidRPr="00893B19">
              <w:rPr>
                <w:b/>
                <w:sz w:val="20"/>
                <w:szCs w:val="20"/>
                <w:lang w:val="fr-CA"/>
              </w:rPr>
              <w:t>. (3</w:t>
            </w:r>
            <w:r w:rsidR="00654A27" w:rsidRPr="00893B19">
              <w:rPr>
                <w:b/>
                <w:sz w:val="20"/>
                <w:szCs w:val="20"/>
                <w:lang w:val="fr-CA"/>
              </w:rPr>
              <w:t>8</w:t>
            </w:r>
            <w:r w:rsidRPr="00893B19">
              <w:rPr>
                <w:b/>
                <w:sz w:val="20"/>
                <w:szCs w:val="20"/>
                <w:lang w:val="fr-CA"/>
              </w:rPr>
              <w:t>9</w:t>
            </w:r>
            <w:r w:rsidR="00654A27" w:rsidRPr="00893B19">
              <w:rPr>
                <w:b/>
                <w:sz w:val="20"/>
                <w:szCs w:val="20"/>
                <w:lang w:val="fr-CA"/>
              </w:rPr>
              <w:t>38</w:t>
            </w:r>
            <w:r w:rsidRPr="00893B19">
              <w:rPr>
                <w:b/>
                <w:sz w:val="20"/>
                <w:szCs w:val="20"/>
                <w:lang w:val="fr-CA"/>
              </w:rPr>
              <w:t>)</w:t>
            </w:r>
          </w:p>
          <w:p w:rsidR="0086340B" w:rsidRPr="00893B19" w:rsidRDefault="0086340B" w:rsidP="005F1ED8">
            <w:pPr>
              <w:rPr>
                <w:sz w:val="20"/>
                <w:szCs w:val="20"/>
                <w:lang w:val="fr-CA"/>
              </w:rPr>
            </w:pPr>
          </w:p>
          <w:p w:rsidR="0086340B" w:rsidRPr="00893B19" w:rsidRDefault="00F411D3" w:rsidP="005F1ED8">
            <w:pPr>
              <w:rPr>
                <w:b/>
                <w:sz w:val="20"/>
                <w:szCs w:val="20"/>
                <w:lang w:val="fr-CA"/>
              </w:rPr>
            </w:pPr>
            <w:r w:rsidRPr="00893B19">
              <w:rPr>
                <w:b/>
                <w:sz w:val="20"/>
                <w:szCs w:val="20"/>
                <w:lang w:val="fr-CA"/>
              </w:rPr>
              <w:t xml:space="preserve">La Coop fédérée, et al. </w:t>
            </w:r>
            <w:r w:rsidR="0086340B" w:rsidRPr="00893B19">
              <w:rPr>
                <w:b/>
                <w:sz w:val="20"/>
                <w:szCs w:val="20"/>
                <w:lang w:val="fr-CA"/>
              </w:rPr>
              <w:t>(</w:t>
            </w:r>
            <w:r w:rsidRPr="00893B19">
              <w:rPr>
                <w:b/>
                <w:sz w:val="20"/>
                <w:szCs w:val="20"/>
                <w:lang w:val="fr-CA"/>
              </w:rPr>
              <w:t>Qc</w:t>
            </w:r>
            <w:r w:rsidR="0086340B" w:rsidRPr="00893B19">
              <w:rPr>
                <w:b/>
                <w:sz w:val="20"/>
                <w:szCs w:val="20"/>
                <w:lang w:val="fr-CA"/>
              </w:rPr>
              <w:t>)</w:t>
            </w:r>
          </w:p>
          <w:p w:rsidR="0086340B" w:rsidRPr="00893B19" w:rsidRDefault="0086340B" w:rsidP="005F1ED8">
            <w:pPr>
              <w:rPr>
                <w:sz w:val="20"/>
                <w:szCs w:val="20"/>
                <w:lang w:val="fr-CA"/>
              </w:rPr>
            </w:pPr>
          </w:p>
          <w:p w:rsidR="0086340B" w:rsidRPr="00893B19" w:rsidRDefault="0086340B" w:rsidP="005F1ED8">
            <w:pPr>
              <w:rPr>
                <w:sz w:val="20"/>
                <w:szCs w:val="20"/>
                <w:lang w:val="fr-CA"/>
              </w:rPr>
            </w:pPr>
            <w:r w:rsidRPr="00893B19">
              <w:rPr>
                <w:sz w:val="20"/>
                <w:szCs w:val="20"/>
                <w:lang w:val="fr-CA"/>
              </w:rPr>
              <w:t>(</w:t>
            </w:r>
            <w:r w:rsidR="00654A27" w:rsidRPr="00893B19">
              <w:rPr>
                <w:sz w:val="20"/>
                <w:szCs w:val="20"/>
                <w:lang w:val="fr-CA"/>
              </w:rPr>
              <w:t>Autorisation</w:t>
            </w:r>
            <w:r w:rsidRPr="00893B19">
              <w:rPr>
                <w:sz w:val="20"/>
                <w:szCs w:val="20"/>
                <w:lang w:val="fr-CA"/>
              </w:rPr>
              <w:t>)</w:t>
            </w:r>
          </w:p>
          <w:p w:rsidR="0086340B" w:rsidRPr="00893B19" w:rsidRDefault="0086340B" w:rsidP="005F1ED8">
            <w:pPr>
              <w:rPr>
                <w:sz w:val="20"/>
                <w:szCs w:val="20"/>
                <w:lang w:val="fr-CA"/>
              </w:rPr>
            </w:pPr>
          </w:p>
          <w:p w:rsidR="0086340B" w:rsidRPr="00893B19" w:rsidRDefault="00867539" w:rsidP="005F1ED8">
            <w:pPr>
              <w:rPr>
                <w:sz w:val="20"/>
                <w:szCs w:val="20"/>
                <w:lang w:val="fr-CA"/>
              </w:rPr>
            </w:pPr>
            <w:r>
              <w:rPr>
                <w:sz w:val="20"/>
                <w:szCs w:val="20"/>
                <w:lang w:val="fr-CA"/>
              </w:rPr>
              <w:pict>
                <v:rect id="_x0000_i1066" style="width:106.1pt;height:1pt" o:hrpct="500" o:hrstd="t" o:hrnoshade="t" o:hr="t" fillcolor="black [3213]" stroked="f"/>
              </w:pict>
            </w:r>
          </w:p>
        </w:tc>
        <w:tc>
          <w:tcPr>
            <w:tcW w:w="588" w:type="pct"/>
          </w:tcPr>
          <w:p w:rsidR="0086340B" w:rsidRPr="00893B19" w:rsidRDefault="0086340B" w:rsidP="005F1ED8">
            <w:pPr>
              <w:jc w:val="center"/>
              <w:rPr>
                <w:sz w:val="20"/>
                <w:szCs w:val="20"/>
              </w:rPr>
            </w:pPr>
          </w:p>
          <w:p w:rsidR="0086340B" w:rsidRPr="00893B19" w:rsidRDefault="0086340B" w:rsidP="005F1ED8">
            <w:pPr>
              <w:jc w:val="center"/>
              <w:rPr>
                <w:sz w:val="20"/>
                <w:szCs w:val="20"/>
              </w:rPr>
            </w:pPr>
          </w:p>
          <w:p w:rsidR="0086340B" w:rsidRPr="00893B19" w:rsidRDefault="0086340B" w:rsidP="005F1ED8">
            <w:pPr>
              <w:jc w:val="center"/>
              <w:rPr>
                <w:sz w:val="20"/>
                <w:szCs w:val="20"/>
              </w:rPr>
            </w:pPr>
          </w:p>
          <w:p w:rsidR="0086340B" w:rsidRPr="00893B19" w:rsidRDefault="0086340B" w:rsidP="005F1ED8">
            <w:pPr>
              <w:jc w:val="center"/>
              <w:rPr>
                <w:sz w:val="20"/>
                <w:szCs w:val="20"/>
              </w:rPr>
            </w:pPr>
          </w:p>
          <w:p w:rsidR="0086340B" w:rsidRPr="00893B19" w:rsidRDefault="0086340B" w:rsidP="005F1ED8">
            <w:pPr>
              <w:jc w:val="center"/>
              <w:rPr>
                <w:sz w:val="20"/>
                <w:szCs w:val="20"/>
              </w:rPr>
            </w:pPr>
          </w:p>
          <w:p w:rsidR="0086340B" w:rsidRPr="00893B19" w:rsidRDefault="0086340B" w:rsidP="005F1ED8">
            <w:pPr>
              <w:jc w:val="center"/>
              <w:rPr>
                <w:sz w:val="20"/>
                <w:szCs w:val="20"/>
              </w:rPr>
            </w:pPr>
          </w:p>
          <w:p w:rsidR="0086340B" w:rsidRPr="00893B19" w:rsidRDefault="0086340B" w:rsidP="005F1ED8">
            <w:pPr>
              <w:jc w:val="center"/>
              <w:rPr>
                <w:sz w:val="20"/>
                <w:szCs w:val="20"/>
              </w:rPr>
            </w:pPr>
          </w:p>
          <w:p w:rsidR="0086340B" w:rsidRPr="00893B19" w:rsidRDefault="0086340B" w:rsidP="005F1ED8">
            <w:pPr>
              <w:jc w:val="center"/>
              <w:rPr>
                <w:sz w:val="20"/>
                <w:szCs w:val="20"/>
              </w:rPr>
            </w:pPr>
          </w:p>
          <w:p w:rsidR="0086340B" w:rsidRPr="00893B19" w:rsidRDefault="0086340B" w:rsidP="005F1ED8">
            <w:pPr>
              <w:jc w:val="center"/>
              <w:rPr>
                <w:sz w:val="20"/>
                <w:szCs w:val="20"/>
              </w:rPr>
            </w:pPr>
          </w:p>
          <w:p w:rsidR="0086340B" w:rsidRPr="00893B19" w:rsidRDefault="0086340B" w:rsidP="005F1ED8">
            <w:pPr>
              <w:jc w:val="center"/>
              <w:rPr>
                <w:sz w:val="20"/>
                <w:szCs w:val="20"/>
              </w:rPr>
            </w:pPr>
          </w:p>
          <w:p w:rsidR="0086340B" w:rsidRPr="00893B19" w:rsidRDefault="0086340B" w:rsidP="005F1ED8">
            <w:pPr>
              <w:jc w:val="center"/>
              <w:rPr>
                <w:sz w:val="20"/>
                <w:szCs w:val="20"/>
              </w:rPr>
            </w:pPr>
          </w:p>
          <w:p w:rsidR="0086340B" w:rsidRPr="00893B19" w:rsidRDefault="0086340B" w:rsidP="005F1ED8">
            <w:pPr>
              <w:jc w:val="center"/>
              <w:rPr>
                <w:sz w:val="20"/>
                <w:szCs w:val="20"/>
              </w:rPr>
            </w:pPr>
          </w:p>
        </w:tc>
        <w:tc>
          <w:tcPr>
            <w:tcW w:w="2206" w:type="pct"/>
          </w:tcPr>
          <w:p w:rsidR="0086340B" w:rsidRPr="00893B19" w:rsidRDefault="0086340B" w:rsidP="005F1ED8">
            <w:pPr>
              <w:rPr>
                <w:sz w:val="20"/>
                <w:szCs w:val="20"/>
              </w:rPr>
            </w:pPr>
          </w:p>
        </w:tc>
      </w:tr>
    </w:tbl>
    <w:p w:rsidR="008277C4" w:rsidRPr="00893B19" w:rsidRDefault="008277C4" w:rsidP="00F40249">
      <w:pPr>
        <w:rPr>
          <w:sz w:val="20"/>
          <w:szCs w:val="20"/>
        </w:rPr>
      </w:pPr>
    </w:p>
    <w:p w:rsidR="008277C4" w:rsidRPr="00893B19" w:rsidRDefault="008277C4" w:rsidP="00F40249">
      <w:pPr>
        <w:rPr>
          <w:sz w:val="20"/>
          <w:szCs w:val="20"/>
        </w:rPr>
      </w:pPr>
    </w:p>
    <w:p w:rsidR="0010587F" w:rsidRPr="00893B19" w:rsidRDefault="0010587F" w:rsidP="00F40249">
      <w:pPr>
        <w:rPr>
          <w:sz w:val="20"/>
          <w:szCs w:val="20"/>
        </w:rPr>
      </w:pPr>
    </w:p>
    <w:p w:rsidR="00EB2B90" w:rsidRPr="00893B19" w:rsidRDefault="00EB2B90" w:rsidP="00F40249">
      <w:pPr>
        <w:rPr>
          <w:sz w:val="20"/>
          <w:szCs w:val="20"/>
        </w:rPr>
        <w:sectPr w:rsidR="00EB2B90" w:rsidRPr="00893B19" w:rsidSect="00F4024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567602" w:rsidRPr="00893B19" w:rsidRDefault="001434B9" w:rsidP="00567602">
      <w:pPr>
        <w:pStyle w:val="Header1StyleE"/>
        <w:pBdr>
          <w:bottom w:val="single" w:sz="12" w:space="1" w:color="auto"/>
        </w:pBdr>
        <w:rPr>
          <w:lang w:val="fr-CA"/>
        </w:rPr>
      </w:pPr>
      <w:bookmarkStart w:id="6" w:name="_Toc41632521"/>
      <w:r w:rsidRPr="00893B19">
        <w:rPr>
          <w:lang w:val="fr-CA"/>
        </w:rPr>
        <w:t>Pronouncements of reserved</w:t>
      </w:r>
      <w:r w:rsidR="00271E1E" w:rsidRPr="00893B19">
        <w:rPr>
          <w:lang w:val="fr-CA"/>
        </w:rPr>
        <w:t xml:space="preserve"> appeals / </w:t>
      </w:r>
      <w:r w:rsidR="00567602" w:rsidRPr="00893B19">
        <w:rPr>
          <w:lang w:val="fr-CA"/>
        </w:rPr>
        <w:br/>
      </w:r>
      <w:r w:rsidRPr="00893B19">
        <w:rPr>
          <w:lang w:val="fr-CA"/>
        </w:rPr>
        <w:t>Jugements rendus sur les appels en délibéré</w:t>
      </w:r>
      <w:bookmarkEnd w:id="6"/>
    </w:p>
    <w:p w:rsidR="00FF6EEC" w:rsidRPr="00893B19" w:rsidRDefault="00FF6EEC" w:rsidP="00FF6EEC">
      <w:pPr>
        <w:rPr>
          <w:sz w:val="20"/>
          <w:szCs w:val="20"/>
          <w:lang w:val="fr-CA"/>
        </w:rPr>
      </w:pPr>
    </w:p>
    <w:p w:rsidR="00102792" w:rsidRPr="00893B19" w:rsidRDefault="00C73D76" w:rsidP="00102792">
      <w:pPr>
        <w:rPr>
          <w:b/>
          <w:sz w:val="20"/>
          <w:szCs w:val="20"/>
          <w:lang w:val="en-US"/>
        </w:rPr>
      </w:pPr>
      <w:r w:rsidRPr="00893B19">
        <w:rPr>
          <w:b/>
          <w:sz w:val="20"/>
          <w:szCs w:val="20"/>
          <w:lang w:val="en-US"/>
        </w:rPr>
        <w:t>MA</w:t>
      </w:r>
      <w:r w:rsidR="00BF4E60" w:rsidRPr="00893B19">
        <w:rPr>
          <w:b/>
          <w:sz w:val="20"/>
          <w:szCs w:val="20"/>
          <w:lang w:val="en-US"/>
        </w:rPr>
        <w:t>Y</w:t>
      </w:r>
      <w:r w:rsidR="00102792" w:rsidRPr="00893B19">
        <w:rPr>
          <w:b/>
          <w:sz w:val="20"/>
          <w:szCs w:val="20"/>
          <w:lang w:val="en-US"/>
        </w:rPr>
        <w:t xml:space="preserve"> </w:t>
      </w:r>
      <w:r w:rsidR="00172473" w:rsidRPr="00893B19">
        <w:rPr>
          <w:b/>
          <w:sz w:val="20"/>
          <w:szCs w:val="20"/>
          <w:lang w:val="en-US"/>
        </w:rPr>
        <w:t>2</w:t>
      </w:r>
      <w:r w:rsidR="00BF4E60" w:rsidRPr="00893B19">
        <w:rPr>
          <w:b/>
          <w:sz w:val="20"/>
          <w:szCs w:val="20"/>
          <w:lang w:val="en-US"/>
        </w:rPr>
        <w:t>9</w:t>
      </w:r>
      <w:r w:rsidR="00102792" w:rsidRPr="00893B19">
        <w:rPr>
          <w:b/>
          <w:sz w:val="20"/>
          <w:szCs w:val="20"/>
          <w:lang w:val="en-US"/>
        </w:rPr>
        <w:t xml:space="preserve">, </w:t>
      </w:r>
      <w:r w:rsidR="0034657E" w:rsidRPr="00893B19">
        <w:rPr>
          <w:b/>
          <w:sz w:val="20"/>
          <w:szCs w:val="20"/>
          <w:lang w:val="en-US"/>
        </w:rPr>
        <w:t>20</w:t>
      </w:r>
      <w:r w:rsidR="00172473" w:rsidRPr="00893B19">
        <w:rPr>
          <w:b/>
          <w:sz w:val="20"/>
          <w:szCs w:val="20"/>
          <w:lang w:val="en-US"/>
        </w:rPr>
        <w:t>20</w:t>
      </w:r>
      <w:r w:rsidR="00102792" w:rsidRPr="00893B19">
        <w:rPr>
          <w:b/>
          <w:sz w:val="20"/>
          <w:szCs w:val="20"/>
          <w:lang w:val="en-US"/>
        </w:rPr>
        <w:t xml:space="preserve"> / LE </w:t>
      </w:r>
      <w:r w:rsidR="00172473" w:rsidRPr="00893B19">
        <w:rPr>
          <w:b/>
          <w:sz w:val="20"/>
          <w:szCs w:val="20"/>
          <w:lang w:val="en-US"/>
        </w:rPr>
        <w:t>2</w:t>
      </w:r>
      <w:r w:rsidR="00BF4E60" w:rsidRPr="00893B19">
        <w:rPr>
          <w:b/>
          <w:sz w:val="20"/>
          <w:szCs w:val="20"/>
          <w:lang w:val="en-US"/>
        </w:rPr>
        <w:t>9</w:t>
      </w:r>
      <w:r w:rsidR="00102792" w:rsidRPr="00893B19">
        <w:rPr>
          <w:b/>
          <w:sz w:val="20"/>
          <w:szCs w:val="20"/>
          <w:lang w:val="en-US"/>
        </w:rPr>
        <w:t xml:space="preserve"> </w:t>
      </w:r>
      <w:r w:rsidRPr="00893B19">
        <w:rPr>
          <w:b/>
          <w:sz w:val="20"/>
          <w:szCs w:val="20"/>
          <w:lang w:val="en-US"/>
        </w:rPr>
        <w:t>MA</w:t>
      </w:r>
      <w:r w:rsidR="00BF4E60" w:rsidRPr="00893B19">
        <w:rPr>
          <w:b/>
          <w:sz w:val="20"/>
          <w:szCs w:val="20"/>
          <w:lang w:val="en-US"/>
        </w:rPr>
        <w:t>I</w:t>
      </w:r>
      <w:r w:rsidR="00102792" w:rsidRPr="00893B19">
        <w:rPr>
          <w:b/>
          <w:sz w:val="20"/>
          <w:szCs w:val="20"/>
          <w:lang w:val="en-US"/>
        </w:rPr>
        <w:t xml:space="preserve"> </w:t>
      </w:r>
      <w:r w:rsidR="0034657E" w:rsidRPr="00893B19">
        <w:rPr>
          <w:b/>
          <w:sz w:val="20"/>
          <w:szCs w:val="20"/>
          <w:lang w:val="en-US"/>
        </w:rPr>
        <w:t>20</w:t>
      </w:r>
      <w:r w:rsidR="00172473" w:rsidRPr="00893B19">
        <w:rPr>
          <w:b/>
          <w:sz w:val="20"/>
          <w:szCs w:val="20"/>
          <w:lang w:val="en-US"/>
        </w:rPr>
        <w:t>20</w:t>
      </w:r>
    </w:p>
    <w:p w:rsidR="00102792" w:rsidRPr="00893B19" w:rsidRDefault="00102792" w:rsidP="00102792">
      <w:pPr>
        <w:rPr>
          <w:sz w:val="20"/>
          <w:szCs w:val="20"/>
          <w:lang w:val="en-US"/>
        </w:rPr>
      </w:pPr>
    </w:p>
    <w:p w:rsidR="00102792" w:rsidRPr="00893B19" w:rsidRDefault="00102792" w:rsidP="00102792">
      <w:pPr>
        <w:ind w:left="1440" w:hanging="1440"/>
        <w:jc w:val="both"/>
        <w:rPr>
          <w:rFonts w:eastAsia="Times New Roman" w:cs="Times New Roman"/>
          <w:color w:val="000000"/>
          <w:sz w:val="20"/>
          <w:szCs w:val="20"/>
          <w:lang w:val="en-US"/>
        </w:rPr>
      </w:pPr>
      <w:r w:rsidRPr="00893B19">
        <w:rPr>
          <w:rFonts w:eastAsia="Times New Roman" w:cs="Times New Roman"/>
          <w:b/>
          <w:bCs/>
          <w:color w:val="000000"/>
          <w:sz w:val="20"/>
          <w:szCs w:val="20"/>
          <w:lang w:val="en-US"/>
        </w:rPr>
        <w:t>3</w:t>
      </w:r>
      <w:r w:rsidR="00CA678E" w:rsidRPr="00893B19">
        <w:rPr>
          <w:rFonts w:eastAsia="Times New Roman" w:cs="Times New Roman"/>
          <w:b/>
          <w:bCs/>
          <w:color w:val="000000"/>
          <w:sz w:val="20"/>
          <w:szCs w:val="20"/>
          <w:lang w:val="en-US"/>
        </w:rPr>
        <w:t>8165</w:t>
      </w:r>
      <w:r w:rsidR="00172473" w:rsidRPr="00893B19">
        <w:rPr>
          <w:rFonts w:eastAsia="Times New Roman" w:cs="Times New Roman"/>
          <w:b/>
          <w:bCs/>
          <w:color w:val="000000"/>
          <w:sz w:val="20"/>
          <w:szCs w:val="20"/>
          <w:lang w:val="en-US"/>
        </w:rPr>
        <w:tab/>
      </w:r>
      <w:r w:rsidR="00CA678E" w:rsidRPr="00893B19">
        <w:rPr>
          <w:rFonts w:eastAsia="Times New Roman" w:cs="Times New Roman"/>
          <w:b/>
          <w:bCs/>
          <w:color w:val="000000"/>
          <w:sz w:val="20"/>
          <w:szCs w:val="20"/>
          <w:lang w:val="en-US"/>
        </w:rPr>
        <w:t>Javid Ahmad</w:t>
      </w:r>
      <w:r w:rsidRPr="00893B19">
        <w:rPr>
          <w:rFonts w:eastAsia="Times New Roman" w:cs="Times New Roman"/>
          <w:b/>
          <w:bCs/>
          <w:color w:val="000000"/>
          <w:sz w:val="20"/>
          <w:szCs w:val="20"/>
          <w:lang w:val="en-US"/>
        </w:rPr>
        <w:t xml:space="preserve"> v. </w:t>
      </w:r>
      <w:r w:rsidR="00CA678E" w:rsidRPr="00893B19">
        <w:rPr>
          <w:rFonts w:eastAsia="Times New Roman" w:cs="Times New Roman"/>
          <w:b/>
          <w:bCs/>
          <w:color w:val="000000"/>
          <w:sz w:val="20"/>
          <w:szCs w:val="20"/>
          <w:lang w:val="en-US"/>
        </w:rPr>
        <w:t>Her Majesty The Queen</w:t>
      </w:r>
      <w:r w:rsidRPr="00893B19">
        <w:rPr>
          <w:rFonts w:eastAsia="Times New Roman" w:cs="Times New Roman"/>
          <w:b/>
          <w:bCs/>
          <w:color w:val="000000"/>
          <w:sz w:val="20"/>
          <w:szCs w:val="20"/>
          <w:lang w:val="en-US"/>
        </w:rPr>
        <w:t xml:space="preserve"> </w:t>
      </w:r>
      <w:r w:rsidR="00281DA2" w:rsidRPr="00893B19">
        <w:rPr>
          <w:rFonts w:eastAsia="Times New Roman" w:cs="Times New Roman"/>
          <w:b/>
          <w:bCs/>
          <w:color w:val="000000"/>
          <w:sz w:val="20"/>
          <w:szCs w:val="20"/>
          <w:lang w:val="en-US"/>
        </w:rPr>
        <w:t>-</w:t>
      </w:r>
      <w:r w:rsidRPr="00893B19">
        <w:rPr>
          <w:rFonts w:eastAsia="Times New Roman" w:cs="Times New Roman"/>
          <w:b/>
          <w:bCs/>
          <w:color w:val="000000"/>
          <w:sz w:val="20"/>
          <w:szCs w:val="20"/>
          <w:lang w:val="en-US"/>
        </w:rPr>
        <w:t xml:space="preserve"> and - </w:t>
      </w:r>
      <w:r w:rsidR="005B2099" w:rsidRPr="00893B19">
        <w:rPr>
          <w:rFonts w:eastAsia="Times New Roman" w:cs="Times New Roman"/>
          <w:b/>
          <w:bCs/>
          <w:color w:val="000000"/>
          <w:sz w:val="20"/>
          <w:szCs w:val="20"/>
          <w:lang w:val="en-US"/>
        </w:rPr>
        <w:t>British Columbia Civil Liberties Association, Criminal Lawyers’ Association of Ontario and Canadian Association of Chiefs of Police</w:t>
      </w:r>
      <w:r w:rsidR="00281DA2" w:rsidRPr="00893B19">
        <w:rPr>
          <w:rFonts w:eastAsia="Times New Roman" w:cs="Times New Roman"/>
          <w:b/>
          <w:bCs/>
          <w:color w:val="000000"/>
          <w:sz w:val="20"/>
          <w:szCs w:val="20"/>
          <w:lang w:val="en-US"/>
        </w:rPr>
        <w:t xml:space="preserve"> </w:t>
      </w:r>
      <w:r w:rsidRPr="00893B19">
        <w:rPr>
          <w:rFonts w:eastAsia="Times New Roman" w:cs="Times New Roman"/>
          <w:color w:val="000000"/>
          <w:sz w:val="20"/>
          <w:szCs w:val="20"/>
          <w:lang w:val="en-US"/>
        </w:rPr>
        <w:t>(</w:t>
      </w:r>
      <w:r w:rsidR="00F1285C" w:rsidRPr="00893B19">
        <w:rPr>
          <w:rFonts w:eastAsia="Times New Roman" w:cs="Times New Roman"/>
          <w:color w:val="000000"/>
          <w:sz w:val="20"/>
          <w:szCs w:val="20"/>
          <w:lang w:val="en-US"/>
        </w:rPr>
        <w:t>Ont</w:t>
      </w:r>
      <w:r w:rsidRPr="00893B19">
        <w:rPr>
          <w:rFonts w:eastAsia="Times New Roman" w:cs="Times New Roman"/>
          <w:color w:val="000000"/>
          <w:sz w:val="20"/>
          <w:szCs w:val="20"/>
          <w:lang w:val="en-US"/>
        </w:rPr>
        <w:t>.)</w:t>
      </w:r>
    </w:p>
    <w:p w:rsidR="00102792" w:rsidRPr="00893B19" w:rsidRDefault="00102792" w:rsidP="00102792">
      <w:pPr>
        <w:ind w:left="1440"/>
        <w:jc w:val="both"/>
        <w:rPr>
          <w:rFonts w:eastAsia="Times New Roman" w:cs="Times New Roman"/>
          <w:color w:val="000000"/>
          <w:sz w:val="20"/>
          <w:szCs w:val="20"/>
          <w:lang w:val="en-US"/>
        </w:rPr>
      </w:pPr>
      <w:r w:rsidRPr="00893B19">
        <w:rPr>
          <w:rFonts w:eastAsia="Times New Roman" w:cs="Times New Roman"/>
          <w:b/>
          <w:bCs/>
          <w:color w:val="000000"/>
          <w:sz w:val="20"/>
          <w:szCs w:val="20"/>
          <w:lang w:val="en-US"/>
        </w:rPr>
        <w:t>20</w:t>
      </w:r>
      <w:r w:rsidR="00172473" w:rsidRPr="00893B19">
        <w:rPr>
          <w:rFonts w:eastAsia="Times New Roman" w:cs="Times New Roman"/>
          <w:b/>
          <w:bCs/>
          <w:color w:val="000000"/>
          <w:sz w:val="20"/>
          <w:szCs w:val="20"/>
          <w:lang w:val="en-US"/>
        </w:rPr>
        <w:t>20</w:t>
      </w:r>
      <w:r w:rsidRPr="00893B19">
        <w:rPr>
          <w:rFonts w:eastAsia="Times New Roman" w:cs="Times New Roman"/>
          <w:b/>
          <w:bCs/>
          <w:color w:val="000000"/>
          <w:sz w:val="20"/>
          <w:szCs w:val="20"/>
          <w:lang w:val="en-US"/>
        </w:rPr>
        <w:t xml:space="preserve"> SCC </w:t>
      </w:r>
      <w:r w:rsidR="00172473" w:rsidRPr="00893B19">
        <w:rPr>
          <w:rFonts w:eastAsia="Times New Roman" w:cs="Times New Roman"/>
          <w:b/>
          <w:bCs/>
          <w:color w:val="000000"/>
          <w:sz w:val="20"/>
          <w:szCs w:val="20"/>
          <w:lang w:val="en-US"/>
        </w:rPr>
        <w:t>1</w:t>
      </w:r>
      <w:r w:rsidR="00BF4E60" w:rsidRPr="00893B19">
        <w:rPr>
          <w:rFonts w:eastAsia="Times New Roman" w:cs="Times New Roman"/>
          <w:b/>
          <w:bCs/>
          <w:color w:val="000000"/>
          <w:sz w:val="20"/>
          <w:szCs w:val="20"/>
          <w:lang w:val="en-US"/>
        </w:rPr>
        <w:t>1</w:t>
      </w:r>
      <w:r w:rsidRPr="00893B19">
        <w:rPr>
          <w:rFonts w:eastAsia="Times New Roman" w:cs="Times New Roman"/>
          <w:b/>
          <w:bCs/>
          <w:color w:val="000000"/>
          <w:sz w:val="20"/>
          <w:szCs w:val="20"/>
          <w:lang w:val="en-US"/>
        </w:rPr>
        <w:t xml:space="preserve"> / 20</w:t>
      </w:r>
      <w:r w:rsidR="00172473" w:rsidRPr="00893B19">
        <w:rPr>
          <w:rFonts w:eastAsia="Times New Roman" w:cs="Times New Roman"/>
          <w:b/>
          <w:bCs/>
          <w:color w:val="000000"/>
          <w:sz w:val="20"/>
          <w:szCs w:val="20"/>
          <w:lang w:val="en-US"/>
        </w:rPr>
        <w:t>20</w:t>
      </w:r>
      <w:r w:rsidRPr="00893B19">
        <w:rPr>
          <w:rFonts w:eastAsia="Times New Roman" w:cs="Times New Roman"/>
          <w:b/>
          <w:bCs/>
          <w:color w:val="000000"/>
          <w:sz w:val="20"/>
          <w:szCs w:val="20"/>
          <w:lang w:val="en-US"/>
        </w:rPr>
        <w:t xml:space="preserve"> CSC </w:t>
      </w:r>
      <w:r w:rsidR="00172473" w:rsidRPr="00893B19">
        <w:rPr>
          <w:rFonts w:eastAsia="Times New Roman" w:cs="Times New Roman"/>
          <w:b/>
          <w:bCs/>
          <w:color w:val="000000"/>
          <w:sz w:val="20"/>
          <w:szCs w:val="20"/>
          <w:lang w:val="en-US"/>
        </w:rPr>
        <w:t>1</w:t>
      </w:r>
      <w:r w:rsidR="00BF4E60" w:rsidRPr="00893B19">
        <w:rPr>
          <w:rFonts w:eastAsia="Times New Roman" w:cs="Times New Roman"/>
          <w:b/>
          <w:bCs/>
          <w:color w:val="000000"/>
          <w:sz w:val="20"/>
          <w:szCs w:val="20"/>
          <w:lang w:val="en-US"/>
        </w:rPr>
        <w:t>1</w:t>
      </w:r>
    </w:p>
    <w:p w:rsidR="00102792" w:rsidRPr="00893B19" w:rsidRDefault="00102792" w:rsidP="00102792">
      <w:pPr>
        <w:jc w:val="both"/>
        <w:rPr>
          <w:rFonts w:eastAsia="Times New Roman" w:cs="Times New Roman"/>
          <w:color w:val="000000"/>
          <w:sz w:val="20"/>
          <w:szCs w:val="20"/>
          <w:lang w:val="en-US"/>
        </w:rPr>
      </w:pPr>
    </w:p>
    <w:p w:rsidR="00102792" w:rsidRPr="00893B19" w:rsidRDefault="00172473" w:rsidP="00102792">
      <w:pPr>
        <w:ind w:left="1440" w:hanging="1440"/>
        <w:rPr>
          <w:rFonts w:eastAsia="Times New Roman" w:cs="Times New Roman"/>
          <w:color w:val="000000"/>
          <w:sz w:val="20"/>
          <w:szCs w:val="20"/>
        </w:rPr>
      </w:pPr>
      <w:r w:rsidRPr="00893B19">
        <w:rPr>
          <w:rFonts w:eastAsia="Times New Roman" w:cs="Times New Roman"/>
          <w:color w:val="000000"/>
          <w:sz w:val="20"/>
          <w:szCs w:val="20"/>
          <w:lang w:val="en-US"/>
        </w:rPr>
        <w:t>Coram:</w:t>
      </w:r>
      <w:r w:rsidRPr="00893B19">
        <w:rPr>
          <w:rFonts w:eastAsia="Times New Roman" w:cs="Times New Roman"/>
          <w:color w:val="000000"/>
          <w:sz w:val="20"/>
          <w:szCs w:val="20"/>
          <w:lang w:val="en-US"/>
        </w:rPr>
        <w:tab/>
      </w:r>
      <w:r w:rsidR="00CA678E" w:rsidRPr="00893B19">
        <w:rPr>
          <w:rFonts w:eastAsia="Times New Roman" w:cs="Times New Roman"/>
          <w:color w:val="000000"/>
          <w:sz w:val="20"/>
          <w:szCs w:val="20"/>
          <w:lang w:val="en-US"/>
        </w:rPr>
        <w:t>Wagner C.J. and Abella, Moldaver, Karakatsanis, Côté, Brown, Rowe, Martin and Kasirer JJ.</w:t>
      </w:r>
    </w:p>
    <w:p w:rsidR="00102792" w:rsidRPr="00893B19" w:rsidRDefault="00102792" w:rsidP="00102792">
      <w:pPr>
        <w:ind w:left="1440" w:hanging="1440"/>
        <w:rPr>
          <w:rFonts w:eastAsia="Times New Roman" w:cs="Times New Roman"/>
          <w:color w:val="000000"/>
          <w:sz w:val="20"/>
          <w:szCs w:val="20"/>
          <w:lang w:val="en-US"/>
        </w:rPr>
      </w:pPr>
    </w:p>
    <w:p w:rsidR="005B2099" w:rsidRPr="00893B19" w:rsidRDefault="005B2099" w:rsidP="005B2099">
      <w:pPr>
        <w:jc w:val="both"/>
        <w:rPr>
          <w:sz w:val="20"/>
          <w:szCs w:val="20"/>
        </w:rPr>
      </w:pPr>
      <w:r w:rsidRPr="00893B19">
        <w:rPr>
          <w:sz w:val="20"/>
          <w:szCs w:val="20"/>
        </w:rPr>
        <w:t>The appeal from the judgment of the Court of Appeal for Ontario, Number C60881, 2018 ONCA 534, dated June 11, 2018, heard on October 11, 2019, is dismissed.</w:t>
      </w:r>
    </w:p>
    <w:p w:rsidR="005B2099" w:rsidRPr="00893B19" w:rsidRDefault="005B2099" w:rsidP="005B2099">
      <w:pPr>
        <w:jc w:val="both"/>
        <w:rPr>
          <w:sz w:val="20"/>
          <w:szCs w:val="20"/>
        </w:rPr>
      </w:pPr>
    </w:p>
    <w:p w:rsidR="005B2099" w:rsidRPr="00893B19" w:rsidRDefault="005B2099" w:rsidP="005B2099">
      <w:pPr>
        <w:jc w:val="both"/>
        <w:rPr>
          <w:sz w:val="20"/>
          <w:szCs w:val="20"/>
          <w:lang w:val="fr-CA"/>
        </w:rPr>
      </w:pPr>
      <w:r w:rsidRPr="00893B19">
        <w:rPr>
          <w:sz w:val="20"/>
          <w:szCs w:val="20"/>
          <w:lang w:val="fr-CA"/>
        </w:rPr>
        <w:t>L’appel interjeté contre l’arrêt de la Cour d’appel de l’Ontario, numéro C60881, 2018 ONCA 534, daté du 11 juin 2018, entendu le 11 octobre 2019, est rejeté.</w:t>
      </w:r>
    </w:p>
    <w:p w:rsidR="00102792" w:rsidRPr="00893B19" w:rsidRDefault="00102792" w:rsidP="00102792">
      <w:pPr>
        <w:rPr>
          <w:sz w:val="20"/>
          <w:szCs w:val="20"/>
          <w:lang w:val="fr-CA"/>
        </w:rPr>
      </w:pPr>
    </w:p>
    <w:p w:rsidR="00102792" w:rsidRPr="00893B19" w:rsidRDefault="00867539" w:rsidP="00102792">
      <w:pPr>
        <w:rPr>
          <w:sz w:val="20"/>
          <w:szCs w:val="20"/>
          <w:lang w:val="fr-CA"/>
        </w:rPr>
      </w:pPr>
      <w:hyperlink r:id="rId63" w:history="1">
        <w:r w:rsidR="00506BE1" w:rsidRPr="00893B19">
          <w:rPr>
            <w:rStyle w:val="Hyperlink"/>
            <w:sz w:val="20"/>
            <w:szCs w:val="20"/>
            <w:lang w:val="fr-CA"/>
          </w:rPr>
          <w:t xml:space="preserve">LINK TO </w:t>
        </w:r>
        <w:r w:rsidR="00D82BFF" w:rsidRPr="00893B19">
          <w:rPr>
            <w:rStyle w:val="Hyperlink"/>
            <w:sz w:val="20"/>
            <w:szCs w:val="20"/>
            <w:lang w:val="fr-CA"/>
          </w:rPr>
          <w:t>REASONS</w:t>
        </w:r>
      </w:hyperlink>
      <w:r w:rsidR="00102792" w:rsidRPr="00893B19">
        <w:rPr>
          <w:sz w:val="20"/>
          <w:szCs w:val="20"/>
          <w:lang w:val="fr-CA"/>
        </w:rPr>
        <w:t xml:space="preserve"> / </w:t>
      </w:r>
      <w:hyperlink r:id="rId64" w:history="1">
        <w:r w:rsidR="00D82BFF" w:rsidRPr="00893B19">
          <w:rPr>
            <w:rStyle w:val="Hyperlink"/>
            <w:sz w:val="20"/>
            <w:szCs w:val="20"/>
            <w:lang w:val="fr-CA"/>
          </w:rPr>
          <w:t>LIEN VERS LES MOTIFS</w:t>
        </w:r>
      </w:hyperlink>
    </w:p>
    <w:p w:rsidR="00102792" w:rsidRPr="00893B19" w:rsidRDefault="00102792" w:rsidP="00102792">
      <w:pPr>
        <w:rPr>
          <w:sz w:val="20"/>
          <w:szCs w:val="20"/>
          <w:lang w:val="fr-CA"/>
        </w:rPr>
      </w:pPr>
    </w:p>
    <w:p w:rsidR="00D004FC" w:rsidRPr="00893B19" w:rsidRDefault="00867539" w:rsidP="00102792">
      <w:pPr>
        <w:jc w:val="both"/>
        <w:rPr>
          <w:rFonts w:cs="Times New Roman"/>
          <w:b/>
          <w:sz w:val="20"/>
          <w:szCs w:val="20"/>
        </w:rPr>
      </w:pPr>
      <w:r>
        <w:rPr>
          <w:b/>
          <w:sz w:val="20"/>
          <w:szCs w:val="20"/>
        </w:rPr>
        <w:pict>
          <v:rect id="_x0000_i1069" style="width:144.3pt;height:1pt" o:hrpct="300" o:hralign="center" o:hrstd="t" o:hrnoshade="t" o:hr="t" fillcolor="black [3213]" stroked="f"/>
        </w:pict>
      </w:r>
    </w:p>
    <w:p w:rsidR="00D004FC" w:rsidRPr="00893B19" w:rsidRDefault="00D004FC" w:rsidP="00D004FC">
      <w:pPr>
        <w:jc w:val="both"/>
        <w:rPr>
          <w:rFonts w:cs="Times New Roman"/>
          <w:sz w:val="20"/>
          <w:szCs w:val="20"/>
        </w:rPr>
      </w:pPr>
    </w:p>
    <w:p w:rsidR="00CA678E" w:rsidRPr="00893B19" w:rsidRDefault="00CA678E" w:rsidP="00CA678E">
      <w:pPr>
        <w:ind w:left="1440" w:hanging="1440"/>
        <w:jc w:val="both"/>
        <w:rPr>
          <w:rFonts w:eastAsia="Times New Roman" w:cs="Times New Roman"/>
          <w:color w:val="000000"/>
          <w:sz w:val="20"/>
          <w:szCs w:val="20"/>
        </w:rPr>
      </w:pPr>
      <w:r w:rsidRPr="00893B19">
        <w:rPr>
          <w:rFonts w:eastAsia="Times New Roman" w:cs="Times New Roman"/>
          <w:b/>
          <w:bCs/>
          <w:color w:val="000000"/>
          <w:sz w:val="20"/>
          <w:szCs w:val="20"/>
        </w:rPr>
        <w:t>38304</w:t>
      </w:r>
      <w:r w:rsidRPr="00893B19">
        <w:rPr>
          <w:rFonts w:eastAsia="Times New Roman" w:cs="Times New Roman"/>
          <w:b/>
          <w:bCs/>
          <w:color w:val="000000"/>
          <w:sz w:val="20"/>
          <w:szCs w:val="20"/>
        </w:rPr>
        <w:tab/>
        <w:t xml:space="preserve">Landon Williams v. Her Majesty The Queen - and - </w:t>
      </w:r>
      <w:r w:rsidR="00822065" w:rsidRPr="00893B19">
        <w:rPr>
          <w:rFonts w:eastAsia="Times New Roman" w:cs="Times New Roman"/>
          <w:b/>
          <w:bCs/>
          <w:color w:val="000000"/>
          <w:sz w:val="20"/>
          <w:szCs w:val="20"/>
        </w:rPr>
        <w:t>British Columbia Civil Liberties Association and Independent Criminal Defence Advocacy Society</w:t>
      </w:r>
      <w:r w:rsidRPr="00893B19">
        <w:rPr>
          <w:rFonts w:eastAsia="Times New Roman" w:cs="Times New Roman"/>
          <w:b/>
          <w:bCs/>
          <w:color w:val="000000"/>
          <w:sz w:val="20"/>
          <w:szCs w:val="20"/>
        </w:rPr>
        <w:t xml:space="preserve"> </w:t>
      </w:r>
      <w:r w:rsidRPr="00893B19">
        <w:rPr>
          <w:rFonts w:eastAsia="Times New Roman" w:cs="Times New Roman"/>
          <w:color w:val="000000"/>
          <w:sz w:val="20"/>
          <w:szCs w:val="20"/>
        </w:rPr>
        <w:t>(</w:t>
      </w:r>
      <w:r w:rsidR="00F1285C" w:rsidRPr="00893B19">
        <w:rPr>
          <w:rFonts w:eastAsia="Times New Roman" w:cs="Times New Roman"/>
          <w:color w:val="000000"/>
          <w:sz w:val="20"/>
          <w:szCs w:val="20"/>
        </w:rPr>
        <w:t>Ont</w:t>
      </w:r>
      <w:r w:rsidRPr="00893B19">
        <w:rPr>
          <w:rFonts w:eastAsia="Times New Roman" w:cs="Times New Roman"/>
          <w:color w:val="000000"/>
          <w:sz w:val="20"/>
          <w:szCs w:val="20"/>
        </w:rPr>
        <w:t>.)</w:t>
      </w:r>
    </w:p>
    <w:p w:rsidR="00CA678E" w:rsidRPr="00893B19" w:rsidRDefault="00CA678E" w:rsidP="00CA678E">
      <w:pPr>
        <w:ind w:left="1440"/>
        <w:jc w:val="both"/>
        <w:rPr>
          <w:rFonts w:eastAsia="Times New Roman" w:cs="Times New Roman"/>
          <w:color w:val="000000"/>
          <w:sz w:val="20"/>
          <w:szCs w:val="20"/>
          <w:lang w:val="en-US"/>
        </w:rPr>
      </w:pPr>
      <w:r w:rsidRPr="00893B19">
        <w:rPr>
          <w:rFonts w:eastAsia="Times New Roman" w:cs="Times New Roman"/>
          <w:b/>
          <w:bCs/>
          <w:color w:val="000000"/>
          <w:sz w:val="20"/>
          <w:szCs w:val="20"/>
          <w:lang w:val="en-US"/>
        </w:rPr>
        <w:t>2020 SCC 11 / 2020 CSC 11</w:t>
      </w:r>
    </w:p>
    <w:p w:rsidR="00CA678E" w:rsidRPr="00893B19" w:rsidRDefault="00CA678E" w:rsidP="00CA678E">
      <w:pPr>
        <w:jc w:val="both"/>
        <w:rPr>
          <w:rFonts w:eastAsia="Times New Roman" w:cs="Times New Roman"/>
          <w:color w:val="000000"/>
          <w:sz w:val="20"/>
          <w:szCs w:val="20"/>
          <w:lang w:val="en-US"/>
        </w:rPr>
      </w:pPr>
    </w:p>
    <w:p w:rsidR="00CA678E" w:rsidRPr="00893B19" w:rsidRDefault="00CA678E" w:rsidP="00CA678E">
      <w:pPr>
        <w:ind w:left="1440" w:hanging="1440"/>
        <w:rPr>
          <w:rFonts w:eastAsia="Times New Roman" w:cs="Times New Roman"/>
          <w:color w:val="000000"/>
          <w:sz w:val="20"/>
          <w:szCs w:val="20"/>
        </w:rPr>
      </w:pPr>
      <w:r w:rsidRPr="00893B19">
        <w:rPr>
          <w:rFonts w:eastAsia="Times New Roman" w:cs="Times New Roman"/>
          <w:color w:val="000000"/>
          <w:sz w:val="20"/>
          <w:szCs w:val="20"/>
          <w:lang w:val="en-US"/>
        </w:rPr>
        <w:t>Coram:</w:t>
      </w:r>
      <w:r w:rsidRPr="00893B19">
        <w:rPr>
          <w:rFonts w:eastAsia="Times New Roman" w:cs="Times New Roman"/>
          <w:color w:val="000000"/>
          <w:sz w:val="20"/>
          <w:szCs w:val="20"/>
          <w:lang w:val="en-US"/>
        </w:rPr>
        <w:tab/>
        <w:t>Wagner C.J. and Abella, Moldaver, Karakatsanis, Côté, Brown, Rowe, Martin and Kasirer JJ.</w:t>
      </w:r>
    </w:p>
    <w:p w:rsidR="00CA678E" w:rsidRPr="00893B19" w:rsidRDefault="00CA678E" w:rsidP="00CA678E">
      <w:pPr>
        <w:ind w:left="1440" w:hanging="1440"/>
        <w:rPr>
          <w:rFonts w:eastAsia="Times New Roman" w:cs="Times New Roman"/>
          <w:color w:val="000000"/>
          <w:sz w:val="20"/>
          <w:szCs w:val="20"/>
          <w:lang w:val="en-US"/>
        </w:rPr>
      </w:pPr>
    </w:p>
    <w:p w:rsidR="00822065" w:rsidRPr="00893B19" w:rsidRDefault="00822065" w:rsidP="00822065">
      <w:pPr>
        <w:jc w:val="both"/>
        <w:rPr>
          <w:sz w:val="20"/>
          <w:szCs w:val="20"/>
        </w:rPr>
      </w:pPr>
      <w:r w:rsidRPr="00893B19">
        <w:rPr>
          <w:sz w:val="20"/>
          <w:szCs w:val="20"/>
        </w:rPr>
        <w:t>The appeal from the judgment of the Court of Appeal for Ontario, Number C58775, 2018 ONCA 534, dated June 11, 2018, heard on October 11, 2019, is allowed, the convictions entered by the Court of Appeal are set aside and the stay of proceedings entered by Trotter J. is reinstated. Wagner C.J. and Moldaver, Côté and Rowe JJ. dissent.</w:t>
      </w:r>
    </w:p>
    <w:p w:rsidR="00822065" w:rsidRPr="00893B19" w:rsidRDefault="00822065" w:rsidP="00822065">
      <w:pPr>
        <w:jc w:val="both"/>
        <w:rPr>
          <w:sz w:val="20"/>
          <w:szCs w:val="20"/>
        </w:rPr>
      </w:pPr>
    </w:p>
    <w:p w:rsidR="00822065" w:rsidRPr="00893B19" w:rsidRDefault="00822065" w:rsidP="00822065">
      <w:pPr>
        <w:jc w:val="both"/>
        <w:rPr>
          <w:sz w:val="20"/>
          <w:szCs w:val="20"/>
          <w:lang w:val="fr-CA"/>
        </w:rPr>
      </w:pPr>
      <w:r w:rsidRPr="00893B19">
        <w:rPr>
          <w:sz w:val="20"/>
          <w:szCs w:val="20"/>
          <w:lang w:val="fr-CA"/>
        </w:rPr>
        <w:t>L’appel interjeté contre l’arrêt de la Cour d’appel de l’Ontario, numéro C58775, 2018 ONCA 534, daté du 11 juin 2018, entendu le 11 octobre 2019, est accueilli, les déclarations de culpabilité prononcées par la Cour d’appel sont écartées et la suspension de l’instance ordonnée par le juge Trotter est rétablie. Le juge en chef Wagner et les juges Moldaver, Côté et Rowe sont dissidents.</w:t>
      </w:r>
    </w:p>
    <w:p w:rsidR="00CA678E" w:rsidRPr="00893B19" w:rsidRDefault="00CA678E" w:rsidP="00CA678E">
      <w:pPr>
        <w:rPr>
          <w:sz w:val="20"/>
          <w:szCs w:val="20"/>
          <w:lang w:val="fr-CA"/>
        </w:rPr>
      </w:pPr>
    </w:p>
    <w:p w:rsidR="00CA678E" w:rsidRPr="00893B19" w:rsidRDefault="00867539" w:rsidP="00CA678E">
      <w:pPr>
        <w:rPr>
          <w:sz w:val="20"/>
          <w:szCs w:val="20"/>
          <w:lang w:val="fr-CA"/>
        </w:rPr>
      </w:pPr>
      <w:hyperlink r:id="rId65" w:history="1">
        <w:r w:rsidR="00CA678E" w:rsidRPr="00893B19">
          <w:rPr>
            <w:rStyle w:val="Hyperlink"/>
            <w:sz w:val="20"/>
            <w:szCs w:val="20"/>
            <w:lang w:val="fr-CA"/>
          </w:rPr>
          <w:t>LINK TO REASONS</w:t>
        </w:r>
      </w:hyperlink>
      <w:r w:rsidR="00CA678E" w:rsidRPr="00893B19">
        <w:rPr>
          <w:sz w:val="20"/>
          <w:szCs w:val="20"/>
          <w:lang w:val="fr-CA"/>
        </w:rPr>
        <w:t xml:space="preserve"> / </w:t>
      </w:r>
      <w:hyperlink r:id="rId66" w:history="1">
        <w:r w:rsidR="00CA678E" w:rsidRPr="00893B19">
          <w:rPr>
            <w:rStyle w:val="Hyperlink"/>
            <w:sz w:val="20"/>
            <w:szCs w:val="20"/>
            <w:lang w:val="fr-CA"/>
          </w:rPr>
          <w:t>LIEN VERS LES MOTIFS</w:t>
        </w:r>
      </w:hyperlink>
    </w:p>
    <w:p w:rsidR="00CA678E" w:rsidRPr="00893B19" w:rsidRDefault="00CA678E" w:rsidP="00D004FC">
      <w:pPr>
        <w:jc w:val="both"/>
        <w:rPr>
          <w:rFonts w:cs="Times New Roman"/>
          <w:sz w:val="20"/>
          <w:szCs w:val="20"/>
        </w:rPr>
      </w:pPr>
    </w:p>
    <w:p w:rsidR="00CA678E" w:rsidRPr="00893B19" w:rsidRDefault="00867539" w:rsidP="00D004FC">
      <w:pPr>
        <w:jc w:val="both"/>
        <w:rPr>
          <w:rFonts w:cs="Times New Roman"/>
          <w:sz w:val="20"/>
          <w:szCs w:val="20"/>
        </w:rPr>
      </w:pPr>
      <w:r>
        <w:rPr>
          <w:b/>
          <w:sz w:val="20"/>
          <w:szCs w:val="20"/>
        </w:rPr>
        <w:pict>
          <v:rect id="_x0000_i1070" style="width:144.3pt;height:1pt" o:hrpct="300" o:hralign="center" o:hrstd="t" o:hrnoshade="t" o:hr="t" fillcolor="black [3213]" stroked="f"/>
        </w:pict>
      </w:r>
    </w:p>
    <w:p w:rsidR="00CA678E" w:rsidRPr="00893B19" w:rsidRDefault="00CA678E" w:rsidP="00D004FC">
      <w:pPr>
        <w:jc w:val="both"/>
        <w:rPr>
          <w:rFonts w:cs="Times New Roman"/>
          <w:sz w:val="20"/>
          <w:szCs w:val="20"/>
        </w:rPr>
      </w:pPr>
    </w:p>
    <w:p w:rsidR="0056248C" w:rsidRPr="00893B19" w:rsidRDefault="0056248C" w:rsidP="00091BA6">
      <w:pPr>
        <w:rPr>
          <w:sz w:val="20"/>
          <w:szCs w:val="20"/>
          <w:lang w:val="fr-CA"/>
        </w:rPr>
      </w:pPr>
    </w:p>
    <w:p w:rsidR="00102926" w:rsidRPr="00893B19" w:rsidRDefault="00102926" w:rsidP="00782AE4">
      <w:pPr>
        <w:jc w:val="both"/>
        <w:rPr>
          <w:sz w:val="20"/>
          <w:szCs w:val="20"/>
        </w:rPr>
        <w:sectPr w:rsidR="00102926" w:rsidRPr="00893B19"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576" w:footer="960" w:gutter="0"/>
          <w:cols w:space="720"/>
          <w:titlePg/>
          <w:docGrid w:linePitch="272"/>
        </w:sectPr>
      </w:pPr>
    </w:p>
    <w:p w:rsidR="00567602" w:rsidRPr="00893B19" w:rsidRDefault="001434B9" w:rsidP="001434B9">
      <w:pPr>
        <w:pStyle w:val="Header1StyleE"/>
        <w:pBdr>
          <w:bottom w:val="single" w:sz="12" w:space="0" w:color="auto"/>
        </w:pBdr>
        <w:rPr>
          <w:lang w:val="fr-CA"/>
        </w:rPr>
      </w:pPr>
      <w:bookmarkStart w:id="7" w:name="_Toc41632522"/>
      <w:r w:rsidRPr="00893B19">
        <w:rPr>
          <w:lang w:val="fr-CA"/>
        </w:rPr>
        <w:t xml:space="preserve">Agenda and case summaries for </w:t>
      </w:r>
      <w:r w:rsidR="00172473" w:rsidRPr="00893B19">
        <w:rPr>
          <w:lang w:val="fr-CA"/>
        </w:rPr>
        <w:t>J</w:t>
      </w:r>
      <w:r w:rsidR="00BF4E60" w:rsidRPr="00893B19">
        <w:rPr>
          <w:lang w:val="fr-CA"/>
        </w:rPr>
        <w:t>u</w:t>
      </w:r>
      <w:r w:rsidR="00172473" w:rsidRPr="00893B19">
        <w:rPr>
          <w:lang w:val="fr-CA"/>
        </w:rPr>
        <w:t>n</w:t>
      </w:r>
      <w:r w:rsidR="00BF4E60" w:rsidRPr="00893B19">
        <w:rPr>
          <w:lang w:val="fr-CA"/>
        </w:rPr>
        <w:t>e</w:t>
      </w:r>
      <w:r w:rsidR="00567602" w:rsidRPr="00893B19">
        <w:rPr>
          <w:lang w:val="fr-CA"/>
        </w:rPr>
        <w:t xml:space="preserve"> </w:t>
      </w:r>
      <w:r w:rsidR="0034657E" w:rsidRPr="00893B19">
        <w:rPr>
          <w:lang w:val="fr-CA"/>
        </w:rPr>
        <w:t>20</w:t>
      </w:r>
      <w:r w:rsidR="00172473" w:rsidRPr="00893B19">
        <w:rPr>
          <w:lang w:val="fr-CA"/>
        </w:rPr>
        <w:t>20</w:t>
      </w:r>
      <w:r w:rsidR="00271E1E" w:rsidRPr="00893B19">
        <w:rPr>
          <w:lang w:val="fr-CA"/>
        </w:rPr>
        <w:t xml:space="preserve"> / </w:t>
      </w:r>
      <w:r w:rsidR="00567602" w:rsidRPr="00893B19">
        <w:rPr>
          <w:lang w:val="fr-CA"/>
        </w:rPr>
        <w:br/>
      </w:r>
      <w:r w:rsidRPr="00893B19">
        <w:rPr>
          <w:lang w:val="fr-CA"/>
        </w:rPr>
        <w:t>Calendrier et sommaires des causes d</w:t>
      </w:r>
      <w:r w:rsidR="00172473" w:rsidRPr="00893B19">
        <w:rPr>
          <w:lang w:val="fr-CA"/>
        </w:rPr>
        <w:t>e j</w:t>
      </w:r>
      <w:r w:rsidR="00BF4E60" w:rsidRPr="00893B19">
        <w:rPr>
          <w:lang w:val="fr-CA"/>
        </w:rPr>
        <w:t>uin</w:t>
      </w:r>
      <w:r w:rsidR="00172473" w:rsidRPr="00893B19">
        <w:rPr>
          <w:lang w:val="fr-CA"/>
        </w:rPr>
        <w:t xml:space="preserve"> </w:t>
      </w:r>
      <w:r w:rsidR="0034657E" w:rsidRPr="00893B19">
        <w:rPr>
          <w:lang w:val="fr-CA"/>
        </w:rPr>
        <w:t>20</w:t>
      </w:r>
      <w:r w:rsidR="00172473" w:rsidRPr="00893B19">
        <w:rPr>
          <w:lang w:val="fr-CA"/>
        </w:rPr>
        <w:t>20</w:t>
      </w:r>
      <w:bookmarkEnd w:id="7"/>
    </w:p>
    <w:p w:rsidR="00567602" w:rsidRPr="00893B19" w:rsidRDefault="00567602" w:rsidP="004B66B4">
      <w:pPr>
        <w:rPr>
          <w:sz w:val="20"/>
          <w:szCs w:val="20"/>
          <w:lang w:val="fr-CA"/>
        </w:rPr>
      </w:pPr>
    </w:p>
    <w:p w:rsidR="00102926" w:rsidRPr="00867539" w:rsidRDefault="00E80D6C" w:rsidP="00782AE4">
      <w:pPr>
        <w:jc w:val="both"/>
        <w:rPr>
          <w:b/>
          <w:sz w:val="20"/>
          <w:szCs w:val="20"/>
          <w:lang w:val="en-US"/>
        </w:rPr>
      </w:pPr>
      <w:r w:rsidRPr="00867539">
        <w:rPr>
          <w:b/>
          <w:sz w:val="20"/>
          <w:szCs w:val="20"/>
          <w:lang w:val="en-US"/>
        </w:rPr>
        <w:t>MA</w:t>
      </w:r>
      <w:r w:rsidR="00BF4E60" w:rsidRPr="00867539">
        <w:rPr>
          <w:b/>
          <w:sz w:val="20"/>
          <w:szCs w:val="20"/>
          <w:lang w:val="en-US"/>
        </w:rPr>
        <w:t>Y</w:t>
      </w:r>
      <w:r w:rsidR="00102792" w:rsidRPr="00867539">
        <w:rPr>
          <w:b/>
          <w:sz w:val="20"/>
          <w:szCs w:val="20"/>
          <w:lang w:val="en-US"/>
        </w:rPr>
        <w:t xml:space="preserve"> </w:t>
      </w:r>
      <w:r w:rsidR="00BF4E60" w:rsidRPr="00867539">
        <w:rPr>
          <w:b/>
          <w:sz w:val="20"/>
          <w:szCs w:val="20"/>
          <w:lang w:val="en-US"/>
        </w:rPr>
        <w:t>29</w:t>
      </w:r>
      <w:r w:rsidR="00102792" w:rsidRPr="00867539">
        <w:rPr>
          <w:b/>
          <w:sz w:val="20"/>
          <w:szCs w:val="20"/>
          <w:lang w:val="en-US"/>
        </w:rPr>
        <w:t xml:space="preserve">, </w:t>
      </w:r>
      <w:r w:rsidR="0034657E" w:rsidRPr="00867539">
        <w:rPr>
          <w:b/>
          <w:sz w:val="20"/>
          <w:szCs w:val="20"/>
          <w:lang w:val="en-US"/>
        </w:rPr>
        <w:t>20</w:t>
      </w:r>
      <w:r w:rsidR="00172473" w:rsidRPr="00867539">
        <w:rPr>
          <w:b/>
          <w:sz w:val="20"/>
          <w:szCs w:val="20"/>
          <w:lang w:val="en-US"/>
        </w:rPr>
        <w:t>20</w:t>
      </w:r>
      <w:r w:rsidR="00102792" w:rsidRPr="00867539">
        <w:rPr>
          <w:b/>
          <w:sz w:val="20"/>
          <w:szCs w:val="20"/>
          <w:lang w:val="en-US"/>
        </w:rPr>
        <w:t xml:space="preserve"> / LE </w:t>
      </w:r>
      <w:r w:rsidR="00BF4E60" w:rsidRPr="00867539">
        <w:rPr>
          <w:b/>
          <w:sz w:val="20"/>
          <w:szCs w:val="20"/>
          <w:lang w:val="en-US"/>
        </w:rPr>
        <w:t>29</w:t>
      </w:r>
      <w:r w:rsidR="00102792" w:rsidRPr="00867539">
        <w:rPr>
          <w:b/>
          <w:sz w:val="20"/>
          <w:szCs w:val="20"/>
          <w:lang w:val="en-US"/>
        </w:rPr>
        <w:t xml:space="preserve"> </w:t>
      </w:r>
      <w:r w:rsidRPr="00867539">
        <w:rPr>
          <w:b/>
          <w:sz w:val="20"/>
          <w:szCs w:val="20"/>
          <w:lang w:val="en-US"/>
        </w:rPr>
        <w:t>MA</w:t>
      </w:r>
      <w:r w:rsidR="00BF4E60" w:rsidRPr="00867539">
        <w:rPr>
          <w:b/>
          <w:sz w:val="20"/>
          <w:szCs w:val="20"/>
          <w:lang w:val="en-US"/>
        </w:rPr>
        <w:t>I</w:t>
      </w:r>
      <w:r w:rsidR="00102792" w:rsidRPr="00867539">
        <w:rPr>
          <w:b/>
          <w:sz w:val="20"/>
          <w:szCs w:val="20"/>
          <w:lang w:val="en-US"/>
        </w:rPr>
        <w:t xml:space="preserve"> </w:t>
      </w:r>
      <w:r w:rsidR="0034657E" w:rsidRPr="00867539">
        <w:rPr>
          <w:b/>
          <w:sz w:val="20"/>
          <w:szCs w:val="20"/>
          <w:lang w:val="en-US"/>
        </w:rPr>
        <w:t>20</w:t>
      </w:r>
      <w:r w:rsidR="00172473" w:rsidRPr="00867539">
        <w:rPr>
          <w:b/>
          <w:sz w:val="20"/>
          <w:szCs w:val="20"/>
          <w:lang w:val="en-US"/>
        </w:rPr>
        <w:t>20</w:t>
      </w:r>
    </w:p>
    <w:p w:rsidR="00102792" w:rsidRPr="00867539" w:rsidRDefault="00102792" w:rsidP="00782AE4">
      <w:pPr>
        <w:jc w:val="both"/>
        <w:rPr>
          <w:sz w:val="20"/>
          <w:szCs w:val="20"/>
          <w:lang w:val="en-US"/>
        </w:rPr>
      </w:pPr>
    </w:p>
    <w:p w:rsidR="00893B19" w:rsidRPr="00893B19" w:rsidRDefault="00893B19" w:rsidP="00893B19">
      <w:pPr>
        <w:widowControl w:val="0"/>
        <w:rPr>
          <w:sz w:val="20"/>
          <w:szCs w:val="20"/>
          <w:lang w:val="fr-CA"/>
        </w:rPr>
      </w:pPr>
      <w:r w:rsidRPr="00893B19">
        <w:rPr>
          <w:sz w:val="20"/>
          <w:szCs w:val="20"/>
        </w:rPr>
        <w:t xml:space="preserve">In light </w:t>
      </w:r>
      <w:r w:rsidRPr="00893B19">
        <w:rPr>
          <w:sz w:val="20"/>
          <w:szCs w:val="20"/>
          <w:lang w:val="en"/>
        </w:rPr>
        <w:t xml:space="preserve">of COVID-19, the Supreme Court of Canada Building is closed to visitors, and the Justices and counsel will participate in the hearings remotely. </w:t>
      </w:r>
      <w:r w:rsidRPr="00893B19">
        <w:rPr>
          <w:sz w:val="20"/>
          <w:szCs w:val="20"/>
        </w:rPr>
        <w:t xml:space="preserve">Zoom has been selected as the platform for the hearings. </w:t>
      </w:r>
      <w:r w:rsidRPr="00893B19">
        <w:rPr>
          <w:sz w:val="20"/>
          <w:szCs w:val="20"/>
          <w:lang w:val="en"/>
        </w:rPr>
        <w:t xml:space="preserve">The </w:t>
      </w:r>
      <w:r w:rsidRPr="00893B19">
        <w:rPr>
          <w:sz w:val="20"/>
          <w:szCs w:val="20"/>
        </w:rPr>
        <w:t xml:space="preserve">hearings will be livestreamed on the Court’s website. A limited number of places will be available for members of the public and the media to attend the virtual hearings as observers. </w:t>
      </w:r>
      <w:r w:rsidRPr="00893B19">
        <w:rPr>
          <w:sz w:val="20"/>
          <w:szCs w:val="20"/>
          <w:lang w:val="fr-CA"/>
        </w:rPr>
        <w:t>Details will follow next week.</w:t>
      </w:r>
    </w:p>
    <w:p w:rsidR="00893B19" w:rsidRPr="00893B19" w:rsidRDefault="00893B19" w:rsidP="00782AE4">
      <w:pPr>
        <w:jc w:val="both"/>
        <w:rPr>
          <w:sz w:val="20"/>
          <w:szCs w:val="20"/>
          <w:lang w:val="fr-CA"/>
        </w:rPr>
      </w:pPr>
    </w:p>
    <w:p w:rsidR="00893B19" w:rsidRPr="00893B19" w:rsidRDefault="00893B19" w:rsidP="00893B19">
      <w:pPr>
        <w:widowControl w:val="0"/>
        <w:rPr>
          <w:sz w:val="20"/>
          <w:szCs w:val="20"/>
          <w:lang w:val="fr-CA"/>
        </w:rPr>
      </w:pPr>
      <w:r w:rsidRPr="00893B19">
        <w:rPr>
          <w:sz w:val="20"/>
          <w:szCs w:val="20"/>
          <w:lang w:val="fr-CA"/>
        </w:rPr>
        <w:t>En raison de la pandémie de COVID-19, l’édifice de la Cour est fermé aux visiteurs, et les juges ainsi que les procureurs participeront à distance aux audiences. La plateforme Zoom a été choisie en vue de la tenue des audiences, qui seront diffusées en direct sur le site Web de la Cour. Un nombre limité de places seront mises à la disposition de membres du public et des médias afin qu’ils puissent assister aux audiences virtuelles en tant qu’observateurs. Des détails suivront la semaine prochaine.</w:t>
      </w:r>
    </w:p>
    <w:p w:rsidR="00893B19" w:rsidRPr="00893B19" w:rsidRDefault="00893B19"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867539" w:rsidTr="00BF4E60">
        <w:tc>
          <w:tcPr>
            <w:tcW w:w="2397" w:type="dxa"/>
            <w:tcMar>
              <w:top w:w="58" w:type="dxa"/>
              <w:left w:w="58" w:type="dxa"/>
              <w:bottom w:w="58" w:type="dxa"/>
              <w:right w:w="58" w:type="dxa"/>
            </w:tcMar>
            <w:hideMark/>
          </w:tcPr>
          <w:p w:rsidR="00D94989" w:rsidRPr="00893B19" w:rsidRDefault="00102792">
            <w:pPr>
              <w:rPr>
                <w:b/>
                <w:color w:val="000000"/>
                <w:sz w:val="20"/>
                <w:szCs w:val="20"/>
              </w:rPr>
            </w:pPr>
            <w:r w:rsidRPr="00893B19">
              <w:rPr>
                <w:b/>
                <w:color w:val="000000"/>
                <w:sz w:val="20"/>
                <w:szCs w:val="20"/>
              </w:rPr>
              <w:t>DATE OF HEARING</w:t>
            </w:r>
          </w:p>
          <w:p w:rsidR="00102792" w:rsidRPr="00893B19" w:rsidRDefault="00D94989">
            <w:pPr>
              <w:rPr>
                <w:b/>
                <w:color w:val="000000"/>
                <w:sz w:val="20"/>
                <w:szCs w:val="20"/>
                <w:lang w:val="en-US"/>
              </w:rPr>
            </w:pPr>
            <w:r w:rsidRPr="00893B19">
              <w:rPr>
                <w:b/>
                <w:color w:val="000000"/>
                <w:sz w:val="20"/>
                <w:szCs w:val="20"/>
              </w:rPr>
              <w:t>(by video-conference)</w:t>
            </w:r>
            <w:r w:rsidR="00102792" w:rsidRPr="00893B19">
              <w:rPr>
                <w:b/>
                <w:color w:val="000000"/>
                <w:sz w:val="20"/>
                <w:szCs w:val="20"/>
              </w:rPr>
              <w:t xml:space="preserve"> /</w:t>
            </w:r>
          </w:p>
          <w:p w:rsidR="00D94989" w:rsidRPr="00893B19" w:rsidRDefault="00102792" w:rsidP="00D94989">
            <w:pPr>
              <w:rPr>
                <w:b/>
                <w:color w:val="000000"/>
                <w:sz w:val="20"/>
                <w:szCs w:val="20"/>
              </w:rPr>
            </w:pPr>
            <w:r w:rsidRPr="00893B19">
              <w:rPr>
                <w:b/>
                <w:color w:val="000000"/>
                <w:sz w:val="20"/>
                <w:szCs w:val="20"/>
              </w:rPr>
              <w:t>DATE D’AUDITION</w:t>
            </w:r>
          </w:p>
          <w:p w:rsidR="00102792" w:rsidRPr="00893B19" w:rsidRDefault="00D94989" w:rsidP="00FF1BBC">
            <w:pPr>
              <w:rPr>
                <w:color w:val="000000"/>
              </w:rPr>
            </w:pPr>
            <w:r w:rsidRPr="00893B19">
              <w:rPr>
                <w:b/>
                <w:color w:val="000000"/>
                <w:sz w:val="20"/>
                <w:szCs w:val="20"/>
              </w:rPr>
              <w:t>(par vid</w:t>
            </w:r>
            <w:r w:rsidR="004E7281" w:rsidRPr="00893B19">
              <w:rPr>
                <w:b/>
                <w:color w:val="000000"/>
                <w:sz w:val="20"/>
                <w:szCs w:val="20"/>
              </w:rPr>
              <w:t>é</w:t>
            </w:r>
            <w:r w:rsidRPr="00893B19">
              <w:rPr>
                <w:b/>
                <w:color w:val="000000"/>
                <w:sz w:val="20"/>
                <w:szCs w:val="20"/>
              </w:rPr>
              <w:t>oconf</w:t>
            </w:r>
            <w:r w:rsidR="00FF1BBC">
              <w:rPr>
                <w:b/>
                <w:color w:val="000000"/>
                <w:sz w:val="20"/>
                <w:szCs w:val="20"/>
              </w:rPr>
              <w:t>é</w:t>
            </w:r>
            <w:r w:rsidRPr="00893B19">
              <w:rPr>
                <w:b/>
                <w:color w:val="000000"/>
                <w:sz w:val="20"/>
                <w:szCs w:val="20"/>
              </w:rPr>
              <w:t>rence)</w:t>
            </w:r>
          </w:p>
        </w:tc>
        <w:tc>
          <w:tcPr>
            <w:tcW w:w="7173" w:type="dxa"/>
            <w:tcMar>
              <w:top w:w="58" w:type="dxa"/>
              <w:left w:w="58" w:type="dxa"/>
              <w:bottom w:w="58" w:type="dxa"/>
              <w:right w:w="58" w:type="dxa"/>
            </w:tcMar>
            <w:hideMark/>
          </w:tcPr>
          <w:p w:rsidR="00D94989" w:rsidRPr="00893B19" w:rsidRDefault="00D94989">
            <w:pPr>
              <w:rPr>
                <w:b/>
                <w:color w:val="000000"/>
                <w:sz w:val="20"/>
                <w:szCs w:val="20"/>
                <w:lang w:val="fr-CA"/>
              </w:rPr>
            </w:pPr>
          </w:p>
          <w:p w:rsidR="00102792" w:rsidRPr="00893B19" w:rsidRDefault="00102792">
            <w:pPr>
              <w:rPr>
                <w:b/>
                <w:color w:val="000000"/>
                <w:lang w:val="fr-CA"/>
              </w:rPr>
            </w:pPr>
            <w:r w:rsidRPr="00893B19">
              <w:rPr>
                <w:b/>
                <w:color w:val="000000"/>
                <w:sz w:val="20"/>
                <w:szCs w:val="20"/>
                <w:lang w:val="fr-CA"/>
              </w:rPr>
              <w:t>NAME AND CASE NUMBER /</w:t>
            </w:r>
          </w:p>
          <w:p w:rsidR="00102792" w:rsidRPr="00893B19" w:rsidRDefault="00102792">
            <w:pPr>
              <w:rPr>
                <w:color w:val="000000"/>
                <w:lang w:val="fr-CA"/>
              </w:rPr>
            </w:pPr>
            <w:r w:rsidRPr="00893B19">
              <w:rPr>
                <w:b/>
                <w:color w:val="000000"/>
                <w:sz w:val="20"/>
                <w:szCs w:val="20"/>
                <w:lang w:val="fr-CA"/>
              </w:rPr>
              <w:t>NOM DE LA CAUSE ET NUMÉRO</w:t>
            </w:r>
          </w:p>
        </w:tc>
      </w:tr>
      <w:tr w:rsidR="00102792" w:rsidRPr="00AB6C1E" w:rsidTr="00BF4E60">
        <w:tc>
          <w:tcPr>
            <w:tcW w:w="2397" w:type="dxa"/>
            <w:tcMar>
              <w:top w:w="58" w:type="dxa"/>
              <w:left w:w="58" w:type="dxa"/>
              <w:bottom w:w="58" w:type="dxa"/>
              <w:right w:w="58" w:type="dxa"/>
            </w:tcMar>
            <w:hideMark/>
          </w:tcPr>
          <w:p w:rsidR="00102792" w:rsidRPr="00893B19" w:rsidRDefault="00102792" w:rsidP="00BF4E60">
            <w:pPr>
              <w:rPr>
                <w:color w:val="000000"/>
              </w:rPr>
            </w:pPr>
            <w:r w:rsidRPr="00893B19">
              <w:rPr>
                <w:color w:val="000000"/>
                <w:sz w:val="20"/>
                <w:szCs w:val="20"/>
              </w:rPr>
              <w:t>20</w:t>
            </w:r>
            <w:r w:rsidR="00172473" w:rsidRPr="00893B19">
              <w:rPr>
                <w:color w:val="000000"/>
                <w:sz w:val="20"/>
                <w:szCs w:val="20"/>
              </w:rPr>
              <w:t>20</w:t>
            </w:r>
            <w:r w:rsidRPr="00893B19">
              <w:rPr>
                <w:color w:val="000000"/>
                <w:sz w:val="20"/>
                <w:szCs w:val="20"/>
              </w:rPr>
              <w:t>-</w:t>
            </w:r>
            <w:r w:rsidR="00172473" w:rsidRPr="00893B19">
              <w:rPr>
                <w:color w:val="000000"/>
                <w:sz w:val="20"/>
                <w:szCs w:val="20"/>
              </w:rPr>
              <w:t>0</w:t>
            </w:r>
            <w:r w:rsidR="00BF4E60" w:rsidRPr="00893B19">
              <w:rPr>
                <w:color w:val="000000"/>
                <w:sz w:val="20"/>
                <w:szCs w:val="20"/>
              </w:rPr>
              <w:t>6</w:t>
            </w:r>
            <w:r w:rsidRPr="00893B19">
              <w:rPr>
                <w:color w:val="000000"/>
                <w:sz w:val="20"/>
                <w:szCs w:val="20"/>
              </w:rPr>
              <w:t>-0</w:t>
            </w:r>
            <w:r w:rsidR="00BF4E60" w:rsidRPr="00893B19">
              <w:rPr>
                <w:color w:val="000000"/>
                <w:sz w:val="20"/>
                <w:szCs w:val="20"/>
              </w:rPr>
              <w:t>9</w:t>
            </w:r>
          </w:p>
        </w:tc>
        <w:tc>
          <w:tcPr>
            <w:tcW w:w="7173" w:type="dxa"/>
            <w:tcMar>
              <w:top w:w="58" w:type="dxa"/>
              <w:left w:w="58" w:type="dxa"/>
              <w:bottom w:w="58" w:type="dxa"/>
              <w:right w:w="58" w:type="dxa"/>
            </w:tcMar>
            <w:hideMark/>
          </w:tcPr>
          <w:p w:rsidR="00102792" w:rsidRPr="00AB6C1E" w:rsidRDefault="00BF4E60">
            <w:pPr>
              <w:rPr>
                <w:iCs/>
                <w:sz w:val="20"/>
                <w:szCs w:val="20"/>
              </w:rPr>
            </w:pPr>
            <w:r w:rsidRPr="00893B19">
              <w:rPr>
                <w:i/>
                <w:iCs/>
                <w:sz w:val="20"/>
              </w:rPr>
              <w:t xml:space="preserve">Owners, Strata Plan LMS 3905 v. Crystal Square Parking Corporation </w:t>
            </w:r>
            <w:r w:rsidRPr="00893B19">
              <w:rPr>
                <w:iCs/>
                <w:sz w:val="20"/>
              </w:rPr>
              <w:t xml:space="preserve">(B.C.) (Civil) </w:t>
            </w:r>
            <w:r w:rsidRPr="00AB6C1E">
              <w:rPr>
                <w:iCs/>
                <w:sz w:val="20"/>
                <w:szCs w:val="20"/>
              </w:rPr>
              <w:t>(By Leave) (</w:t>
            </w:r>
            <w:hyperlink r:id="rId73" w:history="1">
              <w:r w:rsidRPr="00AB6C1E">
                <w:rPr>
                  <w:rStyle w:val="Hyperlink"/>
                  <w:iCs/>
                  <w:sz w:val="20"/>
                  <w:szCs w:val="20"/>
                </w:rPr>
                <w:t>38741</w:t>
              </w:r>
            </w:hyperlink>
            <w:r w:rsidRPr="00AB6C1E">
              <w:rPr>
                <w:iCs/>
                <w:sz w:val="20"/>
                <w:szCs w:val="20"/>
              </w:rPr>
              <w:t>)</w:t>
            </w:r>
          </w:p>
          <w:p w:rsidR="00AB6C1E" w:rsidRPr="00867539" w:rsidRDefault="00AB6C1E">
            <w:pPr>
              <w:rPr>
                <w:color w:val="000000"/>
                <w:lang w:val="en-US"/>
              </w:rPr>
            </w:pPr>
            <w:r w:rsidRPr="00867539">
              <w:rPr>
                <w:color w:val="000000"/>
                <w:sz w:val="20"/>
                <w:szCs w:val="20"/>
                <w:lang w:val="en-US"/>
              </w:rPr>
              <w:t>(Later start time: 1:30 p.m. / Horaire modifié: audience débutant à 13 h 30)</w:t>
            </w:r>
          </w:p>
        </w:tc>
      </w:tr>
      <w:tr w:rsidR="00102792" w:rsidRPr="00867539" w:rsidTr="00BF4E60">
        <w:tc>
          <w:tcPr>
            <w:tcW w:w="2397" w:type="dxa"/>
            <w:tcMar>
              <w:top w:w="58" w:type="dxa"/>
              <w:left w:w="58" w:type="dxa"/>
              <w:bottom w:w="58" w:type="dxa"/>
              <w:right w:w="58" w:type="dxa"/>
            </w:tcMar>
            <w:hideMark/>
          </w:tcPr>
          <w:p w:rsidR="00102792" w:rsidRPr="00893B19" w:rsidRDefault="00102792" w:rsidP="00BF4E60">
            <w:pPr>
              <w:rPr>
                <w:color w:val="000000"/>
              </w:rPr>
            </w:pPr>
            <w:r w:rsidRPr="00893B19">
              <w:rPr>
                <w:color w:val="000000"/>
                <w:sz w:val="20"/>
                <w:szCs w:val="20"/>
              </w:rPr>
              <w:t>20</w:t>
            </w:r>
            <w:r w:rsidR="00172473" w:rsidRPr="00893B19">
              <w:rPr>
                <w:color w:val="000000"/>
                <w:sz w:val="20"/>
                <w:szCs w:val="20"/>
              </w:rPr>
              <w:t>20</w:t>
            </w:r>
            <w:r w:rsidRPr="00893B19">
              <w:rPr>
                <w:color w:val="000000"/>
                <w:sz w:val="20"/>
                <w:szCs w:val="20"/>
              </w:rPr>
              <w:t>-</w:t>
            </w:r>
            <w:r w:rsidR="00172473" w:rsidRPr="00893B19">
              <w:rPr>
                <w:color w:val="000000"/>
                <w:sz w:val="20"/>
                <w:szCs w:val="20"/>
              </w:rPr>
              <w:t>0</w:t>
            </w:r>
            <w:r w:rsidR="00BF4E60" w:rsidRPr="00893B19">
              <w:rPr>
                <w:color w:val="000000"/>
                <w:sz w:val="20"/>
                <w:szCs w:val="20"/>
              </w:rPr>
              <w:t>6</w:t>
            </w:r>
            <w:r w:rsidRPr="00893B19">
              <w:rPr>
                <w:color w:val="000000"/>
                <w:sz w:val="20"/>
                <w:szCs w:val="20"/>
              </w:rPr>
              <w:t>-</w:t>
            </w:r>
            <w:r w:rsidR="00BF4E60" w:rsidRPr="00893B19">
              <w:rPr>
                <w:color w:val="000000"/>
                <w:sz w:val="20"/>
                <w:szCs w:val="20"/>
              </w:rPr>
              <w:t>1</w:t>
            </w:r>
            <w:r w:rsidRPr="00893B19">
              <w:rPr>
                <w:color w:val="000000"/>
                <w:sz w:val="20"/>
                <w:szCs w:val="20"/>
              </w:rPr>
              <w:t>0</w:t>
            </w:r>
          </w:p>
        </w:tc>
        <w:tc>
          <w:tcPr>
            <w:tcW w:w="7173" w:type="dxa"/>
            <w:tcMar>
              <w:top w:w="58" w:type="dxa"/>
              <w:left w:w="58" w:type="dxa"/>
              <w:bottom w:w="58" w:type="dxa"/>
              <w:right w:w="58" w:type="dxa"/>
            </w:tcMar>
            <w:hideMark/>
          </w:tcPr>
          <w:p w:rsidR="00102792" w:rsidRDefault="00BF4E60">
            <w:pPr>
              <w:rPr>
                <w:iCs/>
                <w:sz w:val="20"/>
                <w:lang w:val="fr-CA"/>
              </w:rPr>
            </w:pPr>
            <w:r w:rsidRPr="00893B19">
              <w:rPr>
                <w:i/>
                <w:iCs/>
                <w:sz w:val="20"/>
                <w:lang w:val="fr-CA"/>
              </w:rPr>
              <w:t xml:space="preserve">Sa Majesté la Reine c. Sivaloganathan Thanabalasingham </w:t>
            </w:r>
            <w:r w:rsidRPr="00893B19">
              <w:rPr>
                <w:iCs/>
                <w:sz w:val="20"/>
                <w:lang w:val="fr-CA"/>
              </w:rPr>
              <w:t>(Qc) (Criminelle) (De plein droit) (</w:t>
            </w:r>
            <w:hyperlink r:id="rId74" w:history="1">
              <w:r w:rsidRPr="00893B19">
                <w:rPr>
                  <w:rStyle w:val="Hyperlink"/>
                  <w:iCs/>
                  <w:sz w:val="20"/>
                  <w:lang w:val="fr-CA"/>
                </w:rPr>
                <w:t>37984</w:t>
              </w:r>
            </w:hyperlink>
            <w:r w:rsidRPr="00893B19">
              <w:rPr>
                <w:iCs/>
                <w:sz w:val="20"/>
                <w:lang w:val="fr-CA"/>
              </w:rPr>
              <w:t>)</w:t>
            </w:r>
          </w:p>
          <w:p w:rsidR="00867539" w:rsidRPr="00893B19" w:rsidRDefault="00867539" w:rsidP="00867539">
            <w:pPr>
              <w:rPr>
                <w:color w:val="000000"/>
                <w:lang w:val="fr-CA"/>
              </w:rPr>
            </w:pPr>
            <w:r w:rsidRPr="00AB6C1E">
              <w:rPr>
                <w:color w:val="000000"/>
                <w:sz w:val="20"/>
                <w:szCs w:val="20"/>
                <w:lang w:val="fr-CA"/>
              </w:rPr>
              <w:t>(</w:t>
            </w:r>
            <w:r>
              <w:rPr>
                <w:color w:val="000000"/>
                <w:sz w:val="20"/>
                <w:szCs w:val="20"/>
                <w:lang w:val="fr-CA"/>
              </w:rPr>
              <w:t>S</w:t>
            </w:r>
            <w:r w:rsidRPr="00AB6C1E">
              <w:rPr>
                <w:color w:val="000000"/>
                <w:sz w:val="20"/>
                <w:szCs w:val="20"/>
                <w:lang w:val="fr-CA"/>
              </w:rPr>
              <w:t xml:space="preserve">tart time: </w:t>
            </w:r>
            <w:r>
              <w:rPr>
                <w:color w:val="000000"/>
                <w:sz w:val="20"/>
                <w:szCs w:val="20"/>
                <w:lang w:val="fr-CA"/>
              </w:rPr>
              <w:t>9</w:t>
            </w:r>
            <w:r w:rsidRPr="00AB6C1E">
              <w:rPr>
                <w:color w:val="000000"/>
                <w:sz w:val="20"/>
                <w:szCs w:val="20"/>
                <w:lang w:val="fr-CA"/>
              </w:rPr>
              <w:t xml:space="preserve">:30 </w:t>
            </w:r>
            <w:r>
              <w:rPr>
                <w:color w:val="000000"/>
                <w:sz w:val="20"/>
                <w:szCs w:val="20"/>
                <w:lang w:val="fr-CA"/>
              </w:rPr>
              <w:t>a</w:t>
            </w:r>
            <w:r w:rsidRPr="00AB6C1E">
              <w:rPr>
                <w:color w:val="000000"/>
                <w:sz w:val="20"/>
                <w:szCs w:val="20"/>
                <w:lang w:val="fr-CA"/>
              </w:rPr>
              <w:t xml:space="preserve">.m. / </w:t>
            </w:r>
            <w:r>
              <w:rPr>
                <w:color w:val="000000"/>
                <w:sz w:val="20"/>
                <w:szCs w:val="20"/>
                <w:lang w:val="fr-CA"/>
              </w:rPr>
              <w:t>A</w:t>
            </w:r>
            <w:r w:rsidRPr="00AB6C1E">
              <w:rPr>
                <w:color w:val="000000"/>
                <w:sz w:val="20"/>
                <w:szCs w:val="20"/>
                <w:lang w:val="fr-CA"/>
              </w:rPr>
              <w:t xml:space="preserve">udience débutant à </w:t>
            </w:r>
            <w:r>
              <w:rPr>
                <w:color w:val="000000"/>
                <w:sz w:val="20"/>
                <w:szCs w:val="20"/>
                <w:lang w:val="fr-CA"/>
              </w:rPr>
              <w:t>9</w:t>
            </w:r>
            <w:r w:rsidRPr="00AB6C1E">
              <w:rPr>
                <w:color w:val="000000"/>
                <w:sz w:val="20"/>
                <w:szCs w:val="20"/>
                <w:lang w:val="fr-CA"/>
              </w:rPr>
              <w:t xml:space="preserve"> h 30)</w:t>
            </w:r>
          </w:p>
        </w:tc>
      </w:tr>
      <w:tr w:rsidR="00102792" w:rsidRPr="00AB6C1E" w:rsidTr="00BF4E60">
        <w:tc>
          <w:tcPr>
            <w:tcW w:w="2397" w:type="dxa"/>
            <w:tcMar>
              <w:top w:w="58" w:type="dxa"/>
              <w:left w:w="58" w:type="dxa"/>
              <w:bottom w:w="58" w:type="dxa"/>
              <w:right w:w="58" w:type="dxa"/>
            </w:tcMar>
            <w:hideMark/>
          </w:tcPr>
          <w:p w:rsidR="00102792" w:rsidRPr="00893B19" w:rsidRDefault="00102792" w:rsidP="00BF4E60">
            <w:pPr>
              <w:rPr>
                <w:color w:val="000000"/>
              </w:rPr>
            </w:pPr>
            <w:r w:rsidRPr="00893B19">
              <w:rPr>
                <w:color w:val="000000"/>
                <w:sz w:val="20"/>
                <w:szCs w:val="20"/>
              </w:rPr>
              <w:t>20</w:t>
            </w:r>
            <w:r w:rsidR="00172473" w:rsidRPr="00893B19">
              <w:rPr>
                <w:color w:val="000000"/>
                <w:sz w:val="20"/>
                <w:szCs w:val="20"/>
              </w:rPr>
              <w:t>20</w:t>
            </w:r>
            <w:r w:rsidRPr="00893B19">
              <w:rPr>
                <w:color w:val="000000"/>
                <w:sz w:val="20"/>
                <w:szCs w:val="20"/>
              </w:rPr>
              <w:t>-</w:t>
            </w:r>
            <w:r w:rsidR="00172473" w:rsidRPr="00893B19">
              <w:rPr>
                <w:color w:val="000000"/>
                <w:sz w:val="20"/>
                <w:szCs w:val="20"/>
              </w:rPr>
              <w:t>0</w:t>
            </w:r>
            <w:r w:rsidR="00BF4E60" w:rsidRPr="00893B19">
              <w:rPr>
                <w:color w:val="000000"/>
                <w:sz w:val="20"/>
                <w:szCs w:val="20"/>
              </w:rPr>
              <w:t>6</w:t>
            </w:r>
            <w:r w:rsidRPr="00893B19">
              <w:rPr>
                <w:color w:val="000000"/>
                <w:sz w:val="20"/>
                <w:szCs w:val="20"/>
              </w:rPr>
              <w:t>-</w:t>
            </w:r>
            <w:r w:rsidR="00BF4E60" w:rsidRPr="00893B19">
              <w:rPr>
                <w:color w:val="000000"/>
                <w:sz w:val="20"/>
                <w:szCs w:val="20"/>
              </w:rPr>
              <w:t>11</w:t>
            </w:r>
          </w:p>
        </w:tc>
        <w:tc>
          <w:tcPr>
            <w:tcW w:w="7173" w:type="dxa"/>
            <w:tcMar>
              <w:top w:w="58" w:type="dxa"/>
              <w:left w:w="58" w:type="dxa"/>
              <w:bottom w:w="58" w:type="dxa"/>
              <w:right w:w="58" w:type="dxa"/>
            </w:tcMar>
            <w:hideMark/>
          </w:tcPr>
          <w:p w:rsidR="00102792" w:rsidRDefault="00BF4E60">
            <w:pPr>
              <w:rPr>
                <w:iCs/>
                <w:sz w:val="20"/>
              </w:rPr>
            </w:pPr>
            <w:r w:rsidRPr="00893B19">
              <w:rPr>
                <w:i/>
                <w:iCs/>
                <w:sz w:val="20"/>
              </w:rPr>
              <w:t xml:space="preserve">Cheung Wai Wallace Li v. Her Majesty the Queen </w:t>
            </w:r>
            <w:r w:rsidRPr="00893B19">
              <w:rPr>
                <w:iCs/>
                <w:sz w:val="20"/>
              </w:rPr>
              <w:t>(B.C.) (Criminal) (As of Right) (</w:t>
            </w:r>
            <w:hyperlink r:id="rId75" w:history="1">
              <w:r w:rsidRPr="00893B19">
                <w:rPr>
                  <w:rStyle w:val="Hyperlink"/>
                  <w:iCs/>
                  <w:sz w:val="20"/>
                </w:rPr>
                <w:t>38903</w:t>
              </w:r>
            </w:hyperlink>
            <w:r w:rsidRPr="00893B19">
              <w:rPr>
                <w:iCs/>
                <w:sz w:val="20"/>
              </w:rPr>
              <w:t>)</w:t>
            </w:r>
          </w:p>
          <w:p w:rsidR="00AB6C1E" w:rsidRPr="00AB6C1E" w:rsidRDefault="00AB6C1E">
            <w:pPr>
              <w:rPr>
                <w:color w:val="000000"/>
                <w:lang w:val="fr-CA"/>
              </w:rPr>
            </w:pPr>
            <w:r w:rsidRPr="00AB6C1E">
              <w:rPr>
                <w:color w:val="000000"/>
                <w:sz w:val="20"/>
                <w:szCs w:val="20"/>
                <w:lang w:val="fr-CA"/>
              </w:rPr>
              <w:t>(Later start time: 1:30 p.m. / Horaire modifié: audience débutant à 13 h 30)</w:t>
            </w:r>
          </w:p>
        </w:tc>
        <w:bookmarkStart w:id="8" w:name="_GoBack"/>
        <w:bookmarkEnd w:id="8"/>
      </w:tr>
      <w:tr w:rsidR="00102792" w:rsidRPr="00AB6C1E" w:rsidTr="00BF4E60">
        <w:trPr>
          <w:trHeight w:val="302"/>
        </w:trPr>
        <w:tc>
          <w:tcPr>
            <w:tcW w:w="2397" w:type="dxa"/>
            <w:tcMar>
              <w:top w:w="58" w:type="dxa"/>
              <w:left w:w="58" w:type="dxa"/>
              <w:bottom w:w="58" w:type="dxa"/>
              <w:right w:w="58" w:type="dxa"/>
            </w:tcMar>
            <w:hideMark/>
          </w:tcPr>
          <w:p w:rsidR="00102792" w:rsidRPr="00893B19" w:rsidRDefault="00102792" w:rsidP="00BF4E60">
            <w:pPr>
              <w:rPr>
                <w:color w:val="000000"/>
              </w:rPr>
            </w:pPr>
            <w:r w:rsidRPr="00893B19">
              <w:rPr>
                <w:color w:val="000000"/>
                <w:sz w:val="20"/>
                <w:szCs w:val="20"/>
              </w:rPr>
              <w:t>20</w:t>
            </w:r>
            <w:r w:rsidR="00172473" w:rsidRPr="00893B19">
              <w:rPr>
                <w:color w:val="000000"/>
                <w:sz w:val="20"/>
                <w:szCs w:val="20"/>
              </w:rPr>
              <w:t>20</w:t>
            </w:r>
            <w:r w:rsidRPr="00893B19">
              <w:rPr>
                <w:color w:val="000000"/>
                <w:sz w:val="20"/>
                <w:szCs w:val="20"/>
              </w:rPr>
              <w:t>-</w:t>
            </w:r>
            <w:r w:rsidR="00172473" w:rsidRPr="00893B19">
              <w:rPr>
                <w:color w:val="000000"/>
                <w:sz w:val="20"/>
                <w:szCs w:val="20"/>
              </w:rPr>
              <w:t>0</w:t>
            </w:r>
            <w:r w:rsidR="00BF4E60" w:rsidRPr="00893B19">
              <w:rPr>
                <w:color w:val="000000"/>
                <w:sz w:val="20"/>
                <w:szCs w:val="20"/>
              </w:rPr>
              <w:t>6</w:t>
            </w:r>
            <w:r w:rsidRPr="00893B19">
              <w:rPr>
                <w:color w:val="000000"/>
                <w:sz w:val="20"/>
                <w:szCs w:val="20"/>
              </w:rPr>
              <w:t>-</w:t>
            </w:r>
            <w:r w:rsidR="00BF4E60" w:rsidRPr="00893B19">
              <w:rPr>
                <w:color w:val="000000"/>
                <w:sz w:val="20"/>
                <w:szCs w:val="20"/>
              </w:rPr>
              <w:t>12</w:t>
            </w:r>
          </w:p>
        </w:tc>
        <w:tc>
          <w:tcPr>
            <w:tcW w:w="7173" w:type="dxa"/>
            <w:tcMar>
              <w:top w:w="58" w:type="dxa"/>
              <w:left w:w="58" w:type="dxa"/>
              <w:bottom w:w="58" w:type="dxa"/>
              <w:right w:w="58" w:type="dxa"/>
            </w:tcMar>
            <w:hideMark/>
          </w:tcPr>
          <w:p w:rsidR="00BF4E60" w:rsidRPr="00893B19" w:rsidRDefault="00BF4E60" w:rsidP="00BF4E60">
            <w:pPr>
              <w:widowControl w:val="0"/>
              <w:rPr>
                <w:iCs/>
                <w:sz w:val="20"/>
              </w:rPr>
            </w:pPr>
            <w:r w:rsidRPr="00893B19">
              <w:rPr>
                <w:i/>
                <w:iCs/>
                <w:sz w:val="20"/>
              </w:rPr>
              <w:t xml:space="preserve">Haben Abrham Weldekidan v. Her Majesty the Queen </w:t>
            </w:r>
            <w:r w:rsidRPr="00893B19">
              <w:rPr>
                <w:iCs/>
                <w:sz w:val="20"/>
              </w:rPr>
              <w:t>(Man.) (Criminal) (By Leave) (</w:t>
            </w:r>
            <w:hyperlink r:id="rId76" w:history="1">
              <w:r w:rsidRPr="00893B19">
                <w:rPr>
                  <w:rStyle w:val="Hyperlink"/>
                  <w:iCs/>
                  <w:sz w:val="20"/>
                </w:rPr>
                <w:t>38984</w:t>
              </w:r>
            </w:hyperlink>
            <w:r w:rsidRPr="00893B19">
              <w:rPr>
                <w:iCs/>
                <w:sz w:val="20"/>
              </w:rPr>
              <w:t>)</w:t>
            </w:r>
          </w:p>
          <w:p w:rsidR="00102792" w:rsidRPr="00867539" w:rsidRDefault="00BF4E60" w:rsidP="00BF4E60">
            <w:pPr>
              <w:rPr>
                <w:iCs/>
                <w:sz w:val="20"/>
              </w:rPr>
            </w:pPr>
            <w:r w:rsidRPr="00867539">
              <w:rPr>
                <w:iCs/>
                <w:sz w:val="20"/>
              </w:rPr>
              <w:t>(Oral hearing on leave application / Audition de la demande d’autorisation d’appel)</w:t>
            </w:r>
          </w:p>
          <w:p w:rsidR="00AB6C1E" w:rsidRPr="00867539" w:rsidRDefault="00AB6C1E" w:rsidP="00AB6C1E">
            <w:pPr>
              <w:rPr>
                <w:color w:val="000000"/>
              </w:rPr>
            </w:pPr>
            <w:r w:rsidRPr="00867539">
              <w:rPr>
                <w:color w:val="000000"/>
                <w:sz w:val="20"/>
                <w:szCs w:val="20"/>
              </w:rPr>
              <w:t>(Later start time: 10:30 a.m. / Horaire modifié: audience débutant à 10 h 30)</w:t>
            </w:r>
          </w:p>
        </w:tc>
      </w:tr>
    </w:tbl>
    <w:p w:rsidR="00102792" w:rsidRPr="00867539" w:rsidRDefault="00102792" w:rsidP="00102792">
      <w:pPr>
        <w:rPr>
          <w:color w:val="000000"/>
          <w:sz w:val="20"/>
          <w:szCs w:val="20"/>
        </w:rPr>
      </w:pPr>
    </w:p>
    <w:p w:rsidR="00102792" w:rsidRPr="00893B19" w:rsidRDefault="00102792" w:rsidP="00102792">
      <w:pPr>
        <w:jc w:val="both"/>
        <w:rPr>
          <w:color w:val="000000"/>
          <w:sz w:val="20"/>
          <w:szCs w:val="20"/>
        </w:rPr>
      </w:pPr>
      <w:r w:rsidRPr="00893B19">
        <w:rPr>
          <w:b/>
          <w:bCs/>
          <w:color w:val="000000"/>
          <w:sz w:val="20"/>
          <w:szCs w:val="20"/>
        </w:rPr>
        <w:t>NOTE:</w:t>
      </w:r>
      <w:r w:rsidRPr="00893B19">
        <w:rPr>
          <w:color w:val="000000"/>
          <w:sz w:val="20"/>
          <w:szCs w:val="20"/>
        </w:rPr>
        <w:t> This agenda is subject to change. Hearings normally commence at 9:30 a.m.</w:t>
      </w:r>
      <w:r w:rsidR="00172473" w:rsidRPr="00893B19">
        <w:rPr>
          <w:color w:val="000000"/>
          <w:sz w:val="20"/>
          <w:szCs w:val="20"/>
        </w:rPr>
        <w:t>, E</w:t>
      </w:r>
      <w:r w:rsidR="00E80D6C" w:rsidRPr="00893B19">
        <w:rPr>
          <w:color w:val="000000"/>
          <w:sz w:val="20"/>
          <w:szCs w:val="20"/>
        </w:rPr>
        <w:t>D</w:t>
      </w:r>
      <w:r w:rsidR="00172473" w:rsidRPr="00893B19">
        <w:rPr>
          <w:color w:val="000000"/>
          <w:sz w:val="20"/>
          <w:szCs w:val="20"/>
        </w:rPr>
        <w:t>T</w:t>
      </w:r>
      <w:r w:rsidRPr="00893B19">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893B19" w:rsidRDefault="00102792" w:rsidP="00102792">
      <w:pPr>
        <w:jc w:val="both"/>
        <w:rPr>
          <w:color w:val="000000"/>
          <w:sz w:val="20"/>
          <w:szCs w:val="20"/>
        </w:rPr>
      </w:pPr>
    </w:p>
    <w:p w:rsidR="00102792" w:rsidRPr="00893B19" w:rsidRDefault="00102792" w:rsidP="00102792">
      <w:pPr>
        <w:jc w:val="both"/>
        <w:rPr>
          <w:color w:val="000000"/>
          <w:sz w:val="20"/>
          <w:szCs w:val="20"/>
          <w:lang w:val="fr-CA"/>
        </w:rPr>
      </w:pPr>
      <w:r w:rsidRPr="00893B19">
        <w:rPr>
          <w:color w:val="000000"/>
          <w:sz w:val="20"/>
          <w:szCs w:val="20"/>
          <w:lang w:val="fr-CA"/>
        </w:rPr>
        <w:t>Ce calendrier est sujet à modification. Les audiences débutent normalement à 9h30</w:t>
      </w:r>
      <w:r w:rsidR="00172473" w:rsidRPr="00893B19">
        <w:rPr>
          <w:color w:val="000000"/>
          <w:sz w:val="20"/>
          <w:szCs w:val="20"/>
          <w:lang w:val="fr-CA"/>
        </w:rPr>
        <w:t>, H</w:t>
      </w:r>
      <w:r w:rsidR="00E80D6C" w:rsidRPr="00893B19">
        <w:rPr>
          <w:color w:val="000000"/>
          <w:sz w:val="20"/>
          <w:szCs w:val="20"/>
          <w:lang w:val="fr-CA"/>
        </w:rPr>
        <w:t>A</w:t>
      </w:r>
      <w:r w:rsidR="00172473" w:rsidRPr="00893B19">
        <w:rPr>
          <w:color w:val="000000"/>
          <w:sz w:val="20"/>
          <w:szCs w:val="20"/>
          <w:lang w:val="fr-CA"/>
        </w:rPr>
        <w:t>E</w:t>
      </w:r>
      <w:r w:rsidRPr="00893B19">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893B19" w:rsidRDefault="00102792" w:rsidP="00102792">
      <w:pPr>
        <w:jc w:val="both"/>
        <w:rPr>
          <w:color w:val="000000"/>
          <w:sz w:val="20"/>
          <w:szCs w:val="20"/>
          <w:lang w:val="fr-CA"/>
        </w:rPr>
      </w:pPr>
    </w:p>
    <w:p w:rsidR="00612558" w:rsidRPr="00893B19" w:rsidRDefault="00612558" w:rsidP="00102792">
      <w:pPr>
        <w:jc w:val="both"/>
        <w:rPr>
          <w:color w:val="000000"/>
          <w:sz w:val="20"/>
          <w:szCs w:val="20"/>
          <w:lang w:val="fr-CA"/>
        </w:rPr>
      </w:pPr>
    </w:p>
    <w:p w:rsidR="00612558" w:rsidRPr="00893B19" w:rsidRDefault="00612558" w:rsidP="00612558">
      <w:pPr>
        <w:widowControl w:val="0"/>
        <w:ind w:left="720" w:hanging="720"/>
        <w:jc w:val="both"/>
        <w:rPr>
          <w:b/>
          <w:i/>
          <w:sz w:val="20"/>
        </w:rPr>
      </w:pPr>
      <w:r w:rsidRPr="00893B19">
        <w:rPr>
          <w:b/>
          <w:sz w:val="20"/>
        </w:rPr>
        <w:fldChar w:fldCharType="begin"/>
      </w:r>
      <w:r w:rsidRPr="00893B19">
        <w:rPr>
          <w:b/>
          <w:sz w:val="20"/>
        </w:rPr>
        <w:instrText xml:space="preserve"> SEQ CHAPTER \h \r 1</w:instrText>
      </w:r>
      <w:r w:rsidRPr="00893B19">
        <w:rPr>
          <w:b/>
          <w:sz w:val="20"/>
        </w:rPr>
        <w:fldChar w:fldCharType="end"/>
      </w:r>
      <w:r w:rsidRPr="00893B19">
        <w:rPr>
          <w:b/>
          <w:sz w:val="20"/>
        </w:rPr>
        <w:t>38741</w:t>
      </w:r>
      <w:r w:rsidRPr="00893B19">
        <w:rPr>
          <w:sz w:val="20"/>
        </w:rPr>
        <w:tab/>
      </w:r>
      <w:r w:rsidRPr="00893B19">
        <w:rPr>
          <w:b/>
          <w:i/>
          <w:sz w:val="20"/>
        </w:rPr>
        <w:t>Owners, Strata Plan LMS 3905 v. Crystal Square Parking Corporation</w:t>
      </w:r>
    </w:p>
    <w:p w:rsidR="00612558" w:rsidRPr="00893B19" w:rsidRDefault="00612558" w:rsidP="00612558">
      <w:pPr>
        <w:widowControl w:val="0"/>
        <w:ind w:left="720"/>
        <w:jc w:val="both"/>
        <w:rPr>
          <w:sz w:val="20"/>
        </w:rPr>
      </w:pPr>
      <w:r w:rsidRPr="00893B19">
        <w:rPr>
          <w:sz w:val="20"/>
        </w:rPr>
        <w:t>(B.C.) (Civil) (By Leave)</w:t>
      </w:r>
    </w:p>
    <w:p w:rsidR="00612558" w:rsidRPr="00893B19" w:rsidRDefault="00612558" w:rsidP="00612558">
      <w:pPr>
        <w:widowControl w:val="0"/>
        <w:jc w:val="both"/>
        <w:rPr>
          <w:sz w:val="20"/>
        </w:rPr>
      </w:pPr>
    </w:p>
    <w:p w:rsidR="00612558" w:rsidRPr="00893B19" w:rsidRDefault="00612558" w:rsidP="00612558">
      <w:pPr>
        <w:jc w:val="both"/>
        <w:rPr>
          <w:sz w:val="20"/>
        </w:rPr>
      </w:pPr>
      <w:r w:rsidRPr="00893B19">
        <w:rPr>
          <w:sz w:val="20"/>
        </w:rPr>
        <w:t xml:space="preserve">Contracts - Formation - Pre-incorporation contracts - Post-incorporation contracts - Strata corporations - Whether exception to the rule in </w:t>
      </w:r>
      <w:r w:rsidRPr="00893B19">
        <w:rPr>
          <w:i/>
          <w:sz w:val="20"/>
        </w:rPr>
        <w:t>Austerberry</w:t>
      </w:r>
      <w:r w:rsidRPr="00893B19">
        <w:rPr>
          <w:sz w:val="20"/>
        </w:rPr>
        <w:t xml:space="preserve"> allows pre-incorporation contract law principles to apply to land interests - Whether Court of Appeal improperly established new test for formation of post-incorporation contracts - Whether law of pre-incorporation contracts applies to strata corporations.</w:t>
      </w:r>
    </w:p>
    <w:p w:rsidR="00612558" w:rsidRPr="00893B19" w:rsidRDefault="00612558" w:rsidP="00612558">
      <w:pPr>
        <w:widowControl w:val="0"/>
        <w:jc w:val="both"/>
        <w:rPr>
          <w:sz w:val="20"/>
        </w:rPr>
      </w:pPr>
    </w:p>
    <w:p w:rsidR="00893B19" w:rsidRPr="00893B19" w:rsidRDefault="00893B19">
      <w:pPr>
        <w:rPr>
          <w:sz w:val="20"/>
        </w:rPr>
      </w:pPr>
      <w:r w:rsidRPr="00893B19">
        <w:rPr>
          <w:sz w:val="20"/>
        </w:rPr>
        <w:br w:type="page"/>
      </w:r>
    </w:p>
    <w:p w:rsidR="00612558" w:rsidRPr="00893B19" w:rsidRDefault="00612558" w:rsidP="00612558">
      <w:pPr>
        <w:jc w:val="both"/>
        <w:rPr>
          <w:sz w:val="20"/>
        </w:rPr>
      </w:pPr>
      <w:r w:rsidRPr="00893B19">
        <w:rPr>
          <w:sz w:val="20"/>
        </w:rPr>
        <w:t>Crystal Square is a mixed-use retail complex, office tower, residential tower and hotel complex in Burnaby, B.C. It was developed by Crystal Square Development Corp., Tyba Crystal Investments Corp., Dong Ah Canada Development Corp. and the Crystal Square Parking Corporation (“CSPC”) (collectively, the “Developers”). The Developers and the City of Burnaby entered into an agreement that contains easements for access to parking facility and covenants to pay for that access (the “ASP Agreement”) in March 1999. The ASP Agreement, which was registered as an easement in the Land Titles Office on March 17, 1999, contained covenants to pay money and covenants that successors of the Developers were to assume.</w:t>
      </w:r>
    </w:p>
    <w:p w:rsidR="00612558" w:rsidRPr="00893B19" w:rsidRDefault="00612558" w:rsidP="00612558">
      <w:pPr>
        <w:jc w:val="both"/>
        <w:rPr>
          <w:sz w:val="20"/>
        </w:rPr>
      </w:pPr>
    </w:p>
    <w:p w:rsidR="00612558" w:rsidRPr="00893B19" w:rsidRDefault="00612558" w:rsidP="00612558">
      <w:pPr>
        <w:jc w:val="both"/>
        <w:rPr>
          <w:sz w:val="20"/>
        </w:rPr>
      </w:pPr>
      <w:r w:rsidRPr="00893B19">
        <w:rPr>
          <w:sz w:val="20"/>
        </w:rPr>
        <w:t>Strata Plan LMS 3905 was deposited on May 26, 1999, bringing the applicant, a strata corporation comprised of 64 strata lots in Air Space Parcel 2 (the “Owners”) into existence. The Owners never signed an assumption agreement adopting the terms of the ASP Agreement, as required by clause 16.3, and there was no evidence that they adopted custom bylaws. The respondent, Crystal Square Parking Corporation (“CSPC”), owns Air Space Parcel 5, the parking facility within Crystal Square. CSPC purchased the parking facility, took an assignment of the ASP Agreement on June 28, 2002.</w:t>
      </w:r>
    </w:p>
    <w:p w:rsidR="00612558" w:rsidRPr="00893B19" w:rsidRDefault="00612558" w:rsidP="00612558">
      <w:pPr>
        <w:jc w:val="both"/>
        <w:rPr>
          <w:sz w:val="20"/>
        </w:rPr>
      </w:pPr>
    </w:p>
    <w:p w:rsidR="00612558" w:rsidRPr="00893B19" w:rsidRDefault="00612558" w:rsidP="00612558">
      <w:pPr>
        <w:jc w:val="both"/>
        <w:rPr>
          <w:sz w:val="20"/>
        </w:rPr>
      </w:pPr>
      <w:r w:rsidRPr="00893B19">
        <w:rPr>
          <w:sz w:val="20"/>
        </w:rPr>
        <w:t>Although the Owners generally abided by the ASP Agreement, they took issue with certain matters under that agreement. Those disputes eventually led the Owners to seek an order that the positive covenants, and, in particular, the promises to pay the annual base rate and a percentage of operating expenses related to the parking facility, were unenforceable against them.</w:t>
      </w:r>
    </w:p>
    <w:p w:rsidR="00612558" w:rsidRPr="00893B19" w:rsidRDefault="00612558" w:rsidP="00612558">
      <w:pPr>
        <w:jc w:val="both"/>
        <w:rPr>
          <w:sz w:val="20"/>
        </w:rPr>
      </w:pPr>
    </w:p>
    <w:p w:rsidR="00612558" w:rsidRPr="00893B19" w:rsidRDefault="00612558" w:rsidP="00612558">
      <w:pPr>
        <w:jc w:val="both"/>
        <w:rPr>
          <w:sz w:val="20"/>
        </w:rPr>
      </w:pPr>
      <w:r w:rsidRPr="00893B19">
        <w:rPr>
          <w:sz w:val="20"/>
        </w:rPr>
        <w:t>The trial judge found that the payment provisions were not binding on or enforceable against the owners, allowed the claim against CSPC, dismissed CSPC’s counterclaim, and dismissed the claims against Crystal Square Development Corp., Tyba Crystal Investments Corp. and Dong Ah Canada Development Corp. because those claims had not been pursued. The Court of Appeal allowed CSPC’s appeal.</w:t>
      </w:r>
    </w:p>
    <w:p w:rsidR="00612558" w:rsidRPr="00893B19" w:rsidRDefault="00612558" w:rsidP="00612558">
      <w:pPr>
        <w:jc w:val="both"/>
        <w:rPr>
          <w:sz w:val="20"/>
        </w:rPr>
      </w:pPr>
    </w:p>
    <w:p w:rsidR="00612558" w:rsidRPr="00893B19" w:rsidRDefault="00867539" w:rsidP="00612558">
      <w:pPr>
        <w:jc w:val="both"/>
        <w:rPr>
          <w:sz w:val="20"/>
        </w:rPr>
      </w:pPr>
      <w:r>
        <w:rPr>
          <w:sz w:val="20"/>
        </w:rPr>
        <w:pict>
          <v:rect id="_x0000_i1073" style="width:2in;height:1pt" o:hrpct="0" o:hralign="center" o:hrstd="t" o:hrnoshade="t" o:hr="t" fillcolor="black [3213]" stroked="f"/>
        </w:pict>
      </w:r>
    </w:p>
    <w:p w:rsidR="00612558" w:rsidRPr="00893B19" w:rsidRDefault="00612558" w:rsidP="00612558">
      <w:pPr>
        <w:jc w:val="both"/>
        <w:rPr>
          <w:sz w:val="20"/>
        </w:rPr>
      </w:pPr>
    </w:p>
    <w:p w:rsidR="00612558" w:rsidRPr="00893B19" w:rsidRDefault="00612558" w:rsidP="00612558">
      <w:pPr>
        <w:pStyle w:val="SCCLsocParty"/>
        <w:tabs>
          <w:tab w:val="left" w:pos="709"/>
          <w:tab w:val="left" w:pos="1247"/>
          <w:tab w:val="center" w:pos="4131"/>
        </w:tabs>
        <w:jc w:val="left"/>
        <w:rPr>
          <w:b/>
          <w:i/>
          <w:sz w:val="20"/>
          <w:szCs w:val="20"/>
          <w:lang w:val="en-US"/>
        </w:rPr>
      </w:pPr>
      <w:r w:rsidRPr="00893B19">
        <w:rPr>
          <w:rStyle w:val="SCCFileNumberChar"/>
          <w:sz w:val="20"/>
          <w:szCs w:val="20"/>
          <w:lang w:val="en-US"/>
        </w:rPr>
        <w:t>38741</w:t>
      </w:r>
      <w:r w:rsidRPr="00893B19">
        <w:rPr>
          <w:rStyle w:val="SCCFileNumberChar"/>
          <w:sz w:val="20"/>
          <w:szCs w:val="20"/>
          <w:lang w:val="en-US"/>
        </w:rPr>
        <w:tab/>
      </w:r>
      <w:r w:rsidRPr="00893B19">
        <w:rPr>
          <w:b/>
          <w:i/>
          <w:sz w:val="20"/>
          <w:szCs w:val="20"/>
          <w:lang w:val="en-US"/>
        </w:rPr>
        <w:t>Owners, Strata Plan LMS 3905 c. Crystal Square Parking Corporation</w:t>
      </w:r>
    </w:p>
    <w:p w:rsidR="00612558" w:rsidRPr="00893B19" w:rsidRDefault="00612558" w:rsidP="00612558">
      <w:pPr>
        <w:ind w:firstLine="720"/>
        <w:jc w:val="both"/>
        <w:rPr>
          <w:sz w:val="20"/>
          <w:lang w:val="fr-CA"/>
        </w:rPr>
      </w:pPr>
      <w:r w:rsidRPr="00893B19">
        <w:rPr>
          <w:sz w:val="20"/>
          <w:lang w:val="fr-CA"/>
        </w:rPr>
        <w:t>(C.</w:t>
      </w:r>
      <w:r w:rsidRPr="00893B19">
        <w:rPr>
          <w:sz w:val="20"/>
          <w:lang w:val="fr-CA"/>
        </w:rPr>
        <w:noBreakHyphen/>
        <w:t>B.) (Civile) (Autorisation)</w:t>
      </w:r>
    </w:p>
    <w:p w:rsidR="00612558" w:rsidRPr="00893B19" w:rsidRDefault="00612558" w:rsidP="00612558">
      <w:pPr>
        <w:rPr>
          <w:sz w:val="20"/>
          <w:lang w:val="fr-CA"/>
        </w:rPr>
      </w:pPr>
    </w:p>
    <w:p w:rsidR="00612558" w:rsidRPr="00893B19" w:rsidRDefault="00612558" w:rsidP="00612558">
      <w:pPr>
        <w:jc w:val="both"/>
        <w:rPr>
          <w:sz w:val="20"/>
          <w:lang w:val="fr-CA"/>
        </w:rPr>
      </w:pPr>
      <w:r w:rsidRPr="00893B19">
        <w:rPr>
          <w:sz w:val="20"/>
          <w:lang w:val="fr-CA"/>
        </w:rPr>
        <w:t xml:space="preserve">Contrats - Formation - Contrats préconstitutifs - Contrats postconstitutifs - Sociétés condominiales - L’exception à la règle énoncée dans </w:t>
      </w:r>
      <w:r w:rsidRPr="00893B19">
        <w:rPr>
          <w:i/>
          <w:sz w:val="20"/>
          <w:lang w:val="fr-CA"/>
        </w:rPr>
        <w:t>Austerberry</w:t>
      </w:r>
      <w:r w:rsidRPr="00893B19">
        <w:rPr>
          <w:sz w:val="20"/>
          <w:lang w:val="fr-CA"/>
        </w:rPr>
        <w:t xml:space="preserve"> permet-elle que les principes relatifs aux contrats préconstitutifs s’appliquent aux droits fonciers au Canada? - La Cour d’appel a-t-elle établi à tort un nouveau critère de formation des contrats postconstitutifs?- Le droit des contrats préconstitutifs s’applique-t-il aux société condominiales?</w:t>
      </w:r>
    </w:p>
    <w:p w:rsidR="00612558" w:rsidRPr="00893B19" w:rsidRDefault="00612558" w:rsidP="00612558">
      <w:pPr>
        <w:jc w:val="both"/>
        <w:rPr>
          <w:sz w:val="20"/>
          <w:lang w:val="fr-CA"/>
        </w:rPr>
      </w:pPr>
    </w:p>
    <w:p w:rsidR="00612558" w:rsidRPr="00893B19" w:rsidRDefault="00612558" w:rsidP="00612558">
      <w:pPr>
        <w:rPr>
          <w:sz w:val="20"/>
          <w:lang w:val="fr-CA"/>
        </w:rPr>
      </w:pPr>
      <w:r w:rsidRPr="00893B19">
        <w:rPr>
          <w:sz w:val="20"/>
          <w:lang w:val="fr-CA"/>
        </w:rPr>
        <w:t>Crystal Square est un complexe immobilier à vocation mixte (vente au détail, tour de bureaux, tour résidentielle et complexe hôtelier) situé à Burnaby (C.</w:t>
      </w:r>
      <w:r w:rsidRPr="00893B19">
        <w:rPr>
          <w:sz w:val="20"/>
          <w:lang w:val="fr-CA"/>
        </w:rPr>
        <w:noBreakHyphen/>
        <w:t>B.). Il a été érigé par Crystal Square Development Corp., Tyba Crystal Investments Corp., Dong Ah Canada Development Corp. et la Crystal Square Parking Corporation (« CSPC ») (collectivement, les « promoteurs »). Les promoteurs et la Ville de Burnaby ont conclu en mars 1999 une entente qui renferme des servitudes d’accès au stationnement et des engagements de payer pour cet accès (l’« Entente ASP »). L’Entente ASP, enregistrée comme servitude au bureau d’enregistrement des titres fonciers le 17 mars 1999, renfermait des engagements de payer des sommes d’argent et des engagements que les ayants cause des promoteurs rempliraient.</w:t>
      </w:r>
    </w:p>
    <w:p w:rsidR="00612558" w:rsidRPr="00893B19" w:rsidRDefault="00612558" w:rsidP="00612558">
      <w:pPr>
        <w:rPr>
          <w:sz w:val="20"/>
          <w:lang w:val="fr-CA"/>
        </w:rPr>
      </w:pPr>
    </w:p>
    <w:p w:rsidR="00612558" w:rsidRPr="00893B19" w:rsidRDefault="00612558" w:rsidP="00612558">
      <w:pPr>
        <w:rPr>
          <w:sz w:val="20"/>
          <w:lang w:val="fr-CA"/>
        </w:rPr>
      </w:pPr>
      <w:r w:rsidRPr="00893B19">
        <w:rPr>
          <w:sz w:val="20"/>
          <w:lang w:val="fr-CA"/>
        </w:rPr>
        <w:t>Le plan de condominium LMS 3905 a été déposé le 26 mai 1999, donnant naissance à la demanderesse, une société condominiale comprenant 64 unités condominiales dans la parcelle dite « Air Space Parcel 2 » (les « propriétaires »). Les propriétaires n’ont jamais signé d’entente de prise en charge adoptant les conditions de l’Entente ASP, comme l’exige la clause 16.3, et il n’y avait aucune preuve selon laquelle ils avaient adopté les règlements rédigés sur mesure. L’intimée, Crystal Square Parking Corporation (« CSPC »), est propriétaire de la parcelle « Air Space Parcel 5 », c’est</w:t>
      </w:r>
      <w:r w:rsidRPr="00893B19">
        <w:rPr>
          <w:sz w:val="20"/>
          <w:lang w:val="fr-CA"/>
        </w:rPr>
        <w:noBreakHyphen/>
        <w:t>à</w:t>
      </w:r>
      <w:r w:rsidRPr="00893B19">
        <w:rPr>
          <w:sz w:val="20"/>
          <w:lang w:val="fr-CA"/>
        </w:rPr>
        <w:noBreakHyphen/>
        <w:t xml:space="preserve">dire le stationnement dans Crystal Square. CSPC a acheté le stationnement, elle s’est fait céder l’Entente ASP le 28 juin 2002. </w:t>
      </w:r>
    </w:p>
    <w:p w:rsidR="00612558" w:rsidRPr="00893B19" w:rsidRDefault="00612558" w:rsidP="00612558">
      <w:pPr>
        <w:rPr>
          <w:sz w:val="20"/>
          <w:lang w:val="fr-CA"/>
        </w:rPr>
      </w:pPr>
    </w:p>
    <w:p w:rsidR="00612558" w:rsidRPr="00893B19" w:rsidRDefault="00612558" w:rsidP="00612558">
      <w:pPr>
        <w:rPr>
          <w:sz w:val="20"/>
          <w:lang w:val="fr-CA"/>
        </w:rPr>
      </w:pPr>
      <w:r w:rsidRPr="00893B19">
        <w:rPr>
          <w:sz w:val="20"/>
          <w:lang w:val="fr-CA"/>
        </w:rPr>
        <w:t xml:space="preserve">Même si les propriétaires ont respecté dans l’ensemble l’Entente ASP, ils étaient en désaccord avec certaines questions qui y étaient prévues. Ces différends ont fini par amener les propriétaires à demander une ordonnance statuant que les engagements positifs, notamment les promesses de payer le tarif de base annuel et un pourcentage des frais d’exploitation liés au stationnement, ne pouvaient être opposés aux propriétaires. </w:t>
      </w:r>
    </w:p>
    <w:p w:rsidR="00612558" w:rsidRPr="00893B19" w:rsidRDefault="00612558" w:rsidP="00612558">
      <w:pPr>
        <w:rPr>
          <w:sz w:val="20"/>
          <w:lang w:val="fr-CA"/>
        </w:rPr>
      </w:pPr>
    </w:p>
    <w:p w:rsidR="00612558" w:rsidRPr="00893B19" w:rsidRDefault="00612558" w:rsidP="00612558">
      <w:pPr>
        <w:jc w:val="both"/>
        <w:rPr>
          <w:sz w:val="20"/>
          <w:lang w:val="fr-CA"/>
        </w:rPr>
      </w:pPr>
      <w:r w:rsidRPr="00893B19">
        <w:rPr>
          <w:sz w:val="20"/>
          <w:lang w:val="fr-CA"/>
        </w:rPr>
        <w:t>La juge de première instance a conclu que les dispositions relatives au paiement n’étaient pas opposables aux propriétaires et ne pouvaient les lier, a accueilli la demande contre CSPC, a rejeté la demande reconventionnelle de CSPC et rejeté les demandes contre Crystal Square Development Corp., Tyba Crystal Investments Corp. et Dong Ah Canada Development Corp. parce qu’on n’avait pas donné suite à celles-ci. La Cour d’appel a accueilli l’appel de CSPC.</w:t>
      </w:r>
    </w:p>
    <w:p w:rsidR="00612558" w:rsidRPr="00893B19" w:rsidRDefault="00612558" w:rsidP="00612558">
      <w:pPr>
        <w:jc w:val="both"/>
        <w:rPr>
          <w:sz w:val="20"/>
          <w:lang w:val="fr-CA"/>
        </w:rPr>
      </w:pPr>
    </w:p>
    <w:p w:rsidR="00612558" w:rsidRPr="00893B19" w:rsidRDefault="00867539" w:rsidP="00612558">
      <w:pPr>
        <w:jc w:val="both"/>
        <w:rPr>
          <w:sz w:val="20"/>
          <w:lang w:val="fr-CA"/>
        </w:rPr>
      </w:pPr>
      <w:r>
        <w:rPr>
          <w:sz w:val="20"/>
        </w:rPr>
        <w:pict>
          <v:rect id="_x0000_i1074" style="width:2in;height:1pt" o:hrpct="0" o:hralign="center" o:hrstd="t" o:hrnoshade="t" o:hr="t" fillcolor="black [3213]" stroked="f"/>
        </w:pict>
      </w:r>
    </w:p>
    <w:p w:rsidR="00612558" w:rsidRPr="00893B19" w:rsidRDefault="00612558" w:rsidP="00612558">
      <w:pPr>
        <w:rPr>
          <w:sz w:val="20"/>
          <w:lang w:val="fr-CA"/>
        </w:rPr>
      </w:pPr>
    </w:p>
    <w:p w:rsidR="00612558" w:rsidRPr="00893B19" w:rsidRDefault="00612558" w:rsidP="00612558">
      <w:pPr>
        <w:pStyle w:val="SCCLsocParty"/>
        <w:ind w:firstLine="14"/>
        <w:jc w:val="left"/>
        <w:rPr>
          <w:b/>
          <w:sz w:val="20"/>
          <w:szCs w:val="20"/>
          <w:lang w:val="en-CA"/>
        </w:rPr>
      </w:pPr>
      <w:r w:rsidRPr="00893B19">
        <w:rPr>
          <w:rStyle w:val="SCCFileNumberChar"/>
          <w:sz w:val="20"/>
          <w:szCs w:val="20"/>
        </w:rPr>
        <w:t>37984</w:t>
      </w:r>
      <w:r w:rsidRPr="00893B19">
        <w:rPr>
          <w:rStyle w:val="SCCFileNumberChar"/>
          <w:sz w:val="20"/>
          <w:szCs w:val="20"/>
        </w:rPr>
        <w:tab/>
      </w:r>
      <w:r w:rsidRPr="00893B19">
        <w:rPr>
          <w:b/>
          <w:sz w:val="20"/>
          <w:szCs w:val="20"/>
          <w:lang w:val="en-CA"/>
        </w:rPr>
        <w:t>Her Majesty the Queen v. Sivaloganathan Thanabalasingham</w:t>
      </w:r>
    </w:p>
    <w:p w:rsidR="00612558" w:rsidRPr="00893B19" w:rsidRDefault="00612558" w:rsidP="00612558">
      <w:pPr>
        <w:ind w:firstLine="720"/>
        <w:rPr>
          <w:sz w:val="20"/>
        </w:rPr>
      </w:pPr>
      <w:r w:rsidRPr="00893B19">
        <w:rPr>
          <w:sz w:val="20"/>
        </w:rPr>
        <w:t>(Que.) (Criminal) (As of Right / By Leave)</w:t>
      </w:r>
    </w:p>
    <w:p w:rsidR="00612558" w:rsidRPr="00893B19" w:rsidRDefault="00612558" w:rsidP="00612558">
      <w:pPr>
        <w:rPr>
          <w:sz w:val="20"/>
        </w:rPr>
      </w:pPr>
    </w:p>
    <w:p w:rsidR="00612558" w:rsidRPr="00893B19" w:rsidRDefault="00612558" w:rsidP="00612558">
      <w:pPr>
        <w:rPr>
          <w:sz w:val="20"/>
        </w:rPr>
      </w:pPr>
      <w:r w:rsidRPr="00893B19">
        <w:rPr>
          <w:i/>
          <w:sz w:val="20"/>
        </w:rPr>
        <w:t>Charter of Rights</w:t>
      </w:r>
      <w:r w:rsidRPr="00893B19">
        <w:rPr>
          <w:sz w:val="20"/>
        </w:rPr>
        <w:t xml:space="preserve"> - Right to be tried within reasonable </w:t>
      </w:r>
      <w:r w:rsidRPr="00893B19">
        <w:rPr>
          <w:iCs/>
          <w:sz w:val="20"/>
        </w:rPr>
        <w:t>time</w:t>
      </w:r>
      <w:r w:rsidRPr="00893B19">
        <w:rPr>
          <w:sz w:val="20"/>
        </w:rPr>
        <w:t xml:space="preserve"> - Criminal law - Appeals - Mootness - Accused charged with second degree murder - Delay of five years between charges and anticipated end of trial - Trial judge finding that right of accused to be tried within reasonable time had been infringed, and granting stay of proceedings - Crown appealing against stay - Accused removed from Canada despite pending appeal - Court of Appeal dismissing appeal on basis that it was moot - Criteria to apply in deciding whether to rule on moot appeal where accused is not deceased, but has simply been removed from Canada - Whether respondent’s right to be tried within reasonable time was infringed.</w:t>
      </w:r>
    </w:p>
    <w:p w:rsidR="00612558" w:rsidRPr="00893B19" w:rsidRDefault="00612558" w:rsidP="00612558">
      <w:pPr>
        <w:rPr>
          <w:sz w:val="20"/>
        </w:rPr>
      </w:pPr>
    </w:p>
    <w:p w:rsidR="00612558" w:rsidRPr="00893B19" w:rsidRDefault="00612558" w:rsidP="00612558">
      <w:pPr>
        <w:widowControl w:val="0"/>
        <w:rPr>
          <w:sz w:val="20"/>
        </w:rPr>
      </w:pPr>
      <w:r w:rsidRPr="00893B19">
        <w:rPr>
          <w:sz w:val="20"/>
        </w:rPr>
        <w:t xml:space="preserve">The respondent, Sivaloganathan Thanabalasingham, a refugee from Sri Lanka and a permanent resident, was charged with the second degree murder of his wife. He was arrested on August 11, 2012, the day of the murder. After lengthy legal proceedings, his trial was scheduled to begin on April 10, 2017. He applied for a stay of proceedings on the ground that his right to be tried within a reasonable time had been infringed. The trial judge ruled in his favour, ordering a stay after having applied the framework from </w:t>
      </w:r>
      <w:r w:rsidRPr="00893B19">
        <w:rPr>
          <w:i/>
          <w:sz w:val="20"/>
        </w:rPr>
        <w:t>R. v. Jordan</w:t>
      </w:r>
      <w:r w:rsidRPr="00893B19">
        <w:rPr>
          <w:sz w:val="20"/>
        </w:rPr>
        <w:t>, 2016 SCC 27, [2016] 1 S.C.R. 631.</w:t>
      </w:r>
    </w:p>
    <w:p w:rsidR="00612558" w:rsidRPr="00893B19" w:rsidRDefault="00612558" w:rsidP="00612558">
      <w:pPr>
        <w:widowControl w:val="0"/>
        <w:rPr>
          <w:sz w:val="20"/>
        </w:rPr>
      </w:pPr>
    </w:p>
    <w:p w:rsidR="00612558" w:rsidRPr="00893B19" w:rsidRDefault="00612558" w:rsidP="00612558">
      <w:pPr>
        <w:widowControl w:val="0"/>
        <w:rPr>
          <w:sz w:val="20"/>
        </w:rPr>
      </w:pPr>
      <w:r w:rsidRPr="00893B19">
        <w:rPr>
          <w:sz w:val="20"/>
        </w:rPr>
        <w:t xml:space="preserve">The Crown appealed that decision. Three days after the proceedings were stayed, a deportation order was issued against Mr. Thanabalasingham, and he was removed to Sri Lanka on July 5, 2017. Despite his removal, the Crown continued its appeal. The Court of Appeal considered the preliminary questions, namely whether the appeal had become moot and, if so, whether it should exercise its discretion to adjudicate the appeal as if it were not moot. The majority of the Court of Appeal held that the appeal was moot and that there were no valid reasons to justify the court exercising its discretion to adjudicate the appeal, which they dismissed. Duval Hesler C.J.Q., dissenting, would have allowed the appeal, annulled the stay and ordered a trial. </w:t>
      </w:r>
    </w:p>
    <w:p w:rsidR="00612558" w:rsidRPr="00893B19" w:rsidRDefault="00612558" w:rsidP="00612558">
      <w:pPr>
        <w:widowControl w:val="0"/>
        <w:rPr>
          <w:sz w:val="20"/>
        </w:rPr>
      </w:pPr>
    </w:p>
    <w:p w:rsidR="00612558" w:rsidRPr="00893B19" w:rsidRDefault="00612558" w:rsidP="00612558">
      <w:pPr>
        <w:widowControl w:val="0"/>
        <w:rPr>
          <w:sz w:val="20"/>
        </w:rPr>
      </w:pPr>
      <w:r w:rsidRPr="00893B19">
        <w:rPr>
          <w:sz w:val="20"/>
        </w:rPr>
        <w:t>On April 17, 2019, the Court allowed the appeal and remitted the matter to the Court of Appeal for a decision on the merits, finding that the majority of the Court of Appeal had erred in concluding that the case was moot.</w:t>
      </w:r>
    </w:p>
    <w:p w:rsidR="00612558" w:rsidRPr="00893B19" w:rsidRDefault="00612558" w:rsidP="00612558">
      <w:pPr>
        <w:widowControl w:val="0"/>
        <w:rPr>
          <w:sz w:val="20"/>
        </w:rPr>
      </w:pPr>
    </w:p>
    <w:p w:rsidR="00612558" w:rsidRPr="00893B19" w:rsidRDefault="00612558" w:rsidP="00612558">
      <w:pPr>
        <w:widowControl w:val="0"/>
        <w:rPr>
          <w:sz w:val="20"/>
        </w:rPr>
      </w:pPr>
      <w:r w:rsidRPr="00893B19">
        <w:rPr>
          <w:sz w:val="20"/>
        </w:rPr>
        <w:t>The majority dismissed the Crown’s appeal, holding that the Crown had not proven any errors that would open the door to intervention by the court. Before arriving at his decision, the trial judge had applied the law and considered all the circumstances, including the nature of the offence and society’s interest in having a case of spousal homicide heard on the merits. He had not erred in not subtracting a delay caused by counsel for Mr. Thanabalasingham being unavailable, in concluding that the delay attributable to the excessive time it took to complete the preliminary inquiry was not an exceptional circumstance, and in declining to apply the transitional exceptional circumstance. Duval Hesler C.J.Q. and Gagnon J.A., dissenting, would have allowed the appeal, set aside the Superior Court’s judgment, returned the matter to the Superior Court for trial and ordered that Mr. Thanabalasingham be arrested if he were to return to Canada.</w:t>
      </w:r>
    </w:p>
    <w:p w:rsidR="00612558" w:rsidRPr="00893B19" w:rsidRDefault="00612558" w:rsidP="00612558">
      <w:pPr>
        <w:widowControl w:val="0"/>
        <w:rPr>
          <w:sz w:val="20"/>
        </w:rPr>
      </w:pPr>
    </w:p>
    <w:p w:rsidR="00612558" w:rsidRPr="00893B19" w:rsidRDefault="00867539" w:rsidP="00612558">
      <w:pPr>
        <w:widowControl w:val="0"/>
        <w:rPr>
          <w:sz w:val="20"/>
        </w:rPr>
      </w:pPr>
      <w:r>
        <w:rPr>
          <w:sz w:val="20"/>
        </w:rPr>
        <w:pict>
          <v:rect id="_x0000_i1075" style="width:2in;height:1pt" o:hrpct="0" o:hralign="center" o:hrstd="t" o:hrnoshade="t" o:hr="t" fillcolor="black [3213]" stroked="f"/>
        </w:pict>
      </w:r>
    </w:p>
    <w:p w:rsidR="00612558" w:rsidRPr="00893B19" w:rsidRDefault="00612558" w:rsidP="00612558">
      <w:pPr>
        <w:widowControl w:val="0"/>
        <w:rPr>
          <w:sz w:val="20"/>
        </w:rPr>
      </w:pPr>
    </w:p>
    <w:p w:rsidR="00893B19" w:rsidRPr="00893B19" w:rsidRDefault="00893B19">
      <w:pPr>
        <w:rPr>
          <w:rStyle w:val="SCCFileNumberChar"/>
          <w:sz w:val="20"/>
          <w:szCs w:val="20"/>
          <w:lang w:val="fr-CA"/>
        </w:rPr>
      </w:pPr>
      <w:r w:rsidRPr="00893B19">
        <w:rPr>
          <w:rStyle w:val="SCCFileNumberChar"/>
          <w:sz w:val="20"/>
          <w:szCs w:val="20"/>
          <w:lang w:val="fr-CA"/>
        </w:rPr>
        <w:br w:type="page"/>
      </w:r>
    </w:p>
    <w:p w:rsidR="00612558" w:rsidRPr="00893B19" w:rsidRDefault="00612558" w:rsidP="00612558">
      <w:pPr>
        <w:pStyle w:val="SCCLsocParty"/>
        <w:jc w:val="left"/>
        <w:rPr>
          <w:b/>
          <w:sz w:val="20"/>
          <w:szCs w:val="20"/>
        </w:rPr>
      </w:pPr>
      <w:r w:rsidRPr="00893B19">
        <w:rPr>
          <w:rStyle w:val="SCCFileNumberChar"/>
          <w:sz w:val="20"/>
          <w:szCs w:val="20"/>
          <w:lang w:val="fr-CA"/>
        </w:rPr>
        <w:t>37984</w:t>
      </w:r>
      <w:r w:rsidRPr="00893B19">
        <w:rPr>
          <w:rStyle w:val="SCCFileNumberChar"/>
          <w:sz w:val="20"/>
          <w:szCs w:val="20"/>
          <w:lang w:val="fr-CA"/>
        </w:rPr>
        <w:tab/>
      </w:r>
      <w:r w:rsidRPr="00893B19">
        <w:rPr>
          <w:b/>
          <w:sz w:val="20"/>
          <w:szCs w:val="20"/>
        </w:rPr>
        <w:t>Sa Majesté la Reine c. Sivaloganathan Thanabalasingham</w:t>
      </w:r>
    </w:p>
    <w:p w:rsidR="00612558" w:rsidRPr="00893B19" w:rsidRDefault="00612558" w:rsidP="00612558">
      <w:pPr>
        <w:widowControl w:val="0"/>
        <w:ind w:firstLine="720"/>
        <w:rPr>
          <w:sz w:val="20"/>
          <w:lang w:val="fr-CA"/>
        </w:rPr>
      </w:pPr>
      <w:r w:rsidRPr="00893B19">
        <w:rPr>
          <w:sz w:val="20"/>
          <w:lang w:val="fr-CA"/>
        </w:rPr>
        <w:t>(Qc) (Criminelle) (De plein droit / Autorisation)</w:t>
      </w:r>
    </w:p>
    <w:p w:rsidR="00612558" w:rsidRPr="00893B19" w:rsidRDefault="00612558" w:rsidP="00612558">
      <w:pPr>
        <w:rPr>
          <w:sz w:val="20"/>
          <w:lang w:val="fr-CA"/>
        </w:rPr>
      </w:pPr>
    </w:p>
    <w:p w:rsidR="00612558" w:rsidRPr="00893B19" w:rsidRDefault="00612558" w:rsidP="00612558">
      <w:pPr>
        <w:rPr>
          <w:sz w:val="20"/>
          <w:lang w:val="fr-CA"/>
        </w:rPr>
      </w:pPr>
      <w:r w:rsidRPr="00893B19">
        <w:rPr>
          <w:i/>
          <w:sz w:val="20"/>
          <w:lang w:val="fr-CA"/>
        </w:rPr>
        <w:t>Charte des droits</w:t>
      </w:r>
      <w:r w:rsidRPr="00893B19">
        <w:rPr>
          <w:sz w:val="20"/>
          <w:lang w:val="fr-CA"/>
        </w:rPr>
        <w:t xml:space="preserve"> – Procès dans un délai raisonnable – Droit criminel – Appels – Caractère théorique – Accusé inculpé de meurtre au deuxième degré – Délai de cinq ans entre le dépôt des accusations et la conclusion anticipée du procès – Juge du procès estimant qu’il y a eu atteinte au droit de l’accusé d’être jugé dans un délai raisonnable et accordant un arrêt des procédures – Appel de l’arrêt des procédures par le ministère public – Accusé renvoyé du Canada malgré l’appel en instance – Cour d’appel rejetant l’appel au motif qu’il est théorique – Quels sont les critères à appliquer pour décider de trancher un pourvoi théorique, lorsque l’accusé n’est pas décédé, mais qu’il a simplement été renvoyé du Canada? — Le droit de l’intimé à un procès dans un délai raisonnable a-t-il été violé?</w:t>
      </w:r>
    </w:p>
    <w:p w:rsidR="00612558" w:rsidRPr="00893B19" w:rsidRDefault="00612558" w:rsidP="00612558">
      <w:pPr>
        <w:rPr>
          <w:sz w:val="20"/>
          <w:lang w:val="fr-CA"/>
        </w:rPr>
      </w:pPr>
    </w:p>
    <w:p w:rsidR="00612558" w:rsidRPr="00893B19" w:rsidRDefault="00612558" w:rsidP="00612558">
      <w:pPr>
        <w:widowControl w:val="0"/>
        <w:rPr>
          <w:sz w:val="20"/>
          <w:lang w:val="fr-CA"/>
        </w:rPr>
      </w:pPr>
      <w:r w:rsidRPr="00893B19">
        <w:rPr>
          <w:sz w:val="20"/>
          <w:lang w:val="fr-CA"/>
        </w:rPr>
        <w:t xml:space="preserve">L’intimé, Sivaloganathan Thanabalasingham, un réfugié du Sri Lanka et résident permanent, a été inculpé du meurtre au deuxième degré de son épouse. Il a été arrêté le jour du meurtre, le 11 août 2012. Suite à de longues procédures judiciaires, l’ouverture de son procès a été fixée au 10 avril 2017. Il a demandé l’arrêt des procédures au motif que son droit à un procès dans un délai raisonnable avait été violé. Le juge du procès lui a donné raison et a ordonné l’arrêt des procédures après avoir appliqué le cadre énoncé dans </w:t>
      </w:r>
      <w:r w:rsidRPr="00893B19">
        <w:rPr>
          <w:i/>
          <w:sz w:val="20"/>
          <w:lang w:val="fr-CA"/>
        </w:rPr>
        <w:t>R. c. Jordan</w:t>
      </w:r>
      <w:r w:rsidRPr="00893B19">
        <w:rPr>
          <w:sz w:val="20"/>
          <w:lang w:val="fr-CA"/>
        </w:rPr>
        <w:t>, 2016 CSC 27, [2016] 1 R.C.S. 631.</w:t>
      </w:r>
    </w:p>
    <w:p w:rsidR="00612558" w:rsidRPr="00893B19" w:rsidRDefault="00612558" w:rsidP="00612558">
      <w:pPr>
        <w:widowControl w:val="0"/>
        <w:rPr>
          <w:sz w:val="20"/>
          <w:lang w:val="fr-CA"/>
        </w:rPr>
      </w:pPr>
    </w:p>
    <w:p w:rsidR="00612558" w:rsidRPr="00893B19" w:rsidRDefault="00612558" w:rsidP="00612558">
      <w:pPr>
        <w:widowControl w:val="0"/>
        <w:rPr>
          <w:sz w:val="20"/>
          <w:lang w:val="fr-CA"/>
        </w:rPr>
      </w:pPr>
      <w:r w:rsidRPr="00893B19">
        <w:rPr>
          <w:sz w:val="20"/>
          <w:lang w:val="fr-CA"/>
        </w:rPr>
        <w:t>Le ministère public s’est pourvu en appel. Trois jours après l’arrêt des procédures, une mesure d’expulsion a été prise à l’endroit de M. Thanabalasingham, et on l’a renvoyé au Sri Lanka le 5 juillet 2017. Malgré ce renvoi, le ministère public a poursuivi son appel. La Cour d’appel s’est penchée sur les questions préliminaires de savoir si l’appel en l’espèce était devenu théorique et, dans l’affirmative, si elle devait exercer son pouvoir discrétionnaire de trancher l’appel comme s’il n’était pas théorique. Les juges majoritaires de la Cour d’appel ont conclu que l’appel était théorique et qu’il n’y avait aucune raison valable pour la cour d’exercer son pouvoir discrétionnaire de le trancher, et ils ont rejeté l’appel. La juge en chef Duval Hesler, dissidente, aurait fait droit à l’appel, annulé l’arrêt des procédures et ordonné la tenue du procès.</w:t>
      </w:r>
    </w:p>
    <w:p w:rsidR="00612558" w:rsidRPr="00893B19" w:rsidRDefault="00612558" w:rsidP="00612558">
      <w:pPr>
        <w:widowControl w:val="0"/>
        <w:rPr>
          <w:sz w:val="20"/>
          <w:lang w:val="fr-CA"/>
        </w:rPr>
      </w:pPr>
    </w:p>
    <w:p w:rsidR="00612558" w:rsidRPr="00893B19" w:rsidRDefault="00612558" w:rsidP="00612558">
      <w:pPr>
        <w:widowControl w:val="0"/>
        <w:rPr>
          <w:sz w:val="20"/>
          <w:lang w:val="fr-CA"/>
        </w:rPr>
      </w:pPr>
      <w:r w:rsidRPr="00893B19">
        <w:rPr>
          <w:sz w:val="20"/>
          <w:lang w:val="fr-CA"/>
        </w:rPr>
        <w:t>Le 17 avril 2019, la Cour a accueilli le pourvoi et renvoyé l’affaire devant la Cour d’appel pour qu’elle statue sur le fond de celle-ci, estimant que les juges majoritaires de la Cour d’appel avaient commis une erreur en concluant que l’affaire était théorique.</w:t>
      </w:r>
    </w:p>
    <w:p w:rsidR="00612558" w:rsidRPr="00893B19" w:rsidRDefault="00612558" w:rsidP="00612558">
      <w:pPr>
        <w:widowControl w:val="0"/>
        <w:rPr>
          <w:sz w:val="20"/>
          <w:lang w:val="fr-CA"/>
        </w:rPr>
      </w:pPr>
    </w:p>
    <w:p w:rsidR="00612558" w:rsidRPr="00893B19" w:rsidRDefault="00612558" w:rsidP="00612558">
      <w:pPr>
        <w:widowControl w:val="0"/>
        <w:rPr>
          <w:sz w:val="20"/>
          <w:lang w:val="fr-CA"/>
        </w:rPr>
      </w:pPr>
      <w:r w:rsidRPr="00893B19">
        <w:rPr>
          <w:sz w:val="20"/>
          <w:lang w:val="fr-CA"/>
        </w:rPr>
        <w:t>Les juges majoritaires ont rejeté l’appel du ministère public, concluant que ce dernier ne démontrait pas d’erreurs donnant ouverture à l’intervention de la cour. Avant de parvenir à sa décision, le juge du procès a appliqué le droit et a tenu compte de toutes les circonstances, y compris la nature de l’infraction et l’intérêt de la société à ce qu’un homicide à l’égard d’une conjointe soit jugé sur le fond. Il n’a pas erré en ne soustrayant pas un délai qui découlait de l’indisponibilité de l’avocat de M. Thanabalasingham, en concluant que le délai attribuable au dépassement de temps pour terminer l’enquête préliminaire n’était pas une circonstance exceptionnelle et en refusant d’appliquer la mesure transitoire exceptionnelle. La juge en chef Duval Hesler et le juge Gagnon, dissidents, auraient accueilli l’appel, infirmé le jugement de la Cour supérieure, renvoyé le dossier à la Cour supérieure pour qu’un procès soit tenu et ordonné que M. Thanabalasingham soit arrêté s’il revenait au Canada.</w:t>
      </w:r>
    </w:p>
    <w:p w:rsidR="00612558" w:rsidRPr="00893B19" w:rsidRDefault="00612558" w:rsidP="00612558">
      <w:pPr>
        <w:rPr>
          <w:sz w:val="20"/>
          <w:lang w:val="fr-CA"/>
        </w:rPr>
      </w:pPr>
    </w:p>
    <w:p w:rsidR="00612558" w:rsidRPr="00893B19" w:rsidRDefault="00867539" w:rsidP="00612558">
      <w:pPr>
        <w:rPr>
          <w:sz w:val="20"/>
          <w:lang w:val="fr-CA"/>
        </w:rPr>
      </w:pPr>
      <w:r>
        <w:rPr>
          <w:sz w:val="20"/>
        </w:rPr>
        <w:pict>
          <v:rect id="_x0000_i1076" style="width:2in;height:1pt" o:hrpct="0" o:hralign="center" o:hrstd="t" o:hrnoshade="t" o:hr="t" fillcolor="black [3213]" stroked="f"/>
        </w:pict>
      </w:r>
    </w:p>
    <w:p w:rsidR="00612558" w:rsidRPr="00893B19" w:rsidRDefault="00612558" w:rsidP="00612558">
      <w:pPr>
        <w:widowControl w:val="0"/>
        <w:rPr>
          <w:sz w:val="20"/>
          <w:lang w:val="fr-CA"/>
        </w:rPr>
      </w:pPr>
    </w:p>
    <w:p w:rsidR="00612558" w:rsidRPr="00893B19" w:rsidRDefault="00612558" w:rsidP="00612558">
      <w:pPr>
        <w:widowControl w:val="0"/>
        <w:ind w:left="720" w:hanging="720"/>
        <w:jc w:val="both"/>
        <w:rPr>
          <w:b/>
          <w:i/>
          <w:sz w:val="20"/>
        </w:rPr>
      </w:pPr>
      <w:r w:rsidRPr="00893B19">
        <w:rPr>
          <w:b/>
          <w:sz w:val="20"/>
        </w:rPr>
        <w:fldChar w:fldCharType="begin"/>
      </w:r>
      <w:r w:rsidRPr="00893B19">
        <w:rPr>
          <w:b/>
          <w:sz w:val="20"/>
        </w:rPr>
        <w:instrText xml:space="preserve"> SEQ CHAPTER \h \r 1</w:instrText>
      </w:r>
      <w:r w:rsidRPr="00893B19">
        <w:rPr>
          <w:b/>
          <w:sz w:val="20"/>
        </w:rPr>
        <w:fldChar w:fldCharType="end"/>
      </w:r>
      <w:r w:rsidRPr="00893B19">
        <w:rPr>
          <w:b/>
          <w:sz w:val="20"/>
        </w:rPr>
        <w:t>38903</w:t>
      </w:r>
      <w:r w:rsidRPr="00893B19">
        <w:rPr>
          <w:sz w:val="20"/>
        </w:rPr>
        <w:tab/>
      </w:r>
      <w:r w:rsidRPr="00893B19">
        <w:rPr>
          <w:b/>
          <w:i/>
          <w:sz w:val="20"/>
        </w:rPr>
        <w:t>Cheung Wai Wallace Li v. Her Majesty the Queen</w:t>
      </w:r>
    </w:p>
    <w:p w:rsidR="00612558" w:rsidRPr="00893B19" w:rsidRDefault="00612558" w:rsidP="00612558">
      <w:pPr>
        <w:widowControl w:val="0"/>
        <w:ind w:left="720"/>
        <w:jc w:val="both"/>
        <w:rPr>
          <w:sz w:val="20"/>
        </w:rPr>
      </w:pPr>
      <w:r w:rsidRPr="00893B19">
        <w:rPr>
          <w:sz w:val="20"/>
        </w:rPr>
        <w:t>(B.C.)</w:t>
      </w:r>
      <w:r w:rsidR="0077419E" w:rsidRPr="00893B19">
        <w:rPr>
          <w:sz w:val="20"/>
        </w:rPr>
        <w:t xml:space="preserve"> </w:t>
      </w:r>
      <w:r w:rsidRPr="00893B19">
        <w:rPr>
          <w:sz w:val="20"/>
        </w:rPr>
        <w:t>(Criminal)</w:t>
      </w:r>
      <w:r w:rsidR="0077419E" w:rsidRPr="00893B19">
        <w:rPr>
          <w:sz w:val="20"/>
        </w:rPr>
        <w:t xml:space="preserve"> </w:t>
      </w:r>
      <w:r w:rsidRPr="00893B19">
        <w:rPr>
          <w:sz w:val="20"/>
        </w:rPr>
        <w:t>(As of Right)</w:t>
      </w:r>
    </w:p>
    <w:p w:rsidR="00612558" w:rsidRPr="00893B19" w:rsidRDefault="00612558" w:rsidP="00612558">
      <w:pPr>
        <w:jc w:val="both"/>
        <w:rPr>
          <w:sz w:val="20"/>
        </w:rPr>
      </w:pPr>
    </w:p>
    <w:p w:rsidR="00612558" w:rsidRPr="00893B19" w:rsidRDefault="00612558" w:rsidP="00612558">
      <w:pPr>
        <w:jc w:val="both"/>
        <w:rPr>
          <w:sz w:val="20"/>
        </w:rPr>
      </w:pPr>
      <w:r w:rsidRPr="00893B19">
        <w:rPr>
          <w:sz w:val="20"/>
        </w:rPr>
        <w:t xml:space="preserve">Criminal law - Defences - Entrapment - Dial-a-dope operations - Whether the appellant was entrapped by the police into committing a narcotic offence - Whether the police had a “reasonable suspicion” that the appellant was already engaged in criminal activity - Whether the telephone communication initiated by the police in this case was pursuant to a bona fide investigation so as to preclude a finding of entrapment. </w:t>
      </w:r>
    </w:p>
    <w:p w:rsidR="00612558" w:rsidRPr="00893B19" w:rsidRDefault="00612558" w:rsidP="00612558">
      <w:pPr>
        <w:jc w:val="both"/>
        <w:rPr>
          <w:sz w:val="20"/>
        </w:rPr>
      </w:pPr>
    </w:p>
    <w:p w:rsidR="00893B19" w:rsidRPr="00893B19" w:rsidRDefault="00893B19">
      <w:pPr>
        <w:rPr>
          <w:sz w:val="20"/>
        </w:rPr>
      </w:pPr>
      <w:r w:rsidRPr="00893B19">
        <w:rPr>
          <w:sz w:val="20"/>
        </w:rPr>
        <w:br w:type="page"/>
      </w:r>
    </w:p>
    <w:p w:rsidR="00612558" w:rsidRPr="00893B19" w:rsidRDefault="00612558" w:rsidP="00612558">
      <w:pPr>
        <w:jc w:val="both"/>
        <w:rPr>
          <w:sz w:val="20"/>
        </w:rPr>
      </w:pPr>
      <w:r w:rsidRPr="00893B19">
        <w:rPr>
          <w:sz w:val="20"/>
        </w:rPr>
        <w:t xml:space="preserve">In the context of a dial-a-dope operation, the appellant, Mr. Li, pled guilty to one count of trafficking in cocaine contrary to s. 5(1) of the </w:t>
      </w:r>
      <w:r w:rsidRPr="00893B19">
        <w:rPr>
          <w:i/>
          <w:sz w:val="20"/>
        </w:rPr>
        <w:t>Controlled Drugs and Substances Act</w:t>
      </w:r>
      <w:r w:rsidRPr="00893B19">
        <w:rPr>
          <w:sz w:val="20"/>
        </w:rPr>
        <w:t>, S.C. 1996, c. 19, but argued that the proceedings should be stayed on the basis that the charge was a result of police entrapment. The Provincial Court of British Columbia found Mr. Li was entrapped into committing the narcotics offence and ordered a stay of proceedings. A unanimous Court of Appeal allowed the Crown’s appeal from the judicial stay, ordered that the stay be set aside, and remitted the case back to trial court for sentencing. The Court of Appeal concluded that the trial judge misapprehended portions of the evidence, misapplied the legal test for entrapment, and reached a conclusion that was not available on the evidence.</w:t>
      </w:r>
    </w:p>
    <w:p w:rsidR="00612558" w:rsidRPr="00893B19" w:rsidRDefault="00612558" w:rsidP="00612558">
      <w:pPr>
        <w:jc w:val="both"/>
        <w:rPr>
          <w:sz w:val="20"/>
        </w:rPr>
      </w:pPr>
    </w:p>
    <w:p w:rsidR="00612558" w:rsidRPr="00893B19" w:rsidRDefault="00867539" w:rsidP="00612558">
      <w:pPr>
        <w:jc w:val="both"/>
        <w:rPr>
          <w:sz w:val="20"/>
        </w:rPr>
      </w:pPr>
      <w:r>
        <w:rPr>
          <w:sz w:val="20"/>
        </w:rPr>
        <w:pict>
          <v:rect id="_x0000_i1077" style="width:2in;height:1pt" o:hrpct="0" o:hralign="center" o:hrstd="t" o:hrnoshade="t" o:hr="t" fillcolor="black [3213]" stroked="f"/>
        </w:pict>
      </w:r>
    </w:p>
    <w:p w:rsidR="00612558" w:rsidRPr="00893B19" w:rsidRDefault="00612558" w:rsidP="00612558">
      <w:pPr>
        <w:jc w:val="both"/>
        <w:rPr>
          <w:sz w:val="20"/>
        </w:rPr>
      </w:pPr>
    </w:p>
    <w:p w:rsidR="00612558" w:rsidRPr="00893B19" w:rsidRDefault="00612558" w:rsidP="00612558">
      <w:pPr>
        <w:widowControl w:val="0"/>
        <w:ind w:left="720" w:hanging="720"/>
        <w:jc w:val="both"/>
        <w:rPr>
          <w:b/>
          <w:i/>
          <w:sz w:val="20"/>
          <w:lang w:val="fr-CA"/>
        </w:rPr>
      </w:pPr>
      <w:r w:rsidRPr="00893B19">
        <w:rPr>
          <w:b/>
          <w:sz w:val="20"/>
          <w:lang w:val="fr-CA"/>
        </w:rPr>
        <w:fldChar w:fldCharType="begin"/>
      </w:r>
      <w:r w:rsidRPr="00893B19">
        <w:rPr>
          <w:b/>
          <w:sz w:val="20"/>
          <w:lang w:val="fr-CA"/>
        </w:rPr>
        <w:instrText xml:space="preserve"> SEQ CHAPTER \h \r 1</w:instrText>
      </w:r>
      <w:r w:rsidRPr="00893B19">
        <w:rPr>
          <w:b/>
          <w:sz w:val="20"/>
          <w:lang w:val="fr-CA"/>
        </w:rPr>
        <w:fldChar w:fldCharType="end"/>
      </w:r>
      <w:r w:rsidRPr="00893B19">
        <w:rPr>
          <w:b/>
          <w:sz w:val="20"/>
          <w:lang w:val="fr-CA"/>
        </w:rPr>
        <w:t>38903</w:t>
      </w:r>
      <w:r w:rsidRPr="00893B19">
        <w:rPr>
          <w:sz w:val="20"/>
          <w:lang w:val="fr-CA"/>
        </w:rPr>
        <w:tab/>
      </w:r>
      <w:r w:rsidRPr="00893B19">
        <w:rPr>
          <w:b/>
          <w:i/>
          <w:sz w:val="20"/>
          <w:lang w:val="fr-CA"/>
        </w:rPr>
        <w:t>Cheung Wai Wallace Li c. Sa Majesté la Reine</w:t>
      </w:r>
    </w:p>
    <w:p w:rsidR="00612558" w:rsidRPr="00893B19" w:rsidRDefault="00612558" w:rsidP="00612558">
      <w:pPr>
        <w:widowControl w:val="0"/>
        <w:ind w:left="720"/>
        <w:jc w:val="both"/>
        <w:rPr>
          <w:sz w:val="20"/>
          <w:lang w:val="fr-CA"/>
        </w:rPr>
      </w:pPr>
      <w:r w:rsidRPr="00893B19">
        <w:rPr>
          <w:sz w:val="20"/>
          <w:lang w:val="fr-CA"/>
        </w:rPr>
        <w:t>(C.-B.) (Criminelle) (De plein droit)</w:t>
      </w:r>
    </w:p>
    <w:p w:rsidR="00612558" w:rsidRPr="00893B19" w:rsidRDefault="00612558" w:rsidP="00612558">
      <w:pPr>
        <w:jc w:val="both"/>
        <w:rPr>
          <w:sz w:val="20"/>
          <w:lang w:val="fr-CA"/>
        </w:rPr>
      </w:pPr>
    </w:p>
    <w:p w:rsidR="00612558" w:rsidRPr="00893B19" w:rsidRDefault="00612558" w:rsidP="00612558">
      <w:pPr>
        <w:jc w:val="both"/>
        <w:rPr>
          <w:sz w:val="20"/>
          <w:lang w:val="fr-CA"/>
        </w:rPr>
      </w:pPr>
      <w:r w:rsidRPr="00893B19">
        <w:rPr>
          <w:sz w:val="20"/>
          <w:lang w:val="fr-CA"/>
        </w:rPr>
        <w:t xml:space="preserve">Droit criminel – Moyens de défense – Provocation policière – Opérations de vente de drogue sur appel – Notre Cour a-t-elle compétence pour entendre le présent appel de plein droit? – Existait-il des « soupçons raisonnables » que l’appelant était engagé dans une activité criminelle avant que l’offre soit faite de fournir des drogues? – L’exception relative à l’enquête de bonne foi s’applique-t-elle en l’espèce?  </w:t>
      </w:r>
    </w:p>
    <w:p w:rsidR="00612558" w:rsidRPr="00893B19" w:rsidRDefault="00612558" w:rsidP="00612558">
      <w:pPr>
        <w:jc w:val="both"/>
        <w:rPr>
          <w:sz w:val="20"/>
          <w:lang w:val="fr-CA"/>
        </w:rPr>
      </w:pPr>
    </w:p>
    <w:p w:rsidR="00612558" w:rsidRPr="00893B19" w:rsidRDefault="00612558" w:rsidP="00612558">
      <w:pPr>
        <w:jc w:val="both"/>
        <w:rPr>
          <w:sz w:val="20"/>
          <w:lang w:val="fr-CA"/>
        </w:rPr>
      </w:pPr>
      <w:r w:rsidRPr="00893B19">
        <w:rPr>
          <w:sz w:val="20"/>
          <w:lang w:val="fr-CA"/>
        </w:rPr>
        <w:t xml:space="preserve">Dans le contexte d’une opération de vente de drogue sur appel, l’appelant, M. Li, a plaidé coupable d’un chef de trafic de cocaïne, infraction décrite au par. 5(1) de la </w:t>
      </w:r>
      <w:r w:rsidRPr="00893B19">
        <w:rPr>
          <w:i/>
          <w:sz w:val="20"/>
          <w:lang w:val="fr-CA"/>
        </w:rPr>
        <w:t>Loi réglementant certaines drogues et autres substances</w:t>
      </w:r>
      <w:r w:rsidRPr="00893B19">
        <w:rPr>
          <w:sz w:val="20"/>
          <w:lang w:val="fr-CA"/>
        </w:rPr>
        <w:t xml:space="preserve">, L.C. 1996, ch. 19, mais a plaidé qu’il devait y avoir arrêt des procédures parce que l’accusation était le résultat d’une provocation policière. La Cour provinciale de la Colombie-Britannique a conclu que M. Li avait été incité à commettre l’infraction en matière de stupéfiants et a ordonné l’arrêt des procédures. À l’unanimité, la Cour d’appel a accueilli l’appel du ministère public de l’arrêt des procédures prononcé par le tribunal, ordonné l’annulation de l’arrêt des procédures et renvoyé l’affaire au tribunal de première instance pour la détermination de la peine. La Cour d’appel a conclu que le juge du procès avait mal interprété des parties de la preuve, mal appliqué le critère juridique en matière de provocation policière et tiré une conclusion que la preuve n’étayait pas. </w:t>
      </w:r>
    </w:p>
    <w:p w:rsidR="00612558" w:rsidRPr="00893B19" w:rsidRDefault="00612558" w:rsidP="00612558">
      <w:pPr>
        <w:widowControl w:val="0"/>
        <w:rPr>
          <w:sz w:val="20"/>
          <w:lang w:val="fr-CA"/>
        </w:rPr>
      </w:pPr>
    </w:p>
    <w:p w:rsidR="00612558" w:rsidRPr="00893B19" w:rsidRDefault="00867539" w:rsidP="00612558">
      <w:pPr>
        <w:widowControl w:val="0"/>
        <w:rPr>
          <w:sz w:val="20"/>
          <w:lang w:val="fr-CA"/>
        </w:rPr>
      </w:pPr>
      <w:r>
        <w:rPr>
          <w:sz w:val="20"/>
        </w:rPr>
        <w:pict>
          <v:rect id="_x0000_i1078" style="width:2in;height:1pt" o:hrpct="0" o:hralign="center" o:hrstd="t" o:hrnoshade="t" o:hr="t" fillcolor="black [3213]" stroked="f"/>
        </w:pict>
      </w:r>
    </w:p>
    <w:p w:rsidR="00612558" w:rsidRPr="00893B19" w:rsidRDefault="00612558" w:rsidP="00612558">
      <w:pPr>
        <w:widowControl w:val="0"/>
        <w:rPr>
          <w:sz w:val="20"/>
          <w:lang w:val="fr-CA"/>
        </w:rPr>
      </w:pPr>
    </w:p>
    <w:p w:rsidR="00612558" w:rsidRPr="00893B19" w:rsidRDefault="00612558" w:rsidP="00612558">
      <w:pPr>
        <w:pStyle w:val="SCCLsocParty"/>
        <w:jc w:val="left"/>
        <w:rPr>
          <w:b/>
          <w:sz w:val="20"/>
          <w:szCs w:val="20"/>
          <w:lang w:val="en-US"/>
        </w:rPr>
      </w:pPr>
      <w:r w:rsidRPr="00893B19">
        <w:rPr>
          <w:rStyle w:val="SCCFileNumberChar"/>
          <w:sz w:val="20"/>
          <w:szCs w:val="20"/>
        </w:rPr>
        <w:t>38984</w:t>
      </w:r>
      <w:r w:rsidRPr="00893B19">
        <w:rPr>
          <w:rStyle w:val="SCCFileNumberChar"/>
          <w:sz w:val="20"/>
          <w:szCs w:val="20"/>
        </w:rPr>
        <w:tab/>
      </w:r>
      <w:r w:rsidRPr="00893B19">
        <w:rPr>
          <w:b/>
          <w:i/>
          <w:sz w:val="20"/>
          <w:szCs w:val="20"/>
          <w:lang w:val="en-US"/>
        </w:rPr>
        <w:t>Haben Abrham Weldekidan v. Her Majesty the Queen</w:t>
      </w:r>
    </w:p>
    <w:p w:rsidR="00612558" w:rsidRPr="00893B19" w:rsidRDefault="00612558" w:rsidP="00612558">
      <w:pPr>
        <w:widowControl w:val="0"/>
        <w:ind w:firstLine="720"/>
        <w:rPr>
          <w:sz w:val="20"/>
        </w:rPr>
      </w:pPr>
      <w:r w:rsidRPr="00893B19">
        <w:rPr>
          <w:sz w:val="20"/>
        </w:rPr>
        <w:t>(Man.) (Criminal) (By Leave)</w:t>
      </w:r>
    </w:p>
    <w:p w:rsidR="00612558" w:rsidRPr="00893B19" w:rsidRDefault="00612558" w:rsidP="00612558">
      <w:pPr>
        <w:widowControl w:val="0"/>
        <w:rPr>
          <w:sz w:val="20"/>
        </w:rPr>
      </w:pPr>
    </w:p>
    <w:p w:rsidR="00612558" w:rsidRPr="00893B19" w:rsidRDefault="00612558" w:rsidP="00612558">
      <w:pPr>
        <w:widowControl w:val="0"/>
        <w:rPr>
          <w:sz w:val="20"/>
        </w:rPr>
      </w:pPr>
      <w:r w:rsidRPr="00893B19">
        <w:rPr>
          <w:sz w:val="20"/>
        </w:rPr>
        <w:t>Criminal law — Evidence — Admissibility — Accused allegedly shooting three victims — Victims providing video</w:t>
      </w:r>
      <w:r w:rsidRPr="00893B19">
        <w:rPr>
          <w:sz w:val="20"/>
        </w:rPr>
        <w:noBreakHyphen/>
        <w:t>recorded statements identifying shooter under oath — Two witnesses later claiming no memory of incident or of having identified shooter, one witness recanting portion of testimony — Trial judge ruling video</w:t>
      </w:r>
      <w:r w:rsidRPr="00893B19">
        <w:rPr>
          <w:sz w:val="20"/>
        </w:rPr>
        <w:noBreakHyphen/>
        <w:t>recorded statements non</w:t>
      </w:r>
      <w:r w:rsidRPr="00893B19">
        <w:rPr>
          <w:sz w:val="20"/>
        </w:rPr>
        <w:noBreakHyphen/>
        <w:t>admissible and acquitting accused — Court of Appeal overturning acquittal and ordering new trial — Whether trial judge, when considering issue of threshold reliability, limited to simply determining whether statement in question was taken under oath in considering procedural reliability — Whether advisable for trial judge to consider circumstances of taking and administering oath, including evidence of declarant’s state of awareness or consciousness, in determining procedural reliability — Whether trial judge’s determination of third requirement under test from R v. B (K.G.), [1993] 1 S.C.R. 740 ( “the opposing party, whether the Crown or the Defence, has a full opportunity to cross-examine the witness respecting the statement”) is entitled to deference — Whether Crown’s burden to show new trial warranted has been satisfied where trial judge in judge alone trial made findings on threshold reliability that impeded upon ultimate reliability — Whether witness’s prior statement, admitted for substantive use, can be used as corroborative evidence to admit other witness’s prior statements.</w:t>
      </w:r>
    </w:p>
    <w:p w:rsidR="00612558" w:rsidRPr="00893B19" w:rsidRDefault="00612558" w:rsidP="00612558">
      <w:pPr>
        <w:widowControl w:val="0"/>
        <w:rPr>
          <w:sz w:val="20"/>
        </w:rPr>
      </w:pPr>
    </w:p>
    <w:p w:rsidR="00893B19" w:rsidRPr="00893B19" w:rsidRDefault="00893B19">
      <w:pPr>
        <w:rPr>
          <w:sz w:val="20"/>
        </w:rPr>
      </w:pPr>
      <w:r w:rsidRPr="00893B19">
        <w:rPr>
          <w:sz w:val="20"/>
        </w:rPr>
        <w:br w:type="page"/>
      </w:r>
    </w:p>
    <w:p w:rsidR="00612558" w:rsidRPr="00893B19" w:rsidRDefault="00612558" w:rsidP="00612558">
      <w:pPr>
        <w:widowControl w:val="0"/>
        <w:rPr>
          <w:sz w:val="20"/>
        </w:rPr>
      </w:pPr>
      <w:r w:rsidRPr="00893B19">
        <w:rPr>
          <w:sz w:val="20"/>
        </w:rPr>
        <w:t>The accused, Mr. Weldekidan, allegedly shot three victims. While still recovering in hospital, the victims provided individual videotaped statements recounting their versions of the events. The victims were warned prior to being filmed that their statements would be video</w:t>
      </w:r>
      <w:r w:rsidRPr="00893B19">
        <w:rPr>
          <w:sz w:val="20"/>
        </w:rPr>
        <w:noBreakHyphen/>
        <w:t xml:space="preserve">recorded. Each victim agreed to provide a statement and acknowledged their understanding of the conditions verbally and in writing. In their individual statements, the three victims all identified Mr. Weldekidan, as the shooter. Following a </w:t>
      </w:r>
      <w:r w:rsidRPr="00893B19">
        <w:rPr>
          <w:i/>
          <w:sz w:val="20"/>
        </w:rPr>
        <w:t>voir dire</w:t>
      </w:r>
      <w:r w:rsidRPr="00893B19">
        <w:rPr>
          <w:sz w:val="20"/>
        </w:rPr>
        <w:t xml:space="preserve"> on the admissibility of the video</w:t>
      </w:r>
      <w:r w:rsidRPr="00893B19">
        <w:rPr>
          <w:sz w:val="20"/>
        </w:rPr>
        <w:noBreakHyphen/>
        <w:t>recorded statements — because two of the victims testified that they did not have any memories of the shooting or of providing the video statements, and the third victim denied having any memory of the individual who shot him — the trial judge deemed the video statements inadmissible. The charges were dismissed and Mr. Weldekidan was acquitted. The Court of Appeal allowed the Crown’s appeal, overturned the acquittal, and ordered a new trial.</w:t>
      </w:r>
    </w:p>
    <w:p w:rsidR="00612558" w:rsidRPr="00893B19" w:rsidRDefault="00612558" w:rsidP="00612558">
      <w:pPr>
        <w:widowControl w:val="0"/>
        <w:rPr>
          <w:sz w:val="20"/>
        </w:rPr>
      </w:pPr>
    </w:p>
    <w:p w:rsidR="00612558" w:rsidRPr="00893B19" w:rsidRDefault="00867539" w:rsidP="00612558">
      <w:pPr>
        <w:rPr>
          <w:sz w:val="20"/>
        </w:rPr>
      </w:pPr>
      <w:r>
        <w:rPr>
          <w:sz w:val="20"/>
        </w:rPr>
        <w:pict>
          <v:rect id="_x0000_i1079" style="width:2in;height:1pt" o:hrpct="0" o:hralign="center" o:hrstd="t" o:hrnoshade="t" o:hr="t" fillcolor="black [3213]" stroked="f"/>
        </w:pict>
      </w:r>
    </w:p>
    <w:p w:rsidR="00612558" w:rsidRPr="00893B19" w:rsidRDefault="00612558" w:rsidP="00612558">
      <w:pPr>
        <w:rPr>
          <w:sz w:val="20"/>
        </w:rPr>
      </w:pPr>
    </w:p>
    <w:p w:rsidR="00612558" w:rsidRPr="00893B19" w:rsidRDefault="00612558" w:rsidP="00612558">
      <w:pPr>
        <w:pStyle w:val="SCCLsocParty"/>
        <w:jc w:val="left"/>
        <w:rPr>
          <w:b/>
          <w:i/>
          <w:sz w:val="20"/>
          <w:szCs w:val="20"/>
        </w:rPr>
      </w:pPr>
      <w:r w:rsidRPr="00893B19">
        <w:rPr>
          <w:rStyle w:val="SCCFileNumberChar"/>
          <w:sz w:val="20"/>
          <w:szCs w:val="20"/>
          <w:lang w:val="fr-CA"/>
        </w:rPr>
        <w:t>38984</w:t>
      </w:r>
      <w:r w:rsidRPr="00893B19">
        <w:rPr>
          <w:rStyle w:val="SCCFileNumberChar"/>
          <w:sz w:val="20"/>
          <w:szCs w:val="20"/>
          <w:lang w:val="fr-CA"/>
        </w:rPr>
        <w:tab/>
      </w:r>
      <w:r w:rsidRPr="00893B19">
        <w:rPr>
          <w:b/>
          <w:i/>
          <w:sz w:val="20"/>
          <w:szCs w:val="20"/>
        </w:rPr>
        <w:t>Haben Abrham Weldekidan c. Sa Majesté la Reine</w:t>
      </w:r>
    </w:p>
    <w:p w:rsidR="00612558" w:rsidRPr="00893B19" w:rsidRDefault="00612558" w:rsidP="00612558">
      <w:pPr>
        <w:ind w:firstLine="720"/>
        <w:rPr>
          <w:sz w:val="20"/>
          <w:lang w:val="fr-CA"/>
        </w:rPr>
      </w:pPr>
      <w:r w:rsidRPr="00893B19">
        <w:rPr>
          <w:sz w:val="20"/>
          <w:lang w:val="fr-CA"/>
        </w:rPr>
        <w:t>(Man.) (Criminelle) (Autorisation)</w:t>
      </w:r>
    </w:p>
    <w:p w:rsidR="00612558" w:rsidRPr="00893B19" w:rsidRDefault="00612558" w:rsidP="00612558">
      <w:pPr>
        <w:rPr>
          <w:sz w:val="20"/>
          <w:lang w:val="fr-CA"/>
        </w:rPr>
      </w:pPr>
    </w:p>
    <w:p w:rsidR="00612558" w:rsidRPr="00893B19" w:rsidRDefault="00612558" w:rsidP="00612558">
      <w:pPr>
        <w:rPr>
          <w:sz w:val="20"/>
          <w:lang w:val="fr-CA"/>
        </w:rPr>
      </w:pPr>
      <w:r w:rsidRPr="00893B19">
        <w:rPr>
          <w:sz w:val="20"/>
          <w:lang w:val="fr-CA"/>
        </w:rPr>
        <w:t>Droit criminel — Preuve — Admissibilité — Le demandeur aurait atteint trois personnes par balle — Les victimes ont fourni des déclarations sous serment, enregistrées sur bande vidéo, identifiant le tireur — Deux des témoins ont affirmé par la suite qu’ils ne se souvenaient pas de l’incident ou d’avoir identifié le tireur, un des témoins rétractant une partie de son témoignage — Le juge du procès a statué que les enregistrements sur bande vidéo étaient non admissibles et a acquitté l’accusé — La Cour d’appel a infirmé l’acquittement et a ordonné la tenue d’un nouveau procès — Le juge du procès, en examinant la question du seuil de fiabilité, est</w:t>
      </w:r>
      <w:r w:rsidRPr="00893B19">
        <w:rPr>
          <w:sz w:val="20"/>
          <w:lang w:val="fr-CA"/>
        </w:rPr>
        <w:noBreakHyphen/>
        <w:t>il limité à simplement trancher la question de savoir si la déclaration en question a été prise sous serment en examinant la fiabilité d’ordre procédural? — Est</w:t>
      </w:r>
      <w:r w:rsidRPr="00893B19">
        <w:rPr>
          <w:sz w:val="20"/>
          <w:lang w:val="fr-CA"/>
        </w:rPr>
        <w:noBreakHyphen/>
        <w:t>il opportun que le juge du procès examine les circonstances dans lesquelles le serment a été pris et administré, y compris la preuve de l’état de conscience du déclarant pour statuer sur la fiabilité d’ordre procédural? — Y a</w:t>
      </w:r>
      <w:r w:rsidRPr="00893B19">
        <w:rPr>
          <w:sz w:val="20"/>
          <w:lang w:val="fr-CA"/>
        </w:rPr>
        <w:noBreakHyphen/>
        <w:t>t</w:t>
      </w:r>
      <w:r w:rsidRPr="00893B19">
        <w:rPr>
          <w:sz w:val="20"/>
          <w:lang w:val="fr-CA"/>
        </w:rPr>
        <w:noBreakHyphen/>
        <w:t xml:space="preserve">il lieu de faire preuve de déférence à l’égard de la décision du juge de procès quant à la troisième exigence du critère établi dans </w:t>
      </w:r>
      <w:r w:rsidRPr="00893B19">
        <w:rPr>
          <w:i/>
          <w:sz w:val="20"/>
          <w:lang w:val="fr-CA"/>
        </w:rPr>
        <w:t>R c. B (K.G.)</w:t>
      </w:r>
      <w:r w:rsidRPr="00893B19">
        <w:rPr>
          <w:sz w:val="20"/>
          <w:lang w:val="fr-CA"/>
        </w:rPr>
        <w:t>, [1993] 1 R.C.S. 740 (« si la partie adverse — accusation ou défense — a la possibilité voulue de contre</w:t>
      </w:r>
      <w:r w:rsidRPr="00893B19">
        <w:rPr>
          <w:sz w:val="20"/>
          <w:lang w:val="fr-CA"/>
        </w:rPr>
        <w:noBreakHyphen/>
        <w:t>interroger le témoin au sujet de la déclaration »)? — Le fardeau imposé au ministère public d’établir qu’un nouveau procès est justifié a-t-il été acquitté lorsque le juge du procès, dans un procès devant juge seul, a tiré des conclusions sur le seuil de fiabilité qui ont contrecarré la fiabilité en dernière analyse? — La déclaration antérieure du témoin, admise pour faire preuve de son contenu, peut-elle être utilisée comme preuve corroborante pour admettre les déclarations antérieures d’un autre témoin?</w:t>
      </w:r>
    </w:p>
    <w:p w:rsidR="00612558" w:rsidRPr="00893B19" w:rsidRDefault="00612558" w:rsidP="00612558">
      <w:pPr>
        <w:rPr>
          <w:sz w:val="20"/>
          <w:lang w:val="fr-CA"/>
        </w:rPr>
      </w:pPr>
    </w:p>
    <w:p w:rsidR="00612558" w:rsidRPr="00893B19" w:rsidRDefault="00612558" w:rsidP="00612558">
      <w:pPr>
        <w:rPr>
          <w:sz w:val="20"/>
          <w:lang w:val="fr-CA"/>
        </w:rPr>
      </w:pPr>
      <w:r w:rsidRPr="00893B19">
        <w:rPr>
          <w:sz w:val="20"/>
          <w:lang w:val="fr-CA"/>
        </w:rPr>
        <w:t>L’accusé, M. Weldekidan, aurait atteint trois personnes par balle. Alors qu’elles se rétablissaient encore à l’hôpital, les victimes ont chacune fourni des déclarations enregistrées sur bande vidéo relatant leurs versions des événements. Avant d’être filmées, les victimes ont été averties que leurs déclarations seraient enregistrées sur bande vidéo. Chacune des victimes a accepté de fournir une déclaration et a reconnu comprendre les conditions verbalement et par écrit. Dans leurs déclarations individuelles, les trois victimes ont toutes identifié M. Weldekidan comme le tireur. À la suite d’un voir</w:t>
      </w:r>
      <w:r w:rsidRPr="00893B19">
        <w:rPr>
          <w:sz w:val="20"/>
          <w:lang w:val="fr-CA"/>
        </w:rPr>
        <w:noBreakHyphen/>
        <w:t>dire sur l’admissibilité des déclarations enregistrées sur bande vidéo — vu que deux des victimes ont affirmé dans leur témoignage qu’elles n’avaient aucun souvenir de l’incident ou d’avoir fourni les déclarations sur bande vidéo et que la troisième victime a nié avoir quelque souvenir que ce soit de la personne qui l’avait atteinte par balle — le juge du procès a estimé que les déclarations sur bande vidéo étaient non admissibles. Les accusations ont été rejetées et M. Weldekidan a été acquitté. La Cour d’appel a accueilli l’appel du ministère public, infirmé l’acquittement et ordonné la tenue d’un nouveau procès.</w:t>
      </w:r>
    </w:p>
    <w:p w:rsidR="00612558" w:rsidRPr="00893B19" w:rsidRDefault="00612558" w:rsidP="00612558">
      <w:pPr>
        <w:rPr>
          <w:sz w:val="20"/>
          <w:lang w:val="fr-CA"/>
        </w:rPr>
      </w:pPr>
    </w:p>
    <w:p w:rsidR="00102792" w:rsidRPr="00893B19" w:rsidRDefault="00867539" w:rsidP="00102792">
      <w:pPr>
        <w:rPr>
          <w:color w:val="000000"/>
          <w:sz w:val="20"/>
          <w:szCs w:val="20"/>
          <w:lang w:val="fr-CA"/>
        </w:rPr>
      </w:pPr>
      <w:r>
        <w:rPr>
          <w:sz w:val="20"/>
        </w:rPr>
        <w:pict>
          <v:rect id="_x0000_i1080" style="width:2in;height:1pt" o:hrpct="0" o:hralign="center" o:hrstd="t" o:hrnoshade="t" o:hr="t" fillcolor="black [3213]" stroked="f"/>
        </w:pict>
      </w:r>
    </w:p>
    <w:p w:rsidR="00612558" w:rsidRPr="00893B19" w:rsidRDefault="00612558" w:rsidP="00102792">
      <w:pPr>
        <w:rPr>
          <w:color w:val="000000"/>
          <w:sz w:val="20"/>
          <w:szCs w:val="20"/>
          <w:lang w:val="fr-CA"/>
        </w:rPr>
      </w:pPr>
    </w:p>
    <w:p w:rsidR="00102792" w:rsidRPr="00893B19" w:rsidRDefault="00102792" w:rsidP="00102792">
      <w:pPr>
        <w:rPr>
          <w:color w:val="000000"/>
          <w:sz w:val="20"/>
          <w:szCs w:val="20"/>
          <w:lang w:val="fr-CA"/>
        </w:rPr>
      </w:pPr>
    </w:p>
    <w:p w:rsidR="00102792" w:rsidRPr="00893B19" w:rsidRDefault="00102792" w:rsidP="00782AE4">
      <w:pPr>
        <w:jc w:val="both"/>
        <w:rPr>
          <w:sz w:val="20"/>
          <w:szCs w:val="20"/>
          <w:lang w:val="fr-CA"/>
        </w:rPr>
      </w:pPr>
    </w:p>
    <w:p w:rsidR="0022323B" w:rsidRPr="00893B19" w:rsidRDefault="0022323B" w:rsidP="00782AE4">
      <w:pPr>
        <w:jc w:val="both"/>
        <w:rPr>
          <w:sz w:val="20"/>
          <w:szCs w:val="20"/>
          <w:lang w:val="fr-CA"/>
        </w:rPr>
        <w:sectPr w:rsidR="0022323B" w:rsidRPr="00893B19" w:rsidSect="0022323B">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p w:rsidR="004B2E86" w:rsidRPr="00893B19" w:rsidRDefault="004B2E86" w:rsidP="004B2E86">
      <w:pPr>
        <w:tabs>
          <w:tab w:val="center" w:pos="5220"/>
          <w:tab w:val="right" w:pos="10800"/>
        </w:tabs>
        <w:jc w:val="center"/>
        <w:rPr>
          <w:rFonts w:ascii="Arial" w:hAnsi="Arial" w:cs="Arial"/>
          <w:sz w:val="16"/>
          <w:szCs w:val="18"/>
          <w:lang w:val="fr-CA"/>
        </w:rPr>
      </w:pPr>
      <w:bookmarkStart w:id="9" w:name="1"/>
      <w:bookmarkStart w:id="10" w:name="QuickMark"/>
      <w:bookmarkEnd w:id="9"/>
      <w:bookmarkEnd w:id="10"/>
      <w:r w:rsidRPr="00893B19">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893B19"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DECEMBER – DÉCEMBRE</w:t>
            </w:r>
          </w:p>
        </w:tc>
      </w:tr>
      <w:tr w:rsidR="004B2E86" w:rsidRPr="00893B19"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4"/>
                <w:szCs w:val="14"/>
                <w:lang w:val="fr-FR"/>
              </w:rPr>
            </w:pPr>
            <w:r w:rsidRPr="00893B19">
              <w:rPr>
                <w:rFonts w:ascii="Arial" w:hAnsi="Arial" w:cs="Arial"/>
                <w:b/>
                <w:sz w:val="14"/>
                <w:szCs w:val="14"/>
                <w:lang w:val="fr-FR"/>
              </w:rPr>
              <w:t>S</w:t>
            </w:r>
          </w:p>
          <w:p w:rsidR="004B2E86" w:rsidRPr="00893B19" w:rsidRDefault="004B2E86" w:rsidP="00691D1D">
            <w:pPr>
              <w:tabs>
                <w:tab w:val="center" w:pos="5220"/>
                <w:tab w:val="right" w:pos="10440"/>
              </w:tabs>
              <w:jc w:val="center"/>
              <w:rPr>
                <w:rFonts w:ascii="Arial" w:hAnsi="Arial" w:cs="Arial"/>
                <w:b/>
                <w:sz w:val="14"/>
                <w:szCs w:val="14"/>
                <w:lang w:val="fr-FR"/>
              </w:rPr>
            </w:pPr>
            <w:r w:rsidRPr="00893B19">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M</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T</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W</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T</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F</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S</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S</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M</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T</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W</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T</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F</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S</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S</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M</w:t>
            </w:r>
          </w:p>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lang w:val="fr-FR"/>
              </w:rPr>
            </w:pPr>
            <w:r w:rsidRPr="00893B19">
              <w:rPr>
                <w:rFonts w:ascii="Arial" w:hAnsi="Arial" w:cs="Arial"/>
                <w:b/>
                <w:sz w:val="13"/>
                <w:szCs w:val="13"/>
                <w:lang w:val="fr-FR"/>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W</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F</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tc>
      </w:tr>
      <w:tr w:rsidR="004B2E86" w:rsidRPr="00893B19"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RH</w:t>
            </w:r>
          </w:p>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CC</w:t>
            </w:r>
          </w:p>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r>
      <w:tr w:rsidR="004B2E86" w:rsidRPr="00893B19"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CC</w:t>
            </w:r>
          </w:p>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YK</w:t>
            </w:r>
          </w:p>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CC</w:t>
            </w:r>
          </w:p>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r>
      <w:tr w:rsidR="004B2E86" w:rsidRPr="00893B19"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H</w:t>
            </w:r>
          </w:p>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H</w:t>
            </w:r>
          </w:p>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r>
      <w:tr w:rsidR="004B2E86" w:rsidRPr="00893B19"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H</w:t>
            </w:r>
          </w:p>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H</w:t>
            </w:r>
          </w:p>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r>
      <w:tr w:rsidR="004B2E86" w:rsidRPr="00893B19"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r>
    </w:tbl>
    <w:p w:rsidR="004B2E86" w:rsidRPr="00893B19" w:rsidRDefault="004B2E86" w:rsidP="004B2E86">
      <w:pPr>
        <w:tabs>
          <w:tab w:val="center" w:pos="5220"/>
          <w:tab w:val="right" w:pos="10440"/>
        </w:tabs>
        <w:jc w:val="center"/>
        <w:rPr>
          <w:rFonts w:ascii="Arial" w:hAnsi="Arial" w:cs="Arial"/>
          <w:szCs w:val="28"/>
        </w:rPr>
      </w:pPr>
      <w:r w:rsidRPr="00893B19">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893B19"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MARCH – MARS</w:t>
            </w:r>
          </w:p>
        </w:tc>
      </w:tr>
      <w:tr w:rsidR="004B2E86" w:rsidRPr="00893B19"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W</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F</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W</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F</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W</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F</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tc>
      </w:tr>
      <w:tr w:rsidR="004B2E86" w:rsidRPr="00893B1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H</w:t>
            </w:r>
          </w:p>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r>
      <w:tr w:rsidR="004B2E86" w:rsidRPr="00893B1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r>
      <w:tr w:rsidR="004B2E86" w:rsidRPr="00893B1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CC</w:t>
            </w:r>
          </w:p>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CC</w:t>
            </w:r>
          </w:p>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CC</w:t>
            </w:r>
          </w:p>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r>
      <w:tr w:rsidR="004B2E86" w:rsidRPr="00893B1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r>
      <w:tr w:rsidR="004B2E86" w:rsidRPr="00893B19"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r>
      <w:tr w:rsidR="004B2E86" w:rsidRPr="00893B19"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JUNE – JUIN</w:t>
            </w:r>
          </w:p>
        </w:tc>
      </w:tr>
      <w:tr w:rsidR="004B2E86" w:rsidRPr="00893B19"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W</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F</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W</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F</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W</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F</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tc>
      </w:tr>
      <w:tr w:rsidR="004B2E86" w:rsidRPr="00893B1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r>
      <w:tr w:rsidR="004B2E86" w:rsidRPr="00893B1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H</w:t>
            </w:r>
          </w:p>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CC</w:t>
            </w:r>
          </w:p>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r>
      <w:tr w:rsidR="004B2E86" w:rsidRPr="00893B19"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H</w:t>
            </w:r>
          </w:p>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CC</w:t>
            </w:r>
          </w:p>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GO</w:t>
            </w:r>
          </w:p>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GO</w:t>
            </w:r>
          </w:p>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CC</w:t>
            </w:r>
          </w:p>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r>
      <w:tr w:rsidR="004B2E86" w:rsidRPr="00893B1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GO</w:t>
            </w:r>
          </w:p>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GO</w:t>
            </w:r>
          </w:p>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H</w:t>
            </w:r>
          </w:p>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r>
      <w:tr w:rsidR="004B2E86" w:rsidRPr="00893B19"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rPr>
                <w:rFonts w:ascii="Arial" w:hAnsi="Arial" w:cs="Arial"/>
                <w:sz w:val="13"/>
                <w:szCs w:val="13"/>
              </w:rPr>
            </w:pPr>
            <w:r w:rsidRPr="00893B19">
              <w:rPr>
                <w:rFonts w:ascii="Arial" w:hAnsi="Arial" w:cs="Arial"/>
                <w:sz w:val="13"/>
                <w:szCs w:val="13"/>
              </w:rPr>
              <w:t xml:space="preserve"> 24 </w:t>
            </w:r>
            <w:r w:rsidRPr="00893B19">
              <w:rPr>
                <w:rFonts w:ascii="Arial" w:hAnsi="Arial" w:cs="Arial"/>
                <w:sz w:val="13"/>
                <w:szCs w:val="13"/>
                <w:lang w:val="en-US"/>
              </w:rPr>
              <w:t>/</w:t>
            </w:r>
          </w:p>
          <w:p w:rsidR="004B2E86" w:rsidRPr="00893B19" w:rsidRDefault="004B2E86" w:rsidP="00691D1D">
            <w:pPr>
              <w:jc w:val="right"/>
              <w:rPr>
                <w:rFonts w:ascii="Arial" w:hAnsi="Arial" w:cs="Arial"/>
                <w:sz w:val="13"/>
                <w:szCs w:val="13"/>
              </w:rPr>
            </w:pPr>
            <w:r w:rsidRPr="00893B19">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r>
      <w:tr w:rsidR="004B2E86" w:rsidRPr="00893B19"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SEPTEMBER – SEPTEMBRE</w:t>
            </w:r>
          </w:p>
        </w:tc>
      </w:tr>
      <w:tr w:rsidR="004B2E86" w:rsidRPr="00893B19"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6"/>
                <w:szCs w:val="16"/>
              </w:rPr>
            </w:pPr>
            <w:r w:rsidRPr="00893B1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W</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F</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W</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F</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93B19"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W</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T</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F</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p w:rsidR="004B2E86" w:rsidRPr="00893B19" w:rsidRDefault="004B2E86" w:rsidP="00691D1D">
            <w:pPr>
              <w:tabs>
                <w:tab w:val="center" w:pos="5220"/>
                <w:tab w:val="right" w:pos="10440"/>
              </w:tabs>
              <w:jc w:val="center"/>
              <w:rPr>
                <w:rFonts w:ascii="Arial" w:hAnsi="Arial" w:cs="Arial"/>
                <w:b/>
                <w:sz w:val="13"/>
                <w:szCs w:val="13"/>
              </w:rPr>
            </w:pPr>
            <w:r w:rsidRPr="00893B19">
              <w:rPr>
                <w:rFonts w:ascii="Arial" w:hAnsi="Arial" w:cs="Arial"/>
                <w:b/>
                <w:sz w:val="13"/>
                <w:szCs w:val="13"/>
              </w:rPr>
              <w:t>S</w:t>
            </w:r>
          </w:p>
        </w:tc>
      </w:tr>
      <w:tr w:rsidR="004B2E86" w:rsidRPr="00893B1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H</w:t>
            </w:r>
          </w:p>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r>
      <w:tr w:rsidR="004B2E86" w:rsidRPr="00893B1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H</w:t>
            </w:r>
          </w:p>
          <w:p w:rsidR="004B2E86" w:rsidRPr="00893B19" w:rsidRDefault="004B2E86" w:rsidP="00691D1D">
            <w:pPr>
              <w:jc w:val="center"/>
              <w:rPr>
                <w:rFonts w:ascii="Arial" w:hAnsi="Arial" w:cs="Arial"/>
                <w:sz w:val="13"/>
                <w:szCs w:val="13"/>
              </w:rPr>
            </w:pPr>
            <w:r w:rsidRPr="00893B19">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H</w:t>
            </w:r>
          </w:p>
          <w:p w:rsidR="004B2E86" w:rsidRPr="00893B19" w:rsidRDefault="004B2E86" w:rsidP="00691D1D">
            <w:pPr>
              <w:jc w:val="center"/>
              <w:rPr>
                <w:rFonts w:ascii="Arial" w:hAnsi="Arial" w:cs="Arial"/>
                <w:sz w:val="13"/>
                <w:szCs w:val="13"/>
              </w:rPr>
            </w:pPr>
            <w:r w:rsidRPr="00893B19">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r>
      <w:tr w:rsidR="004B2E86" w:rsidRPr="00893B1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RH</w:t>
            </w:r>
          </w:p>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r>
      <w:tr w:rsidR="004B2E86" w:rsidRPr="00893B1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RH</w:t>
            </w:r>
          </w:p>
          <w:p w:rsidR="004B2E86" w:rsidRPr="00893B19" w:rsidRDefault="004B2E86" w:rsidP="00691D1D">
            <w:pPr>
              <w:jc w:val="center"/>
              <w:rPr>
                <w:rFonts w:ascii="Arial" w:hAnsi="Arial" w:cs="Arial"/>
                <w:sz w:val="13"/>
                <w:szCs w:val="13"/>
              </w:rPr>
            </w:pPr>
            <w:r w:rsidRPr="00893B19">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r>
      <w:tr w:rsidR="004B2E86" w:rsidRPr="00893B19"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rPr>
                <w:rFonts w:ascii="Arial" w:hAnsi="Arial" w:cs="Arial"/>
                <w:sz w:val="13"/>
                <w:szCs w:val="13"/>
              </w:rPr>
            </w:pPr>
            <w:r w:rsidRPr="00893B19">
              <w:rPr>
                <w:rFonts w:ascii="Arial" w:hAnsi="Arial" w:cs="Arial"/>
                <w:sz w:val="13"/>
                <w:szCs w:val="13"/>
              </w:rPr>
              <w:t> 23 /</w:t>
            </w:r>
          </w:p>
          <w:p w:rsidR="004B2E86" w:rsidRPr="00893B19" w:rsidRDefault="004B2E86" w:rsidP="00691D1D">
            <w:pPr>
              <w:jc w:val="right"/>
              <w:rPr>
                <w:rFonts w:ascii="Arial" w:hAnsi="Arial" w:cs="Arial"/>
                <w:sz w:val="13"/>
                <w:szCs w:val="13"/>
              </w:rPr>
            </w:pPr>
            <w:r w:rsidRPr="00893B19">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rPr>
                <w:rFonts w:ascii="Arial" w:hAnsi="Arial" w:cs="Arial"/>
                <w:sz w:val="13"/>
                <w:szCs w:val="13"/>
              </w:rPr>
            </w:pPr>
            <w:r w:rsidRPr="00893B19">
              <w:rPr>
                <w:rFonts w:ascii="Arial" w:hAnsi="Arial" w:cs="Arial"/>
                <w:sz w:val="13"/>
                <w:szCs w:val="13"/>
              </w:rPr>
              <w:t> 24 /</w:t>
            </w:r>
          </w:p>
          <w:p w:rsidR="004B2E86" w:rsidRPr="00893B19" w:rsidRDefault="004B2E86" w:rsidP="00691D1D">
            <w:pPr>
              <w:jc w:val="right"/>
              <w:rPr>
                <w:rFonts w:ascii="Arial" w:hAnsi="Arial" w:cs="Arial"/>
                <w:sz w:val="13"/>
                <w:szCs w:val="13"/>
              </w:rPr>
            </w:pPr>
            <w:r w:rsidRPr="00893B19">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93B19"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b/>
                <w:sz w:val="13"/>
                <w:szCs w:val="13"/>
              </w:rPr>
            </w:pPr>
            <w:r w:rsidRPr="00893B19">
              <w:rPr>
                <w:rFonts w:ascii="Arial" w:hAnsi="Arial" w:cs="Arial"/>
                <w:b/>
                <w:sz w:val="13"/>
                <w:szCs w:val="13"/>
              </w:rPr>
              <w:t>YK</w:t>
            </w:r>
          </w:p>
          <w:p w:rsidR="004B2E86" w:rsidRPr="00893B19" w:rsidRDefault="004B2E86" w:rsidP="00691D1D">
            <w:pPr>
              <w:jc w:val="center"/>
              <w:rPr>
                <w:rFonts w:ascii="Arial" w:hAnsi="Arial" w:cs="Arial"/>
                <w:sz w:val="13"/>
                <w:szCs w:val="13"/>
              </w:rPr>
            </w:pPr>
            <w:r w:rsidRPr="00893B19">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93B19" w:rsidRDefault="004B2E86" w:rsidP="00691D1D">
            <w:pPr>
              <w:jc w:val="center"/>
              <w:rPr>
                <w:rFonts w:ascii="Arial" w:hAnsi="Arial" w:cs="Arial"/>
                <w:sz w:val="13"/>
                <w:szCs w:val="13"/>
              </w:rPr>
            </w:pPr>
            <w:r w:rsidRPr="00893B1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93B19" w:rsidRDefault="004B2E86" w:rsidP="00691D1D">
            <w:pPr>
              <w:jc w:val="center"/>
              <w:rPr>
                <w:rFonts w:ascii="Arial" w:hAnsi="Arial" w:cs="Arial"/>
                <w:sz w:val="13"/>
                <w:szCs w:val="13"/>
              </w:rPr>
            </w:pPr>
          </w:p>
        </w:tc>
      </w:tr>
    </w:tbl>
    <w:p w:rsidR="004B2E86" w:rsidRPr="00893B19"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893B19" w:rsidTr="00691D1D">
        <w:tc>
          <w:tcPr>
            <w:tcW w:w="1890" w:type="dxa"/>
            <w:tcBorders>
              <w:top w:val="nil"/>
              <w:left w:val="nil"/>
              <w:bottom w:val="nil"/>
              <w:right w:val="single" w:sz="4" w:space="0" w:color="000000" w:themeColor="text1"/>
            </w:tcBorders>
            <w:vAlign w:val="center"/>
            <w:hideMark/>
          </w:tcPr>
          <w:p w:rsidR="004B2E86" w:rsidRPr="00893B19" w:rsidRDefault="004B2E86" w:rsidP="00691D1D">
            <w:pPr>
              <w:rPr>
                <w:rFonts w:ascii="Arial" w:hAnsi="Arial" w:cs="Arial"/>
                <w:b/>
                <w:sz w:val="14"/>
                <w:szCs w:val="14"/>
              </w:rPr>
            </w:pPr>
            <w:r w:rsidRPr="00893B19">
              <w:rPr>
                <w:rFonts w:ascii="Arial" w:hAnsi="Arial" w:cs="Arial"/>
                <w:b/>
                <w:sz w:val="14"/>
                <w:szCs w:val="14"/>
              </w:rPr>
              <w:t>Sitting of the Court /</w:t>
            </w:r>
          </w:p>
          <w:p w:rsidR="004B2E86" w:rsidRPr="00893B19" w:rsidRDefault="004B2E86" w:rsidP="00691D1D">
            <w:pPr>
              <w:rPr>
                <w:rFonts w:ascii="Arial" w:hAnsi="Arial" w:cs="Arial"/>
                <w:b/>
                <w:sz w:val="14"/>
                <w:szCs w:val="14"/>
              </w:rPr>
            </w:pPr>
            <w:r w:rsidRPr="00893B19">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893B19"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893B19" w:rsidRDefault="004B2E86" w:rsidP="00691D1D">
            <w:pPr>
              <w:tabs>
                <w:tab w:val="left" w:pos="203"/>
              </w:tabs>
              <w:spacing w:after="120"/>
              <w:rPr>
                <w:rFonts w:ascii="Arial" w:hAnsi="Arial" w:cs="Arial"/>
                <w:b/>
                <w:sz w:val="14"/>
                <w:szCs w:val="14"/>
                <w:lang w:val="fr-CA"/>
              </w:rPr>
            </w:pPr>
            <w:r w:rsidRPr="00893B19">
              <w:rPr>
                <w:rFonts w:ascii="Arial" w:hAnsi="Arial" w:cs="Arial"/>
                <w:b/>
                <w:sz w:val="14"/>
                <w:szCs w:val="14"/>
                <w:lang w:val="fr-CA"/>
              </w:rPr>
              <w:t>18</w:t>
            </w:r>
            <w:r w:rsidRPr="00893B19">
              <w:rPr>
                <w:rFonts w:ascii="Arial" w:hAnsi="Arial" w:cs="Arial"/>
                <w:b/>
                <w:sz w:val="14"/>
                <w:szCs w:val="14"/>
                <w:lang w:val="fr-CA"/>
              </w:rPr>
              <w:tab/>
              <w:t xml:space="preserve"> sitting weeks / semaines séances de la Cour</w:t>
            </w:r>
          </w:p>
          <w:p w:rsidR="004B2E86" w:rsidRPr="00893B19" w:rsidRDefault="004B2E86" w:rsidP="00691D1D">
            <w:pPr>
              <w:tabs>
                <w:tab w:val="left" w:pos="203"/>
              </w:tabs>
              <w:rPr>
                <w:rFonts w:ascii="Arial" w:hAnsi="Arial" w:cs="Arial"/>
                <w:b/>
                <w:sz w:val="14"/>
                <w:szCs w:val="14"/>
                <w:lang w:val="fr-CA"/>
              </w:rPr>
            </w:pPr>
            <w:r w:rsidRPr="00893B19">
              <w:rPr>
                <w:rFonts w:ascii="Arial" w:hAnsi="Arial" w:cs="Arial"/>
                <w:b/>
                <w:sz w:val="14"/>
                <w:szCs w:val="14"/>
                <w:lang w:val="fr-CA"/>
              </w:rPr>
              <w:t>86</w:t>
            </w:r>
            <w:r w:rsidRPr="00893B19">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893B19" w:rsidRDefault="004B2E86" w:rsidP="00691D1D">
            <w:pPr>
              <w:spacing w:after="120"/>
              <w:rPr>
                <w:rFonts w:ascii="Arial" w:hAnsi="Arial" w:cs="Arial"/>
                <w:b/>
                <w:sz w:val="14"/>
                <w:szCs w:val="14"/>
                <w:lang w:val="fr-FR"/>
              </w:rPr>
            </w:pPr>
            <w:r w:rsidRPr="00893B19">
              <w:rPr>
                <w:rFonts w:ascii="Arial" w:hAnsi="Arial" w:cs="Arial"/>
                <w:b/>
                <w:sz w:val="14"/>
                <w:szCs w:val="14"/>
                <w:lang w:val="fr-FR"/>
              </w:rPr>
              <w:t>Rosh Hashanah / Nouvel An juif</w:t>
            </w:r>
          </w:p>
          <w:p w:rsidR="004B2E86" w:rsidRPr="00893B19" w:rsidRDefault="004B2E86" w:rsidP="00691D1D">
            <w:pPr>
              <w:spacing w:after="120"/>
              <w:rPr>
                <w:rFonts w:ascii="Arial" w:hAnsi="Arial" w:cs="Arial"/>
                <w:b/>
                <w:sz w:val="14"/>
                <w:szCs w:val="14"/>
                <w:lang w:val="fr-CA"/>
              </w:rPr>
            </w:pPr>
            <w:r w:rsidRPr="00893B19">
              <w:rPr>
                <w:rFonts w:ascii="Arial" w:hAnsi="Arial" w:cs="Arial"/>
                <w:b/>
                <w:sz w:val="14"/>
                <w:szCs w:val="14"/>
                <w:lang w:val="fr-FR"/>
              </w:rPr>
              <w:t>Yom Kippur / Yom Kippour</w:t>
            </w:r>
          </w:p>
        </w:tc>
        <w:tc>
          <w:tcPr>
            <w:tcW w:w="567" w:type="dxa"/>
            <w:hideMark/>
          </w:tcPr>
          <w:p w:rsidR="004B2E86" w:rsidRPr="00893B19" w:rsidRDefault="004B2E86" w:rsidP="00691D1D">
            <w:pPr>
              <w:spacing w:after="120"/>
              <w:jc w:val="center"/>
              <w:rPr>
                <w:rFonts w:ascii="Arial" w:hAnsi="Arial" w:cs="Arial"/>
                <w:b/>
                <w:sz w:val="14"/>
                <w:szCs w:val="14"/>
                <w:lang w:val="fr-CA"/>
              </w:rPr>
            </w:pPr>
            <w:r w:rsidRPr="00893B19">
              <w:rPr>
                <w:rFonts w:ascii="Arial" w:hAnsi="Arial" w:cs="Arial"/>
                <w:b/>
                <w:sz w:val="14"/>
                <w:szCs w:val="14"/>
                <w:lang w:val="fr-CA"/>
              </w:rPr>
              <w:t>RH</w:t>
            </w:r>
          </w:p>
          <w:p w:rsidR="004B2E86" w:rsidRPr="00893B19" w:rsidRDefault="004B2E86" w:rsidP="00691D1D">
            <w:pPr>
              <w:jc w:val="center"/>
              <w:rPr>
                <w:rFonts w:ascii="Arial" w:hAnsi="Arial" w:cs="Arial"/>
                <w:b/>
                <w:sz w:val="14"/>
                <w:szCs w:val="14"/>
                <w:lang w:val="fr-CA"/>
              </w:rPr>
            </w:pPr>
            <w:r w:rsidRPr="00893B19">
              <w:rPr>
                <w:rFonts w:ascii="Arial" w:hAnsi="Arial" w:cs="Arial"/>
                <w:b/>
                <w:sz w:val="14"/>
                <w:szCs w:val="14"/>
                <w:lang w:val="fr-CA"/>
              </w:rPr>
              <w:t>YK</w:t>
            </w:r>
          </w:p>
        </w:tc>
      </w:tr>
      <w:tr w:rsidR="004B2E86" w:rsidRPr="00893B19" w:rsidTr="00691D1D">
        <w:tc>
          <w:tcPr>
            <w:tcW w:w="1890" w:type="dxa"/>
            <w:tcBorders>
              <w:top w:val="nil"/>
              <w:left w:val="nil"/>
              <w:bottom w:val="nil"/>
              <w:right w:val="double" w:sz="4" w:space="0" w:color="auto"/>
            </w:tcBorders>
            <w:vAlign w:val="center"/>
            <w:hideMark/>
          </w:tcPr>
          <w:p w:rsidR="004B2E86" w:rsidRPr="00893B19" w:rsidRDefault="004B2E86" w:rsidP="00691D1D">
            <w:pPr>
              <w:spacing w:before="60"/>
              <w:rPr>
                <w:rFonts w:ascii="Arial" w:hAnsi="Arial" w:cs="Arial"/>
                <w:b/>
                <w:sz w:val="14"/>
                <w:szCs w:val="14"/>
                <w:lang w:val="fr-CA"/>
              </w:rPr>
            </w:pPr>
            <w:r w:rsidRPr="00893B19">
              <w:rPr>
                <w:rFonts w:ascii="Arial" w:hAnsi="Arial" w:cs="Arial"/>
                <w:b/>
                <w:sz w:val="14"/>
                <w:szCs w:val="14"/>
                <w:lang w:val="fr-CA"/>
              </w:rPr>
              <w:t>Court conference /</w:t>
            </w:r>
          </w:p>
          <w:p w:rsidR="004B2E86" w:rsidRPr="00893B19" w:rsidRDefault="004B2E86" w:rsidP="00691D1D">
            <w:pPr>
              <w:rPr>
                <w:rFonts w:ascii="Arial" w:hAnsi="Arial" w:cs="Arial"/>
                <w:b/>
                <w:sz w:val="14"/>
                <w:szCs w:val="14"/>
                <w:lang w:val="fr-CA"/>
              </w:rPr>
            </w:pPr>
            <w:r w:rsidRPr="00893B19">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893B19" w:rsidRDefault="004B2E86" w:rsidP="00691D1D">
            <w:pPr>
              <w:jc w:val="center"/>
              <w:rPr>
                <w:rFonts w:ascii="Arial" w:hAnsi="Arial" w:cs="Arial"/>
                <w:b/>
                <w:sz w:val="14"/>
                <w:szCs w:val="14"/>
                <w:lang w:val="fr-FR"/>
              </w:rPr>
            </w:pPr>
            <w:r w:rsidRPr="00893B19">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893B19" w:rsidRDefault="004B2E86" w:rsidP="00691D1D">
            <w:pPr>
              <w:tabs>
                <w:tab w:val="left" w:pos="203"/>
              </w:tabs>
              <w:spacing w:before="120"/>
              <w:rPr>
                <w:rFonts w:ascii="Arial" w:hAnsi="Arial" w:cs="Arial"/>
                <w:b/>
                <w:sz w:val="14"/>
                <w:szCs w:val="14"/>
                <w:lang w:val="fr-CA"/>
              </w:rPr>
            </w:pPr>
            <w:r w:rsidRPr="00893B19">
              <w:rPr>
                <w:rFonts w:ascii="Arial" w:hAnsi="Arial" w:cs="Arial"/>
                <w:b/>
                <w:sz w:val="14"/>
                <w:szCs w:val="14"/>
                <w:lang w:val="fr-CA"/>
              </w:rPr>
              <w:t>9</w:t>
            </w:r>
            <w:r w:rsidRPr="00893B19">
              <w:rPr>
                <w:rFonts w:ascii="Arial" w:hAnsi="Arial" w:cs="Arial"/>
                <w:b/>
                <w:sz w:val="14"/>
                <w:szCs w:val="14"/>
                <w:lang w:val="fr-CA"/>
              </w:rPr>
              <w:tab/>
              <w:t>Court conference days /</w:t>
            </w:r>
          </w:p>
          <w:p w:rsidR="004B2E86" w:rsidRPr="00893B19" w:rsidRDefault="004B2E86" w:rsidP="00691D1D">
            <w:pPr>
              <w:tabs>
                <w:tab w:val="left" w:pos="203"/>
              </w:tabs>
              <w:rPr>
                <w:rFonts w:ascii="Arial" w:hAnsi="Arial" w:cs="Arial"/>
                <w:b/>
                <w:sz w:val="14"/>
                <w:szCs w:val="14"/>
                <w:lang w:val="fr-CA"/>
              </w:rPr>
            </w:pPr>
            <w:r w:rsidRPr="00893B19">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893B19" w:rsidRDefault="004B2E86" w:rsidP="00691D1D">
            <w:pPr>
              <w:rPr>
                <w:rFonts w:ascii="Arial" w:hAnsi="Arial" w:cs="Arial"/>
                <w:b/>
                <w:sz w:val="14"/>
                <w:szCs w:val="14"/>
                <w:lang w:val="en-US"/>
              </w:rPr>
            </w:pPr>
            <w:r w:rsidRPr="00893B19">
              <w:rPr>
                <w:rFonts w:ascii="Arial" w:hAnsi="Arial" w:cs="Arial"/>
                <w:b/>
                <w:sz w:val="14"/>
                <w:szCs w:val="14"/>
                <w:lang w:val="en-US"/>
              </w:rPr>
              <w:t>Greek Orthodox Easter / Pâques orthodoxe grecque</w:t>
            </w:r>
          </w:p>
        </w:tc>
        <w:tc>
          <w:tcPr>
            <w:tcW w:w="567" w:type="dxa"/>
            <w:hideMark/>
          </w:tcPr>
          <w:p w:rsidR="004B2E86" w:rsidRPr="00893B19" w:rsidRDefault="004B2E86" w:rsidP="00691D1D">
            <w:pPr>
              <w:jc w:val="center"/>
              <w:rPr>
                <w:rFonts w:ascii="Arial" w:hAnsi="Arial" w:cs="Arial"/>
                <w:b/>
                <w:sz w:val="14"/>
                <w:szCs w:val="14"/>
                <w:lang w:val="en-US"/>
              </w:rPr>
            </w:pPr>
            <w:r w:rsidRPr="00893B19">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893B19" w:rsidRDefault="004B2E86" w:rsidP="00691D1D">
            <w:pPr>
              <w:rPr>
                <w:rFonts w:ascii="Arial" w:hAnsi="Arial" w:cs="Arial"/>
                <w:b/>
                <w:sz w:val="14"/>
                <w:szCs w:val="14"/>
              </w:rPr>
            </w:pPr>
            <w:r w:rsidRPr="00893B19">
              <w:rPr>
                <w:rFonts w:ascii="Arial" w:hAnsi="Arial" w:cs="Arial"/>
                <w:b/>
                <w:sz w:val="14"/>
                <w:szCs w:val="14"/>
              </w:rPr>
              <w:t xml:space="preserve">Holiday / </w:t>
            </w:r>
            <w:r w:rsidRPr="00893B19">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893B19" w:rsidRDefault="004B2E86" w:rsidP="00691D1D">
            <w:pPr>
              <w:jc w:val="center"/>
              <w:rPr>
                <w:rFonts w:ascii="Arial" w:hAnsi="Arial" w:cs="Arial"/>
                <w:b/>
                <w:sz w:val="14"/>
                <w:szCs w:val="14"/>
              </w:rPr>
            </w:pPr>
            <w:r w:rsidRPr="00893B19">
              <w:rPr>
                <w:rFonts w:ascii="Arial" w:hAnsi="Arial" w:cs="Arial"/>
                <w:b/>
                <w:sz w:val="14"/>
                <w:szCs w:val="14"/>
              </w:rPr>
              <w:t>H</w:t>
            </w:r>
          </w:p>
        </w:tc>
        <w:tc>
          <w:tcPr>
            <w:tcW w:w="3524" w:type="dxa"/>
            <w:tcBorders>
              <w:top w:val="nil"/>
              <w:left w:val="double" w:sz="4" w:space="0" w:color="auto"/>
              <w:bottom w:val="nil"/>
              <w:right w:val="nil"/>
            </w:tcBorders>
            <w:hideMark/>
          </w:tcPr>
          <w:p w:rsidR="004B2E86" w:rsidRPr="00893B19" w:rsidRDefault="004B2E86" w:rsidP="00691D1D">
            <w:pPr>
              <w:tabs>
                <w:tab w:val="left" w:pos="203"/>
              </w:tabs>
              <w:spacing w:before="120"/>
              <w:rPr>
                <w:rFonts w:ascii="Arial" w:hAnsi="Arial" w:cs="Arial"/>
                <w:b/>
                <w:sz w:val="14"/>
                <w:szCs w:val="14"/>
              </w:rPr>
            </w:pPr>
            <w:r w:rsidRPr="00893B19">
              <w:rPr>
                <w:rFonts w:ascii="Arial" w:hAnsi="Arial" w:cs="Arial"/>
                <w:b/>
                <w:sz w:val="14"/>
                <w:szCs w:val="14"/>
              </w:rPr>
              <w:t>4</w:t>
            </w:r>
            <w:r w:rsidRPr="00893B19">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893B19">
              <w:rPr>
                <w:rFonts w:ascii="Arial" w:hAnsi="Arial" w:cs="Arial"/>
                <w:b/>
                <w:sz w:val="14"/>
                <w:szCs w:val="14"/>
              </w:rPr>
              <w:tab/>
            </w:r>
            <w:r w:rsidRPr="00893B19">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83"/>
      <w:footerReference w:type="default" r:id="rId8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D2" w:rsidRDefault="006732D2" w:rsidP="00A87207">
      <w:r>
        <w:separator/>
      </w:r>
    </w:p>
  </w:endnote>
  <w:endnote w:type="continuationSeparator" w:id="0">
    <w:p w:rsidR="006732D2" w:rsidRDefault="006732D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867539" w:rsidP="00A87207">
    <w:pPr>
      <w:pStyle w:val="Footer"/>
    </w:pPr>
    <w:r>
      <w:pict>
        <v:rect id="_x0000_i1042" style="width:480.95pt;height:1pt" o:hralign="center" o:hrstd="t" o:hrnoshade="t" o:hr="t" fillcolor="black [3213]" stroked="f"/>
      </w:pict>
    </w:r>
  </w:p>
  <w:p w:rsidR="006732D2" w:rsidRPr="00B7374B" w:rsidRDefault="006732D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67539">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86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6732D2" w:rsidRDefault="006732D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867539">
    <w:pPr>
      <w:pStyle w:val="Footer"/>
      <w:rPr>
        <w:lang w:val="fr-CA"/>
      </w:rPr>
    </w:pPr>
    <w:r>
      <w:rPr>
        <w:lang w:val="fr-CA"/>
      </w:rPr>
      <w:pict>
        <v:rect id="_x0000_i1068" style="width:480.95pt;height:1pt" o:hralign="center" o:hrstd="t" o:hrnoshade="t" o:hr="t" fillcolor="black [3213]" stroked="f"/>
      </w:pict>
    </w:r>
  </w:p>
  <w:p w:rsidR="006732D2" w:rsidRDefault="006732D2" w:rsidP="00EB2B90">
    <w:pPr>
      <w:tabs>
        <w:tab w:val="center" w:pos="4680"/>
      </w:tabs>
    </w:pPr>
    <w:r>
      <w:tab/>
      <w:t xml:space="preserve">- </w:t>
    </w:r>
    <w:r>
      <w:fldChar w:fldCharType="begin"/>
    </w:r>
    <w:r>
      <w:instrText xml:space="preserve"> PAGE   \* MERGEFORMAT </w:instrText>
    </w:r>
    <w:r>
      <w:fldChar w:fldCharType="separate"/>
    </w:r>
    <w:r w:rsidR="00867539">
      <w:rPr>
        <w:noProof/>
      </w:rPr>
      <w:t>24</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732D2" w:rsidRDefault="006732D2">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732D2" w:rsidRDefault="0086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1" style="width:480.95pt;height:1pt" o:hralign="center" o:hrstd="t" o:hrnoshade="t" o:hr="t" fillcolor="black [3213]" stroked="f"/>
      </w:pict>
    </w:r>
  </w:p>
  <w:p w:rsidR="006732D2" w:rsidRDefault="006732D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867539" w:rsidP="00782AE4">
    <w:pPr>
      <w:tabs>
        <w:tab w:val="center" w:pos="4680"/>
      </w:tabs>
    </w:pPr>
    <w:r>
      <w:pict>
        <v:rect id="_x0000_i1072" style="width:480.95pt;height:1pt" o:hralign="center" o:hrstd="t" o:hrnoshade="t" o:hr="t" fillcolor="black [3213]" stroked="f"/>
      </w:pict>
    </w:r>
  </w:p>
  <w:p w:rsidR="006732D2" w:rsidRDefault="006732D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67539">
      <w:rPr>
        <w:noProof/>
        <w:szCs w:val="24"/>
      </w:rPr>
      <w:t>25</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6732D2" w:rsidRDefault="006732D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6732D2" w:rsidRDefault="006732D2">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867539" w:rsidP="0022323B">
    <w:r>
      <w:pict>
        <v:rect id="_x0000_i1081" style="width:480.95pt;height:1pt" o:hralign="center" o:hrstd="t" o:hrnoshade="t" o:hr="t" fillcolor="black [3213]" stroked="f"/>
      </w:pict>
    </w:r>
  </w:p>
  <w:p w:rsidR="006732D2" w:rsidRDefault="006732D2">
    <w:pPr>
      <w:tabs>
        <w:tab w:val="center" w:pos="4740"/>
      </w:tabs>
      <w:spacing w:line="0" w:lineRule="atLeast"/>
    </w:pPr>
    <w:r>
      <w:tab/>
      <w:t xml:space="preserve">- </w:t>
    </w:r>
    <w:r>
      <w:fldChar w:fldCharType="begin"/>
    </w:r>
    <w:r>
      <w:instrText xml:space="preserve"> PAGE   \* MERGEFORMAT </w:instrText>
    </w:r>
    <w:r>
      <w:fldChar w:fldCharType="separate"/>
    </w:r>
    <w:r w:rsidR="00867539">
      <w:rPr>
        <w:noProof/>
      </w:rPr>
      <w:t>31</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867539" w:rsidP="0022323B">
    <w:r>
      <w:pict>
        <v:rect id="_x0000_i1082" style="width:480.95pt;height:1pt" o:hralign="center" o:hrstd="t" o:hrnoshade="t" o:hr="t" fillcolor="black [3213]" stroked="f"/>
      </w:pict>
    </w:r>
  </w:p>
  <w:p w:rsidR="006732D2" w:rsidRDefault="006732D2" w:rsidP="0022323B">
    <w:pPr>
      <w:tabs>
        <w:tab w:val="center" w:pos="4740"/>
      </w:tabs>
      <w:spacing w:line="0" w:lineRule="atLeast"/>
    </w:pPr>
    <w:r>
      <w:tab/>
      <w:t xml:space="preserve">- </w:t>
    </w:r>
    <w:r>
      <w:fldChar w:fldCharType="begin"/>
    </w:r>
    <w:r>
      <w:instrText xml:space="preserve"> PAGE   \* MERGEFORMAT </w:instrText>
    </w:r>
    <w:r>
      <w:fldChar w:fldCharType="separate"/>
    </w:r>
    <w:r w:rsidR="00867539">
      <w:rPr>
        <w:noProof/>
      </w:rPr>
      <w:t>26</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Pr="00924065" w:rsidRDefault="006732D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867539" w:rsidP="00755F22">
    <w:pPr>
      <w:tabs>
        <w:tab w:val="left" w:pos="-1440"/>
        <w:tab w:val="left" w:pos="-720"/>
      </w:tabs>
    </w:pPr>
    <w:r>
      <w:pict>
        <v:rect id="_x0000_i1043" style="width:480.95pt;height:1pt" o:hralign="center" o:hrstd="t" o:hrnoshade="t" o:hr="t" fillcolor="black [3213]" stroked="f"/>
      </w:pict>
    </w:r>
  </w:p>
  <w:p w:rsidR="006732D2" w:rsidRPr="00954D22" w:rsidRDefault="006732D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67539">
      <w:rPr>
        <w:noProof/>
        <w:szCs w:val="24"/>
      </w:rPr>
      <w:t>1</w:t>
    </w:r>
    <w:r>
      <w:rPr>
        <w:szCs w:val="24"/>
      </w:rPr>
      <w:fldChar w:fldCharType="end"/>
    </w:r>
    <w:r w:rsidRPr="00954D22">
      <w:rPr>
        <w:szCs w:val="24"/>
      </w:rPr>
      <w:t xml:space="preserve"> -</w:t>
    </w:r>
  </w:p>
  <w:p w:rsidR="006732D2" w:rsidRDefault="00673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732D2" w:rsidRDefault="006732D2">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86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6732D2" w:rsidRPr="0009648D" w:rsidRDefault="006732D2" w:rsidP="00ED7E83">
    <w:pPr>
      <w:tabs>
        <w:tab w:val="center" w:pos="4680"/>
      </w:tabs>
    </w:pPr>
    <w:r>
      <w:tab/>
    </w:r>
    <w:r w:rsidRPr="0009648D">
      <w:t xml:space="preserve">- </w:t>
    </w:r>
    <w:r>
      <w:fldChar w:fldCharType="begin"/>
    </w:r>
    <w:r>
      <w:instrText xml:space="preserve"> PAGE   \* MERGEFORMAT </w:instrText>
    </w:r>
    <w:r>
      <w:fldChar w:fldCharType="separate"/>
    </w:r>
    <w:r w:rsidR="00867539">
      <w:rPr>
        <w:noProof/>
      </w:rPr>
      <w:t>20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867539">
    <w:pPr>
      <w:pStyle w:val="Footer"/>
      <w:rPr>
        <w:lang w:val="fr-CA"/>
      </w:rPr>
    </w:pPr>
    <w:r>
      <w:rPr>
        <w:lang w:val="fr-CA"/>
      </w:rPr>
      <w:pict>
        <v:rect id="_x0000_i1061" style="width:480.95pt;height:1pt" o:hralign="center" o:hrstd="t" o:hrnoshade="t" o:hr="t" fillcolor="black [3213]" stroked="f"/>
      </w:pict>
    </w:r>
  </w:p>
  <w:p w:rsidR="006732D2" w:rsidRDefault="006732D2" w:rsidP="00245129">
    <w:pPr>
      <w:tabs>
        <w:tab w:val="center" w:pos="4680"/>
      </w:tabs>
    </w:pPr>
    <w:r>
      <w:tab/>
    </w:r>
    <w:r w:rsidRPr="0009648D">
      <w:t xml:space="preserve">- </w:t>
    </w:r>
    <w:r>
      <w:fldChar w:fldCharType="begin"/>
    </w:r>
    <w:r>
      <w:instrText xml:space="preserve"> PAGE   \* MERGEFORMAT </w:instrText>
    </w:r>
    <w:r>
      <w:fldChar w:fldCharType="separate"/>
    </w:r>
    <w:r w:rsidR="00867539">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732D2" w:rsidRDefault="006732D2">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867539" w:rsidP="00755F22">
    <w:pPr>
      <w:tabs>
        <w:tab w:val="left" w:pos="-1440"/>
        <w:tab w:val="left" w:pos="-720"/>
      </w:tabs>
    </w:pPr>
    <w:r>
      <w:pict>
        <v:rect id="_x0000_i1064" style="width:480.95pt;height:1pt" o:hralign="center" o:hrstd="t" o:hrnoshade="t" o:hr="t" fillcolor="black [3213]" stroked="f"/>
      </w:pict>
    </w:r>
  </w:p>
  <w:p w:rsidR="006732D2" w:rsidRDefault="006732D2" w:rsidP="00EB2B90">
    <w:pPr>
      <w:tabs>
        <w:tab w:val="center" w:pos="4680"/>
      </w:tabs>
    </w:pPr>
    <w:r>
      <w:tab/>
      <w:t xml:space="preserve">- </w:t>
    </w:r>
    <w:r>
      <w:fldChar w:fldCharType="begin"/>
    </w:r>
    <w:r>
      <w:instrText xml:space="preserve"> PAGE   \* MERGEFORMAT </w:instrText>
    </w:r>
    <w:r>
      <w:fldChar w:fldCharType="separate"/>
    </w:r>
    <w:r w:rsidR="00867539">
      <w:rPr>
        <w:noProof/>
      </w:rPr>
      <w:t>23</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867539" w:rsidP="00EB2B90">
    <w:pPr>
      <w:tabs>
        <w:tab w:val="center" w:pos="4680"/>
      </w:tabs>
    </w:pPr>
    <w:r>
      <w:pict>
        <v:rect id="_x0000_i1065" style="width:480.95pt;height:1pt" o:hralign="center" o:hrstd="t" o:hrnoshade="t" o:hr="t" fillcolor="black [3213]" stroked="f"/>
      </w:pict>
    </w:r>
  </w:p>
  <w:p w:rsidR="006732D2" w:rsidRPr="0031432F" w:rsidRDefault="006732D2" w:rsidP="00EB2B90">
    <w:pPr>
      <w:tabs>
        <w:tab w:val="center" w:pos="4680"/>
      </w:tabs>
    </w:pPr>
    <w:r>
      <w:tab/>
      <w:t xml:space="preserve">- </w:t>
    </w:r>
    <w:r>
      <w:fldChar w:fldCharType="begin"/>
    </w:r>
    <w:r>
      <w:instrText xml:space="preserve"> PAGE   \* MERGEFORMAT </w:instrText>
    </w:r>
    <w:r>
      <w:fldChar w:fldCharType="separate"/>
    </w:r>
    <w:r w:rsidR="00867539">
      <w:rPr>
        <w:noProof/>
      </w:rPr>
      <w:t>21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732D2" w:rsidRDefault="006732D2">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D2" w:rsidRDefault="006732D2" w:rsidP="00A87207">
      <w:r>
        <w:separator/>
      </w:r>
    </w:p>
  </w:footnote>
  <w:footnote w:type="continuationSeparator" w:id="0">
    <w:p w:rsidR="006732D2" w:rsidRDefault="006732D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732D2" w:rsidRPr="0044776A" w:rsidTr="00245129">
      <w:tc>
        <w:tcPr>
          <w:tcW w:w="4290" w:type="dxa"/>
          <w:tcMar>
            <w:left w:w="0" w:type="dxa"/>
            <w:right w:w="0" w:type="dxa"/>
          </w:tcMar>
        </w:tcPr>
        <w:p w:rsidR="006732D2" w:rsidRPr="00D31809" w:rsidRDefault="006732D2" w:rsidP="00D31809">
          <w:pPr>
            <w:keepNext/>
            <w:keepLines/>
            <w:rPr>
              <w:sz w:val="20"/>
              <w:szCs w:val="20"/>
              <w:lang w:val="en-US"/>
            </w:rPr>
          </w:pPr>
          <w:r w:rsidRPr="00D31809">
            <w:rPr>
              <w:sz w:val="20"/>
              <w:szCs w:val="20"/>
              <w:lang w:val="en-US"/>
            </w:rPr>
            <w:t>Applications for leave to appeal filed</w:t>
          </w:r>
        </w:p>
        <w:p w:rsidR="006732D2" w:rsidRPr="00D31809" w:rsidRDefault="006732D2" w:rsidP="00D31809">
          <w:pPr>
            <w:keepNext/>
            <w:keepLines/>
            <w:rPr>
              <w:sz w:val="20"/>
              <w:szCs w:val="20"/>
            </w:rPr>
          </w:pPr>
        </w:p>
      </w:tc>
      <w:tc>
        <w:tcPr>
          <w:tcW w:w="1200" w:type="dxa"/>
          <w:tcMar>
            <w:left w:w="0" w:type="dxa"/>
            <w:right w:w="0" w:type="dxa"/>
          </w:tcMar>
        </w:tcPr>
        <w:p w:rsidR="006732D2" w:rsidRPr="00D31809" w:rsidRDefault="006732D2" w:rsidP="002E2327">
          <w:pPr>
            <w:keepNext/>
            <w:keepLines/>
            <w:tabs>
              <w:tab w:val="left" w:pos="-1440"/>
              <w:tab w:val="left" w:pos="-720"/>
            </w:tabs>
            <w:jc w:val="center"/>
            <w:rPr>
              <w:sz w:val="20"/>
              <w:szCs w:val="20"/>
            </w:rPr>
          </w:pPr>
        </w:p>
      </w:tc>
      <w:tc>
        <w:tcPr>
          <w:tcW w:w="4320" w:type="dxa"/>
          <w:tcMar>
            <w:left w:w="0" w:type="dxa"/>
            <w:right w:w="0" w:type="dxa"/>
          </w:tcMar>
        </w:tcPr>
        <w:p w:rsidR="006732D2" w:rsidRPr="00D31809" w:rsidRDefault="006732D2" w:rsidP="002E2327">
          <w:pPr>
            <w:keepLines/>
            <w:rPr>
              <w:sz w:val="20"/>
              <w:szCs w:val="20"/>
              <w:lang w:val="fr-CA"/>
            </w:rPr>
          </w:pPr>
          <w:r w:rsidRPr="00D31809">
            <w:rPr>
              <w:sz w:val="20"/>
              <w:szCs w:val="20"/>
              <w:lang w:val="fr-CA"/>
            </w:rPr>
            <w:t>Demandes d’autorisation d’appel déposées</w:t>
          </w:r>
        </w:p>
      </w:tc>
    </w:tr>
  </w:tbl>
  <w:p w:rsidR="006732D2" w:rsidRDefault="006732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6732D2" w:rsidRPr="00867539" w:rsidTr="00245129">
      <w:tc>
        <w:tcPr>
          <w:tcW w:w="4200" w:type="dxa"/>
          <w:tcMar>
            <w:left w:w="0" w:type="dxa"/>
            <w:right w:w="0" w:type="dxa"/>
          </w:tcMar>
        </w:tcPr>
        <w:p w:rsidR="006732D2" w:rsidRPr="00F40249" w:rsidRDefault="006732D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732D2" w:rsidRDefault="006732D2" w:rsidP="00102926">
          <w:pPr>
            <w:keepNext/>
            <w:keepLines/>
            <w:tabs>
              <w:tab w:val="left" w:pos="-1440"/>
              <w:tab w:val="left" w:pos="-720"/>
            </w:tabs>
            <w:jc w:val="center"/>
            <w:rPr>
              <w:sz w:val="20"/>
              <w:szCs w:val="20"/>
            </w:rPr>
          </w:pPr>
        </w:p>
        <w:p w:rsidR="006732D2" w:rsidRDefault="006732D2" w:rsidP="00102926">
          <w:pPr>
            <w:keepNext/>
            <w:keepLines/>
            <w:tabs>
              <w:tab w:val="left" w:pos="-1440"/>
              <w:tab w:val="left" w:pos="-720"/>
            </w:tabs>
            <w:jc w:val="center"/>
            <w:rPr>
              <w:sz w:val="20"/>
              <w:szCs w:val="20"/>
            </w:rPr>
          </w:pPr>
        </w:p>
        <w:p w:rsidR="006732D2" w:rsidRPr="00F40249" w:rsidRDefault="006732D2" w:rsidP="00102926">
          <w:pPr>
            <w:keepNext/>
            <w:keepLines/>
            <w:tabs>
              <w:tab w:val="left" w:pos="-1440"/>
              <w:tab w:val="left" w:pos="-720"/>
            </w:tabs>
            <w:jc w:val="center"/>
            <w:rPr>
              <w:sz w:val="20"/>
              <w:szCs w:val="20"/>
            </w:rPr>
          </w:pPr>
        </w:p>
      </w:tc>
      <w:tc>
        <w:tcPr>
          <w:tcW w:w="4230" w:type="dxa"/>
          <w:tcMar>
            <w:left w:w="0" w:type="dxa"/>
            <w:right w:w="0" w:type="dxa"/>
          </w:tcMar>
        </w:tcPr>
        <w:p w:rsidR="006732D2" w:rsidRPr="00F40249" w:rsidRDefault="006732D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732D2" w:rsidRPr="00B01A03" w:rsidRDefault="006732D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732D2">
      <w:tc>
        <w:tcPr>
          <w:tcW w:w="4230" w:type="dxa"/>
          <w:tcMar>
            <w:left w:w="0" w:type="dxa"/>
            <w:right w:w="0" w:type="dxa"/>
          </w:tcMar>
        </w:tcPr>
        <w:p w:rsidR="006732D2"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732D2"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732D2"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732D2"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732D2"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732D2" w:rsidRDefault="006732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732D2" w:rsidRPr="00782AE4" w:rsidTr="00245129">
      <w:tc>
        <w:tcPr>
          <w:tcW w:w="4230" w:type="dxa"/>
          <w:tcMar>
            <w:left w:w="0" w:type="dxa"/>
            <w:right w:w="0" w:type="dxa"/>
          </w:tcMar>
        </w:tcPr>
        <w:p w:rsidR="006732D2" w:rsidRPr="00782AE4" w:rsidRDefault="006732D2" w:rsidP="00102926">
          <w:pPr>
            <w:keepNext/>
            <w:keepLines/>
            <w:tabs>
              <w:tab w:val="left" w:pos="-1440"/>
              <w:tab w:val="left" w:pos="-720"/>
            </w:tabs>
            <w:rPr>
              <w:sz w:val="20"/>
              <w:szCs w:val="20"/>
            </w:rPr>
          </w:pPr>
          <w:r w:rsidRPr="00782AE4">
            <w:rPr>
              <w:sz w:val="20"/>
              <w:szCs w:val="20"/>
            </w:rPr>
            <w:t xml:space="preserve">HEADNOTES OF RECENT </w:t>
          </w:r>
        </w:p>
        <w:p w:rsidR="006732D2" w:rsidRPr="00782AE4"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732D2" w:rsidRDefault="006732D2" w:rsidP="00102926">
          <w:pPr>
            <w:keepNext/>
            <w:keepLines/>
            <w:tabs>
              <w:tab w:val="left" w:pos="-1440"/>
              <w:tab w:val="left" w:pos="-720"/>
            </w:tabs>
            <w:jc w:val="center"/>
            <w:rPr>
              <w:sz w:val="20"/>
              <w:szCs w:val="20"/>
            </w:rPr>
          </w:pPr>
        </w:p>
        <w:p w:rsidR="006732D2" w:rsidRDefault="006732D2" w:rsidP="00102926">
          <w:pPr>
            <w:keepNext/>
            <w:keepLines/>
            <w:tabs>
              <w:tab w:val="left" w:pos="-1440"/>
              <w:tab w:val="left" w:pos="-720"/>
            </w:tabs>
            <w:jc w:val="center"/>
            <w:rPr>
              <w:sz w:val="20"/>
              <w:szCs w:val="20"/>
            </w:rPr>
          </w:pPr>
        </w:p>
        <w:p w:rsidR="006732D2" w:rsidRPr="00782AE4" w:rsidRDefault="006732D2" w:rsidP="00102926">
          <w:pPr>
            <w:keepNext/>
            <w:keepLines/>
            <w:tabs>
              <w:tab w:val="left" w:pos="-1440"/>
              <w:tab w:val="left" w:pos="-720"/>
            </w:tabs>
            <w:jc w:val="center"/>
            <w:rPr>
              <w:sz w:val="20"/>
              <w:szCs w:val="20"/>
            </w:rPr>
          </w:pPr>
        </w:p>
      </w:tc>
      <w:tc>
        <w:tcPr>
          <w:tcW w:w="4080" w:type="dxa"/>
          <w:tcMar>
            <w:left w:w="0" w:type="dxa"/>
            <w:right w:w="0" w:type="dxa"/>
          </w:tcMar>
        </w:tcPr>
        <w:p w:rsidR="006732D2" w:rsidRPr="00102926"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732D2" w:rsidRPr="00782AE4" w:rsidRDefault="006732D2" w:rsidP="00102926">
          <w:pPr>
            <w:keepLines/>
            <w:tabs>
              <w:tab w:val="left" w:pos="-1440"/>
              <w:tab w:val="left" w:pos="-720"/>
            </w:tabs>
            <w:rPr>
              <w:sz w:val="20"/>
              <w:szCs w:val="20"/>
            </w:rPr>
          </w:pPr>
          <w:r w:rsidRPr="00102926">
            <w:rPr>
              <w:sz w:val="20"/>
              <w:szCs w:val="20"/>
              <w:lang w:val="fr-CA"/>
            </w:rPr>
            <w:t>RÉCENTS</w:t>
          </w:r>
        </w:p>
      </w:tc>
    </w:tr>
  </w:tbl>
  <w:p w:rsidR="006732D2" w:rsidRDefault="006732D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732D2">
      <w:tc>
        <w:tcPr>
          <w:tcW w:w="4200" w:type="dxa"/>
          <w:tcMar>
            <w:left w:w="0" w:type="dxa"/>
            <w:right w:w="0" w:type="dxa"/>
          </w:tcMar>
        </w:tcPr>
        <w:p w:rsidR="006732D2" w:rsidRDefault="006732D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6732D2" w:rsidRDefault="006732D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6732D2" w:rsidRDefault="006732D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6732D2" w:rsidRDefault="006732D2">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6732D2" w:rsidRDefault="006732D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6732D2" w:rsidRDefault="006732D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732D2" w:rsidRPr="00867539" w:rsidTr="00245129">
      <w:tc>
        <w:tcPr>
          <w:tcW w:w="4200" w:type="dxa"/>
          <w:tcMar>
            <w:left w:w="0" w:type="dxa"/>
            <w:right w:w="0" w:type="dxa"/>
          </w:tcMar>
        </w:tcPr>
        <w:p w:rsidR="006732D2" w:rsidRPr="00102792" w:rsidRDefault="006732D2" w:rsidP="00FF1BBC">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J</w:t>
          </w:r>
          <w:r w:rsidR="00FF1BBC">
            <w:rPr>
              <w:szCs w:val="24"/>
            </w:rPr>
            <w:t>u</w:t>
          </w:r>
          <w:r>
            <w:rPr>
              <w:szCs w:val="24"/>
            </w:rPr>
            <w:t>n</w:t>
          </w:r>
          <w:r w:rsidR="00FF1BBC">
            <w:rPr>
              <w:szCs w:val="24"/>
            </w:rPr>
            <w:t>e</w:t>
          </w:r>
          <w:r w:rsidRPr="00102792">
            <w:rPr>
              <w:szCs w:val="24"/>
            </w:rPr>
            <w:t xml:space="preserve"> 20</w:t>
          </w:r>
          <w:r>
            <w:rPr>
              <w:szCs w:val="24"/>
            </w:rPr>
            <w:t>20</w:t>
          </w:r>
        </w:p>
      </w:tc>
      <w:tc>
        <w:tcPr>
          <w:tcW w:w="1200" w:type="dxa"/>
          <w:tcMar>
            <w:left w:w="0" w:type="dxa"/>
            <w:right w:w="0" w:type="dxa"/>
          </w:tcMar>
        </w:tcPr>
        <w:p w:rsidR="006732D2" w:rsidRDefault="006732D2" w:rsidP="00102792">
          <w:pPr>
            <w:keepNext/>
            <w:keepLines/>
            <w:jc w:val="center"/>
            <w:rPr>
              <w:szCs w:val="24"/>
            </w:rPr>
          </w:pPr>
        </w:p>
        <w:p w:rsidR="006732D2" w:rsidRPr="00102792" w:rsidRDefault="006732D2" w:rsidP="00102792">
          <w:pPr>
            <w:keepNext/>
            <w:keepLines/>
            <w:jc w:val="center"/>
            <w:rPr>
              <w:szCs w:val="24"/>
            </w:rPr>
          </w:pPr>
        </w:p>
        <w:p w:rsidR="006732D2" w:rsidRPr="00102792" w:rsidRDefault="006732D2" w:rsidP="00102792">
          <w:pPr>
            <w:keepNext/>
            <w:keepLines/>
            <w:jc w:val="center"/>
            <w:rPr>
              <w:szCs w:val="24"/>
            </w:rPr>
          </w:pPr>
        </w:p>
      </w:tc>
      <w:tc>
        <w:tcPr>
          <w:tcW w:w="4080" w:type="dxa"/>
          <w:tcMar>
            <w:left w:w="0" w:type="dxa"/>
            <w:right w:w="0" w:type="dxa"/>
          </w:tcMar>
        </w:tcPr>
        <w:p w:rsidR="006732D2" w:rsidRPr="00102792" w:rsidRDefault="006732D2" w:rsidP="00FF1BBC">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j</w:t>
          </w:r>
          <w:r w:rsidR="00FF1BBC">
            <w:rPr>
              <w:szCs w:val="24"/>
              <w:lang w:val="fr-CA"/>
            </w:rPr>
            <w:t>uin</w:t>
          </w:r>
          <w:r w:rsidRPr="00102792">
            <w:rPr>
              <w:szCs w:val="24"/>
              <w:lang w:val="fr-CA"/>
            </w:rPr>
            <w:t xml:space="preserve"> 20</w:t>
          </w:r>
          <w:r>
            <w:rPr>
              <w:szCs w:val="24"/>
              <w:lang w:val="fr-CA"/>
            </w:rPr>
            <w:t>20</w:t>
          </w:r>
        </w:p>
      </w:tc>
    </w:tr>
  </w:tbl>
  <w:p w:rsidR="006732D2" w:rsidRPr="00567602" w:rsidRDefault="006732D2"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732D2" w:rsidRPr="00867539">
      <w:tc>
        <w:tcPr>
          <w:tcW w:w="4200" w:type="dxa"/>
          <w:tcMar>
            <w:left w:w="0" w:type="dxa"/>
            <w:right w:w="0" w:type="dxa"/>
          </w:tcMar>
        </w:tcPr>
        <w:p w:rsidR="006732D2"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732D2"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732D2" w:rsidRDefault="006732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732D2" w:rsidRPr="00FF6BA5" w:rsidRDefault="006732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732D2" w:rsidRPr="00FF6BA5"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732D2" w:rsidRPr="00FF6BA5"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732D2" w:rsidRPr="00FF6BA5"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732D2" w:rsidRPr="00867539" w:rsidTr="00245129">
      <w:tc>
        <w:tcPr>
          <w:tcW w:w="4200" w:type="dxa"/>
          <w:tcMar>
            <w:left w:w="0" w:type="dxa"/>
            <w:right w:w="0" w:type="dxa"/>
          </w:tcMar>
        </w:tcPr>
        <w:p w:rsidR="006732D2" w:rsidRPr="00634F42" w:rsidRDefault="006732D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6732D2" w:rsidRPr="00755F22" w:rsidRDefault="006732D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732D2" w:rsidRPr="00755F22" w:rsidRDefault="006732D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732D2" w:rsidRPr="00755F22" w:rsidRDefault="006732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6732D2" w:rsidRPr="00FF6BA5" w:rsidRDefault="006732D2"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732D2">
      <w:tc>
        <w:tcPr>
          <w:tcW w:w="4230" w:type="dxa"/>
          <w:tcMar>
            <w:left w:w="0" w:type="dxa"/>
            <w:right w:w="0" w:type="dxa"/>
          </w:tcMar>
        </w:tcPr>
        <w:p w:rsidR="006732D2"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732D2" w:rsidRDefault="006732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732D2" w:rsidRDefault="006732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732D2">
      <w:trPr>
        <w:gridAfter w:val="2"/>
        <w:wAfter w:w="5250" w:type="dxa"/>
      </w:trPr>
      <w:tc>
        <w:tcPr>
          <w:tcW w:w="4230" w:type="dxa"/>
          <w:tcMar>
            <w:left w:w="0" w:type="dxa"/>
            <w:right w:w="0" w:type="dxa"/>
          </w:tcMar>
        </w:tcPr>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732D2"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732D2" w:rsidRPr="00755F22" w:rsidTr="00245129">
      <w:tc>
        <w:tcPr>
          <w:tcW w:w="4230" w:type="dxa"/>
          <w:tcMar>
            <w:left w:w="0" w:type="dxa"/>
            <w:right w:w="0" w:type="dxa"/>
          </w:tcMar>
        </w:tcPr>
        <w:p w:rsidR="006732D2" w:rsidRPr="00755F22" w:rsidRDefault="006732D2" w:rsidP="00831CA9">
          <w:pPr>
            <w:keepNext/>
            <w:keepLines/>
            <w:rPr>
              <w:sz w:val="20"/>
              <w:szCs w:val="20"/>
            </w:rPr>
          </w:pPr>
          <w:r w:rsidRPr="00755F22">
            <w:rPr>
              <w:sz w:val="20"/>
              <w:szCs w:val="20"/>
            </w:rPr>
            <w:t>Motions</w:t>
          </w:r>
        </w:p>
      </w:tc>
      <w:tc>
        <w:tcPr>
          <w:tcW w:w="1170" w:type="dxa"/>
          <w:tcMar>
            <w:left w:w="0" w:type="dxa"/>
            <w:right w:w="0" w:type="dxa"/>
          </w:tcMar>
        </w:tcPr>
        <w:p w:rsidR="006732D2" w:rsidRPr="00755F22" w:rsidRDefault="006732D2" w:rsidP="00831CA9">
          <w:pPr>
            <w:keepLines/>
            <w:jc w:val="center"/>
            <w:rPr>
              <w:sz w:val="20"/>
              <w:szCs w:val="20"/>
            </w:rPr>
          </w:pPr>
        </w:p>
        <w:p w:rsidR="006732D2" w:rsidRPr="00755F22" w:rsidRDefault="006732D2" w:rsidP="00831CA9">
          <w:pPr>
            <w:keepLines/>
            <w:tabs>
              <w:tab w:val="left" w:pos="-1440"/>
              <w:tab w:val="left" w:pos="-720"/>
            </w:tabs>
            <w:jc w:val="center"/>
            <w:rPr>
              <w:sz w:val="20"/>
              <w:szCs w:val="20"/>
            </w:rPr>
          </w:pPr>
        </w:p>
      </w:tc>
      <w:tc>
        <w:tcPr>
          <w:tcW w:w="4080" w:type="dxa"/>
          <w:tcMar>
            <w:left w:w="0" w:type="dxa"/>
            <w:right w:w="0" w:type="dxa"/>
          </w:tcMar>
        </w:tcPr>
        <w:p w:rsidR="006732D2" w:rsidRPr="00BA6468" w:rsidRDefault="006732D2" w:rsidP="00BA6468">
          <w:pPr>
            <w:keepLines/>
            <w:rPr>
              <w:sz w:val="20"/>
              <w:szCs w:val="20"/>
              <w:lang w:val="fr-CA"/>
            </w:rPr>
          </w:pPr>
          <w:r w:rsidRPr="00BA6468">
            <w:rPr>
              <w:sz w:val="20"/>
              <w:szCs w:val="20"/>
              <w:lang w:val="fr-CA"/>
            </w:rPr>
            <w:t>Requêtes</w:t>
          </w:r>
        </w:p>
      </w:tc>
    </w:tr>
  </w:tbl>
  <w:p w:rsidR="006732D2" w:rsidRDefault="006732D2"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D2" w:rsidRDefault="006732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732D2" w:rsidRPr="00867539">
      <w:tc>
        <w:tcPr>
          <w:tcW w:w="4200" w:type="dxa"/>
          <w:tcMar>
            <w:left w:w="0" w:type="dxa"/>
            <w:right w:w="0" w:type="dxa"/>
          </w:tcMar>
        </w:tcPr>
        <w:p w:rsidR="006732D2"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732D2" w:rsidRDefault="006732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732D2" w:rsidRPr="00B01A03" w:rsidRDefault="006732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732D2" w:rsidRPr="00B01A03"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732D2" w:rsidRPr="00B01A03" w:rsidRDefault="006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4C"/>
    <w:rsid w:val="00002704"/>
    <w:rsid w:val="00013222"/>
    <w:rsid w:val="00020DC3"/>
    <w:rsid w:val="0003223B"/>
    <w:rsid w:val="000327B2"/>
    <w:rsid w:val="00033A57"/>
    <w:rsid w:val="0004528B"/>
    <w:rsid w:val="00064FBA"/>
    <w:rsid w:val="000919AD"/>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0F34A6"/>
    <w:rsid w:val="00102792"/>
    <w:rsid w:val="00102926"/>
    <w:rsid w:val="0010587F"/>
    <w:rsid w:val="00111C6B"/>
    <w:rsid w:val="0012102B"/>
    <w:rsid w:val="00124D41"/>
    <w:rsid w:val="00125B8F"/>
    <w:rsid w:val="001300F2"/>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2E60"/>
    <w:rsid w:val="001F40DF"/>
    <w:rsid w:val="001F43F8"/>
    <w:rsid w:val="001F6B2D"/>
    <w:rsid w:val="002021A9"/>
    <w:rsid w:val="0020305E"/>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24C"/>
    <w:rsid w:val="0034657E"/>
    <w:rsid w:val="00351475"/>
    <w:rsid w:val="00355967"/>
    <w:rsid w:val="00382C47"/>
    <w:rsid w:val="00384384"/>
    <w:rsid w:val="003866AE"/>
    <w:rsid w:val="00393AB2"/>
    <w:rsid w:val="00394DB9"/>
    <w:rsid w:val="003B3977"/>
    <w:rsid w:val="003D49B1"/>
    <w:rsid w:val="003E1D4C"/>
    <w:rsid w:val="003E5F3E"/>
    <w:rsid w:val="00407C5D"/>
    <w:rsid w:val="0041245B"/>
    <w:rsid w:val="004137A0"/>
    <w:rsid w:val="00422D9A"/>
    <w:rsid w:val="004317DE"/>
    <w:rsid w:val="00432989"/>
    <w:rsid w:val="004342A0"/>
    <w:rsid w:val="00440E24"/>
    <w:rsid w:val="0044776A"/>
    <w:rsid w:val="00455B20"/>
    <w:rsid w:val="00460AFC"/>
    <w:rsid w:val="00462270"/>
    <w:rsid w:val="0047471F"/>
    <w:rsid w:val="004B195E"/>
    <w:rsid w:val="004B2E86"/>
    <w:rsid w:val="004B66B4"/>
    <w:rsid w:val="004B7F60"/>
    <w:rsid w:val="004C1AAC"/>
    <w:rsid w:val="004C1C35"/>
    <w:rsid w:val="004D4720"/>
    <w:rsid w:val="004E1E0A"/>
    <w:rsid w:val="004E44A7"/>
    <w:rsid w:val="004E5524"/>
    <w:rsid w:val="004E7281"/>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97CE0"/>
    <w:rsid w:val="005B2099"/>
    <w:rsid w:val="005B6826"/>
    <w:rsid w:val="005C6840"/>
    <w:rsid w:val="005F1ED8"/>
    <w:rsid w:val="005F263E"/>
    <w:rsid w:val="00600252"/>
    <w:rsid w:val="00612558"/>
    <w:rsid w:val="00612A40"/>
    <w:rsid w:val="0062714A"/>
    <w:rsid w:val="00634F42"/>
    <w:rsid w:val="00645947"/>
    <w:rsid w:val="00654A27"/>
    <w:rsid w:val="006615F4"/>
    <w:rsid w:val="006732D2"/>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70786"/>
    <w:rsid w:val="00772AFD"/>
    <w:rsid w:val="0077419E"/>
    <w:rsid w:val="007820CE"/>
    <w:rsid w:val="00782AE4"/>
    <w:rsid w:val="0079724F"/>
    <w:rsid w:val="007A344C"/>
    <w:rsid w:val="007A3EAE"/>
    <w:rsid w:val="007B09D6"/>
    <w:rsid w:val="007B4DFF"/>
    <w:rsid w:val="007C04FC"/>
    <w:rsid w:val="007C27F2"/>
    <w:rsid w:val="007C3D5F"/>
    <w:rsid w:val="007C3DB0"/>
    <w:rsid w:val="007C47C2"/>
    <w:rsid w:val="007D3E0F"/>
    <w:rsid w:val="007E4282"/>
    <w:rsid w:val="007F387B"/>
    <w:rsid w:val="00802863"/>
    <w:rsid w:val="008112A9"/>
    <w:rsid w:val="0081473A"/>
    <w:rsid w:val="00815B3C"/>
    <w:rsid w:val="0081610A"/>
    <w:rsid w:val="00822065"/>
    <w:rsid w:val="008277C4"/>
    <w:rsid w:val="0082783A"/>
    <w:rsid w:val="00831CA9"/>
    <w:rsid w:val="00842B6B"/>
    <w:rsid w:val="00844E40"/>
    <w:rsid w:val="00845C2A"/>
    <w:rsid w:val="008474A3"/>
    <w:rsid w:val="00850E1F"/>
    <w:rsid w:val="0085476B"/>
    <w:rsid w:val="0086340B"/>
    <w:rsid w:val="00867539"/>
    <w:rsid w:val="00877592"/>
    <w:rsid w:val="008859F1"/>
    <w:rsid w:val="008902B1"/>
    <w:rsid w:val="00890FEB"/>
    <w:rsid w:val="00893449"/>
    <w:rsid w:val="00893B19"/>
    <w:rsid w:val="00895E7E"/>
    <w:rsid w:val="008961FD"/>
    <w:rsid w:val="008A5C1A"/>
    <w:rsid w:val="008C2318"/>
    <w:rsid w:val="008D085E"/>
    <w:rsid w:val="008D292F"/>
    <w:rsid w:val="008D33A6"/>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B6684"/>
    <w:rsid w:val="009C4E23"/>
    <w:rsid w:val="009D1F15"/>
    <w:rsid w:val="009D555E"/>
    <w:rsid w:val="009F3024"/>
    <w:rsid w:val="009F39BA"/>
    <w:rsid w:val="00A02DC2"/>
    <w:rsid w:val="00A0355E"/>
    <w:rsid w:val="00A14B2D"/>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6C1E"/>
    <w:rsid w:val="00AC3CBD"/>
    <w:rsid w:val="00AD1D34"/>
    <w:rsid w:val="00AD3259"/>
    <w:rsid w:val="00AE043C"/>
    <w:rsid w:val="00AF1715"/>
    <w:rsid w:val="00AF3904"/>
    <w:rsid w:val="00AF6105"/>
    <w:rsid w:val="00B00A0B"/>
    <w:rsid w:val="00B010C0"/>
    <w:rsid w:val="00B15CBE"/>
    <w:rsid w:val="00B40FD9"/>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BF4E60"/>
    <w:rsid w:val="00C01FCB"/>
    <w:rsid w:val="00C1697B"/>
    <w:rsid w:val="00C21644"/>
    <w:rsid w:val="00C21CB5"/>
    <w:rsid w:val="00C257CD"/>
    <w:rsid w:val="00C27015"/>
    <w:rsid w:val="00C406CA"/>
    <w:rsid w:val="00C45721"/>
    <w:rsid w:val="00C46376"/>
    <w:rsid w:val="00C50A5C"/>
    <w:rsid w:val="00C50FDF"/>
    <w:rsid w:val="00C55621"/>
    <w:rsid w:val="00C63381"/>
    <w:rsid w:val="00C73D06"/>
    <w:rsid w:val="00C73D76"/>
    <w:rsid w:val="00C73E1B"/>
    <w:rsid w:val="00C73EE8"/>
    <w:rsid w:val="00C7556C"/>
    <w:rsid w:val="00C759B4"/>
    <w:rsid w:val="00C77713"/>
    <w:rsid w:val="00C84B55"/>
    <w:rsid w:val="00C8528C"/>
    <w:rsid w:val="00C85BB7"/>
    <w:rsid w:val="00C86E0F"/>
    <w:rsid w:val="00CA2DEA"/>
    <w:rsid w:val="00CA678E"/>
    <w:rsid w:val="00CB3520"/>
    <w:rsid w:val="00CB43D5"/>
    <w:rsid w:val="00CC4D84"/>
    <w:rsid w:val="00CE198A"/>
    <w:rsid w:val="00CF08C8"/>
    <w:rsid w:val="00D004FC"/>
    <w:rsid w:val="00D22BC0"/>
    <w:rsid w:val="00D31809"/>
    <w:rsid w:val="00D6331A"/>
    <w:rsid w:val="00D64901"/>
    <w:rsid w:val="00D76BDF"/>
    <w:rsid w:val="00D818B6"/>
    <w:rsid w:val="00D82A57"/>
    <w:rsid w:val="00D82BFF"/>
    <w:rsid w:val="00D8443D"/>
    <w:rsid w:val="00D862C1"/>
    <w:rsid w:val="00D93A6C"/>
    <w:rsid w:val="00D93B50"/>
    <w:rsid w:val="00D94028"/>
    <w:rsid w:val="00D94670"/>
    <w:rsid w:val="00D94989"/>
    <w:rsid w:val="00DA1D48"/>
    <w:rsid w:val="00DA46F6"/>
    <w:rsid w:val="00DA756F"/>
    <w:rsid w:val="00DC0577"/>
    <w:rsid w:val="00DC6B2E"/>
    <w:rsid w:val="00DD0B49"/>
    <w:rsid w:val="00DD0BDC"/>
    <w:rsid w:val="00DE0502"/>
    <w:rsid w:val="00DE0E87"/>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285C"/>
    <w:rsid w:val="00F138C1"/>
    <w:rsid w:val="00F14E6D"/>
    <w:rsid w:val="00F15EA8"/>
    <w:rsid w:val="00F16063"/>
    <w:rsid w:val="00F16C8D"/>
    <w:rsid w:val="00F253CC"/>
    <w:rsid w:val="00F26C61"/>
    <w:rsid w:val="00F33CCE"/>
    <w:rsid w:val="00F40249"/>
    <w:rsid w:val="00F411D3"/>
    <w:rsid w:val="00F526C8"/>
    <w:rsid w:val="00F554B5"/>
    <w:rsid w:val="00F663FF"/>
    <w:rsid w:val="00F75954"/>
    <w:rsid w:val="00F761A3"/>
    <w:rsid w:val="00F9272D"/>
    <w:rsid w:val="00F9518C"/>
    <w:rsid w:val="00FA316E"/>
    <w:rsid w:val="00FA3373"/>
    <w:rsid w:val="00FA59EF"/>
    <w:rsid w:val="00FB19A2"/>
    <w:rsid w:val="00FB1DB6"/>
    <w:rsid w:val="00FB4A2E"/>
    <w:rsid w:val="00FD04FC"/>
    <w:rsid w:val="00FD053D"/>
    <w:rsid w:val="00FD5D63"/>
    <w:rsid w:val="00FF1BBC"/>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9B6684"/>
    <w:pPr>
      <w:jc w:val="both"/>
    </w:pPr>
    <w:rPr>
      <w:rFonts w:eastAsia="Calibri" w:cs="Times New Roman"/>
      <w:smallCaps/>
    </w:rPr>
  </w:style>
  <w:style w:type="character" w:customStyle="1" w:styleId="SCCBanSummaryChar">
    <w:name w:val="SCC.BanSummary Char"/>
    <w:basedOn w:val="DefaultParagraphFont"/>
    <w:link w:val="SCCBanSummary0"/>
    <w:rsid w:val="009B6684"/>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16299157">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19/2019qcca1870/2019qcca1870.html?autocompleteStr=2019%20QCCA%201870&amp;autocompletePos=1" TargetMode="External"/><Relationship Id="rId26" Type="http://schemas.openxmlformats.org/officeDocument/2006/relationships/hyperlink" Target="http://canlii.ca/t/j4630" TargetMode="External"/><Relationship Id="rId39" Type="http://schemas.openxmlformats.org/officeDocument/2006/relationships/hyperlink" Target="http://canlii.ca/t/hrj5b" TargetMode="External"/><Relationship Id="rId21" Type="http://schemas.openxmlformats.org/officeDocument/2006/relationships/hyperlink" Target="https://www.canlii.org/en/mb/mbca/doc/2018/2018mbca125/2018mbca125.html?autocompleteStr=2018%20MBCA%20125&amp;autocompletePos=1" TargetMode="External"/><Relationship Id="rId34" Type="http://schemas.openxmlformats.org/officeDocument/2006/relationships/hyperlink" Target="https://www.canlii.org/en/ab/abca/doc/2019/2019abca455/2019abca455.html?autocompleteStr=2019%20ABCA%20455&amp;autocompletePos=1" TargetMode="External"/><Relationship Id="rId42" Type="http://schemas.openxmlformats.org/officeDocument/2006/relationships/hyperlink" Target="https://www.canlii.org/fr/qc/qcca/doc/2019/2019qcca2144/2019qcca2144.html?resultIndex=1" TargetMode="External"/><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hyperlink" Target="https://decisions.scc-csc.ca/scc-csc/scc-csc/en/item/18383/index.do" TargetMode="External"/><Relationship Id="rId68" Type="http://schemas.openxmlformats.org/officeDocument/2006/relationships/header" Target="header13.xml"/><Relationship Id="rId76" Type="http://schemas.openxmlformats.org/officeDocument/2006/relationships/hyperlink" Target="http://www.scc-csc.ca/case-dossier/info/sum-som-eng.aspx?cas=38984" TargetMode="External"/><Relationship Id="rId84"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s://www.canlii.org/fr/qc/qcca/doc/2019/2019qcca1870/2019qcca1870.html?autocompleteStr=2019%20QCCA%201870&amp;autocompletePos=1" TargetMode="External"/><Relationship Id="rId29" Type="http://schemas.openxmlformats.org/officeDocument/2006/relationships/hyperlink" Target="https://www.canlii.org/fr/qc/qccs/doc/2019/2019qccs4082/2019qccs4082.html?autocompleteStr=2019%20qccs%204082&amp;autocompletePos=1" TargetMode="External"/><Relationship Id="rId11" Type="http://schemas.openxmlformats.org/officeDocument/2006/relationships/header" Target="header1.xml"/><Relationship Id="rId24" Type="http://schemas.openxmlformats.org/officeDocument/2006/relationships/hyperlink" Target="http://canlii.ca/t/j4630" TargetMode="External"/><Relationship Id="rId32" Type="http://schemas.openxmlformats.org/officeDocument/2006/relationships/hyperlink" Target="https://www.canlii.org/en/on/onca/doc/2019/2019onca972/2019onca972.html?searchUrlHash=AAAAAQANMjAxOSBPTkNBIDk3MgAAAAAB&amp;resultIndex=1" TargetMode="External"/><Relationship Id="rId37" Type="http://schemas.openxmlformats.org/officeDocument/2006/relationships/hyperlink" Target="http://canlii.ca/t/hrj5b" TargetMode="External"/><Relationship Id="rId40" Type="http://schemas.openxmlformats.org/officeDocument/2006/relationships/hyperlink" Target="http://canlii.ca/t/j3t1g" TargetMode="External"/><Relationship Id="rId45" Type="http://schemas.openxmlformats.org/officeDocument/2006/relationships/header" Target="header3.xml"/><Relationship Id="rId53" Type="http://schemas.openxmlformats.org/officeDocument/2006/relationships/footer" Target="footer6.xml"/><Relationship Id="rId58" Type="http://schemas.openxmlformats.org/officeDocument/2006/relationships/header" Target="header10.xml"/><Relationship Id="rId66" Type="http://schemas.openxmlformats.org/officeDocument/2006/relationships/hyperlink" Target="https://decisions.scc-csc.ca/scc-csc/scc-csc/fr/item/18383/index.do" TargetMode="External"/><Relationship Id="rId74" Type="http://schemas.openxmlformats.org/officeDocument/2006/relationships/hyperlink" Target="http://www.scc-csc.ca/case-dossier/info/sum-som-fra.aspx?cas=37984" TargetMode="External"/><Relationship Id="rId79"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eader" Target="header11.xml"/><Relationship Id="rId82" Type="http://schemas.openxmlformats.org/officeDocument/2006/relationships/footer" Target="footer17.xml"/><Relationship Id="rId19" Type="http://schemas.openxmlformats.org/officeDocument/2006/relationships/hyperlink" Target="https://www.canlii.org/en/mb/mbca/doc/2018/2018mbca125/2018mbca125.html?autocompleteStr=2018%20MBCA%20125&amp;autocompletePos=1"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mb/mbca/doc/2019/2019mbca122/2019mbca122.html?autocompleteStr=2019%20MBCA%20122&amp;autocompletePos=1" TargetMode="External"/><Relationship Id="rId27" Type="http://schemas.openxmlformats.org/officeDocument/2006/relationships/hyperlink" Target="https://www.canlii.org/fr/qc/qccs/doc/2019/2019qccs4082/2019qccs4082.html?autocompleteStr=2019%20qccs%204082&amp;autocompletePos=1" TargetMode="External"/><Relationship Id="rId30" Type="http://schemas.openxmlformats.org/officeDocument/2006/relationships/hyperlink" Target="https://www.canlii.org/fr/qc/qcca/doc/2019/2019qcca2073/2019qcca2073.html" TargetMode="External"/><Relationship Id="rId35" Type="http://schemas.openxmlformats.org/officeDocument/2006/relationships/hyperlink" Target="https://www.canlii.org/en/ab/abqb/doc/2017/2017abqb637/2017abqb637.html" TargetMode="External"/><Relationship Id="rId43" Type="http://schemas.openxmlformats.org/officeDocument/2006/relationships/hyperlink" Target="https://www.canlii.org/en/qc/qccs/doc/2018/2018qccs6122/2018qccs6122.html?resultIndex=4" TargetMode="External"/><Relationship Id="rId48" Type="http://schemas.openxmlformats.org/officeDocument/2006/relationships/footer" Target="footer4.xml"/><Relationship Id="rId56" Type="http://schemas.openxmlformats.org/officeDocument/2006/relationships/footer" Target="footer8.xml"/><Relationship Id="rId64" Type="http://schemas.openxmlformats.org/officeDocument/2006/relationships/hyperlink" Target="https://decisions.scc-csc.ca/scc-csc/scc-csc/fr/item/18383/index.do" TargetMode="External"/><Relationship Id="rId69" Type="http://schemas.openxmlformats.org/officeDocument/2006/relationships/footer" Target="footer12.xml"/><Relationship Id="rId77" Type="http://schemas.openxmlformats.org/officeDocument/2006/relationships/header" Target="header15.xml"/><Relationship Id="rId8" Type="http://schemas.openxmlformats.org/officeDocument/2006/relationships/image" Target="media/image1.wmf"/><Relationship Id="rId51" Type="http://schemas.openxmlformats.org/officeDocument/2006/relationships/header" Target="header6.xml"/><Relationship Id="rId72" Type="http://schemas.openxmlformats.org/officeDocument/2006/relationships/footer" Target="footer14.xml"/><Relationship Id="rId80" Type="http://schemas.openxmlformats.org/officeDocument/2006/relationships/footer" Target="footer16.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q/doc/2018/2018qccq19078/2018qccq19078.html?autocompleteStr=760-01-063239-120&amp;autocompletePos=1" TargetMode="External"/><Relationship Id="rId25" Type="http://schemas.openxmlformats.org/officeDocument/2006/relationships/hyperlink" Target="http://canlii.ca/t/hwfd1" TargetMode="External"/><Relationship Id="rId33" Type="http://schemas.openxmlformats.org/officeDocument/2006/relationships/hyperlink" Target="https://www.canlii.org/en/ab/abqb/doc/2017/2017abqb637/2017abqb637.html" TargetMode="External"/><Relationship Id="rId38" Type="http://schemas.openxmlformats.org/officeDocument/2006/relationships/hyperlink" Target="http://canlii.ca/t/j3t1g" TargetMode="External"/><Relationship Id="rId46" Type="http://schemas.openxmlformats.org/officeDocument/2006/relationships/header" Target="header4.xml"/><Relationship Id="rId59" Type="http://schemas.openxmlformats.org/officeDocument/2006/relationships/footer" Target="footer9.xml"/><Relationship Id="rId67" Type="http://schemas.openxmlformats.org/officeDocument/2006/relationships/header" Target="header12.xml"/><Relationship Id="rId20" Type="http://schemas.openxmlformats.org/officeDocument/2006/relationships/hyperlink" Target="https://www.canlii.org/en/mb/mbca/doc/2019/2019mbca122/2019mbca122.html?autocompleteStr=2019%20MBCA%20122&amp;autocompletePos=1" TargetMode="External"/><Relationship Id="rId41" Type="http://schemas.openxmlformats.org/officeDocument/2006/relationships/hyperlink" Target="https://www.canlii.org/en/qc/qccs/doc/2018/2018qccs6122/2018qccs6122.html?resultIndex=4" TargetMode="External"/><Relationship Id="rId54" Type="http://schemas.openxmlformats.org/officeDocument/2006/relationships/footer" Target="footer7.xml"/><Relationship Id="rId62" Type="http://schemas.openxmlformats.org/officeDocument/2006/relationships/footer" Target="footer11.xml"/><Relationship Id="rId70" Type="http://schemas.openxmlformats.org/officeDocument/2006/relationships/footer" Target="footer13.xml"/><Relationship Id="rId75" Type="http://schemas.openxmlformats.org/officeDocument/2006/relationships/hyperlink" Target="http://www.scc-csc.ca/case-dossier/info/sum-som-eng.aspx?cas=38903" TargetMode="External"/><Relationship Id="rId83"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q/doc/2018/2018qccq19078/2018qccq19078.html?autocompleteStr=760-01-063239-120&amp;autocompletePos=1" TargetMode="External"/><Relationship Id="rId23" Type="http://schemas.openxmlformats.org/officeDocument/2006/relationships/hyperlink" Target="http://canlii.ca/t/hwfd1" TargetMode="External"/><Relationship Id="rId28" Type="http://schemas.openxmlformats.org/officeDocument/2006/relationships/hyperlink" Target="https://www.canlii.org/fr/qc/qcca/doc/2019/2019qcca2073/2019qcca2073.html" TargetMode="External"/><Relationship Id="rId36" Type="http://schemas.openxmlformats.org/officeDocument/2006/relationships/hyperlink" Target="https://www.canlii.org/en/ab/abca/doc/2019/2019abca455/2019abca455.html?autocompleteStr=2019%20ABCA%20455&amp;autocompletePos=1" TargetMode="External"/><Relationship Id="rId49" Type="http://schemas.openxmlformats.org/officeDocument/2006/relationships/header" Target="header5.xml"/><Relationship Id="rId57" Type="http://schemas.openxmlformats.org/officeDocument/2006/relationships/header" Target="header9.xml"/><Relationship Id="rId10" Type="http://schemas.openxmlformats.org/officeDocument/2006/relationships/hyperlink" Target="https://www.scc-csc.ca" TargetMode="External"/><Relationship Id="rId31" Type="http://schemas.openxmlformats.org/officeDocument/2006/relationships/hyperlink" Target="https://www.canlii.org/en/on/onca/doc/2019/2019onca972/2019onca972.html?searchUrlHash=AAAAAQANMjAxOSBPTkNBIDk3MgAAAAAB&amp;resultIndex=1" TargetMode="External"/><Relationship Id="rId44" Type="http://schemas.openxmlformats.org/officeDocument/2006/relationships/hyperlink" Target="https://www.canlii.org/fr/qc/qcca/doc/2019/2019qcca2144/2019qcca2144.html?resultIndex=1" TargetMode="External"/><Relationship Id="rId52" Type="http://schemas.openxmlformats.org/officeDocument/2006/relationships/header" Target="header7.xml"/><Relationship Id="rId60" Type="http://schemas.openxmlformats.org/officeDocument/2006/relationships/footer" Target="footer10.xml"/><Relationship Id="rId65" Type="http://schemas.openxmlformats.org/officeDocument/2006/relationships/hyperlink" Target="https://decisions.scc-csc.ca/scc-csc/scc-csc/en/item/18383/index.do" TargetMode="External"/><Relationship Id="rId73" Type="http://schemas.openxmlformats.org/officeDocument/2006/relationships/hyperlink" Target="http://www.scc-csc.ca/case-dossier/info/sum-som-eng.aspx?cas=38741" TargetMode="External"/><Relationship Id="rId78" Type="http://schemas.openxmlformats.org/officeDocument/2006/relationships/header" Target="header16.xml"/><Relationship Id="rId81" Type="http://schemas.openxmlformats.org/officeDocument/2006/relationships/header" Target="header17.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7268C-79F7-4AE6-B124-1CC56395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34</Pages>
  <Words>14959</Words>
  <Characters>85272</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2020-05-20T12:17:00Z</dcterms:created>
  <dcterms:modified xsi:type="dcterms:W3CDTF">2020-06-03T17:31:00Z</dcterms:modified>
</cp:coreProperties>
</file>