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666964" w:rsidTr="00F138C1">
        <w:tc>
          <w:tcPr>
            <w:tcW w:w="9648" w:type="dxa"/>
            <w:gridSpan w:val="3"/>
          </w:tcPr>
          <w:p w:rsidR="00F138C1" w:rsidRPr="00666964" w:rsidRDefault="00F138C1" w:rsidP="00F138C1">
            <w:pPr>
              <w:tabs>
                <w:tab w:val="left" w:pos="6075"/>
              </w:tabs>
              <w:jc w:val="center"/>
              <w:rPr>
                <w:b/>
                <w:sz w:val="32"/>
                <w:szCs w:val="32"/>
                <w:lang w:val="fr-CA"/>
              </w:rPr>
            </w:pPr>
            <w:r w:rsidRPr="00666964">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666964" w:rsidTr="00F138C1">
        <w:tc>
          <w:tcPr>
            <w:tcW w:w="4599" w:type="dxa"/>
            <w:tcMar>
              <w:top w:w="284" w:type="dxa"/>
            </w:tcMar>
          </w:tcPr>
          <w:p w:rsidR="00F138C1" w:rsidRPr="00666964" w:rsidRDefault="00F138C1" w:rsidP="00F138C1">
            <w:pPr>
              <w:tabs>
                <w:tab w:val="left" w:pos="6075"/>
              </w:tabs>
              <w:jc w:val="center"/>
              <w:rPr>
                <w:b/>
                <w:sz w:val="32"/>
                <w:szCs w:val="32"/>
              </w:rPr>
            </w:pPr>
            <w:r w:rsidRPr="00666964">
              <w:rPr>
                <w:b/>
                <w:sz w:val="32"/>
                <w:szCs w:val="32"/>
              </w:rPr>
              <w:t>SUPREME COURT OF CANADA</w:t>
            </w:r>
          </w:p>
        </w:tc>
        <w:tc>
          <w:tcPr>
            <w:tcW w:w="483" w:type="dxa"/>
          </w:tcPr>
          <w:p w:rsidR="00F138C1" w:rsidRPr="00666964" w:rsidRDefault="00F138C1" w:rsidP="00F138C1">
            <w:pPr>
              <w:tabs>
                <w:tab w:val="left" w:pos="6075"/>
              </w:tabs>
              <w:jc w:val="center"/>
              <w:rPr>
                <w:sz w:val="32"/>
                <w:szCs w:val="32"/>
              </w:rPr>
            </w:pPr>
          </w:p>
        </w:tc>
        <w:tc>
          <w:tcPr>
            <w:tcW w:w="4566" w:type="dxa"/>
            <w:tcMar>
              <w:top w:w="284" w:type="dxa"/>
            </w:tcMar>
          </w:tcPr>
          <w:p w:rsidR="00F138C1" w:rsidRPr="00666964" w:rsidRDefault="00F138C1" w:rsidP="00F138C1">
            <w:pPr>
              <w:tabs>
                <w:tab w:val="left" w:pos="6075"/>
              </w:tabs>
              <w:jc w:val="center"/>
              <w:rPr>
                <w:b/>
                <w:sz w:val="32"/>
                <w:szCs w:val="32"/>
                <w:lang w:val="fr-CA"/>
              </w:rPr>
            </w:pPr>
            <w:r w:rsidRPr="00666964">
              <w:rPr>
                <w:b/>
                <w:sz w:val="32"/>
                <w:szCs w:val="32"/>
                <w:lang w:val="fr-CA"/>
              </w:rPr>
              <w:t>COUR SUPRÊME DU CANADA</w:t>
            </w:r>
          </w:p>
        </w:tc>
      </w:tr>
      <w:tr w:rsidR="00F138C1" w:rsidRPr="00666964" w:rsidTr="00F138C1">
        <w:tc>
          <w:tcPr>
            <w:tcW w:w="4599" w:type="dxa"/>
            <w:tcMar>
              <w:top w:w="567" w:type="dxa"/>
            </w:tcMar>
          </w:tcPr>
          <w:p w:rsidR="00F138C1" w:rsidRPr="00666964" w:rsidRDefault="00F138C1" w:rsidP="00F138C1">
            <w:pPr>
              <w:tabs>
                <w:tab w:val="left" w:pos="6075"/>
              </w:tabs>
              <w:jc w:val="center"/>
              <w:rPr>
                <w:sz w:val="28"/>
                <w:szCs w:val="28"/>
              </w:rPr>
            </w:pPr>
            <w:r w:rsidRPr="00666964">
              <w:rPr>
                <w:sz w:val="28"/>
                <w:szCs w:val="28"/>
              </w:rPr>
              <w:t>BULLETIN OF</w:t>
            </w:r>
            <w:r w:rsidRPr="00666964">
              <w:rPr>
                <w:sz w:val="28"/>
                <w:szCs w:val="28"/>
              </w:rPr>
              <w:br/>
              <w:t xml:space="preserve"> PROCEEDINGS</w:t>
            </w:r>
          </w:p>
        </w:tc>
        <w:tc>
          <w:tcPr>
            <w:tcW w:w="483" w:type="dxa"/>
          </w:tcPr>
          <w:p w:rsidR="00F138C1" w:rsidRPr="00666964" w:rsidRDefault="00F138C1" w:rsidP="00F138C1">
            <w:pPr>
              <w:tabs>
                <w:tab w:val="left" w:pos="6075"/>
              </w:tabs>
            </w:pPr>
          </w:p>
        </w:tc>
        <w:tc>
          <w:tcPr>
            <w:tcW w:w="4566" w:type="dxa"/>
            <w:tcMar>
              <w:top w:w="567" w:type="dxa"/>
            </w:tcMar>
          </w:tcPr>
          <w:p w:rsidR="00F138C1" w:rsidRPr="00666964" w:rsidRDefault="00F138C1" w:rsidP="00F138C1">
            <w:pPr>
              <w:tabs>
                <w:tab w:val="left" w:pos="6075"/>
              </w:tabs>
              <w:jc w:val="center"/>
              <w:rPr>
                <w:sz w:val="28"/>
                <w:szCs w:val="28"/>
                <w:lang w:val="fr-CA"/>
              </w:rPr>
            </w:pPr>
            <w:r w:rsidRPr="00666964">
              <w:rPr>
                <w:sz w:val="28"/>
                <w:szCs w:val="28"/>
                <w:lang w:val="fr-CA"/>
              </w:rPr>
              <w:t>BULLETIN DES</w:t>
            </w:r>
            <w:r w:rsidRPr="00666964">
              <w:rPr>
                <w:sz w:val="28"/>
                <w:szCs w:val="28"/>
                <w:lang w:val="fr-CA"/>
              </w:rPr>
              <w:br/>
              <w:t xml:space="preserve"> PROCÉDURES</w:t>
            </w:r>
          </w:p>
        </w:tc>
      </w:tr>
      <w:tr w:rsidR="00F138C1" w:rsidRPr="005B0CA8" w:rsidTr="00F138C1">
        <w:tc>
          <w:tcPr>
            <w:tcW w:w="4599" w:type="dxa"/>
            <w:tcMar>
              <w:top w:w="567" w:type="dxa"/>
            </w:tcMar>
          </w:tcPr>
          <w:p w:rsidR="00F138C1" w:rsidRPr="00666964" w:rsidRDefault="00F138C1" w:rsidP="00F138C1">
            <w:pPr>
              <w:tabs>
                <w:tab w:val="left" w:pos="6075"/>
              </w:tabs>
              <w:jc w:val="both"/>
              <w:rPr>
                <w:rFonts w:ascii="Arial" w:hAnsi="Arial" w:cs="Arial"/>
                <w:i/>
                <w:sz w:val="20"/>
                <w:szCs w:val="20"/>
              </w:rPr>
            </w:pPr>
            <w:r w:rsidRPr="00666964">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66696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66964" w:rsidRDefault="00F138C1" w:rsidP="00F138C1">
            <w:pPr>
              <w:tabs>
                <w:tab w:val="left" w:pos="6075"/>
              </w:tabs>
              <w:jc w:val="both"/>
              <w:rPr>
                <w:rFonts w:ascii="Arial" w:hAnsi="Arial" w:cs="Arial"/>
                <w:i/>
                <w:sz w:val="20"/>
                <w:szCs w:val="20"/>
                <w:lang w:val="fr-CA"/>
              </w:rPr>
            </w:pPr>
            <w:r w:rsidRPr="00666964">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5B0CA8" w:rsidTr="00F138C1">
        <w:tc>
          <w:tcPr>
            <w:tcW w:w="4599" w:type="dxa"/>
            <w:tcMar>
              <w:top w:w="567" w:type="dxa"/>
            </w:tcMar>
          </w:tcPr>
          <w:p w:rsidR="00F138C1" w:rsidRPr="00666964" w:rsidRDefault="00F138C1" w:rsidP="00F138C1">
            <w:pPr>
              <w:tabs>
                <w:tab w:val="left" w:pos="6075"/>
              </w:tabs>
              <w:jc w:val="both"/>
              <w:rPr>
                <w:rFonts w:ascii="Arial" w:hAnsi="Arial" w:cs="Arial"/>
                <w:i/>
                <w:sz w:val="20"/>
                <w:szCs w:val="20"/>
              </w:rPr>
            </w:pPr>
            <w:r w:rsidRPr="00666964">
              <w:rPr>
                <w:rFonts w:ascii="Arial" w:hAnsi="Arial" w:cs="Arial"/>
                <w:i/>
                <w:sz w:val="20"/>
                <w:szCs w:val="20"/>
              </w:rPr>
              <w:t>During Court sessions, the Bulletin is usually issued weekly.</w:t>
            </w:r>
          </w:p>
        </w:tc>
        <w:tc>
          <w:tcPr>
            <w:tcW w:w="483" w:type="dxa"/>
          </w:tcPr>
          <w:p w:rsidR="00F138C1" w:rsidRPr="0066696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66964" w:rsidRDefault="00F138C1" w:rsidP="00F138C1">
            <w:pPr>
              <w:tabs>
                <w:tab w:val="left" w:pos="6075"/>
              </w:tabs>
              <w:jc w:val="both"/>
              <w:rPr>
                <w:rFonts w:ascii="Arial" w:hAnsi="Arial" w:cs="Arial"/>
                <w:i/>
                <w:sz w:val="20"/>
                <w:szCs w:val="20"/>
                <w:lang w:val="fr-CA"/>
              </w:rPr>
            </w:pPr>
            <w:r w:rsidRPr="00666964">
              <w:rPr>
                <w:rFonts w:ascii="Arial" w:hAnsi="Arial" w:cs="Arial"/>
                <w:i/>
                <w:sz w:val="20"/>
                <w:szCs w:val="20"/>
                <w:lang w:val="fr-CA"/>
              </w:rPr>
              <w:t>Le Bulletin paraît en principe toutes les semaines pendant les sessions de la Cour.</w:t>
            </w:r>
          </w:p>
        </w:tc>
      </w:tr>
      <w:tr w:rsidR="00F138C1" w:rsidRPr="005B0CA8" w:rsidTr="00F138C1">
        <w:tc>
          <w:tcPr>
            <w:tcW w:w="4599" w:type="dxa"/>
            <w:tcMar>
              <w:top w:w="567" w:type="dxa"/>
            </w:tcMar>
          </w:tcPr>
          <w:p w:rsidR="00F138C1" w:rsidRPr="00666964" w:rsidRDefault="00F138C1" w:rsidP="00F138C1">
            <w:pPr>
              <w:tabs>
                <w:tab w:val="left" w:pos="6075"/>
              </w:tabs>
              <w:jc w:val="both"/>
              <w:rPr>
                <w:rFonts w:ascii="Arial" w:hAnsi="Arial" w:cs="Arial"/>
                <w:i/>
                <w:sz w:val="20"/>
                <w:szCs w:val="20"/>
              </w:rPr>
            </w:pPr>
            <w:r w:rsidRPr="00666964">
              <w:rPr>
                <w:rFonts w:ascii="Arial" w:hAnsi="Arial" w:cs="Arial"/>
                <w:i/>
                <w:sz w:val="20"/>
                <w:szCs w:val="20"/>
              </w:rPr>
              <w:fldChar w:fldCharType="begin"/>
            </w:r>
            <w:r w:rsidRPr="00666964">
              <w:rPr>
                <w:rFonts w:ascii="Arial" w:hAnsi="Arial" w:cs="Arial"/>
                <w:i/>
                <w:sz w:val="20"/>
                <w:szCs w:val="20"/>
              </w:rPr>
              <w:instrText xml:space="preserve"> SEQ CHAPTER \h \r 1</w:instrText>
            </w:r>
            <w:r w:rsidRPr="00666964">
              <w:rPr>
                <w:rFonts w:ascii="Arial" w:hAnsi="Arial" w:cs="Arial"/>
                <w:i/>
                <w:sz w:val="20"/>
                <w:szCs w:val="20"/>
              </w:rPr>
              <w:fldChar w:fldCharType="end"/>
            </w:r>
            <w:r w:rsidRPr="00666964">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66696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66964" w:rsidRDefault="00F138C1" w:rsidP="00F138C1">
            <w:pPr>
              <w:tabs>
                <w:tab w:val="left" w:pos="6075"/>
              </w:tabs>
              <w:jc w:val="both"/>
              <w:rPr>
                <w:rFonts w:ascii="Arial" w:hAnsi="Arial" w:cs="Arial"/>
                <w:i/>
                <w:sz w:val="20"/>
                <w:szCs w:val="20"/>
                <w:lang w:val="fr-CA"/>
              </w:rPr>
            </w:pPr>
            <w:r w:rsidRPr="00666964">
              <w:rPr>
                <w:rFonts w:ascii="Arial" w:hAnsi="Arial" w:cs="Arial"/>
                <w:i/>
                <w:sz w:val="20"/>
                <w:szCs w:val="20"/>
                <w:lang w:val="fr-CA"/>
              </w:rPr>
              <w:fldChar w:fldCharType="begin"/>
            </w:r>
            <w:r w:rsidRPr="00666964">
              <w:rPr>
                <w:rFonts w:ascii="Arial" w:hAnsi="Arial" w:cs="Arial"/>
                <w:i/>
                <w:sz w:val="20"/>
                <w:szCs w:val="20"/>
                <w:lang w:val="fr-CA"/>
              </w:rPr>
              <w:instrText xml:space="preserve"> SEQ CHAPTER \h \r 1</w:instrText>
            </w:r>
            <w:r w:rsidRPr="00666964">
              <w:rPr>
                <w:rFonts w:ascii="Arial" w:hAnsi="Arial" w:cs="Arial"/>
                <w:i/>
                <w:sz w:val="20"/>
                <w:szCs w:val="20"/>
                <w:lang w:val="fr-CA"/>
              </w:rPr>
              <w:fldChar w:fldCharType="end"/>
            </w:r>
            <w:r w:rsidRPr="00666964">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5B0CA8" w:rsidTr="00F138C1">
        <w:tc>
          <w:tcPr>
            <w:tcW w:w="4599" w:type="dxa"/>
            <w:tcMar>
              <w:top w:w="567" w:type="dxa"/>
            </w:tcMar>
          </w:tcPr>
          <w:p w:rsidR="00F138C1" w:rsidRPr="00666964" w:rsidRDefault="00F138C1" w:rsidP="00F138C1">
            <w:pPr>
              <w:tabs>
                <w:tab w:val="left" w:pos="6075"/>
              </w:tabs>
              <w:jc w:val="both"/>
              <w:rPr>
                <w:rFonts w:ascii="Arial" w:hAnsi="Arial" w:cs="Arial"/>
                <w:i/>
                <w:sz w:val="20"/>
                <w:szCs w:val="20"/>
              </w:rPr>
            </w:pPr>
            <w:r w:rsidRPr="00666964">
              <w:rPr>
                <w:rFonts w:ascii="Arial" w:hAnsi="Arial" w:cs="Arial"/>
                <w:i/>
                <w:sz w:val="20"/>
                <w:szCs w:val="20"/>
                <w:lang w:val="en-US"/>
              </w:rPr>
              <w:t>Please c</w:t>
            </w:r>
            <w:r w:rsidRPr="00666964">
              <w:rPr>
                <w:rFonts w:ascii="Arial" w:hAnsi="Arial" w:cs="Arial"/>
                <w:i/>
                <w:sz w:val="20"/>
                <w:szCs w:val="20"/>
              </w:rPr>
              <w:t xml:space="preserve">onsult the Supreme Court of Canada website at </w:t>
            </w:r>
            <w:hyperlink r:id="rId9" w:history="1">
              <w:r w:rsidRPr="00666964">
                <w:rPr>
                  <w:rStyle w:val="Hyperlink"/>
                  <w:rFonts w:ascii="Arial" w:hAnsi="Arial" w:cs="Arial"/>
                  <w:i/>
                  <w:sz w:val="20"/>
                  <w:szCs w:val="20"/>
                </w:rPr>
                <w:t>www.scc-csc.ca</w:t>
              </w:r>
            </w:hyperlink>
            <w:r w:rsidRPr="00666964">
              <w:rPr>
                <w:rFonts w:ascii="Arial" w:hAnsi="Arial" w:cs="Arial"/>
                <w:i/>
                <w:sz w:val="20"/>
                <w:szCs w:val="20"/>
              </w:rPr>
              <w:t xml:space="preserve"> for more information.</w:t>
            </w:r>
          </w:p>
        </w:tc>
        <w:tc>
          <w:tcPr>
            <w:tcW w:w="483" w:type="dxa"/>
          </w:tcPr>
          <w:p w:rsidR="00F138C1" w:rsidRPr="00666964"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666964" w:rsidRDefault="00F138C1" w:rsidP="00F138C1">
            <w:pPr>
              <w:tabs>
                <w:tab w:val="left" w:pos="6075"/>
              </w:tabs>
              <w:jc w:val="both"/>
              <w:rPr>
                <w:rFonts w:ascii="Arial" w:hAnsi="Arial" w:cs="Arial"/>
                <w:i/>
                <w:sz w:val="20"/>
                <w:szCs w:val="20"/>
                <w:lang w:val="fr-CA"/>
              </w:rPr>
            </w:pPr>
            <w:r w:rsidRPr="00666964">
              <w:rPr>
                <w:rFonts w:ascii="Arial" w:hAnsi="Arial" w:cs="Arial"/>
                <w:i/>
                <w:sz w:val="20"/>
                <w:szCs w:val="20"/>
                <w:lang w:val="fr-CA"/>
              </w:rPr>
              <w:t xml:space="preserve">Pour de plus amples informations, veuillez consulter le site Web de la Cour suprême du Canada à l’adresse suivante : </w:t>
            </w:r>
            <w:hyperlink r:id="rId10" w:history="1">
              <w:r w:rsidRPr="00666964">
                <w:rPr>
                  <w:rStyle w:val="Hyperlink"/>
                  <w:rFonts w:ascii="Arial" w:hAnsi="Arial" w:cs="Arial"/>
                  <w:i/>
                  <w:sz w:val="20"/>
                  <w:szCs w:val="20"/>
                  <w:lang w:val="fr-CA"/>
                </w:rPr>
                <w:t>www.scc-csc.ca</w:t>
              </w:r>
            </w:hyperlink>
            <w:r w:rsidRPr="00666964">
              <w:rPr>
                <w:rFonts w:ascii="Arial" w:hAnsi="Arial" w:cs="Arial"/>
                <w:i/>
                <w:sz w:val="20"/>
                <w:szCs w:val="20"/>
                <w:lang w:val="fr-CA"/>
              </w:rPr>
              <w:t xml:space="preserve"> </w:t>
            </w:r>
          </w:p>
        </w:tc>
      </w:tr>
    </w:tbl>
    <w:p w:rsidR="00F138C1" w:rsidRPr="00666964"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666964" w:rsidTr="00F138C1">
        <w:tc>
          <w:tcPr>
            <w:tcW w:w="2250" w:type="pct"/>
            <w:tcBorders>
              <w:top w:val="single" w:sz="4" w:space="0" w:color="auto"/>
            </w:tcBorders>
            <w:tcMar>
              <w:top w:w="284" w:type="dxa"/>
              <w:bottom w:w="284" w:type="dxa"/>
            </w:tcMar>
          </w:tcPr>
          <w:p w:rsidR="00F138C1" w:rsidRPr="00666964" w:rsidRDefault="006F4BC8" w:rsidP="006F4BC8">
            <w:pPr>
              <w:tabs>
                <w:tab w:val="left" w:pos="6075"/>
              </w:tabs>
              <w:rPr>
                <w:rFonts w:ascii="Arial" w:hAnsi="Arial" w:cs="Arial"/>
                <w:i/>
                <w:sz w:val="20"/>
                <w:szCs w:val="20"/>
              </w:rPr>
            </w:pPr>
            <w:r w:rsidRPr="00666964">
              <w:rPr>
                <w:lang w:val="fr-CA"/>
              </w:rPr>
              <w:t>July</w:t>
            </w:r>
            <w:r w:rsidR="00F138C1" w:rsidRPr="00666964">
              <w:rPr>
                <w:lang w:val="fr-CA"/>
              </w:rPr>
              <w:t xml:space="preserve"> </w:t>
            </w:r>
            <w:r w:rsidRPr="00666964">
              <w:rPr>
                <w:lang w:val="fr-CA"/>
              </w:rPr>
              <w:t>3</w:t>
            </w:r>
            <w:r w:rsidR="00F138C1" w:rsidRPr="00666964">
              <w:rPr>
                <w:lang w:val="fr-CA"/>
              </w:rPr>
              <w:t>, 2020</w:t>
            </w:r>
          </w:p>
        </w:tc>
        <w:tc>
          <w:tcPr>
            <w:tcW w:w="500" w:type="pct"/>
            <w:tcBorders>
              <w:top w:val="single" w:sz="4" w:space="0" w:color="auto"/>
            </w:tcBorders>
            <w:tcMar>
              <w:top w:w="284" w:type="dxa"/>
              <w:bottom w:w="284" w:type="dxa"/>
            </w:tcMar>
          </w:tcPr>
          <w:p w:rsidR="00F138C1" w:rsidRPr="00666964" w:rsidRDefault="00F138C1" w:rsidP="008A0223">
            <w:pPr>
              <w:tabs>
                <w:tab w:val="left" w:pos="6075"/>
              </w:tabs>
              <w:jc w:val="center"/>
              <w:rPr>
                <w:rFonts w:ascii="Arial" w:hAnsi="Arial" w:cs="Arial"/>
                <w:i/>
                <w:sz w:val="20"/>
                <w:szCs w:val="20"/>
              </w:rPr>
            </w:pPr>
            <w:r w:rsidRPr="00666964">
              <w:rPr>
                <w:lang w:val="fr-CA"/>
              </w:rPr>
              <w:t xml:space="preserve">1 - </w:t>
            </w:r>
            <w:r w:rsidR="006F4BC8" w:rsidRPr="00666964">
              <w:rPr>
                <w:lang w:val="fr-CA"/>
              </w:rPr>
              <w:t>1</w:t>
            </w:r>
            <w:r w:rsidR="008A0223" w:rsidRPr="00666964">
              <w:rPr>
                <w:lang w:val="fr-CA"/>
              </w:rPr>
              <w:t>4</w:t>
            </w:r>
          </w:p>
        </w:tc>
        <w:tc>
          <w:tcPr>
            <w:tcW w:w="2250" w:type="pct"/>
            <w:tcBorders>
              <w:top w:val="single" w:sz="4" w:space="0" w:color="auto"/>
            </w:tcBorders>
            <w:tcMar>
              <w:top w:w="284" w:type="dxa"/>
              <w:bottom w:w="284" w:type="dxa"/>
            </w:tcMar>
          </w:tcPr>
          <w:p w:rsidR="00F138C1" w:rsidRPr="00666964" w:rsidRDefault="00F138C1" w:rsidP="006F4BC8">
            <w:pPr>
              <w:tabs>
                <w:tab w:val="left" w:pos="6075"/>
              </w:tabs>
              <w:jc w:val="right"/>
              <w:rPr>
                <w:rFonts w:ascii="Arial" w:hAnsi="Arial" w:cs="Arial"/>
                <w:i/>
                <w:sz w:val="20"/>
                <w:szCs w:val="20"/>
                <w:lang w:val="fr-CA"/>
              </w:rPr>
            </w:pPr>
            <w:r w:rsidRPr="00666964">
              <w:rPr>
                <w:lang w:val="fr-CA"/>
              </w:rPr>
              <w:t xml:space="preserve">Le </w:t>
            </w:r>
            <w:r w:rsidR="006F4BC8" w:rsidRPr="00666964">
              <w:rPr>
                <w:lang w:val="fr-CA"/>
              </w:rPr>
              <w:t>3</w:t>
            </w:r>
            <w:r w:rsidRPr="00666964">
              <w:rPr>
                <w:lang w:val="fr-CA"/>
              </w:rPr>
              <w:t xml:space="preserve"> </w:t>
            </w:r>
            <w:r w:rsidR="006F4BC8" w:rsidRPr="00666964">
              <w:rPr>
                <w:lang w:val="fr-CA"/>
              </w:rPr>
              <w:t>juillet</w:t>
            </w:r>
            <w:r w:rsidRPr="00666964">
              <w:rPr>
                <w:lang w:val="fr-CA"/>
              </w:rPr>
              <w:t xml:space="preserve"> 2020</w:t>
            </w:r>
          </w:p>
        </w:tc>
      </w:tr>
      <w:tr w:rsidR="00F138C1" w:rsidRPr="005B0CA8" w:rsidTr="00F138C1">
        <w:tc>
          <w:tcPr>
            <w:tcW w:w="2250" w:type="pct"/>
            <w:tcBorders>
              <w:bottom w:val="single" w:sz="4" w:space="0" w:color="auto"/>
            </w:tcBorders>
            <w:tcMar>
              <w:top w:w="284" w:type="dxa"/>
              <w:bottom w:w="284" w:type="dxa"/>
            </w:tcMar>
          </w:tcPr>
          <w:p w:rsidR="00F138C1" w:rsidRPr="00666964" w:rsidRDefault="00F138C1" w:rsidP="00F138C1">
            <w:pPr>
              <w:tabs>
                <w:tab w:val="left" w:pos="6075"/>
              </w:tabs>
              <w:rPr>
                <w:rFonts w:ascii="Arial" w:hAnsi="Arial" w:cs="Arial"/>
                <w:i/>
                <w:sz w:val="20"/>
                <w:szCs w:val="20"/>
              </w:rPr>
            </w:pPr>
            <w:r w:rsidRPr="00666964">
              <w:rPr>
                <w:sz w:val="18"/>
                <w:szCs w:val="18"/>
                <w:lang w:val="en-US"/>
              </w:rPr>
              <w:t>© Supreme Court of Canada (2020)</w:t>
            </w:r>
            <w:r w:rsidRPr="00666964">
              <w:rPr>
                <w:sz w:val="18"/>
                <w:szCs w:val="18"/>
                <w:lang w:val="en-US"/>
              </w:rPr>
              <w:br/>
              <w:t>ISSN 1918-8358 (Online)</w:t>
            </w:r>
          </w:p>
        </w:tc>
        <w:tc>
          <w:tcPr>
            <w:tcW w:w="500" w:type="pct"/>
            <w:tcBorders>
              <w:bottom w:val="single" w:sz="4" w:space="0" w:color="auto"/>
            </w:tcBorders>
            <w:tcMar>
              <w:top w:w="284" w:type="dxa"/>
              <w:bottom w:w="284" w:type="dxa"/>
            </w:tcMar>
          </w:tcPr>
          <w:p w:rsidR="00F138C1" w:rsidRPr="00666964"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666964" w:rsidRDefault="00F138C1" w:rsidP="00F138C1">
            <w:pPr>
              <w:tabs>
                <w:tab w:val="left" w:pos="6075"/>
              </w:tabs>
              <w:jc w:val="right"/>
              <w:rPr>
                <w:rFonts w:ascii="Arial" w:hAnsi="Arial" w:cs="Arial"/>
                <w:i/>
                <w:sz w:val="20"/>
                <w:szCs w:val="20"/>
                <w:lang w:val="fr-CA"/>
              </w:rPr>
            </w:pPr>
            <w:r w:rsidRPr="00666964">
              <w:rPr>
                <w:sz w:val="18"/>
                <w:szCs w:val="18"/>
                <w:lang w:val="fr-CA"/>
              </w:rPr>
              <w:t>© Cour suprême du Canada (2020</w:t>
            </w:r>
            <w:proofErr w:type="gramStart"/>
            <w:r w:rsidRPr="00666964">
              <w:rPr>
                <w:sz w:val="18"/>
                <w:szCs w:val="18"/>
                <w:lang w:val="fr-CA"/>
              </w:rPr>
              <w:t>)</w:t>
            </w:r>
            <w:proofErr w:type="gramEnd"/>
            <w:r w:rsidRPr="00666964">
              <w:rPr>
                <w:sz w:val="18"/>
                <w:szCs w:val="18"/>
                <w:lang w:val="fr-CA"/>
              </w:rPr>
              <w:br/>
              <w:t>ISSN 1918-8358 (En ligne)</w:t>
            </w:r>
          </w:p>
        </w:tc>
      </w:tr>
    </w:tbl>
    <w:p w:rsidR="0030050B" w:rsidRPr="00666964" w:rsidRDefault="0030050B" w:rsidP="00F138C1">
      <w:pPr>
        <w:tabs>
          <w:tab w:val="left" w:pos="6075"/>
        </w:tabs>
        <w:rPr>
          <w:lang w:val="fr-CA"/>
        </w:rPr>
      </w:pPr>
    </w:p>
    <w:p w:rsidR="00560DF1" w:rsidRPr="00666964" w:rsidRDefault="00560DF1" w:rsidP="0095096B">
      <w:pPr>
        <w:tabs>
          <w:tab w:val="right" w:pos="9360"/>
        </w:tabs>
        <w:rPr>
          <w:lang w:val="fr-CA"/>
        </w:rPr>
      </w:pPr>
    </w:p>
    <w:p w:rsidR="00F138C1" w:rsidRPr="00666964"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6964" w:rsidRDefault="00DC6B2E" w:rsidP="00693C38">
          <w:pPr>
            <w:pStyle w:val="Title"/>
            <w:jc w:val="center"/>
            <w:rPr>
              <w:rFonts w:ascii="Times New Roman" w:hAnsi="Times New Roman" w:cs="Times New Roman"/>
              <w:b/>
              <w:sz w:val="24"/>
              <w:szCs w:val="28"/>
              <w:lang w:val="fr-CA"/>
            </w:rPr>
          </w:pPr>
          <w:r w:rsidRPr="00666964">
            <w:rPr>
              <w:rFonts w:ascii="Times New Roman" w:hAnsi="Times New Roman" w:cs="Times New Roman"/>
              <w:b/>
              <w:sz w:val="24"/>
              <w:szCs w:val="28"/>
              <w:lang w:val="fr-CA"/>
            </w:rPr>
            <w:t>Contents</w:t>
          </w:r>
        </w:p>
        <w:p w:rsidR="00693C38" w:rsidRPr="00666964" w:rsidRDefault="00DC6B2E" w:rsidP="00693C38">
          <w:pPr>
            <w:jc w:val="center"/>
            <w:rPr>
              <w:b/>
              <w:szCs w:val="28"/>
              <w:lang w:val="fr-CA"/>
            </w:rPr>
          </w:pPr>
          <w:r w:rsidRPr="00666964">
            <w:rPr>
              <w:b/>
              <w:szCs w:val="28"/>
              <w:lang w:val="fr-CA"/>
            </w:rPr>
            <w:t>Table des matières</w:t>
          </w:r>
        </w:p>
        <w:p w:rsidR="00693C38" w:rsidRPr="00666964" w:rsidRDefault="00693C38" w:rsidP="00693C38">
          <w:pPr>
            <w:rPr>
              <w:lang w:val="fr-CA"/>
            </w:rPr>
          </w:pPr>
        </w:p>
        <w:p w:rsidR="00666964" w:rsidRPr="00666964" w:rsidRDefault="00DC6B2E">
          <w:pPr>
            <w:pStyle w:val="TOC1"/>
            <w:tabs>
              <w:tab w:val="right" w:leader="dot" w:pos="9638"/>
            </w:tabs>
            <w:rPr>
              <w:rFonts w:asciiTheme="minorHAnsi" w:eastAsiaTheme="minorEastAsia" w:hAnsiTheme="minorHAnsi"/>
              <w:noProof/>
              <w:sz w:val="22"/>
              <w:lang w:val="en-US"/>
            </w:rPr>
          </w:pPr>
          <w:r w:rsidRPr="00666964">
            <w:rPr>
              <w:b/>
              <w:bCs/>
              <w:noProof/>
            </w:rPr>
            <w:fldChar w:fldCharType="begin"/>
          </w:r>
          <w:r w:rsidRPr="00666964">
            <w:rPr>
              <w:b/>
              <w:bCs/>
              <w:noProof/>
            </w:rPr>
            <w:instrText xml:space="preserve"> TOC \o "1-3" \h \z \u </w:instrText>
          </w:r>
          <w:r w:rsidRPr="00666964">
            <w:rPr>
              <w:b/>
              <w:bCs/>
              <w:noProof/>
            </w:rPr>
            <w:fldChar w:fldCharType="separate"/>
          </w:r>
          <w:hyperlink w:anchor="_Toc44595186" w:history="1">
            <w:r w:rsidR="00666964" w:rsidRPr="00666964">
              <w:rPr>
                <w:rStyle w:val="Hyperlink"/>
                <w:noProof/>
                <w:lang w:val="fr-CA"/>
              </w:rPr>
              <w:t>Applications for leave to appeal filed /  Demandes d’autorisation d’appel déposées</w:t>
            </w:r>
            <w:r w:rsidR="00666964" w:rsidRPr="00666964">
              <w:rPr>
                <w:noProof/>
                <w:webHidden/>
              </w:rPr>
              <w:tab/>
            </w:r>
            <w:r w:rsidR="00666964" w:rsidRPr="00666964">
              <w:rPr>
                <w:noProof/>
                <w:webHidden/>
              </w:rPr>
              <w:fldChar w:fldCharType="begin"/>
            </w:r>
            <w:r w:rsidR="00666964" w:rsidRPr="00666964">
              <w:rPr>
                <w:noProof/>
                <w:webHidden/>
              </w:rPr>
              <w:instrText xml:space="preserve"> PAGEREF _Toc44595186 \h </w:instrText>
            </w:r>
            <w:r w:rsidR="00666964" w:rsidRPr="00666964">
              <w:rPr>
                <w:noProof/>
                <w:webHidden/>
              </w:rPr>
            </w:r>
            <w:r w:rsidR="00666964" w:rsidRPr="00666964">
              <w:rPr>
                <w:noProof/>
                <w:webHidden/>
              </w:rPr>
              <w:fldChar w:fldCharType="separate"/>
            </w:r>
            <w:r w:rsidR="00666964" w:rsidRPr="00666964">
              <w:rPr>
                <w:noProof/>
                <w:webHidden/>
              </w:rPr>
              <w:t>1</w:t>
            </w:r>
            <w:r w:rsidR="00666964" w:rsidRPr="00666964">
              <w:rPr>
                <w:noProof/>
                <w:webHidden/>
              </w:rPr>
              <w:fldChar w:fldCharType="end"/>
            </w:r>
          </w:hyperlink>
        </w:p>
        <w:p w:rsidR="00666964" w:rsidRPr="00666964" w:rsidRDefault="005B0CA8">
          <w:pPr>
            <w:pStyle w:val="TOC1"/>
            <w:tabs>
              <w:tab w:val="right" w:leader="dot" w:pos="9638"/>
            </w:tabs>
            <w:rPr>
              <w:rFonts w:asciiTheme="minorHAnsi" w:eastAsiaTheme="minorEastAsia" w:hAnsiTheme="minorHAnsi"/>
              <w:noProof/>
              <w:sz w:val="22"/>
              <w:lang w:val="en-US"/>
            </w:rPr>
          </w:pPr>
          <w:hyperlink w:anchor="_Toc44595187" w:history="1">
            <w:r w:rsidR="00666964" w:rsidRPr="00666964">
              <w:rPr>
                <w:rStyle w:val="Hyperlink"/>
                <w:noProof/>
                <w:lang w:val="fr-CA"/>
              </w:rPr>
              <w:t>Judgments on applications for leave /  Jugements rendus sur les demandes d’autorisation</w:t>
            </w:r>
            <w:r w:rsidR="00666964" w:rsidRPr="00666964">
              <w:rPr>
                <w:noProof/>
                <w:webHidden/>
              </w:rPr>
              <w:tab/>
            </w:r>
            <w:r w:rsidR="00666964" w:rsidRPr="00666964">
              <w:rPr>
                <w:noProof/>
                <w:webHidden/>
              </w:rPr>
              <w:fldChar w:fldCharType="begin"/>
            </w:r>
            <w:r w:rsidR="00666964" w:rsidRPr="00666964">
              <w:rPr>
                <w:noProof/>
                <w:webHidden/>
              </w:rPr>
              <w:instrText xml:space="preserve"> PAGEREF _Toc44595187 \h </w:instrText>
            </w:r>
            <w:r w:rsidR="00666964" w:rsidRPr="00666964">
              <w:rPr>
                <w:noProof/>
                <w:webHidden/>
              </w:rPr>
            </w:r>
            <w:r w:rsidR="00666964" w:rsidRPr="00666964">
              <w:rPr>
                <w:noProof/>
                <w:webHidden/>
              </w:rPr>
              <w:fldChar w:fldCharType="separate"/>
            </w:r>
            <w:r w:rsidR="00666964" w:rsidRPr="00666964">
              <w:rPr>
                <w:noProof/>
                <w:webHidden/>
              </w:rPr>
              <w:t>3</w:t>
            </w:r>
            <w:r w:rsidR="00666964" w:rsidRPr="00666964">
              <w:rPr>
                <w:noProof/>
                <w:webHidden/>
              </w:rPr>
              <w:fldChar w:fldCharType="end"/>
            </w:r>
          </w:hyperlink>
        </w:p>
        <w:p w:rsidR="00666964" w:rsidRPr="00666964" w:rsidRDefault="005B0CA8">
          <w:pPr>
            <w:pStyle w:val="TOC1"/>
            <w:tabs>
              <w:tab w:val="right" w:leader="dot" w:pos="9638"/>
            </w:tabs>
            <w:rPr>
              <w:rFonts w:asciiTheme="minorHAnsi" w:eastAsiaTheme="minorEastAsia" w:hAnsiTheme="minorHAnsi"/>
              <w:noProof/>
              <w:sz w:val="22"/>
              <w:lang w:val="en-US"/>
            </w:rPr>
          </w:pPr>
          <w:hyperlink w:anchor="_Toc44595188" w:history="1">
            <w:r w:rsidR="00666964" w:rsidRPr="00666964">
              <w:rPr>
                <w:rStyle w:val="Hyperlink"/>
                <w:noProof/>
              </w:rPr>
              <w:t xml:space="preserve">Notices of appeal filed since the last issue /  </w:t>
            </w:r>
            <w:r w:rsidR="00666964" w:rsidRPr="00666964">
              <w:rPr>
                <w:rStyle w:val="Hyperlink"/>
                <w:noProof/>
                <w:lang w:val="fr-CA"/>
              </w:rPr>
              <w:t>Avis d’appel déposés depuis la dernière parution</w:t>
            </w:r>
            <w:r w:rsidR="00666964" w:rsidRPr="00666964">
              <w:rPr>
                <w:noProof/>
                <w:webHidden/>
              </w:rPr>
              <w:tab/>
            </w:r>
            <w:r w:rsidR="00666964" w:rsidRPr="00666964">
              <w:rPr>
                <w:noProof/>
                <w:webHidden/>
              </w:rPr>
              <w:fldChar w:fldCharType="begin"/>
            </w:r>
            <w:r w:rsidR="00666964" w:rsidRPr="00666964">
              <w:rPr>
                <w:noProof/>
                <w:webHidden/>
              </w:rPr>
              <w:instrText xml:space="preserve"> PAGEREF _Toc44595188 \h </w:instrText>
            </w:r>
            <w:r w:rsidR="00666964" w:rsidRPr="00666964">
              <w:rPr>
                <w:noProof/>
                <w:webHidden/>
              </w:rPr>
            </w:r>
            <w:r w:rsidR="00666964" w:rsidRPr="00666964">
              <w:rPr>
                <w:noProof/>
                <w:webHidden/>
              </w:rPr>
              <w:fldChar w:fldCharType="separate"/>
            </w:r>
            <w:r w:rsidR="00666964" w:rsidRPr="00666964">
              <w:rPr>
                <w:noProof/>
                <w:webHidden/>
              </w:rPr>
              <w:t>13</w:t>
            </w:r>
            <w:r w:rsidR="00666964" w:rsidRPr="00666964">
              <w:rPr>
                <w:noProof/>
                <w:webHidden/>
              </w:rPr>
              <w:fldChar w:fldCharType="end"/>
            </w:r>
          </w:hyperlink>
        </w:p>
        <w:p w:rsidR="00666964" w:rsidRPr="00666964" w:rsidRDefault="005B0CA8">
          <w:pPr>
            <w:pStyle w:val="TOC1"/>
            <w:tabs>
              <w:tab w:val="right" w:leader="dot" w:pos="9638"/>
            </w:tabs>
            <w:rPr>
              <w:rFonts w:asciiTheme="minorHAnsi" w:eastAsiaTheme="minorEastAsia" w:hAnsiTheme="minorHAnsi"/>
              <w:noProof/>
              <w:sz w:val="22"/>
              <w:lang w:val="en-US"/>
            </w:rPr>
          </w:pPr>
          <w:hyperlink w:anchor="_Toc44595189" w:history="1">
            <w:r w:rsidR="00666964" w:rsidRPr="00666964">
              <w:rPr>
                <w:rStyle w:val="Hyperlink"/>
                <w:noProof/>
                <w:lang w:val="fr-CA"/>
              </w:rPr>
              <w:t>Supreme Court Reports /  Recueil des arrêts de la Cour suprême</w:t>
            </w:r>
            <w:r w:rsidR="00666964" w:rsidRPr="00666964">
              <w:rPr>
                <w:noProof/>
                <w:webHidden/>
              </w:rPr>
              <w:tab/>
            </w:r>
            <w:r w:rsidR="00666964" w:rsidRPr="00666964">
              <w:rPr>
                <w:noProof/>
                <w:webHidden/>
              </w:rPr>
              <w:fldChar w:fldCharType="begin"/>
            </w:r>
            <w:r w:rsidR="00666964" w:rsidRPr="00666964">
              <w:rPr>
                <w:noProof/>
                <w:webHidden/>
              </w:rPr>
              <w:instrText xml:space="preserve"> PAGEREF _Toc44595189 \h </w:instrText>
            </w:r>
            <w:r w:rsidR="00666964" w:rsidRPr="00666964">
              <w:rPr>
                <w:noProof/>
                <w:webHidden/>
              </w:rPr>
            </w:r>
            <w:r w:rsidR="00666964" w:rsidRPr="00666964">
              <w:rPr>
                <w:noProof/>
                <w:webHidden/>
              </w:rPr>
              <w:fldChar w:fldCharType="separate"/>
            </w:r>
            <w:r w:rsidR="00666964" w:rsidRPr="00666964">
              <w:rPr>
                <w:noProof/>
                <w:webHidden/>
              </w:rPr>
              <w:t>14</w:t>
            </w:r>
            <w:r w:rsidR="00666964" w:rsidRPr="00666964">
              <w:rPr>
                <w:noProof/>
                <w:webHidden/>
              </w:rPr>
              <w:fldChar w:fldCharType="end"/>
            </w:r>
          </w:hyperlink>
        </w:p>
        <w:p w:rsidR="00560DF1" w:rsidRPr="00666964" w:rsidRDefault="00DC6B2E">
          <w:r w:rsidRPr="00666964">
            <w:rPr>
              <w:b/>
              <w:bCs/>
              <w:noProof/>
              <w:sz w:val="20"/>
            </w:rPr>
            <w:fldChar w:fldCharType="end"/>
          </w:r>
        </w:p>
      </w:sdtContent>
    </w:sdt>
    <w:p w:rsidR="00560DF1" w:rsidRPr="00666964"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5B0CA8" w:rsidTr="00F138C1">
        <w:trPr>
          <w:jc w:val="center"/>
        </w:trPr>
        <w:tc>
          <w:tcPr>
            <w:tcW w:w="9638" w:type="dxa"/>
          </w:tcPr>
          <w:p w:rsidR="00F138C1" w:rsidRPr="00666964" w:rsidRDefault="00F138C1" w:rsidP="00F138C1">
            <w:pPr>
              <w:keepNext/>
              <w:tabs>
                <w:tab w:val="right" w:pos="9360"/>
              </w:tabs>
              <w:spacing w:after="120"/>
              <w:jc w:val="center"/>
              <w:rPr>
                <w:szCs w:val="24"/>
              </w:rPr>
            </w:pPr>
            <w:r w:rsidRPr="00666964">
              <w:rPr>
                <w:szCs w:val="24"/>
              </w:rPr>
              <w:t>NOTICE</w:t>
            </w:r>
          </w:p>
          <w:p w:rsidR="00F138C1" w:rsidRPr="00666964" w:rsidRDefault="00F138C1" w:rsidP="00F138C1">
            <w:pPr>
              <w:keepNext/>
              <w:tabs>
                <w:tab w:val="right" w:pos="9360"/>
              </w:tabs>
              <w:spacing w:after="120"/>
              <w:jc w:val="both"/>
              <w:rPr>
                <w:szCs w:val="24"/>
              </w:rPr>
            </w:pPr>
            <w:r w:rsidRPr="00666964">
              <w:rPr>
                <w:szCs w:val="24"/>
              </w:rPr>
              <w:t>Case summaries included in the Bulletin are prepared by the Office of the Registrar of the Supreme Court of Canada (Law Branch) for information purposes only.</w:t>
            </w:r>
          </w:p>
          <w:p w:rsidR="00F138C1" w:rsidRPr="00666964" w:rsidRDefault="00F138C1" w:rsidP="00F138C1">
            <w:pPr>
              <w:keepNext/>
              <w:tabs>
                <w:tab w:val="right" w:pos="9360"/>
              </w:tabs>
              <w:spacing w:after="120"/>
              <w:jc w:val="center"/>
              <w:rPr>
                <w:szCs w:val="24"/>
                <w:lang w:val="fr-CA"/>
              </w:rPr>
            </w:pPr>
            <w:r w:rsidRPr="00666964">
              <w:rPr>
                <w:szCs w:val="24"/>
                <w:lang w:val="fr-CA"/>
              </w:rPr>
              <w:t>AVIS</w:t>
            </w:r>
          </w:p>
          <w:p w:rsidR="00F138C1" w:rsidRPr="00666964" w:rsidRDefault="00F138C1" w:rsidP="00F138C1">
            <w:pPr>
              <w:keepNext/>
              <w:tabs>
                <w:tab w:val="right" w:pos="9360"/>
              </w:tabs>
              <w:spacing w:after="120"/>
              <w:jc w:val="both"/>
              <w:rPr>
                <w:sz w:val="20"/>
                <w:szCs w:val="20"/>
                <w:lang w:val="fr-CA"/>
              </w:rPr>
            </w:pPr>
            <w:r w:rsidRPr="00666964">
              <w:rPr>
                <w:szCs w:val="24"/>
                <w:lang w:val="fr-CA"/>
              </w:rPr>
              <w:t>Les résumés des causes publiés dans le bulletin sont préparés par le Bureau du registraire (Direction générale du droit) uniquement à titre d’information.</w:t>
            </w:r>
          </w:p>
        </w:tc>
      </w:tr>
    </w:tbl>
    <w:p w:rsidR="00F138C1" w:rsidRPr="00666964" w:rsidRDefault="00F138C1" w:rsidP="00F138C1">
      <w:pPr>
        <w:tabs>
          <w:tab w:val="right" w:pos="9360"/>
        </w:tabs>
        <w:rPr>
          <w:lang w:val="fr-CA"/>
        </w:rPr>
      </w:pPr>
    </w:p>
    <w:p w:rsidR="00F138C1" w:rsidRPr="00666964" w:rsidRDefault="00F138C1" w:rsidP="00F138C1">
      <w:pPr>
        <w:tabs>
          <w:tab w:val="right" w:pos="9360"/>
        </w:tabs>
        <w:rPr>
          <w:lang w:val="fr-CA"/>
        </w:rPr>
      </w:pPr>
    </w:p>
    <w:p w:rsidR="00C01FCB" w:rsidRPr="00666964" w:rsidRDefault="00C01FCB" w:rsidP="0095096B">
      <w:pPr>
        <w:tabs>
          <w:tab w:val="right" w:pos="9360"/>
        </w:tabs>
        <w:rPr>
          <w:lang w:val="fr-CA"/>
        </w:rPr>
      </w:pPr>
    </w:p>
    <w:p w:rsidR="00A87207" w:rsidRPr="00666964" w:rsidRDefault="00A87207" w:rsidP="0095096B">
      <w:pPr>
        <w:tabs>
          <w:tab w:val="right" w:pos="9360"/>
        </w:tabs>
        <w:rPr>
          <w:lang w:val="fr-CA"/>
        </w:rPr>
        <w:sectPr w:rsidR="00A87207" w:rsidRPr="00666964" w:rsidSect="0044776A">
          <w:pgSz w:w="12240" w:h="15840"/>
          <w:pgMar w:top="720" w:right="1152" w:bottom="1080" w:left="1440" w:header="706" w:footer="706" w:gutter="0"/>
          <w:cols w:space="708"/>
          <w:titlePg/>
          <w:docGrid w:linePitch="360"/>
        </w:sectPr>
      </w:pPr>
    </w:p>
    <w:p w:rsidR="00560DF1" w:rsidRPr="00666964" w:rsidRDefault="00DD0BDC" w:rsidP="00567602">
      <w:pPr>
        <w:pStyle w:val="Header1StyleE"/>
        <w:pBdr>
          <w:bottom w:val="single" w:sz="12" w:space="1" w:color="auto"/>
        </w:pBdr>
        <w:rPr>
          <w:lang w:val="fr-CA"/>
        </w:rPr>
      </w:pPr>
      <w:bookmarkStart w:id="0" w:name="_Toc44595186"/>
      <w:r w:rsidRPr="00666964">
        <w:rPr>
          <w:lang w:val="fr-CA"/>
        </w:rPr>
        <w:lastRenderedPageBreak/>
        <w:t>Applications for leave to appeal filed</w:t>
      </w:r>
      <w:r w:rsidR="00271E1E" w:rsidRPr="00666964">
        <w:rPr>
          <w:lang w:val="fr-CA"/>
        </w:rPr>
        <w:t xml:space="preserve"> / </w:t>
      </w:r>
      <w:r w:rsidR="00727571" w:rsidRPr="00666964">
        <w:rPr>
          <w:lang w:val="fr-CA"/>
        </w:rPr>
        <w:br/>
      </w:r>
      <w:r w:rsidRPr="00666964">
        <w:rPr>
          <w:lang w:val="fr-CA"/>
        </w:rPr>
        <w:t>Demandes d’autorisation d’appel déposées</w:t>
      </w:r>
      <w:bookmarkEnd w:id="0"/>
    </w:p>
    <w:p w:rsidR="00F138C1" w:rsidRPr="00666964"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666964" w:rsidTr="00F138C1">
        <w:tc>
          <w:tcPr>
            <w:tcW w:w="4239" w:type="dxa"/>
            <w:shd w:val="clear" w:color="auto" w:fill="auto"/>
          </w:tcPr>
          <w:p w:rsidR="00F138C1" w:rsidRPr="00666964" w:rsidRDefault="00E05981" w:rsidP="00F138C1">
            <w:pPr>
              <w:rPr>
                <w:sz w:val="20"/>
                <w:szCs w:val="20"/>
                <w:lang w:val="en-US"/>
              </w:rPr>
            </w:pPr>
            <w:r w:rsidRPr="00666964">
              <w:rPr>
                <w:b/>
                <w:sz w:val="20"/>
                <w:szCs w:val="20"/>
                <w:lang w:val="en-US"/>
              </w:rPr>
              <w:t>Good Spirit School Division No. 204</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E05981" w:rsidRPr="00666964">
              <w:rPr>
                <w:sz w:val="20"/>
                <w:szCs w:val="20"/>
                <w:lang w:val="en-US"/>
              </w:rPr>
              <w:t>Awan, Khurrum R.</w:t>
            </w:r>
          </w:p>
          <w:p w:rsidR="00E05981" w:rsidRPr="00666964" w:rsidRDefault="00E05981" w:rsidP="00F138C1">
            <w:pPr>
              <w:tabs>
                <w:tab w:val="left" w:pos="-1440"/>
                <w:tab w:val="left" w:pos="-720"/>
              </w:tabs>
              <w:rPr>
                <w:sz w:val="20"/>
                <w:szCs w:val="20"/>
                <w:lang w:val="en-US"/>
              </w:rPr>
            </w:pPr>
            <w:r w:rsidRPr="00666964">
              <w:rPr>
                <w:sz w:val="20"/>
                <w:szCs w:val="20"/>
                <w:lang w:val="en-US"/>
              </w:rPr>
              <w:tab/>
              <w:t>Miller Thomson LLP</w:t>
            </w:r>
          </w:p>
          <w:p w:rsidR="00F138C1" w:rsidRPr="00666964" w:rsidRDefault="00F138C1" w:rsidP="00F138C1">
            <w:pPr>
              <w:tabs>
                <w:tab w:val="left" w:pos="-1440"/>
                <w:tab w:val="left" w:pos="-720"/>
              </w:tabs>
              <w:rPr>
                <w:sz w:val="20"/>
                <w:szCs w:val="20"/>
                <w:lang w:val="en-US"/>
              </w:rPr>
            </w:pPr>
          </w:p>
          <w:p w:rsidR="00F138C1" w:rsidRPr="00666964" w:rsidRDefault="00F138C1" w:rsidP="00F138C1">
            <w:pPr>
              <w:tabs>
                <w:tab w:val="left" w:pos="-1440"/>
                <w:tab w:val="left" w:pos="-720"/>
              </w:tabs>
              <w:rPr>
                <w:sz w:val="20"/>
                <w:szCs w:val="20"/>
                <w:lang w:val="en-US"/>
              </w:rPr>
            </w:pPr>
            <w:r w:rsidRPr="00666964">
              <w:rPr>
                <w:sz w:val="20"/>
                <w:szCs w:val="20"/>
                <w:lang w:val="en-US"/>
              </w:rPr>
              <w:tab/>
              <w:t>v. (39</w:t>
            </w:r>
            <w:r w:rsidR="00D063CA" w:rsidRPr="00666964">
              <w:rPr>
                <w:sz w:val="20"/>
                <w:szCs w:val="20"/>
                <w:lang w:val="en-US"/>
              </w:rPr>
              <w:t>212</w:t>
            </w:r>
            <w:r w:rsidRPr="00666964">
              <w:rPr>
                <w:sz w:val="20"/>
                <w:szCs w:val="20"/>
                <w:lang w:val="en-US"/>
              </w:rPr>
              <w:t>)</w:t>
            </w:r>
          </w:p>
          <w:p w:rsidR="00F138C1" w:rsidRPr="00666964" w:rsidRDefault="00F138C1" w:rsidP="00F138C1">
            <w:pPr>
              <w:tabs>
                <w:tab w:val="left" w:pos="-1440"/>
                <w:tab w:val="left" w:pos="-720"/>
              </w:tabs>
              <w:rPr>
                <w:sz w:val="20"/>
                <w:szCs w:val="20"/>
                <w:lang w:val="en-US"/>
              </w:rPr>
            </w:pPr>
          </w:p>
          <w:p w:rsidR="00F138C1" w:rsidRPr="00666964" w:rsidRDefault="00E05981" w:rsidP="00F138C1">
            <w:pPr>
              <w:tabs>
                <w:tab w:val="left" w:pos="-1440"/>
                <w:tab w:val="left" w:pos="-720"/>
              </w:tabs>
              <w:rPr>
                <w:b/>
                <w:sz w:val="20"/>
                <w:szCs w:val="20"/>
                <w:lang w:val="en-US"/>
              </w:rPr>
            </w:pPr>
            <w:r w:rsidRPr="00666964">
              <w:rPr>
                <w:b/>
                <w:sz w:val="20"/>
                <w:szCs w:val="20"/>
                <w:lang w:val="en-US"/>
              </w:rPr>
              <w:t xml:space="preserve">Government of Saskatchewan, et al. </w:t>
            </w:r>
            <w:r w:rsidR="00F138C1" w:rsidRPr="00666964">
              <w:rPr>
                <w:b/>
                <w:sz w:val="20"/>
                <w:szCs w:val="20"/>
                <w:lang w:val="en-US"/>
              </w:rPr>
              <w:t>(</w:t>
            </w:r>
            <w:r w:rsidR="00D063CA" w:rsidRPr="00666964">
              <w:rPr>
                <w:b/>
                <w:sz w:val="20"/>
                <w:szCs w:val="20"/>
                <w:lang w:val="en-US"/>
              </w:rPr>
              <w:t>Sask</w:t>
            </w:r>
            <w:r w:rsidR="00F138C1" w:rsidRPr="00666964">
              <w:rPr>
                <w:b/>
                <w:sz w:val="20"/>
                <w:szCs w:val="20"/>
                <w:lang w:val="en-US"/>
              </w:rPr>
              <w:t>.)</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E05981" w:rsidRPr="00666964">
              <w:rPr>
                <w:sz w:val="20"/>
                <w:szCs w:val="20"/>
                <w:lang w:val="en-US"/>
              </w:rPr>
              <w:t>Pratchler, Q.C., Sharon H.</w:t>
            </w:r>
          </w:p>
          <w:p w:rsidR="00F138C1" w:rsidRPr="00666964" w:rsidRDefault="00F138C1" w:rsidP="00F138C1">
            <w:pPr>
              <w:tabs>
                <w:tab w:val="left" w:pos="-1440"/>
                <w:tab w:val="left" w:pos="-720"/>
              </w:tabs>
              <w:rPr>
                <w:sz w:val="20"/>
                <w:szCs w:val="20"/>
              </w:rPr>
            </w:pPr>
            <w:r w:rsidRPr="00666964">
              <w:rPr>
                <w:sz w:val="20"/>
                <w:szCs w:val="20"/>
                <w:lang w:val="en-US"/>
              </w:rPr>
              <w:tab/>
            </w:r>
            <w:r w:rsidR="00E05981" w:rsidRPr="00666964">
              <w:rPr>
                <w:sz w:val="20"/>
                <w:szCs w:val="20"/>
              </w:rPr>
              <w:t>Attorney General for Saskatchewan</w:t>
            </w:r>
          </w:p>
          <w:p w:rsidR="00F138C1" w:rsidRPr="00666964" w:rsidRDefault="00F138C1" w:rsidP="00F138C1">
            <w:pPr>
              <w:tabs>
                <w:tab w:val="left" w:pos="-1440"/>
                <w:tab w:val="left" w:pos="-720"/>
              </w:tabs>
              <w:rPr>
                <w:sz w:val="20"/>
                <w:szCs w:val="20"/>
              </w:rPr>
            </w:pPr>
          </w:p>
          <w:p w:rsidR="00F138C1" w:rsidRPr="00666964" w:rsidRDefault="00F138C1" w:rsidP="00F138C1">
            <w:pPr>
              <w:rPr>
                <w:sz w:val="20"/>
                <w:szCs w:val="20"/>
              </w:rPr>
            </w:pPr>
            <w:r w:rsidRPr="00666964">
              <w:rPr>
                <w:sz w:val="20"/>
                <w:szCs w:val="20"/>
              </w:rPr>
              <w:t xml:space="preserve">FILING DATE: </w:t>
            </w:r>
            <w:r w:rsidR="00DA1D48" w:rsidRPr="00666964">
              <w:rPr>
                <w:sz w:val="20"/>
                <w:szCs w:val="20"/>
              </w:rPr>
              <w:t>J</w:t>
            </w:r>
            <w:r w:rsidR="00D063CA" w:rsidRPr="00666964">
              <w:rPr>
                <w:sz w:val="20"/>
                <w:szCs w:val="20"/>
              </w:rPr>
              <w:t>une</w:t>
            </w:r>
            <w:r w:rsidRPr="00666964">
              <w:rPr>
                <w:sz w:val="20"/>
                <w:szCs w:val="20"/>
              </w:rPr>
              <w:t xml:space="preserve"> </w:t>
            </w:r>
            <w:r w:rsidR="00D063CA" w:rsidRPr="00666964">
              <w:rPr>
                <w:sz w:val="20"/>
                <w:szCs w:val="20"/>
              </w:rPr>
              <w:t>17</w:t>
            </w:r>
            <w:r w:rsidRPr="00666964">
              <w:rPr>
                <w:sz w:val="20"/>
                <w:szCs w:val="20"/>
              </w:rPr>
              <w:t>, 20</w:t>
            </w:r>
            <w:r w:rsidR="00DA1D48" w:rsidRPr="00666964">
              <w:rPr>
                <w:sz w:val="20"/>
                <w:szCs w:val="20"/>
              </w:rPr>
              <w:t>20</w:t>
            </w:r>
          </w:p>
          <w:p w:rsidR="004B2E86" w:rsidRPr="00666964" w:rsidRDefault="004B2E86" w:rsidP="00F138C1">
            <w:pPr>
              <w:rPr>
                <w:sz w:val="20"/>
                <w:szCs w:val="20"/>
              </w:rPr>
            </w:pPr>
          </w:p>
          <w:p w:rsidR="00F138C1" w:rsidRPr="00666964" w:rsidRDefault="005B0CA8"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F138C1" w:rsidRPr="00666964" w:rsidRDefault="00F138C1" w:rsidP="00F138C1">
            <w:pPr>
              <w:jc w:val="center"/>
              <w:rPr>
                <w:sz w:val="20"/>
                <w:szCs w:val="20"/>
              </w:rPr>
            </w:pPr>
          </w:p>
          <w:p w:rsidR="004B2E86" w:rsidRPr="00666964" w:rsidRDefault="004B2E86" w:rsidP="00F138C1">
            <w:pPr>
              <w:jc w:val="center"/>
              <w:rPr>
                <w:sz w:val="20"/>
                <w:szCs w:val="20"/>
              </w:rPr>
            </w:pPr>
          </w:p>
          <w:p w:rsidR="00F138C1" w:rsidRPr="00666964" w:rsidRDefault="00F138C1" w:rsidP="00F138C1">
            <w:pPr>
              <w:jc w:val="center"/>
              <w:rPr>
                <w:sz w:val="20"/>
                <w:szCs w:val="20"/>
              </w:rPr>
            </w:pPr>
          </w:p>
        </w:tc>
        <w:tc>
          <w:tcPr>
            <w:tcW w:w="4239" w:type="dxa"/>
            <w:shd w:val="clear" w:color="auto" w:fill="auto"/>
          </w:tcPr>
          <w:p w:rsidR="00F138C1" w:rsidRPr="00666964" w:rsidRDefault="008F590C" w:rsidP="00F138C1">
            <w:pPr>
              <w:rPr>
                <w:b/>
                <w:sz w:val="20"/>
                <w:szCs w:val="20"/>
                <w:lang w:val="en-US"/>
              </w:rPr>
            </w:pPr>
            <w:r w:rsidRPr="00666964">
              <w:rPr>
                <w:b/>
                <w:sz w:val="20"/>
                <w:szCs w:val="20"/>
                <w:lang w:val="en-US"/>
              </w:rPr>
              <w:t>Robert Friesen</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8F590C" w:rsidRPr="00666964">
              <w:rPr>
                <w:sz w:val="20"/>
                <w:szCs w:val="20"/>
                <w:lang w:val="en-US"/>
              </w:rPr>
              <w:t>Breitman, Ariel Z.</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8F590C" w:rsidRPr="00666964">
              <w:rPr>
                <w:sz w:val="20"/>
                <w:szCs w:val="20"/>
                <w:lang w:val="en-US"/>
              </w:rPr>
              <w:t>MLT Aikins LLP</w:t>
            </w:r>
          </w:p>
          <w:p w:rsidR="00F138C1" w:rsidRPr="00666964" w:rsidRDefault="00F138C1" w:rsidP="00F138C1">
            <w:pPr>
              <w:tabs>
                <w:tab w:val="left" w:pos="-1440"/>
                <w:tab w:val="left" w:pos="-720"/>
              </w:tabs>
              <w:rPr>
                <w:sz w:val="20"/>
                <w:szCs w:val="20"/>
                <w:lang w:val="en-US"/>
              </w:rPr>
            </w:pP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8F590C" w:rsidRPr="00666964">
              <w:rPr>
                <w:sz w:val="20"/>
                <w:szCs w:val="20"/>
                <w:lang w:val="en-US"/>
              </w:rPr>
              <w:t>v</w:t>
            </w:r>
            <w:r w:rsidRPr="00666964">
              <w:rPr>
                <w:sz w:val="20"/>
                <w:szCs w:val="20"/>
                <w:lang w:val="en-US"/>
              </w:rPr>
              <w:t>. (39</w:t>
            </w:r>
            <w:r w:rsidR="008F590C" w:rsidRPr="00666964">
              <w:rPr>
                <w:sz w:val="20"/>
                <w:szCs w:val="20"/>
                <w:lang w:val="en-US"/>
              </w:rPr>
              <w:t>216</w:t>
            </w:r>
            <w:r w:rsidRPr="00666964">
              <w:rPr>
                <w:sz w:val="20"/>
                <w:szCs w:val="20"/>
                <w:lang w:val="en-US"/>
              </w:rPr>
              <w:t>)</w:t>
            </w:r>
          </w:p>
          <w:p w:rsidR="00F138C1" w:rsidRPr="00666964" w:rsidRDefault="00F138C1" w:rsidP="00F138C1">
            <w:pPr>
              <w:tabs>
                <w:tab w:val="left" w:pos="-1440"/>
                <w:tab w:val="left" w:pos="-720"/>
              </w:tabs>
              <w:rPr>
                <w:sz w:val="20"/>
                <w:szCs w:val="20"/>
                <w:lang w:val="en-US"/>
              </w:rPr>
            </w:pPr>
          </w:p>
          <w:p w:rsidR="00F138C1" w:rsidRPr="00666964" w:rsidRDefault="008F590C" w:rsidP="00F138C1">
            <w:pPr>
              <w:tabs>
                <w:tab w:val="left" w:pos="-1440"/>
                <w:tab w:val="left" w:pos="-720"/>
              </w:tabs>
              <w:rPr>
                <w:b/>
                <w:sz w:val="20"/>
                <w:szCs w:val="20"/>
                <w:lang w:val="en-US"/>
              </w:rPr>
            </w:pPr>
            <w:r w:rsidRPr="00666964">
              <w:rPr>
                <w:b/>
                <w:sz w:val="20"/>
                <w:szCs w:val="20"/>
                <w:lang w:val="en-US"/>
              </w:rPr>
              <w:t xml:space="preserve">698828 Alberta Ltd. </w:t>
            </w:r>
            <w:r w:rsidR="00F138C1" w:rsidRPr="00666964">
              <w:rPr>
                <w:b/>
                <w:sz w:val="20"/>
                <w:szCs w:val="20"/>
                <w:lang w:val="en-US"/>
              </w:rPr>
              <w:t>(</w:t>
            </w:r>
            <w:r w:rsidRPr="00666964">
              <w:rPr>
                <w:b/>
                <w:sz w:val="20"/>
                <w:szCs w:val="20"/>
                <w:lang w:val="en-US"/>
              </w:rPr>
              <w:t>Alta.</w:t>
            </w:r>
            <w:r w:rsidR="00F138C1" w:rsidRPr="00666964">
              <w:rPr>
                <w:b/>
                <w:sz w:val="20"/>
                <w:szCs w:val="20"/>
                <w:lang w:val="en-US"/>
              </w:rPr>
              <w:t>)</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8F590C" w:rsidRPr="00666964">
              <w:rPr>
                <w:sz w:val="20"/>
                <w:szCs w:val="20"/>
                <w:lang w:val="en-US"/>
              </w:rPr>
              <w:t>McGillivray, Q.C., Douglas A.</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8F590C" w:rsidRPr="00666964">
              <w:rPr>
                <w:sz w:val="20"/>
                <w:szCs w:val="20"/>
                <w:lang w:val="en-US"/>
              </w:rPr>
              <w:t>Burnet, Duckworth &amp; Palmer</w:t>
            </w:r>
          </w:p>
          <w:p w:rsidR="00F138C1" w:rsidRPr="00666964" w:rsidRDefault="00F138C1" w:rsidP="00F138C1">
            <w:pPr>
              <w:tabs>
                <w:tab w:val="left" w:pos="-1440"/>
                <w:tab w:val="left" w:pos="-720"/>
              </w:tabs>
              <w:rPr>
                <w:sz w:val="20"/>
                <w:szCs w:val="20"/>
                <w:lang w:val="en-US"/>
              </w:rPr>
            </w:pPr>
          </w:p>
          <w:p w:rsidR="00F138C1" w:rsidRPr="00666964" w:rsidRDefault="008F590C" w:rsidP="00F138C1">
            <w:pPr>
              <w:rPr>
                <w:sz w:val="20"/>
                <w:szCs w:val="20"/>
                <w:lang w:val="fr-CA"/>
              </w:rPr>
            </w:pPr>
            <w:r w:rsidRPr="00666964">
              <w:rPr>
                <w:sz w:val="20"/>
                <w:szCs w:val="20"/>
                <w:lang w:val="fr-CA"/>
              </w:rPr>
              <w:t xml:space="preserve">FILING </w:t>
            </w:r>
            <w:r w:rsidR="00F138C1" w:rsidRPr="00666964">
              <w:rPr>
                <w:sz w:val="20"/>
                <w:szCs w:val="20"/>
                <w:lang w:val="fr-CA"/>
              </w:rPr>
              <w:t xml:space="preserve">DATE: </w:t>
            </w:r>
            <w:r w:rsidRPr="00666964">
              <w:rPr>
                <w:sz w:val="20"/>
                <w:szCs w:val="20"/>
                <w:lang w:val="fr-CA"/>
              </w:rPr>
              <w:t>June 22,</w:t>
            </w:r>
            <w:r w:rsidR="00F138C1" w:rsidRPr="00666964">
              <w:rPr>
                <w:sz w:val="20"/>
                <w:szCs w:val="20"/>
                <w:lang w:val="fr-CA"/>
              </w:rPr>
              <w:t xml:space="preserve"> 20</w:t>
            </w:r>
            <w:r w:rsidR="00DA1D48" w:rsidRPr="00666964">
              <w:rPr>
                <w:sz w:val="20"/>
                <w:szCs w:val="20"/>
                <w:lang w:val="fr-CA"/>
              </w:rPr>
              <w:t>20</w:t>
            </w:r>
          </w:p>
          <w:p w:rsidR="004B2E86" w:rsidRPr="00666964" w:rsidRDefault="004B2E86" w:rsidP="00F138C1">
            <w:pPr>
              <w:rPr>
                <w:sz w:val="20"/>
                <w:szCs w:val="20"/>
                <w:lang w:val="fr-CA"/>
              </w:rPr>
            </w:pPr>
          </w:p>
          <w:p w:rsidR="00F138C1" w:rsidRPr="00666964" w:rsidRDefault="005B0CA8"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666964" w:rsidTr="00F138C1">
        <w:tc>
          <w:tcPr>
            <w:tcW w:w="4239" w:type="dxa"/>
            <w:shd w:val="clear" w:color="auto" w:fill="auto"/>
          </w:tcPr>
          <w:p w:rsidR="00F138C1" w:rsidRPr="00666964" w:rsidRDefault="005C131C" w:rsidP="00F138C1">
            <w:pPr>
              <w:keepNext/>
              <w:keepLines/>
              <w:tabs>
                <w:tab w:val="left" w:pos="-1440"/>
                <w:tab w:val="left" w:pos="-720"/>
              </w:tabs>
              <w:rPr>
                <w:b/>
                <w:sz w:val="20"/>
                <w:szCs w:val="20"/>
                <w:lang w:val="en-US"/>
              </w:rPr>
            </w:pPr>
            <w:r w:rsidRPr="00666964">
              <w:rPr>
                <w:b/>
                <w:sz w:val="20"/>
                <w:szCs w:val="20"/>
                <w:lang w:val="en-US"/>
              </w:rPr>
              <w:t>Atlantic Packaging Products Ltd.</w:t>
            </w:r>
          </w:p>
          <w:p w:rsidR="00F138C1" w:rsidRPr="00666964" w:rsidRDefault="00F138C1" w:rsidP="00F138C1">
            <w:pPr>
              <w:keepNext/>
              <w:keepLines/>
              <w:tabs>
                <w:tab w:val="left" w:pos="-1440"/>
                <w:tab w:val="left" w:pos="-720"/>
              </w:tabs>
              <w:rPr>
                <w:sz w:val="20"/>
                <w:szCs w:val="20"/>
                <w:lang w:val="en-US"/>
              </w:rPr>
            </w:pPr>
            <w:r w:rsidRPr="00666964">
              <w:rPr>
                <w:sz w:val="20"/>
                <w:szCs w:val="20"/>
                <w:lang w:val="en-US"/>
              </w:rPr>
              <w:tab/>
            </w:r>
            <w:r w:rsidR="005C131C" w:rsidRPr="00666964">
              <w:rPr>
                <w:sz w:val="20"/>
                <w:szCs w:val="20"/>
                <w:lang w:val="en-US"/>
              </w:rPr>
              <w:t>Nixon, Margaret</w:t>
            </w:r>
          </w:p>
          <w:p w:rsidR="00F138C1" w:rsidRPr="00666964" w:rsidRDefault="00F138C1" w:rsidP="00F138C1">
            <w:pPr>
              <w:keepNext/>
              <w:keepLines/>
              <w:tabs>
                <w:tab w:val="left" w:pos="-1440"/>
                <w:tab w:val="left" w:pos="-720"/>
              </w:tabs>
              <w:rPr>
                <w:sz w:val="20"/>
                <w:szCs w:val="20"/>
                <w:lang w:val="en-US"/>
              </w:rPr>
            </w:pPr>
            <w:r w:rsidRPr="00666964">
              <w:rPr>
                <w:sz w:val="20"/>
                <w:szCs w:val="20"/>
                <w:lang w:val="en-US"/>
              </w:rPr>
              <w:tab/>
            </w:r>
            <w:r w:rsidR="005C131C" w:rsidRPr="00666964">
              <w:rPr>
                <w:sz w:val="20"/>
                <w:szCs w:val="20"/>
                <w:lang w:val="en-US"/>
              </w:rPr>
              <w:t>Stikeman Elliott LLP</w:t>
            </w:r>
          </w:p>
          <w:p w:rsidR="00F138C1" w:rsidRPr="00666964" w:rsidRDefault="00F138C1" w:rsidP="00F138C1">
            <w:pPr>
              <w:keepNext/>
              <w:keepLines/>
              <w:tabs>
                <w:tab w:val="left" w:pos="-1440"/>
                <w:tab w:val="left" w:pos="-720"/>
              </w:tabs>
              <w:rPr>
                <w:sz w:val="20"/>
                <w:szCs w:val="20"/>
                <w:lang w:val="en-US"/>
              </w:rPr>
            </w:pPr>
          </w:p>
          <w:p w:rsidR="00F138C1" w:rsidRPr="00666964" w:rsidRDefault="00F138C1" w:rsidP="00F138C1">
            <w:pPr>
              <w:keepNext/>
              <w:keepLines/>
              <w:tabs>
                <w:tab w:val="left" w:pos="-1440"/>
                <w:tab w:val="left" w:pos="-720"/>
              </w:tabs>
              <w:rPr>
                <w:sz w:val="20"/>
                <w:szCs w:val="20"/>
                <w:lang w:val="en-US"/>
              </w:rPr>
            </w:pPr>
            <w:r w:rsidRPr="00666964">
              <w:rPr>
                <w:sz w:val="20"/>
                <w:szCs w:val="20"/>
                <w:lang w:val="en-US"/>
              </w:rPr>
              <w:tab/>
              <w:t>v. (39</w:t>
            </w:r>
            <w:r w:rsidR="005C131C" w:rsidRPr="00666964">
              <w:rPr>
                <w:sz w:val="20"/>
                <w:szCs w:val="20"/>
                <w:lang w:val="en-US"/>
              </w:rPr>
              <w:t>2</w:t>
            </w:r>
            <w:r w:rsidRPr="00666964">
              <w:rPr>
                <w:sz w:val="20"/>
                <w:szCs w:val="20"/>
                <w:lang w:val="en-US"/>
              </w:rPr>
              <w:t>1</w:t>
            </w:r>
            <w:r w:rsidR="005C131C" w:rsidRPr="00666964">
              <w:rPr>
                <w:sz w:val="20"/>
                <w:szCs w:val="20"/>
                <w:lang w:val="en-US"/>
              </w:rPr>
              <w:t>8</w:t>
            </w:r>
            <w:r w:rsidRPr="00666964">
              <w:rPr>
                <w:sz w:val="20"/>
                <w:szCs w:val="20"/>
                <w:lang w:val="en-US"/>
              </w:rPr>
              <w:t>)</w:t>
            </w:r>
          </w:p>
          <w:p w:rsidR="00F138C1" w:rsidRPr="00666964" w:rsidRDefault="00F138C1" w:rsidP="00F138C1">
            <w:pPr>
              <w:keepNext/>
              <w:keepLines/>
              <w:tabs>
                <w:tab w:val="left" w:pos="-1440"/>
                <w:tab w:val="left" w:pos="-720"/>
              </w:tabs>
              <w:rPr>
                <w:sz w:val="20"/>
                <w:szCs w:val="20"/>
                <w:lang w:val="en-US"/>
              </w:rPr>
            </w:pPr>
          </w:p>
          <w:p w:rsidR="00F138C1" w:rsidRPr="00666964" w:rsidRDefault="005C131C" w:rsidP="00F138C1">
            <w:pPr>
              <w:keepNext/>
              <w:keepLines/>
              <w:tabs>
                <w:tab w:val="left" w:pos="-1440"/>
                <w:tab w:val="left" w:pos="-720"/>
              </w:tabs>
              <w:rPr>
                <w:b/>
                <w:sz w:val="20"/>
                <w:szCs w:val="20"/>
                <w:lang w:val="en-US"/>
              </w:rPr>
            </w:pPr>
            <w:r w:rsidRPr="00666964">
              <w:rPr>
                <w:b/>
                <w:sz w:val="20"/>
                <w:szCs w:val="20"/>
                <w:lang w:val="en-US"/>
              </w:rPr>
              <w:t xml:space="preserve">Her Majesty the Queen </w:t>
            </w:r>
            <w:r w:rsidR="00F138C1" w:rsidRPr="00666964">
              <w:rPr>
                <w:b/>
                <w:sz w:val="20"/>
                <w:szCs w:val="20"/>
                <w:lang w:val="en-US"/>
              </w:rPr>
              <w:t>(F.C.)</w:t>
            </w:r>
          </w:p>
          <w:p w:rsidR="00F138C1" w:rsidRPr="00666964" w:rsidRDefault="00F138C1" w:rsidP="00F138C1">
            <w:pPr>
              <w:keepNext/>
              <w:keepLines/>
              <w:tabs>
                <w:tab w:val="left" w:pos="-1440"/>
                <w:tab w:val="left" w:pos="-720"/>
              </w:tabs>
              <w:rPr>
                <w:sz w:val="20"/>
                <w:szCs w:val="20"/>
                <w:lang w:val="en-US"/>
              </w:rPr>
            </w:pPr>
            <w:r w:rsidRPr="00666964">
              <w:rPr>
                <w:sz w:val="20"/>
                <w:szCs w:val="20"/>
                <w:lang w:val="en-US"/>
              </w:rPr>
              <w:tab/>
            </w:r>
            <w:r w:rsidR="005C131C" w:rsidRPr="00666964">
              <w:rPr>
                <w:sz w:val="20"/>
                <w:szCs w:val="20"/>
                <w:lang w:val="en-US"/>
              </w:rPr>
              <w:t>Bartleman, Laurent</w:t>
            </w:r>
          </w:p>
          <w:p w:rsidR="00F138C1" w:rsidRPr="00666964" w:rsidRDefault="00F138C1" w:rsidP="00F138C1">
            <w:pPr>
              <w:keepNext/>
              <w:keepLines/>
              <w:tabs>
                <w:tab w:val="left" w:pos="-1440"/>
                <w:tab w:val="left" w:pos="-720"/>
              </w:tabs>
              <w:rPr>
                <w:sz w:val="20"/>
                <w:szCs w:val="20"/>
                <w:lang w:val="en-US"/>
              </w:rPr>
            </w:pPr>
            <w:r w:rsidRPr="00666964">
              <w:rPr>
                <w:sz w:val="20"/>
                <w:szCs w:val="20"/>
                <w:lang w:val="en-US"/>
              </w:rPr>
              <w:tab/>
            </w:r>
            <w:r w:rsidR="005C131C" w:rsidRPr="00666964">
              <w:rPr>
                <w:sz w:val="20"/>
                <w:szCs w:val="20"/>
                <w:lang w:val="en-US"/>
              </w:rPr>
              <w:t>Deputy Attorney General of Canada</w:t>
            </w:r>
          </w:p>
          <w:p w:rsidR="00F138C1" w:rsidRPr="00666964" w:rsidRDefault="00F138C1" w:rsidP="00F138C1">
            <w:pPr>
              <w:keepNext/>
              <w:keepLines/>
              <w:tabs>
                <w:tab w:val="left" w:pos="-1440"/>
                <w:tab w:val="left" w:pos="-720"/>
              </w:tabs>
              <w:rPr>
                <w:sz w:val="20"/>
                <w:szCs w:val="20"/>
                <w:lang w:val="en-US"/>
              </w:rPr>
            </w:pPr>
          </w:p>
          <w:p w:rsidR="004B2E86" w:rsidRPr="00666964" w:rsidRDefault="00F138C1" w:rsidP="00F138C1">
            <w:pPr>
              <w:rPr>
                <w:sz w:val="20"/>
                <w:szCs w:val="20"/>
                <w:lang w:val="fr-CA"/>
              </w:rPr>
            </w:pPr>
            <w:r w:rsidRPr="00666964">
              <w:rPr>
                <w:sz w:val="20"/>
                <w:szCs w:val="20"/>
                <w:lang w:val="fr-CA"/>
              </w:rPr>
              <w:t xml:space="preserve">FILING DATE: </w:t>
            </w:r>
            <w:r w:rsidR="00DA1D48" w:rsidRPr="00666964">
              <w:rPr>
                <w:sz w:val="20"/>
                <w:szCs w:val="20"/>
                <w:lang w:val="fr-CA"/>
              </w:rPr>
              <w:t>Ju</w:t>
            </w:r>
            <w:r w:rsidR="005C131C" w:rsidRPr="00666964">
              <w:rPr>
                <w:sz w:val="20"/>
                <w:szCs w:val="20"/>
                <w:lang w:val="fr-CA"/>
              </w:rPr>
              <w:t>ne</w:t>
            </w:r>
            <w:r w:rsidRPr="00666964">
              <w:rPr>
                <w:sz w:val="20"/>
                <w:szCs w:val="20"/>
                <w:lang w:val="fr-CA"/>
              </w:rPr>
              <w:t xml:space="preserve"> </w:t>
            </w:r>
            <w:r w:rsidR="005C131C" w:rsidRPr="00666964">
              <w:rPr>
                <w:sz w:val="20"/>
                <w:szCs w:val="20"/>
                <w:lang w:val="fr-CA"/>
              </w:rPr>
              <w:t>23</w:t>
            </w:r>
            <w:r w:rsidRPr="00666964">
              <w:rPr>
                <w:sz w:val="20"/>
                <w:szCs w:val="20"/>
                <w:lang w:val="fr-CA"/>
              </w:rPr>
              <w:t>, 20</w:t>
            </w:r>
            <w:r w:rsidR="00DA1D48" w:rsidRPr="00666964">
              <w:rPr>
                <w:sz w:val="20"/>
                <w:szCs w:val="20"/>
                <w:lang w:val="fr-CA"/>
              </w:rPr>
              <w:t>20</w:t>
            </w:r>
          </w:p>
          <w:p w:rsidR="004B2E86" w:rsidRPr="00666964" w:rsidRDefault="004B2E86" w:rsidP="00F138C1">
            <w:pPr>
              <w:rPr>
                <w:sz w:val="20"/>
                <w:szCs w:val="20"/>
                <w:lang w:val="fr-CA"/>
              </w:rPr>
            </w:pPr>
          </w:p>
          <w:p w:rsidR="00F138C1" w:rsidRPr="00666964" w:rsidRDefault="005B0CA8"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F138C1" w:rsidRPr="00666964" w:rsidRDefault="00F138C1" w:rsidP="00F138C1">
            <w:pPr>
              <w:jc w:val="center"/>
              <w:rPr>
                <w:sz w:val="20"/>
                <w:szCs w:val="20"/>
                <w:lang w:val="en-US"/>
              </w:rPr>
            </w:pPr>
          </w:p>
          <w:p w:rsidR="004B2E86" w:rsidRPr="00666964" w:rsidRDefault="004B2E86" w:rsidP="00F138C1">
            <w:pPr>
              <w:jc w:val="center"/>
              <w:rPr>
                <w:sz w:val="20"/>
                <w:szCs w:val="20"/>
                <w:lang w:val="en-US"/>
              </w:rPr>
            </w:pPr>
          </w:p>
        </w:tc>
        <w:tc>
          <w:tcPr>
            <w:tcW w:w="4239" w:type="dxa"/>
            <w:shd w:val="clear" w:color="auto" w:fill="auto"/>
          </w:tcPr>
          <w:p w:rsidR="00F138C1" w:rsidRPr="00666964" w:rsidRDefault="00101598" w:rsidP="00F138C1">
            <w:pPr>
              <w:rPr>
                <w:b/>
                <w:sz w:val="20"/>
                <w:szCs w:val="20"/>
                <w:lang w:val="en-US"/>
              </w:rPr>
            </w:pPr>
            <w:r w:rsidRPr="00666964">
              <w:rPr>
                <w:b/>
                <w:sz w:val="20"/>
                <w:szCs w:val="20"/>
                <w:lang w:val="en-US"/>
              </w:rPr>
              <w:t>Jenny Tran</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101598" w:rsidRPr="00666964">
              <w:rPr>
                <w:sz w:val="20"/>
                <w:szCs w:val="20"/>
                <w:lang w:val="en-US"/>
              </w:rPr>
              <w:t>Jenny Tran</w:t>
            </w:r>
          </w:p>
          <w:p w:rsidR="00F138C1" w:rsidRPr="00666964" w:rsidRDefault="00F138C1" w:rsidP="00F138C1">
            <w:pPr>
              <w:tabs>
                <w:tab w:val="left" w:pos="-1440"/>
                <w:tab w:val="left" w:pos="-720"/>
              </w:tabs>
              <w:rPr>
                <w:sz w:val="20"/>
                <w:szCs w:val="20"/>
                <w:lang w:val="en-US"/>
              </w:rPr>
            </w:pP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101598" w:rsidRPr="00666964">
              <w:rPr>
                <w:sz w:val="20"/>
                <w:szCs w:val="20"/>
                <w:lang w:val="en-US"/>
              </w:rPr>
              <w:t>v</w:t>
            </w:r>
            <w:r w:rsidRPr="00666964">
              <w:rPr>
                <w:sz w:val="20"/>
                <w:szCs w:val="20"/>
                <w:lang w:val="en-US"/>
              </w:rPr>
              <w:t>. (392</w:t>
            </w:r>
            <w:r w:rsidR="00101598" w:rsidRPr="00666964">
              <w:rPr>
                <w:sz w:val="20"/>
                <w:szCs w:val="20"/>
                <w:lang w:val="en-US"/>
              </w:rPr>
              <w:t>19</w:t>
            </w:r>
            <w:r w:rsidRPr="00666964">
              <w:rPr>
                <w:sz w:val="20"/>
                <w:szCs w:val="20"/>
                <w:lang w:val="en-US"/>
              </w:rPr>
              <w:t>)</w:t>
            </w:r>
          </w:p>
          <w:p w:rsidR="00F138C1" w:rsidRPr="00666964" w:rsidRDefault="00F138C1" w:rsidP="00F138C1">
            <w:pPr>
              <w:tabs>
                <w:tab w:val="left" w:pos="-1440"/>
                <w:tab w:val="left" w:pos="-720"/>
              </w:tabs>
              <w:rPr>
                <w:sz w:val="20"/>
                <w:szCs w:val="20"/>
                <w:lang w:val="en-US"/>
              </w:rPr>
            </w:pPr>
          </w:p>
          <w:p w:rsidR="00F138C1" w:rsidRPr="00666964" w:rsidRDefault="00101598" w:rsidP="00F138C1">
            <w:pPr>
              <w:tabs>
                <w:tab w:val="left" w:pos="-1440"/>
                <w:tab w:val="left" w:pos="-720"/>
              </w:tabs>
              <w:rPr>
                <w:b/>
                <w:sz w:val="20"/>
                <w:szCs w:val="20"/>
                <w:lang w:val="en-US"/>
              </w:rPr>
            </w:pPr>
            <w:r w:rsidRPr="00666964">
              <w:rPr>
                <w:b/>
                <w:sz w:val="20"/>
                <w:szCs w:val="20"/>
                <w:lang w:val="en-US"/>
              </w:rPr>
              <w:t>Her Majesty the Queen</w:t>
            </w:r>
            <w:r w:rsidR="00F138C1" w:rsidRPr="00666964">
              <w:rPr>
                <w:sz w:val="20"/>
                <w:szCs w:val="20"/>
                <w:lang w:val="en-US"/>
              </w:rPr>
              <w:t xml:space="preserve"> </w:t>
            </w:r>
            <w:r w:rsidR="00F138C1" w:rsidRPr="00666964">
              <w:rPr>
                <w:b/>
                <w:sz w:val="20"/>
                <w:szCs w:val="20"/>
                <w:lang w:val="en-US"/>
              </w:rPr>
              <w:t>(</w:t>
            </w:r>
            <w:r w:rsidRPr="00666964">
              <w:rPr>
                <w:b/>
                <w:sz w:val="20"/>
                <w:szCs w:val="20"/>
                <w:lang w:val="en-US"/>
              </w:rPr>
              <w:t>Ont.</w:t>
            </w:r>
            <w:r w:rsidR="00F138C1" w:rsidRPr="00666964">
              <w:rPr>
                <w:b/>
                <w:sz w:val="20"/>
                <w:szCs w:val="20"/>
                <w:lang w:val="en-US"/>
              </w:rPr>
              <w:t>)</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101598" w:rsidRPr="00666964">
              <w:rPr>
                <w:sz w:val="20"/>
                <w:szCs w:val="20"/>
                <w:lang w:val="en-US"/>
              </w:rPr>
              <w:t>Rawluk, Kevin</w:t>
            </w:r>
          </w:p>
          <w:p w:rsidR="00F138C1" w:rsidRPr="00666964" w:rsidRDefault="00F138C1" w:rsidP="00F138C1">
            <w:pPr>
              <w:tabs>
                <w:tab w:val="left" w:pos="-1440"/>
                <w:tab w:val="left" w:pos="-720"/>
              </w:tabs>
              <w:rPr>
                <w:sz w:val="20"/>
                <w:szCs w:val="20"/>
                <w:lang w:val="en-US"/>
              </w:rPr>
            </w:pPr>
            <w:r w:rsidRPr="00666964">
              <w:rPr>
                <w:sz w:val="20"/>
                <w:szCs w:val="20"/>
                <w:lang w:val="en-US"/>
              </w:rPr>
              <w:tab/>
            </w:r>
            <w:r w:rsidR="00101598" w:rsidRPr="00666964">
              <w:rPr>
                <w:sz w:val="20"/>
                <w:szCs w:val="20"/>
                <w:lang w:val="en-US"/>
              </w:rPr>
              <w:t>Crown Law Office - Criminal</w:t>
            </w:r>
          </w:p>
          <w:p w:rsidR="00F138C1" w:rsidRPr="00666964" w:rsidRDefault="00F138C1" w:rsidP="00F138C1">
            <w:pPr>
              <w:tabs>
                <w:tab w:val="left" w:pos="-1440"/>
                <w:tab w:val="left" w:pos="-720"/>
              </w:tabs>
              <w:rPr>
                <w:sz w:val="20"/>
                <w:szCs w:val="20"/>
                <w:lang w:val="en-US"/>
              </w:rPr>
            </w:pPr>
          </w:p>
          <w:p w:rsidR="00F138C1" w:rsidRPr="00666964" w:rsidRDefault="00101598" w:rsidP="00F138C1">
            <w:pPr>
              <w:rPr>
                <w:sz w:val="20"/>
                <w:szCs w:val="20"/>
                <w:lang w:val="fr-CA"/>
              </w:rPr>
            </w:pPr>
            <w:r w:rsidRPr="00666964">
              <w:rPr>
                <w:sz w:val="20"/>
                <w:szCs w:val="20"/>
                <w:lang w:val="fr-CA"/>
              </w:rPr>
              <w:t xml:space="preserve">FILING </w:t>
            </w:r>
            <w:r w:rsidR="00F138C1" w:rsidRPr="00666964">
              <w:rPr>
                <w:sz w:val="20"/>
                <w:szCs w:val="20"/>
                <w:lang w:val="fr-CA"/>
              </w:rPr>
              <w:t xml:space="preserve">DATE: </w:t>
            </w:r>
            <w:r w:rsidRPr="00666964">
              <w:rPr>
                <w:sz w:val="20"/>
                <w:szCs w:val="20"/>
                <w:lang w:val="fr-CA"/>
              </w:rPr>
              <w:t>June 24,</w:t>
            </w:r>
            <w:r w:rsidR="00F138C1" w:rsidRPr="00666964">
              <w:rPr>
                <w:sz w:val="20"/>
                <w:szCs w:val="20"/>
                <w:lang w:val="fr-CA"/>
              </w:rPr>
              <w:t xml:space="preserve"> 20</w:t>
            </w:r>
            <w:r w:rsidR="00DA1D48" w:rsidRPr="00666964">
              <w:rPr>
                <w:sz w:val="20"/>
                <w:szCs w:val="20"/>
                <w:lang w:val="fr-CA"/>
              </w:rPr>
              <w:t>20</w:t>
            </w:r>
          </w:p>
          <w:p w:rsidR="004B2E86" w:rsidRPr="00666964" w:rsidRDefault="004B2E86" w:rsidP="00F138C1">
            <w:pPr>
              <w:rPr>
                <w:sz w:val="20"/>
                <w:szCs w:val="20"/>
                <w:lang w:val="fr-CA"/>
              </w:rPr>
            </w:pPr>
          </w:p>
          <w:p w:rsidR="00F138C1" w:rsidRPr="00666964" w:rsidRDefault="005B0CA8"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666964" w:rsidTr="00F138C1">
        <w:tc>
          <w:tcPr>
            <w:tcW w:w="4239" w:type="dxa"/>
            <w:shd w:val="clear" w:color="auto" w:fill="auto"/>
          </w:tcPr>
          <w:p w:rsidR="00DA1D48" w:rsidRPr="00666964" w:rsidRDefault="00A049C6" w:rsidP="00DA1D48">
            <w:pPr>
              <w:rPr>
                <w:sz w:val="20"/>
                <w:szCs w:val="20"/>
                <w:lang w:val="en-US"/>
              </w:rPr>
            </w:pPr>
            <w:r w:rsidRPr="00666964">
              <w:rPr>
                <w:b/>
                <w:sz w:val="20"/>
                <w:szCs w:val="20"/>
                <w:lang w:val="en-US"/>
              </w:rPr>
              <w:t>Her Majesty the Queen</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Chasson, Elizabeth</w:t>
            </w:r>
          </w:p>
          <w:p w:rsidR="00A049C6" w:rsidRPr="00666964" w:rsidRDefault="00A049C6" w:rsidP="00DA1D48">
            <w:pPr>
              <w:tabs>
                <w:tab w:val="left" w:pos="-1440"/>
                <w:tab w:val="left" w:pos="-720"/>
              </w:tabs>
              <w:rPr>
                <w:sz w:val="20"/>
                <w:szCs w:val="20"/>
                <w:lang w:val="en-US"/>
              </w:rPr>
            </w:pPr>
            <w:r w:rsidRPr="00666964">
              <w:rPr>
                <w:sz w:val="20"/>
                <w:szCs w:val="20"/>
                <w:lang w:val="en-US"/>
              </w:rPr>
              <w:tab/>
              <w:t>Attorney General of Canada</w:t>
            </w:r>
          </w:p>
          <w:p w:rsidR="00DA1D48" w:rsidRPr="00666964" w:rsidRDefault="00DA1D48" w:rsidP="00DA1D48">
            <w:pPr>
              <w:tabs>
                <w:tab w:val="left" w:pos="-1440"/>
                <w:tab w:val="left" w:pos="-720"/>
              </w:tabs>
              <w:rPr>
                <w:sz w:val="20"/>
                <w:szCs w:val="20"/>
                <w:lang w:val="en-US"/>
              </w:rPr>
            </w:pPr>
          </w:p>
          <w:p w:rsidR="00DA1D48" w:rsidRPr="00666964" w:rsidRDefault="00DA1D48" w:rsidP="00DA1D48">
            <w:pPr>
              <w:tabs>
                <w:tab w:val="left" w:pos="-1440"/>
                <w:tab w:val="left" w:pos="-720"/>
              </w:tabs>
              <w:rPr>
                <w:sz w:val="20"/>
                <w:szCs w:val="20"/>
                <w:lang w:val="en-US"/>
              </w:rPr>
            </w:pPr>
            <w:r w:rsidRPr="00666964">
              <w:rPr>
                <w:sz w:val="20"/>
                <w:szCs w:val="20"/>
                <w:lang w:val="en-US"/>
              </w:rPr>
              <w:tab/>
              <w:t>v. (39</w:t>
            </w:r>
            <w:r w:rsidR="00A049C6" w:rsidRPr="00666964">
              <w:rPr>
                <w:sz w:val="20"/>
                <w:szCs w:val="20"/>
                <w:lang w:val="en-US"/>
              </w:rPr>
              <w:t>220</w:t>
            </w:r>
            <w:r w:rsidRPr="00666964">
              <w:rPr>
                <w:sz w:val="20"/>
                <w:szCs w:val="20"/>
                <w:lang w:val="en-US"/>
              </w:rPr>
              <w:t>)</w:t>
            </w:r>
          </w:p>
          <w:p w:rsidR="00DA1D48" w:rsidRPr="00666964" w:rsidRDefault="00DA1D48" w:rsidP="00DA1D48">
            <w:pPr>
              <w:tabs>
                <w:tab w:val="left" w:pos="-1440"/>
                <w:tab w:val="left" w:pos="-720"/>
              </w:tabs>
              <w:rPr>
                <w:sz w:val="20"/>
                <w:szCs w:val="20"/>
                <w:lang w:val="en-US"/>
              </w:rPr>
            </w:pPr>
          </w:p>
          <w:p w:rsidR="00DA1D48" w:rsidRPr="00666964" w:rsidRDefault="00A049C6" w:rsidP="00DA1D48">
            <w:pPr>
              <w:tabs>
                <w:tab w:val="left" w:pos="-1440"/>
                <w:tab w:val="left" w:pos="-720"/>
              </w:tabs>
              <w:rPr>
                <w:b/>
                <w:sz w:val="20"/>
                <w:szCs w:val="20"/>
                <w:lang w:val="en-US"/>
              </w:rPr>
            </w:pPr>
            <w:r w:rsidRPr="00666964">
              <w:rPr>
                <w:b/>
                <w:sz w:val="20"/>
                <w:szCs w:val="20"/>
                <w:lang w:val="en-US"/>
              </w:rPr>
              <w:t xml:space="preserve">Loblaw Financial Holdings Inc. </w:t>
            </w:r>
            <w:r w:rsidR="00DA1D48" w:rsidRPr="00666964">
              <w:rPr>
                <w:b/>
                <w:sz w:val="20"/>
                <w:szCs w:val="20"/>
                <w:lang w:val="en-US"/>
              </w:rPr>
              <w:t>(</w:t>
            </w:r>
            <w:r w:rsidRPr="00666964">
              <w:rPr>
                <w:b/>
                <w:sz w:val="20"/>
                <w:szCs w:val="20"/>
                <w:lang w:val="en-US"/>
              </w:rPr>
              <w:t>F.C.</w:t>
            </w:r>
            <w:r w:rsidR="00DA1D48" w:rsidRPr="00666964">
              <w:rPr>
                <w:b/>
                <w:sz w:val="20"/>
                <w:szCs w:val="20"/>
                <w:lang w:val="en-US"/>
              </w:rPr>
              <w:t>)</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Meghji, Al</w:t>
            </w:r>
          </w:p>
          <w:p w:rsidR="00DA1D48" w:rsidRPr="00666964" w:rsidRDefault="00DA1D48" w:rsidP="00DA1D48">
            <w:pPr>
              <w:tabs>
                <w:tab w:val="left" w:pos="-1440"/>
                <w:tab w:val="left" w:pos="-720"/>
              </w:tabs>
              <w:rPr>
                <w:sz w:val="20"/>
                <w:szCs w:val="20"/>
              </w:rPr>
            </w:pPr>
            <w:r w:rsidRPr="00666964">
              <w:rPr>
                <w:sz w:val="20"/>
                <w:szCs w:val="20"/>
                <w:lang w:val="en-US"/>
              </w:rPr>
              <w:tab/>
            </w:r>
            <w:r w:rsidR="00A049C6" w:rsidRPr="00666964">
              <w:rPr>
                <w:sz w:val="20"/>
                <w:szCs w:val="20"/>
              </w:rPr>
              <w:t>Osler, Hoskin &amp; Harcourt LLP</w:t>
            </w:r>
          </w:p>
          <w:p w:rsidR="00DA1D48" w:rsidRPr="00666964" w:rsidRDefault="00DA1D48" w:rsidP="00DA1D48">
            <w:pPr>
              <w:tabs>
                <w:tab w:val="left" w:pos="-1440"/>
                <w:tab w:val="left" w:pos="-720"/>
              </w:tabs>
              <w:rPr>
                <w:sz w:val="20"/>
                <w:szCs w:val="20"/>
              </w:rPr>
            </w:pPr>
          </w:p>
          <w:p w:rsidR="00DA1D48" w:rsidRPr="00666964" w:rsidRDefault="00DA1D48" w:rsidP="00DA1D48">
            <w:pPr>
              <w:rPr>
                <w:sz w:val="20"/>
                <w:szCs w:val="20"/>
              </w:rPr>
            </w:pPr>
            <w:r w:rsidRPr="00666964">
              <w:rPr>
                <w:sz w:val="20"/>
                <w:szCs w:val="20"/>
              </w:rPr>
              <w:t xml:space="preserve">FILING DATE: </w:t>
            </w:r>
            <w:r w:rsidR="00A049C6" w:rsidRPr="00666964">
              <w:rPr>
                <w:sz w:val="20"/>
                <w:szCs w:val="20"/>
              </w:rPr>
              <w:t>June</w:t>
            </w:r>
            <w:r w:rsidRPr="00666964">
              <w:rPr>
                <w:sz w:val="20"/>
                <w:szCs w:val="20"/>
              </w:rPr>
              <w:t xml:space="preserve"> </w:t>
            </w:r>
            <w:r w:rsidR="00A049C6" w:rsidRPr="00666964">
              <w:rPr>
                <w:sz w:val="20"/>
                <w:szCs w:val="20"/>
              </w:rPr>
              <w:t>24</w:t>
            </w:r>
            <w:r w:rsidRPr="00666964">
              <w:rPr>
                <w:sz w:val="20"/>
                <w:szCs w:val="20"/>
              </w:rPr>
              <w:t>, 2020</w:t>
            </w:r>
          </w:p>
          <w:p w:rsidR="00DA1D48" w:rsidRPr="00666964" w:rsidRDefault="00DA1D48" w:rsidP="00DA1D48">
            <w:pPr>
              <w:rPr>
                <w:sz w:val="20"/>
                <w:szCs w:val="20"/>
              </w:rPr>
            </w:pPr>
          </w:p>
          <w:p w:rsidR="00F138C1" w:rsidRPr="00666964" w:rsidRDefault="005B0CA8"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666964" w:rsidRDefault="00F138C1"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p w:rsidR="00DA1D48" w:rsidRPr="00666964" w:rsidRDefault="00DA1D48" w:rsidP="00F138C1">
            <w:pPr>
              <w:jc w:val="center"/>
              <w:rPr>
                <w:sz w:val="20"/>
                <w:szCs w:val="20"/>
                <w:lang w:val="en-US"/>
              </w:rPr>
            </w:pPr>
          </w:p>
        </w:tc>
        <w:tc>
          <w:tcPr>
            <w:tcW w:w="4239" w:type="dxa"/>
            <w:shd w:val="clear" w:color="auto" w:fill="auto"/>
          </w:tcPr>
          <w:p w:rsidR="00DA1D48" w:rsidRPr="00666964" w:rsidRDefault="00A049C6" w:rsidP="00DA1D48">
            <w:pPr>
              <w:rPr>
                <w:b/>
                <w:sz w:val="20"/>
                <w:szCs w:val="20"/>
                <w:lang w:val="en-US"/>
              </w:rPr>
            </w:pPr>
            <w:r w:rsidRPr="00666964">
              <w:rPr>
                <w:b/>
                <w:sz w:val="20"/>
                <w:szCs w:val="20"/>
                <w:lang w:val="en-US"/>
              </w:rPr>
              <w:t>Mazen Geliedan</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Hudani, Farrah</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Christen Seaton Burrison Hudani LLP</w:t>
            </w:r>
          </w:p>
          <w:p w:rsidR="00DA1D48" w:rsidRPr="00666964" w:rsidRDefault="00DA1D48" w:rsidP="00DA1D48">
            <w:pPr>
              <w:tabs>
                <w:tab w:val="left" w:pos="-1440"/>
                <w:tab w:val="left" w:pos="-720"/>
              </w:tabs>
              <w:rPr>
                <w:sz w:val="20"/>
                <w:szCs w:val="20"/>
                <w:lang w:val="en-US"/>
              </w:rPr>
            </w:pP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v</w:t>
            </w:r>
            <w:r w:rsidRPr="00666964">
              <w:rPr>
                <w:sz w:val="20"/>
                <w:szCs w:val="20"/>
                <w:lang w:val="en-US"/>
              </w:rPr>
              <w:t>. (39</w:t>
            </w:r>
            <w:r w:rsidR="00A049C6" w:rsidRPr="00666964">
              <w:rPr>
                <w:sz w:val="20"/>
                <w:szCs w:val="20"/>
                <w:lang w:val="en-US"/>
              </w:rPr>
              <w:t>221</w:t>
            </w:r>
            <w:r w:rsidRPr="00666964">
              <w:rPr>
                <w:sz w:val="20"/>
                <w:szCs w:val="20"/>
                <w:lang w:val="en-US"/>
              </w:rPr>
              <w:t>)</w:t>
            </w:r>
          </w:p>
          <w:p w:rsidR="00DA1D48" w:rsidRPr="00666964" w:rsidRDefault="00DA1D48" w:rsidP="00DA1D48">
            <w:pPr>
              <w:tabs>
                <w:tab w:val="left" w:pos="-1440"/>
                <w:tab w:val="left" w:pos="-720"/>
              </w:tabs>
              <w:rPr>
                <w:sz w:val="20"/>
                <w:szCs w:val="20"/>
                <w:lang w:val="en-US"/>
              </w:rPr>
            </w:pPr>
          </w:p>
          <w:p w:rsidR="00DA1D48" w:rsidRPr="00666964" w:rsidRDefault="00A049C6" w:rsidP="00DA1D48">
            <w:pPr>
              <w:tabs>
                <w:tab w:val="left" w:pos="-1440"/>
                <w:tab w:val="left" w:pos="-720"/>
              </w:tabs>
              <w:rPr>
                <w:b/>
                <w:sz w:val="20"/>
                <w:szCs w:val="20"/>
                <w:lang w:val="en-US"/>
              </w:rPr>
            </w:pPr>
            <w:r w:rsidRPr="00666964">
              <w:rPr>
                <w:b/>
                <w:sz w:val="20"/>
                <w:szCs w:val="20"/>
                <w:lang w:val="en-US"/>
              </w:rPr>
              <w:t xml:space="preserve">Abir Rawdah </w:t>
            </w:r>
            <w:r w:rsidR="00DA1D48" w:rsidRPr="00666964">
              <w:rPr>
                <w:b/>
                <w:sz w:val="20"/>
                <w:szCs w:val="20"/>
                <w:lang w:val="en-US"/>
              </w:rPr>
              <w:t>(</w:t>
            </w:r>
            <w:r w:rsidRPr="00666964">
              <w:rPr>
                <w:b/>
                <w:sz w:val="20"/>
                <w:szCs w:val="20"/>
                <w:lang w:val="en-US"/>
              </w:rPr>
              <w:t>Ont.</w:t>
            </w:r>
            <w:r w:rsidR="00DA1D48" w:rsidRPr="00666964">
              <w:rPr>
                <w:b/>
                <w:sz w:val="20"/>
                <w:szCs w:val="20"/>
                <w:lang w:val="en-US"/>
              </w:rPr>
              <w:t>)</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Stangarone, Michael J.</w:t>
            </w:r>
          </w:p>
          <w:p w:rsidR="00DA1D48" w:rsidRPr="00666964" w:rsidRDefault="00DA1D48" w:rsidP="00DA1D48">
            <w:pPr>
              <w:tabs>
                <w:tab w:val="left" w:pos="-1440"/>
                <w:tab w:val="left" w:pos="-720"/>
              </w:tabs>
              <w:rPr>
                <w:sz w:val="20"/>
                <w:szCs w:val="20"/>
                <w:lang w:val="en-US"/>
              </w:rPr>
            </w:pPr>
            <w:r w:rsidRPr="00666964">
              <w:rPr>
                <w:sz w:val="20"/>
                <w:szCs w:val="20"/>
                <w:lang w:val="en-US"/>
              </w:rPr>
              <w:tab/>
            </w:r>
            <w:r w:rsidR="00A049C6" w:rsidRPr="00666964">
              <w:rPr>
                <w:sz w:val="20"/>
                <w:szCs w:val="20"/>
                <w:lang w:val="en-US"/>
              </w:rPr>
              <w:t>MacDonald &amp; Partners LLP</w:t>
            </w:r>
          </w:p>
          <w:p w:rsidR="00DA1D48" w:rsidRPr="00666964" w:rsidRDefault="00DA1D48" w:rsidP="00DA1D48">
            <w:pPr>
              <w:tabs>
                <w:tab w:val="left" w:pos="-1440"/>
                <w:tab w:val="left" w:pos="-720"/>
              </w:tabs>
              <w:rPr>
                <w:sz w:val="20"/>
                <w:szCs w:val="20"/>
                <w:lang w:val="en-US"/>
              </w:rPr>
            </w:pPr>
          </w:p>
          <w:p w:rsidR="00DA1D48" w:rsidRPr="00666964" w:rsidRDefault="00A049C6" w:rsidP="00DA1D48">
            <w:pPr>
              <w:rPr>
                <w:sz w:val="20"/>
                <w:szCs w:val="20"/>
                <w:lang w:val="fr-CA"/>
              </w:rPr>
            </w:pPr>
            <w:r w:rsidRPr="00666964">
              <w:rPr>
                <w:sz w:val="20"/>
                <w:szCs w:val="20"/>
                <w:lang w:val="fr-CA"/>
              </w:rPr>
              <w:t xml:space="preserve">FILING </w:t>
            </w:r>
            <w:r w:rsidR="00DA1D48" w:rsidRPr="00666964">
              <w:rPr>
                <w:sz w:val="20"/>
                <w:szCs w:val="20"/>
                <w:lang w:val="fr-CA"/>
              </w:rPr>
              <w:t xml:space="preserve">DATE: </w:t>
            </w:r>
            <w:r w:rsidRPr="00666964">
              <w:rPr>
                <w:sz w:val="20"/>
                <w:szCs w:val="20"/>
                <w:lang w:val="fr-CA"/>
              </w:rPr>
              <w:t>June</w:t>
            </w:r>
            <w:r w:rsidR="00DA1D48" w:rsidRPr="00666964">
              <w:rPr>
                <w:sz w:val="20"/>
                <w:szCs w:val="20"/>
                <w:lang w:val="fr-CA"/>
              </w:rPr>
              <w:t xml:space="preserve"> </w:t>
            </w:r>
            <w:r w:rsidRPr="00666964">
              <w:rPr>
                <w:sz w:val="20"/>
                <w:szCs w:val="20"/>
                <w:lang w:val="fr-CA"/>
              </w:rPr>
              <w:t>24,</w:t>
            </w:r>
            <w:r w:rsidR="00DA1D48" w:rsidRPr="00666964">
              <w:rPr>
                <w:sz w:val="20"/>
                <w:szCs w:val="20"/>
                <w:lang w:val="fr-CA"/>
              </w:rPr>
              <w:t xml:space="preserve"> 2020</w:t>
            </w:r>
          </w:p>
          <w:p w:rsidR="00DA1D48" w:rsidRPr="00666964" w:rsidRDefault="00DA1D48" w:rsidP="00DA1D48">
            <w:pPr>
              <w:rPr>
                <w:sz w:val="20"/>
                <w:szCs w:val="20"/>
                <w:lang w:val="fr-CA"/>
              </w:rPr>
            </w:pPr>
          </w:p>
          <w:p w:rsidR="00F138C1" w:rsidRPr="00666964" w:rsidRDefault="005B0CA8" w:rsidP="00DA1D48">
            <w:pPr>
              <w:rPr>
                <w:sz w:val="20"/>
                <w:szCs w:val="20"/>
                <w:lang w:val="fr-CA"/>
              </w:rPr>
            </w:pPr>
            <w:r>
              <w:rPr>
                <w:sz w:val="20"/>
                <w:szCs w:val="20"/>
                <w:lang w:val="fr-CA"/>
              </w:rPr>
              <w:pict>
                <v:rect id="_x0000_i1030" style="width:108pt;height:1pt" o:hrpct="0" o:hrstd="t" o:hrnoshade="t" o:hr="t" fillcolor="black [3213]" stroked="f"/>
              </w:pict>
            </w:r>
          </w:p>
        </w:tc>
      </w:tr>
    </w:tbl>
    <w:p w:rsidR="003039E3" w:rsidRPr="00666964" w:rsidRDefault="003039E3">
      <w:r w:rsidRPr="00666964">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05229F" w:rsidRPr="00666964" w:rsidTr="00F138C1">
        <w:tc>
          <w:tcPr>
            <w:tcW w:w="4239" w:type="dxa"/>
            <w:shd w:val="clear" w:color="auto" w:fill="auto"/>
          </w:tcPr>
          <w:p w:rsidR="0005229F" w:rsidRPr="00666964" w:rsidRDefault="003039E3" w:rsidP="0005229F">
            <w:pPr>
              <w:rPr>
                <w:sz w:val="20"/>
                <w:szCs w:val="20"/>
                <w:lang w:val="fr-CA"/>
              </w:rPr>
            </w:pPr>
            <w:r w:rsidRPr="00666964">
              <w:rPr>
                <w:b/>
                <w:sz w:val="20"/>
                <w:szCs w:val="20"/>
                <w:lang w:val="fr-CA"/>
              </w:rPr>
              <w:t>Michael Novac, et al.</w:t>
            </w:r>
          </w:p>
          <w:p w:rsidR="0005229F" w:rsidRPr="00666964" w:rsidRDefault="0005229F" w:rsidP="0005229F">
            <w:pPr>
              <w:tabs>
                <w:tab w:val="left" w:pos="-1440"/>
                <w:tab w:val="left" w:pos="-720"/>
              </w:tabs>
              <w:rPr>
                <w:sz w:val="20"/>
                <w:szCs w:val="20"/>
                <w:lang w:val="fr-CA"/>
              </w:rPr>
            </w:pPr>
            <w:r w:rsidRPr="00666964">
              <w:rPr>
                <w:sz w:val="20"/>
                <w:szCs w:val="20"/>
                <w:lang w:val="fr-CA"/>
              </w:rPr>
              <w:tab/>
            </w:r>
            <w:r w:rsidR="003039E3" w:rsidRPr="00666964">
              <w:rPr>
                <w:sz w:val="20"/>
                <w:szCs w:val="20"/>
                <w:lang w:val="fr-CA"/>
              </w:rPr>
              <w:t>Cherniak, Q.C., Earl A.</w:t>
            </w:r>
          </w:p>
          <w:p w:rsidR="003039E3" w:rsidRPr="00666964" w:rsidRDefault="003039E3" w:rsidP="0005229F">
            <w:pPr>
              <w:tabs>
                <w:tab w:val="left" w:pos="-1440"/>
                <w:tab w:val="left" w:pos="-720"/>
              </w:tabs>
              <w:rPr>
                <w:sz w:val="20"/>
                <w:szCs w:val="20"/>
                <w:lang w:val="en-US"/>
              </w:rPr>
            </w:pPr>
            <w:r w:rsidRPr="00666964">
              <w:rPr>
                <w:sz w:val="20"/>
                <w:szCs w:val="20"/>
                <w:lang w:val="fr-CA"/>
              </w:rPr>
              <w:tab/>
            </w:r>
            <w:r w:rsidRPr="00666964">
              <w:rPr>
                <w:sz w:val="20"/>
                <w:szCs w:val="20"/>
                <w:lang w:val="en-US"/>
              </w:rPr>
              <w:t>Lerners LLP</w:t>
            </w:r>
          </w:p>
          <w:p w:rsidR="0005229F" w:rsidRPr="00666964" w:rsidRDefault="0005229F" w:rsidP="0005229F">
            <w:pPr>
              <w:tabs>
                <w:tab w:val="left" w:pos="-1440"/>
                <w:tab w:val="left" w:pos="-720"/>
              </w:tabs>
              <w:rPr>
                <w:sz w:val="20"/>
                <w:szCs w:val="20"/>
                <w:lang w:val="en-US"/>
              </w:rPr>
            </w:pPr>
          </w:p>
          <w:p w:rsidR="0005229F" w:rsidRPr="00666964" w:rsidRDefault="0005229F" w:rsidP="0005229F">
            <w:pPr>
              <w:tabs>
                <w:tab w:val="left" w:pos="-1440"/>
                <w:tab w:val="left" w:pos="-720"/>
              </w:tabs>
              <w:rPr>
                <w:sz w:val="20"/>
                <w:szCs w:val="20"/>
                <w:lang w:val="en-US"/>
              </w:rPr>
            </w:pPr>
            <w:r w:rsidRPr="00666964">
              <w:rPr>
                <w:sz w:val="20"/>
                <w:szCs w:val="20"/>
                <w:lang w:val="en-US"/>
              </w:rPr>
              <w:tab/>
              <w:t>v. (39</w:t>
            </w:r>
            <w:r w:rsidR="003039E3" w:rsidRPr="00666964">
              <w:rPr>
                <w:sz w:val="20"/>
                <w:szCs w:val="20"/>
                <w:lang w:val="en-US"/>
              </w:rPr>
              <w:t>2</w:t>
            </w:r>
            <w:r w:rsidRPr="00666964">
              <w:rPr>
                <w:sz w:val="20"/>
                <w:szCs w:val="20"/>
                <w:lang w:val="en-US"/>
              </w:rPr>
              <w:t>1</w:t>
            </w:r>
            <w:r w:rsidR="003039E3" w:rsidRPr="00666964">
              <w:rPr>
                <w:sz w:val="20"/>
                <w:szCs w:val="20"/>
                <w:lang w:val="en-US"/>
              </w:rPr>
              <w:t>7</w:t>
            </w:r>
            <w:r w:rsidRPr="00666964">
              <w:rPr>
                <w:sz w:val="20"/>
                <w:szCs w:val="20"/>
                <w:lang w:val="en-US"/>
              </w:rPr>
              <w:t>)</w:t>
            </w:r>
          </w:p>
          <w:p w:rsidR="0005229F" w:rsidRPr="00666964" w:rsidRDefault="0005229F" w:rsidP="0005229F">
            <w:pPr>
              <w:tabs>
                <w:tab w:val="left" w:pos="-1440"/>
                <w:tab w:val="left" w:pos="-720"/>
              </w:tabs>
              <w:rPr>
                <w:sz w:val="20"/>
                <w:szCs w:val="20"/>
                <w:lang w:val="en-US"/>
              </w:rPr>
            </w:pPr>
          </w:p>
          <w:p w:rsidR="0005229F" w:rsidRPr="00666964" w:rsidRDefault="003039E3" w:rsidP="0005229F">
            <w:pPr>
              <w:tabs>
                <w:tab w:val="left" w:pos="-1440"/>
                <w:tab w:val="left" w:pos="-720"/>
              </w:tabs>
              <w:rPr>
                <w:b/>
                <w:sz w:val="20"/>
                <w:szCs w:val="20"/>
                <w:lang w:val="en-US"/>
              </w:rPr>
            </w:pPr>
            <w:r w:rsidRPr="00666964">
              <w:rPr>
                <w:b/>
                <w:sz w:val="20"/>
                <w:szCs w:val="20"/>
                <w:lang w:val="en-US"/>
              </w:rPr>
              <w:t xml:space="preserve">Jennifer Ann Leitch </w:t>
            </w:r>
            <w:r w:rsidR="0005229F" w:rsidRPr="00666964">
              <w:rPr>
                <w:b/>
                <w:sz w:val="20"/>
                <w:szCs w:val="20"/>
                <w:lang w:val="en-US"/>
              </w:rPr>
              <w:t>(</w:t>
            </w:r>
            <w:r w:rsidRPr="00666964">
              <w:rPr>
                <w:b/>
                <w:sz w:val="20"/>
                <w:szCs w:val="20"/>
                <w:lang w:val="en-US"/>
              </w:rPr>
              <w:t>Ont</w:t>
            </w:r>
            <w:r w:rsidR="0005229F" w:rsidRPr="00666964">
              <w:rPr>
                <w:b/>
                <w:sz w:val="20"/>
                <w:szCs w:val="20"/>
                <w:lang w:val="en-US"/>
              </w:rPr>
              <w:t>.)</w:t>
            </w:r>
          </w:p>
          <w:p w:rsidR="0005229F" w:rsidRPr="00666964" w:rsidRDefault="0005229F" w:rsidP="0005229F">
            <w:pPr>
              <w:tabs>
                <w:tab w:val="left" w:pos="-1440"/>
                <w:tab w:val="left" w:pos="-720"/>
              </w:tabs>
              <w:rPr>
                <w:sz w:val="20"/>
                <w:szCs w:val="20"/>
                <w:lang w:val="en-US"/>
              </w:rPr>
            </w:pPr>
            <w:r w:rsidRPr="00666964">
              <w:rPr>
                <w:sz w:val="20"/>
                <w:szCs w:val="20"/>
                <w:lang w:val="en-US"/>
              </w:rPr>
              <w:tab/>
            </w:r>
            <w:r w:rsidR="003039E3" w:rsidRPr="00666964">
              <w:rPr>
                <w:sz w:val="20"/>
                <w:szCs w:val="20"/>
                <w:lang w:val="en-US"/>
              </w:rPr>
              <w:t>Rothstein, Linda</w:t>
            </w:r>
          </w:p>
          <w:p w:rsidR="005B0CA8" w:rsidRDefault="0005229F" w:rsidP="0005229F">
            <w:pPr>
              <w:tabs>
                <w:tab w:val="left" w:pos="-1440"/>
                <w:tab w:val="left" w:pos="-720"/>
              </w:tabs>
              <w:rPr>
                <w:sz w:val="20"/>
                <w:szCs w:val="20"/>
              </w:rPr>
            </w:pPr>
            <w:r w:rsidRPr="00666964">
              <w:rPr>
                <w:sz w:val="20"/>
                <w:szCs w:val="20"/>
                <w:lang w:val="en-US"/>
              </w:rPr>
              <w:tab/>
            </w:r>
            <w:r w:rsidR="003039E3" w:rsidRPr="00666964">
              <w:rPr>
                <w:sz w:val="20"/>
                <w:szCs w:val="20"/>
              </w:rPr>
              <w:t xml:space="preserve">Paliare, Roland, Rosenberg, Rothstein, </w:t>
            </w:r>
          </w:p>
          <w:p w:rsidR="0005229F" w:rsidRPr="00666964" w:rsidRDefault="003039E3" w:rsidP="0005229F">
            <w:pPr>
              <w:tabs>
                <w:tab w:val="left" w:pos="-1440"/>
                <w:tab w:val="left" w:pos="-720"/>
              </w:tabs>
              <w:rPr>
                <w:sz w:val="20"/>
                <w:szCs w:val="20"/>
              </w:rPr>
            </w:pPr>
            <w:bookmarkStart w:id="1" w:name="_GoBack"/>
            <w:bookmarkEnd w:id="1"/>
            <w:r w:rsidRPr="00666964">
              <w:rPr>
                <w:sz w:val="20"/>
                <w:szCs w:val="20"/>
                <w:lang w:val="en-US"/>
              </w:rPr>
              <w:tab/>
            </w:r>
            <w:r w:rsidRPr="00666964">
              <w:rPr>
                <w:sz w:val="20"/>
                <w:szCs w:val="20"/>
              </w:rPr>
              <w:t>LLP</w:t>
            </w:r>
          </w:p>
          <w:p w:rsidR="0005229F" w:rsidRPr="00666964" w:rsidRDefault="0005229F" w:rsidP="0005229F">
            <w:pPr>
              <w:tabs>
                <w:tab w:val="left" w:pos="-1440"/>
                <w:tab w:val="left" w:pos="-720"/>
              </w:tabs>
              <w:rPr>
                <w:sz w:val="20"/>
                <w:szCs w:val="20"/>
              </w:rPr>
            </w:pPr>
          </w:p>
          <w:p w:rsidR="0005229F" w:rsidRPr="00666964" w:rsidRDefault="0005229F" w:rsidP="0005229F">
            <w:pPr>
              <w:rPr>
                <w:sz w:val="20"/>
                <w:szCs w:val="20"/>
              </w:rPr>
            </w:pPr>
            <w:r w:rsidRPr="00666964">
              <w:rPr>
                <w:sz w:val="20"/>
                <w:szCs w:val="20"/>
              </w:rPr>
              <w:t>FILING DATE: J</w:t>
            </w:r>
            <w:r w:rsidR="003039E3" w:rsidRPr="00666964">
              <w:rPr>
                <w:sz w:val="20"/>
                <w:szCs w:val="20"/>
              </w:rPr>
              <w:t>une</w:t>
            </w:r>
            <w:r w:rsidRPr="00666964">
              <w:rPr>
                <w:sz w:val="20"/>
                <w:szCs w:val="20"/>
              </w:rPr>
              <w:t xml:space="preserve"> </w:t>
            </w:r>
            <w:r w:rsidR="003039E3" w:rsidRPr="00666964">
              <w:rPr>
                <w:sz w:val="20"/>
                <w:szCs w:val="20"/>
              </w:rPr>
              <w:t>23</w:t>
            </w:r>
            <w:r w:rsidRPr="00666964">
              <w:rPr>
                <w:sz w:val="20"/>
                <w:szCs w:val="20"/>
              </w:rPr>
              <w:t>, 2020</w:t>
            </w:r>
          </w:p>
          <w:p w:rsidR="0005229F" w:rsidRPr="00666964" w:rsidRDefault="0005229F" w:rsidP="0005229F">
            <w:pPr>
              <w:rPr>
                <w:sz w:val="20"/>
                <w:szCs w:val="20"/>
              </w:rPr>
            </w:pPr>
          </w:p>
          <w:p w:rsidR="0005229F" w:rsidRPr="00666964" w:rsidRDefault="005B0CA8" w:rsidP="0005229F">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05229F" w:rsidRPr="00666964" w:rsidRDefault="0005229F" w:rsidP="00F138C1">
            <w:pPr>
              <w:jc w:val="center"/>
              <w:rPr>
                <w:sz w:val="20"/>
                <w:szCs w:val="20"/>
                <w:lang w:val="en-US"/>
              </w:rPr>
            </w:pPr>
          </w:p>
          <w:p w:rsidR="003039E3" w:rsidRPr="00666964" w:rsidRDefault="003039E3" w:rsidP="00F138C1">
            <w:pPr>
              <w:jc w:val="center"/>
              <w:rPr>
                <w:sz w:val="20"/>
                <w:szCs w:val="20"/>
                <w:lang w:val="en-US"/>
              </w:rPr>
            </w:pPr>
          </w:p>
          <w:p w:rsidR="0005229F" w:rsidRPr="00666964" w:rsidRDefault="0005229F" w:rsidP="00F138C1">
            <w:pPr>
              <w:jc w:val="center"/>
              <w:rPr>
                <w:sz w:val="20"/>
                <w:szCs w:val="20"/>
                <w:lang w:val="en-US"/>
              </w:rPr>
            </w:pPr>
          </w:p>
          <w:p w:rsidR="003039E3" w:rsidRPr="00666964" w:rsidRDefault="003039E3" w:rsidP="00F138C1">
            <w:pPr>
              <w:jc w:val="center"/>
              <w:rPr>
                <w:sz w:val="20"/>
                <w:szCs w:val="20"/>
                <w:lang w:val="en-US"/>
              </w:rPr>
            </w:pPr>
          </w:p>
          <w:p w:rsidR="0005229F" w:rsidRPr="00666964" w:rsidRDefault="0005229F" w:rsidP="00F138C1">
            <w:pPr>
              <w:jc w:val="center"/>
              <w:rPr>
                <w:sz w:val="20"/>
                <w:szCs w:val="20"/>
                <w:lang w:val="en-US"/>
              </w:rPr>
            </w:pPr>
          </w:p>
        </w:tc>
        <w:tc>
          <w:tcPr>
            <w:tcW w:w="4239" w:type="dxa"/>
            <w:shd w:val="clear" w:color="auto" w:fill="auto"/>
          </w:tcPr>
          <w:p w:rsidR="0005229F" w:rsidRPr="00666964" w:rsidRDefault="0005229F" w:rsidP="00DA1D48">
            <w:pPr>
              <w:rPr>
                <w:b/>
                <w:sz w:val="20"/>
                <w:szCs w:val="20"/>
                <w:lang w:val="fr-CA"/>
              </w:rPr>
            </w:pPr>
          </w:p>
        </w:tc>
      </w:tr>
    </w:tbl>
    <w:p w:rsidR="00F138C1" w:rsidRPr="00666964" w:rsidRDefault="00F138C1" w:rsidP="00F138C1">
      <w:pPr>
        <w:tabs>
          <w:tab w:val="right" w:pos="9360"/>
        </w:tabs>
        <w:rPr>
          <w:sz w:val="20"/>
          <w:szCs w:val="20"/>
          <w:lang w:val="fr-CA"/>
        </w:rPr>
      </w:pPr>
    </w:p>
    <w:p w:rsidR="00F138C1" w:rsidRPr="00666964" w:rsidRDefault="00F138C1" w:rsidP="00F138C1">
      <w:pPr>
        <w:tabs>
          <w:tab w:val="right" w:pos="9360"/>
        </w:tabs>
        <w:rPr>
          <w:sz w:val="20"/>
          <w:szCs w:val="20"/>
          <w:lang w:val="fr-CA"/>
        </w:rPr>
      </w:pPr>
    </w:p>
    <w:p w:rsidR="00C01FCB" w:rsidRPr="00666964" w:rsidRDefault="00C01FCB" w:rsidP="0095096B">
      <w:pPr>
        <w:tabs>
          <w:tab w:val="right" w:pos="9360"/>
        </w:tabs>
        <w:rPr>
          <w:sz w:val="20"/>
          <w:szCs w:val="20"/>
          <w:lang w:val="fr-CA"/>
        </w:rPr>
      </w:pPr>
    </w:p>
    <w:p w:rsidR="00242AEE" w:rsidRPr="00666964" w:rsidRDefault="00242AEE" w:rsidP="0095096B">
      <w:pPr>
        <w:tabs>
          <w:tab w:val="right" w:pos="9360"/>
        </w:tabs>
        <w:rPr>
          <w:sz w:val="20"/>
          <w:szCs w:val="20"/>
          <w:lang w:val="fr-CA"/>
        </w:rPr>
        <w:sectPr w:rsidR="00242AEE" w:rsidRPr="00666964"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666964" w:rsidRDefault="00DD0BDC" w:rsidP="00567602">
      <w:pPr>
        <w:pStyle w:val="Header1StyleE"/>
        <w:pBdr>
          <w:bottom w:val="single" w:sz="12" w:space="1" w:color="auto"/>
        </w:pBdr>
        <w:rPr>
          <w:lang w:val="fr-CA"/>
        </w:rPr>
      </w:pPr>
      <w:bookmarkStart w:id="2" w:name="QuickMark_1"/>
      <w:bookmarkStart w:id="3" w:name="_Toc44595187"/>
      <w:bookmarkEnd w:id="2"/>
      <w:r w:rsidRPr="00666964">
        <w:rPr>
          <w:lang w:val="fr-CA"/>
        </w:rPr>
        <w:t>Judgments on applications</w:t>
      </w:r>
      <w:r w:rsidR="000C1D9D" w:rsidRPr="00666964">
        <w:rPr>
          <w:lang w:val="fr-CA"/>
        </w:rPr>
        <w:t xml:space="preserve"> </w:t>
      </w:r>
      <w:r w:rsidRPr="00666964">
        <w:rPr>
          <w:lang w:val="fr-CA"/>
        </w:rPr>
        <w:t>for leave</w:t>
      </w:r>
      <w:r w:rsidR="00693C38" w:rsidRPr="00666964">
        <w:rPr>
          <w:noProof/>
          <w:sz w:val="20"/>
          <w:lang w:val="fr-CA"/>
        </w:rPr>
        <w:t xml:space="preserve"> </w:t>
      </w:r>
      <w:r w:rsidR="00271E1E" w:rsidRPr="00666964">
        <w:rPr>
          <w:noProof/>
          <w:sz w:val="20"/>
          <w:lang w:val="fr-CA"/>
        </w:rPr>
        <w:t xml:space="preserve">/ </w:t>
      </w:r>
      <w:r w:rsidR="00693C38" w:rsidRPr="00666964">
        <w:rPr>
          <w:noProof/>
          <w:sz w:val="20"/>
          <w:lang w:val="fr-CA"/>
        </w:rPr>
        <w:br/>
      </w:r>
      <w:r w:rsidRPr="00666964">
        <w:rPr>
          <w:lang w:val="fr-CA"/>
        </w:rPr>
        <w:t>Jugements rendus sur les demandes d’autorisation</w:t>
      </w:r>
      <w:bookmarkEnd w:id="3"/>
    </w:p>
    <w:p w:rsidR="00FB1DB6" w:rsidRPr="00666964" w:rsidRDefault="00FB1DB6" w:rsidP="00693C38">
      <w:pPr>
        <w:rPr>
          <w:sz w:val="20"/>
          <w:szCs w:val="20"/>
          <w:lang w:val="fr-CA"/>
        </w:rPr>
      </w:pPr>
    </w:p>
    <w:p w:rsidR="00F16063" w:rsidRPr="00666964" w:rsidRDefault="006F4BC8" w:rsidP="00F16063">
      <w:pPr>
        <w:rPr>
          <w:b/>
          <w:sz w:val="20"/>
          <w:szCs w:val="20"/>
        </w:rPr>
      </w:pPr>
      <w:r w:rsidRPr="00666964">
        <w:rPr>
          <w:b/>
          <w:sz w:val="20"/>
          <w:szCs w:val="20"/>
          <w:lang w:val="fr-CA"/>
        </w:rPr>
        <w:t>JULY</w:t>
      </w:r>
      <w:r w:rsidR="00F16063" w:rsidRPr="00666964">
        <w:rPr>
          <w:b/>
          <w:sz w:val="20"/>
          <w:szCs w:val="20"/>
        </w:rPr>
        <w:t xml:space="preserve"> </w:t>
      </w:r>
      <w:r w:rsidRPr="00666964">
        <w:rPr>
          <w:b/>
          <w:sz w:val="20"/>
          <w:szCs w:val="20"/>
        </w:rPr>
        <w:t>2</w:t>
      </w:r>
      <w:r w:rsidR="00F16063" w:rsidRPr="00666964">
        <w:rPr>
          <w:b/>
          <w:sz w:val="20"/>
          <w:szCs w:val="20"/>
        </w:rPr>
        <w:t xml:space="preserve">, </w:t>
      </w:r>
      <w:r w:rsidR="0034657E" w:rsidRPr="00666964">
        <w:rPr>
          <w:b/>
          <w:sz w:val="20"/>
          <w:szCs w:val="20"/>
        </w:rPr>
        <w:t>20</w:t>
      </w:r>
      <w:r w:rsidR="005967EF" w:rsidRPr="00666964">
        <w:rPr>
          <w:b/>
          <w:sz w:val="20"/>
          <w:szCs w:val="20"/>
        </w:rPr>
        <w:t>20</w:t>
      </w:r>
      <w:r w:rsidR="00F16063" w:rsidRPr="00666964">
        <w:rPr>
          <w:b/>
          <w:sz w:val="20"/>
          <w:szCs w:val="20"/>
        </w:rPr>
        <w:t xml:space="preserve"> / LE </w:t>
      </w:r>
      <w:r w:rsidRPr="00666964">
        <w:rPr>
          <w:b/>
          <w:sz w:val="20"/>
          <w:szCs w:val="20"/>
        </w:rPr>
        <w:t>2</w:t>
      </w:r>
      <w:r w:rsidR="00F16063" w:rsidRPr="00666964">
        <w:rPr>
          <w:b/>
          <w:sz w:val="20"/>
          <w:szCs w:val="20"/>
        </w:rPr>
        <w:t xml:space="preserve"> </w:t>
      </w:r>
      <w:r w:rsidRPr="00666964">
        <w:rPr>
          <w:b/>
          <w:sz w:val="20"/>
          <w:szCs w:val="20"/>
        </w:rPr>
        <w:t>JUILLET</w:t>
      </w:r>
      <w:r w:rsidR="00F16063" w:rsidRPr="00666964">
        <w:rPr>
          <w:b/>
          <w:sz w:val="20"/>
          <w:szCs w:val="20"/>
        </w:rPr>
        <w:t xml:space="preserve"> </w:t>
      </w:r>
      <w:r w:rsidR="0034657E" w:rsidRPr="00666964">
        <w:rPr>
          <w:b/>
          <w:sz w:val="20"/>
          <w:szCs w:val="20"/>
        </w:rPr>
        <w:t>20</w:t>
      </w:r>
      <w:r w:rsidR="005967EF" w:rsidRPr="00666964">
        <w:rPr>
          <w:b/>
          <w:sz w:val="20"/>
          <w:szCs w:val="20"/>
        </w:rPr>
        <w:t>20</w:t>
      </w:r>
    </w:p>
    <w:p w:rsidR="00F656D8" w:rsidRPr="00666964" w:rsidRDefault="00F656D8" w:rsidP="00F656D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rPr>
            </w:pPr>
            <w:r w:rsidRPr="00666964">
              <w:rPr>
                <w:rStyle w:val="SCCFileNumberChar"/>
                <w:sz w:val="20"/>
                <w:szCs w:val="20"/>
              </w:rPr>
              <w:t>39100</w:t>
            </w:r>
          </w:p>
        </w:tc>
        <w:tc>
          <w:tcPr>
            <w:tcW w:w="4457" w:type="pct"/>
            <w:gridSpan w:val="3"/>
          </w:tcPr>
          <w:p w:rsidR="00F656D8" w:rsidRPr="00666964" w:rsidRDefault="00F656D8" w:rsidP="00857157">
            <w:pPr>
              <w:pStyle w:val="SCCLsocParty"/>
              <w:jc w:val="both"/>
              <w:rPr>
                <w:b/>
                <w:sz w:val="20"/>
                <w:szCs w:val="20"/>
                <w:lang w:val="en-US"/>
              </w:rPr>
            </w:pPr>
            <w:r w:rsidRPr="00666964">
              <w:rPr>
                <w:b/>
                <w:sz w:val="20"/>
                <w:szCs w:val="20"/>
                <w:lang w:val="en-US"/>
              </w:rPr>
              <w:t>693316 Ontario Limited o/a Toronto Redi-Mix Limited v. Amir Youssef a disabled person by his litigation guardian the Office of the Public Guardian Trustee</w:t>
            </w:r>
          </w:p>
          <w:p w:rsidR="00F656D8" w:rsidRPr="00666964" w:rsidRDefault="00F656D8" w:rsidP="00857157">
            <w:pPr>
              <w:jc w:val="both"/>
              <w:rPr>
                <w:sz w:val="20"/>
              </w:rPr>
            </w:pPr>
            <w:r w:rsidRPr="00666964">
              <w:rPr>
                <w:sz w:val="20"/>
              </w:rPr>
              <w:t>(Ont.) (Civil) (By Leave)</w:t>
            </w:r>
          </w:p>
        </w:tc>
      </w:tr>
      <w:tr w:rsidR="00F656D8" w:rsidRPr="00666964" w:rsidTr="00857157">
        <w:tc>
          <w:tcPr>
            <w:tcW w:w="5000" w:type="pct"/>
            <w:gridSpan w:val="4"/>
          </w:tcPr>
          <w:p w:rsidR="00BA5B2E" w:rsidRPr="00666964" w:rsidRDefault="00BA5B2E" w:rsidP="00BA5B2E">
            <w:pPr>
              <w:jc w:val="both"/>
              <w:rPr>
                <w:sz w:val="20"/>
                <w:szCs w:val="20"/>
              </w:rPr>
            </w:pPr>
            <w:r w:rsidRPr="00666964">
              <w:rPr>
                <w:sz w:val="20"/>
                <w:szCs w:val="20"/>
              </w:rPr>
              <w:t>The application for leave to appeal from the judgment of the</w:t>
            </w:r>
            <w:bookmarkStart w:id="4" w:name="BM_1_"/>
            <w:bookmarkEnd w:id="4"/>
            <w:r w:rsidRPr="00666964">
              <w:rPr>
                <w:sz w:val="20"/>
                <w:szCs w:val="20"/>
              </w:rPr>
              <w:t xml:space="preserve"> Court of Appeal for Ontario, Number C66176, 2020 ONCA 83, dated February 4, 2020, is dismissed with costs.</w:t>
            </w:r>
          </w:p>
          <w:p w:rsidR="00F656D8" w:rsidRPr="00666964" w:rsidRDefault="00F656D8" w:rsidP="00857157">
            <w:pPr>
              <w:jc w:val="both"/>
              <w:rPr>
                <w:sz w:val="20"/>
              </w:rPr>
            </w:pPr>
          </w:p>
        </w:tc>
      </w:tr>
      <w:tr w:rsidR="00F656D8" w:rsidRPr="00666964" w:rsidTr="00857157">
        <w:tc>
          <w:tcPr>
            <w:tcW w:w="5000" w:type="pct"/>
            <w:gridSpan w:val="4"/>
          </w:tcPr>
          <w:p w:rsidR="00F656D8" w:rsidRPr="00666964" w:rsidRDefault="00F656D8" w:rsidP="00857157">
            <w:pPr>
              <w:jc w:val="both"/>
              <w:rPr>
                <w:sz w:val="20"/>
              </w:rPr>
            </w:pPr>
            <w:r w:rsidRPr="00666964">
              <w:rPr>
                <w:sz w:val="20"/>
              </w:rPr>
              <w:t xml:space="preserve">Torts — Negligence — Duty of care — Nuisance — Animals — Motorcyclist injured after colliding with escaped donkey on roadway — Tenant negligent in having failed to lock gate on fence surrounding property — Whether landlord also negligent for permitting unlocked gate to allow animals to escape, and failing to inspect and repair gate and fence — Whether Court of Appeal erred at law by holding that landlord not in physical possession of property, owed duty of care to ensure tenant’s animals did not escape from premises — Whether Court of Appeal erred at law by holding that landlord breached duty of care by failing to notice tenant failed to lock gate in fence surrounding leased property and thus permitting tenant's donkeys to stray onto roadway and causing accident — Whether Court of Appeal erred in finding unlocked gate rendered otherwise sound fence “deficient” — Whether Court of Appeal’s decision imposes novel, impractical and unreasonably onerous duty of care upon landlords to inspect, supervise and remedy tenants’ activities — Whether relationship between landlord and tenant and/or relationship between landlord and members of general public gives rise to required special link or proximity to create positive duty to act — Whether observations expressed in </w:t>
            </w:r>
            <w:r w:rsidRPr="00666964">
              <w:rPr>
                <w:i/>
                <w:sz w:val="20"/>
              </w:rPr>
              <w:t>Childs v. Desormeaux</w:t>
            </w:r>
            <w:r w:rsidRPr="00666964">
              <w:rPr>
                <w:sz w:val="20"/>
              </w:rPr>
              <w:t xml:space="preserve">, 2006 SCC 18, with respect to established categories of proximity, and relevant jurisprudence, militate against recognition of a duty of care — Whether Court of Appeal’s decision inconsistent with prior jurisprudence holding that duty of care to inspect and supervise tenant’s business activity not triggered by fact that landlord leased part of land to business, thus raising confusion and unpredictability with respect to when landlord owes duty of care — Whether Court of Appeal’s decision of national importance due to prevalence of rented farmland across country — Whether Court of Appeal’s rationale could also be interpreted to impose upon urban landlords general duty of care to public to prevent harm resulting from escape of tenants’ domestic animals — </w:t>
            </w:r>
            <w:r w:rsidRPr="00666964">
              <w:rPr>
                <w:i/>
                <w:sz w:val="20"/>
              </w:rPr>
              <w:t>Residential Tenancies Act, 2006</w:t>
            </w:r>
            <w:r w:rsidRPr="00666964">
              <w:rPr>
                <w:sz w:val="20"/>
              </w:rPr>
              <w:t xml:space="preserve">, S.O. 2006, c. 17, ss. 5, 20 — </w:t>
            </w:r>
            <w:r w:rsidRPr="00666964">
              <w:rPr>
                <w:i/>
                <w:sz w:val="20"/>
              </w:rPr>
              <w:t>Ontario Regulations 517/06: Maintenance Standards</w:t>
            </w:r>
            <w:r w:rsidRPr="00666964">
              <w:rPr>
                <w:sz w:val="20"/>
              </w:rPr>
              <w:t>, s. 8.</w:t>
            </w:r>
          </w:p>
        </w:tc>
      </w:tr>
      <w:tr w:rsidR="00F656D8" w:rsidRPr="00666964" w:rsidTr="00857157">
        <w:tc>
          <w:tcPr>
            <w:tcW w:w="5000" w:type="pct"/>
            <w:gridSpan w:val="4"/>
          </w:tcPr>
          <w:p w:rsidR="00F656D8" w:rsidRPr="00666964" w:rsidRDefault="00F656D8" w:rsidP="00857157">
            <w:pPr>
              <w:jc w:val="both"/>
              <w:rPr>
                <w:sz w:val="20"/>
              </w:rPr>
            </w:pPr>
          </w:p>
        </w:tc>
      </w:tr>
      <w:tr w:rsidR="00F656D8" w:rsidRPr="00666964" w:rsidTr="00857157">
        <w:tc>
          <w:tcPr>
            <w:tcW w:w="5000" w:type="pct"/>
            <w:gridSpan w:val="4"/>
          </w:tcPr>
          <w:p w:rsidR="00F656D8" w:rsidRPr="00666964" w:rsidRDefault="00F656D8" w:rsidP="00857157">
            <w:pPr>
              <w:jc w:val="both"/>
              <w:rPr>
                <w:sz w:val="20"/>
              </w:rPr>
            </w:pPr>
            <w:r w:rsidRPr="00666964">
              <w:rPr>
                <w:sz w:val="20"/>
              </w:rPr>
              <w:t>The respondent, Mr. Amir Youssef, was riding his motorcycle when he collided with a donkey on a provincial highway. He lost control of his motorcycle and suffered serious injuries. The animal (and several others) had escaped from a nearby farm property, by forcing their way through a fence gate that had no lock. The property was owned by the applicant, 693316 Ontario Limited, o/a Toronto Redi</w:t>
            </w:r>
            <w:r w:rsidRPr="00666964">
              <w:rPr>
                <w:sz w:val="20"/>
              </w:rPr>
              <w:noBreakHyphen/>
              <w:t>Mix Limited (“Redi</w:t>
            </w:r>
            <w:r w:rsidRPr="00666964">
              <w:rPr>
                <w:sz w:val="20"/>
              </w:rPr>
              <w:noBreakHyphen/>
              <w:t xml:space="preserve">Mix”), and was rented to a tenant, Mr. Mark </w:t>
            </w:r>
            <w:proofErr w:type="spellStart"/>
            <w:r w:rsidRPr="00666964">
              <w:rPr>
                <w:sz w:val="20"/>
              </w:rPr>
              <w:t>Burnfield</w:t>
            </w:r>
            <w:proofErr w:type="spellEnd"/>
            <w:r w:rsidRPr="00666964">
              <w:rPr>
                <w:sz w:val="20"/>
              </w:rPr>
              <w:t>. Mr. Youssef, through his litigation guardian, sued both the tenant and the landlord for negligence. The landlord, Redi</w:t>
            </w:r>
            <w:r w:rsidRPr="00666964">
              <w:rPr>
                <w:sz w:val="20"/>
              </w:rPr>
              <w:noBreakHyphen/>
              <w:t>Mix, also brought a third party claim against its tenant, Mr. </w:t>
            </w:r>
            <w:proofErr w:type="spellStart"/>
            <w:r w:rsidRPr="00666964">
              <w:rPr>
                <w:sz w:val="20"/>
              </w:rPr>
              <w:t>Burnfield</w:t>
            </w:r>
            <w:proofErr w:type="spellEnd"/>
            <w:r w:rsidRPr="00666964">
              <w:rPr>
                <w:sz w:val="20"/>
              </w:rPr>
              <w:t>. The latter did not defend either action, and was noted in default for both claims. Prior to trial, Redi</w:t>
            </w:r>
            <w:r w:rsidRPr="00666964">
              <w:rPr>
                <w:sz w:val="20"/>
              </w:rPr>
              <w:noBreakHyphen/>
              <w:t>Mix brought a motion seeking summary judgment to dismiss the negligence claim against it; Mr. Youssef in turn brought a motion seeking to strike Redi</w:t>
            </w:r>
            <w:r w:rsidRPr="00666964">
              <w:rPr>
                <w:sz w:val="20"/>
              </w:rPr>
              <w:noBreakHyphen/>
              <w:t>Mix’s motion. A motions judge dismissed Redi</w:t>
            </w:r>
            <w:r w:rsidRPr="00666964">
              <w:rPr>
                <w:sz w:val="20"/>
              </w:rPr>
              <w:noBreakHyphen/>
              <w:t>Mix’s motion for summary judgment, and ruled in favour of Mr. Youssef. The judge found Redi</w:t>
            </w:r>
            <w:r w:rsidRPr="00666964">
              <w:rPr>
                <w:sz w:val="20"/>
              </w:rPr>
              <w:noBreakHyphen/>
              <w:t>Mix negligent in its role as landlord, having failed to inspect and repair the fencing and the gates on the property and keep them maintained, for which it had specifically admitted it had an obligation to do. The Court of Appeal dismissed Redi</w:t>
            </w:r>
            <w:r w:rsidRPr="00666964">
              <w:rPr>
                <w:sz w:val="20"/>
              </w:rPr>
              <w:noBreakHyphen/>
              <w:t xml:space="preserve">Mix’s appeal on the finding of negligence. </w:t>
            </w:r>
          </w:p>
          <w:p w:rsidR="00F656D8" w:rsidRPr="00666964" w:rsidRDefault="00F656D8" w:rsidP="00857157">
            <w:pPr>
              <w:jc w:val="both"/>
              <w:rPr>
                <w:sz w:val="20"/>
              </w:rPr>
            </w:pPr>
          </w:p>
        </w:tc>
      </w:tr>
      <w:tr w:rsidR="00F656D8" w:rsidRPr="00666964" w:rsidTr="00857157">
        <w:tc>
          <w:tcPr>
            <w:tcW w:w="2427" w:type="pct"/>
            <w:gridSpan w:val="2"/>
          </w:tcPr>
          <w:p w:rsidR="00F656D8" w:rsidRPr="00666964" w:rsidRDefault="00F656D8" w:rsidP="00857157">
            <w:pPr>
              <w:jc w:val="both"/>
              <w:rPr>
                <w:sz w:val="20"/>
              </w:rPr>
            </w:pPr>
            <w:r w:rsidRPr="00666964">
              <w:rPr>
                <w:sz w:val="20"/>
              </w:rPr>
              <w:t>October 26, 2018</w:t>
            </w:r>
          </w:p>
          <w:p w:rsidR="00F656D8" w:rsidRPr="00666964" w:rsidRDefault="00F656D8" w:rsidP="00857157">
            <w:pPr>
              <w:jc w:val="both"/>
              <w:rPr>
                <w:sz w:val="20"/>
              </w:rPr>
            </w:pPr>
            <w:r w:rsidRPr="00666964">
              <w:rPr>
                <w:sz w:val="20"/>
              </w:rPr>
              <w:t>Ontario Superior Court of Justice</w:t>
            </w:r>
          </w:p>
          <w:p w:rsidR="00F656D8" w:rsidRPr="00666964" w:rsidRDefault="00F656D8" w:rsidP="00857157">
            <w:pPr>
              <w:jc w:val="both"/>
              <w:rPr>
                <w:sz w:val="20"/>
              </w:rPr>
            </w:pPr>
            <w:r w:rsidRPr="00666964">
              <w:rPr>
                <w:sz w:val="20"/>
              </w:rPr>
              <w:t>(Mulligan J.)</w:t>
            </w:r>
          </w:p>
          <w:p w:rsidR="00F656D8" w:rsidRPr="00666964" w:rsidRDefault="005B0CA8" w:rsidP="00857157">
            <w:pPr>
              <w:jc w:val="both"/>
              <w:rPr>
                <w:sz w:val="20"/>
              </w:rPr>
            </w:pPr>
            <w:hyperlink r:id="rId15" w:history="1">
              <w:r w:rsidR="00F656D8" w:rsidRPr="00666964">
                <w:rPr>
                  <w:rStyle w:val="Hyperlink"/>
                  <w:sz w:val="20"/>
                </w:rPr>
                <w:t>2018 ONSC 6409</w:t>
              </w:r>
            </w:hyperlink>
            <w:r w:rsidR="00F656D8" w:rsidRPr="00666964">
              <w:rPr>
                <w:sz w:val="20"/>
              </w:rPr>
              <w:t xml:space="preserve"> </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Motion for summary judgment filed by Redi</w:t>
            </w:r>
            <w:r w:rsidRPr="00666964">
              <w:rPr>
                <w:sz w:val="20"/>
              </w:rPr>
              <w:noBreakHyphen/>
              <w:t>Mix — dismissed;</w:t>
            </w:r>
          </w:p>
          <w:p w:rsidR="00F656D8" w:rsidRPr="00666964" w:rsidRDefault="00F656D8" w:rsidP="00857157">
            <w:pPr>
              <w:jc w:val="both"/>
              <w:rPr>
                <w:sz w:val="20"/>
              </w:rPr>
            </w:pPr>
            <w:r w:rsidRPr="00666964">
              <w:rPr>
                <w:sz w:val="20"/>
              </w:rPr>
              <w:t>Judgment against Redi</w:t>
            </w:r>
            <w:r w:rsidRPr="00666964">
              <w:rPr>
                <w:sz w:val="20"/>
              </w:rPr>
              <w:noBreakHyphen/>
              <w:t>Mix on the issue of liability (damages issue remitted to trial)</w:t>
            </w:r>
          </w:p>
        </w:tc>
      </w:tr>
    </w:tbl>
    <w:p w:rsidR="00226699" w:rsidRPr="00666964" w:rsidRDefault="00226699">
      <w:r w:rsidRPr="006669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56D8" w:rsidRPr="00666964" w:rsidTr="00857157">
        <w:tc>
          <w:tcPr>
            <w:tcW w:w="2427" w:type="pct"/>
          </w:tcPr>
          <w:p w:rsidR="00F656D8" w:rsidRPr="00666964" w:rsidRDefault="00F656D8" w:rsidP="00857157">
            <w:pPr>
              <w:jc w:val="both"/>
              <w:rPr>
                <w:sz w:val="20"/>
              </w:rPr>
            </w:pPr>
            <w:r w:rsidRPr="00666964">
              <w:rPr>
                <w:sz w:val="20"/>
              </w:rPr>
              <w:t>February 4, 2020</w:t>
            </w:r>
          </w:p>
          <w:p w:rsidR="00F656D8" w:rsidRPr="00666964" w:rsidRDefault="00F656D8" w:rsidP="00857157">
            <w:pPr>
              <w:jc w:val="both"/>
              <w:rPr>
                <w:sz w:val="20"/>
              </w:rPr>
            </w:pPr>
            <w:r w:rsidRPr="00666964">
              <w:rPr>
                <w:sz w:val="20"/>
              </w:rPr>
              <w:t>Court of Appeal for Ontario</w:t>
            </w:r>
          </w:p>
          <w:p w:rsidR="00F656D8" w:rsidRPr="00666964" w:rsidRDefault="00F656D8" w:rsidP="00857157">
            <w:pPr>
              <w:jc w:val="both"/>
              <w:rPr>
                <w:sz w:val="20"/>
              </w:rPr>
            </w:pPr>
            <w:r w:rsidRPr="00666964">
              <w:rPr>
                <w:sz w:val="20"/>
              </w:rPr>
              <w:t xml:space="preserve">(Lauwers, van </w:t>
            </w:r>
            <w:proofErr w:type="spellStart"/>
            <w:r w:rsidRPr="00666964">
              <w:rPr>
                <w:sz w:val="20"/>
              </w:rPr>
              <w:t>Rensburg</w:t>
            </w:r>
            <w:proofErr w:type="spellEnd"/>
            <w:r w:rsidRPr="00666964">
              <w:rPr>
                <w:sz w:val="20"/>
              </w:rPr>
              <w:t xml:space="preserve"> and Roberts JJ.A.)</w:t>
            </w:r>
          </w:p>
          <w:p w:rsidR="00F656D8" w:rsidRPr="00666964" w:rsidRDefault="005B0CA8" w:rsidP="00857157">
            <w:pPr>
              <w:jc w:val="both"/>
              <w:rPr>
                <w:sz w:val="20"/>
              </w:rPr>
            </w:pPr>
            <w:hyperlink r:id="rId16" w:history="1">
              <w:r w:rsidR="00F656D8" w:rsidRPr="00666964">
                <w:rPr>
                  <w:rStyle w:val="Hyperlink"/>
                  <w:sz w:val="20"/>
                </w:rPr>
                <w:t>2020 ONCA 83</w:t>
              </w:r>
            </w:hyperlink>
            <w:r w:rsidR="00F656D8" w:rsidRPr="00666964">
              <w:rPr>
                <w:sz w:val="20"/>
              </w:rPr>
              <w:t xml:space="preserve"> </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Appeal by Redi</w:t>
            </w:r>
            <w:r w:rsidRPr="00666964">
              <w:rPr>
                <w:sz w:val="20"/>
              </w:rPr>
              <w:noBreakHyphen/>
              <w:t xml:space="preserve">Mix — allowed in part (issues of damages and contributory negligence remitted to trial); appeal otherwise dismissed </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March 25, 2020</w:t>
            </w:r>
          </w:p>
          <w:p w:rsidR="00F656D8" w:rsidRPr="00666964" w:rsidRDefault="00F656D8" w:rsidP="00857157">
            <w:pPr>
              <w:jc w:val="both"/>
              <w:rPr>
                <w:sz w:val="20"/>
              </w:rPr>
            </w:pPr>
            <w:r w:rsidRPr="00666964">
              <w:rPr>
                <w:sz w:val="20"/>
              </w:rPr>
              <w:t>Supreme Court of Canada</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Application for leave to appeal filed by Redi</w:t>
            </w:r>
            <w:r w:rsidRPr="00666964">
              <w:rPr>
                <w:sz w:val="20"/>
              </w:rPr>
              <w:noBreakHyphen/>
              <w:t>Mix</w:t>
            </w:r>
          </w:p>
        </w:tc>
      </w:tr>
    </w:tbl>
    <w:p w:rsidR="00F656D8" w:rsidRPr="00666964" w:rsidRDefault="00F656D8" w:rsidP="00F656D8">
      <w:pPr>
        <w:jc w:val="both"/>
        <w:rPr>
          <w:sz w:val="20"/>
        </w:rPr>
      </w:pPr>
    </w:p>
    <w:p w:rsidR="00F656D8" w:rsidRPr="00666964" w:rsidRDefault="005B0CA8" w:rsidP="00F656D8">
      <w:pPr>
        <w:jc w:val="both"/>
        <w:rPr>
          <w:sz w:val="20"/>
        </w:rPr>
      </w:pPr>
      <w:r>
        <w:rPr>
          <w:sz w:val="20"/>
        </w:rPr>
        <w:pict>
          <v:rect id="_x0000_i1034" style="width:2in;height:1pt" o:hrpct="0" o:hralign="center" o:hrstd="t" o:hrnoshade="t" o:hr="t" fillcolor="black [3213]" stroked="f"/>
        </w:pict>
      </w:r>
    </w:p>
    <w:p w:rsidR="00F656D8" w:rsidRPr="00666964" w:rsidRDefault="00F656D8" w:rsidP="00F656D8">
      <w:pPr>
        <w:jc w:val="both"/>
        <w:rPr>
          <w:sz w:val="20"/>
        </w:rPr>
      </w:pPr>
    </w:p>
    <w:tbl>
      <w:tblPr>
        <w:tblW w:w="4952" w:type="pct"/>
        <w:tblLayout w:type="fixed"/>
        <w:tblCellMar>
          <w:left w:w="0"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lang w:val="fr-CA"/>
              </w:rPr>
            </w:pPr>
            <w:r w:rsidRPr="00666964">
              <w:rPr>
                <w:rStyle w:val="SCCFileNumberChar"/>
                <w:sz w:val="20"/>
                <w:szCs w:val="20"/>
                <w:lang w:val="fr-CA"/>
              </w:rPr>
              <w:t>39100</w:t>
            </w:r>
          </w:p>
        </w:tc>
        <w:tc>
          <w:tcPr>
            <w:tcW w:w="4457" w:type="pct"/>
            <w:gridSpan w:val="3"/>
          </w:tcPr>
          <w:p w:rsidR="00F656D8" w:rsidRPr="00666964" w:rsidRDefault="00F656D8" w:rsidP="00857157">
            <w:pPr>
              <w:pStyle w:val="SCCLsocParty"/>
              <w:jc w:val="both"/>
              <w:rPr>
                <w:b/>
                <w:sz w:val="20"/>
                <w:szCs w:val="20"/>
              </w:rPr>
            </w:pPr>
            <w:r w:rsidRPr="00666964">
              <w:rPr>
                <w:b/>
                <w:sz w:val="20"/>
                <w:szCs w:val="20"/>
              </w:rPr>
              <w:t>693316 Ontario Limited, faisant affaire sous le nom de Toronto Redi-Mix Limited c. Amir Youssef, une personne handicapée représentée par son tuteur à l’instance, le Bure</w:t>
            </w:r>
            <w:r w:rsidR="00BA5B2E" w:rsidRPr="00666964">
              <w:rPr>
                <w:b/>
                <w:sz w:val="20"/>
                <w:szCs w:val="20"/>
              </w:rPr>
              <w:t>au du Tuteur et curateur public</w:t>
            </w:r>
          </w:p>
          <w:p w:rsidR="00F656D8" w:rsidRPr="00666964" w:rsidRDefault="00F656D8" w:rsidP="00857157">
            <w:pPr>
              <w:jc w:val="both"/>
              <w:rPr>
                <w:sz w:val="20"/>
                <w:lang w:val="fr-CA"/>
              </w:rPr>
            </w:pPr>
            <w:r w:rsidRPr="00666964">
              <w:rPr>
                <w:sz w:val="20"/>
                <w:lang w:val="fr-CA"/>
              </w:rPr>
              <w:t>(Ont.) (Civile) (Autorisation)</w:t>
            </w:r>
          </w:p>
        </w:tc>
      </w:tr>
      <w:tr w:rsidR="00F656D8" w:rsidRPr="005B0CA8" w:rsidTr="00F656D8">
        <w:trPr>
          <w:trHeight w:val="361"/>
        </w:trPr>
        <w:tc>
          <w:tcPr>
            <w:tcW w:w="5000" w:type="pct"/>
            <w:gridSpan w:val="4"/>
          </w:tcPr>
          <w:p w:rsidR="00F656D8" w:rsidRPr="00666964" w:rsidRDefault="00BA5B2E" w:rsidP="00857157">
            <w:pPr>
              <w:jc w:val="both"/>
              <w:rPr>
                <w:sz w:val="20"/>
                <w:szCs w:val="20"/>
                <w:lang w:val="fr-CA"/>
              </w:rPr>
            </w:pPr>
            <w:r w:rsidRPr="00666964">
              <w:rPr>
                <w:sz w:val="20"/>
                <w:szCs w:val="20"/>
                <w:lang w:val="fr-CA"/>
              </w:rPr>
              <w:t>La demande d’autorisation d’appel de l’arrêt de la Cour d’appel de l’Ontario, numéro C66176, 2020 ONCA 83, daté du 4 février 2020, est rejetée avec dépens.</w:t>
            </w:r>
          </w:p>
          <w:p w:rsidR="00BA5B2E" w:rsidRPr="00666964" w:rsidRDefault="00BA5B2E"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Responsabilité délictuelle — Négligence — Obligation de diligence — Nuisance — Animaux — Un motocycliste a été  blessé après être entré en collision sur la voie publique avec un âne qui s’était échappé — Le locataire avait été négligent en ayant omis de verrouiller la barrière d’une clôture qui entourait la propriété — Le locateur a</w:t>
            </w:r>
            <w:r w:rsidRPr="00666964">
              <w:rPr>
                <w:sz w:val="20"/>
                <w:lang w:val="fr-CA"/>
              </w:rPr>
              <w:noBreakHyphen/>
              <w:t>t</w:t>
            </w:r>
            <w:r w:rsidRPr="00666964">
              <w:rPr>
                <w:sz w:val="20"/>
                <w:lang w:val="fr-CA"/>
              </w:rPr>
              <w:noBreakHyphen/>
              <w:t xml:space="preserve">il lui aussi été négligent en permettant à la barrière non verrouillée de </w:t>
            </w:r>
            <w:r w:rsidR="00BA5B2E" w:rsidRPr="00666964">
              <w:rPr>
                <w:sz w:val="20"/>
                <w:lang w:val="fr-CA"/>
              </w:rPr>
              <w:t>laisser</w:t>
            </w:r>
            <w:r w:rsidRPr="00666964">
              <w:rPr>
                <w:sz w:val="20"/>
                <w:lang w:val="fr-CA"/>
              </w:rPr>
              <w:t xml:space="preserve"> échapper des animaux et en omettant d’inspecter et de réparer la barrière et la clôture? — La Cour d’appel a</w:t>
            </w:r>
            <w:r w:rsidRPr="00666964">
              <w:rPr>
                <w:sz w:val="20"/>
                <w:lang w:val="fr-CA"/>
              </w:rPr>
              <w:noBreakHyphen/>
              <w:t>t</w:t>
            </w:r>
            <w:r w:rsidRPr="00666964">
              <w:rPr>
                <w:sz w:val="20"/>
                <w:lang w:val="fr-CA"/>
              </w:rPr>
              <w:noBreakHyphen/>
              <w:t>elle commis une erreur de droit en statuant que le locateur qui n’avait pas la possession physique de la propriété avait une obligation de diligence de veiller à ce que les animaux du locataire ne s’échappent pas des lieux? — La Cour d’appel a</w:t>
            </w:r>
            <w:r w:rsidRPr="00666964">
              <w:rPr>
                <w:sz w:val="20"/>
                <w:lang w:val="fr-CA"/>
              </w:rPr>
              <w:noBreakHyphen/>
              <w:t>t</w:t>
            </w:r>
            <w:r w:rsidRPr="00666964">
              <w:rPr>
                <w:sz w:val="20"/>
                <w:lang w:val="fr-CA"/>
              </w:rPr>
              <w:noBreakHyphen/>
              <w:t>elle commis une erreur de droit en statuant que le locateur avait manqué à l’obligation de diligence en ne remarquant pas que le locataire avait omis de verrouiller la barrière dans la clôture entourant la propriété louée, permettant ainsi aux ânes du locataire d’errer sur la voie publique et de causer un accident? — La Cour d’appel a</w:t>
            </w:r>
            <w:r w:rsidRPr="00666964">
              <w:rPr>
                <w:sz w:val="20"/>
                <w:lang w:val="fr-CA"/>
              </w:rPr>
              <w:noBreakHyphen/>
              <w:t>t</w:t>
            </w:r>
            <w:r w:rsidRPr="00666964">
              <w:rPr>
                <w:sz w:val="20"/>
                <w:lang w:val="fr-CA"/>
              </w:rPr>
              <w:noBreakHyphen/>
              <w:t>elle eu tort de conclure que la barrière verrouillée rendait [</w:t>
            </w:r>
            <w:r w:rsidRPr="00666964">
              <w:rPr>
                <w:smallCaps/>
                <w:sz w:val="20"/>
                <w:lang w:val="fr-CA"/>
              </w:rPr>
              <w:t>traduction</w:t>
            </w:r>
            <w:r w:rsidRPr="00666964">
              <w:rPr>
                <w:sz w:val="20"/>
                <w:lang w:val="fr-CA"/>
              </w:rPr>
              <w:t>] « déficiente » une clôture en bon état par ailleurs? — L’arrêt de la Cour d’appel impose</w:t>
            </w:r>
            <w:r w:rsidRPr="00666964">
              <w:rPr>
                <w:sz w:val="20"/>
                <w:lang w:val="fr-CA"/>
              </w:rPr>
              <w:noBreakHyphen/>
              <w:t>t</w:t>
            </w:r>
            <w:r w:rsidRPr="00666964">
              <w:rPr>
                <w:sz w:val="20"/>
                <w:lang w:val="fr-CA"/>
              </w:rPr>
              <w:noBreakHyphen/>
              <w:t>il une obligation de diligence inédite, peu pratique et déraisonnablement onéreuse aux locateurs d’inspecter et de superviser les activités des locataires et d’y apporter des correctifs? — La relation entre le locateur et le locataire ou la relation entre le locateur et les membres du grand public donne</w:t>
            </w:r>
            <w:r w:rsidRPr="00666964">
              <w:rPr>
                <w:sz w:val="20"/>
                <w:lang w:val="fr-CA"/>
              </w:rPr>
              <w:noBreakHyphen/>
              <w:t>t</w:t>
            </w:r>
            <w:r w:rsidRPr="00666964">
              <w:rPr>
                <w:sz w:val="20"/>
                <w:lang w:val="fr-CA"/>
              </w:rPr>
              <w:noBreakHyphen/>
              <w:t xml:space="preserve">elle naissance au rapport spécial ou à la proximité requise pour créer une obligation positive d’agir? — Les observations exprimées dans </w:t>
            </w:r>
            <w:proofErr w:type="spellStart"/>
            <w:r w:rsidRPr="00666964">
              <w:rPr>
                <w:i/>
                <w:sz w:val="20"/>
                <w:lang w:val="fr-CA"/>
              </w:rPr>
              <w:t>Childs</w:t>
            </w:r>
            <w:proofErr w:type="spellEnd"/>
            <w:r w:rsidRPr="00666964">
              <w:rPr>
                <w:i/>
                <w:sz w:val="20"/>
                <w:lang w:val="fr-CA"/>
              </w:rPr>
              <w:t xml:space="preserve"> c. Desormeaux</w:t>
            </w:r>
            <w:r w:rsidRPr="00666964">
              <w:rPr>
                <w:sz w:val="20"/>
                <w:lang w:val="fr-CA"/>
              </w:rPr>
              <w:t>, 2006 CSC 18, en ce qui concerne les catégories établies de proximité, et la jurisprudence pertinente, militent</w:t>
            </w:r>
            <w:r w:rsidRPr="00666964">
              <w:rPr>
                <w:sz w:val="20"/>
                <w:lang w:val="fr-CA"/>
              </w:rPr>
              <w:noBreakHyphen/>
              <w:t>elles contre la reconnaissance d’une obligation de diligence? — L’arrêt de la Cour d’appel est</w:t>
            </w:r>
            <w:r w:rsidRPr="00666964">
              <w:rPr>
                <w:sz w:val="20"/>
                <w:lang w:val="fr-CA"/>
              </w:rPr>
              <w:noBreakHyphen/>
              <w:t>il incompatible avec la jurisprudence antérieure statuant que l’obligation de diligence d’inspecter et de superviser l’activité commerciale du locataire ne prend pas naissance du fait que le locateur a loué une partie de la terre à une entreprise, soulevant ainsi de la confusion et de l’imprévisibilité quant aux situations dans lesquelles le locateur a une obligation de diligence? — L’arrêt de la Cour d’appel est</w:t>
            </w:r>
            <w:r w:rsidRPr="00666964">
              <w:rPr>
                <w:sz w:val="20"/>
                <w:lang w:val="fr-CA"/>
              </w:rPr>
              <w:noBreakHyphen/>
              <w:t xml:space="preserve">il d’importance nationale, vu la prévalence de terres agricoles louées à l’échelle du pays? — Le raisonnement de la Cour d’appel peut-il également être interprété de manière à imposer aux locateurs urbains une obligation générale de diligence envers le public pour empêcher les préjudices causés par des animaux domestiques qui s’échappent? — </w:t>
            </w:r>
            <w:r w:rsidRPr="00666964">
              <w:rPr>
                <w:i/>
                <w:sz w:val="20"/>
                <w:lang w:val="fr-CA"/>
              </w:rPr>
              <w:t>Loi de 2006 sur la location à usage d’habitation</w:t>
            </w:r>
            <w:r w:rsidRPr="00666964">
              <w:rPr>
                <w:sz w:val="20"/>
                <w:lang w:val="fr-CA"/>
              </w:rPr>
              <w:t xml:space="preserve">, L.O. 2006, ch. 17, art. 5, 20 — </w:t>
            </w:r>
            <w:r w:rsidRPr="00666964">
              <w:rPr>
                <w:i/>
                <w:sz w:val="20"/>
                <w:lang w:val="fr-CA"/>
              </w:rPr>
              <w:t>Règlement de l’Ontario 517/06: Normes d’entretien</w:t>
            </w:r>
            <w:r w:rsidRPr="00666964">
              <w:rPr>
                <w:sz w:val="20"/>
                <w:lang w:val="fr-CA"/>
              </w:rPr>
              <w:t>, art. 8.</w:t>
            </w:r>
            <w:r w:rsidRPr="00666964">
              <w:rPr>
                <w:sz w:val="20"/>
                <w:lang w:val="fr-CA"/>
              </w:rPr>
              <w:tab/>
            </w:r>
          </w:p>
        </w:tc>
      </w:tr>
      <w:tr w:rsidR="00F656D8" w:rsidRPr="005B0CA8" w:rsidTr="00857157">
        <w:tc>
          <w:tcPr>
            <w:tcW w:w="5000" w:type="pct"/>
            <w:gridSpan w:val="4"/>
          </w:tcPr>
          <w:p w:rsidR="00F656D8" w:rsidRPr="00666964" w:rsidRDefault="00F656D8"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L’intimé, M. Amir Youssef, conduisait sa motocyclette lorsqu’il est entré en collision avec un âne sur une route provinciale. Il a perdu la maîtrise de sa moto et a subi de graves blessures. L’animal en question (et plusieurs autres) s’était échappé d’une terre agricole voisine en se frayant un chemin à travers une barrière de clôture qui n’était pas munie d’une serrure. La terre appartenait à la demanderesse, 693316 Ontario Limited, faisant affaire sous le nom de Toronto Redi</w:t>
            </w:r>
            <w:r w:rsidRPr="00666964">
              <w:rPr>
                <w:sz w:val="20"/>
                <w:lang w:val="fr-CA"/>
              </w:rPr>
              <w:noBreakHyphen/>
              <w:t>Mix Limited (« Redi</w:t>
            </w:r>
            <w:r w:rsidRPr="00666964">
              <w:rPr>
                <w:sz w:val="20"/>
                <w:lang w:val="fr-CA"/>
              </w:rPr>
              <w:noBreakHyphen/>
              <w:t xml:space="preserve">Mix »), et était louée à un locataire, M. Mark </w:t>
            </w:r>
            <w:proofErr w:type="spellStart"/>
            <w:r w:rsidRPr="00666964">
              <w:rPr>
                <w:sz w:val="20"/>
                <w:lang w:val="fr-CA"/>
              </w:rPr>
              <w:t>Burnfield</w:t>
            </w:r>
            <w:proofErr w:type="spellEnd"/>
            <w:r w:rsidRPr="00666964">
              <w:rPr>
                <w:sz w:val="20"/>
                <w:lang w:val="fr-CA"/>
              </w:rPr>
              <w:t>. Monsieur Youssef, par son tuteur à l’instance, a poursuivi le locateur et le locataire pour négligence. Le locateur, Redi</w:t>
            </w:r>
            <w:r w:rsidRPr="00666964">
              <w:rPr>
                <w:sz w:val="20"/>
                <w:lang w:val="fr-CA"/>
              </w:rPr>
              <w:noBreakHyphen/>
              <w:t>Mix, a également mis en cause son locataire, M. </w:t>
            </w:r>
            <w:proofErr w:type="spellStart"/>
            <w:r w:rsidRPr="00666964">
              <w:rPr>
                <w:sz w:val="20"/>
                <w:lang w:val="fr-CA"/>
              </w:rPr>
              <w:t>Burnfield</w:t>
            </w:r>
            <w:proofErr w:type="spellEnd"/>
            <w:r w:rsidRPr="00666964">
              <w:rPr>
                <w:sz w:val="20"/>
                <w:lang w:val="fr-CA"/>
              </w:rPr>
              <w:t>. Ce dernier n’a opposé aucune défense aux actions, et jugement par défaut a été rendu contre lui dans les deux cas. Avant le procès, Redi</w:t>
            </w:r>
            <w:r w:rsidRPr="00666964">
              <w:rPr>
                <w:sz w:val="20"/>
                <w:lang w:val="fr-CA"/>
              </w:rPr>
              <w:noBreakHyphen/>
              <w:t>Mix a présenté une motion en jugement sommaire rejetant l’action en négligence intentée contre elle; M. Youssef a présenté pour sa part une motion en radiation de la motion de Redi</w:t>
            </w:r>
            <w:r w:rsidRPr="00666964">
              <w:rPr>
                <w:sz w:val="20"/>
                <w:lang w:val="fr-CA"/>
              </w:rPr>
              <w:noBreakHyphen/>
              <w:t>Mix. Un juge a rejeté la motion de Redi</w:t>
            </w:r>
            <w:r w:rsidRPr="00666964">
              <w:rPr>
                <w:sz w:val="20"/>
                <w:lang w:val="fr-CA"/>
              </w:rPr>
              <w:noBreakHyphen/>
              <w:t>Mix en jugement sommaire et a statué en faveur de M. Youssef. Le juge a conclu que Redi</w:t>
            </w:r>
            <w:r w:rsidRPr="00666964">
              <w:rPr>
                <w:sz w:val="20"/>
                <w:lang w:val="fr-CA"/>
              </w:rPr>
              <w:noBreakHyphen/>
              <w:t>Mix avait été négligente dans son rôle de locateur, ayant omis d’inspecter et de réparer la clôture et les barrières qui se trouvaient sur les lieux et de les entretenir, des choses qu’elle avait l’obligation de faire, de son propre aveu exprès. La Cour d’appel a rejeté l’appel de Redi</w:t>
            </w:r>
            <w:r w:rsidRPr="00666964">
              <w:rPr>
                <w:sz w:val="20"/>
                <w:lang w:val="fr-CA"/>
              </w:rPr>
              <w:noBreakHyphen/>
              <w:t xml:space="preserve">Mix relativement à la conclusion de négligence. </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26 octobre 2018</w:t>
            </w:r>
          </w:p>
          <w:p w:rsidR="00F656D8" w:rsidRPr="00666964" w:rsidRDefault="00F656D8" w:rsidP="00857157">
            <w:pPr>
              <w:jc w:val="both"/>
              <w:rPr>
                <w:sz w:val="20"/>
                <w:lang w:val="fr-CA"/>
              </w:rPr>
            </w:pPr>
            <w:r w:rsidRPr="00666964">
              <w:rPr>
                <w:sz w:val="20"/>
                <w:lang w:val="fr-CA"/>
              </w:rPr>
              <w:t>Cour supérieure de justice de l’Ontario</w:t>
            </w:r>
          </w:p>
          <w:p w:rsidR="00F656D8" w:rsidRPr="00666964" w:rsidRDefault="00F656D8" w:rsidP="00857157">
            <w:pPr>
              <w:jc w:val="both"/>
              <w:rPr>
                <w:sz w:val="20"/>
                <w:lang w:val="fr-CA"/>
              </w:rPr>
            </w:pPr>
            <w:r w:rsidRPr="00666964">
              <w:rPr>
                <w:sz w:val="20"/>
                <w:lang w:val="fr-CA"/>
              </w:rPr>
              <w:t>(Juge Mulligan)</w:t>
            </w:r>
          </w:p>
          <w:p w:rsidR="00F656D8" w:rsidRPr="00666964" w:rsidRDefault="005B0CA8" w:rsidP="00857157">
            <w:pPr>
              <w:jc w:val="both"/>
              <w:rPr>
                <w:sz w:val="20"/>
                <w:lang w:val="fr-CA"/>
              </w:rPr>
            </w:pPr>
            <w:hyperlink r:id="rId17" w:history="1">
              <w:r w:rsidR="00F656D8" w:rsidRPr="00666964">
                <w:rPr>
                  <w:rStyle w:val="Hyperlink"/>
                  <w:sz w:val="20"/>
                  <w:lang w:val="fr-CA"/>
                </w:rPr>
                <w:t>2018 ONSC 6409</w:t>
              </w:r>
            </w:hyperlink>
            <w:r w:rsidR="00F656D8" w:rsidRPr="00666964">
              <w:rPr>
                <w:sz w:val="20"/>
                <w:lang w:val="fr-CA"/>
              </w:rPr>
              <w:t xml:space="preserve"> </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Jugement rejetant la motion déposée par  Redi</w:t>
            </w:r>
            <w:r w:rsidRPr="00666964">
              <w:rPr>
                <w:sz w:val="20"/>
                <w:lang w:val="fr-CA"/>
              </w:rPr>
              <w:noBreakHyphen/>
              <w:t>Mix en jugement sommaire et statuant contre Redi</w:t>
            </w:r>
            <w:r w:rsidRPr="00666964">
              <w:rPr>
                <w:sz w:val="20"/>
                <w:lang w:val="fr-CA"/>
              </w:rPr>
              <w:noBreakHyphen/>
              <w:t>Mix sur la question de la responsabilité (renvoyant en première instance la question des dommages</w:t>
            </w:r>
            <w:r w:rsidRPr="00666964">
              <w:rPr>
                <w:sz w:val="20"/>
                <w:lang w:val="fr-CA"/>
              </w:rPr>
              <w:noBreakHyphen/>
              <w:t>intérêts)</w:t>
            </w: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4 février 2020</w:t>
            </w:r>
          </w:p>
          <w:p w:rsidR="00F656D8" w:rsidRPr="00666964" w:rsidRDefault="00F656D8" w:rsidP="00857157">
            <w:pPr>
              <w:jc w:val="both"/>
              <w:rPr>
                <w:sz w:val="20"/>
                <w:lang w:val="fr-CA"/>
              </w:rPr>
            </w:pPr>
            <w:r w:rsidRPr="00666964">
              <w:rPr>
                <w:sz w:val="20"/>
                <w:lang w:val="fr-CA"/>
              </w:rPr>
              <w:t>Cour d’appel de l’Ontario</w:t>
            </w:r>
          </w:p>
          <w:p w:rsidR="00F656D8" w:rsidRPr="00666964" w:rsidRDefault="00F656D8" w:rsidP="00857157">
            <w:pPr>
              <w:jc w:val="both"/>
              <w:rPr>
                <w:sz w:val="20"/>
                <w:lang w:val="fr-CA"/>
              </w:rPr>
            </w:pPr>
            <w:r w:rsidRPr="00666964">
              <w:rPr>
                <w:sz w:val="20"/>
                <w:lang w:val="fr-CA"/>
              </w:rPr>
              <w:t xml:space="preserve">(Juges Lauwers, van </w:t>
            </w:r>
            <w:proofErr w:type="spellStart"/>
            <w:r w:rsidRPr="00666964">
              <w:rPr>
                <w:sz w:val="20"/>
                <w:lang w:val="fr-CA"/>
              </w:rPr>
              <w:t>Rensburg</w:t>
            </w:r>
            <w:proofErr w:type="spellEnd"/>
            <w:r w:rsidRPr="00666964">
              <w:rPr>
                <w:sz w:val="20"/>
                <w:lang w:val="fr-CA"/>
              </w:rPr>
              <w:t xml:space="preserve"> et Roberts)</w:t>
            </w:r>
          </w:p>
          <w:p w:rsidR="00F656D8" w:rsidRPr="00666964" w:rsidRDefault="005B0CA8" w:rsidP="00857157">
            <w:pPr>
              <w:jc w:val="both"/>
              <w:rPr>
                <w:sz w:val="20"/>
                <w:lang w:val="fr-CA"/>
              </w:rPr>
            </w:pPr>
            <w:hyperlink r:id="rId18" w:history="1">
              <w:r w:rsidR="00F656D8" w:rsidRPr="00666964">
                <w:rPr>
                  <w:rStyle w:val="Hyperlink"/>
                  <w:sz w:val="20"/>
                  <w:lang w:val="fr-CA"/>
                </w:rPr>
                <w:t>2020 ONCA 83</w:t>
              </w:r>
            </w:hyperlink>
            <w:r w:rsidR="00F656D8" w:rsidRPr="00666964">
              <w:rPr>
                <w:sz w:val="20"/>
                <w:lang w:val="fr-CA"/>
              </w:rPr>
              <w:t xml:space="preserve"> </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Arrêt accueillant en partie l’appel de Redi</w:t>
            </w:r>
            <w:r w:rsidRPr="00666964">
              <w:rPr>
                <w:sz w:val="20"/>
                <w:lang w:val="fr-CA"/>
              </w:rPr>
              <w:noBreakHyphen/>
              <w:t>Mix (renvoyant en première instance les questions des dommages</w:t>
            </w:r>
            <w:r w:rsidRPr="00666964">
              <w:rPr>
                <w:sz w:val="20"/>
                <w:lang w:val="fr-CA"/>
              </w:rPr>
              <w:noBreakHyphen/>
              <w:t xml:space="preserve">intérêts et de la négligence de la victime) et rejetant l’appel pour le reste </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25 mars 2020</w:t>
            </w:r>
          </w:p>
          <w:p w:rsidR="00F656D8" w:rsidRPr="00666964" w:rsidRDefault="00F656D8" w:rsidP="00857157">
            <w:pPr>
              <w:jc w:val="both"/>
              <w:rPr>
                <w:sz w:val="20"/>
                <w:lang w:val="fr-CA"/>
              </w:rPr>
            </w:pPr>
            <w:r w:rsidRPr="00666964">
              <w:rPr>
                <w:sz w:val="20"/>
                <w:lang w:val="fr-CA"/>
              </w:rPr>
              <w:t>Cour suprême du Canada</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par Redi</w:t>
            </w:r>
            <w:r w:rsidRPr="00666964">
              <w:rPr>
                <w:sz w:val="20"/>
                <w:lang w:val="fr-CA"/>
              </w:rPr>
              <w:noBreakHyphen/>
              <w:t>Mix, de la demande d’autorisation d’appel</w:t>
            </w:r>
          </w:p>
        </w:tc>
      </w:tr>
    </w:tbl>
    <w:p w:rsidR="00F656D8" w:rsidRPr="00666964" w:rsidRDefault="00F656D8" w:rsidP="00F656D8">
      <w:pPr>
        <w:jc w:val="both"/>
        <w:rPr>
          <w:sz w:val="20"/>
          <w:lang w:val="fr-CA"/>
        </w:rPr>
      </w:pPr>
    </w:p>
    <w:p w:rsidR="00F656D8" w:rsidRPr="00666964" w:rsidRDefault="005B0CA8" w:rsidP="00F656D8">
      <w:pPr>
        <w:jc w:val="both"/>
        <w:rPr>
          <w:sz w:val="20"/>
          <w:lang w:val="fr-CA"/>
        </w:rPr>
      </w:pPr>
      <w:r>
        <w:rPr>
          <w:sz w:val="20"/>
        </w:rPr>
        <w:pict>
          <v:rect id="_x0000_i1035" style="width:2in;height:1pt" o:hrpct="0" o:hralign="center" o:hrstd="t" o:hrnoshade="t" o:hr="t" fillcolor="black [3213]" stroked="f"/>
        </w:pict>
      </w:r>
    </w:p>
    <w:p w:rsidR="00F656D8" w:rsidRPr="00666964" w:rsidRDefault="00F656D8" w:rsidP="00F656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656D8" w:rsidRPr="00666964" w:rsidTr="00857157">
        <w:tc>
          <w:tcPr>
            <w:tcW w:w="543" w:type="pct"/>
          </w:tcPr>
          <w:p w:rsidR="00F656D8" w:rsidRPr="00666964" w:rsidRDefault="00F656D8" w:rsidP="00857157">
            <w:pPr>
              <w:jc w:val="both"/>
              <w:rPr>
                <w:sz w:val="20"/>
              </w:rPr>
            </w:pPr>
            <w:r w:rsidRPr="00666964">
              <w:rPr>
                <w:rStyle w:val="SCCFileNumberChar"/>
                <w:sz w:val="20"/>
                <w:szCs w:val="20"/>
              </w:rPr>
              <w:t>39091</w:t>
            </w:r>
          </w:p>
        </w:tc>
        <w:tc>
          <w:tcPr>
            <w:tcW w:w="4457" w:type="pct"/>
          </w:tcPr>
          <w:p w:rsidR="00F656D8" w:rsidRPr="00666964" w:rsidRDefault="00F656D8" w:rsidP="00857157">
            <w:pPr>
              <w:pStyle w:val="SCCLsocParty"/>
              <w:jc w:val="both"/>
              <w:rPr>
                <w:b/>
                <w:sz w:val="20"/>
                <w:szCs w:val="20"/>
                <w:lang w:val="en-US"/>
              </w:rPr>
            </w:pPr>
            <w:r w:rsidRPr="00666964">
              <w:rPr>
                <w:b/>
                <w:sz w:val="20"/>
                <w:szCs w:val="20"/>
                <w:lang w:val="en-US"/>
              </w:rPr>
              <w:t>Srimoorthy Pathmanathan</w:t>
            </w:r>
            <w:r w:rsidR="00B5278F" w:rsidRPr="00666964">
              <w:rPr>
                <w:b/>
                <w:sz w:val="20"/>
                <w:szCs w:val="20"/>
                <w:lang w:val="en-US"/>
              </w:rPr>
              <w:t xml:space="preserve"> and</w:t>
            </w:r>
            <w:r w:rsidRPr="00666964">
              <w:rPr>
                <w:b/>
                <w:sz w:val="20"/>
                <w:szCs w:val="20"/>
                <w:lang w:val="en-US"/>
              </w:rPr>
              <w:t xml:space="preserve"> Thirumal Kanthasamy v. Her Majesty the Queen</w:t>
            </w:r>
          </w:p>
          <w:p w:rsidR="00F656D8" w:rsidRPr="00666964" w:rsidRDefault="00F656D8" w:rsidP="00857157">
            <w:pPr>
              <w:jc w:val="both"/>
              <w:rPr>
                <w:b/>
                <w:sz w:val="20"/>
              </w:rPr>
            </w:pPr>
            <w:r w:rsidRPr="00666964">
              <w:rPr>
                <w:b/>
                <w:sz w:val="20"/>
              </w:rPr>
              <w:t>-and between-</w:t>
            </w:r>
          </w:p>
          <w:p w:rsidR="00F656D8" w:rsidRPr="00666964" w:rsidRDefault="00F656D8" w:rsidP="00857157">
            <w:pPr>
              <w:jc w:val="both"/>
              <w:rPr>
                <w:b/>
                <w:sz w:val="20"/>
              </w:rPr>
            </w:pPr>
            <w:r w:rsidRPr="00666964">
              <w:rPr>
                <w:b/>
                <w:sz w:val="20"/>
              </w:rPr>
              <w:t>Majurathan Ba</w:t>
            </w:r>
            <w:r w:rsidR="00B5278F" w:rsidRPr="00666964">
              <w:rPr>
                <w:b/>
                <w:sz w:val="20"/>
              </w:rPr>
              <w:t>skaran v. Her Majesty the Queen</w:t>
            </w:r>
          </w:p>
          <w:p w:rsidR="00F656D8" w:rsidRPr="00666964" w:rsidRDefault="00F656D8" w:rsidP="00857157">
            <w:pPr>
              <w:jc w:val="both"/>
              <w:rPr>
                <w:sz w:val="20"/>
              </w:rPr>
            </w:pPr>
            <w:r w:rsidRPr="00666964">
              <w:rPr>
                <w:sz w:val="20"/>
              </w:rPr>
              <w:t>(Ont.) (Criminal) (By Leave)</w:t>
            </w:r>
          </w:p>
        </w:tc>
      </w:tr>
      <w:tr w:rsidR="00F656D8" w:rsidRPr="00666964" w:rsidTr="00857157">
        <w:tc>
          <w:tcPr>
            <w:tcW w:w="5000" w:type="pct"/>
            <w:gridSpan w:val="2"/>
          </w:tcPr>
          <w:p w:rsidR="00B5278F" w:rsidRPr="00666964" w:rsidRDefault="00B5278F" w:rsidP="00B5278F">
            <w:pPr>
              <w:jc w:val="both"/>
              <w:rPr>
                <w:rFonts w:cs="Times New Roman"/>
                <w:sz w:val="20"/>
                <w:szCs w:val="20"/>
              </w:rPr>
            </w:pPr>
            <w:r w:rsidRPr="00666964">
              <w:rPr>
                <w:rFonts w:cs="Times New Roman"/>
                <w:sz w:val="20"/>
                <w:szCs w:val="20"/>
              </w:rPr>
              <w:t xml:space="preserve">The motion for an extension of time to serve and file the application for leave to appeal is granted. </w:t>
            </w:r>
            <w:r w:rsidRPr="00666964">
              <w:rPr>
                <w:sz w:val="20"/>
                <w:szCs w:val="20"/>
              </w:rPr>
              <w:t>The application for leave to appeal from the judgment of the Court of Appeal for Ontario, Numbers C62607, C62608, C62652, 2020 ONCA 25, dated January 17, 2020, is dismissed.</w:t>
            </w:r>
          </w:p>
          <w:p w:rsidR="00F656D8" w:rsidRPr="00666964" w:rsidRDefault="00F656D8" w:rsidP="00857157">
            <w:pPr>
              <w:jc w:val="both"/>
              <w:rPr>
                <w:sz w:val="20"/>
              </w:rPr>
            </w:pPr>
          </w:p>
        </w:tc>
      </w:tr>
      <w:tr w:rsidR="00F656D8" w:rsidRPr="00666964" w:rsidTr="00857157">
        <w:tc>
          <w:tcPr>
            <w:tcW w:w="5000" w:type="pct"/>
            <w:gridSpan w:val="2"/>
          </w:tcPr>
          <w:p w:rsidR="00F656D8" w:rsidRPr="00666964" w:rsidRDefault="00F656D8" w:rsidP="00857157">
            <w:pPr>
              <w:jc w:val="both"/>
              <w:rPr>
                <w:sz w:val="20"/>
              </w:rPr>
            </w:pPr>
            <w:r w:rsidRPr="00666964">
              <w:rPr>
                <w:i/>
                <w:sz w:val="20"/>
              </w:rPr>
              <w:t>Charter of Rights</w:t>
            </w:r>
            <w:r w:rsidRPr="00666964">
              <w:rPr>
                <w:sz w:val="20"/>
              </w:rPr>
              <w:t xml:space="preserve"> — Criminal law — Evidence — Production orders — Cell tower records — Burden of proof — Whether the lower courts misapplied the standard for prior authorization of production orders covering cell tower records — Whether the lower courts erred in holding that a cell tower production order could have issued — Whether the lower courts erred in holding that information collected under that cell tower order should not be excised from the applications for three subsequent production orders and in holding that the evidence collected under that order and three subsequent production orders should be admitted under the Charter, s. 24(2) — Whether the lower courts erred in holding that police can rely on speculation about cell phone use during offences to seek judicial authorization for cell tower production orders — Whether the lower courts erred in holding that a Charter applicant has an evidentiary burden to adduce evidence of the amount of information actually received by police under a production order. </w:t>
            </w:r>
          </w:p>
        </w:tc>
      </w:tr>
      <w:tr w:rsidR="00F656D8" w:rsidRPr="00666964" w:rsidTr="00857157">
        <w:tc>
          <w:tcPr>
            <w:tcW w:w="5000" w:type="pct"/>
            <w:gridSpan w:val="2"/>
          </w:tcPr>
          <w:p w:rsidR="00F656D8" w:rsidRPr="00666964" w:rsidRDefault="00F656D8" w:rsidP="00857157">
            <w:pPr>
              <w:jc w:val="both"/>
              <w:rPr>
                <w:sz w:val="20"/>
              </w:rPr>
            </w:pPr>
          </w:p>
        </w:tc>
      </w:tr>
      <w:tr w:rsidR="00226699" w:rsidRPr="00666964" w:rsidTr="00857157">
        <w:tc>
          <w:tcPr>
            <w:tcW w:w="5000" w:type="pct"/>
            <w:gridSpan w:val="2"/>
          </w:tcPr>
          <w:p w:rsidR="00226699" w:rsidRPr="00666964" w:rsidRDefault="00226699" w:rsidP="00226699">
            <w:pPr>
              <w:jc w:val="both"/>
              <w:rPr>
                <w:sz w:val="20"/>
              </w:rPr>
            </w:pPr>
            <w:r w:rsidRPr="00666964">
              <w:rPr>
                <w:sz w:val="20"/>
              </w:rPr>
              <w:t xml:space="preserve">Between March and August 2009, a group of people, over several nights, stole a number of loaded tractor trailers containing various products. In some cases, the truck driver or a security guard was confined and held. The Crown advanced the theory that the robberies were committed by the same criminal group, with some variation in group membership. The police believed that one truck driver had been followed for some time by at least two vehicles and five men, and that the men following had used cell phones to communicate. They sought a production order for cell phone records from towers along the truck’s route. The warrant requested data from six towers on two dates, for specified time periods (40, 10, 15 and 20 minutes), and the subscriber records relevant to those time periods, including the date the service was initiated or terminated if the current subscriber was different from the registered subscriber. The production order was issued in June 2009. It led the police to suspect that the applicant Mr. Pathmanathan and others had been involved in one robbery. A further production order was issued in August 2009 in relation to three phone numbers identified in the June production order. The applicant Mr. Kanthasamy and others were arrested. Incident to the arrests, cell phones were seized from Mr. Kanthasamy and another. A police officer the conducted improper searches of the seized phones. Further productions orders were issued in September and November 2009 based, at least in part, on information obtained in the improper searches. The Crown conceded that, under s. 24(2) of the </w:t>
            </w:r>
            <w:r w:rsidRPr="00666964">
              <w:rPr>
                <w:i/>
                <w:sz w:val="20"/>
              </w:rPr>
              <w:t>Charter</w:t>
            </w:r>
            <w:r w:rsidRPr="00666964">
              <w:rPr>
                <w:sz w:val="20"/>
              </w:rPr>
              <w:t>, the information obtained from the September and November orders should be excluded from the evidence. Prior to trial, four accused entered guilty pleas, and three of them testified at trial.</w:t>
            </w:r>
          </w:p>
          <w:p w:rsidR="00226699" w:rsidRPr="00666964" w:rsidRDefault="00226699" w:rsidP="00857157">
            <w:pPr>
              <w:jc w:val="both"/>
              <w:rPr>
                <w:sz w:val="20"/>
              </w:rPr>
            </w:pPr>
          </w:p>
        </w:tc>
      </w:tr>
    </w:tbl>
    <w:p w:rsidR="00226699" w:rsidRPr="00666964" w:rsidRDefault="00226699">
      <w:r w:rsidRPr="006669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56D8" w:rsidRPr="00666964" w:rsidTr="00857157">
        <w:tc>
          <w:tcPr>
            <w:tcW w:w="5000" w:type="pct"/>
            <w:gridSpan w:val="3"/>
          </w:tcPr>
          <w:p w:rsidR="00F656D8" w:rsidRPr="00666964" w:rsidRDefault="00F656D8" w:rsidP="00857157">
            <w:pPr>
              <w:jc w:val="both"/>
              <w:rPr>
                <w:sz w:val="20"/>
              </w:rPr>
            </w:pPr>
            <w:r w:rsidRPr="00666964">
              <w:rPr>
                <w:sz w:val="20"/>
              </w:rPr>
              <w:t>The trial proceeded before a jury over approximately 60 days in 2015 and 2016. The jury returned with 61 verdicts, convicting Mr. Pathmanathan and Mr. Kanthasamy on several counts. The Court of Appeal dismissed the conviction appeals, but granted Mr. Pathmanathan and two others leave to appeal sentence. It allowed their appeals as to sentence and reduced their sentences.</w:t>
            </w:r>
          </w:p>
          <w:p w:rsidR="00F656D8" w:rsidRPr="00666964" w:rsidRDefault="00F656D8" w:rsidP="00857157">
            <w:pPr>
              <w:jc w:val="both"/>
              <w:rPr>
                <w:sz w:val="20"/>
              </w:rPr>
            </w:pPr>
            <w:r w:rsidRPr="00666964">
              <w:rPr>
                <w:sz w:val="20"/>
              </w:rPr>
              <w:t xml:space="preserve"> </w:t>
            </w:r>
          </w:p>
        </w:tc>
      </w:tr>
      <w:tr w:rsidR="00F656D8" w:rsidRPr="00666964" w:rsidTr="00857157">
        <w:tc>
          <w:tcPr>
            <w:tcW w:w="2427" w:type="pct"/>
          </w:tcPr>
          <w:p w:rsidR="00F656D8" w:rsidRPr="00666964" w:rsidRDefault="00F656D8" w:rsidP="00857157">
            <w:pPr>
              <w:jc w:val="both"/>
              <w:rPr>
                <w:sz w:val="20"/>
              </w:rPr>
            </w:pPr>
            <w:r w:rsidRPr="00666964">
              <w:rPr>
                <w:sz w:val="20"/>
              </w:rPr>
              <w:t>September 6, 2016</w:t>
            </w:r>
          </w:p>
          <w:p w:rsidR="00F656D8" w:rsidRPr="00666964" w:rsidRDefault="00F656D8" w:rsidP="00857157">
            <w:pPr>
              <w:jc w:val="both"/>
              <w:rPr>
                <w:sz w:val="20"/>
              </w:rPr>
            </w:pPr>
            <w:r w:rsidRPr="00666964">
              <w:rPr>
                <w:sz w:val="20"/>
              </w:rPr>
              <w:t>Ontario Superior Court of Justice</w:t>
            </w:r>
          </w:p>
          <w:p w:rsidR="00F656D8" w:rsidRPr="00666964" w:rsidRDefault="00F656D8" w:rsidP="00857157">
            <w:pPr>
              <w:jc w:val="both"/>
              <w:rPr>
                <w:sz w:val="20"/>
              </w:rPr>
            </w:pPr>
            <w:r w:rsidRPr="00666964">
              <w:rPr>
                <w:sz w:val="20"/>
              </w:rPr>
              <w:t>(Fairburn J.)</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Applicants and others convicted and sentenced on various counts of theft over $5,000, robbery kidnapping, using an imitation firearm, possession of stolen property and possession of property obtained by crime</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January 17, 2020</w:t>
            </w:r>
          </w:p>
          <w:p w:rsidR="00F656D8" w:rsidRPr="00666964" w:rsidRDefault="00F656D8" w:rsidP="00857157">
            <w:pPr>
              <w:jc w:val="both"/>
              <w:rPr>
                <w:sz w:val="20"/>
              </w:rPr>
            </w:pPr>
            <w:r w:rsidRPr="00666964">
              <w:rPr>
                <w:sz w:val="20"/>
              </w:rPr>
              <w:t>Court of Appeal for Ontario</w:t>
            </w:r>
          </w:p>
          <w:p w:rsidR="00F656D8" w:rsidRPr="00666964" w:rsidRDefault="00F656D8" w:rsidP="00857157">
            <w:pPr>
              <w:jc w:val="both"/>
              <w:rPr>
                <w:sz w:val="20"/>
              </w:rPr>
            </w:pPr>
            <w:r w:rsidRPr="00666964">
              <w:rPr>
                <w:sz w:val="20"/>
              </w:rPr>
              <w:t>(Hoy A.C.J.O., Lauwers, Nordheimer JJ.A.)</w:t>
            </w:r>
          </w:p>
          <w:p w:rsidR="00F656D8" w:rsidRPr="00666964" w:rsidRDefault="005B0CA8" w:rsidP="00857157">
            <w:pPr>
              <w:jc w:val="both"/>
              <w:rPr>
                <w:sz w:val="20"/>
              </w:rPr>
            </w:pPr>
            <w:hyperlink r:id="rId19" w:history="1">
              <w:r w:rsidR="00F656D8" w:rsidRPr="00666964">
                <w:rPr>
                  <w:color w:val="0000FF" w:themeColor="hyperlink"/>
                  <w:sz w:val="20"/>
                  <w:u w:val="single"/>
                  <w:lang w:val="en"/>
                </w:rPr>
                <w:t>2020 ONCA 25</w:t>
              </w:r>
            </w:hyperlink>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Conviction appeals dismissed; leave to appeal sentence granted to Mr. Pathmanathan, Mr. Baskaran and another; sentence appeals allowed and sentences reduced</w:t>
            </w:r>
          </w:p>
        </w:tc>
      </w:tr>
      <w:tr w:rsidR="00F656D8" w:rsidRPr="00666964" w:rsidTr="00857157">
        <w:tc>
          <w:tcPr>
            <w:tcW w:w="2427" w:type="pct"/>
          </w:tcPr>
          <w:p w:rsidR="00F656D8" w:rsidRPr="00666964" w:rsidRDefault="00F656D8" w:rsidP="00857157">
            <w:pPr>
              <w:jc w:val="both"/>
              <w:rPr>
                <w:sz w:val="20"/>
              </w:rPr>
            </w:pPr>
            <w:r w:rsidRPr="00666964">
              <w:rPr>
                <w:sz w:val="20"/>
              </w:rPr>
              <w:t>March 17, 2020</w:t>
            </w:r>
          </w:p>
          <w:p w:rsidR="00F656D8" w:rsidRPr="00666964" w:rsidRDefault="00F656D8" w:rsidP="00857157">
            <w:pPr>
              <w:jc w:val="both"/>
              <w:rPr>
                <w:sz w:val="20"/>
              </w:rPr>
            </w:pPr>
            <w:r w:rsidRPr="00666964">
              <w:rPr>
                <w:sz w:val="20"/>
              </w:rPr>
              <w:t>Supreme Court of Canada</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First Application for leave to appeal filed</w:t>
            </w:r>
          </w:p>
        </w:tc>
      </w:tr>
      <w:tr w:rsidR="00F656D8" w:rsidRPr="00666964" w:rsidTr="00857157">
        <w:tc>
          <w:tcPr>
            <w:tcW w:w="2427" w:type="pct"/>
          </w:tcPr>
          <w:p w:rsidR="00F656D8" w:rsidRPr="00666964" w:rsidRDefault="00F656D8" w:rsidP="00857157">
            <w:pPr>
              <w:jc w:val="both"/>
              <w:rPr>
                <w:sz w:val="20"/>
              </w:rPr>
            </w:pPr>
            <w:r w:rsidRPr="00666964">
              <w:rPr>
                <w:sz w:val="20"/>
              </w:rPr>
              <w:t>April 9, 2020</w:t>
            </w:r>
          </w:p>
          <w:p w:rsidR="00F656D8" w:rsidRPr="00666964" w:rsidRDefault="00F656D8" w:rsidP="00857157">
            <w:pPr>
              <w:jc w:val="both"/>
              <w:rPr>
                <w:sz w:val="20"/>
              </w:rPr>
            </w:pPr>
            <w:r w:rsidRPr="00666964">
              <w:rPr>
                <w:sz w:val="20"/>
              </w:rPr>
              <w:t>Supreme Court of Canada</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Second Application for leave to appeal filed</w:t>
            </w:r>
          </w:p>
        </w:tc>
      </w:tr>
    </w:tbl>
    <w:p w:rsidR="00F656D8" w:rsidRPr="00666964" w:rsidRDefault="00F656D8" w:rsidP="00F656D8">
      <w:pPr>
        <w:jc w:val="both"/>
        <w:rPr>
          <w:sz w:val="20"/>
        </w:rPr>
      </w:pPr>
    </w:p>
    <w:p w:rsidR="00F656D8" w:rsidRPr="00666964" w:rsidRDefault="005B0CA8" w:rsidP="00F656D8">
      <w:pPr>
        <w:jc w:val="both"/>
        <w:rPr>
          <w:sz w:val="20"/>
        </w:rPr>
      </w:pPr>
      <w:r>
        <w:rPr>
          <w:sz w:val="20"/>
        </w:rPr>
        <w:pict>
          <v:rect id="_x0000_i1036" style="width:2in;height:1pt" o:hrpct="0" o:hralign="center" o:hrstd="t" o:hrnoshade="t" o:hr="t" fillcolor="black [3213]" stroked="f"/>
        </w:pict>
      </w:r>
    </w:p>
    <w:p w:rsidR="00F656D8" w:rsidRPr="00666964" w:rsidRDefault="00F656D8" w:rsidP="00F656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656D8" w:rsidRPr="00666964" w:rsidTr="00857157">
        <w:tc>
          <w:tcPr>
            <w:tcW w:w="543" w:type="pct"/>
          </w:tcPr>
          <w:p w:rsidR="00F656D8" w:rsidRPr="00666964" w:rsidRDefault="00F656D8" w:rsidP="00857157">
            <w:pPr>
              <w:jc w:val="both"/>
              <w:rPr>
                <w:sz w:val="20"/>
                <w:lang w:val="fr-CA"/>
              </w:rPr>
            </w:pPr>
            <w:r w:rsidRPr="00666964">
              <w:rPr>
                <w:rStyle w:val="SCCFileNumberChar"/>
                <w:sz w:val="20"/>
                <w:szCs w:val="20"/>
                <w:lang w:val="fr-CA"/>
              </w:rPr>
              <w:t>39091</w:t>
            </w:r>
          </w:p>
        </w:tc>
        <w:tc>
          <w:tcPr>
            <w:tcW w:w="4457" w:type="pct"/>
          </w:tcPr>
          <w:p w:rsidR="00F656D8" w:rsidRPr="00666964" w:rsidRDefault="00B5278F" w:rsidP="00857157">
            <w:pPr>
              <w:pStyle w:val="SCCLsocParty"/>
              <w:jc w:val="both"/>
              <w:rPr>
                <w:b/>
                <w:sz w:val="20"/>
                <w:szCs w:val="20"/>
              </w:rPr>
            </w:pPr>
            <w:r w:rsidRPr="00666964">
              <w:rPr>
                <w:b/>
                <w:sz w:val="20"/>
                <w:szCs w:val="20"/>
              </w:rPr>
              <w:t>Srimoorthy Pathmanathan et</w:t>
            </w:r>
            <w:r w:rsidR="00F656D8" w:rsidRPr="00666964">
              <w:rPr>
                <w:b/>
                <w:sz w:val="20"/>
                <w:szCs w:val="20"/>
              </w:rPr>
              <w:t xml:space="preserve"> Thirumal Kanthasamy c. Sa Majesté la Reine</w:t>
            </w:r>
          </w:p>
          <w:p w:rsidR="00F656D8" w:rsidRPr="00666964" w:rsidRDefault="00F656D8" w:rsidP="00857157">
            <w:pPr>
              <w:jc w:val="both"/>
              <w:rPr>
                <w:b/>
                <w:sz w:val="20"/>
                <w:lang w:val="fr-CA"/>
              </w:rPr>
            </w:pPr>
            <w:r w:rsidRPr="00666964">
              <w:rPr>
                <w:b/>
                <w:sz w:val="20"/>
                <w:lang w:val="fr-CA"/>
              </w:rPr>
              <w:t>-et entre-</w:t>
            </w:r>
          </w:p>
          <w:p w:rsidR="00F656D8" w:rsidRPr="00666964" w:rsidRDefault="00F656D8" w:rsidP="00857157">
            <w:pPr>
              <w:jc w:val="both"/>
              <w:rPr>
                <w:b/>
                <w:sz w:val="20"/>
                <w:lang w:val="fr-CA"/>
              </w:rPr>
            </w:pPr>
            <w:r w:rsidRPr="00666964">
              <w:rPr>
                <w:b/>
                <w:sz w:val="20"/>
                <w:lang w:val="fr-CA"/>
              </w:rPr>
              <w:t xml:space="preserve">Majurathan Baskaran c. Sa Majesté la Reine </w:t>
            </w:r>
          </w:p>
          <w:p w:rsidR="00F656D8" w:rsidRPr="00666964" w:rsidRDefault="00F656D8" w:rsidP="00857157">
            <w:pPr>
              <w:jc w:val="both"/>
              <w:rPr>
                <w:sz w:val="20"/>
                <w:lang w:val="fr-CA"/>
              </w:rPr>
            </w:pPr>
            <w:r w:rsidRPr="00666964">
              <w:rPr>
                <w:sz w:val="20"/>
                <w:lang w:val="fr-CA"/>
              </w:rPr>
              <w:t>(Ont.) (Criminelle) (Autorisation)</w:t>
            </w:r>
          </w:p>
        </w:tc>
      </w:tr>
      <w:tr w:rsidR="00F656D8" w:rsidRPr="005B0CA8" w:rsidTr="00857157">
        <w:tc>
          <w:tcPr>
            <w:tcW w:w="5000" w:type="pct"/>
            <w:gridSpan w:val="2"/>
          </w:tcPr>
          <w:p w:rsidR="00F656D8" w:rsidRPr="00666964" w:rsidRDefault="00B5278F" w:rsidP="00857157">
            <w:pPr>
              <w:jc w:val="both"/>
              <w:rPr>
                <w:sz w:val="20"/>
                <w:szCs w:val="20"/>
                <w:lang w:val="fr-CA"/>
              </w:rPr>
            </w:pPr>
            <w:r w:rsidRPr="00666964">
              <w:rPr>
                <w:rFonts w:cs="Times New Roman"/>
                <w:sz w:val="20"/>
                <w:szCs w:val="20"/>
                <w:lang w:val="fr-CA"/>
              </w:rPr>
              <w:t xml:space="preserve">La requête en prorogation du délai de signification et de dépôt de la demande d’autorisation d’appel est accueillie. </w:t>
            </w:r>
            <w:r w:rsidRPr="00666964">
              <w:rPr>
                <w:sz w:val="20"/>
                <w:szCs w:val="20"/>
                <w:lang w:val="fr-CA"/>
              </w:rPr>
              <w:t>La demande d’autorisation d’appel de l’arrêt de la Cour d’appel de l’Ontario, numéros C62607, C62608, C62652, 2020 ONCA 25, daté du 17 janvier 2020, est rejetée.</w:t>
            </w:r>
          </w:p>
          <w:p w:rsidR="00B5278F" w:rsidRPr="00666964" w:rsidRDefault="00B5278F" w:rsidP="00857157">
            <w:pPr>
              <w:jc w:val="both"/>
              <w:rPr>
                <w:sz w:val="20"/>
                <w:lang w:val="fr-CA"/>
              </w:rPr>
            </w:pPr>
          </w:p>
        </w:tc>
      </w:tr>
      <w:tr w:rsidR="00F656D8" w:rsidRPr="005B0CA8" w:rsidTr="00857157">
        <w:tc>
          <w:tcPr>
            <w:tcW w:w="5000" w:type="pct"/>
            <w:gridSpan w:val="2"/>
          </w:tcPr>
          <w:p w:rsidR="00F656D8" w:rsidRPr="00666964" w:rsidRDefault="00F656D8" w:rsidP="00857157">
            <w:pPr>
              <w:jc w:val="both"/>
              <w:rPr>
                <w:sz w:val="20"/>
                <w:lang w:val="fr-CA"/>
              </w:rPr>
            </w:pPr>
            <w:r w:rsidRPr="00666964">
              <w:rPr>
                <w:i/>
                <w:sz w:val="20"/>
                <w:lang w:val="fr-CA"/>
              </w:rPr>
              <w:t>Charte des droits</w:t>
            </w:r>
            <w:r w:rsidRPr="00666964">
              <w:rPr>
                <w:sz w:val="20"/>
                <w:lang w:val="fr-CA"/>
              </w:rPr>
              <w:t xml:space="preserve"> — Droit criminel — Preuve — Ordonnances de communication — Registres de tours de transmission — Fardeau de la preuve — Les juridictions inférieures ont</w:t>
            </w:r>
            <w:r w:rsidRPr="00666964">
              <w:rPr>
                <w:sz w:val="20"/>
                <w:lang w:val="fr-CA"/>
              </w:rPr>
              <w:noBreakHyphen/>
              <w:t>elles mal appliqué la norme en matière d’autorisation préalable d’ordonnances de communication portant sur les registres de tours de transmission? — Les juridictions inférieures ont</w:t>
            </w:r>
            <w:r w:rsidRPr="00666964">
              <w:rPr>
                <w:sz w:val="20"/>
                <w:lang w:val="fr-CA"/>
              </w:rPr>
              <w:noBreakHyphen/>
              <w:t>elles eu tort de conclure qu’une ordonnance de communication de registres de tours de transmission aurait pu être délivrée? — Les juridictions inférieures ont</w:t>
            </w:r>
            <w:r w:rsidRPr="00666964">
              <w:rPr>
                <w:sz w:val="20"/>
                <w:lang w:val="fr-CA"/>
              </w:rPr>
              <w:noBreakHyphen/>
              <w:t xml:space="preserve">elles eu tort de conclure que les renseignements recueillis en exécution de cette ordonnance relative aux tours de transmission ne doivent pas être expurgés des demandes de trois ordonnances de communication subséquentes et de statuer que les éléments de preuve recueillis en exécution de cette ordonnance et de trois ordonnances de communications subséquentes doivent être admis en application du par. 24(2) de la </w:t>
            </w:r>
            <w:r w:rsidRPr="00666964">
              <w:rPr>
                <w:i/>
                <w:sz w:val="20"/>
                <w:lang w:val="fr-CA"/>
              </w:rPr>
              <w:t>Charte</w:t>
            </w:r>
            <w:r w:rsidRPr="00666964">
              <w:rPr>
                <w:sz w:val="20"/>
                <w:lang w:val="fr-CA"/>
              </w:rPr>
              <w:t>? — Les juridictions inférieures ont</w:t>
            </w:r>
            <w:r w:rsidRPr="00666964">
              <w:rPr>
                <w:sz w:val="20"/>
                <w:lang w:val="fr-CA"/>
              </w:rPr>
              <w:noBreakHyphen/>
              <w:t>elles eu tort de statuer que les policiers peuvent s’appuyer sur des conjectures à propos de l’utilisation de téléphones cellulaires pendant des infractions pour demander l’autorisation judiciaire d’obtenir des ordonnances de communication de registres de tours de transmission? — Les juridictions inférieures ont</w:t>
            </w:r>
            <w:r w:rsidRPr="00666964">
              <w:rPr>
                <w:sz w:val="20"/>
                <w:lang w:val="fr-CA"/>
              </w:rPr>
              <w:noBreakHyphen/>
              <w:t xml:space="preserve">elles eu tort de statuer qu’un demandeur qui s’appuie sur la </w:t>
            </w:r>
            <w:r w:rsidRPr="00666964">
              <w:rPr>
                <w:i/>
                <w:sz w:val="20"/>
                <w:lang w:val="fr-CA"/>
              </w:rPr>
              <w:t>Charte</w:t>
            </w:r>
            <w:r w:rsidRPr="00666964">
              <w:rPr>
                <w:sz w:val="20"/>
                <w:lang w:val="fr-CA"/>
              </w:rPr>
              <w:t xml:space="preserve"> a le fardeau de produire des éléments de preuve de la quantité de renseignements réellement reçus par les policiers en exécution d’une ordonnance de communication? </w:t>
            </w:r>
          </w:p>
        </w:tc>
      </w:tr>
      <w:tr w:rsidR="00F656D8" w:rsidRPr="005B0CA8" w:rsidTr="00857157">
        <w:tc>
          <w:tcPr>
            <w:tcW w:w="5000" w:type="pct"/>
            <w:gridSpan w:val="2"/>
          </w:tcPr>
          <w:p w:rsidR="00F656D8" w:rsidRPr="00666964" w:rsidRDefault="00F656D8" w:rsidP="00857157">
            <w:pPr>
              <w:jc w:val="both"/>
              <w:rPr>
                <w:sz w:val="20"/>
                <w:lang w:val="fr-CA"/>
              </w:rPr>
            </w:pPr>
          </w:p>
        </w:tc>
      </w:tr>
    </w:tbl>
    <w:p w:rsidR="00226699" w:rsidRPr="00666964" w:rsidRDefault="00226699">
      <w:pPr>
        <w:rPr>
          <w:lang w:val="fr-CA"/>
        </w:rPr>
      </w:pPr>
      <w:r w:rsidRPr="00666964">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56D8" w:rsidRPr="005B0CA8" w:rsidTr="00857157">
        <w:tc>
          <w:tcPr>
            <w:tcW w:w="5000" w:type="pct"/>
            <w:gridSpan w:val="3"/>
          </w:tcPr>
          <w:p w:rsidR="00F656D8" w:rsidRPr="00666964" w:rsidRDefault="00F656D8" w:rsidP="00857157">
            <w:pPr>
              <w:jc w:val="both"/>
              <w:rPr>
                <w:sz w:val="20"/>
                <w:lang w:val="fr-CA"/>
              </w:rPr>
            </w:pPr>
            <w:r w:rsidRPr="00666964">
              <w:rPr>
                <w:sz w:val="20"/>
                <w:lang w:val="fr-CA"/>
              </w:rPr>
              <w:t xml:space="preserve">Entre mars et août 2009, un groupe de personnes, sur une période de plusieurs nuits, a volé des camions gros porteurs chargés de divers produits. Dans certains cas, le chauffeur de camion ou un gardien de sécurité était séquestré. Le ministère public a fait valoir la thèse selon laquelle les vols qualifiés avaient été commis par le même groupe criminel, dont l’effectif pouvait varier. Les policiers croyaient qu’un chauffeur de camion avait été suivi depuis un certain temps par au moins deux véhicules et cinq hommes, et que les hommes qui suivaient avaient utilisé des téléphones cellulaires pour communiquer. Les policiers ont demandé une ordonnance de communication visant les registres de téléphones cellulaires de tours de transmission le long du trajet parcouru par le camion. Le mandat demandait des données de six tours à deux dates, pour des intervalles de temps précis (40, 10, 15 et 20 minutes), et les dossiers d’abonnés correspondant à ces intervalles, y compris le moment où le service a commencé ou pris fin, si l’abonné actuel ne correspondait pas à l’abonné inscrit. L’ordonnance de communication a été délivrée en juin 2009. Elle a amené les policiers à soupçonner que le demandeur,  M. Pathmanathan et d’autres avaient participé à un des vols qualifiés. Une autre ordonnance de communication a été délivrée en août 2009 en lien avec trois numéros de téléphone identifiés dans l’ordonnance de communication de juin. Le demandeur M. Kanthasamy et d’autres ont été arrêtés. Accessoirement aux arrestations, des téléphones cellulaires ont été saisis de M. Kanthasamy et d’une autre personne. Un policier a effectué des fouilles irrégulières des téléphones saisis. D’autres ordonnances de communication ont été délivrées en septembre et en novembre 2009 sur le fondement, en partie du moins, de renseignements obtenus lors des fouilles irrégulières. Le ministère public a admis qu’au regard du par. 24(2) de la </w:t>
            </w:r>
            <w:r w:rsidRPr="00666964">
              <w:rPr>
                <w:i/>
                <w:sz w:val="20"/>
                <w:lang w:val="fr-CA"/>
              </w:rPr>
              <w:t>Charte</w:t>
            </w:r>
            <w:r w:rsidRPr="00666964">
              <w:rPr>
                <w:sz w:val="20"/>
                <w:lang w:val="fr-CA"/>
              </w:rPr>
              <w:t>, les renseignements obtenus des ordonnances de septembre et de novembre devaient être exclus de la preuve. Avant le procès, quatre accusés ont inscrit des plaidoyers de culpabilité et trois ont témoigné au procès.</w:t>
            </w:r>
          </w:p>
          <w:p w:rsidR="00F656D8" w:rsidRPr="00666964" w:rsidRDefault="00F656D8" w:rsidP="00857157">
            <w:pPr>
              <w:jc w:val="both"/>
              <w:rPr>
                <w:sz w:val="20"/>
                <w:lang w:val="fr-CA"/>
              </w:rPr>
            </w:pPr>
          </w:p>
          <w:p w:rsidR="00F656D8" w:rsidRPr="00666964" w:rsidRDefault="00F656D8" w:rsidP="00857157">
            <w:pPr>
              <w:jc w:val="both"/>
              <w:rPr>
                <w:sz w:val="20"/>
                <w:lang w:val="fr-CA"/>
              </w:rPr>
            </w:pPr>
            <w:r w:rsidRPr="00666964">
              <w:rPr>
                <w:sz w:val="20"/>
                <w:lang w:val="fr-CA"/>
              </w:rPr>
              <w:t>Le procès a eu lieu devant un jury sur une période de plus de 60 jours en 2015 et 2016. Le jury a prononcé  61 verdicts, déclarant M. Pathmanathan et M. Kanthasamy coupables de plusieurs chefs d’accusation. La Cour d’appel a rejeté les appels des déclarations de culpabilité, mais a autorisé M. Pathmanathan et à deux autres personnes d’interjeter appel de la peine. Elle a accueilli leurs appels de la peine et a réduit leurs peines.</w:t>
            </w:r>
          </w:p>
          <w:p w:rsidR="00F656D8" w:rsidRPr="00666964" w:rsidRDefault="00F656D8" w:rsidP="00857157">
            <w:pPr>
              <w:jc w:val="both"/>
              <w:rPr>
                <w:sz w:val="20"/>
                <w:lang w:val="fr-CA"/>
              </w:rPr>
            </w:pPr>
            <w:r w:rsidRPr="00666964">
              <w:rPr>
                <w:sz w:val="20"/>
                <w:lang w:val="fr-CA"/>
              </w:rPr>
              <w:t xml:space="preserve"> </w:t>
            </w:r>
          </w:p>
        </w:tc>
      </w:tr>
      <w:tr w:rsidR="00F656D8" w:rsidRPr="005B0CA8" w:rsidTr="00857157">
        <w:tc>
          <w:tcPr>
            <w:tcW w:w="2427" w:type="pct"/>
          </w:tcPr>
          <w:p w:rsidR="00F656D8" w:rsidRPr="00666964" w:rsidRDefault="00F656D8" w:rsidP="00857157">
            <w:pPr>
              <w:jc w:val="both"/>
              <w:rPr>
                <w:sz w:val="20"/>
                <w:lang w:val="fr-CA"/>
              </w:rPr>
            </w:pPr>
            <w:r w:rsidRPr="00666964">
              <w:rPr>
                <w:sz w:val="20"/>
                <w:lang w:val="fr-CA"/>
              </w:rPr>
              <w:t>6 septembre 2016</w:t>
            </w:r>
          </w:p>
          <w:p w:rsidR="00F656D8" w:rsidRPr="00666964" w:rsidRDefault="00F656D8" w:rsidP="00857157">
            <w:pPr>
              <w:jc w:val="both"/>
              <w:rPr>
                <w:sz w:val="20"/>
                <w:lang w:val="fr-CA"/>
              </w:rPr>
            </w:pPr>
            <w:r w:rsidRPr="00666964">
              <w:rPr>
                <w:sz w:val="20"/>
                <w:lang w:val="fr-CA"/>
              </w:rPr>
              <w:t>Cour supérieure de justice de l’Ontario</w:t>
            </w:r>
          </w:p>
          <w:p w:rsidR="00F656D8" w:rsidRPr="00666964" w:rsidRDefault="00F656D8" w:rsidP="00857157">
            <w:pPr>
              <w:jc w:val="both"/>
              <w:rPr>
                <w:sz w:val="20"/>
                <w:lang w:val="fr-CA"/>
              </w:rPr>
            </w:pPr>
            <w:r w:rsidRPr="00666964">
              <w:rPr>
                <w:sz w:val="20"/>
                <w:lang w:val="fr-CA"/>
              </w:rPr>
              <w:t>(Juge Fairburn)</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Déclaration du culpabilité prononcée à l’égard des demandeurs et d’autres et peines infligées relativement à plusieurs chefs d’accusation de vol de plus de  5 000 $, de vol qualifié, d’enlèvement, d’utilisation d’une fausse arme à feu, de recel et de possession de biens criminellement obtenus</w:t>
            </w:r>
          </w:p>
          <w:p w:rsidR="00F656D8" w:rsidRPr="00666964" w:rsidRDefault="00F656D8" w:rsidP="00857157">
            <w:pPr>
              <w:jc w:val="both"/>
              <w:rPr>
                <w:sz w:val="20"/>
                <w:lang w:val="fr-CA"/>
              </w:rPr>
            </w:pPr>
          </w:p>
        </w:tc>
      </w:tr>
      <w:tr w:rsidR="00F656D8" w:rsidRPr="005B0CA8" w:rsidTr="00857157">
        <w:tc>
          <w:tcPr>
            <w:tcW w:w="2427" w:type="pct"/>
          </w:tcPr>
          <w:p w:rsidR="00F656D8" w:rsidRPr="00666964" w:rsidRDefault="00F656D8" w:rsidP="00857157">
            <w:pPr>
              <w:jc w:val="both"/>
              <w:rPr>
                <w:sz w:val="20"/>
                <w:lang w:val="fr-CA"/>
              </w:rPr>
            </w:pPr>
            <w:r w:rsidRPr="00666964">
              <w:rPr>
                <w:sz w:val="20"/>
                <w:lang w:val="fr-CA"/>
              </w:rPr>
              <w:t>17 janvier 2020</w:t>
            </w:r>
          </w:p>
          <w:p w:rsidR="00F656D8" w:rsidRPr="00666964" w:rsidRDefault="00F656D8" w:rsidP="00857157">
            <w:pPr>
              <w:jc w:val="both"/>
              <w:rPr>
                <w:sz w:val="20"/>
                <w:lang w:val="fr-CA"/>
              </w:rPr>
            </w:pPr>
            <w:r w:rsidRPr="00666964">
              <w:rPr>
                <w:sz w:val="20"/>
                <w:lang w:val="fr-CA"/>
              </w:rPr>
              <w:t>Cour d’appel de l’Ontario</w:t>
            </w:r>
          </w:p>
          <w:p w:rsidR="00F656D8" w:rsidRPr="00666964" w:rsidRDefault="00F656D8" w:rsidP="00857157">
            <w:pPr>
              <w:jc w:val="both"/>
              <w:rPr>
                <w:sz w:val="20"/>
                <w:lang w:val="fr-CA"/>
              </w:rPr>
            </w:pPr>
            <w:r w:rsidRPr="00666964">
              <w:rPr>
                <w:sz w:val="20"/>
                <w:lang w:val="fr-CA"/>
              </w:rPr>
              <w:t>(Juge en chef adjointe Hoy, juges Lauwers, et Nordheimer)</w:t>
            </w:r>
          </w:p>
          <w:p w:rsidR="00F656D8" w:rsidRPr="00666964" w:rsidRDefault="005B0CA8" w:rsidP="00857157">
            <w:pPr>
              <w:jc w:val="both"/>
              <w:rPr>
                <w:sz w:val="20"/>
                <w:lang w:val="fr-CA"/>
              </w:rPr>
            </w:pPr>
            <w:hyperlink r:id="rId20" w:history="1">
              <w:r w:rsidR="00F656D8" w:rsidRPr="00666964">
                <w:rPr>
                  <w:color w:val="0000FF" w:themeColor="hyperlink"/>
                  <w:sz w:val="20"/>
                  <w:u w:val="single"/>
                  <w:lang w:val="fr-CA"/>
                </w:rPr>
                <w:t>2020 ONCA 25</w:t>
              </w:r>
            </w:hyperlink>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 xml:space="preserve">Arrêt rejetant les appels des déclarations de culpabilité, autorisant M. Pathmanathan, M. Baskaran et un autre à interjeter appel de leurs peines, accueillant ces appels et réduisant les peines </w:t>
            </w:r>
          </w:p>
        </w:tc>
      </w:tr>
      <w:tr w:rsidR="00F656D8" w:rsidRPr="005B0CA8" w:rsidTr="00857157">
        <w:tc>
          <w:tcPr>
            <w:tcW w:w="2427" w:type="pct"/>
          </w:tcPr>
          <w:p w:rsidR="00F656D8" w:rsidRPr="00666964" w:rsidRDefault="00F656D8" w:rsidP="00857157">
            <w:pPr>
              <w:jc w:val="both"/>
              <w:rPr>
                <w:sz w:val="20"/>
                <w:lang w:val="fr-CA"/>
              </w:rPr>
            </w:pPr>
            <w:r w:rsidRPr="00666964">
              <w:rPr>
                <w:sz w:val="20"/>
                <w:lang w:val="fr-CA"/>
              </w:rPr>
              <w:t>17 mars 2020</w:t>
            </w:r>
          </w:p>
          <w:p w:rsidR="00F656D8" w:rsidRPr="00666964" w:rsidRDefault="00F656D8" w:rsidP="00857157">
            <w:pPr>
              <w:jc w:val="both"/>
              <w:rPr>
                <w:sz w:val="20"/>
                <w:lang w:val="fr-CA"/>
              </w:rPr>
            </w:pPr>
            <w:r w:rsidRPr="00666964">
              <w:rPr>
                <w:sz w:val="20"/>
                <w:lang w:val="fr-CA"/>
              </w:rPr>
              <w:t>Cour suprême du Canada</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première demande d’autorisation d’appel</w:t>
            </w:r>
          </w:p>
        </w:tc>
      </w:tr>
      <w:tr w:rsidR="00F656D8" w:rsidRPr="005B0CA8" w:rsidTr="00857157">
        <w:tc>
          <w:tcPr>
            <w:tcW w:w="2427" w:type="pct"/>
          </w:tcPr>
          <w:p w:rsidR="00F656D8" w:rsidRPr="00666964" w:rsidRDefault="00F656D8" w:rsidP="00857157">
            <w:pPr>
              <w:jc w:val="both"/>
              <w:rPr>
                <w:sz w:val="20"/>
                <w:lang w:val="fr-CA"/>
              </w:rPr>
            </w:pPr>
            <w:r w:rsidRPr="00666964">
              <w:rPr>
                <w:sz w:val="20"/>
                <w:lang w:val="fr-CA"/>
              </w:rPr>
              <w:t>9 avril 2020</w:t>
            </w:r>
          </w:p>
          <w:p w:rsidR="00F656D8" w:rsidRPr="00666964" w:rsidRDefault="00F656D8" w:rsidP="00857157">
            <w:pPr>
              <w:jc w:val="both"/>
              <w:rPr>
                <w:sz w:val="20"/>
                <w:lang w:val="fr-CA"/>
              </w:rPr>
            </w:pPr>
            <w:r w:rsidRPr="00666964">
              <w:rPr>
                <w:sz w:val="20"/>
                <w:lang w:val="fr-CA"/>
              </w:rPr>
              <w:t>Cour suprême du Canada</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deuxième demande d’autorisation d’appel</w:t>
            </w:r>
          </w:p>
        </w:tc>
      </w:tr>
    </w:tbl>
    <w:p w:rsidR="00F656D8" w:rsidRPr="00666964" w:rsidRDefault="00F656D8" w:rsidP="00F656D8">
      <w:pPr>
        <w:jc w:val="both"/>
        <w:rPr>
          <w:sz w:val="20"/>
          <w:lang w:val="fr-CA"/>
        </w:rPr>
      </w:pPr>
    </w:p>
    <w:p w:rsidR="00F656D8" w:rsidRPr="00666964" w:rsidRDefault="005B0CA8" w:rsidP="00F656D8">
      <w:pPr>
        <w:jc w:val="both"/>
        <w:rPr>
          <w:sz w:val="20"/>
          <w:lang w:val="fr-CA"/>
        </w:rPr>
      </w:pPr>
      <w:r>
        <w:rPr>
          <w:sz w:val="20"/>
        </w:rPr>
        <w:pict>
          <v:rect id="_x0000_i1037" style="width:2in;height:1pt" o:hrpct="0" o:hralign="center" o:hrstd="t" o:hrnoshade="t" o:hr="t" fillcolor="black [3213]" stroked="f"/>
        </w:pict>
      </w:r>
    </w:p>
    <w:p w:rsidR="00F656D8" w:rsidRPr="00666964" w:rsidRDefault="00F656D8" w:rsidP="00F656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656D8" w:rsidRPr="00666964" w:rsidTr="00857157">
        <w:tc>
          <w:tcPr>
            <w:tcW w:w="543" w:type="pct"/>
          </w:tcPr>
          <w:p w:rsidR="00F656D8" w:rsidRPr="00666964" w:rsidRDefault="00F656D8" w:rsidP="00857157">
            <w:pPr>
              <w:jc w:val="both"/>
              <w:rPr>
                <w:sz w:val="20"/>
              </w:rPr>
            </w:pPr>
            <w:r w:rsidRPr="00666964">
              <w:rPr>
                <w:rStyle w:val="SCCFileNumberChar"/>
                <w:sz w:val="20"/>
                <w:szCs w:val="20"/>
              </w:rPr>
              <w:t>39107</w:t>
            </w:r>
          </w:p>
        </w:tc>
        <w:tc>
          <w:tcPr>
            <w:tcW w:w="4457" w:type="pct"/>
          </w:tcPr>
          <w:p w:rsidR="00F656D8" w:rsidRPr="00666964" w:rsidRDefault="00F656D8" w:rsidP="00857157">
            <w:pPr>
              <w:jc w:val="both"/>
              <w:rPr>
                <w:b/>
                <w:spacing w:val="-5"/>
                <w:sz w:val="20"/>
              </w:rPr>
            </w:pPr>
            <w:r w:rsidRPr="00666964">
              <w:rPr>
                <w:b/>
                <w:sz w:val="20"/>
              </w:rPr>
              <w:t>Her Majesty the Queen v. D.K.</w:t>
            </w:r>
            <w:r w:rsidRPr="00666964">
              <w:rPr>
                <w:sz w:val="20"/>
              </w:rPr>
              <w:t xml:space="preserve"> </w:t>
            </w:r>
          </w:p>
          <w:p w:rsidR="00F656D8" w:rsidRPr="00666964" w:rsidRDefault="00F656D8" w:rsidP="00857157">
            <w:pPr>
              <w:jc w:val="both"/>
              <w:rPr>
                <w:sz w:val="20"/>
              </w:rPr>
            </w:pPr>
            <w:r w:rsidRPr="00666964">
              <w:rPr>
                <w:sz w:val="20"/>
              </w:rPr>
              <w:t>(Ont.) (Criminal) (By Leave)</w:t>
            </w:r>
          </w:p>
        </w:tc>
      </w:tr>
      <w:tr w:rsidR="00F656D8" w:rsidRPr="00666964" w:rsidTr="00857157">
        <w:tc>
          <w:tcPr>
            <w:tcW w:w="5000" w:type="pct"/>
            <w:gridSpan w:val="2"/>
          </w:tcPr>
          <w:p w:rsidR="00B5278F" w:rsidRPr="00666964" w:rsidRDefault="00B5278F" w:rsidP="00B5278F">
            <w:pPr>
              <w:jc w:val="both"/>
              <w:rPr>
                <w:sz w:val="20"/>
                <w:szCs w:val="20"/>
              </w:rPr>
            </w:pPr>
            <w:r w:rsidRPr="00666964">
              <w:rPr>
                <w:sz w:val="20"/>
                <w:szCs w:val="20"/>
              </w:rPr>
              <w:t>The application for leave to appeal from the judgment of the Court of Appeal for Ontario, Number C66287, 2020 ONCA 79, dated February 3, 2020, is dismissed without costs.</w:t>
            </w:r>
          </w:p>
          <w:p w:rsidR="00F656D8" w:rsidRPr="00666964" w:rsidRDefault="00F656D8" w:rsidP="00857157">
            <w:pPr>
              <w:jc w:val="both"/>
              <w:rPr>
                <w:sz w:val="20"/>
              </w:rPr>
            </w:pPr>
          </w:p>
        </w:tc>
      </w:tr>
    </w:tbl>
    <w:p w:rsidR="00226699" w:rsidRPr="00666964" w:rsidRDefault="00226699">
      <w:r w:rsidRPr="006669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56D8" w:rsidRPr="00666964" w:rsidTr="00857157">
        <w:tc>
          <w:tcPr>
            <w:tcW w:w="5000" w:type="pct"/>
            <w:gridSpan w:val="3"/>
          </w:tcPr>
          <w:p w:rsidR="00F656D8" w:rsidRPr="00666964" w:rsidRDefault="00F656D8" w:rsidP="00857157">
            <w:pPr>
              <w:jc w:val="both"/>
              <w:rPr>
                <w:sz w:val="20"/>
              </w:rPr>
            </w:pPr>
            <w:r w:rsidRPr="00666964">
              <w:rPr>
                <w:sz w:val="20"/>
              </w:rPr>
              <w:t xml:space="preserve">Criminal law — Evidence — Prior consistent statements — </w:t>
            </w:r>
            <w:r w:rsidRPr="00666964">
              <w:rPr>
                <w:spacing w:val="-2"/>
                <w:sz w:val="20"/>
              </w:rPr>
              <w:t>Narrative</w:t>
            </w:r>
            <w:r w:rsidRPr="00666964">
              <w:rPr>
                <w:spacing w:val="-2"/>
                <w:sz w:val="20"/>
              </w:rPr>
              <w:noBreakHyphen/>
              <w:t>as</w:t>
            </w:r>
            <w:r w:rsidRPr="00666964">
              <w:rPr>
                <w:spacing w:val="-2"/>
                <w:sz w:val="20"/>
              </w:rPr>
              <w:noBreakHyphen/>
              <w:t>circumstantial</w:t>
            </w:r>
            <w:r w:rsidRPr="00666964">
              <w:rPr>
                <w:spacing w:val="-2"/>
                <w:sz w:val="20"/>
              </w:rPr>
              <w:noBreakHyphen/>
              <w:t xml:space="preserve">evidence exception to presumptive inadmissibility of prior consistent statements — Whether Court of Appeal </w:t>
            </w:r>
            <w:r w:rsidRPr="00666964">
              <w:rPr>
                <w:sz w:val="20"/>
              </w:rPr>
              <w:t xml:space="preserve">erred in law in its application of exception </w:t>
            </w:r>
            <w:r w:rsidRPr="00666964">
              <w:rPr>
                <w:spacing w:val="-2"/>
                <w:sz w:val="20"/>
              </w:rPr>
              <w:t xml:space="preserve">— Whether </w:t>
            </w:r>
            <w:r w:rsidRPr="00666964">
              <w:rPr>
                <w:sz w:val="20"/>
              </w:rPr>
              <w:t xml:space="preserve">trial judge used complainant’s prior consistent statement for improper purpose </w:t>
            </w:r>
            <w:r w:rsidRPr="00666964">
              <w:rPr>
                <w:spacing w:val="-2"/>
                <w:sz w:val="20"/>
              </w:rPr>
              <w:t xml:space="preserve">— Whether </w:t>
            </w:r>
            <w:r w:rsidRPr="00666964">
              <w:rPr>
                <w:sz w:val="20"/>
              </w:rPr>
              <w:t>Court of Appeal erred in law in its approach to reviewing reasons for judgement and reasons addressing prior consistent statements?</w:t>
            </w:r>
          </w:p>
        </w:tc>
      </w:tr>
      <w:tr w:rsidR="00F656D8" w:rsidRPr="00666964" w:rsidTr="00857157">
        <w:tc>
          <w:tcPr>
            <w:tcW w:w="5000" w:type="pct"/>
            <w:gridSpan w:val="3"/>
          </w:tcPr>
          <w:p w:rsidR="00F656D8" w:rsidRPr="00666964" w:rsidRDefault="00F656D8" w:rsidP="00857157">
            <w:pPr>
              <w:jc w:val="both"/>
              <w:rPr>
                <w:sz w:val="20"/>
              </w:rPr>
            </w:pPr>
          </w:p>
        </w:tc>
      </w:tr>
      <w:tr w:rsidR="00F656D8" w:rsidRPr="00666964" w:rsidTr="00857157">
        <w:tc>
          <w:tcPr>
            <w:tcW w:w="5000" w:type="pct"/>
            <w:gridSpan w:val="3"/>
          </w:tcPr>
          <w:p w:rsidR="00F656D8" w:rsidRPr="00666964" w:rsidRDefault="00F656D8" w:rsidP="00857157">
            <w:pPr>
              <w:jc w:val="both"/>
              <w:rPr>
                <w:sz w:val="20"/>
              </w:rPr>
            </w:pPr>
            <w:r w:rsidRPr="00666964">
              <w:rPr>
                <w:sz w:val="20"/>
              </w:rPr>
              <w:t>The complainant suffered an injury during sexual intercourse with D.K. Her injury required emergency surgery. Her surgeon testified that the complainant said to him before her surgery that the injury occurred during “forced intercourse”. The complainant testified at trial. She said that she did not consent to intercourse and she complied out of fear. D.K. testified. He claimed the injury was an accident during consensual sex. The trial judge admitted the complainant’s prior statement to her surgeon into evidence. The statement was consistent with her in</w:t>
            </w:r>
            <w:r w:rsidRPr="00666964">
              <w:rPr>
                <w:sz w:val="20"/>
              </w:rPr>
              <w:noBreakHyphen/>
              <w:t>court testimony. The trial judge stated that it assisted in assessing the complainant’s credibility and reliability. D.K. was convicted of sexual assault. The Court of Appeal held that is was not clear whether the trial judge relied on the prior consistent statement for an improper purpose. It set aside the conviction and ordered a new trial.</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July 26, 2018</w:t>
            </w:r>
          </w:p>
          <w:p w:rsidR="00F656D8" w:rsidRPr="00666964" w:rsidRDefault="00F656D8" w:rsidP="00857157">
            <w:pPr>
              <w:jc w:val="both"/>
              <w:rPr>
                <w:sz w:val="20"/>
              </w:rPr>
            </w:pPr>
            <w:r w:rsidRPr="00666964">
              <w:rPr>
                <w:sz w:val="20"/>
              </w:rPr>
              <w:t>Ontario Court of Justice</w:t>
            </w:r>
          </w:p>
          <w:p w:rsidR="00F656D8" w:rsidRPr="00666964" w:rsidRDefault="00F656D8" w:rsidP="00857157">
            <w:pPr>
              <w:jc w:val="both"/>
              <w:rPr>
                <w:sz w:val="20"/>
              </w:rPr>
            </w:pPr>
            <w:r w:rsidRPr="00666964">
              <w:rPr>
                <w:sz w:val="20"/>
              </w:rPr>
              <w:t>(</w:t>
            </w:r>
            <w:proofErr w:type="spellStart"/>
            <w:r w:rsidRPr="00666964">
              <w:rPr>
                <w:sz w:val="20"/>
              </w:rPr>
              <w:t>Wolski</w:t>
            </w:r>
            <w:proofErr w:type="spellEnd"/>
            <w:r w:rsidRPr="00666964">
              <w:rPr>
                <w:sz w:val="20"/>
              </w:rPr>
              <w:t xml:space="preserve"> J.)</w:t>
            </w:r>
          </w:p>
          <w:p w:rsidR="00F656D8" w:rsidRPr="00666964" w:rsidRDefault="00F656D8" w:rsidP="00857157">
            <w:pPr>
              <w:jc w:val="both"/>
              <w:rPr>
                <w:sz w:val="20"/>
              </w:rPr>
            </w:pPr>
            <w:r w:rsidRPr="00666964">
              <w:rPr>
                <w:sz w:val="20"/>
              </w:rPr>
              <w:t xml:space="preserve"> </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Conviction for sexual assault</w:t>
            </w:r>
          </w:p>
        </w:tc>
      </w:tr>
      <w:tr w:rsidR="00F656D8" w:rsidRPr="00666964" w:rsidTr="00857157">
        <w:tc>
          <w:tcPr>
            <w:tcW w:w="2427" w:type="pct"/>
          </w:tcPr>
          <w:p w:rsidR="00F656D8" w:rsidRPr="00666964" w:rsidRDefault="00F656D8" w:rsidP="00857157">
            <w:pPr>
              <w:jc w:val="both"/>
              <w:rPr>
                <w:sz w:val="20"/>
              </w:rPr>
            </w:pPr>
            <w:r w:rsidRPr="00666964">
              <w:rPr>
                <w:sz w:val="20"/>
              </w:rPr>
              <w:t>February 3, 2020</w:t>
            </w:r>
          </w:p>
          <w:p w:rsidR="00F656D8" w:rsidRPr="00666964" w:rsidRDefault="00F656D8" w:rsidP="00857157">
            <w:pPr>
              <w:jc w:val="both"/>
              <w:rPr>
                <w:sz w:val="20"/>
              </w:rPr>
            </w:pPr>
            <w:r w:rsidRPr="00666964">
              <w:rPr>
                <w:sz w:val="20"/>
              </w:rPr>
              <w:t>Court of Appeal for Ontario</w:t>
            </w:r>
          </w:p>
          <w:p w:rsidR="00F656D8" w:rsidRPr="00666964" w:rsidRDefault="00F656D8" w:rsidP="00857157">
            <w:pPr>
              <w:jc w:val="both"/>
              <w:rPr>
                <w:sz w:val="20"/>
              </w:rPr>
            </w:pPr>
            <w:r w:rsidRPr="00666964">
              <w:rPr>
                <w:sz w:val="20"/>
              </w:rPr>
              <w:t>(Watt, Huscroft, Trotter JJ.A.)</w:t>
            </w:r>
          </w:p>
          <w:p w:rsidR="00F656D8" w:rsidRPr="00666964" w:rsidRDefault="005B0CA8" w:rsidP="00857157">
            <w:pPr>
              <w:jc w:val="both"/>
              <w:rPr>
                <w:sz w:val="20"/>
              </w:rPr>
            </w:pPr>
            <w:hyperlink r:id="rId21" w:history="1">
              <w:r w:rsidR="00F656D8" w:rsidRPr="00666964">
                <w:rPr>
                  <w:rStyle w:val="Hyperlink"/>
                  <w:sz w:val="20"/>
                </w:rPr>
                <w:t>2020 ONCA 79</w:t>
              </w:r>
            </w:hyperlink>
            <w:r w:rsidR="00F656D8" w:rsidRPr="00666964">
              <w:rPr>
                <w:sz w:val="20"/>
              </w:rPr>
              <w:t>; C66287</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Appeal allowed, new trial ordered</w:t>
            </w:r>
          </w:p>
        </w:tc>
      </w:tr>
      <w:tr w:rsidR="00F656D8" w:rsidRPr="00666964" w:rsidTr="00857157">
        <w:tc>
          <w:tcPr>
            <w:tcW w:w="2427" w:type="pct"/>
          </w:tcPr>
          <w:p w:rsidR="00F656D8" w:rsidRPr="00666964" w:rsidRDefault="00F656D8" w:rsidP="00857157">
            <w:pPr>
              <w:jc w:val="both"/>
              <w:rPr>
                <w:sz w:val="20"/>
              </w:rPr>
            </w:pPr>
            <w:r w:rsidRPr="00666964">
              <w:rPr>
                <w:sz w:val="20"/>
              </w:rPr>
              <w:t>April 2, 2020</w:t>
            </w:r>
          </w:p>
          <w:p w:rsidR="00F656D8" w:rsidRPr="00666964" w:rsidRDefault="00F656D8" w:rsidP="00857157">
            <w:pPr>
              <w:jc w:val="both"/>
              <w:rPr>
                <w:sz w:val="20"/>
              </w:rPr>
            </w:pPr>
            <w:r w:rsidRPr="00666964">
              <w:rPr>
                <w:sz w:val="20"/>
              </w:rPr>
              <w:t>Supreme Court of Canada</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Application for leave to appeal filed</w:t>
            </w:r>
          </w:p>
          <w:p w:rsidR="00F656D8" w:rsidRPr="00666964" w:rsidRDefault="00F656D8" w:rsidP="00857157">
            <w:pPr>
              <w:jc w:val="both"/>
              <w:rPr>
                <w:sz w:val="20"/>
              </w:rPr>
            </w:pPr>
          </w:p>
        </w:tc>
      </w:tr>
    </w:tbl>
    <w:p w:rsidR="00F656D8" w:rsidRPr="00666964" w:rsidRDefault="00F656D8" w:rsidP="00F656D8">
      <w:pPr>
        <w:jc w:val="both"/>
        <w:rPr>
          <w:sz w:val="20"/>
        </w:rPr>
      </w:pPr>
    </w:p>
    <w:p w:rsidR="00F656D8" w:rsidRPr="00666964" w:rsidRDefault="005B0CA8" w:rsidP="00F656D8">
      <w:pPr>
        <w:jc w:val="both"/>
        <w:rPr>
          <w:sz w:val="20"/>
        </w:rPr>
      </w:pPr>
      <w:r>
        <w:rPr>
          <w:sz w:val="20"/>
        </w:rPr>
        <w:pict>
          <v:rect id="_x0000_i1038" style="width:2in;height:1pt" o:hrpct="0" o:hralign="center" o:hrstd="t" o:hrnoshade="t" o:hr="t" fillcolor="black [3213]" stroked="f"/>
        </w:pict>
      </w:r>
    </w:p>
    <w:p w:rsidR="00F656D8" w:rsidRPr="00666964" w:rsidRDefault="00F656D8" w:rsidP="00F656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lang w:val="fr-CA"/>
              </w:rPr>
            </w:pPr>
            <w:r w:rsidRPr="00666964">
              <w:rPr>
                <w:rStyle w:val="SCCFileNumberChar"/>
                <w:sz w:val="20"/>
                <w:szCs w:val="20"/>
                <w:lang w:val="fr-CA"/>
              </w:rPr>
              <w:t>39107</w:t>
            </w:r>
          </w:p>
        </w:tc>
        <w:tc>
          <w:tcPr>
            <w:tcW w:w="4457" w:type="pct"/>
            <w:gridSpan w:val="3"/>
          </w:tcPr>
          <w:p w:rsidR="00F656D8" w:rsidRPr="00666964" w:rsidRDefault="00F656D8" w:rsidP="00857157">
            <w:pPr>
              <w:jc w:val="both"/>
              <w:rPr>
                <w:b/>
                <w:spacing w:val="-5"/>
                <w:sz w:val="20"/>
                <w:lang w:val="fr-CA"/>
              </w:rPr>
            </w:pPr>
            <w:r w:rsidRPr="00666964">
              <w:rPr>
                <w:b/>
                <w:sz w:val="20"/>
                <w:lang w:val="fr-CA"/>
              </w:rPr>
              <w:t>Sa Majesté la Reine c. D.K.</w:t>
            </w:r>
            <w:r w:rsidRPr="00666964">
              <w:rPr>
                <w:sz w:val="20"/>
                <w:lang w:val="fr-CA"/>
              </w:rPr>
              <w:t xml:space="preserve"> </w:t>
            </w:r>
          </w:p>
          <w:p w:rsidR="00F656D8" w:rsidRPr="00666964" w:rsidRDefault="00F656D8" w:rsidP="00857157">
            <w:pPr>
              <w:jc w:val="both"/>
              <w:rPr>
                <w:sz w:val="20"/>
                <w:lang w:val="fr-CA"/>
              </w:rPr>
            </w:pPr>
            <w:r w:rsidRPr="00666964">
              <w:rPr>
                <w:sz w:val="20"/>
                <w:lang w:val="fr-CA"/>
              </w:rPr>
              <w:t>(Ont.) (Criminelle) (Autorisation)</w:t>
            </w:r>
          </w:p>
        </w:tc>
      </w:tr>
      <w:tr w:rsidR="00F656D8" w:rsidRPr="005B0CA8" w:rsidTr="00857157">
        <w:tc>
          <w:tcPr>
            <w:tcW w:w="5000" w:type="pct"/>
            <w:gridSpan w:val="4"/>
          </w:tcPr>
          <w:p w:rsidR="00F656D8" w:rsidRPr="00666964" w:rsidRDefault="00B5278F" w:rsidP="00857157">
            <w:pPr>
              <w:jc w:val="both"/>
              <w:rPr>
                <w:sz w:val="20"/>
                <w:szCs w:val="20"/>
                <w:lang w:val="fr-CA"/>
              </w:rPr>
            </w:pPr>
            <w:r w:rsidRPr="00666964">
              <w:rPr>
                <w:sz w:val="20"/>
                <w:szCs w:val="20"/>
                <w:lang w:val="fr-CA"/>
              </w:rPr>
              <w:t>La demande d’autorisation d’appel de l’arrêt de la Cour d’appel de l’Ontario, numéro C66287, 2020 ONCA 79, daté du 3 février 2020, est rejetée sans dépens.</w:t>
            </w:r>
          </w:p>
          <w:p w:rsidR="00B5278F" w:rsidRPr="00666964" w:rsidRDefault="00B5278F"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 xml:space="preserve">Droit criminel — Preuve — Déclarations antérieures compatibles — </w:t>
            </w:r>
            <w:r w:rsidRPr="00666964">
              <w:rPr>
                <w:spacing w:val="-2"/>
                <w:sz w:val="20"/>
                <w:lang w:val="fr-CA"/>
              </w:rPr>
              <w:t>Exception dite du « récit des faits en tant que preuve circonstancielle » à la présomption d’inadmissibilité de déclarations antérieures compatibles — La Cour d’appel a</w:t>
            </w:r>
            <w:r w:rsidRPr="00666964">
              <w:rPr>
                <w:spacing w:val="-2"/>
                <w:sz w:val="20"/>
                <w:lang w:val="fr-CA"/>
              </w:rPr>
              <w:noBreakHyphen/>
              <w:t>t</w:t>
            </w:r>
            <w:r w:rsidRPr="00666964">
              <w:rPr>
                <w:spacing w:val="-2"/>
                <w:sz w:val="20"/>
                <w:lang w:val="fr-CA"/>
              </w:rPr>
              <w:noBreakHyphen/>
              <w:t>elle commis une erreur de droit dans son application de l’exception?</w:t>
            </w:r>
            <w:r w:rsidRPr="00666964">
              <w:rPr>
                <w:sz w:val="20"/>
                <w:lang w:val="fr-CA"/>
              </w:rPr>
              <w:t xml:space="preserve"> </w:t>
            </w:r>
            <w:r w:rsidRPr="00666964">
              <w:rPr>
                <w:spacing w:val="-2"/>
                <w:sz w:val="20"/>
                <w:lang w:val="fr-CA"/>
              </w:rPr>
              <w:t>— Le juge du procès a</w:t>
            </w:r>
            <w:r w:rsidRPr="00666964">
              <w:rPr>
                <w:spacing w:val="-2"/>
                <w:sz w:val="20"/>
                <w:lang w:val="fr-CA"/>
              </w:rPr>
              <w:noBreakHyphen/>
              <w:t>t</w:t>
            </w:r>
            <w:r w:rsidRPr="00666964">
              <w:rPr>
                <w:spacing w:val="-2"/>
                <w:sz w:val="20"/>
                <w:lang w:val="fr-CA"/>
              </w:rPr>
              <w:noBreakHyphen/>
              <w:t>il utilisé la déclaration antérieure compatible de la plaignante à une fin irrégulière?</w:t>
            </w:r>
            <w:r w:rsidRPr="00666964">
              <w:rPr>
                <w:sz w:val="20"/>
                <w:lang w:val="fr-CA"/>
              </w:rPr>
              <w:t xml:space="preserve"> </w:t>
            </w:r>
            <w:r w:rsidRPr="00666964">
              <w:rPr>
                <w:spacing w:val="-2"/>
                <w:sz w:val="20"/>
                <w:lang w:val="fr-CA"/>
              </w:rPr>
              <w:t>— La Cour d’appel a</w:t>
            </w:r>
            <w:r w:rsidRPr="00666964">
              <w:rPr>
                <w:spacing w:val="-2"/>
                <w:sz w:val="20"/>
                <w:lang w:val="fr-CA"/>
              </w:rPr>
              <w:noBreakHyphen/>
              <w:t>t</w:t>
            </w:r>
            <w:r w:rsidRPr="00666964">
              <w:rPr>
                <w:spacing w:val="-2"/>
                <w:sz w:val="20"/>
                <w:lang w:val="fr-CA"/>
              </w:rPr>
              <w:noBreakHyphen/>
              <w:t>elle commis une erreur de droit dans sa manière d’examiner les motifs du jugement et dans ses motifs traitant des déclarations antérieures compatibles</w:t>
            </w:r>
            <w:r w:rsidRPr="00666964">
              <w:rPr>
                <w:sz w:val="20"/>
                <w:lang w:val="fr-CA"/>
              </w:rPr>
              <w:t>?</w:t>
            </w:r>
          </w:p>
        </w:tc>
      </w:tr>
      <w:tr w:rsidR="00F656D8" w:rsidRPr="005B0CA8" w:rsidTr="00857157">
        <w:tc>
          <w:tcPr>
            <w:tcW w:w="5000" w:type="pct"/>
            <w:gridSpan w:val="4"/>
          </w:tcPr>
          <w:p w:rsidR="00F656D8" w:rsidRPr="00666964" w:rsidRDefault="00F656D8"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La plaignante a subi une blessure pendant des rapports sexuels avec D.K. Sa blessure a nécessité une intervention chirurgicale d’urgence. Dans son témoignage, le chirurgien de la plaignante a affirmé qu’avant l’intervention, la plaignante lui avait dit que la blessure avait été subie pendant [</w:t>
            </w:r>
            <w:r w:rsidRPr="00666964">
              <w:rPr>
                <w:smallCaps/>
                <w:sz w:val="20"/>
                <w:lang w:val="fr-CA"/>
              </w:rPr>
              <w:t>traduction</w:t>
            </w:r>
            <w:r w:rsidRPr="00666964">
              <w:rPr>
                <w:sz w:val="20"/>
                <w:lang w:val="fr-CA"/>
              </w:rPr>
              <w:t>] « des rapports sexuels forcés ». La plaignante a témoigné au procès. Elle a affirmé ne pas avoir consenti aux rapports sexuels et qu’elle avait obtempéré par peur. D.K. a témoigné. Il a affirmé que la blessure avait été causée accidentellement pendant des rapports sexuels consensuels. Le juge du procès a admis en preuve la déclaration antérieure que la plaignante avait faite à son chirurgien. La déclaration était compatible avec son témoignage au procès. Le juge du procès a affirmé que la déclaration aidait à évaluer la crédibilité et la fiabilité de la plaignante. D.K. a été déclaré coupable d’agression sexuelle. La Cour d’appel a statué qu’il n’était pas clair si le juge du procès s’était appuyé sur la déclaration antérieure compatible à une fin irrégulière. Elle a annulé la déclaration de culpabilité et ordonné la tenue d’un nouveau procès.</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26 juillet 2018</w:t>
            </w:r>
          </w:p>
          <w:p w:rsidR="00F656D8" w:rsidRPr="00666964" w:rsidRDefault="00F656D8" w:rsidP="00857157">
            <w:pPr>
              <w:jc w:val="both"/>
              <w:rPr>
                <w:sz w:val="20"/>
                <w:lang w:val="fr-CA"/>
              </w:rPr>
            </w:pPr>
            <w:r w:rsidRPr="00666964">
              <w:rPr>
                <w:sz w:val="20"/>
                <w:lang w:val="fr-CA"/>
              </w:rPr>
              <w:t>Cour de justice de l’Ontario</w:t>
            </w:r>
          </w:p>
          <w:p w:rsidR="00F656D8" w:rsidRPr="00666964" w:rsidRDefault="00F656D8" w:rsidP="00857157">
            <w:pPr>
              <w:jc w:val="both"/>
              <w:rPr>
                <w:sz w:val="20"/>
                <w:lang w:val="fr-CA"/>
              </w:rPr>
            </w:pPr>
            <w:r w:rsidRPr="00666964">
              <w:rPr>
                <w:sz w:val="20"/>
                <w:lang w:val="fr-CA"/>
              </w:rPr>
              <w:t xml:space="preserve">(Juge </w:t>
            </w:r>
            <w:proofErr w:type="spellStart"/>
            <w:r w:rsidRPr="00666964">
              <w:rPr>
                <w:sz w:val="20"/>
                <w:lang w:val="fr-CA"/>
              </w:rPr>
              <w:t>Wolski</w:t>
            </w:r>
            <w:proofErr w:type="spellEnd"/>
            <w:r w:rsidRPr="00666964">
              <w:rPr>
                <w:sz w:val="20"/>
                <w:lang w:val="fr-CA"/>
              </w:rPr>
              <w:t>)</w:t>
            </w:r>
          </w:p>
          <w:p w:rsidR="00F656D8" w:rsidRPr="00666964" w:rsidRDefault="00F656D8" w:rsidP="00857157">
            <w:pPr>
              <w:jc w:val="both"/>
              <w:rPr>
                <w:sz w:val="20"/>
                <w:lang w:val="fr-CA"/>
              </w:rPr>
            </w:pPr>
            <w:r w:rsidRPr="00666964">
              <w:rPr>
                <w:sz w:val="20"/>
                <w:lang w:val="fr-CA"/>
              </w:rPr>
              <w:t xml:space="preserve"> </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Déclaration de culpabilité d’agression sexuelle</w:t>
            </w: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3 février 2020</w:t>
            </w:r>
          </w:p>
          <w:p w:rsidR="00F656D8" w:rsidRPr="00666964" w:rsidRDefault="00F656D8" w:rsidP="00857157">
            <w:pPr>
              <w:jc w:val="both"/>
              <w:rPr>
                <w:sz w:val="20"/>
                <w:lang w:val="fr-CA"/>
              </w:rPr>
            </w:pPr>
            <w:r w:rsidRPr="00666964">
              <w:rPr>
                <w:sz w:val="20"/>
                <w:lang w:val="fr-CA"/>
              </w:rPr>
              <w:t>Cour d’appel de l’Ontario</w:t>
            </w:r>
          </w:p>
          <w:p w:rsidR="00F656D8" w:rsidRPr="00666964" w:rsidRDefault="00F656D8" w:rsidP="00857157">
            <w:pPr>
              <w:jc w:val="both"/>
              <w:rPr>
                <w:sz w:val="20"/>
                <w:lang w:val="fr-CA"/>
              </w:rPr>
            </w:pPr>
            <w:r w:rsidRPr="00666964">
              <w:rPr>
                <w:sz w:val="20"/>
                <w:lang w:val="fr-CA"/>
              </w:rPr>
              <w:t>(Juges Watt, Huscroft et Trotter)</w:t>
            </w:r>
          </w:p>
          <w:p w:rsidR="00F656D8" w:rsidRPr="00666964" w:rsidRDefault="005B0CA8" w:rsidP="00857157">
            <w:pPr>
              <w:jc w:val="both"/>
              <w:rPr>
                <w:sz w:val="20"/>
                <w:lang w:val="fr-CA"/>
              </w:rPr>
            </w:pPr>
            <w:hyperlink r:id="rId22" w:history="1">
              <w:r w:rsidR="00F656D8" w:rsidRPr="00666964">
                <w:rPr>
                  <w:rStyle w:val="Hyperlink"/>
                  <w:sz w:val="20"/>
                  <w:lang w:val="fr-CA"/>
                </w:rPr>
                <w:t>2020 ONCA 79</w:t>
              </w:r>
            </w:hyperlink>
            <w:r w:rsidR="00F656D8" w:rsidRPr="00666964">
              <w:rPr>
                <w:sz w:val="20"/>
                <w:lang w:val="fr-CA"/>
              </w:rPr>
              <w:t>; C66287</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Arrêt accueillant l’appel et ordonnant la tenue d’un nouveau procès</w:t>
            </w: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2 avril 2020</w:t>
            </w:r>
          </w:p>
          <w:p w:rsidR="00F656D8" w:rsidRPr="00666964" w:rsidRDefault="00F656D8" w:rsidP="00857157">
            <w:pPr>
              <w:jc w:val="both"/>
              <w:rPr>
                <w:sz w:val="20"/>
                <w:lang w:val="fr-CA"/>
              </w:rPr>
            </w:pPr>
            <w:r w:rsidRPr="00666964">
              <w:rPr>
                <w:sz w:val="20"/>
                <w:lang w:val="fr-CA"/>
              </w:rPr>
              <w:t>Cour suprême du Canada</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demande d’autorisation d’appel</w:t>
            </w:r>
          </w:p>
          <w:p w:rsidR="00F656D8" w:rsidRPr="00666964" w:rsidRDefault="00F656D8" w:rsidP="00857157">
            <w:pPr>
              <w:jc w:val="both"/>
              <w:rPr>
                <w:sz w:val="20"/>
                <w:lang w:val="fr-CA"/>
              </w:rPr>
            </w:pPr>
          </w:p>
        </w:tc>
      </w:tr>
    </w:tbl>
    <w:p w:rsidR="00F656D8" w:rsidRPr="00666964" w:rsidRDefault="00F656D8" w:rsidP="00F656D8">
      <w:pPr>
        <w:jc w:val="both"/>
        <w:rPr>
          <w:sz w:val="20"/>
          <w:lang w:val="fr-CA"/>
        </w:rPr>
      </w:pPr>
    </w:p>
    <w:p w:rsidR="00F656D8" w:rsidRPr="00666964" w:rsidRDefault="005B0CA8" w:rsidP="00F656D8">
      <w:pPr>
        <w:jc w:val="both"/>
        <w:rPr>
          <w:sz w:val="20"/>
          <w:lang w:val="fr-CA"/>
        </w:rPr>
      </w:pPr>
      <w:r>
        <w:rPr>
          <w:sz w:val="20"/>
        </w:rPr>
        <w:pict>
          <v:rect id="_x0000_i1039" style="width:2in;height:1pt" o:hrpct="0" o:hralign="center" o:hrstd="t" o:hrnoshade="t" o:hr="t" fillcolor="black [3213]" stroked="f"/>
        </w:pict>
      </w:r>
    </w:p>
    <w:p w:rsidR="00F656D8" w:rsidRPr="00666964" w:rsidRDefault="00F656D8" w:rsidP="00F656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rPr>
            </w:pPr>
            <w:r w:rsidRPr="00666964">
              <w:rPr>
                <w:rStyle w:val="SCCFileNumberChar"/>
                <w:sz w:val="20"/>
                <w:szCs w:val="20"/>
              </w:rPr>
              <w:t>39086</w:t>
            </w:r>
          </w:p>
        </w:tc>
        <w:tc>
          <w:tcPr>
            <w:tcW w:w="4457" w:type="pct"/>
            <w:gridSpan w:val="3"/>
          </w:tcPr>
          <w:p w:rsidR="00F656D8" w:rsidRPr="00666964" w:rsidRDefault="00F656D8" w:rsidP="00857157">
            <w:pPr>
              <w:pStyle w:val="SCCLsocParty"/>
              <w:jc w:val="both"/>
              <w:rPr>
                <w:b/>
                <w:sz w:val="20"/>
                <w:szCs w:val="20"/>
                <w:lang w:val="en-US"/>
              </w:rPr>
            </w:pPr>
            <w:r w:rsidRPr="00666964">
              <w:rPr>
                <w:b/>
                <w:sz w:val="20"/>
                <w:szCs w:val="20"/>
                <w:lang w:val="en-US"/>
              </w:rPr>
              <w:t>Timothy Robert Probe v. Her Majesty the Queen</w:t>
            </w:r>
          </w:p>
          <w:p w:rsidR="00F656D8" w:rsidRPr="00666964" w:rsidRDefault="00F656D8" w:rsidP="00857157">
            <w:pPr>
              <w:jc w:val="both"/>
              <w:rPr>
                <w:sz w:val="20"/>
              </w:rPr>
            </w:pPr>
            <w:r w:rsidRPr="00666964">
              <w:rPr>
                <w:sz w:val="20"/>
              </w:rPr>
              <w:t>(Sask.) (Criminal) (By Leave)</w:t>
            </w:r>
          </w:p>
        </w:tc>
      </w:tr>
      <w:tr w:rsidR="00F656D8" w:rsidRPr="00666964" w:rsidTr="00857157">
        <w:tc>
          <w:tcPr>
            <w:tcW w:w="5000" w:type="pct"/>
            <w:gridSpan w:val="4"/>
          </w:tcPr>
          <w:p w:rsidR="0015644E" w:rsidRPr="00666964" w:rsidRDefault="0015644E" w:rsidP="0015644E">
            <w:pPr>
              <w:ind w:right="-57"/>
              <w:jc w:val="both"/>
              <w:rPr>
                <w:sz w:val="20"/>
                <w:szCs w:val="20"/>
              </w:rPr>
            </w:pPr>
            <w:r w:rsidRPr="00666964">
              <w:rPr>
                <w:sz w:val="20"/>
                <w:szCs w:val="20"/>
              </w:rPr>
              <w:t>The application for leave to appeal from the judgment of the Court of Appeal for Saskatchewan, Number CACR3146, 2020 SKCA 5, dated January 8, 2020, is dismissed.</w:t>
            </w:r>
          </w:p>
          <w:p w:rsidR="00F656D8" w:rsidRPr="00666964" w:rsidRDefault="00F656D8" w:rsidP="00857157">
            <w:pPr>
              <w:jc w:val="both"/>
              <w:rPr>
                <w:sz w:val="20"/>
              </w:rPr>
            </w:pPr>
          </w:p>
        </w:tc>
      </w:tr>
      <w:tr w:rsidR="00F656D8" w:rsidRPr="00666964" w:rsidTr="00857157">
        <w:tc>
          <w:tcPr>
            <w:tcW w:w="5000" w:type="pct"/>
            <w:gridSpan w:val="4"/>
          </w:tcPr>
          <w:p w:rsidR="00F656D8" w:rsidRPr="00666964" w:rsidRDefault="00F656D8" w:rsidP="00857157">
            <w:pPr>
              <w:jc w:val="both"/>
              <w:rPr>
                <w:sz w:val="20"/>
              </w:rPr>
            </w:pPr>
            <w:r w:rsidRPr="00666964">
              <w:rPr>
                <w:sz w:val="20"/>
              </w:rPr>
              <w:t xml:space="preserve">Criminal law — Offences — Elements of offence — Breach of trust — Appeals — </w:t>
            </w:r>
            <w:r w:rsidRPr="00666964">
              <w:rPr>
                <w:i/>
                <w:sz w:val="20"/>
              </w:rPr>
              <w:t xml:space="preserve">Actus reus </w:t>
            </w:r>
            <w:r w:rsidRPr="00666964">
              <w:rPr>
                <w:sz w:val="20"/>
              </w:rPr>
              <w:t>of breach of trust — Relevance of possible code set out in policy or statute to proof of breach of trust — Onus on Crown counsel in appeal from acquittal?</w:t>
            </w:r>
          </w:p>
        </w:tc>
      </w:tr>
      <w:tr w:rsidR="00F656D8" w:rsidRPr="00666964" w:rsidTr="00857157">
        <w:tc>
          <w:tcPr>
            <w:tcW w:w="5000" w:type="pct"/>
            <w:gridSpan w:val="4"/>
          </w:tcPr>
          <w:p w:rsidR="00F656D8" w:rsidRPr="00666964" w:rsidRDefault="00F656D8" w:rsidP="00857157">
            <w:pPr>
              <w:jc w:val="both"/>
              <w:rPr>
                <w:sz w:val="20"/>
              </w:rPr>
            </w:pPr>
          </w:p>
        </w:tc>
      </w:tr>
      <w:tr w:rsidR="00F656D8" w:rsidRPr="00666964" w:rsidTr="00857157">
        <w:tc>
          <w:tcPr>
            <w:tcW w:w="5000" w:type="pct"/>
            <w:gridSpan w:val="4"/>
          </w:tcPr>
          <w:p w:rsidR="00F656D8" w:rsidRPr="00666964" w:rsidRDefault="00F656D8" w:rsidP="00857157">
            <w:pPr>
              <w:jc w:val="both"/>
              <w:rPr>
                <w:sz w:val="20"/>
              </w:rPr>
            </w:pPr>
            <w:r w:rsidRPr="00666964">
              <w:rPr>
                <w:sz w:val="20"/>
              </w:rPr>
              <w:t xml:space="preserve">Mr. Probe was a councillor and deputy reeve of the Rural Municipality of Sherwood No. 159. He was charged with breach of trust by a public officer contrary to </w:t>
            </w:r>
            <w:r w:rsidRPr="00666964">
              <w:rPr>
                <w:rFonts w:eastAsiaTheme="majorEastAsia"/>
                <w:sz w:val="20"/>
              </w:rPr>
              <w:t xml:space="preserve">s. 122 </w:t>
            </w:r>
            <w:r w:rsidRPr="00666964">
              <w:rPr>
                <w:sz w:val="20"/>
              </w:rPr>
              <w:t xml:space="preserve">of the </w:t>
            </w:r>
            <w:hyperlink r:id="rId23" w:history="1">
              <w:r w:rsidRPr="00666964">
                <w:rPr>
                  <w:rFonts w:eastAsiaTheme="majorEastAsia"/>
                  <w:i/>
                  <w:sz w:val="20"/>
                </w:rPr>
                <w:t>Criminal Code</w:t>
              </w:r>
            </w:hyperlink>
            <w:r w:rsidRPr="00666964">
              <w:rPr>
                <w:i/>
                <w:sz w:val="20"/>
              </w:rPr>
              <w:t xml:space="preserve"> </w:t>
            </w:r>
            <w:r w:rsidRPr="00666964">
              <w:rPr>
                <w:rFonts w:eastAsiaTheme="majorEastAsia"/>
                <w:sz w:val="20"/>
              </w:rPr>
              <w:t xml:space="preserve">and </w:t>
            </w:r>
            <w:r w:rsidRPr="00666964">
              <w:rPr>
                <w:sz w:val="20"/>
              </w:rPr>
              <w:t xml:space="preserve">municipal corruption contrary to </w:t>
            </w:r>
            <w:hyperlink r:id="rId24" w:anchor="sec123subsec1_smooth" w:history="1">
              <w:r w:rsidRPr="00666964">
                <w:rPr>
                  <w:rFonts w:eastAsiaTheme="majorEastAsia"/>
                  <w:sz w:val="20"/>
                </w:rPr>
                <w:t>s. 123(1)</w:t>
              </w:r>
            </w:hyperlink>
            <w:r w:rsidRPr="00666964">
              <w:rPr>
                <w:sz w:val="20"/>
              </w:rPr>
              <w:t xml:space="preserve">(c) of the </w:t>
            </w:r>
            <w:hyperlink r:id="rId25" w:history="1">
              <w:r w:rsidRPr="00666964">
                <w:rPr>
                  <w:rFonts w:eastAsiaTheme="majorEastAsia"/>
                  <w:i/>
                  <w:sz w:val="20"/>
                </w:rPr>
                <w:t>Criminal Code</w:t>
              </w:r>
            </w:hyperlink>
            <w:r w:rsidRPr="00666964">
              <w:rPr>
                <w:sz w:val="20"/>
              </w:rPr>
              <w:t>. Crown counsel alleged that Mr. Probe attempted to convince the municipality’s reeve to lobby other members of the municipal council in connection with a motion that, if passed, would have asked Mr. Probe to repay legal fees paid on his behalf by the municipality. Crown counsel alleged that Mr. Probe linked his willingness to compromise on another issue to the reeve’s willingness to undertake this lobbying effort. The trial judge acquitted Mr. Probe on both counts. Crown counsel appealed the acquittal on the charge of breach of trust by a public officer. The Court of Appeal granted the appeal and ordered a new trial.</w:t>
            </w:r>
          </w:p>
          <w:p w:rsidR="00F656D8" w:rsidRPr="00666964" w:rsidRDefault="00F656D8" w:rsidP="00857157">
            <w:pPr>
              <w:jc w:val="both"/>
              <w:rPr>
                <w:sz w:val="20"/>
              </w:rPr>
            </w:pPr>
          </w:p>
        </w:tc>
      </w:tr>
      <w:tr w:rsidR="00F656D8" w:rsidRPr="00666964" w:rsidTr="00857157">
        <w:tc>
          <w:tcPr>
            <w:tcW w:w="2427" w:type="pct"/>
            <w:gridSpan w:val="2"/>
          </w:tcPr>
          <w:p w:rsidR="00F656D8" w:rsidRPr="00666964" w:rsidRDefault="00F656D8" w:rsidP="00857157">
            <w:pPr>
              <w:jc w:val="both"/>
              <w:rPr>
                <w:sz w:val="20"/>
              </w:rPr>
            </w:pPr>
            <w:r w:rsidRPr="00666964">
              <w:rPr>
                <w:sz w:val="20"/>
              </w:rPr>
              <w:t>June 7, 2018</w:t>
            </w:r>
          </w:p>
          <w:p w:rsidR="00F656D8" w:rsidRPr="00666964" w:rsidRDefault="00F656D8" w:rsidP="00857157">
            <w:pPr>
              <w:jc w:val="both"/>
              <w:rPr>
                <w:sz w:val="20"/>
              </w:rPr>
            </w:pPr>
            <w:r w:rsidRPr="00666964">
              <w:rPr>
                <w:sz w:val="20"/>
              </w:rPr>
              <w:t>Court of Queen’s Bench of Saskatchewan</w:t>
            </w:r>
          </w:p>
          <w:p w:rsidR="00F656D8" w:rsidRPr="00666964" w:rsidRDefault="00F656D8" w:rsidP="00857157">
            <w:pPr>
              <w:jc w:val="both"/>
              <w:rPr>
                <w:sz w:val="20"/>
              </w:rPr>
            </w:pPr>
            <w:r w:rsidRPr="00666964">
              <w:rPr>
                <w:sz w:val="20"/>
              </w:rPr>
              <w:t>(Elson J.)</w:t>
            </w:r>
          </w:p>
          <w:p w:rsidR="00F656D8" w:rsidRPr="00666964" w:rsidRDefault="005B0CA8" w:rsidP="00857157">
            <w:pPr>
              <w:jc w:val="both"/>
              <w:rPr>
                <w:sz w:val="20"/>
              </w:rPr>
            </w:pPr>
            <w:hyperlink r:id="rId26" w:history="1">
              <w:r w:rsidR="00F656D8" w:rsidRPr="00666964">
                <w:rPr>
                  <w:rStyle w:val="Hyperlink"/>
                  <w:sz w:val="20"/>
                </w:rPr>
                <w:t>2018 SKQB 176</w:t>
              </w:r>
            </w:hyperlink>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 xml:space="preserve">Acquittals on charges of municipal corruption and breach of trust by a public officer </w:t>
            </w:r>
          </w:p>
          <w:p w:rsidR="00F656D8" w:rsidRPr="00666964" w:rsidRDefault="00F656D8" w:rsidP="00857157">
            <w:pPr>
              <w:jc w:val="both"/>
              <w:rPr>
                <w:sz w:val="20"/>
              </w:rPr>
            </w:pPr>
          </w:p>
        </w:tc>
      </w:tr>
      <w:tr w:rsidR="00F656D8" w:rsidRPr="00666964" w:rsidTr="00857157">
        <w:tc>
          <w:tcPr>
            <w:tcW w:w="2427" w:type="pct"/>
            <w:gridSpan w:val="2"/>
          </w:tcPr>
          <w:p w:rsidR="00F656D8" w:rsidRPr="00666964" w:rsidRDefault="00F656D8" w:rsidP="00857157">
            <w:pPr>
              <w:jc w:val="both"/>
              <w:rPr>
                <w:sz w:val="20"/>
              </w:rPr>
            </w:pPr>
            <w:r w:rsidRPr="00666964">
              <w:rPr>
                <w:sz w:val="20"/>
              </w:rPr>
              <w:t>January 8, 2020</w:t>
            </w:r>
          </w:p>
          <w:p w:rsidR="00F656D8" w:rsidRPr="00666964" w:rsidRDefault="00F656D8" w:rsidP="00857157">
            <w:pPr>
              <w:jc w:val="both"/>
              <w:rPr>
                <w:sz w:val="20"/>
              </w:rPr>
            </w:pPr>
            <w:r w:rsidRPr="00666964">
              <w:rPr>
                <w:sz w:val="20"/>
              </w:rPr>
              <w:t>Court of Appeal for Saskatchewan</w:t>
            </w:r>
          </w:p>
          <w:p w:rsidR="00F656D8" w:rsidRPr="00666964" w:rsidRDefault="00F656D8" w:rsidP="00857157">
            <w:pPr>
              <w:jc w:val="both"/>
              <w:rPr>
                <w:sz w:val="20"/>
              </w:rPr>
            </w:pPr>
            <w:r w:rsidRPr="00666964">
              <w:rPr>
                <w:sz w:val="20"/>
              </w:rPr>
              <w:t>(</w:t>
            </w:r>
            <w:proofErr w:type="spellStart"/>
            <w:r w:rsidRPr="00666964">
              <w:rPr>
                <w:sz w:val="20"/>
              </w:rPr>
              <w:t>Ottenbreit</w:t>
            </w:r>
            <w:proofErr w:type="spellEnd"/>
            <w:r w:rsidRPr="00666964">
              <w:rPr>
                <w:sz w:val="20"/>
              </w:rPr>
              <w:t xml:space="preserve">, Caldwell, </w:t>
            </w:r>
            <w:proofErr w:type="spellStart"/>
            <w:r w:rsidRPr="00666964">
              <w:rPr>
                <w:sz w:val="20"/>
              </w:rPr>
              <w:t>Leurer</w:t>
            </w:r>
            <w:proofErr w:type="spellEnd"/>
            <w:r w:rsidRPr="00666964">
              <w:rPr>
                <w:sz w:val="20"/>
              </w:rPr>
              <w:t xml:space="preserve"> JJ.A.)</w:t>
            </w:r>
          </w:p>
          <w:p w:rsidR="00F656D8" w:rsidRPr="00666964" w:rsidRDefault="005B0CA8" w:rsidP="00857157">
            <w:pPr>
              <w:jc w:val="both"/>
              <w:rPr>
                <w:sz w:val="20"/>
              </w:rPr>
            </w:pPr>
            <w:hyperlink r:id="rId27" w:history="1">
              <w:r w:rsidR="00F656D8" w:rsidRPr="00666964">
                <w:rPr>
                  <w:rStyle w:val="Hyperlink"/>
                  <w:sz w:val="20"/>
                </w:rPr>
                <w:t>2020 SKCA 5</w:t>
              </w:r>
            </w:hyperlink>
            <w:r w:rsidR="00F656D8" w:rsidRPr="00666964">
              <w:rPr>
                <w:sz w:val="20"/>
              </w:rPr>
              <w:t>; CACR 3146</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Appeal allowed, new trial ordered on charge of breach of trust by a public officer</w:t>
            </w:r>
          </w:p>
          <w:p w:rsidR="00F656D8" w:rsidRPr="00666964" w:rsidRDefault="00F656D8" w:rsidP="00857157">
            <w:pPr>
              <w:jc w:val="both"/>
              <w:rPr>
                <w:sz w:val="20"/>
              </w:rPr>
            </w:pPr>
          </w:p>
        </w:tc>
      </w:tr>
      <w:tr w:rsidR="00F656D8" w:rsidRPr="00666964" w:rsidTr="00857157">
        <w:tc>
          <w:tcPr>
            <w:tcW w:w="2427" w:type="pct"/>
            <w:gridSpan w:val="2"/>
          </w:tcPr>
          <w:p w:rsidR="00F656D8" w:rsidRPr="00666964" w:rsidRDefault="00F656D8" w:rsidP="00857157">
            <w:pPr>
              <w:jc w:val="both"/>
              <w:rPr>
                <w:sz w:val="20"/>
              </w:rPr>
            </w:pPr>
            <w:r w:rsidRPr="00666964">
              <w:rPr>
                <w:sz w:val="20"/>
              </w:rPr>
              <w:t>March 9, 2020</w:t>
            </w:r>
          </w:p>
          <w:p w:rsidR="00F656D8" w:rsidRPr="00666964" w:rsidRDefault="00F656D8" w:rsidP="00857157">
            <w:pPr>
              <w:jc w:val="both"/>
              <w:rPr>
                <w:sz w:val="20"/>
              </w:rPr>
            </w:pPr>
            <w:r w:rsidRPr="00666964">
              <w:rPr>
                <w:sz w:val="20"/>
              </w:rPr>
              <w:t>Supreme Court of Canada</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Application for leave to appeal filed</w:t>
            </w:r>
          </w:p>
          <w:p w:rsidR="00F656D8" w:rsidRPr="00666964" w:rsidRDefault="00F656D8" w:rsidP="00857157">
            <w:pPr>
              <w:jc w:val="both"/>
              <w:rPr>
                <w:sz w:val="20"/>
              </w:rPr>
            </w:pPr>
          </w:p>
        </w:tc>
      </w:tr>
    </w:tbl>
    <w:p w:rsidR="00F656D8" w:rsidRPr="00666964" w:rsidRDefault="00F656D8" w:rsidP="00F656D8">
      <w:pPr>
        <w:jc w:val="both"/>
        <w:rPr>
          <w:sz w:val="20"/>
        </w:rPr>
      </w:pPr>
    </w:p>
    <w:p w:rsidR="00F656D8" w:rsidRPr="00666964" w:rsidRDefault="005B0CA8" w:rsidP="00F656D8">
      <w:pPr>
        <w:jc w:val="both"/>
        <w:rPr>
          <w:sz w:val="20"/>
        </w:rPr>
      </w:pPr>
      <w:r>
        <w:rPr>
          <w:sz w:val="20"/>
        </w:rPr>
        <w:pict>
          <v:rect id="_x0000_i1040" style="width:2in;height:1pt" o:hrpct="0" o:hralign="center" o:hrstd="t" o:hrnoshade="t" o:hr="t" fillcolor="black [3213]" stroked="f"/>
        </w:pict>
      </w:r>
    </w:p>
    <w:p w:rsidR="00F656D8" w:rsidRPr="00666964" w:rsidRDefault="00F656D8" w:rsidP="00F656D8">
      <w:pPr>
        <w:jc w:val="both"/>
        <w:rPr>
          <w:sz w:val="20"/>
        </w:rPr>
      </w:pPr>
    </w:p>
    <w:p w:rsidR="000B3B08" w:rsidRPr="00666964" w:rsidRDefault="000B3B08">
      <w:r w:rsidRPr="00666964">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lang w:val="fr-CA"/>
              </w:rPr>
            </w:pPr>
            <w:r w:rsidRPr="00666964">
              <w:rPr>
                <w:rStyle w:val="SCCFileNumberChar"/>
                <w:sz w:val="20"/>
                <w:szCs w:val="20"/>
                <w:lang w:val="fr-CA"/>
              </w:rPr>
              <w:t>39086</w:t>
            </w:r>
          </w:p>
        </w:tc>
        <w:tc>
          <w:tcPr>
            <w:tcW w:w="4457" w:type="pct"/>
            <w:gridSpan w:val="3"/>
          </w:tcPr>
          <w:p w:rsidR="00F656D8" w:rsidRPr="00666964" w:rsidRDefault="00F656D8" w:rsidP="00857157">
            <w:pPr>
              <w:pStyle w:val="SCCLsocParty"/>
              <w:jc w:val="both"/>
              <w:rPr>
                <w:b/>
                <w:sz w:val="20"/>
                <w:szCs w:val="20"/>
              </w:rPr>
            </w:pPr>
            <w:r w:rsidRPr="00666964">
              <w:rPr>
                <w:b/>
                <w:sz w:val="20"/>
                <w:szCs w:val="20"/>
              </w:rPr>
              <w:t>Timothy Robert Probe c. Sa Majesté la Reine</w:t>
            </w:r>
          </w:p>
          <w:p w:rsidR="00F656D8" w:rsidRPr="00666964" w:rsidRDefault="00F656D8" w:rsidP="00857157">
            <w:pPr>
              <w:jc w:val="both"/>
              <w:rPr>
                <w:sz w:val="20"/>
                <w:lang w:val="fr-CA"/>
              </w:rPr>
            </w:pPr>
            <w:r w:rsidRPr="00666964">
              <w:rPr>
                <w:sz w:val="20"/>
                <w:lang w:val="fr-CA"/>
              </w:rPr>
              <w:t>(Sask.) (Criminelle) (Autorisation)</w:t>
            </w:r>
          </w:p>
        </w:tc>
      </w:tr>
      <w:tr w:rsidR="00F656D8" w:rsidRPr="005B0CA8" w:rsidTr="00857157">
        <w:tc>
          <w:tcPr>
            <w:tcW w:w="5000" w:type="pct"/>
            <w:gridSpan w:val="4"/>
          </w:tcPr>
          <w:p w:rsidR="00F656D8" w:rsidRPr="00666964" w:rsidRDefault="0015644E" w:rsidP="00857157">
            <w:pPr>
              <w:jc w:val="both"/>
              <w:rPr>
                <w:sz w:val="20"/>
                <w:szCs w:val="20"/>
                <w:lang w:val="fr-CA"/>
              </w:rPr>
            </w:pPr>
            <w:r w:rsidRPr="00666964">
              <w:rPr>
                <w:sz w:val="20"/>
                <w:szCs w:val="20"/>
                <w:lang w:val="fr-CA"/>
              </w:rPr>
              <w:t>La demande d’autorisation d’appel de l’arrêt de la Cour d’appel de la Saskatchewan, numéro CACR3146, 2020 SKCA 5, daté du 8 janvier 2020, est rejetée.</w:t>
            </w:r>
          </w:p>
          <w:p w:rsidR="0015644E" w:rsidRPr="00666964" w:rsidRDefault="0015644E"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 xml:space="preserve">Droit criminel — Infractions — Éléments de l’infraction — Abus de confiance — Appels — </w:t>
            </w:r>
            <w:r w:rsidRPr="00666964">
              <w:rPr>
                <w:i/>
                <w:sz w:val="20"/>
                <w:lang w:val="fr-CA"/>
              </w:rPr>
              <w:t xml:space="preserve">Actus reus </w:t>
            </w:r>
            <w:r w:rsidRPr="00666964">
              <w:rPr>
                <w:sz w:val="20"/>
                <w:lang w:val="fr-CA"/>
              </w:rPr>
              <w:t>de l’abus de confiance — Pertinence d’un code éventuel énoncé dans une politique ou dans la loi pour prouver l’abus de confiance — Quel est le fardeau du procureur de la Couronne en appel d’un acquittement?</w:t>
            </w:r>
          </w:p>
        </w:tc>
      </w:tr>
      <w:tr w:rsidR="00F656D8" w:rsidRPr="005B0CA8" w:rsidTr="00857157">
        <w:tc>
          <w:tcPr>
            <w:tcW w:w="5000" w:type="pct"/>
            <w:gridSpan w:val="4"/>
          </w:tcPr>
          <w:p w:rsidR="00F656D8" w:rsidRPr="00666964" w:rsidRDefault="00F656D8"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Monsieur Probe était conseiller et sous</w:t>
            </w:r>
            <w:r w:rsidRPr="00666964">
              <w:rPr>
                <w:sz w:val="20"/>
                <w:lang w:val="fr-CA"/>
              </w:rPr>
              <w:noBreakHyphen/>
              <w:t>préfet de la municipalité rurale de Sherwood No. 159. Il a été accusé d’abus de confiance par un fonctionnaire, infraction décrite à l’art</w:t>
            </w:r>
            <w:r w:rsidRPr="00666964">
              <w:rPr>
                <w:rFonts w:eastAsiaTheme="majorEastAsia"/>
                <w:sz w:val="20"/>
                <w:lang w:val="fr-CA"/>
              </w:rPr>
              <w:t xml:space="preserve">. 122 </w:t>
            </w:r>
            <w:r w:rsidRPr="00666964">
              <w:rPr>
                <w:sz w:val="20"/>
                <w:lang w:val="fr-CA"/>
              </w:rPr>
              <w:t xml:space="preserve">du </w:t>
            </w:r>
            <w:hyperlink r:id="rId28" w:history="1">
              <w:r w:rsidRPr="00666964">
                <w:rPr>
                  <w:rFonts w:eastAsiaTheme="majorEastAsia"/>
                  <w:i/>
                  <w:sz w:val="20"/>
                  <w:lang w:val="fr-CA"/>
                </w:rPr>
                <w:t>Code criminel</w:t>
              </w:r>
            </w:hyperlink>
            <w:r w:rsidRPr="00666964">
              <w:rPr>
                <w:rFonts w:eastAsiaTheme="majorEastAsia"/>
                <w:sz w:val="20"/>
                <w:lang w:val="fr-CA"/>
              </w:rPr>
              <w:t>,</w:t>
            </w:r>
            <w:r w:rsidRPr="00666964">
              <w:rPr>
                <w:i/>
                <w:sz w:val="20"/>
                <w:lang w:val="fr-CA"/>
              </w:rPr>
              <w:t xml:space="preserve"> </w:t>
            </w:r>
            <w:r w:rsidRPr="00666964">
              <w:rPr>
                <w:rFonts w:eastAsiaTheme="majorEastAsia"/>
                <w:sz w:val="20"/>
                <w:lang w:val="fr-CA"/>
              </w:rPr>
              <w:t>et d’actes de corruption dans les affaires municipales, infraction décrite à l’al</w:t>
            </w:r>
            <w:hyperlink r:id="rId29" w:anchor="sec123subsec1_smooth" w:history="1">
              <w:r w:rsidRPr="00666964">
                <w:rPr>
                  <w:rFonts w:eastAsiaTheme="majorEastAsia"/>
                  <w:sz w:val="20"/>
                  <w:lang w:val="fr-CA"/>
                </w:rPr>
                <w:t>. 123(1)</w:t>
              </w:r>
            </w:hyperlink>
            <w:r w:rsidRPr="00666964">
              <w:rPr>
                <w:sz w:val="20"/>
                <w:lang w:val="fr-CA"/>
              </w:rPr>
              <w:t xml:space="preserve">c) du </w:t>
            </w:r>
            <w:hyperlink r:id="rId30" w:history="1">
              <w:r w:rsidRPr="00666964">
                <w:rPr>
                  <w:rFonts w:eastAsiaTheme="majorEastAsia"/>
                  <w:i/>
                  <w:sz w:val="20"/>
                  <w:lang w:val="fr-CA"/>
                </w:rPr>
                <w:t>Code criminel</w:t>
              </w:r>
            </w:hyperlink>
            <w:r w:rsidRPr="00666964">
              <w:rPr>
                <w:sz w:val="20"/>
                <w:lang w:val="fr-CA"/>
              </w:rPr>
              <w:t>. Le procureur de la Couronne a allégué que M. Probe avait tenté de convaincre le préfet de la municipalité de faire du lobbying auprès d’autres membres du conseil municipal en lien avec une motion qui, si elle avait été adoptée, aurait demandé à M. Probe de rembourser des frais de justice engagés en son nom par la municipalité. Le procureur de la Couronne a allégué que M. Probe avait rattaché sa volonté d’en arriver à un compromis sur une autre question à la volonté du préfet d’entreprendre ce lobbying. Le juge du procès a acquitté M. Probe relativement aux deux chefs. Le procureur de la Couronne a interjeté appel de l’acquittement relativement au chef d’accusation d’abus de confiance par un fonctionnaire. La Cour d’appel a accueilli l’appel et ordonné la tenue d’un nouveau procès.</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7 juin 2018</w:t>
            </w:r>
          </w:p>
          <w:p w:rsidR="00F656D8" w:rsidRPr="00666964" w:rsidRDefault="00F656D8" w:rsidP="00857157">
            <w:pPr>
              <w:jc w:val="both"/>
              <w:rPr>
                <w:sz w:val="20"/>
                <w:lang w:val="fr-CA"/>
              </w:rPr>
            </w:pPr>
            <w:r w:rsidRPr="00666964">
              <w:rPr>
                <w:sz w:val="20"/>
                <w:lang w:val="fr-CA"/>
              </w:rPr>
              <w:t>Cour du Banc de la Reine de la Saskatchewan</w:t>
            </w:r>
          </w:p>
          <w:p w:rsidR="00F656D8" w:rsidRPr="00666964" w:rsidRDefault="00F656D8" w:rsidP="00857157">
            <w:pPr>
              <w:jc w:val="both"/>
              <w:rPr>
                <w:sz w:val="20"/>
                <w:lang w:val="fr-CA"/>
              </w:rPr>
            </w:pPr>
            <w:r w:rsidRPr="00666964">
              <w:rPr>
                <w:sz w:val="20"/>
                <w:lang w:val="fr-CA"/>
              </w:rPr>
              <w:t xml:space="preserve">(Juge </w:t>
            </w:r>
            <w:proofErr w:type="spellStart"/>
            <w:r w:rsidRPr="00666964">
              <w:rPr>
                <w:sz w:val="20"/>
                <w:lang w:val="fr-CA"/>
              </w:rPr>
              <w:t>Elson</w:t>
            </w:r>
            <w:proofErr w:type="spellEnd"/>
            <w:r w:rsidRPr="00666964">
              <w:rPr>
                <w:sz w:val="20"/>
                <w:lang w:val="fr-CA"/>
              </w:rPr>
              <w:t>)</w:t>
            </w:r>
          </w:p>
          <w:p w:rsidR="00F656D8" w:rsidRPr="00666964" w:rsidRDefault="005B0CA8" w:rsidP="00857157">
            <w:pPr>
              <w:jc w:val="both"/>
              <w:rPr>
                <w:sz w:val="20"/>
                <w:lang w:val="fr-CA"/>
              </w:rPr>
            </w:pPr>
            <w:hyperlink r:id="rId31" w:history="1">
              <w:r w:rsidR="00F656D8" w:rsidRPr="00666964">
                <w:rPr>
                  <w:rStyle w:val="Hyperlink"/>
                  <w:sz w:val="20"/>
                  <w:lang w:val="fr-CA"/>
                </w:rPr>
                <w:t>2018 SKQB 176</w:t>
              </w:r>
            </w:hyperlink>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Acquittements relativement à des accusations d’actes de corruption dans les affaires municipales et d’abus de confiance par un fonctionnaire</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8 janvier 2020</w:t>
            </w:r>
          </w:p>
          <w:p w:rsidR="00F656D8" w:rsidRPr="00666964" w:rsidRDefault="00F656D8" w:rsidP="00857157">
            <w:pPr>
              <w:jc w:val="both"/>
              <w:rPr>
                <w:sz w:val="20"/>
                <w:lang w:val="fr-CA"/>
              </w:rPr>
            </w:pPr>
            <w:r w:rsidRPr="00666964">
              <w:rPr>
                <w:sz w:val="20"/>
                <w:lang w:val="fr-CA"/>
              </w:rPr>
              <w:t>Cour d’appel de la Saskatchewan</w:t>
            </w:r>
          </w:p>
          <w:p w:rsidR="00F656D8" w:rsidRPr="00666964" w:rsidRDefault="00F656D8" w:rsidP="00857157">
            <w:pPr>
              <w:jc w:val="both"/>
              <w:rPr>
                <w:sz w:val="20"/>
                <w:lang w:val="fr-CA"/>
              </w:rPr>
            </w:pPr>
            <w:r w:rsidRPr="00666964">
              <w:rPr>
                <w:sz w:val="20"/>
                <w:lang w:val="fr-CA"/>
              </w:rPr>
              <w:t xml:space="preserve">(Juges </w:t>
            </w:r>
            <w:proofErr w:type="spellStart"/>
            <w:r w:rsidRPr="00666964">
              <w:rPr>
                <w:sz w:val="20"/>
                <w:lang w:val="fr-CA"/>
              </w:rPr>
              <w:t>Ottenbreit</w:t>
            </w:r>
            <w:proofErr w:type="spellEnd"/>
            <w:r w:rsidRPr="00666964">
              <w:rPr>
                <w:sz w:val="20"/>
                <w:lang w:val="fr-CA"/>
              </w:rPr>
              <w:t xml:space="preserve">, Caldwell et </w:t>
            </w:r>
            <w:proofErr w:type="spellStart"/>
            <w:r w:rsidRPr="00666964">
              <w:rPr>
                <w:sz w:val="20"/>
                <w:lang w:val="fr-CA"/>
              </w:rPr>
              <w:t>Leurer</w:t>
            </w:r>
            <w:proofErr w:type="spellEnd"/>
            <w:r w:rsidRPr="00666964">
              <w:rPr>
                <w:sz w:val="20"/>
                <w:lang w:val="fr-CA"/>
              </w:rPr>
              <w:t>)</w:t>
            </w:r>
          </w:p>
          <w:p w:rsidR="00F656D8" w:rsidRPr="00666964" w:rsidRDefault="005B0CA8" w:rsidP="00857157">
            <w:pPr>
              <w:jc w:val="both"/>
              <w:rPr>
                <w:sz w:val="20"/>
                <w:lang w:val="fr-CA"/>
              </w:rPr>
            </w:pPr>
            <w:hyperlink r:id="rId32" w:history="1">
              <w:r w:rsidR="00F656D8" w:rsidRPr="00666964">
                <w:rPr>
                  <w:rStyle w:val="Hyperlink"/>
                  <w:sz w:val="20"/>
                  <w:lang w:val="fr-CA"/>
                </w:rPr>
                <w:t>2020 SKCA 5</w:t>
              </w:r>
            </w:hyperlink>
            <w:r w:rsidR="00F656D8" w:rsidRPr="00666964">
              <w:rPr>
                <w:sz w:val="20"/>
                <w:lang w:val="fr-CA"/>
              </w:rPr>
              <w:t>; CACR 3146</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Arrêt accueillant l’appel et ordonnant la tenue d’un nouveau procès relativement à une accusation d’abus de confiance par un fonctionnaire</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9 mars 2020</w:t>
            </w:r>
          </w:p>
          <w:p w:rsidR="00F656D8" w:rsidRPr="00666964" w:rsidRDefault="00F656D8" w:rsidP="00857157">
            <w:pPr>
              <w:jc w:val="both"/>
              <w:rPr>
                <w:sz w:val="20"/>
                <w:lang w:val="fr-CA"/>
              </w:rPr>
            </w:pPr>
            <w:r w:rsidRPr="00666964">
              <w:rPr>
                <w:sz w:val="20"/>
                <w:lang w:val="fr-CA"/>
              </w:rPr>
              <w:t>Cour suprême du Canada</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demande d’autorisation d’appel</w:t>
            </w:r>
          </w:p>
          <w:p w:rsidR="00F656D8" w:rsidRPr="00666964" w:rsidRDefault="00F656D8" w:rsidP="00857157">
            <w:pPr>
              <w:jc w:val="both"/>
              <w:rPr>
                <w:sz w:val="20"/>
                <w:lang w:val="fr-CA"/>
              </w:rPr>
            </w:pPr>
          </w:p>
        </w:tc>
      </w:tr>
    </w:tbl>
    <w:p w:rsidR="00F656D8" w:rsidRPr="00666964" w:rsidRDefault="00F656D8" w:rsidP="00F656D8">
      <w:pPr>
        <w:jc w:val="both"/>
        <w:rPr>
          <w:sz w:val="20"/>
          <w:lang w:val="fr-CA"/>
        </w:rPr>
      </w:pPr>
    </w:p>
    <w:p w:rsidR="00F656D8" w:rsidRPr="00666964" w:rsidRDefault="005B0CA8" w:rsidP="00F656D8">
      <w:pPr>
        <w:jc w:val="both"/>
        <w:rPr>
          <w:sz w:val="20"/>
          <w:lang w:val="fr-CA"/>
        </w:rPr>
      </w:pPr>
      <w:r>
        <w:rPr>
          <w:sz w:val="20"/>
        </w:rPr>
        <w:pict>
          <v:rect id="_x0000_i1041" style="width:2in;height:1pt" o:hrpct="0" o:hralign="center" o:hrstd="t" o:hrnoshade="t" o:hr="t" fillcolor="black [3213]" stroked="f"/>
        </w:pict>
      </w:r>
    </w:p>
    <w:p w:rsidR="00F656D8" w:rsidRPr="00666964" w:rsidRDefault="00F656D8" w:rsidP="00F656D8">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656D8" w:rsidRPr="00666964" w:rsidTr="00857157">
        <w:tc>
          <w:tcPr>
            <w:tcW w:w="543" w:type="pct"/>
          </w:tcPr>
          <w:p w:rsidR="00F656D8" w:rsidRPr="00666964" w:rsidRDefault="00F656D8" w:rsidP="00857157">
            <w:pPr>
              <w:jc w:val="both"/>
              <w:rPr>
                <w:sz w:val="20"/>
              </w:rPr>
            </w:pPr>
            <w:r w:rsidRPr="00666964">
              <w:rPr>
                <w:rStyle w:val="SCCFileNumberChar"/>
                <w:sz w:val="20"/>
                <w:szCs w:val="20"/>
              </w:rPr>
              <w:t>39111</w:t>
            </w:r>
          </w:p>
        </w:tc>
        <w:tc>
          <w:tcPr>
            <w:tcW w:w="4457" w:type="pct"/>
          </w:tcPr>
          <w:p w:rsidR="00F656D8" w:rsidRPr="00666964" w:rsidRDefault="00F656D8" w:rsidP="00857157">
            <w:pPr>
              <w:pStyle w:val="SCCLsocParty"/>
              <w:jc w:val="both"/>
              <w:rPr>
                <w:b/>
                <w:sz w:val="20"/>
                <w:szCs w:val="20"/>
                <w:lang w:val="en-US"/>
              </w:rPr>
            </w:pPr>
            <w:r w:rsidRPr="00666964">
              <w:rPr>
                <w:b/>
                <w:sz w:val="20"/>
                <w:szCs w:val="20"/>
                <w:lang w:val="en-US"/>
              </w:rPr>
              <w:t>Coldwater Indian Band v. Attorney General of Canada, Trans Mountain Pipeline ULC</w:t>
            </w:r>
            <w:r w:rsidR="00857157" w:rsidRPr="00666964">
              <w:rPr>
                <w:b/>
                <w:sz w:val="20"/>
                <w:szCs w:val="20"/>
                <w:lang w:val="en-US"/>
              </w:rPr>
              <w:t xml:space="preserve"> and</w:t>
            </w:r>
            <w:r w:rsidRPr="00666964">
              <w:rPr>
                <w:b/>
                <w:sz w:val="20"/>
                <w:szCs w:val="20"/>
                <w:lang w:val="en-US"/>
              </w:rPr>
              <w:t xml:space="preserve"> Trans Mountain Corporation</w:t>
            </w:r>
          </w:p>
          <w:p w:rsidR="00F656D8" w:rsidRPr="00666964" w:rsidRDefault="00F656D8" w:rsidP="00857157">
            <w:pPr>
              <w:pStyle w:val="SCCLsocSubfileSeparator0"/>
              <w:rPr>
                <w:sz w:val="20"/>
                <w:szCs w:val="20"/>
              </w:rPr>
            </w:pPr>
            <w:r w:rsidRPr="00666964">
              <w:rPr>
                <w:sz w:val="20"/>
                <w:szCs w:val="20"/>
              </w:rPr>
              <w:t>- and between -</w:t>
            </w:r>
          </w:p>
          <w:p w:rsidR="00F656D8" w:rsidRPr="00666964" w:rsidRDefault="00F656D8" w:rsidP="00857157">
            <w:pPr>
              <w:pStyle w:val="SCCLsocParty"/>
              <w:jc w:val="both"/>
              <w:rPr>
                <w:b/>
                <w:sz w:val="20"/>
                <w:szCs w:val="20"/>
                <w:lang w:val="en-US"/>
              </w:rPr>
            </w:pPr>
            <w:r w:rsidRPr="00666964">
              <w:rPr>
                <w:b/>
                <w:sz w:val="20"/>
                <w:szCs w:val="20"/>
                <w:lang w:val="en-US"/>
              </w:rPr>
              <w:t xml:space="preserve">Tsleil-Waututh Nation v. </w:t>
            </w:r>
            <w:r w:rsidR="00857157" w:rsidRPr="00666964">
              <w:rPr>
                <w:b/>
                <w:sz w:val="20"/>
                <w:szCs w:val="20"/>
                <w:lang w:val="en-US"/>
              </w:rPr>
              <w:t>Attorney General of Canada, Trans Mountain Pipeline ULC and Trans Mountain Corporation</w:t>
            </w:r>
          </w:p>
          <w:p w:rsidR="00F656D8" w:rsidRPr="00666964" w:rsidRDefault="00F656D8" w:rsidP="00857157">
            <w:pPr>
              <w:pStyle w:val="SCCLsocSubfileSeparator0"/>
              <w:rPr>
                <w:sz w:val="20"/>
                <w:szCs w:val="20"/>
              </w:rPr>
            </w:pPr>
            <w:r w:rsidRPr="00666964">
              <w:rPr>
                <w:sz w:val="20"/>
                <w:szCs w:val="20"/>
              </w:rPr>
              <w:t>- and between -</w:t>
            </w:r>
          </w:p>
          <w:p w:rsidR="00F656D8" w:rsidRPr="00666964" w:rsidRDefault="00F656D8" w:rsidP="00857157">
            <w:pPr>
              <w:pStyle w:val="SCCLsocParty"/>
              <w:jc w:val="both"/>
              <w:rPr>
                <w:b/>
                <w:sz w:val="20"/>
                <w:szCs w:val="20"/>
                <w:lang w:val="en-US"/>
              </w:rPr>
            </w:pPr>
            <w:r w:rsidRPr="00666964">
              <w:rPr>
                <w:b/>
                <w:sz w:val="20"/>
                <w:szCs w:val="20"/>
                <w:lang w:val="en-US"/>
              </w:rPr>
              <w:t xml:space="preserve">Squamish Nation v. Attorney General of Canada, Trans </w:t>
            </w:r>
            <w:r w:rsidR="00857157" w:rsidRPr="00666964">
              <w:rPr>
                <w:b/>
                <w:sz w:val="20"/>
                <w:szCs w:val="20"/>
                <w:lang w:val="en-US"/>
              </w:rPr>
              <w:t>Mountain Pipeline ULC and</w:t>
            </w:r>
            <w:r w:rsidRPr="00666964">
              <w:rPr>
                <w:b/>
                <w:sz w:val="20"/>
                <w:szCs w:val="20"/>
                <w:lang w:val="en-US"/>
              </w:rPr>
              <w:t xml:space="preserve"> Trans Mountain Corporation</w:t>
            </w:r>
          </w:p>
          <w:p w:rsidR="00F656D8" w:rsidRPr="00666964" w:rsidRDefault="00F656D8" w:rsidP="00857157">
            <w:pPr>
              <w:jc w:val="both"/>
              <w:rPr>
                <w:sz w:val="20"/>
              </w:rPr>
            </w:pPr>
            <w:r w:rsidRPr="00666964">
              <w:rPr>
                <w:sz w:val="20"/>
              </w:rPr>
              <w:t>(F.C.) (Civil) (By Leave)</w:t>
            </w:r>
          </w:p>
        </w:tc>
      </w:tr>
      <w:tr w:rsidR="00F656D8" w:rsidRPr="00666964" w:rsidTr="00857157">
        <w:tc>
          <w:tcPr>
            <w:tcW w:w="5000" w:type="pct"/>
            <w:gridSpan w:val="2"/>
          </w:tcPr>
          <w:p w:rsidR="00857157" w:rsidRPr="00666964" w:rsidRDefault="00857157" w:rsidP="00857157">
            <w:pPr>
              <w:jc w:val="both"/>
              <w:rPr>
                <w:sz w:val="20"/>
                <w:szCs w:val="20"/>
              </w:rPr>
            </w:pPr>
            <w:r w:rsidRPr="00666964">
              <w:rPr>
                <w:sz w:val="20"/>
                <w:szCs w:val="20"/>
              </w:rPr>
              <w:t>The applications for leave to appeal from the judgment of the Federal Court of Appeal, Numbers A</w:t>
            </w:r>
            <w:r w:rsidRPr="00666964">
              <w:rPr>
                <w:sz w:val="20"/>
                <w:szCs w:val="20"/>
              </w:rPr>
              <w:noBreakHyphen/>
              <w:t>324</w:t>
            </w:r>
            <w:r w:rsidRPr="00666964">
              <w:rPr>
                <w:sz w:val="20"/>
                <w:szCs w:val="20"/>
              </w:rPr>
              <w:noBreakHyphen/>
              <w:t>19, A</w:t>
            </w:r>
            <w:r w:rsidRPr="00666964">
              <w:rPr>
                <w:sz w:val="20"/>
                <w:szCs w:val="20"/>
              </w:rPr>
              <w:noBreakHyphen/>
              <w:t>325</w:t>
            </w:r>
            <w:r w:rsidRPr="00666964">
              <w:rPr>
                <w:sz w:val="20"/>
                <w:szCs w:val="20"/>
              </w:rPr>
              <w:noBreakHyphen/>
              <w:t>19, A</w:t>
            </w:r>
            <w:r w:rsidRPr="00666964">
              <w:rPr>
                <w:sz w:val="20"/>
                <w:szCs w:val="20"/>
              </w:rPr>
              <w:noBreakHyphen/>
              <w:t>326</w:t>
            </w:r>
            <w:r w:rsidRPr="00666964">
              <w:rPr>
                <w:sz w:val="20"/>
                <w:szCs w:val="20"/>
              </w:rPr>
              <w:noBreakHyphen/>
              <w:t>19, A</w:t>
            </w:r>
            <w:r w:rsidRPr="00666964">
              <w:rPr>
                <w:sz w:val="20"/>
                <w:szCs w:val="20"/>
              </w:rPr>
              <w:noBreakHyphen/>
              <w:t>327</w:t>
            </w:r>
            <w:r w:rsidRPr="00666964">
              <w:rPr>
                <w:sz w:val="20"/>
                <w:szCs w:val="20"/>
              </w:rPr>
              <w:noBreakHyphen/>
              <w:t>19, 2020 FCA 34, dated February 4, 2020, are dismissed with costs.</w:t>
            </w:r>
          </w:p>
          <w:p w:rsidR="00F656D8" w:rsidRPr="00666964" w:rsidRDefault="00F656D8" w:rsidP="00857157">
            <w:pPr>
              <w:jc w:val="both"/>
              <w:rPr>
                <w:sz w:val="20"/>
              </w:rPr>
            </w:pPr>
          </w:p>
        </w:tc>
      </w:tr>
    </w:tbl>
    <w:p w:rsidR="000B3B08" w:rsidRPr="00666964" w:rsidRDefault="000B3B08">
      <w:r w:rsidRPr="00666964">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56D8" w:rsidRPr="00666964" w:rsidTr="00857157">
        <w:tc>
          <w:tcPr>
            <w:tcW w:w="5000" w:type="pct"/>
            <w:gridSpan w:val="3"/>
          </w:tcPr>
          <w:p w:rsidR="00F656D8" w:rsidRPr="00666964" w:rsidRDefault="00F656D8" w:rsidP="00857157">
            <w:pPr>
              <w:jc w:val="both"/>
              <w:rPr>
                <w:sz w:val="20"/>
              </w:rPr>
            </w:pPr>
            <w:r w:rsidRPr="00666964">
              <w:rPr>
                <w:sz w:val="20"/>
              </w:rPr>
              <w:t>Administrative law — Judicial review — Boards and tribunals — National Energy Board — Trans Mountain Pipeline — What is the standard of consultation when the Aboriginal interest affected is established — To what extent does proportionality calibrate consultation and accommodation of a vital established Aboriginal interest — What measure of deference do reviewing courts owe the Crown when the honour of the Crown is engaged and to what extent is the underlying evidentiary record to be scrutinized — How should a court review the adequacy of Crown consultation — What is the required approach to accommodation — What is the extent of the Crown’s procedural and substantive obligations when deep consultation is required — Does the honour of the Crown require meaningful, two-way dialogue that includes consideration of infringement and justification in the context of the Crown’s duty to consult and accommodate?</w:t>
            </w:r>
          </w:p>
        </w:tc>
      </w:tr>
      <w:tr w:rsidR="00F656D8" w:rsidRPr="00666964" w:rsidTr="00857157">
        <w:tc>
          <w:tcPr>
            <w:tcW w:w="5000" w:type="pct"/>
            <w:gridSpan w:val="3"/>
          </w:tcPr>
          <w:p w:rsidR="00F656D8" w:rsidRPr="00666964" w:rsidRDefault="00F656D8" w:rsidP="00857157">
            <w:pPr>
              <w:jc w:val="both"/>
              <w:rPr>
                <w:sz w:val="20"/>
              </w:rPr>
            </w:pPr>
          </w:p>
        </w:tc>
      </w:tr>
      <w:tr w:rsidR="00F656D8" w:rsidRPr="00666964" w:rsidTr="00857157">
        <w:tc>
          <w:tcPr>
            <w:tcW w:w="5000" w:type="pct"/>
            <w:gridSpan w:val="3"/>
          </w:tcPr>
          <w:p w:rsidR="00F656D8" w:rsidRPr="00666964" w:rsidRDefault="00F656D8" w:rsidP="00857157">
            <w:pPr>
              <w:jc w:val="both"/>
              <w:rPr>
                <w:sz w:val="20"/>
              </w:rPr>
            </w:pPr>
            <w:r w:rsidRPr="00666964">
              <w:rPr>
                <w:sz w:val="20"/>
              </w:rPr>
              <w:t>By Order in Council P.C. 2019</w:t>
            </w:r>
            <w:r w:rsidRPr="00666964">
              <w:rPr>
                <w:sz w:val="20"/>
              </w:rPr>
              <w:noBreakHyphen/>
              <w:t>0820 dated June 18, 2019, the Governor in Council approved the Trans Mountain Pipeline expansion project for the second time. Six sets of parties were granted leave by the Federal Court of Appeal to judicially review that decision. In a unanimous decision, the Federal Court of Appeal determined that the Governor in Council’s re</w:t>
            </w:r>
            <w:r w:rsidRPr="00666964">
              <w:rPr>
                <w:sz w:val="20"/>
              </w:rPr>
              <w:noBreakHyphen/>
              <w:t>approval was reasonable and dismissed all of the applications for judicial review.</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June 18, 2019</w:t>
            </w:r>
          </w:p>
          <w:p w:rsidR="00F656D8" w:rsidRPr="00666964" w:rsidRDefault="00F656D8" w:rsidP="00857157">
            <w:pPr>
              <w:jc w:val="both"/>
              <w:rPr>
                <w:sz w:val="20"/>
              </w:rPr>
            </w:pPr>
            <w:r w:rsidRPr="00666964">
              <w:rPr>
                <w:sz w:val="20"/>
              </w:rPr>
              <w:t>Order in Council</w:t>
            </w:r>
          </w:p>
          <w:p w:rsidR="00F656D8" w:rsidRPr="00666964" w:rsidRDefault="00F656D8" w:rsidP="00857157">
            <w:pPr>
              <w:jc w:val="both"/>
              <w:rPr>
                <w:sz w:val="20"/>
              </w:rPr>
            </w:pPr>
            <w:r w:rsidRPr="00666964">
              <w:rPr>
                <w:sz w:val="20"/>
              </w:rPr>
              <w:t>P.C. 2019-0820</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National Energy Board (now the CER) directed to conduct a reconsideration hearing; expedited reconsideration hearing conducted and report issued; Governor in Council re</w:t>
            </w:r>
            <w:r w:rsidRPr="00666964">
              <w:rPr>
                <w:sz w:val="20"/>
              </w:rPr>
              <w:noBreakHyphen/>
              <w:t>approved Trans Mountain pipeline in June of 2019.</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September 4, 2019</w:t>
            </w:r>
          </w:p>
          <w:p w:rsidR="00F656D8" w:rsidRPr="00666964" w:rsidRDefault="00F656D8" w:rsidP="00857157">
            <w:pPr>
              <w:jc w:val="both"/>
              <w:rPr>
                <w:sz w:val="20"/>
              </w:rPr>
            </w:pPr>
            <w:r w:rsidRPr="00666964">
              <w:rPr>
                <w:sz w:val="20"/>
              </w:rPr>
              <w:t>Federal Court of Appeal</w:t>
            </w:r>
          </w:p>
          <w:p w:rsidR="00F656D8" w:rsidRPr="00666964" w:rsidRDefault="00F656D8" w:rsidP="00857157">
            <w:pPr>
              <w:jc w:val="both"/>
              <w:rPr>
                <w:sz w:val="20"/>
              </w:rPr>
            </w:pPr>
            <w:r w:rsidRPr="00666964">
              <w:rPr>
                <w:sz w:val="20"/>
              </w:rPr>
              <w:t>(</w:t>
            </w:r>
            <w:proofErr w:type="spellStart"/>
            <w:r w:rsidRPr="00666964">
              <w:rPr>
                <w:sz w:val="20"/>
              </w:rPr>
              <w:t>Stratas</w:t>
            </w:r>
            <w:proofErr w:type="spellEnd"/>
            <w:r w:rsidRPr="00666964">
              <w:rPr>
                <w:sz w:val="20"/>
              </w:rPr>
              <w:t xml:space="preserve"> JJ.A.)</w:t>
            </w:r>
          </w:p>
          <w:p w:rsidR="00F656D8" w:rsidRPr="00666964" w:rsidRDefault="005B0CA8" w:rsidP="00857157">
            <w:pPr>
              <w:jc w:val="both"/>
              <w:rPr>
                <w:sz w:val="20"/>
              </w:rPr>
            </w:pPr>
            <w:hyperlink r:id="rId33" w:history="1">
              <w:r w:rsidR="00F656D8" w:rsidRPr="00666964">
                <w:rPr>
                  <w:rStyle w:val="Hyperlink"/>
                  <w:sz w:val="20"/>
                </w:rPr>
                <w:t>2019 FCA 224</w:t>
              </w:r>
            </w:hyperlink>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Six applicants granted leave for judicial review of Governor in Council’s re</w:t>
            </w:r>
            <w:r w:rsidRPr="00666964">
              <w:rPr>
                <w:sz w:val="20"/>
              </w:rPr>
              <w:noBreakHyphen/>
              <w:t>approval.</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February 4, 2020</w:t>
            </w:r>
          </w:p>
          <w:p w:rsidR="00F656D8" w:rsidRPr="00666964" w:rsidRDefault="00F656D8" w:rsidP="00857157">
            <w:pPr>
              <w:jc w:val="both"/>
              <w:rPr>
                <w:sz w:val="20"/>
              </w:rPr>
            </w:pPr>
            <w:r w:rsidRPr="00666964">
              <w:rPr>
                <w:sz w:val="20"/>
              </w:rPr>
              <w:t>Federal Court of Appeal</w:t>
            </w:r>
          </w:p>
          <w:p w:rsidR="00F656D8" w:rsidRPr="00666964" w:rsidRDefault="00F656D8" w:rsidP="00857157">
            <w:pPr>
              <w:jc w:val="both"/>
              <w:rPr>
                <w:sz w:val="20"/>
              </w:rPr>
            </w:pPr>
            <w:r w:rsidRPr="00666964">
              <w:rPr>
                <w:sz w:val="20"/>
              </w:rPr>
              <w:t xml:space="preserve">(Noël C.J., Pelletier and </w:t>
            </w:r>
            <w:proofErr w:type="spellStart"/>
            <w:r w:rsidRPr="00666964">
              <w:rPr>
                <w:sz w:val="20"/>
              </w:rPr>
              <w:t>Laskin</w:t>
            </w:r>
            <w:proofErr w:type="spellEnd"/>
            <w:r w:rsidRPr="00666964">
              <w:rPr>
                <w:sz w:val="20"/>
              </w:rPr>
              <w:t xml:space="preserve"> JJ.A.)</w:t>
            </w:r>
          </w:p>
          <w:p w:rsidR="00F656D8" w:rsidRPr="00666964" w:rsidRDefault="005B0CA8" w:rsidP="00857157">
            <w:pPr>
              <w:jc w:val="both"/>
              <w:rPr>
                <w:sz w:val="20"/>
              </w:rPr>
            </w:pPr>
            <w:hyperlink r:id="rId34" w:history="1">
              <w:r w:rsidR="00F656D8" w:rsidRPr="00666964">
                <w:rPr>
                  <w:rStyle w:val="Hyperlink"/>
                  <w:sz w:val="20"/>
                </w:rPr>
                <w:t>2020 FCA 34</w:t>
              </w:r>
            </w:hyperlink>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Applications for judicial review dismissed.</w:t>
            </w:r>
          </w:p>
        </w:tc>
      </w:tr>
      <w:tr w:rsidR="00F656D8" w:rsidRPr="00666964" w:rsidTr="00857157">
        <w:tc>
          <w:tcPr>
            <w:tcW w:w="2427" w:type="pct"/>
          </w:tcPr>
          <w:p w:rsidR="00F656D8" w:rsidRPr="00666964" w:rsidRDefault="00F656D8" w:rsidP="00857157">
            <w:pPr>
              <w:jc w:val="both"/>
              <w:rPr>
                <w:sz w:val="20"/>
              </w:rPr>
            </w:pPr>
            <w:r w:rsidRPr="00666964">
              <w:rPr>
                <w:sz w:val="20"/>
              </w:rPr>
              <w:t>April 3, 2020</w:t>
            </w:r>
          </w:p>
          <w:p w:rsidR="00F656D8" w:rsidRPr="00666964" w:rsidRDefault="00F656D8" w:rsidP="00857157">
            <w:pPr>
              <w:jc w:val="both"/>
              <w:rPr>
                <w:sz w:val="20"/>
              </w:rPr>
            </w:pPr>
            <w:r w:rsidRPr="00666964">
              <w:rPr>
                <w:sz w:val="20"/>
              </w:rPr>
              <w:t>Supreme Court of Canada</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First application for leave to appeal filed</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April 3, 2020</w:t>
            </w:r>
          </w:p>
          <w:p w:rsidR="00F656D8" w:rsidRPr="00666964" w:rsidRDefault="00F656D8" w:rsidP="00857157">
            <w:pPr>
              <w:jc w:val="both"/>
              <w:rPr>
                <w:sz w:val="20"/>
              </w:rPr>
            </w:pPr>
            <w:r w:rsidRPr="00666964">
              <w:rPr>
                <w:sz w:val="20"/>
              </w:rPr>
              <w:t>Supreme Court of Canada</w:t>
            </w:r>
          </w:p>
          <w:p w:rsidR="00F656D8" w:rsidRPr="00666964" w:rsidRDefault="00F656D8" w:rsidP="00857157">
            <w:pPr>
              <w:jc w:val="both"/>
              <w:rPr>
                <w:sz w:val="20"/>
              </w:rPr>
            </w:pP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Second application for leave to appeal filed</w:t>
            </w:r>
          </w:p>
          <w:p w:rsidR="00F656D8" w:rsidRPr="00666964" w:rsidRDefault="00F656D8" w:rsidP="00857157">
            <w:pPr>
              <w:jc w:val="both"/>
              <w:rPr>
                <w:sz w:val="20"/>
              </w:rPr>
            </w:pPr>
          </w:p>
        </w:tc>
      </w:tr>
      <w:tr w:rsidR="00F656D8" w:rsidRPr="00666964" w:rsidTr="00857157">
        <w:tc>
          <w:tcPr>
            <w:tcW w:w="2427" w:type="pct"/>
          </w:tcPr>
          <w:p w:rsidR="00F656D8" w:rsidRPr="00666964" w:rsidRDefault="00F656D8" w:rsidP="00857157">
            <w:pPr>
              <w:jc w:val="both"/>
              <w:rPr>
                <w:sz w:val="20"/>
              </w:rPr>
            </w:pPr>
            <w:r w:rsidRPr="00666964">
              <w:rPr>
                <w:sz w:val="20"/>
              </w:rPr>
              <w:t>April 3, 2020</w:t>
            </w:r>
          </w:p>
          <w:p w:rsidR="00F656D8" w:rsidRPr="00666964" w:rsidRDefault="00F656D8" w:rsidP="00857157">
            <w:pPr>
              <w:jc w:val="both"/>
              <w:rPr>
                <w:sz w:val="20"/>
              </w:rPr>
            </w:pPr>
            <w:r w:rsidRPr="00666964">
              <w:rPr>
                <w:sz w:val="20"/>
              </w:rPr>
              <w:t>Supreme Court of Canada</w:t>
            </w:r>
          </w:p>
        </w:tc>
        <w:tc>
          <w:tcPr>
            <w:tcW w:w="243" w:type="pct"/>
          </w:tcPr>
          <w:p w:rsidR="00F656D8" w:rsidRPr="00666964" w:rsidRDefault="00F656D8" w:rsidP="00857157">
            <w:pPr>
              <w:jc w:val="both"/>
              <w:rPr>
                <w:sz w:val="20"/>
              </w:rPr>
            </w:pPr>
          </w:p>
        </w:tc>
        <w:tc>
          <w:tcPr>
            <w:tcW w:w="2330" w:type="pct"/>
          </w:tcPr>
          <w:p w:rsidR="00F656D8" w:rsidRPr="00666964" w:rsidRDefault="00F656D8" w:rsidP="00857157">
            <w:pPr>
              <w:jc w:val="both"/>
              <w:rPr>
                <w:sz w:val="20"/>
              </w:rPr>
            </w:pPr>
            <w:r w:rsidRPr="00666964">
              <w:rPr>
                <w:sz w:val="20"/>
              </w:rPr>
              <w:t>Third application for leave to appeal filed</w:t>
            </w:r>
          </w:p>
          <w:p w:rsidR="00F656D8" w:rsidRPr="00666964" w:rsidRDefault="00F656D8" w:rsidP="00857157">
            <w:pPr>
              <w:jc w:val="both"/>
              <w:rPr>
                <w:sz w:val="20"/>
              </w:rPr>
            </w:pPr>
          </w:p>
        </w:tc>
      </w:tr>
    </w:tbl>
    <w:p w:rsidR="00F656D8" w:rsidRPr="00666964" w:rsidRDefault="00F656D8" w:rsidP="00F656D8">
      <w:pPr>
        <w:jc w:val="both"/>
        <w:rPr>
          <w:sz w:val="20"/>
        </w:rPr>
      </w:pPr>
    </w:p>
    <w:p w:rsidR="00F656D8" w:rsidRPr="00666964" w:rsidRDefault="005B0CA8" w:rsidP="00F656D8">
      <w:pPr>
        <w:jc w:val="both"/>
        <w:rPr>
          <w:sz w:val="20"/>
        </w:rPr>
      </w:pPr>
      <w:r>
        <w:rPr>
          <w:sz w:val="20"/>
        </w:rPr>
        <w:pict>
          <v:rect id="_x0000_i1042" style="width:2in;height:1pt" o:hrpct="0" o:hralign="center" o:hrstd="t" o:hrnoshade="t" o:hr="t" fillcolor="black [3213]" stroked="f"/>
        </w:pict>
      </w:r>
    </w:p>
    <w:p w:rsidR="00F656D8" w:rsidRPr="00666964" w:rsidRDefault="00F656D8" w:rsidP="00F656D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F656D8" w:rsidRPr="00666964" w:rsidTr="00857157">
        <w:tc>
          <w:tcPr>
            <w:tcW w:w="543" w:type="pct"/>
          </w:tcPr>
          <w:p w:rsidR="00F656D8" w:rsidRPr="00666964" w:rsidRDefault="00F656D8" w:rsidP="00857157">
            <w:pPr>
              <w:jc w:val="both"/>
              <w:rPr>
                <w:sz w:val="20"/>
                <w:lang w:val="fr-CA"/>
              </w:rPr>
            </w:pPr>
            <w:r w:rsidRPr="00666964">
              <w:rPr>
                <w:rStyle w:val="SCCFileNumberChar"/>
                <w:sz w:val="20"/>
                <w:szCs w:val="20"/>
                <w:lang w:val="fr-CA"/>
              </w:rPr>
              <w:t>39111</w:t>
            </w:r>
          </w:p>
        </w:tc>
        <w:tc>
          <w:tcPr>
            <w:tcW w:w="4457" w:type="pct"/>
            <w:gridSpan w:val="3"/>
          </w:tcPr>
          <w:p w:rsidR="00F656D8" w:rsidRPr="00666964" w:rsidRDefault="00F656D8" w:rsidP="00857157">
            <w:pPr>
              <w:pStyle w:val="SCCLsocParty"/>
              <w:jc w:val="both"/>
              <w:rPr>
                <w:b/>
                <w:sz w:val="20"/>
                <w:szCs w:val="20"/>
              </w:rPr>
            </w:pPr>
            <w:r w:rsidRPr="00666964">
              <w:rPr>
                <w:b/>
                <w:sz w:val="20"/>
                <w:szCs w:val="20"/>
              </w:rPr>
              <w:t>Coldwater Indian Band c. Procureur général du Canada, Trans Mountain Pipeline ULC</w:t>
            </w:r>
            <w:r w:rsidR="000B3B08" w:rsidRPr="00666964">
              <w:rPr>
                <w:b/>
                <w:sz w:val="20"/>
                <w:szCs w:val="20"/>
              </w:rPr>
              <w:t xml:space="preserve"> et</w:t>
            </w:r>
            <w:r w:rsidRPr="00666964">
              <w:rPr>
                <w:b/>
                <w:sz w:val="20"/>
                <w:szCs w:val="20"/>
              </w:rPr>
              <w:t xml:space="preserve"> Trans Mountain Corporation</w:t>
            </w:r>
          </w:p>
          <w:p w:rsidR="00F656D8" w:rsidRPr="00666964" w:rsidRDefault="00F656D8" w:rsidP="00857157">
            <w:pPr>
              <w:pStyle w:val="SCCLsocSubfileSeparator0"/>
              <w:rPr>
                <w:sz w:val="20"/>
                <w:szCs w:val="20"/>
                <w:lang w:val="fr-CA"/>
              </w:rPr>
            </w:pPr>
            <w:r w:rsidRPr="00666964">
              <w:rPr>
                <w:sz w:val="20"/>
                <w:szCs w:val="20"/>
                <w:lang w:val="fr-CA"/>
              </w:rPr>
              <w:t>- et entre -</w:t>
            </w:r>
          </w:p>
          <w:p w:rsidR="00F656D8" w:rsidRPr="00666964" w:rsidRDefault="00F656D8" w:rsidP="000B3B08">
            <w:pPr>
              <w:pStyle w:val="SCCLsocParty"/>
              <w:jc w:val="both"/>
              <w:rPr>
                <w:b/>
                <w:sz w:val="20"/>
                <w:szCs w:val="20"/>
              </w:rPr>
            </w:pPr>
            <w:r w:rsidRPr="00666964">
              <w:rPr>
                <w:b/>
                <w:sz w:val="20"/>
                <w:szCs w:val="20"/>
              </w:rPr>
              <w:t xml:space="preserve">Tsleil-Waututh Nation c. </w:t>
            </w:r>
            <w:r w:rsidR="000B3B08" w:rsidRPr="00666964">
              <w:rPr>
                <w:b/>
                <w:sz w:val="20"/>
                <w:szCs w:val="20"/>
              </w:rPr>
              <w:t>Procureur général du Canada, Trans Mountain Pipeline ULC et Trans Mountain Corporation</w:t>
            </w:r>
          </w:p>
          <w:p w:rsidR="00F656D8" w:rsidRPr="00666964" w:rsidRDefault="00F656D8" w:rsidP="00857157">
            <w:pPr>
              <w:pStyle w:val="SCCLsocSubfileSeparator0"/>
              <w:rPr>
                <w:sz w:val="20"/>
                <w:szCs w:val="20"/>
                <w:lang w:val="fr-CA"/>
              </w:rPr>
            </w:pPr>
            <w:r w:rsidRPr="00666964">
              <w:rPr>
                <w:sz w:val="20"/>
                <w:szCs w:val="20"/>
                <w:lang w:val="fr-CA"/>
              </w:rPr>
              <w:t>- et entre -</w:t>
            </w:r>
          </w:p>
          <w:p w:rsidR="00F656D8" w:rsidRPr="00666964" w:rsidRDefault="00F656D8" w:rsidP="00857157">
            <w:pPr>
              <w:pStyle w:val="SCCLsocParty"/>
              <w:jc w:val="both"/>
              <w:rPr>
                <w:b/>
                <w:sz w:val="20"/>
                <w:szCs w:val="20"/>
              </w:rPr>
            </w:pPr>
            <w:r w:rsidRPr="00666964">
              <w:rPr>
                <w:b/>
                <w:sz w:val="20"/>
                <w:szCs w:val="20"/>
              </w:rPr>
              <w:t>Squamish Nation c. Procureur général du Canada, Trans Mountain Pipeline ULC</w:t>
            </w:r>
            <w:r w:rsidR="000B3B08" w:rsidRPr="00666964">
              <w:rPr>
                <w:b/>
                <w:sz w:val="20"/>
                <w:szCs w:val="20"/>
              </w:rPr>
              <w:t xml:space="preserve"> et</w:t>
            </w:r>
            <w:r w:rsidRPr="00666964">
              <w:rPr>
                <w:b/>
                <w:sz w:val="20"/>
                <w:szCs w:val="20"/>
              </w:rPr>
              <w:t xml:space="preserve"> Trans Mountain Corporation</w:t>
            </w:r>
          </w:p>
          <w:p w:rsidR="00F656D8" w:rsidRPr="00666964" w:rsidRDefault="00F656D8" w:rsidP="00857157">
            <w:pPr>
              <w:jc w:val="both"/>
              <w:rPr>
                <w:sz w:val="20"/>
                <w:lang w:val="fr-CA"/>
              </w:rPr>
            </w:pPr>
            <w:r w:rsidRPr="00666964">
              <w:rPr>
                <w:sz w:val="20"/>
                <w:lang w:val="fr-CA"/>
              </w:rPr>
              <w:t>(C.F.) (Civile) (Autorisation)</w:t>
            </w:r>
          </w:p>
        </w:tc>
      </w:tr>
      <w:tr w:rsidR="00F656D8" w:rsidRPr="005B0CA8" w:rsidTr="00857157">
        <w:tc>
          <w:tcPr>
            <w:tcW w:w="5000" w:type="pct"/>
            <w:gridSpan w:val="4"/>
          </w:tcPr>
          <w:p w:rsidR="00F656D8" w:rsidRPr="00666964" w:rsidRDefault="000B3B08" w:rsidP="00857157">
            <w:pPr>
              <w:jc w:val="both"/>
              <w:rPr>
                <w:sz w:val="20"/>
                <w:szCs w:val="20"/>
                <w:lang w:val="fr-CA"/>
              </w:rPr>
            </w:pPr>
            <w:r w:rsidRPr="00666964">
              <w:rPr>
                <w:sz w:val="20"/>
                <w:szCs w:val="20"/>
                <w:lang w:val="fr-CA"/>
              </w:rPr>
              <w:t>Les demandes d’autorisation d’appel de l’arrêt de la Cour d’appel fédérale, numéros A</w:t>
            </w:r>
            <w:r w:rsidRPr="00666964">
              <w:rPr>
                <w:sz w:val="20"/>
                <w:szCs w:val="20"/>
                <w:lang w:val="fr-CA"/>
              </w:rPr>
              <w:noBreakHyphen/>
              <w:t>324</w:t>
            </w:r>
            <w:r w:rsidRPr="00666964">
              <w:rPr>
                <w:sz w:val="20"/>
                <w:szCs w:val="20"/>
                <w:lang w:val="fr-CA"/>
              </w:rPr>
              <w:noBreakHyphen/>
              <w:t>19, A</w:t>
            </w:r>
            <w:r w:rsidRPr="00666964">
              <w:rPr>
                <w:sz w:val="20"/>
                <w:szCs w:val="20"/>
                <w:lang w:val="fr-CA"/>
              </w:rPr>
              <w:noBreakHyphen/>
              <w:t>325</w:t>
            </w:r>
            <w:r w:rsidRPr="00666964">
              <w:rPr>
                <w:sz w:val="20"/>
                <w:szCs w:val="20"/>
                <w:lang w:val="fr-CA"/>
              </w:rPr>
              <w:noBreakHyphen/>
              <w:t>19, A</w:t>
            </w:r>
            <w:r w:rsidRPr="00666964">
              <w:rPr>
                <w:sz w:val="20"/>
                <w:szCs w:val="20"/>
                <w:lang w:val="fr-CA"/>
              </w:rPr>
              <w:noBreakHyphen/>
              <w:t>326</w:t>
            </w:r>
            <w:r w:rsidRPr="00666964">
              <w:rPr>
                <w:sz w:val="20"/>
                <w:szCs w:val="20"/>
                <w:lang w:val="fr-CA"/>
              </w:rPr>
              <w:noBreakHyphen/>
              <w:t>19, A</w:t>
            </w:r>
            <w:r w:rsidRPr="00666964">
              <w:rPr>
                <w:sz w:val="20"/>
                <w:szCs w:val="20"/>
                <w:lang w:val="fr-CA"/>
              </w:rPr>
              <w:noBreakHyphen/>
              <w:t>327</w:t>
            </w:r>
            <w:r w:rsidRPr="00666964">
              <w:rPr>
                <w:sz w:val="20"/>
                <w:szCs w:val="20"/>
                <w:lang w:val="fr-CA"/>
              </w:rPr>
              <w:noBreakHyphen/>
              <w:t>19, 2020 CAF 34, daté du 4 février 2020, sont rejetées avec dépens.</w:t>
            </w:r>
          </w:p>
          <w:p w:rsidR="000B3B08" w:rsidRPr="00666964" w:rsidRDefault="000B3B08"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Droit administratif — Contrôle judiciaire — Organismes et tribunaux administratifs — Office national de l’énergie — Oléoduc Trans Mountain — Quelle est la norme de consultation dans un cas où l’intérêt autochtone touché est établi? — Dans quelle mesure la proportionnalité détermine</w:t>
            </w:r>
            <w:r w:rsidRPr="00666964">
              <w:rPr>
                <w:sz w:val="20"/>
                <w:lang w:val="fr-CA"/>
              </w:rPr>
              <w:noBreakHyphen/>
              <w:t>t</w:t>
            </w:r>
            <w:r w:rsidRPr="00666964">
              <w:rPr>
                <w:sz w:val="20"/>
                <w:lang w:val="fr-CA"/>
              </w:rPr>
              <w:noBreakHyphen/>
              <w:t>elle le degré de consultation et d’accommodement à l’égard d’un intérêt autochtone vital établi? — De quel degré de déférence les cours de révision doivent</w:t>
            </w:r>
            <w:r w:rsidRPr="00666964">
              <w:rPr>
                <w:sz w:val="20"/>
                <w:lang w:val="fr-CA"/>
              </w:rPr>
              <w:noBreakHyphen/>
              <w:t>elles faire preuve envers l’État lorsque l’honneur de la Couronne est en jeu et dans quelle mesure la preuve au dossier sous-jacente doit</w:t>
            </w:r>
            <w:r w:rsidRPr="00666964">
              <w:rPr>
                <w:sz w:val="20"/>
                <w:lang w:val="fr-CA"/>
              </w:rPr>
              <w:noBreakHyphen/>
              <w:t>elle être examinée attentivement? — Comment un tribunal doit</w:t>
            </w:r>
            <w:r w:rsidRPr="00666964">
              <w:rPr>
                <w:sz w:val="20"/>
                <w:lang w:val="fr-CA"/>
              </w:rPr>
              <w:noBreakHyphen/>
              <w:t>il contrôler le caractère adéquat d’une consultation par l’État? — Quelle approche doit</w:t>
            </w:r>
            <w:r w:rsidRPr="00666964">
              <w:rPr>
                <w:sz w:val="20"/>
                <w:lang w:val="fr-CA"/>
              </w:rPr>
              <w:noBreakHyphen/>
              <w:t>on adopter pour ce qui est de l’accommodement? — Quelle est la portée des obligations de l’État sur les plans de la procédure et du fond lorsqu’une consultation approfondie est nécessaire? — L’honneur de la Couronne exige</w:t>
            </w:r>
            <w:r w:rsidRPr="00666964">
              <w:rPr>
                <w:sz w:val="20"/>
                <w:lang w:val="fr-CA"/>
              </w:rPr>
              <w:noBreakHyphen/>
              <w:t>t</w:t>
            </w:r>
            <w:r w:rsidRPr="00666964">
              <w:rPr>
                <w:sz w:val="20"/>
                <w:lang w:val="fr-CA"/>
              </w:rPr>
              <w:noBreakHyphen/>
              <w:t>il un dialogue sérieux qui comprend une prise en compte de l’atteinte et une justification dans le contexte de l’obligation de la Couronne de consulter et d’accommoder?</w:t>
            </w:r>
          </w:p>
        </w:tc>
      </w:tr>
      <w:tr w:rsidR="00F656D8" w:rsidRPr="005B0CA8" w:rsidTr="00857157">
        <w:tc>
          <w:tcPr>
            <w:tcW w:w="5000" w:type="pct"/>
            <w:gridSpan w:val="4"/>
          </w:tcPr>
          <w:p w:rsidR="00F656D8" w:rsidRPr="00666964" w:rsidRDefault="00F656D8" w:rsidP="00857157">
            <w:pPr>
              <w:jc w:val="both"/>
              <w:rPr>
                <w:sz w:val="20"/>
                <w:lang w:val="fr-CA"/>
              </w:rPr>
            </w:pPr>
          </w:p>
        </w:tc>
      </w:tr>
      <w:tr w:rsidR="00F656D8" w:rsidRPr="005B0CA8" w:rsidTr="00857157">
        <w:tc>
          <w:tcPr>
            <w:tcW w:w="5000" w:type="pct"/>
            <w:gridSpan w:val="4"/>
          </w:tcPr>
          <w:p w:rsidR="00F656D8" w:rsidRPr="00666964" w:rsidRDefault="00F656D8" w:rsidP="00857157">
            <w:pPr>
              <w:jc w:val="both"/>
              <w:rPr>
                <w:sz w:val="20"/>
                <w:lang w:val="fr-CA"/>
              </w:rPr>
            </w:pPr>
            <w:r w:rsidRPr="00666964">
              <w:rPr>
                <w:sz w:val="20"/>
                <w:lang w:val="fr-CA"/>
              </w:rPr>
              <w:t>Par le décret C.P. 2019</w:t>
            </w:r>
            <w:r w:rsidRPr="00666964">
              <w:rPr>
                <w:sz w:val="20"/>
                <w:lang w:val="fr-CA"/>
              </w:rPr>
              <w:noBreakHyphen/>
              <w:t>0820 daté du 18 juin 2019, le gouverneur en conseil a approuvé une deuxième fois le projet d’agrandissement de l’oléoduc Trans Mountain. Six ensembles de parties se sont vu accorder par la Cour d’appel fédérale l’autorisation de déposer des demandes de contrôle judiciaire de cette décision. Dans un arrêt unanime, la Cour d’appel fédérale a conclu que la nouvelle approbation par le gouverneur en conseil était raisonnable et a rejeté toutes les demandes de contrôle judiciaire.</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18 juin 2019</w:t>
            </w:r>
          </w:p>
          <w:p w:rsidR="00F656D8" w:rsidRPr="00666964" w:rsidRDefault="00F656D8" w:rsidP="00857157">
            <w:pPr>
              <w:jc w:val="both"/>
              <w:rPr>
                <w:sz w:val="20"/>
                <w:lang w:val="fr-CA"/>
              </w:rPr>
            </w:pPr>
            <w:r w:rsidRPr="00666964">
              <w:rPr>
                <w:sz w:val="20"/>
                <w:lang w:val="fr-CA"/>
              </w:rPr>
              <w:t>Décret</w:t>
            </w:r>
          </w:p>
          <w:p w:rsidR="00F656D8" w:rsidRPr="00666964" w:rsidRDefault="00F656D8" w:rsidP="00857157">
            <w:pPr>
              <w:jc w:val="both"/>
              <w:rPr>
                <w:sz w:val="20"/>
                <w:lang w:val="fr-CA"/>
              </w:rPr>
            </w:pPr>
            <w:r w:rsidRPr="00666964">
              <w:rPr>
                <w:sz w:val="20"/>
                <w:lang w:val="fr-CA"/>
              </w:rPr>
              <w:t>C.P. 2019</w:t>
            </w:r>
            <w:r w:rsidRPr="00666964">
              <w:rPr>
                <w:sz w:val="20"/>
                <w:lang w:val="fr-CA"/>
              </w:rPr>
              <w:noBreakHyphen/>
              <w:t>0820</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Ordonnance adressée à l’Office national de l’énergie (maintenant la REC) de tenir une audience de réexamen; tenue de l’audience de réexamen de façon accélérée et publication d’un rapport; nouvelle approbation de l’oléoduc Trans Mountain en juin 2019.</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4 septembre 2019</w:t>
            </w:r>
          </w:p>
          <w:p w:rsidR="00F656D8" w:rsidRPr="00666964" w:rsidRDefault="00F656D8" w:rsidP="00857157">
            <w:pPr>
              <w:jc w:val="both"/>
              <w:rPr>
                <w:sz w:val="20"/>
                <w:lang w:val="fr-CA"/>
              </w:rPr>
            </w:pPr>
            <w:r w:rsidRPr="00666964">
              <w:rPr>
                <w:sz w:val="20"/>
                <w:lang w:val="fr-CA"/>
              </w:rPr>
              <w:t>Cour d’appel fédérale</w:t>
            </w:r>
          </w:p>
          <w:p w:rsidR="00F656D8" w:rsidRPr="00666964" w:rsidRDefault="00F656D8" w:rsidP="00857157">
            <w:pPr>
              <w:jc w:val="both"/>
              <w:rPr>
                <w:sz w:val="20"/>
                <w:lang w:val="fr-CA"/>
              </w:rPr>
            </w:pPr>
            <w:r w:rsidRPr="00666964">
              <w:rPr>
                <w:sz w:val="20"/>
                <w:lang w:val="fr-CA"/>
              </w:rPr>
              <w:t xml:space="preserve">(Juge </w:t>
            </w:r>
            <w:proofErr w:type="spellStart"/>
            <w:r w:rsidRPr="00666964">
              <w:rPr>
                <w:sz w:val="20"/>
                <w:lang w:val="fr-CA"/>
              </w:rPr>
              <w:t>Stratas</w:t>
            </w:r>
            <w:proofErr w:type="spellEnd"/>
            <w:r w:rsidRPr="00666964">
              <w:rPr>
                <w:sz w:val="20"/>
                <w:lang w:val="fr-CA"/>
              </w:rPr>
              <w:t>)</w:t>
            </w:r>
          </w:p>
          <w:p w:rsidR="00F656D8" w:rsidRPr="00666964" w:rsidRDefault="005B0CA8" w:rsidP="00857157">
            <w:pPr>
              <w:jc w:val="both"/>
              <w:rPr>
                <w:sz w:val="20"/>
                <w:lang w:val="fr-CA"/>
              </w:rPr>
            </w:pPr>
            <w:hyperlink r:id="rId35" w:history="1">
              <w:r w:rsidR="00F656D8" w:rsidRPr="00666964">
                <w:rPr>
                  <w:rStyle w:val="Hyperlink"/>
                  <w:sz w:val="20"/>
                  <w:lang w:val="fr-CA"/>
                </w:rPr>
                <w:t>2019 CAF 224</w:t>
              </w:r>
            </w:hyperlink>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Arrêt accordant aux six demandeurs l’autorisation de déposer des demandes de contrôle judiciaire.</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4 février 2020</w:t>
            </w:r>
          </w:p>
          <w:p w:rsidR="00F656D8" w:rsidRPr="00666964" w:rsidRDefault="00F656D8" w:rsidP="00857157">
            <w:pPr>
              <w:jc w:val="both"/>
              <w:rPr>
                <w:sz w:val="20"/>
                <w:lang w:val="fr-CA"/>
              </w:rPr>
            </w:pPr>
            <w:r w:rsidRPr="00666964">
              <w:rPr>
                <w:sz w:val="20"/>
                <w:lang w:val="fr-CA"/>
              </w:rPr>
              <w:t>Cour d’appel fédérale</w:t>
            </w:r>
          </w:p>
          <w:p w:rsidR="00F656D8" w:rsidRPr="00666964" w:rsidRDefault="00F656D8" w:rsidP="00857157">
            <w:pPr>
              <w:jc w:val="both"/>
              <w:rPr>
                <w:sz w:val="20"/>
                <w:lang w:val="fr-CA"/>
              </w:rPr>
            </w:pPr>
            <w:r w:rsidRPr="00666964">
              <w:rPr>
                <w:sz w:val="20"/>
                <w:lang w:val="fr-CA"/>
              </w:rPr>
              <w:t xml:space="preserve">(Juge en chef Noël, juges Pelletier et </w:t>
            </w:r>
            <w:proofErr w:type="spellStart"/>
            <w:r w:rsidRPr="00666964">
              <w:rPr>
                <w:sz w:val="20"/>
                <w:lang w:val="fr-CA"/>
              </w:rPr>
              <w:t>Laskin</w:t>
            </w:r>
            <w:proofErr w:type="spellEnd"/>
            <w:r w:rsidRPr="00666964">
              <w:rPr>
                <w:sz w:val="20"/>
                <w:lang w:val="fr-CA"/>
              </w:rPr>
              <w:t>)</w:t>
            </w:r>
          </w:p>
          <w:p w:rsidR="00F656D8" w:rsidRPr="00666964" w:rsidRDefault="005B0CA8" w:rsidP="00857157">
            <w:pPr>
              <w:jc w:val="both"/>
              <w:rPr>
                <w:sz w:val="20"/>
                <w:lang w:val="fr-CA"/>
              </w:rPr>
            </w:pPr>
            <w:hyperlink r:id="rId36" w:history="1">
              <w:r w:rsidR="00F656D8" w:rsidRPr="00666964">
                <w:rPr>
                  <w:rStyle w:val="Hyperlink"/>
                  <w:sz w:val="20"/>
                  <w:lang w:val="fr-CA"/>
                </w:rPr>
                <w:t>2020 CAF 34</w:t>
              </w:r>
            </w:hyperlink>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Rejet des demandes de contrôle judiciaire.</w:t>
            </w: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3 avril 2020</w:t>
            </w:r>
          </w:p>
          <w:p w:rsidR="00F656D8" w:rsidRPr="00666964" w:rsidRDefault="00F656D8" w:rsidP="00857157">
            <w:pPr>
              <w:jc w:val="both"/>
              <w:rPr>
                <w:sz w:val="20"/>
                <w:lang w:val="fr-CA"/>
              </w:rPr>
            </w:pPr>
            <w:r w:rsidRPr="00666964">
              <w:rPr>
                <w:sz w:val="20"/>
                <w:lang w:val="fr-CA"/>
              </w:rPr>
              <w:t>Cour suprême du Canada</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première demande d’autorisation d’appel</w:t>
            </w: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3 avril 2020</w:t>
            </w:r>
          </w:p>
          <w:p w:rsidR="00F656D8" w:rsidRPr="00666964" w:rsidRDefault="00F656D8" w:rsidP="00857157">
            <w:pPr>
              <w:jc w:val="both"/>
              <w:rPr>
                <w:sz w:val="20"/>
                <w:lang w:val="fr-CA"/>
              </w:rPr>
            </w:pPr>
            <w:r w:rsidRPr="00666964">
              <w:rPr>
                <w:sz w:val="20"/>
                <w:lang w:val="fr-CA"/>
              </w:rPr>
              <w:t>Cour suprême du Canada</w:t>
            </w:r>
          </w:p>
          <w:p w:rsidR="00F656D8" w:rsidRPr="00666964" w:rsidRDefault="00F656D8" w:rsidP="00857157">
            <w:pPr>
              <w:jc w:val="both"/>
              <w:rPr>
                <w:sz w:val="20"/>
                <w:lang w:val="fr-CA"/>
              </w:rPr>
            </w:pP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deuxième demande d’autorisation d’appel</w:t>
            </w:r>
          </w:p>
          <w:p w:rsidR="00F656D8" w:rsidRPr="00666964" w:rsidRDefault="00F656D8" w:rsidP="00857157">
            <w:pPr>
              <w:jc w:val="both"/>
              <w:rPr>
                <w:sz w:val="20"/>
                <w:lang w:val="fr-CA"/>
              </w:rPr>
            </w:pPr>
          </w:p>
          <w:p w:rsidR="00F656D8" w:rsidRPr="00666964" w:rsidRDefault="00F656D8" w:rsidP="00857157">
            <w:pPr>
              <w:jc w:val="both"/>
              <w:rPr>
                <w:sz w:val="20"/>
                <w:lang w:val="fr-CA"/>
              </w:rPr>
            </w:pPr>
          </w:p>
        </w:tc>
      </w:tr>
      <w:tr w:rsidR="00F656D8" w:rsidRPr="005B0CA8" w:rsidTr="00857157">
        <w:tc>
          <w:tcPr>
            <w:tcW w:w="2427" w:type="pct"/>
            <w:gridSpan w:val="2"/>
          </w:tcPr>
          <w:p w:rsidR="00F656D8" w:rsidRPr="00666964" w:rsidRDefault="00F656D8" w:rsidP="00857157">
            <w:pPr>
              <w:jc w:val="both"/>
              <w:rPr>
                <w:sz w:val="20"/>
                <w:lang w:val="fr-CA"/>
              </w:rPr>
            </w:pPr>
            <w:r w:rsidRPr="00666964">
              <w:rPr>
                <w:sz w:val="20"/>
                <w:lang w:val="fr-CA"/>
              </w:rPr>
              <w:t>3 avril 2020</w:t>
            </w:r>
          </w:p>
          <w:p w:rsidR="00F656D8" w:rsidRPr="00666964" w:rsidRDefault="00F656D8" w:rsidP="00857157">
            <w:pPr>
              <w:jc w:val="both"/>
              <w:rPr>
                <w:sz w:val="20"/>
                <w:lang w:val="fr-CA"/>
              </w:rPr>
            </w:pPr>
            <w:r w:rsidRPr="00666964">
              <w:rPr>
                <w:sz w:val="20"/>
                <w:lang w:val="fr-CA"/>
              </w:rPr>
              <w:t>Cour suprême du Canada</w:t>
            </w:r>
          </w:p>
        </w:tc>
        <w:tc>
          <w:tcPr>
            <w:tcW w:w="243" w:type="pct"/>
          </w:tcPr>
          <w:p w:rsidR="00F656D8" w:rsidRPr="00666964" w:rsidRDefault="00F656D8" w:rsidP="00857157">
            <w:pPr>
              <w:jc w:val="both"/>
              <w:rPr>
                <w:sz w:val="20"/>
                <w:lang w:val="fr-CA"/>
              </w:rPr>
            </w:pPr>
          </w:p>
        </w:tc>
        <w:tc>
          <w:tcPr>
            <w:tcW w:w="2330" w:type="pct"/>
          </w:tcPr>
          <w:p w:rsidR="00F656D8" w:rsidRPr="00666964" w:rsidRDefault="00F656D8" w:rsidP="00857157">
            <w:pPr>
              <w:jc w:val="both"/>
              <w:rPr>
                <w:sz w:val="20"/>
                <w:lang w:val="fr-CA"/>
              </w:rPr>
            </w:pPr>
            <w:r w:rsidRPr="00666964">
              <w:rPr>
                <w:sz w:val="20"/>
                <w:lang w:val="fr-CA"/>
              </w:rPr>
              <w:t>Dépôt de la troisième demande d’autorisation d’appel</w:t>
            </w:r>
          </w:p>
          <w:p w:rsidR="00F656D8" w:rsidRPr="00666964" w:rsidRDefault="00F656D8" w:rsidP="00857157">
            <w:pPr>
              <w:jc w:val="both"/>
              <w:rPr>
                <w:sz w:val="20"/>
                <w:lang w:val="fr-CA"/>
              </w:rPr>
            </w:pPr>
          </w:p>
        </w:tc>
      </w:tr>
    </w:tbl>
    <w:p w:rsidR="00E06F20" w:rsidRPr="00666964" w:rsidRDefault="00E06F20" w:rsidP="00102792">
      <w:pPr>
        <w:jc w:val="both"/>
        <w:rPr>
          <w:sz w:val="20"/>
          <w:szCs w:val="20"/>
          <w:lang w:val="fr-CA"/>
        </w:rPr>
      </w:pPr>
    </w:p>
    <w:p w:rsidR="00634F42" w:rsidRPr="00666964" w:rsidRDefault="005B0CA8" w:rsidP="00102792">
      <w:pPr>
        <w:jc w:val="both"/>
        <w:rPr>
          <w:sz w:val="20"/>
          <w:lang w:val="fr-CA"/>
        </w:rPr>
      </w:pPr>
      <w:r>
        <w:rPr>
          <w:sz w:val="20"/>
          <w:szCs w:val="20"/>
        </w:rPr>
        <w:pict>
          <v:rect id="_x0000_i1043" style="width:2in;height:1pt" o:hrpct="0" o:hralign="center" o:hrstd="t" o:hrnoshade="t" o:hr="t" fillcolor="black" stroked="f"/>
        </w:pict>
      </w:r>
    </w:p>
    <w:p w:rsidR="00102792" w:rsidRPr="00666964" w:rsidRDefault="00102792" w:rsidP="004B2E86">
      <w:pPr>
        <w:jc w:val="both"/>
        <w:rPr>
          <w:sz w:val="20"/>
          <w:szCs w:val="20"/>
          <w:lang w:val="fr-CA"/>
        </w:rPr>
      </w:pPr>
    </w:p>
    <w:p w:rsidR="00E06F20" w:rsidRPr="00666964" w:rsidRDefault="00E06F20" w:rsidP="00102792">
      <w:pPr>
        <w:jc w:val="both"/>
        <w:rPr>
          <w:sz w:val="20"/>
          <w:lang w:val="fr-CA"/>
        </w:rPr>
      </w:pPr>
    </w:p>
    <w:p w:rsidR="00890FEB" w:rsidRPr="00666964" w:rsidRDefault="00890FEB" w:rsidP="008D292F">
      <w:pPr>
        <w:rPr>
          <w:sz w:val="20"/>
          <w:szCs w:val="20"/>
          <w:lang w:val="fr-CA"/>
        </w:rPr>
      </w:pPr>
    </w:p>
    <w:p w:rsidR="00890FEB" w:rsidRPr="00666964" w:rsidRDefault="00890FEB" w:rsidP="008D292F">
      <w:pPr>
        <w:rPr>
          <w:b/>
          <w:sz w:val="20"/>
          <w:szCs w:val="20"/>
          <w:lang w:val="fr-CA"/>
        </w:rPr>
        <w:sectPr w:rsidR="00890FEB" w:rsidRPr="00666964" w:rsidSect="008D292F">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666964" w:rsidRDefault="001434B9" w:rsidP="00567602">
      <w:pPr>
        <w:pStyle w:val="Header1StyleE"/>
        <w:pBdr>
          <w:bottom w:val="single" w:sz="12" w:space="1" w:color="auto"/>
        </w:pBdr>
        <w:rPr>
          <w:sz w:val="20"/>
          <w:lang w:val="en-US"/>
        </w:rPr>
      </w:pPr>
      <w:bookmarkStart w:id="5" w:name="_Toc44595188"/>
      <w:r w:rsidRPr="00666964">
        <w:t>Notices of appeal filed since the last issue</w:t>
      </w:r>
      <w:r w:rsidR="00271E1E" w:rsidRPr="00666964">
        <w:t xml:space="preserve"> / </w:t>
      </w:r>
      <w:r w:rsidR="00567602" w:rsidRPr="00666964">
        <w:br/>
      </w:r>
      <w:r w:rsidRPr="00666964">
        <w:rPr>
          <w:lang w:val="fr-CA"/>
        </w:rPr>
        <w:t>Avis d’appel déposés depuis la dernière parution</w:t>
      </w:r>
      <w:bookmarkEnd w:id="5"/>
    </w:p>
    <w:p w:rsidR="00FB1DB6" w:rsidRPr="00666964"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666964" w:rsidTr="005F1ED8">
        <w:trPr>
          <w:cantSplit/>
        </w:trPr>
        <w:tc>
          <w:tcPr>
            <w:tcW w:w="2206" w:type="pct"/>
            <w:tcMar>
              <w:left w:w="0" w:type="dxa"/>
              <w:right w:w="0" w:type="dxa"/>
            </w:tcMar>
          </w:tcPr>
          <w:p w:rsidR="0086340B" w:rsidRPr="00666964" w:rsidRDefault="008859F1" w:rsidP="005F1ED8">
            <w:pPr>
              <w:rPr>
                <w:sz w:val="20"/>
                <w:szCs w:val="20"/>
              </w:rPr>
            </w:pPr>
            <w:r w:rsidRPr="00666964">
              <w:rPr>
                <w:sz w:val="20"/>
                <w:szCs w:val="20"/>
              </w:rPr>
              <w:t>J</w:t>
            </w:r>
            <w:r w:rsidR="006011FC" w:rsidRPr="00666964">
              <w:rPr>
                <w:sz w:val="20"/>
                <w:szCs w:val="20"/>
              </w:rPr>
              <w:t>une</w:t>
            </w:r>
            <w:r w:rsidRPr="00666964">
              <w:rPr>
                <w:sz w:val="20"/>
                <w:szCs w:val="20"/>
              </w:rPr>
              <w:t xml:space="preserve"> </w:t>
            </w:r>
            <w:r w:rsidR="006011FC" w:rsidRPr="00666964">
              <w:rPr>
                <w:sz w:val="20"/>
                <w:szCs w:val="20"/>
              </w:rPr>
              <w:t>29</w:t>
            </w:r>
            <w:r w:rsidRPr="00666964">
              <w:rPr>
                <w:sz w:val="20"/>
                <w:szCs w:val="20"/>
              </w:rPr>
              <w:t>, 20</w:t>
            </w:r>
            <w:r w:rsidR="005967EF" w:rsidRPr="00666964">
              <w:rPr>
                <w:sz w:val="20"/>
                <w:szCs w:val="20"/>
              </w:rPr>
              <w:t>20</w:t>
            </w:r>
          </w:p>
          <w:p w:rsidR="0034657E" w:rsidRPr="00666964" w:rsidRDefault="0034657E" w:rsidP="005F1ED8">
            <w:pPr>
              <w:rPr>
                <w:sz w:val="20"/>
                <w:szCs w:val="20"/>
              </w:rPr>
            </w:pPr>
          </w:p>
          <w:p w:rsidR="0086340B" w:rsidRPr="00666964" w:rsidRDefault="00F918B1" w:rsidP="005F1ED8">
            <w:pPr>
              <w:rPr>
                <w:b/>
                <w:sz w:val="20"/>
                <w:szCs w:val="20"/>
              </w:rPr>
            </w:pPr>
            <w:r w:rsidRPr="00666964">
              <w:rPr>
                <w:b/>
                <w:sz w:val="20"/>
                <w:szCs w:val="20"/>
              </w:rPr>
              <w:t>Canadian Broadcasting Corporation</w:t>
            </w:r>
          </w:p>
          <w:p w:rsidR="0086340B" w:rsidRPr="00666964" w:rsidRDefault="0086340B" w:rsidP="005F1ED8">
            <w:pPr>
              <w:rPr>
                <w:sz w:val="20"/>
                <w:szCs w:val="20"/>
              </w:rPr>
            </w:pPr>
          </w:p>
          <w:p w:rsidR="0086340B" w:rsidRPr="00666964" w:rsidRDefault="0086340B" w:rsidP="005F1ED8">
            <w:pPr>
              <w:rPr>
                <w:b/>
                <w:sz w:val="20"/>
                <w:szCs w:val="20"/>
              </w:rPr>
            </w:pPr>
            <w:r w:rsidRPr="00666964">
              <w:rPr>
                <w:b/>
                <w:sz w:val="20"/>
                <w:szCs w:val="20"/>
              </w:rPr>
              <w:tab/>
              <w:t>v. (3</w:t>
            </w:r>
            <w:r w:rsidR="006011FC" w:rsidRPr="00666964">
              <w:rPr>
                <w:b/>
                <w:sz w:val="20"/>
                <w:szCs w:val="20"/>
              </w:rPr>
              <w:t>8</w:t>
            </w:r>
            <w:r w:rsidRPr="00666964">
              <w:rPr>
                <w:b/>
                <w:sz w:val="20"/>
                <w:szCs w:val="20"/>
              </w:rPr>
              <w:t>9</w:t>
            </w:r>
            <w:r w:rsidR="006011FC" w:rsidRPr="00666964">
              <w:rPr>
                <w:b/>
                <w:sz w:val="20"/>
                <w:szCs w:val="20"/>
              </w:rPr>
              <w:t>9</w:t>
            </w:r>
            <w:r w:rsidRPr="00666964">
              <w:rPr>
                <w:b/>
                <w:sz w:val="20"/>
                <w:szCs w:val="20"/>
              </w:rPr>
              <w:t>2)</w:t>
            </w:r>
          </w:p>
          <w:p w:rsidR="0086340B" w:rsidRPr="00666964" w:rsidRDefault="0086340B" w:rsidP="005F1ED8">
            <w:pPr>
              <w:rPr>
                <w:sz w:val="20"/>
                <w:szCs w:val="20"/>
              </w:rPr>
            </w:pPr>
          </w:p>
          <w:p w:rsidR="0086340B" w:rsidRPr="00666964" w:rsidRDefault="00F918B1" w:rsidP="005F1ED8">
            <w:pPr>
              <w:rPr>
                <w:b/>
                <w:sz w:val="20"/>
                <w:szCs w:val="20"/>
              </w:rPr>
            </w:pPr>
            <w:r w:rsidRPr="00666964">
              <w:rPr>
                <w:b/>
                <w:sz w:val="20"/>
                <w:szCs w:val="20"/>
              </w:rPr>
              <w:t>Her Majesty the Queen, et al.</w:t>
            </w:r>
            <w:r w:rsidR="0086340B" w:rsidRPr="00666964">
              <w:rPr>
                <w:b/>
                <w:sz w:val="20"/>
                <w:szCs w:val="20"/>
              </w:rPr>
              <w:t xml:space="preserve"> (</w:t>
            </w:r>
            <w:r w:rsidRPr="00666964">
              <w:rPr>
                <w:b/>
                <w:sz w:val="20"/>
                <w:szCs w:val="20"/>
              </w:rPr>
              <w:t>Man</w:t>
            </w:r>
            <w:r w:rsidR="0086340B" w:rsidRPr="00666964">
              <w:rPr>
                <w:b/>
                <w:sz w:val="20"/>
                <w:szCs w:val="20"/>
              </w:rPr>
              <w:t>.)</w:t>
            </w:r>
          </w:p>
          <w:p w:rsidR="0086340B" w:rsidRPr="00666964" w:rsidRDefault="0086340B" w:rsidP="005F1ED8">
            <w:pPr>
              <w:rPr>
                <w:sz w:val="20"/>
                <w:szCs w:val="20"/>
              </w:rPr>
            </w:pPr>
          </w:p>
          <w:p w:rsidR="0086340B" w:rsidRPr="00666964" w:rsidRDefault="0086340B" w:rsidP="005F1ED8">
            <w:pPr>
              <w:rPr>
                <w:sz w:val="20"/>
                <w:szCs w:val="20"/>
              </w:rPr>
            </w:pPr>
            <w:r w:rsidRPr="00666964">
              <w:rPr>
                <w:sz w:val="20"/>
                <w:szCs w:val="20"/>
              </w:rPr>
              <w:t>(By Leave)</w:t>
            </w:r>
          </w:p>
          <w:p w:rsidR="0086340B" w:rsidRPr="00666964" w:rsidRDefault="0086340B" w:rsidP="005F1ED8">
            <w:pPr>
              <w:rPr>
                <w:sz w:val="20"/>
                <w:szCs w:val="20"/>
              </w:rPr>
            </w:pPr>
          </w:p>
          <w:p w:rsidR="0086340B" w:rsidRPr="00666964" w:rsidRDefault="005B0CA8" w:rsidP="005F1ED8">
            <w:pPr>
              <w:rPr>
                <w:sz w:val="20"/>
                <w:szCs w:val="20"/>
                <w:lang w:val="fr-CA"/>
              </w:rPr>
            </w:pPr>
            <w:r>
              <w:rPr>
                <w:sz w:val="20"/>
                <w:szCs w:val="20"/>
                <w:lang w:val="fr-CA"/>
              </w:rPr>
              <w:pict>
                <v:rect id="_x0000_i1046" style="width:106.1pt;height:1pt" o:hrpct="500" o:hrstd="t" o:hrnoshade="t" o:hr="t" fillcolor="black [3213]" stroked="f"/>
              </w:pict>
            </w:r>
          </w:p>
        </w:tc>
        <w:tc>
          <w:tcPr>
            <w:tcW w:w="588" w:type="pct"/>
          </w:tcPr>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p w:rsidR="0086340B" w:rsidRPr="00666964" w:rsidRDefault="0086340B" w:rsidP="005F1ED8">
            <w:pPr>
              <w:jc w:val="center"/>
              <w:rPr>
                <w:sz w:val="20"/>
                <w:szCs w:val="20"/>
              </w:rPr>
            </w:pPr>
          </w:p>
        </w:tc>
        <w:tc>
          <w:tcPr>
            <w:tcW w:w="2206" w:type="pct"/>
          </w:tcPr>
          <w:p w:rsidR="0086340B" w:rsidRPr="00666964" w:rsidRDefault="0086340B" w:rsidP="005F1ED8">
            <w:pPr>
              <w:rPr>
                <w:sz w:val="20"/>
                <w:szCs w:val="20"/>
              </w:rPr>
            </w:pPr>
          </w:p>
        </w:tc>
      </w:tr>
    </w:tbl>
    <w:p w:rsidR="008277C4" w:rsidRPr="00666964" w:rsidRDefault="008277C4" w:rsidP="00F40249">
      <w:pPr>
        <w:rPr>
          <w:sz w:val="20"/>
          <w:szCs w:val="20"/>
        </w:rPr>
      </w:pPr>
    </w:p>
    <w:p w:rsidR="008277C4" w:rsidRPr="00666964" w:rsidRDefault="008277C4" w:rsidP="00F40249">
      <w:pPr>
        <w:rPr>
          <w:sz w:val="20"/>
          <w:szCs w:val="20"/>
        </w:rPr>
      </w:pPr>
    </w:p>
    <w:p w:rsidR="0010587F" w:rsidRPr="00666964" w:rsidRDefault="0010587F" w:rsidP="00F40249">
      <w:pPr>
        <w:rPr>
          <w:sz w:val="20"/>
          <w:szCs w:val="20"/>
        </w:rPr>
      </w:pPr>
    </w:p>
    <w:p w:rsidR="00EB2B90" w:rsidRPr="00666964" w:rsidRDefault="00EB2B90" w:rsidP="00F40249">
      <w:pPr>
        <w:rPr>
          <w:sz w:val="20"/>
          <w:szCs w:val="20"/>
        </w:rPr>
        <w:sectPr w:rsidR="00EB2B90" w:rsidRPr="00666964" w:rsidSect="00F40249">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5" w:gutter="0"/>
          <w:cols w:space="720"/>
          <w:titlePg/>
          <w:docGrid w:linePitch="326"/>
        </w:sectPr>
      </w:pPr>
    </w:p>
    <w:p w:rsidR="00567602" w:rsidRPr="00666964" w:rsidRDefault="001434B9" w:rsidP="00567602">
      <w:pPr>
        <w:pStyle w:val="Header1StyleE"/>
        <w:pBdr>
          <w:bottom w:val="single" w:sz="12" w:space="1" w:color="auto"/>
        </w:pBdr>
        <w:rPr>
          <w:lang w:val="fr-CA"/>
        </w:rPr>
      </w:pPr>
      <w:bookmarkStart w:id="6" w:name="1"/>
      <w:bookmarkStart w:id="7" w:name="_Toc44595189"/>
      <w:bookmarkEnd w:id="6"/>
      <w:r w:rsidRPr="00666964">
        <w:rPr>
          <w:lang w:val="fr-CA"/>
        </w:rPr>
        <w:t xml:space="preserve">Supreme </w:t>
      </w:r>
      <w:r w:rsidR="00930B8A" w:rsidRPr="00666964">
        <w:rPr>
          <w:lang w:val="fr-CA"/>
        </w:rPr>
        <w:t>C</w:t>
      </w:r>
      <w:r w:rsidR="00271E1E" w:rsidRPr="00666964">
        <w:rPr>
          <w:lang w:val="fr-CA"/>
        </w:rPr>
        <w:t>ourt R</w:t>
      </w:r>
      <w:r w:rsidRPr="00666964">
        <w:rPr>
          <w:lang w:val="fr-CA"/>
        </w:rPr>
        <w:t>eports</w:t>
      </w:r>
      <w:r w:rsidR="00271E1E" w:rsidRPr="00666964">
        <w:rPr>
          <w:lang w:val="fr-CA"/>
        </w:rPr>
        <w:t xml:space="preserve"> / </w:t>
      </w:r>
      <w:r w:rsidR="00567602" w:rsidRPr="00666964">
        <w:rPr>
          <w:lang w:val="fr-CA"/>
        </w:rPr>
        <w:br/>
      </w:r>
      <w:r w:rsidRPr="00666964">
        <w:rPr>
          <w:lang w:val="fr-CA"/>
        </w:rPr>
        <w:t xml:space="preserve">Recueil des arrêts de la </w:t>
      </w:r>
      <w:r w:rsidR="00930B8A" w:rsidRPr="00666964">
        <w:rPr>
          <w:lang w:val="fr-CA"/>
        </w:rPr>
        <w:t>C</w:t>
      </w:r>
      <w:r w:rsidRPr="00666964">
        <w:rPr>
          <w:lang w:val="fr-CA"/>
        </w:rPr>
        <w:t>our suprême</w:t>
      </w:r>
      <w:bookmarkEnd w:id="7"/>
    </w:p>
    <w:p w:rsidR="00E80D6C" w:rsidRPr="00666964" w:rsidRDefault="00E80D6C" w:rsidP="00E80D6C">
      <w:pPr>
        <w:rPr>
          <w:sz w:val="20"/>
          <w:szCs w:val="20"/>
          <w:lang w:val="fr-CA"/>
        </w:rPr>
      </w:pPr>
    </w:p>
    <w:p w:rsidR="00E80D6C" w:rsidRPr="00666964" w:rsidRDefault="005B0CA8" w:rsidP="00E80D6C">
      <w:pPr>
        <w:rPr>
          <w:rFonts w:cs="Times New Roman"/>
          <w:sz w:val="20"/>
          <w:szCs w:val="20"/>
          <w:lang w:val="en-GB"/>
        </w:rPr>
      </w:pPr>
      <w:hyperlink r:id="rId49" w:history="1">
        <w:r w:rsidR="00E80D6C" w:rsidRPr="00666964">
          <w:rPr>
            <w:rStyle w:val="Hyperlink"/>
            <w:rFonts w:cs="Times New Roman"/>
            <w:b/>
            <w:bCs/>
            <w:sz w:val="20"/>
            <w:szCs w:val="20"/>
            <w:lang w:val="en-GB"/>
          </w:rPr>
          <w:t xml:space="preserve">Canada Supreme Court Reports: Part 1, 2019 Vol. </w:t>
        </w:r>
        <w:r w:rsidR="00F64347" w:rsidRPr="00666964">
          <w:rPr>
            <w:rStyle w:val="Hyperlink"/>
            <w:rFonts w:cs="Times New Roman"/>
            <w:b/>
            <w:bCs/>
            <w:sz w:val="20"/>
            <w:szCs w:val="20"/>
            <w:lang w:val="en-GB"/>
          </w:rPr>
          <w:t>2</w:t>
        </w:r>
      </w:hyperlink>
    </w:p>
    <w:p w:rsidR="00E80D6C" w:rsidRPr="00666964" w:rsidRDefault="00E80D6C" w:rsidP="00E80D6C">
      <w:pPr>
        <w:rPr>
          <w:sz w:val="20"/>
          <w:szCs w:val="20"/>
          <w:lang w:val="en-GB"/>
        </w:rPr>
      </w:pPr>
    </w:p>
    <w:p w:rsidR="00E80D6C" w:rsidRPr="00666964" w:rsidRDefault="005B0CA8" w:rsidP="00E80D6C">
      <w:pPr>
        <w:rPr>
          <w:rFonts w:cs="Times New Roman"/>
          <w:b/>
          <w:bCs/>
          <w:sz w:val="20"/>
          <w:szCs w:val="20"/>
          <w:lang w:val="fr-CA"/>
        </w:rPr>
      </w:pPr>
      <w:hyperlink r:id="rId50" w:history="1">
        <w:r w:rsidR="00E80D6C" w:rsidRPr="00666964">
          <w:rPr>
            <w:rStyle w:val="Hyperlink"/>
            <w:rFonts w:cs="Times New Roman"/>
            <w:b/>
            <w:bCs/>
            <w:sz w:val="20"/>
            <w:szCs w:val="20"/>
            <w:lang w:val="fr-CA"/>
          </w:rPr>
          <w:t xml:space="preserve">Recueil des arrêts de la Cour suprême du Canada : 1er cahier, 2019 Vol. </w:t>
        </w:r>
        <w:r w:rsidR="00F64347" w:rsidRPr="00666964">
          <w:rPr>
            <w:rStyle w:val="Hyperlink"/>
            <w:rFonts w:cs="Times New Roman"/>
            <w:b/>
            <w:bCs/>
            <w:sz w:val="20"/>
            <w:szCs w:val="20"/>
            <w:lang w:val="fr-CA"/>
          </w:rPr>
          <w:t>2</w:t>
        </w:r>
      </w:hyperlink>
    </w:p>
    <w:p w:rsidR="00E80D6C" w:rsidRPr="00666964" w:rsidRDefault="00E80D6C" w:rsidP="00E80D6C">
      <w:pPr>
        <w:rPr>
          <w:sz w:val="20"/>
          <w:szCs w:val="20"/>
          <w:lang w:val="fr-CA"/>
        </w:rPr>
      </w:pPr>
    </w:p>
    <w:p w:rsidR="00C01FCB" w:rsidRPr="00666964" w:rsidRDefault="005B0CA8" w:rsidP="00A956D3">
      <w:pPr>
        <w:rPr>
          <w:sz w:val="20"/>
          <w:szCs w:val="20"/>
          <w:lang w:val="fr-CA"/>
        </w:rPr>
      </w:pPr>
      <w:r>
        <w:rPr>
          <w:sz w:val="20"/>
          <w:szCs w:val="20"/>
        </w:rPr>
        <w:pict>
          <v:rect id="_x0000_i1049" style="width:2in;height:1pt" o:hrpct="0" o:hrstd="t" o:hrnoshade="t" o:hr="t" fillcolor="black [3213]" stroked="f"/>
        </w:pict>
      </w:r>
    </w:p>
    <w:p w:rsidR="00125B8F" w:rsidRPr="00666964" w:rsidRDefault="00125B8F" w:rsidP="00A956D3">
      <w:pPr>
        <w:rPr>
          <w:sz w:val="20"/>
          <w:szCs w:val="20"/>
          <w:lang w:val="fr-CA"/>
        </w:rPr>
      </w:pPr>
    </w:p>
    <w:p w:rsidR="00125B8F" w:rsidRPr="00666964" w:rsidRDefault="00125B8F" w:rsidP="00A956D3">
      <w:pPr>
        <w:rPr>
          <w:sz w:val="20"/>
          <w:szCs w:val="20"/>
          <w:lang w:val="fr-CA"/>
        </w:rPr>
      </w:pPr>
    </w:p>
    <w:p w:rsidR="006B6926" w:rsidRPr="00666964" w:rsidRDefault="006B6926" w:rsidP="00782AE4">
      <w:pPr>
        <w:jc w:val="both"/>
        <w:rPr>
          <w:sz w:val="20"/>
          <w:szCs w:val="20"/>
          <w:lang w:val="fr-CA"/>
        </w:rPr>
      </w:pPr>
    </w:p>
    <w:p w:rsidR="006B6926" w:rsidRPr="00666964" w:rsidRDefault="006B6926" w:rsidP="00782AE4">
      <w:pPr>
        <w:jc w:val="both"/>
        <w:rPr>
          <w:sz w:val="20"/>
          <w:szCs w:val="20"/>
          <w:lang w:val="fr-CA"/>
        </w:rPr>
        <w:sectPr w:rsidR="006B6926" w:rsidRPr="00666964" w:rsidSect="006B6926">
          <w:headerReference w:type="default" r:id="rId51"/>
          <w:footerReference w:type="default" r:id="rId52"/>
          <w:headerReference w:type="first" r:id="rId53"/>
          <w:footerReference w:type="first" r:id="rId54"/>
          <w:pgSz w:w="12240" w:h="15840"/>
          <w:pgMar w:top="720" w:right="965" w:bottom="1080" w:left="1656" w:header="720" w:footer="965" w:gutter="0"/>
          <w:cols w:space="720"/>
          <w:titlePg/>
          <w:docGrid w:linePitch="326"/>
        </w:sectPr>
      </w:pPr>
    </w:p>
    <w:p w:rsidR="004B2E86" w:rsidRPr="00666964" w:rsidRDefault="004B2E86" w:rsidP="004B2E86">
      <w:pPr>
        <w:tabs>
          <w:tab w:val="center" w:pos="5220"/>
          <w:tab w:val="right" w:pos="10800"/>
        </w:tabs>
        <w:jc w:val="center"/>
        <w:rPr>
          <w:rFonts w:ascii="Arial" w:hAnsi="Arial" w:cs="Arial"/>
          <w:sz w:val="16"/>
          <w:szCs w:val="18"/>
          <w:lang w:val="fr-CA"/>
        </w:rPr>
      </w:pPr>
      <w:bookmarkStart w:id="8" w:name="QuickMark"/>
      <w:bookmarkEnd w:id="8"/>
      <w:r w:rsidRPr="00666964">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666964"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DECEMBER – DÉCEMBRE</w:t>
            </w:r>
          </w:p>
        </w:tc>
      </w:tr>
      <w:tr w:rsidR="004B2E86" w:rsidRPr="00666964"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4"/>
                <w:szCs w:val="14"/>
                <w:lang w:val="fr-FR"/>
              </w:rPr>
            </w:pPr>
            <w:r w:rsidRPr="00666964">
              <w:rPr>
                <w:rFonts w:ascii="Arial" w:hAnsi="Arial" w:cs="Arial"/>
                <w:b/>
                <w:sz w:val="14"/>
                <w:szCs w:val="14"/>
                <w:lang w:val="fr-FR"/>
              </w:rPr>
              <w:t>S</w:t>
            </w:r>
          </w:p>
          <w:p w:rsidR="004B2E86" w:rsidRPr="00666964" w:rsidRDefault="004B2E86" w:rsidP="00691D1D">
            <w:pPr>
              <w:tabs>
                <w:tab w:val="center" w:pos="5220"/>
                <w:tab w:val="right" w:pos="10440"/>
              </w:tabs>
              <w:jc w:val="center"/>
              <w:rPr>
                <w:rFonts w:ascii="Arial" w:hAnsi="Arial" w:cs="Arial"/>
                <w:b/>
                <w:sz w:val="14"/>
                <w:szCs w:val="14"/>
                <w:lang w:val="fr-FR"/>
              </w:rPr>
            </w:pPr>
            <w:r w:rsidRPr="00666964">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T</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W</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T</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F</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T</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W</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T</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F</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S</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M</w:t>
            </w:r>
          </w:p>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lang w:val="fr-FR"/>
              </w:rPr>
            </w:pPr>
            <w:r w:rsidRPr="00666964">
              <w:rPr>
                <w:rFonts w:ascii="Arial" w:hAnsi="Arial" w:cs="Arial"/>
                <w:b/>
                <w:sz w:val="13"/>
                <w:szCs w:val="13"/>
                <w:lang w:val="fr-FR"/>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r>
      <w:tr w:rsidR="004B2E86" w:rsidRPr="0066696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RH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r>
      <w:tr w:rsidR="004B2E86" w:rsidRPr="00666964"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YK</w:t>
            </w:r>
          </w:p>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r>
      <w:tr w:rsidR="004B2E86" w:rsidRPr="00666964"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r>
      <w:tr w:rsidR="004B2E86" w:rsidRPr="00666964"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r>
      <w:tr w:rsidR="004B2E86" w:rsidRPr="00666964"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r>
    </w:tbl>
    <w:p w:rsidR="004B2E86" w:rsidRPr="00666964" w:rsidRDefault="004B2E86" w:rsidP="004B2E86">
      <w:pPr>
        <w:tabs>
          <w:tab w:val="center" w:pos="5220"/>
          <w:tab w:val="right" w:pos="10440"/>
        </w:tabs>
        <w:jc w:val="center"/>
        <w:rPr>
          <w:rFonts w:ascii="Arial" w:hAnsi="Arial" w:cs="Arial"/>
          <w:szCs w:val="28"/>
        </w:rPr>
      </w:pPr>
      <w:r w:rsidRPr="00666964">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66696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MARCH – MARS</w:t>
            </w:r>
          </w:p>
        </w:tc>
      </w:tr>
      <w:tr w:rsidR="004B2E86" w:rsidRPr="0066696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r>
      <w:tr w:rsidR="004B2E86" w:rsidRPr="0066696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r>
      <w:tr w:rsidR="004B2E86" w:rsidRPr="0066696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JUNE – JUIN</w:t>
            </w:r>
          </w:p>
        </w:tc>
      </w:tr>
      <w:tr w:rsidR="004B2E86" w:rsidRPr="0066696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GO</w:t>
            </w:r>
          </w:p>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GO</w:t>
            </w:r>
          </w:p>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CC</w:t>
            </w:r>
          </w:p>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GO</w:t>
            </w:r>
          </w:p>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GO</w:t>
            </w:r>
          </w:p>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r>
      <w:tr w:rsidR="004B2E86" w:rsidRPr="00666964"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rPr>
                <w:rFonts w:ascii="Arial" w:hAnsi="Arial" w:cs="Arial"/>
                <w:sz w:val="13"/>
                <w:szCs w:val="13"/>
              </w:rPr>
            </w:pPr>
            <w:r w:rsidRPr="00666964">
              <w:rPr>
                <w:rFonts w:ascii="Arial" w:hAnsi="Arial" w:cs="Arial"/>
                <w:sz w:val="13"/>
                <w:szCs w:val="13"/>
              </w:rPr>
              <w:t xml:space="preserve"> 24 </w:t>
            </w:r>
            <w:r w:rsidRPr="00666964">
              <w:rPr>
                <w:rFonts w:ascii="Arial" w:hAnsi="Arial" w:cs="Arial"/>
                <w:sz w:val="13"/>
                <w:szCs w:val="13"/>
                <w:lang w:val="en-US"/>
              </w:rPr>
              <w:t>/</w:t>
            </w:r>
          </w:p>
          <w:p w:rsidR="004B2E86" w:rsidRPr="00666964" w:rsidRDefault="004B2E86" w:rsidP="00691D1D">
            <w:pPr>
              <w:jc w:val="right"/>
              <w:rPr>
                <w:rFonts w:ascii="Arial" w:hAnsi="Arial" w:cs="Arial"/>
                <w:sz w:val="13"/>
                <w:szCs w:val="13"/>
              </w:rPr>
            </w:pPr>
            <w:r w:rsidRPr="00666964">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r>
      <w:tr w:rsidR="004B2E86" w:rsidRPr="00666964"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SEPTEMBER – SEPTEMBRE</w:t>
            </w:r>
          </w:p>
        </w:tc>
      </w:tr>
      <w:tr w:rsidR="004B2E86" w:rsidRPr="00666964"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6"/>
                <w:szCs w:val="16"/>
              </w:rPr>
            </w:pPr>
            <w:r w:rsidRPr="00666964">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666964"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W</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T</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F</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p w:rsidR="004B2E86" w:rsidRPr="00666964" w:rsidRDefault="004B2E86" w:rsidP="00691D1D">
            <w:pPr>
              <w:tabs>
                <w:tab w:val="center" w:pos="5220"/>
                <w:tab w:val="right" w:pos="10440"/>
              </w:tabs>
              <w:jc w:val="center"/>
              <w:rPr>
                <w:rFonts w:ascii="Arial" w:hAnsi="Arial" w:cs="Arial"/>
                <w:b/>
                <w:sz w:val="13"/>
                <w:szCs w:val="13"/>
              </w:rPr>
            </w:pPr>
            <w:r w:rsidRPr="00666964">
              <w:rPr>
                <w:rFonts w:ascii="Arial" w:hAnsi="Arial" w:cs="Arial"/>
                <w:b/>
                <w:sz w:val="13"/>
                <w:szCs w:val="13"/>
              </w:rPr>
              <w:t>S</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r>
      <w:tr w:rsidR="004B2E86" w:rsidRPr="00666964"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H</w:t>
            </w:r>
          </w:p>
          <w:p w:rsidR="004B2E86" w:rsidRPr="00666964" w:rsidRDefault="004B2E86" w:rsidP="00691D1D">
            <w:pPr>
              <w:jc w:val="center"/>
              <w:rPr>
                <w:rFonts w:ascii="Arial" w:hAnsi="Arial" w:cs="Arial"/>
                <w:sz w:val="13"/>
                <w:szCs w:val="13"/>
              </w:rPr>
            </w:pPr>
            <w:r w:rsidRPr="00666964">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RH</w:t>
            </w:r>
          </w:p>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r>
      <w:tr w:rsidR="004B2E86" w:rsidRPr="00666964"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RH</w:t>
            </w:r>
          </w:p>
          <w:p w:rsidR="004B2E86" w:rsidRPr="00666964" w:rsidRDefault="004B2E86" w:rsidP="00691D1D">
            <w:pPr>
              <w:jc w:val="center"/>
              <w:rPr>
                <w:rFonts w:ascii="Arial" w:hAnsi="Arial" w:cs="Arial"/>
                <w:sz w:val="13"/>
                <w:szCs w:val="13"/>
              </w:rPr>
            </w:pPr>
            <w:r w:rsidRPr="00666964">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r>
      <w:tr w:rsidR="004B2E86" w:rsidRPr="00666964"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rPr>
                <w:rFonts w:ascii="Arial" w:hAnsi="Arial" w:cs="Arial"/>
                <w:sz w:val="13"/>
                <w:szCs w:val="13"/>
              </w:rPr>
            </w:pPr>
            <w:r w:rsidRPr="00666964">
              <w:rPr>
                <w:rFonts w:ascii="Arial" w:hAnsi="Arial" w:cs="Arial"/>
                <w:sz w:val="13"/>
                <w:szCs w:val="13"/>
              </w:rPr>
              <w:t> 23 /</w:t>
            </w:r>
          </w:p>
          <w:p w:rsidR="004B2E86" w:rsidRPr="00666964" w:rsidRDefault="004B2E86" w:rsidP="00691D1D">
            <w:pPr>
              <w:jc w:val="right"/>
              <w:rPr>
                <w:rFonts w:ascii="Arial" w:hAnsi="Arial" w:cs="Arial"/>
                <w:sz w:val="13"/>
                <w:szCs w:val="13"/>
              </w:rPr>
            </w:pPr>
            <w:r w:rsidRPr="00666964">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rPr>
                <w:rFonts w:ascii="Arial" w:hAnsi="Arial" w:cs="Arial"/>
                <w:sz w:val="13"/>
                <w:szCs w:val="13"/>
              </w:rPr>
            </w:pPr>
            <w:r w:rsidRPr="00666964">
              <w:rPr>
                <w:rFonts w:ascii="Arial" w:hAnsi="Arial" w:cs="Arial"/>
                <w:sz w:val="13"/>
                <w:szCs w:val="13"/>
              </w:rPr>
              <w:t> 24 /</w:t>
            </w:r>
          </w:p>
          <w:p w:rsidR="004B2E86" w:rsidRPr="00666964" w:rsidRDefault="004B2E86" w:rsidP="00691D1D">
            <w:pPr>
              <w:jc w:val="right"/>
              <w:rPr>
                <w:rFonts w:ascii="Arial" w:hAnsi="Arial" w:cs="Arial"/>
                <w:sz w:val="13"/>
                <w:szCs w:val="13"/>
              </w:rPr>
            </w:pPr>
            <w:r w:rsidRPr="00666964">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666964"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b/>
                <w:sz w:val="13"/>
                <w:szCs w:val="13"/>
              </w:rPr>
            </w:pPr>
            <w:r w:rsidRPr="00666964">
              <w:rPr>
                <w:rFonts w:ascii="Arial" w:hAnsi="Arial" w:cs="Arial"/>
                <w:b/>
                <w:sz w:val="13"/>
                <w:szCs w:val="13"/>
              </w:rPr>
              <w:t>YK</w:t>
            </w:r>
          </w:p>
          <w:p w:rsidR="004B2E86" w:rsidRPr="00666964" w:rsidRDefault="004B2E86" w:rsidP="00691D1D">
            <w:pPr>
              <w:jc w:val="center"/>
              <w:rPr>
                <w:rFonts w:ascii="Arial" w:hAnsi="Arial" w:cs="Arial"/>
                <w:sz w:val="13"/>
                <w:szCs w:val="13"/>
              </w:rPr>
            </w:pPr>
            <w:r w:rsidRPr="00666964">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666964" w:rsidRDefault="004B2E86" w:rsidP="00691D1D">
            <w:pPr>
              <w:jc w:val="center"/>
              <w:rPr>
                <w:rFonts w:ascii="Arial" w:hAnsi="Arial" w:cs="Arial"/>
                <w:sz w:val="13"/>
                <w:szCs w:val="13"/>
              </w:rPr>
            </w:pPr>
            <w:r w:rsidRPr="00666964">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666964" w:rsidRDefault="004B2E86" w:rsidP="00691D1D">
            <w:pPr>
              <w:jc w:val="center"/>
              <w:rPr>
                <w:rFonts w:ascii="Arial" w:hAnsi="Arial" w:cs="Arial"/>
                <w:sz w:val="13"/>
                <w:szCs w:val="13"/>
              </w:rPr>
            </w:pPr>
          </w:p>
        </w:tc>
      </w:tr>
    </w:tbl>
    <w:p w:rsidR="004B2E86" w:rsidRPr="00666964"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666964" w:rsidTr="00691D1D">
        <w:tc>
          <w:tcPr>
            <w:tcW w:w="1890" w:type="dxa"/>
            <w:tcBorders>
              <w:top w:val="nil"/>
              <w:left w:val="nil"/>
              <w:bottom w:val="nil"/>
              <w:right w:val="single" w:sz="4" w:space="0" w:color="000000" w:themeColor="text1"/>
            </w:tcBorders>
            <w:vAlign w:val="center"/>
            <w:hideMark/>
          </w:tcPr>
          <w:p w:rsidR="004B2E86" w:rsidRPr="00666964" w:rsidRDefault="004B2E86" w:rsidP="00691D1D">
            <w:pPr>
              <w:rPr>
                <w:rFonts w:ascii="Arial" w:hAnsi="Arial" w:cs="Arial"/>
                <w:b/>
                <w:sz w:val="14"/>
                <w:szCs w:val="14"/>
              </w:rPr>
            </w:pPr>
            <w:r w:rsidRPr="00666964">
              <w:rPr>
                <w:rFonts w:ascii="Arial" w:hAnsi="Arial" w:cs="Arial"/>
                <w:b/>
                <w:sz w:val="14"/>
                <w:szCs w:val="14"/>
              </w:rPr>
              <w:t>Sitting of the Court /</w:t>
            </w:r>
          </w:p>
          <w:p w:rsidR="004B2E86" w:rsidRPr="00666964" w:rsidRDefault="004B2E86" w:rsidP="00691D1D">
            <w:pPr>
              <w:rPr>
                <w:rFonts w:ascii="Arial" w:hAnsi="Arial" w:cs="Arial"/>
                <w:b/>
                <w:sz w:val="14"/>
                <w:szCs w:val="14"/>
              </w:rPr>
            </w:pPr>
            <w:r w:rsidRPr="00666964">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666964"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666964" w:rsidRDefault="004B2E86" w:rsidP="00691D1D">
            <w:pPr>
              <w:tabs>
                <w:tab w:val="left" w:pos="203"/>
              </w:tabs>
              <w:spacing w:after="120"/>
              <w:rPr>
                <w:rFonts w:ascii="Arial" w:hAnsi="Arial" w:cs="Arial"/>
                <w:b/>
                <w:sz w:val="14"/>
                <w:szCs w:val="14"/>
                <w:lang w:val="fr-CA"/>
              </w:rPr>
            </w:pPr>
            <w:r w:rsidRPr="00666964">
              <w:rPr>
                <w:rFonts w:ascii="Arial" w:hAnsi="Arial" w:cs="Arial"/>
                <w:b/>
                <w:sz w:val="14"/>
                <w:szCs w:val="14"/>
                <w:lang w:val="fr-CA"/>
              </w:rPr>
              <w:t>18</w:t>
            </w:r>
            <w:r w:rsidRPr="00666964">
              <w:rPr>
                <w:rFonts w:ascii="Arial" w:hAnsi="Arial" w:cs="Arial"/>
                <w:b/>
                <w:sz w:val="14"/>
                <w:szCs w:val="14"/>
                <w:lang w:val="fr-CA"/>
              </w:rPr>
              <w:tab/>
              <w:t xml:space="preserve"> </w:t>
            </w:r>
            <w:proofErr w:type="spellStart"/>
            <w:r w:rsidRPr="00666964">
              <w:rPr>
                <w:rFonts w:ascii="Arial" w:hAnsi="Arial" w:cs="Arial"/>
                <w:b/>
                <w:sz w:val="14"/>
                <w:szCs w:val="14"/>
                <w:lang w:val="fr-CA"/>
              </w:rPr>
              <w:t>sitting</w:t>
            </w:r>
            <w:proofErr w:type="spellEnd"/>
            <w:r w:rsidRPr="00666964">
              <w:rPr>
                <w:rFonts w:ascii="Arial" w:hAnsi="Arial" w:cs="Arial"/>
                <w:b/>
                <w:sz w:val="14"/>
                <w:szCs w:val="14"/>
                <w:lang w:val="fr-CA"/>
              </w:rPr>
              <w:t xml:space="preserve"> </w:t>
            </w:r>
            <w:proofErr w:type="spellStart"/>
            <w:r w:rsidRPr="00666964">
              <w:rPr>
                <w:rFonts w:ascii="Arial" w:hAnsi="Arial" w:cs="Arial"/>
                <w:b/>
                <w:sz w:val="14"/>
                <w:szCs w:val="14"/>
                <w:lang w:val="fr-CA"/>
              </w:rPr>
              <w:t>weeks</w:t>
            </w:r>
            <w:proofErr w:type="spellEnd"/>
            <w:r w:rsidRPr="00666964">
              <w:rPr>
                <w:rFonts w:ascii="Arial" w:hAnsi="Arial" w:cs="Arial"/>
                <w:b/>
                <w:sz w:val="14"/>
                <w:szCs w:val="14"/>
                <w:lang w:val="fr-CA"/>
              </w:rPr>
              <w:t xml:space="preserve"> / semaines séances de la Cour</w:t>
            </w:r>
          </w:p>
          <w:p w:rsidR="004B2E86" w:rsidRPr="00666964" w:rsidRDefault="004B2E86" w:rsidP="00691D1D">
            <w:pPr>
              <w:tabs>
                <w:tab w:val="left" w:pos="203"/>
              </w:tabs>
              <w:rPr>
                <w:rFonts w:ascii="Arial" w:hAnsi="Arial" w:cs="Arial"/>
                <w:b/>
                <w:sz w:val="14"/>
                <w:szCs w:val="14"/>
                <w:lang w:val="fr-CA"/>
              </w:rPr>
            </w:pPr>
            <w:r w:rsidRPr="00666964">
              <w:rPr>
                <w:rFonts w:ascii="Arial" w:hAnsi="Arial" w:cs="Arial"/>
                <w:b/>
                <w:sz w:val="14"/>
                <w:szCs w:val="14"/>
                <w:lang w:val="fr-CA"/>
              </w:rPr>
              <w:t>86</w:t>
            </w:r>
            <w:r w:rsidRPr="00666964">
              <w:rPr>
                <w:rFonts w:ascii="Arial" w:hAnsi="Arial" w:cs="Arial"/>
                <w:b/>
                <w:sz w:val="14"/>
                <w:szCs w:val="14"/>
                <w:lang w:val="fr-CA"/>
              </w:rPr>
              <w:tab/>
              <w:t xml:space="preserve"> </w:t>
            </w:r>
            <w:proofErr w:type="spellStart"/>
            <w:r w:rsidRPr="00666964">
              <w:rPr>
                <w:rFonts w:ascii="Arial" w:hAnsi="Arial" w:cs="Arial"/>
                <w:b/>
                <w:sz w:val="14"/>
                <w:szCs w:val="14"/>
                <w:lang w:val="fr-CA"/>
              </w:rPr>
              <w:t>sitting</w:t>
            </w:r>
            <w:proofErr w:type="spellEnd"/>
            <w:r w:rsidRPr="00666964">
              <w:rPr>
                <w:rFonts w:ascii="Arial" w:hAnsi="Arial" w:cs="Arial"/>
                <w:b/>
                <w:sz w:val="14"/>
                <w:szCs w:val="14"/>
                <w:lang w:val="fr-CA"/>
              </w:rPr>
              <w:t xml:space="preserve"> </w:t>
            </w:r>
            <w:proofErr w:type="spellStart"/>
            <w:r w:rsidRPr="00666964">
              <w:rPr>
                <w:rFonts w:ascii="Arial" w:hAnsi="Arial" w:cs="Arial"/>
                <w:b/>
                <w:sz w:val="14"/>
                <w:szCs w:val="14"/>
                <w:lang w:val="fr-CA"/>
              </w:rPr>
              <w:t>days</w:t>
            </w:r>
            <w:proofErr w:type="spellEnd"/>
            <w:r w:rsidRPr="00666964">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666964" w:rsidRDefault="004B2E86" w:rsidP="00691D1D">
            <w:pPr>
              <w:spacing w:after="120"/>
              <w:rPr>
                <w:rFonts w:ascii="Arial" w:hAnsi="Arial" w:cs="Arial"/>
                <w:b/>
                <w:sz w:val="14"/>
                <w:szCs w:val="14"/>
                <w:lang w:val="fr-FR"/>
              </w:rPr>
            </w:pPr>
            <w:r w:rsidRPr="00666964">
              <w:rPr>
                <w:rFonts w:ascii="Arial" w:hAnsi="Arial" w:cs="Arial"/>
                <w:b/>
                <w:sz w:val="14"/>
                <w:szCs w:val="14"/>
                <w:lang w:val="fr-FR"/>
              </w:rPr>
              <w:t xml:space="preserve">Rosh </w:t>
            </w:r>
            <w:proofErr w:type="spellStart"/>
            <w:r w:rsidRPr="00666964">
              <w:rPr>
                <w:rFonts w:ascii="Arial" w:hAnsi="Arial" w:cs="Arial"/>
                <w:b/>
                <w:sz w:val="14"/>
                <w:szCs w:val="14"/>
                <w:lang w:val="fr-FR"/>
              </w:rPr>
              <w:t>Hashanah</w:t>
            </w:r>
            <w:proofErr w:type="spellEnd"/>
            <w:r w:rsidRPr="00666964">
              <w:rPr>
                <w:rFonts w:ascii="Arial" w:hAnsi="Arial" w:cs="Arial"/>
                <w:b/>
                <w:sz w:val="14"/>
                <w:szCs w:val="14"/>
                <w:lang w:val="fr-FR"/>
              </w:rPr>
              <w:t xml:space="preserve"> / Nouvel An juif</w:t>
            </w:r>
          </w:p>
          <w:p w:rsidR="004B2E86" w:rsidRPr="00666964" w:rsidRDefault="004B2E86" w:rsidP="00691D1D">
            <w:pPr>
              <w:spacing w:after="120"/>
              <w:rPr>
                <w:rFonts w:ascii="Arial" w:hAnsi="Arial" w:cs="Arial"/>
                <w:b/>
                <w:sz w:val="14"/>
                <w:szCs w:val="14"/>
                <w:lang w:val="fr-CA"/>
              </w:rPr>
            </w:pPr>
            <w:r w:rsidRPr="00666964">
              <w:rPr>
                <w:rFonts w:ascii="Arial" w:hAnsi="Arial" w:cs="Arial"/>
                <w:b/>
                <w:sz w:val="14"/>
                <w:szCs w:val="14"/>
                <w:lang w:val="fr-FR"/>
              </w:rPr>
              <w:t xml:space="preserve">Yom </w:t>
            </w:r>
            <w:proofErr w:type="spellStart"/>
            <w:r w:rsidRPr="00666964">
              <w:rPr>
                <w:rFonts w:ascii="Arial" w:hAnsi="Arial" w:cs="Arial"/>
                <w:b/>
                <w:sz w:val="14"/>
                <w:szCs w:val="14"/>
                <w:lang w:val="fr-FR"/>
              </w:rPr>
              <w:t>Kippur</w:t>
            </w:r>
            <w:proofErr w:type="spellEnd"/>
            <w:r w:rsidRPr="00666964">
              <w:rPr>
                <w:rFonts w:ascii="Arial" w:hAnsi="Arial" w:cs="Arial"/>
                <w:b/>
                <w:sz w:val="14"/>
                <w:szCs w:val="14"/>
                <w:lang w:val="fr-FR"/>
              </w:rPr>
              <w:t xml:space="preserve"> / Yom Kippour</w:t>
            </w:r>
          </w:p>
        </w:tc>
        <w:tc>
          <w:tcPr>
            <w:tcW w:w="567" w:type="dxa"/>
            <w:hideMark/>
          </w:tcPr>
          <w:p w:rsidR="004B2E86" w:rsidRPr="00666964" w:rsidRDefault="004B2E86" w:rsidP="00691D1D">
            <w:pPr>
              <w:spacing w:after="120"/>
              <w:jc w:val="center"/>
              <w:rPr>
                <w:rFonts w:ascii="Arial" w:hAnsi="Arial" w:cs="Arial"/>
                <w:b/>
                <w:sz w:val="14"/>
                <w:szCs w:val="14"/>
                <w:lang w:val="fr-CA"/>
              </w:rPr>
            </w:pPr>
            <w:r w:rsidRPr="00666964">
              <w:rPr>
                <w:rFonts w:ascii="Arial" w:hAnsi="Arial" w:cs="Arial"/>
                <w:b/>
                <w:sz w:val="14"/>
                <w:szCs w:val="14"/>
                <w:lang w:val="fr-CA"/>
              </w:rPr>
              <w:t>RH</w:t>
            </w:r>
          </w:p>
          <w:p w:rsidR="004B2E86" w:rsidRPr="00666964" w:rsidRDefault="004B2E86" w:rsidP="00691D1D">
            <w:pPr>
              <w:jc w:val="center"/>
              <w:rPr>
                <w:rFonts w:ascii="Arial" w:hAnsi="Arial" w:cs="Arial"/>
                <w:b/>
                <w:sz w:val="14"/>
                <w:szCs w:val="14"/>
                <w:lang w:val="fr-CA"/>
              </w:rPr>
            </w:pPr>
            <w:r w:rsidRPr="00666964">
              <w:rPr>
                <w:rFonts w:ascii="Arial" w:hAnsi="Arial" w:cs="Arial"/>
                <w:b/>
                <w:sz w:val="14"/>
                <w:szCs w:val="14"/>
                <w:lang w:val="fr-CA"/>
              </w:rPr>
              <w:t>YK</w:t>
            </w:r>
          </w:p>
        </w:tc>
      </w:tr>
      <w:tr w:rsidR="004B2E86" w:rsidRPr="00666964" w:rsidTr="00691D1D">
        <w:tc>
          <w:tcPr>
            <w:tcW w:w="1890" w:type="dxa"/>
            <w:tcBorders>
              <w:top w:val="nil"/>
              <w:left w:val="nil"/>
              <w:bottom w:val="nil"/>
              <w:right w:val="double" w:sz="4" w:space="0" w:color="auto"/>
            </w:tcBorders>
            <w:vAlign w:val="center"/>
            <w:hideMark/>
          </w:tcPr>
          <w:p w:rsidR="004B2E86" w:rsidRPr="00666964" w:rsidRDefault="004B2E86" w:rsidP="00691D1D">
            <w:pPr>
              <w:spacing w:before="60"/>
              <w:rPr>
                <w:rFonts w:ascii="Arial" w:hAnsi="Arial" w:cs="Arial"/>
                <w:b/>
                <w:sz w:val="14"/>
                <w:szCs w:val="14"/>
                <w:lang w:val="fr-CA"/>
              </w:rPr>
            </w:pPr>
            <w:r w:rsidRPr="00666964">
              <w:rPr>
                <w:rFonts w:ascii="Arial" w:hAnsi="Arial" w:cs="Arial"/>
                <w:b/>
                <w:sz w:val="14"/>
                <w:szCs w:val="14"/>
                <w:lang w:val="fr-CA"/>
              </w:rPr>
              <w:t xml:space="preserve">Court </w:t>
            </w:r>
            <w:proofErr w:type="spellStart"/>
            <w:r w:rsidRPr="00666964">
              <w:rPr>
                <w:rFonts w:ascii="Arial" w:hAnsi="Arial" w:cs="Arial"/>
                <w:b/>
                <w:sz w:val="14"/>
                <w:szCs w:val="14"/>
                <w:lang w:val="fr-CA"/>
              </w:rPr>
              <w:t>conference</w:t>
            </w:r>
            <w:proofErr w:type="spellEnd"/>
            <w:r w:rsidRPr="00666964">
              <w:rPr>
                <w:rFonts w:ascii="Arial" w:hAnsi="Arial" w:cs="Arial"/>
                <w:b/>
                <w:sz w:val="14"/>
                <w:szCs w:val="14"/>
                <w:lang w:val="fr-CA"/>
              </w:rPr>
              <w:t xml:space="preserve"> /</w:t>
            </w:r>
          </w:p>
          <w:p w:rsidR="004B2E86" w:rsidRPr="00666964" w:rsidRDefault="004B2E86" w:rsidP="00691D1D">
            <w:pPr>
              <w:rPr>
                <w:rFonts w:ascii="Arial" w:hAnsi="Arial" w:cs="Arial"/>
                <w:b/>
                <w:sz w:val="14"/>
                <w:szCs w:val="14"/>
                <w:lang w:val="fr-CA"/>
              </w:rPr>
            </w:pPr>
            <w:r w:rsidRPr="00666964">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666964" w:rsidRDefault="004B2E86" w:rsidP="00691D1D">
            <w:pPr>
              <w:jc w:val="center"/>
              <w:rPr>
                <w:rFonts w:ascii="Arial" w:hAnsi="Arial" w:cs="Arial"/>
                <w:b/>
                <w:sz w:val="14"/>
                <w:szCs w:val="14"/>
                <w:lang w:val="fr-FR"/>
              </w:rPr>
            </w:pPr>
            <w:r w:rsidRPr="00666964">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666964" w:rsidRDefault="004B2E86" w:rsidP="00691D1D">
            <w:pPr>
              <w:tabs>
                <w:tab w:val="left" w:pos="203"/>
              </w:tabs>
              <w:spacing w:before="120"/>
              <w:rPr>
                <w:rFonts w:ascii="Arial" w:hAnsi="Arial" w:cs="Arial"/>
                <w:b/>
                <w:sz w:val="14"/>
                <w:szCs w:val="14"/>
                <w:lang w:val="fr-CA"/>
              </w:rPr>
            </w:pPr>
            <w:r w:rsidRPr="00666964">
              <w:rPr>
                <w:rFonts w:ascii="Arial" w:hAnsi="Arial" w:cs="Arial"/>
                <w:b/>
                <w:sz w:val="14"/>
                <w:szCs w:val="14"/>
                <w:lang w:val="fr-CA"/>
              </w:rPr>
              <w:t>9</w:t>
            </w:r>
            <w:r w:rsidRPr="00666964">
              <w:rPr>
                <w:rFonts w:ascii="Arial" w:hAnsi="Arial" w:cs="Arial"/>
                <w:b/>
                <w:sz w:val="14"/>
                <w:szCs w:val="14"/>
                <w:lang w:val="fr-CA"/>
              </w:rPr>
              <w:tab/>
              <w:t xml:space="preserve">Court </w:t>
            </w:r>
            <w:proofErr w:type="spellStart"/>
            <w:r w:rsidRPr="00666964">
              <w:rPr>
                <w:rFonts w:ascii="Arial" w:hAnsi="Arial" w:cs="Arial"/>
                <w:b/>
                <w:sz w:val="14"/>
                <w:szCs w:val="14"/>
                <w:lang w:val="fr-CA"/>
              </w:rPr>
              <w:t>conference</w:t>
            </w:r>
            <w:proofErr w:type="spellEnd"/>
            <w:r w:rsidRPr="00666964">
              <w:rPr>
                <w:rFonts w:ascii="Arial" w:hAnsi="Arial" w:cs="Arial"/>
                <w:b/>
                <w:sz w:val="14"/>
                <w:szCs w:val="14"/>
                <w:lang w:val="fr-CA"/>
              </w:rPr>
              <w:t xml:space="preserve"> </w:t>
            </w:r>
            <w:proofErr w:type="spellStart"/>
            <w:r w:rsidRPr="00666964">
              <w:rPr>
                <w:rFonts w:ascii="Arial" w:hAnsi="Arial" w:cs="Arial"/>
                <w:b/>
                <w:sz w:val="14"/>
                <w:szCs w:val="14"/>
                <w:lang w:val="fr-CA"/>
              </w:rPr>
              <w:t>days</w:t>
            </w:r>
            <w:proofErr w:type="spellEnd"/>
            <w:r w:rsidRPr="00666964">
              <w:rPr>
                <w:rFonts w:ascii="Arial" w:hAnsi="Arial" w:cs="Arial"/>
                <w:b/>
                <w:sz w:val="14"/>
                <w:szCs w:val="14"/>
                <w:lang w:val="fr-CA"/>
              </w:rPr>
              <w:t xml:space="preserve"> /</w:t>
            </w:r>
          </w:p>
          <w:p w:rsidR="004B2E86" w:rsidRPr="00666964" w:rsidRDefault="004B2E86" w:rsidP="00691D1D">
            <w:pPr>
              <w:tabs>
                <w:tab w:val="left" w:pos="203"/>
              </w:tabs>
              <w:rPr>
                <w:rFonts w:ascii="Arial" w:hAnsi="Arial" w:cs="Arial"/>
                <w:b/>
                <w:sz w:val="14"/>
                <w:szCs w:val="14"/>
                <w:lang w:val="fr-CA"/>
              </w:rPr>
            </w:pPr>
            <w:r w:rsidRPr="00666964">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666964" w:rsidRDefault="004B2E86" w:rsidP="00691D1D">
            <w:pPr>
              <w:rPr>
                <w:rFonts w:ascii="Arial" w:hAnsi="Arial" w:cs="Arial"/>
                <w:b/>
                <w:sz w:val="14"/>
                <w:szCs w:val="14"/>
                <w:lang w:val="en-US"/>
              </w:rPr>
            </w:pPr>
            <w:r w:rsidRPr="00666964">
              <w:rPr>
                <w:rFonts w:ascii="Arial" w:hAnsi="Arial" w:cs="Arial"/>
                <w:b/>
                <w:sz w:val="14"/>
                <w:szCs w:val="14"/>
                <w:lang w:val="en-US"/>
              </w:rPr>
              <w:t xml:space="preserve">Greek Orthodox Easter / </w:t>
            </w:r>
            <w:proofErr w:type="spellStart"/>
            <w:r w:rsidRPr="00666964">
              <w:rPr>
                <w:rFonts w:ascii="Arial" w:hAnsi="Arial" w:cs="Arial"/>
                <w:b/>
                <w:sz w:val="14"/>
                <w:szCs w:val="14"/>
                <w:lang w:val="en-US"/>
              </w:rPr>
              <w:t>Pâques</w:t>
            </w:r>
            <w:proofErr w:type="spellEnd"/>
            <w:r w:rsidRPr="00666964">
              <w:rPr>
                <w:rFonts w:ascii="Arial" w:hAnsi="Arial" w:cs="Arial"/>
                <w:b/>
                <w:sz w:val="14"/>
                <w:szCs w:val="14"/>
                <w:lang w:val="en-US"/>
              </w:rPr>
              <w:t xml:space="preserve"> </w:t>
            </w:r>
            <w:proofErr w:type="spellStart"/>
            <w:r w:rsidRPr="00666964">
              <w:rPr>
                <w:rFonts w:ascii="Arial" w:hAnsi="Arial" w:cs="Arial"/>
                <w:b/>
                <w:sz w:val="14"/>
                <w:szCs w:val="14"/>
                <w:lang w:val="en-US"/>
              </w:rPr>
              <w:t>orthodoxe</w:t>
            </w:r>
            <w:proofErr w:type="spellEnd"/>
            <w:r w:rsidRPr="00666964">
              <w:rPr>
                <w:rFonts w:ascii="Arial" w:hAnsi="Arial" w:cs="Arial"/>
                <w:b/>
                <w:sz w:val="14"/>
                <w:szCs w:val="14"/>
                <w:lang w:val="en-US"/>
              </w:rPr>
              <w:t xml:space="preserve"> </w:t>
            </w:r>
            <w:proofErr w:type="spellStart"/>
            <w:r w:rsidRPr="00666964">
              <w:rPr>
                <w:rFonts w:ascii="Arial" w:hAnsi="Arial" w:cs="Arial"/>
                <w:b/>
                <w:sz w:val="14"/>
                <w:szCs w:val="14"/>
                <w:lang w:val="en-US"/>
              </w:rPr>
              <w:t>grecque</w:t>
            </w:r>
            <w:proofErr w:type="spellEnd"/>
          </w:p>
        </w:tc>
        <w:tc>
          <w:tcPr>
            <w:tcW w:w="567" w:type="dxa"/>
            <w:hideMark/>
          </w:tcPr>
          <w:p w:rsidR="004B2E86" w:rsidRPr="00666964" w:rsidRDefault="004B2E86" w:rsidP="00691D1D">
            <w:pPr>
              <w:jc w:val="center"/>
              <w:rPr>
                <w:rFonts w:ascii="Arial" w:hAnsi="Arial" w:cs="Arial"/>
                <w:b/>
                <w:sz w:val="14"/>
                <w:szCs w:val="14"/>
                <w:lang w:val="en-US"/>
              </w:rPr>
            </w:pPr>
            <w:r w:rsidRPr="00666964">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666964" w:rsidRDefault="004B2E86" w:rsidP="00691D1D">
            <w:pPr>
              <w:rPr>
                <w:rFonts w:ascii="Arial" w:hAnsi="Arial" w:cs="Arial"/>
                <w:b/>
                <w:sz w:val="14"/>
                <w:szCs w:val="14"/>
              </w:rPr>
            </w:pPr>
            <w:r w:rsidRPr="00666964">
              <w:rPr>
                <w:rFonts w:ascii="Arial" w:hAnsi="Arial" w:cs="Arial"/>
                <w:b/>
                <w:sz w:val="14"/>
                <w:szCs w:val="14"/>
              </w:rPr>
              <w:t xml:space="preserve">Holiday / </w:t>
            </w:r>
            <w:r w:rsidRPr="00666964">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666964" w:rsidRDefault="004B2E86" w:rsidP="00691D1D">
            <w:pPr>
              <w:jc w:val="center"/>
              <w:rPr>
                <w:rFonts w:ascii="Arial" w:hAnsi="Arial" w:cs="Arial"/>
                <w:b/>
                <w:sz w:val="14"/>
                <w:szCs w:val="14"/>
              </w:rPr>
            </w:pPr>
            <w:r w:rsidRPr="00666964">
              <w:rPr>
                <w:rFonts w:ascii="Arial" w:hAnsi="Arial" w:cs="Arial"/>
                <w:b/>
                <w:sz w:val="14"/>
                <w:szCs w:val="14"/>
              </w:rPr>
              <w:t>H</w:t>
            </w:r>
          </w:p>
        </w:tc>
        <w:tc>
          <w:tcPr>
            <w:tcW w:w="3524" w:type="dxa"/>
            <w:tcBorders>
              <w:top w:val="nil"/>
              <w:left w:val="double" w:sz="4" w:space="0" w:color="auto"/>
              <w:bottom w:val="nil"/>
              <w:right w:val="nil"/>
            </w:tcBorders>
            <w:hideMark/>
          </w:tcPr>
          <w:p w:rsidR="004B2E86" w:rsidRPr="00666964" w:rsidRDefault="004B2E86" w:rsidP="00691D1D">
            <w:pPr>
              <w:tabs>
                <w:tab w:val="left" w:pos="203"/>
              </w:tabs>
              <w:spacing w:before="120"/>
              <w:rPr>
                <w:rFonts w:ascii="Arial" w:hAnsi="Arial" w:cs="Arial"/>
                <w:b/>
                <w:sz w:val="14"/>
                <w:szCs w:val="14"/>
              </w:rPr>
            </w:pPr>
            <w:r w:rsidRPr="00666964">
              <w:rPr>
                <w:rFonts w:ascii="Arial" w:hAnsi="Arial" w:cs="Arial"/>
                <w:b/>
                <w:sz w:val="14"/>
                <w:szCs w:val="14"/>
              </w:rPr>
              <w:t>4</w:t>
            </w:r>
            <w:r w:rsidRPr="00666964">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666964">
              <w:rPr>
                <w:rFonts w:ascii="Arial" w:hAnsi="Arial" w:cs="Arial"/>
                <w:b/>
                <w:sz w:val="14"/>
                <w:szCs w:val="14"/>
              </w:rPr>
              <w:tab/>
            </w:r>
            <w:r w:rsidRPr="00666964">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55"/>
      <w:footerReference w:type="default" r:id="rId56"/>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157" w:rsidRDefault="00857157" w:rsidP="00A87207">
      <w:r>
        <w:separator/>
      </w:r>
    </w:p>
  </w:endnote>
  <w:endnote w:type="continuationSeparator" w:id="0">
    <w:p w:rsidR="00857157" w:rsidRDefault="00857157"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rsidP="00A87207">
    <w:pPr>
      <w:pStyle w:val="Footer"/>
    </w:pPr>
    <w:r>
      <w:pict>
        <v:rect id="_x0000_i1032" style="width:480.95pt;height:1pt" o:hralign="center" o:hrstd="t" o:hrnoshade="t" o:hr="t" fillcolor="black [3213]" stroked="f"/>
      </w:pict>
    </w:r>
  </w:p>
  <w:p w:rsidR="00857157" w:rsidRPr="00B7374B" w:rsidRDefault="00857157"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5B0CA8">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rsidP="006B6926">
    <w:pPr>
      <w:tabs>
        <w:tab w:val="center" w:pos="4680"/>
      </w:tabs>
      <w:rPr>
        <w:lang w:val="fr-CA"/>
      </w:rPr>
    </w:pPr>
    <w:r>
      <w:rPr>
        <w:lang w:val="fr-CA"/>
      </w:rPr>
      <w:pict>
        <v:rect id="_x0000_i1051" style="width:480.95pt;height:1pt" o:hralign="center" o:hrstd="t" o:hrnoshade="t" o:hr="t" fillcolor="black [3213]" stroked="f"/>
      </w:pict>
    </w:r>
  </w:p>
  <w:p w:rsidR="00857157" w:rsidRDefault="00857157" w:rsidP="006B6926">
    <w:pPr>
      <w:tabs>
        <w:tab w:val="center" w:pos="4680"/>
      </w:tabs>
    </w:pPr>
    <w:r>
      <w:tab/>
      <w:t xml:space="preserve">- </w:t>
    </w:r>
    <w:r>
      <w:fldChar w:fldCharType="begin"/>
    </w:r>
    <w:r>
      <w:instrText xml:space="preserve">PAGE </w:instrText>
    </w:r>
    <w:r>
      <w:fldChar w:fldCharType="separate"/>
    </w:r>
    <w:r w:rsidR="005B0CA8">
      <w:rPr>
        <w:noProof/>
      </w:rPr>
      <w:t>14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Pr="00924065" w:rsidRDefault="00857157"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rsidP="00755F22">
    <w:pPr>
      <w:tabs>
        <w:tab w:val="left" w:pos="-1440"/>
        <w:tab w:val="left" w:pos="-720"/>
      </w:tabs>
    </w:pPr>
    <w:r>
      <w:pict>
        <v:rect id="_x0000_i1033" style="width:480.95pt;height:1pt" o:hralign="center" o:hrstd="t" o:hrnoshade="t" o:hr="t" fillcolor="black [3213]" stroked="f"/>
      </w:pict>
    </w:r>
  </w:p>
  <w:p w:rsidR="00857157" w:rsidRPr="00954D22" w:rsidRDefault="00857157"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5B0CA8">
      <w:rPr>
        <w:noProof/>
        <w:szCs w:val="24"/>
      </w:rPr>
      <w:t>1</w:t>
    </w:r>
    <w:r>
      <w:rPr>
        <w:szCs w:val="24"/>
      </w:rPr>
      <w:fldChar w:fldCharType="end"/>
    </w:r>
    <w:r w:rsidRPr="00954D22">
      <w:rPr>
        <w:szCs w:val="24"/>
      </w:rPr>
      <w:t xml:space="preserve"> -</w:t>
    </w:r>
  </w:p>
  <w:p w:rsidR="00857157" w:rsidRDefault="00857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857157"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7157" w:rsidRDefault="00857157">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4" style="width:480.95pt;height:1pt" o:hralign="center" o:hrstd="t" o:hrnoshade="t" o:hr="t" fillcolor="black [3213]" stroked="f"/>
      </w:pict>
    </w:r>
  </w:p>
  <w:p w:rsidR="00857157" w:rsidRPr="0009648D" w:rsidRDefault="00857157" w:rsidP="00ED7E83">
    <w:pPr>
      <w:tabs>
        <w:tab w:val="center" w:pos="4680"/>
      </w:tabs>
    </w:pPr>
    <w:r>
      <w:tab/>
    </w:r>
    <w:r w:rsidRPr="0009648D">
      <w:t xml:space="preserve">- </w:t>
    </w:r>
    <w:r>
      <w:fldChar w:fldCharType="begin"/>
    </w:r>
    <w:r>
      <w:instrText xml:space="preserve"> PAGE   \* MERGEFORMAT </w:instrText>
    </w:r>
    <w:r>
      <w:fldChar w:fldCharType="separate"/>
    </w:r>
    <w:r w:rsidR="005B0CA8">
      <w:rPr>
        <w:noProof/>
      </w:rPr>
      <w:t>12</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pPr>
      <w:pStyle w:val="Footer"/>
      <w:rPr>
        <w:lang w:val="fr-CA"/>
      </w:rPr>
    </w:pPr>
    <w:r>
      <w:rPr>
        <w:lang w:val="fr-CA"/>
      </w:rPr>
      <w:pict>
        <v:rect id="_x0000_i1045" style="width:480.95pt;height:1pt" o:hralign="center" o:hrstd="t" o:hrnoshade="t" o:hr="t" fillcolor="black [3213]" stroked="f"/>
      </w:pict>
    </w:r>
  </w:p>
  <w:p w:rsidR="00857157" w:rsidRDefault="00857157" w:rsidP="00245129">
    <w:pPr>
      <w:tabs>
        <w:tab w:val="center" w:pos="4680"/>
      </w:tabs>
    </w:pPr>
    <w:r>
      <w:tab/>
    </w:r>
    <w:r w:rsidRPr="0009648D">
      <w:t xml:space="preserve">- </w:t>
    </w:r>
    <w:r>
      <w:fldChar w:fldCharType="begin"/>
    </w:r>
    <w:r>
      <w:instrText xml:space="preserve"> PAGE   \* MERGEFORMAT </w:instrText>
    </w:r>
    <w:r>
      <w:fldChar w:fldCharType="separate"/>
    </w:r>
    <w:r w:rsidR="005B0CA8">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857157"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857157" w:rsidRDefault="00857157">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857157" w:rsidRDefault="00857157"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pPr>
      <w:pStyle w:val="Footer"/>
      <w:rPr>
        <w:lang w:val="fr-CA"/>
      </w:rPr>
    </w:pPr>
    <w:r>
      <w:rPr>
        <w:lang w:val="fr-CA"/>
      </w:rPr>
      <w:pict>
        <v:rect id="_x0000_i1048" style="width:480.95pt;height:1pt" o:hralign="center" o:hrstd="t" o:hrnoshade="t" o:hr="t" fillcolor="black [3213]" stroked="f"/>
      </w:pict>
    </w:r>
  </w:p>
  <w:p w:rsidR="00857157" w:rsidRDefault="00857157" w:rsidP="00EB2B90">
    <w:pPr>
      <w:tabs>
        <w:tab w:val="center" w:pos="4680"/>
      </w:tabs>
    </w:pPr>
    <w:r>
      <w:tab/>
      <w:t xml:space="preserve">- </w:t>
    </w:r>
    <w:r>
      <w:fldChar w:fldCharType="begin"/>
    </w:r>
    <w:r>
      <w:instrText xml:space="preserve"> PAGE   \* MERGEFORMAT </w:instrText>
    </w:r>
    <w:r>
      <w:fldChar w:fldCharType="separate"/>
    </w:r>
    <w:r w:rsidR="005B0CA8">
      <w:rPr>
        <w:noProof/>
      </w:rPr>
      <w:t>13</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5B0CA8">
    <w:r>
      <w:rPr>
        <w:lang w:val="fr-CA"/>
      </w:rPr>
      <w:pict>
        <v:rect id="_x0000_i1050" style="width:480.95pt;height:1pt" o:hralign="center" o:hrstd="t" o:hrnoshade="t" o:hr="t" fillcolor="black [3213]" stroked="f"/>
      </w:pict>
    </w:r>
  </w:p>
  <w:p w:rsidR="00857157" w:rsidRDefault="00857157" w:rsidP="006B6926">
    <w:pPr>
      <w:tabs>
        <w:tab w:val="center" w:pos="4680"/>
      </w:tabs>
    </w:pPr>
    <w:r>
      <w:tab/>
      <w:t xml:space="preserve">- </w:t>
    </w:r>
    <w:r>
      <w:fldChar w:fldCharType="begin"/>
    </w:r>
    <w:r>
      <w:instrText xml:space="preserve">PAGE </w:instrText>
    </w:r>
    <w:r>
      <w:fldChar w:fldCharType="separate"/>
    </w:r>
    <w:r>
      <w:rPr>
        <w:noProof/>
      </w:rPr>
      <w:t>532</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157" w:rsidRDefault="00857157" w:rsidP="00A87207">
      <w:r>
        <w:separator/>
      </w:r>
    </w:p>
  </w:footnote>
  <w:footnote w:type="continuationSeparator" w:id="0">
    <w:p w:rsidR="00857157" w:rsidRDefault="00857157"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857157" w:rsidRPr="0044776A" w:rsidTr="00245129">
      <w:tc>
        <w:tcPr>
          <w:tcW w:w="4290" w:type="dxa"/>
          <w:tcMar>
            <w:left w:w="0" w:type="dxa"/>
            <w:right w:w="0" w:type="dxa"/>
          </w:tcMar>
        </w:tcPr>
        <w:p w:rsidR="00857157" w:rsidRPr="00D31809" w:rsidRDefault="00857157" w:rsidP="00D31809">
          <w:pPr>
            <w:keepNext/>
            <w:keepLines/>
            <w:rPr>
              <w:sz w:val="20"/>
              <w:szCs w:val="20"/>
              <w:lang w:val="en-US"/>
            </w:rPr>
          </w:pPr>
          <w:r w:rsidRPr="00D31809">
            <w:rPr>
              <w:sz w:val="20"/>
              <w:szCs w:val="20"/>
              <w:lang w:val="en-US"/>
            </w:rPr>
            <w:t>Applications for leave to appeal filed</w:t>
          </w:r>
        </w:p>
        <w:p w:rsidR="00857157" w:rsidRPr="00D31809" w:rsidRDefault="00857157" w:rsidP="00D31809">
          <w:pPr>
            <w:keepNext/>
            <w:keepLines/>
            <w:rPr>
              <w:sz w:val="20"/>
              <w:szCs w:val="20"/>
            </w:rPr>
          </w:pPr>
        </w:p>
      </w:tc>
      <w:tc>
        <w:tcPr>
          <w:tcW w:w="1200" w:type="dxa"/>
          <w:tcMar>
            <w:left w:w="0" w:type="dxa"/>
            <w:right w:w="0" w:type="dxa"/>
          </w:tcMar>
        </w:tcPr>
        <w:p w:rsidR="00857157" w:rsidRPr="00D31809" w:rsidRDefault="00857157" w:rsidP="002E2327">
          <w:pPr>
            <w:keepNext/>
            <w:keepLines/>
            <w:tabs>
              <w:tab w:val="left" w:pos="-1440"/>
              <w:tab w:val="left" w:pos="-720"/>
            </w:tabs>
            <w:jc w:val="center"/>
            <w:rPr>
              <w:sz w:val="20"/>
              <w:szCs w:val="20"/>
            </w:rPr>
          </w:pPr>
        </w:p>
      </w:tc>
      <w:tc>
        <w:tcPr>
          <w:tcW w:w="4320" w:type="dxa"/>
          <w:tcMar>
            <w:left w:w="0" w:type="dxa"/>
            <w:right w:w="0" w:type="dxa"/>
          </w:tcMar>
        </w:tcPr>
        <w:p w:rsidR="00857157" w:rsidRPr="00D31809" w:rsidRDefault="00857157" w:rsidP="002E2327">
          <w:pPr>
            <w:keepLines/>
            <w:rPr>
              <w:sz w:val="20"/>
              <w:szCs w:val="20"/>
              <w:lang w:val="fr-CA"/>
            </w:rPr>
          </w:pPr>
          <w:r w:rsidRPr="00D31809">
            <w:rPr>
              <w:sz w:val="20"/>
              <w:szCs w:val="20"/>
              <w:lang w:val="fr-CA"/>
            </w:rPr>
            <w:t>Demandes d’autorisation d’appel déposées</w:t>
          </w:r>
        </w:p>
      </w:tc>
    </w:tr>
  </w:tbl>
  <w:p w:rsidR="00857157" w:rsidRDefault="008571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7157" w:rsidRPr="005B0CA8">
      <w:tc>
        <w:tcPr>
          <w:tcW w:w="4200" w:type="dxa"/>
          <w:tcMar>
            <w:left w:w="0" w:type="dxa"/>
            <w:right w:w="0" w:type="dxa"/>
          </w:tcMar>
        </w:tcPr>
        <w:p w:rsidR="00857157" w:rsidRDefault="008571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857157" w:rsidRDefault="008571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857157" w:rsidRDefault="008571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7157" w:rsidRPr="00FF6BA5" w:rsidRDefault="008571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857157" w:rsidRPr="00FF6BA5"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857157" w:rsidRPr="00FF6BA5"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857157" w:rsidRPr="00FF6BA5"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57157" w:rsidRPr="005B0CA8" w:rsidTr="00245129">
      <w:tc>
        <w:tcPr>
          <w:tcW w:w="4200" w:type="dxa"/>
          <w:tcMar>
            <w:left w:w="0" w:type="dxa"/>
            <w:right w:w="0" w:type="dxa"/>
          </w:tcMar>
        </w:tcPr>
        <w:p w:rsidR="00857157" w:rsidRPr="00634F42" w:rsidRDefault="00857157"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857157" w:rsidRPr="00755F22" w:rsidRDefault="008571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857157" w:rsidRPr="00755F22" w:rsidRDefault="0085715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857157" w:rsidRPr="00755F22" w:rsidRDefault="008571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857157" w:rsidRPr="00FF6BA5" w:rsidRDefault="00857157"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857157" w:rsidRPr="005B0CA8">
      <w:tc>
        <w:tcPr>
          <w:tcW w:w="4200" w:type="dxa"/>
          <w:tcMar>
            <w:left w:w="0" w:type="dxa"/>
            <w:right w:w="0" w:type="dxa"/>
          </w:tcMar>
        </w:tcPr>
        <w:p w:rsidR="00857157" w:rsidRDefault="008571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857157" w:rsidRDefault="0085715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857157" w:rsidRPr="00B01A03" w:rsidRDefault="0085715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857157" w:rsidRPr="00B01A03"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857157" w:rsidRPr="00B01A03" w:rsidRDefault="008571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857157" w:rsidRPr="005B0CA8" w:rsidTr="00245129">
      <w:tc>
        <w:tcPr>
          <w:tcW w:w="4200" w:type="dxa"/>
          <w:tcMar>
            <w:left w:w="0" w:type="dxa"/>
            <w:right w:w="0" w:type="dxa"/>
          </w:tcMar>
        </w:tcPr>
        <w:p w:rsidR="00857157" w:rsidRPr="00F40249" w:rsidRDefault="0085715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857157" w:rsidRDefault="00857157" w:rsidP="00102926">
          <w:pPr>
            <w:keepNext/>
            <w:keepLines/>
            <w:tabs>
              <w:tab w:val="left" w:pos="-1440"/>
              <w:tab w:val="left" w:pos="-720"/>
            </w:tabs>
            <w:jc w:val="center"/>
            <w:rPr>
              <w:sz w:val="20"/>
              <w:szCs w:val="20"/>
            </w:rPr>
          </w:pPr>
        </w:p>
        <w:p w:rsidR="00857157" w:rsidRDefault="00857157" w:rsidP="00102926">
          <w:pPr>
            <w:keepNext/>
            <w:keepLines/>
            <w:tabs>
              <w:tab w:val="left" w:pos="-1440"/>
              <w:tab w:val="left" w:pos="-720"/>
            </w:tabs>
            <w:jc w:val="center"/>
            <w:rPr>
              <w:sz w:val="20"/>
              <w:szCs w:val="20"/>
            </w:rPr>
          </w:pPr>
        </w:p>
        <w:p w:rsidR="00857157" w:rsidRPr="00F40249" w:rsidRDefault="00857157" w:rsidP="00102926">
          <w:pPr>
            <w:keepNext/>
            <w:keepLines/>
            <w:tabs>
              <w:tab w:val="left" w:pos="-1440"/>
              <w:tab w:val="left" w:pos="-720"/>
            </w:tabs>
            <w:jc w:val="center"/>
            <w:rPr>
              <w:sz w:val="20"/>
              <w:szCs w:val="20"/>
            </w:rPr>
          </w:pPr>
        </w:p>
      </w:tc>
      <w:tc>
        <w:tcPr>
          <w:tcW w:w="4230" w:type="dxa"/>
          <w:tcMar>
            <w:left w:w="0" w:type="dxa"/>
            <w:right w:w="0" w:type="dxa"/>
          </w:tcMar>
        </w:tcPr>
        <w:p w:rsidR="00857157" w:rsidRPr="00F40249" w:rsidRDefault="0085715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857157" w:rsidRPr="00B01A03" w:rsidRDefault="0085715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157" w:rsidRDefault="0085715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857157" w:rsidRPr="005B0CA8" w:rsidTr="00245129">
      <w:tc>
        <w:tcPr>
          <w:tcW w:w="4320" w:type="dxa"/>
        </w:tcPr>
        <w:p w:rsidR="00857157" w:rsidRPr="006B6926" w:rsidRDefault="00857157" w:rsidP="006B6926">
          <w:pPr>
            <w:keepNext/>
            <w:keepLines/>
            <w:rPr>
              <w:bCs/>
              <w:sz w:val="20"/>
              <w:szCs w:val="20"/>
              <w:lang w:val="en-GB"/>
            </w:rPr>
          </w:pPr>
          <w:r w:rsidRPr="006B6926">
            <w:rPr>
              <w:bCs/>
              <w:sz w:val="20"/>
              <w:szCs w:val="20"/>
              <w:lang w:val="en-GB"/>
            </w:rPr>
            <w:t>SUPREME COURT REPORTS</w:t>
          </w:r>
        </w:p>
      </w:tc>
      <w:tc>
        <w:tcPr>
          <w:tcW w:w="840" w:type="dxa"/>
        </w:tcPr>
        <w:p w:rsidR="00857157" w:rsidRDefault="00857157" w:rsidP="006B6926">
          <w:pPr>
            <w:jc w:val="center"/>
            <w:rPr>
              <w:bCs/>
              <w:sz w:val="20"/>
              <w:szCs w:val="20"/>
              <w:lang w:val="en-GB"/>
            </w:rPr>
          </w:pPr>
        </w:p>
        <w:p w:rsidR="00857157" w:rsidRPr="006B6926" w:rsidRDefault="00857157" w:rsidP="006B6926">
          <w:pPr>
            <w:jc w:val="center"/>
            <w:rPr>
              <w:bCs/>
              <w:sz w:val="20"/>
              <w:szCs w:val="20"/>
              <w:lang w:val="en-GB"/>
            </w:rPr>
          </w:pPr>
        </w:p>
      </w:tc>
      <w:tc>
        <w:tcPr>
          <w:tcW w:w="4320" w:type="dxa"/>
        </w:tcPr>
        <w:p w:rsidR="00857157" w:rsidRPr="006B6926" w:rsidRDefault="00857157" w:rsidP="006B6926">
          <w:pPr>
            <w:keepNext/>
            <w:keepLines/>
            <w:rPr>
              <w:bCs/>
              <w:sz w:val="20"/>
              <w:szCs w:val="20"/>
              <w:lang w:val="fr-CA"/>
            </w:rPr>
          </w:pPr>
          <w:r w:rsidRPr="006B6926">
            <w:rPr>
              <w:bCs/>
              <w:sz w:val="20"/>
              <w:szCs w:val="20"/>
              <w:lang w:val="fr-CA"/>
            </w:rPr>
            <w:t>RECUEIL DES ARRÊTS DE LA COUR SUPRÊME</w:t>
          </w:r>
        </w:p>
      </w:tc>
    </w:tr>
  </w:tbl>
  <w:p w:rsidR="00857157" w:rsidRPr="000924F7" w:rsidRDefault="00857157">
    <w:pPr>
      <w:pStyle w:val="Header"/>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B7"/>
    <w:rsid w:val="00002704"/>
    <w:rsid w:val="00020DC3"/>
    <w:rsid w:val="0003223B"/>
    <w:rsid w:val="000327B2"/>
    <w:rsid w:val="00033A57"/>
    <w:rsid w:val="0004528B"/>
    <w:rsid w:val="0005229F"/>
    <w:rsid w:val="00064FBA"/>
    <w:rsid w:val="00091BA6"/>
    <w:rsid w:val="00091FA6"/>
    <w:rsid w:val="0009686C"/>
    <w:rsid w:val="00096BD9"/>
    <w:rsid w:val="000B3B08"/>
    <w:rsid w:val="000B3C9A"/>
    <w:rsid w:val="000B40A2"/>
    <w:rsid w:val="000B4624"/>
    <w:rsid w:val="000C0ACD"/>
    <w:rsid w:val="000C0D2A"/>
    <w:rsid w:val="000C1D9D"/>
    <w:rsid w:val="000C5CE8"/>
    <w:rsid w:val="000E27A5"/>
    <w:rsid w:val="000E2959"/>
    <w:rsid w:val="000F0B60"/>
    <w:rsid w:val="000F2CA3"/>
    <w:rsid w:val="00101598"/>
    <w:rsid w:val="00102792"/>
    <w:rsid w:val="00102926"/>
    <w:rsid w:val="0010587F"/>
    <w:rsid w:val="00111C6B"/>
    <w:rsid w:val="0012102B"/>
    <w:rsid w:val="00124D41"/>
    <w:rsid w:val="00125B8F"/>
    <w:rsid w:val="0013369E"/>
    <w:rsid w:val="0013595D"/>
    <w:rsid w:val="001434B9"/>
    <w:rsid w:val="00143EF6"/>
    <w:rsid w:val="00152E76"/>
    <w:rsid w:val="0015644E"/>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26699"/>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39E3"/>
    <w:rsid w:val="00304081"/>
    <w:rsid w:val="003308AA"/>
    <w:rsid w:val="00331B52"/>
    <w:rsid w:val="00333403"/>
    <w:rsid w:val="003359D3"/>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0CA8"/>
    <w:rsid w:val="005B6826"/>
    <w:rsid w:val="005C131C"/>
    <w:rsid w:val="005C6840"/>
    <w:rsid w:val="005F15B7"/>
    <w:rsid w:val="005F1ED8"/>
    <w:rsid w:val="005F263E"/>
    <w:rsid w:val="00600252"/>
    <w:rsid w:val="006011FC"/>
    <w:rsid w:val="00612A40"/>
    <w:rsid w:val="0062714A"/>
    <w:rsid w:val="00634F42"/>
    <w:rsid w:val="00645947"/>
    <w:rsid w:val="006615F4"/>
    <w:rsid w:val="0066696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6F4BC8"/>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57157"/>
    <w:rsid w:val="0086340B"/>
    <w:rsid w:val="00877592"/>
    <w:rsid w:val="008859F1"/>
    <w:rsid w:val="008902B1"/>
    <w:rsid w:val="00890FEB"/>
    <w:rsid w:val="00893449"/>
    <w:rsid w:val="00895E7E"/>
    <w:rsid w:val="008961FD"/>
    <w:rsid w:val="008A0223"/>
    <w:rsid w:val="008A5C1A"/>
    <w:rsid w:val="008C2318"/>
    <w:rsid w:val="008D085E"/>
    <w:rsid w:val="008D292F"/>
    <w:rsid w:val="008D3D4B"/>
    <w:rsid w:val="008E03DC"/>
    <w:rsid w:val="008F590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6510"/>
    <w:rsid w:val="009A75CF"/>
    <w:rsid w:val="009C4E23"/>
    <w:rsid w:val="009D1F15"/>
    <w:rsid w:val="009D555E"/>
    <w:rsid w:val="009F3024"/>
    <w:rsid w:val="009F39BA"/>
    <w:rsid w:val="00A0355E"/>
    <w:rsid w:val="00A049C6"/>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740D"/>
    <w:rsid w:val="00B5278F"/>
    <w:rsid w:val="00B61629"/>
    <w:rsid w:val="00B635E0"/>
    <w:rsid w:val="00B67395"/>
    <w:rsid w:val="00B7374B"/>
    <w:rsid w:val="00B85F73"/>
    <w:rsid w:val="00B90DC0"/>
    <w:rsid w:val="00BA116A"/>
    <w:rsid w:val="00BA5582"/>
    <w:rsid w:val="00BA5B2E"/>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63CA"/>
    <w:rsid w:val="00D22BC0"/>
    <w:rsid w:val="00D31809"/>
    <w:rsid w:val="00D571D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5981"/>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4347"/>
    <w:rsid w:val="00F656D8"/>
    <w:rsid w:val="00F663FF"/>
    <w:rsid w:val="00F75954"/>
    <w:rsid w:val="00F761A3"/>
    <w:rsid w:val="00F918B1"/>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571D9"/>
    <w:pPr>
      <w:jc w:val="both"/>
    </w:pPr>
    <w:rPr>
      <w:rFonts w:eastAsia="Calibri" w:cs="Times New Roman"/>
      <w:smallCaps/>
    </w:rPr>
  </w:style>
  <w:style w:type="character" w:customStyle="1" w:styleId="SCCBanSummaryChar">
    <w:name w:val="SCC.BanSummary Char"/>
    <w:basedOn w:val="DefaultParagraphFont"/>
    <w:link w:val="SCCBanSummary0"/>
    <w:rsid w:val="00D571D9"/>
    <w:rPr>
      <w:rFonts w:eastAsia="Calibri" w:cs="Times New Roman"/>
      <w:smallCaps/>
      <w:lang w:val="en-CA"/>
    </w:rPr>
  </w:style>
  <w:style w:type="paragraph" w:customStyle="1" w:styleId="SCCLsocSubfileSeparator0">
    <w:name w:val="SCC.Lsoc.SubfileSeparator"/>
    <w:basedOn w:val="Normal"/>
    <w:next w:val="Normal"/>
    <w:link w:val="SCCLsocSubfileSeparatorChar"/>
    <w:rsid w:val="00D571D9"/>
    <w:pPr>
      <w:jc w:val="both"/>
    </w:pPr>
    <w:rPr>
      <w:rFonts w:cs="Times New Roman"/>
      <w:b/>
      <w:szCs w:val="24"/>
    </w:rPr>
  </w:style>
  <w:style w:type="character" w:customStyle="1" w:styleId="SCCLsocSubfileSeparatorChar">
    <w:name w:val="SCC.Lsoc.SubfileSeparator Char"/>
    <w:basedOn w:val="DefaultParagraphFont"/>
    <w:link w:val="SCCLsocSubfileSeparator0"/>
    <w:rsid w:val="00D571D9"/>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91751993">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255823102">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on/onca/doc/2020/2020onca83/2020onca83.html?resultIndex=1" TargetMode="External"/><Relationship Id="rId26" Type="http://schemas.openxmlformats.org/officeDocument/2006/relationships/hyperlink" Target="https://www.canlii.org/en/sk/skqb/doc/2018/2018skqb176/2018skqb176.html?resultIndex=1" TargetMode="External"/><Relationship Id="rId39" Type="http://schemas.openxmlformats.org/officeDocument/2006/relationships/footer" Target="footer3.xml"/><Relationship Id="rId21" Type="http://schemas.openxmlformats.org/officeDocument/2006/relationships/hyperlink" Target="https://www.canlii.org/en/on/onca/doc/2020/2020onca79/2020onca79.html?resultIndex=1" TargetMode="External"/><Relationship Id="rId34" Type="http://schemas.openxmlformats.org/officeDocument/2006/relationships/hyperlink" Target="https://www.canlii.org/en/ca/fca/doc/2020/2020fca34/2020fca34.html?autocompleteStr=2020%20fca%2034&amp;autocompletePos=1" TargetMode="External"/><Relationship Id="rId42" Type="http://schemas.openxmlformats.org/officeDocument/2006/relationships/footer" Target="footer5.xml"/><Relationship Id="rId47" Type="http://schemas.openxmlformats.org/officeDocument/2006/relationships/header" Target="header8.xml"/><Relationship Id="rId50" Type="http://schemas.openxmlformats.org/officeDocument/2006/relationships/hyperlink" Target="https://scc-csc-qweri.lexum.com/w/scc-csc/2019-1-2-SCR-RCS-fr" TargetMode="External"/><Relationship Id="rId55"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canlii.org/en/on/onsc/doc/2018/2018onsc6409/2018onsc6409.html" TargetMode="External"/><Relationship Id="rId25" Type="http://schemas.openxmlformats.org/officeDocument/2006/relationships/hyperlink" Target="https://www.canlii.org/en/ca/laws/stat/rsc-1985-c-c-46/latest/rsc-1985-c-c-46.html" TargetMode="External"/><Relationship Id="rId33" Type="http://schemas.openxmlformats.org/officeDocument/2006/relationships/hyperlink" Target="https://www.canlii.org/en/ca/fca/doc/2019/2019fca224/2019fca224.html?autocompleteStr=2019%20FCA%20224&amp;autocompletePos=1" TargetMode="External"/><Relationship Id="rId38" Type="http://schemas.openxmlformats.org/officeDocument/2006/relationships/header" Target="header4.xm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s://www.canlii.org/en/on/onca/doc/2020/2020onca83/2020onca83.html?resultIndex=1" TargetMode="External"/><Relationship Id="rId20" Type="http://schemas.openxmlformats.org/officeDocument/2006/relationships/hyperlink" Target="https://www.canlii.org/en/on/onca/doc/2020/2020onca25/2020onca25.html?autocompleteStr=62652&amp;autocompletePos=1" TargetMode="External"/><Relationship Id="rId29" Type="http://schemas.openxmlformats.org/officeDocument/2006/relationships/hyperlink" Target="https://www.canlii.org/en/ca/laws/stat/rsc-1985-c-c-46/latest/rsc-1985-c-c-46.html" TargetMode="External"/><Relationship Id="rId41" Type="http://schemas.openxmlformats.org/officeDocument/2006/relationships/header" Target="header5.xml"/><Relationship Id="rId54"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en/ca/laws/stat/rsc-1985-c-c-46/latest/rsc-1985-c-c-46.html" TargetMode="External"/><Relationship Id="rId32" Type="http://schemas.openxmlformats.org/officeDocument/2006/relationships/hyperlink" Target="https://www.canlii.org/en/sk/skca/doc/2020/2020skca5/2020skca5.html?resultIndex=1" TargetMode="External"/><Relationship Id="rId37" Type="http://schemas.openxmlformats.org/officeDocument/2006/relationships/header" Target="header3.xml"/><Relationship Id="rId40" Type="http://schemas.openxmlformats.org/officeDocument/2006/relationships/footer" Target="footer4.xml"/><Relationship Id="rId45" Type="http://schemas.openxmlformats.org/officeDocument/2006/relationships/footer" Target="footer6.xml"/><Relationship Id="rId53" Type="http://schemas.openxmlformats.org/officeDocument/2006/relationships/header" Target="header10.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nlii.org/en/on/onsc/doc/2018/2018onsc6409/2018onsc6409.html" TargetMode="External"/><Relationship Id="rId23" Type="http://schemas.openxmlformats.org/officeDocument/2006/relationships/hyperlink" Target="https://www.canlii.org/en/ca/laws/stat/rsc-1985-c-c-46/latest/rsc-1985-c-c-46.html" TargetMode="External"/><Relationship Id="rId28" Type="http://schemas.openxmlformats.org/officeDocument/2006/relationships/hyperlink" Target="https://www.canlii.org/en/ca/laws/stat/rsc-1985-c-c-46/latest/rsc-1985-c-c-46.html" TargetMode="External"/><Relationship Id="rId36" Type="http://schemas.openxmlformats.org/officeDocument/2006/relationships/hyperlink" Target="https://www.canlii.org/fr/ca/caf/doc/2020/2020caf34/2020caf34.html" TargetMode="External"/><Relationship Id="rId49" Type="http://schemas.openxmlformats.org/officeDocument/2006/relationships/hyperlink" Target="https://scc-csc-qweri.lexum.com/w/scc-csc/2019-1-2-SCR-RCS-en" TargetMode="External"/><Relationship Id="rId57" Type="http://schemas.openxmlformats.org/officeDocument/2006/relationships/fontTable" Target="fontTable.xml"/><Relationship Id="rId10" Type="http://schemas.openxmlformats.org/officeDocument/2006/relationships/hyperlink" Target="https://www.scc-csc.ca" TargetMode="External"/><Relationship Id="rId19" Type="http://schemas.openxmlformats.org/officeDocument/2006/relationships/hyperlink" Target="https://www.canlii.org/en/on/onca/doc/2020/2020onca25/2020onca25.html?autocompleteStr=62652&amp;autocompletePos=1" TargetMode="External"/><Relationship Id="rId31" Type="http://schemas.openxmlformats.org/officeDocument/2006/relationships/hyperlink" Target="https://www.canlii.org/en/sk/skqb/doc/2018/2018skqb176/2018skqb176.html?resultIndex=1" TargetMode="External"/><Relationship Id="rId44" Type="http://schemas.openxmlformats.org/officeDocument/2006/relationships/header" Target="header7.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s://www.canlii.org/en/on/onca/doc/2020/2020onca79/2020onca79.html?resultIndex=1" TargetMode="External"/><Relationship Id="rId27" Type="http://schemas.openxmlformats.org/officeDocument/2006/relationships/hyperlink" Target="https://www.canlii.org/en/sk/skca/doc/2020/2020skca5/2020skca5.html?resultIndex=1" TargetMode="External"/><Relationship Id="rId30" Type="http://schemas.openxmlformats.org/officeDocument/2006/relationships/hyperlink" Target="https://www.canlii.org/en/ca/laws/stat/rsc-1985-c-c-46/latest/rsc-1985-c-c-46.html" TargetMode="External"/><Relationship Id="rId35" Type="http://schemas.openxmlformats.org/officeDocument/2006/relationships/hyperlink" Target="https://www.canlii.org/fr/ca/caf/doc/2019/2019caf224/2019caf224.html" TargetMode="Externa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1.xml"/><Relationship Id="rId8" Type="http://schemas.openxmlformats.org/officeDocument/2006/relationships/image" Target="media/image1.wmf"/><Relationship Id="rId51" Type="http://schemas.openxmlformats.org/officeDocument/2006/relationships/header" Target="header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51A64-38AC-4192-BEF6-862FB7AF1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17</Pages>
  <Words>6494</Words>
  <Characters>37021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2020-06-22T14:49:00Z</dcterms:created>
  <dcterms:modified xsi:type="dcterms:W3CDTF">2020-07-03T14:22:00Z</dcterms:modified>
</cp:coreProperties>
</file>