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51B1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51B1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51B1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51B1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51B16" w:rsidTr="002E5576">
        <w:tc>
          <w:tcPr>
            <w:tcW w:w="4518" w:type="dxa"/>
          </w:tcPr>
          <w:p w:rsidR="00BF25F3" w:rsidRPr="002E2327" w:rsidRDefault="00FD28BB"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D28BB"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51B16" w:rsidTr="002E5576">
        <w:tc>
          <w:tcPr>
            <w:tcW w:w="4518" w:type="dxa"/>
          </w:tcPr>
          <w:p w:rsidR="009F3024" w:rsidRPr="00BF29D3" w:rsidRDefault="009F3024" w:rsidP="009F3024">
            <w:pPr>
              <w:tabs>
                <w:tab w:val="left" w:pos="6075"/>
              </w:tabs>
              <w:rPr>
                <w:rFonts w:cs="Times New Roman"/>
                <w:szCs w:val="24"/>
                <w:lang w:val="fr-CA"/>
              </w:rPr>
            </w:pPr>
          </w:p>
          <w:p w:rsidR="009F3024" w:rsidRPr="00BF29D3" w:rsidRDefault="009F3024" w:rsidP="009F3024">
            <w:pPr>
              <w:tabs>
                <w:tab w:val="left" w:pos="6075"/>
              </w:tabs>
              <w:rPr>
                <w:rFonts w:cs="Times New Roman"/>
                <w:szCs w:val="24"/>
                <w:lang w:val="fr-CA"/>
              </w:rPr>
            </w:pPr>
          </w:p>
        </w:tc>
        <w:tc>
          <w:tcPr>
            <w:tcW w:w="630" w:type="dxa"/>
          </w:tcPr>
          <w:p w:rsidR="009F3024" w:rsidRPr="00BF29D3"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51B1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F29D3" w:rsidP="00F0068D">
      <w:pPr>
        <w:pBdr>
          <w:bottom w:val="single" w:sz="6" w:space="1" w:color="auto"/>
        </w:pBdr>
        <w:tabs>
          <w:tab w:val="center" w:pos="4680"/>
          <w:tab w:val="right" w:pos="9360"/>
        </w:tabs>
        <w:rPr>
          <w:lang w:val="fr-CA"/>
        </w:rPr>
      </w:pPr>
      <w:proofErr w:type="spellStart"/>
      <w:r>
        <w:rPr>
          <w:lang w:val="fr-CA"/>
        </w:rPr>
        <w:t>Febr</w:t>
      </w:r>
      <w:r w:rsidR="00C73D06">
        <w:rPr>
          <w:lang w:val="fr-CA"/>
        </w:rPr>
        <w:t>uary</w:t>
      </w:r>
      <w:proofErr w:type="spellEnd"/>
      <w:r w:rsidR="00440E24" w:rsidRPr="00675479">
        <w:rPr>
          <w:lang w:val="fr-CA"/>
        </w:rPr>
        <w:t xml:space="preserve"> </w:t>
      </w:r>
      <w:r w:rsidR="003359D3">
        <w:rPr>
          <w:lang w:val="fr-CA"/>
        </w:rPr>
        <w:t>1</w:t>
      </w:r>
      <w:r>
        <w:rPr>
          <w:lang w:val="fr-CA"/>
        </w:rPr>
        <w:t>0</w:t>
      </w:r>
      <w:r w:rsidR="00440E24" w:rsidRPr="00675479">
        <w:rPr>
          <w:lang w:val="fr-CA"/>
        </w:rPr>
        <w:t>, 201</w:t>
      </w:r>
      <w:r w:rsidR="00C73D06">
        <w:rPr>
          <w:lang w:val="fr-CA"/>
        </w:rPr>
        <w:t>2</w:t>
      </w:r>
      <w:r w:rsidR="00F0068D" w:rsidRPr="00675479">
        <w:rPr>
          <w:lang w:val="fr-CA"/>
        </w:rPr>
        <w:tab/>
        <w:t>1</w:t>
      </w:r>
      <w:r>
        <w:rPr>
          <w:lang w:val="fr-CA"/>
        </w:rPr>
        <w:t>62</w:t>
      </w:r>
      <w:r w:rsidR="00F0068D" w:rsidRPr="00675479">
        <w:rPr>
          <w:lang w:val="fr-CA"/>
        </w:rPr>
        <w:t xml:space="preserve"> - </w:t>
      </w:r>
      <w:r w:rsidR="00EE7E07">
        <w:rPr>
          <w:lang w:val="fr-CA"/>
        </w:rPr>
        <w:t>20</w:t>
      </w:r>
      <w:r w:rsidR="00914D3E">
        <w:rPr>
          <w:lang w:val="fr-CA"/>
        </w:rPr>
        <w:t>5</w:t>
      </w:r>
      <w:r w:rsidR="00440E24" w:rsidRPr="00675479">
        <w:rPr>
          <w:lang w:val="fr-CA"/>
        </w:rPr>
        <w:tab/>
      </w:r>
      <w:r w:rsidR="00440E24" w:rsidRPr="002E2327">
        <w:rPr>
          <w:lang w:val="fr-CA"/>
        </w:rPr>
        <w:t>Le</w:t>
      </w:r>
      <w:r w:rsidR="00C73D06">
        <w:rPr>
          <w:lang w:val="fr-CA"/>
        </w:rPr>
        <w:t xml:space="preserve"> </w:t>
      </w:r>
      <w:r w:rsidR="003359D3">
        <w:rPr>
          <w:lang w:val="fr-CA"/>
        </w:rPr>
        <w:t>1</w:t>
      </w:r>
      <w:r>
        <w:rPr>
          <w:lang w:val="fr-CA"/>
        </w:rPr>
        <w:t>0 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lastRenderedPageBreak/>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E83FE5">
            <w:pPr>
              <w:tabs>
                <w:tab w:val="right" w:pos="9360"/>
              </w:tabs>
              <w:rPr>
                <w:rFonts w:cs="Times New Roman"/>
                <w:sz w:val="20"/>
                <w:szCs w:val="20"/>
              </w:rPr>
            </w:pPr>
          </w:p>
        </w:tc>
        <w:tc>
          <w:tcPr>
            <w:tcW w:w="1980" w:type="dxa"/>
          </w:tcPr>
          <w:p w:rsidR="0095096B" w:rsidRPr="002E2327" w:rsidRDefault="00BF29D3" w:rsidP="0095096B">
            <w:pPr>
              <w:jc w:val="center"/>
              <w:rPr>
                <w:rFonts w:cs="Times New Roman"/>
                <w:sz w:val="20"/>
                <w:szCs w:val="20"/>
              </w:rPr>
            </w:pPr>
            <w:r>
              <w:rPr>
                <w:rFonts w:cs="Times New Roman"/>
                <w:sz w:val="20"/>
                <w:szCs w:val="20"/>
              </w:rPr>
              <w:t xml:space="preserve">162 </w:t>
            </w:r>
            <w:r w:rsidR="00FD28BB" w:rsidRPr="002E2327">
              <w:rPr>
                <w:rFonts w:cs="Times New Roman"/>
                <w:sz w:val="20"/>
                <w:szCs w:val="20"/>
              </w:rPr>
              <w:fldChar w:fldCharType="begin"/>
            </w:r>
            <w:r w:rsidR="0095096B" w:rsidRPr="002E2327">
              <w:rPr>
                <w:rFonts w:cs="Times New Roman"/>
                <w:sz w:val="20"/>
                <w:szCs w:val="20"/>
              </w:rPr>
              <w:instrText xml:space="preserve"> SEQ CHAPTER \h \r 1</w:instrText>
            </w:r>
            <w:r w:rsidR="00FD28BB" w:rsidRPr="002E2327">
              <w:rPr>
                <w:rFonts w:cs="Times New Roman"/>
                <w:sz w:val="20"/>
                <w:szCs w:val="20"/>
              </w:rPr>
              <w:fldChar w:fldCharType="end"/>
            </w:r>
            <w:r w:rsidR="0095096B" w:rsidRPr="002E2327">
              <w:rPr>
                <w:rFonts w:cs="Times New Roman"/>
                <w:sz w:val="20"/>
                <w:szCs w:val="20"/>
              </w:rPr>
              <w:t>-</w:t>
            </w:r>
            <w:r w:rsidR="00204A6F">
              <w:rPr>
                <w:rFonts w:cs="Times New Roman"/>
                <w:sz w:val="20"/>
                <w:szCs w:val="20"/>
              </w:rPr>
              <w:t xml:space="preserve"> 163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04A6F" w:rsidP="0095096B">
            <w:pPr>
              <w:jc w:val="center"/>
              <w:rPr>
                <w:rFonts w:cs="Times New Roman"/>
                <w:sz w:val="20"/>
                <w:szCs w:val="20"/>
              </w:rPr>
            </w:pPr>
            <w:r>
              <w:rPr>
                <w:rFonts w:cs="Times New Roman"/>
                <w:sz w:val="20"/>
                <w:szCs w:val="20"/>
              </w:rPr>
              <w:t>164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83FE5" w:rsidP="0095096B">
            <w:pPr>
              <w:jc w:val="center"/>
              <w:rPr>
                <w:rFonts w:cs="Times New Roman"/>
                <w:sz w:val="20"/>
                <w:szCs w:val="20"/>
              </w:rPr>
            </w:pPr>
            <w:r>
              <w:rPr>
                <w:rFonts w:cs="Times New Roman"/>
                <w:sz w:val="20"/>
                <w:szCs w:val="20"/>
              </w:rPr>
              <w:t xml:space="preserve">165 </w:t>
            </w:r>
            <w:r w:rsidR="0095096B" w:rsidRPr="002E2327">
              <w:rPr>
                <w:rFonts w:cs="Times New Roman"/>
                <w:sz w:val="20"/>
                <w:szCs w:val="20"/>
              </w:rPr>
              <w:t>-</w:t>
            </w:r>
            <w:r w:rsidR="00E56B51">
              <w:rPr>
                <w:rFonts w:cs="Times New Roman"/>
                <w:sz w:val="20"/>
                <w:szCs w:val="20"/>
              </w:rPr>
              <w:t xml:space="preserve"> 180</w:t>
            </w:r>
          </w:p>
          <w:p w:rsidR="0095096B" w:rsidRDefault="0095096B" w:rsidP="0095096B">
            <w:pPr>
              <w:jc w:val="center"/>
              <w:rPr>
                <w:rFonts w:cs="Times New Roman"/>
                <w:sz w:val="20"/>
                <w:szCs w:val="20"/>
              </w:rPr>
            </w:pPr>
          </w:p>
          <w:p w:rsidR="00E56B51" w:rsidRPr="002E2327" w:rsidRDefault="00E56B51" w:rsidP="0095096B">
            <w:pPr>
              <w:jc w:val="center"/>
              <w:rPr>
                <w:rFonts w:cs="Times New Roman"/>
                <w:sz w:val="20"/>
                <w:szCs w:val="20"/>
              </w:rPr>
            </w:pPr>
          </w:p>
          <w:p w:rsidR="0095096B" w:rsidRDefault="00E56B51" w:rsidP="0095096B">
            <w:pPr>
              <w:jc w:val="center"/>
              <w:rPr>
                <w:rFonts w:cs="Times New Roman"/>
                <w:sz w:val="20"/>
                <w:szCs w:val="20"/>
              </w:rPr>
            </w:pPr>
            <w:r>
              <w:rPr>
                <w:rFonts w:cs="Times New Roman"/>
                <w:sz w:val="20"/>
                <w:szCs w:val="20"/>
              </w:rPr>
              <w:t xml:space="preserve">181 </w:t>
            </w:r>
            <w:r w:rsidR="0095096B" w:rsidRPr="002E2327">
              <w:rPr>
                <w:rFonts w:cs="Times New Roman"/>
                <w:sz w:val="20"/>
                <w:szCs w:val="20"/>
              </w:rPr>
              <w:t>-</w:t>
            </w:r>
            <w:r>
              <w:rPr>
                <w:rFonts w:cs="Times New Roman"/>
                <w:sz w:val="20"/>
                <w:szCs w:val="20"/>
              </w:rPr>
              <w:t xml:space="preserve"> 190</w:t>
            </w:r>
          </w:p>
          <w:p w:rsidR="00E56B51" w:rsidRPr="002E2327" w:rsidRDefault="00E56B51" w:rsidP="0095096B">
            <w:pPr>
              <w:jc w:val="center"/>
              <w:rPr>
                <w:rFonts w:cs="Times New Roman"/>
                <w:sz w:val="20"/>
                <w:szCs w:val="20"/>
              </w:rPr>
            </w:pPr>
          </w:p>
          <w:p w:rsidR="0095096B" w:rsidRPr="002E2327" w:rsidRDefault="00E56B51" w:rsidP="0095096B">
            <w:pPr>
              <w:jc w:val="center"/>
              <w:rPr>
                <w:rFonts w:cs="Times New Roman"/>
                <w:sz w:val="20"/>
                <w:szCs w:val="20"/>
              </w:rPr>
            </w:pPr>
            <w:r>
              <w:rPr>
                <w:rFonts w:cs="Times New Roman"/>
                <w:sz w:val="20"/>
                <w:szCs w:val="20"/>
              </w:rPr>
              <w:t>191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56B51" w:rsidP="0095096B">
            <w:pPr>
              <w:jc w:val="center"/>
              <w:rPr>
                <w:rFonts w:cs="Times New Roman"/>
                <w:sz w:val="20"/>
                <w:szCs w:val="20"/>
              </w:rPr>
            </w:pPr>
            <w:r>
              <w:rPr>
                <w:rFonts w:cs="Times New Roman"/>
                <w:sz w:val="20"/>
                <w:szCs w:val="20"/>
              </w:rPr>
              <w:t xml:space="preserve">192 </w:t>
            </w:r>
            <w:r w:rsidR="0095096B" w:rsidRPr="002E2327">
              <w:rPr>
                <w:rFonts w:cs="Times New Roman"/>
                <w:sz w:val="20"/>
                <w:szCs w:val="20"/>
              </w:rPr>
              <w:t>-</w:t>
            </w:r>
            <w:r>
              <w:rPr>
                <w:rFonts w:cs="Times New Roman"/>
                <w:sz w:val="20"/>
                <w:szCs w:val="20"/>
              </w:rPr>
              <w:t xml:space="preserve"> 19</w:t>
            </w:r>
            <w:r w:rsidR="00251B16">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56B51" w:rsidP="0095096B">
            <w:pPr>
              <w:jc w:val="center"/>
              <w:rPr>
                <w:rFonts w:cs="Times New Roman"/>
                <w:sz w:val="20"/>
                <w:szCs w:val="20"/>
              </w:rPr>
            </w:pPr>
            <w:r>
              <w:rPr>
                <w:rFonts w:cs="Times New Roman"/>
                <w:sz w:val="20"/>
                <w:szCs w:val="20"/>
              </w:rPr>
              <w:t>19</w:t>
            </w:r>
            <w:r w:rsidR="00251B16">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56B51" w:rsidP="0095096B">
            <w:pPr>
              <w:jc w:val="center"/>
              <w:rPr>
                <w:rFonts w:cs="Times New Roman"/>
                <w:sz w:val="20"/>
                <w:szCs w:val="20"/>
              </w:rPr>
            </w:pPr>
            <w:r>
              <w:rPr>
                <w:rFonts w:cs="Times New Roman"/>
                <w:sz w:val="20"/>
                <w:szCs w:val="20"/>
              </w:rPr>
              <w:t>19</w:t>
            </w:r>
            <w:r w:rsidR="00251B16">
              <w:rPr>
                <w:rFonts w:cs="Times New Roman"/>
                <w:sz w:val="20"/>
                <w:szCs w:val="20"/>
              </w:rPr>
              <w:t>6</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w:t>
            </w:r>
            <w:r w:rsidR="00EE7E07">
              <w:rPr>
                <w:rFonts w:cs="Times New Roman"/>
                <w:sz w:val="20"/>
                <w:szCs w:val="20"/>
              </w:rPr>
              <w:t>20</w:t>
            </w:r>
            <w:r w:rsidR="00251B16">
              <w:rPr>
                <w:rFonts w:cs="Times New Roman"/>
                <w:sz w:val="20"/>
                <w:szCs w:val="20"/>
              </w:rPr>
              <w:t>5</w:t>
            </w:r>
          </w:p>
          <w:p w:rsidR="00A87207" w:rsidRPr="002E2327" w:rsidRDefault="00A87207" w:rsidP="00204A6F">
            <w:pPr>
              <w:tabs>
                <w:tab w:val="right" w:pos="9360"/>
              </w:tabs>
              <w:jc w:val="center"/>
              <w:rPr>
                <w:rFonts w:cs="Times New Roman"/>
                <w:sz w:val="20"/>
                <w:szCs w:val="20"/>
              </w:rPr>
            </w:pPr>
          </w:p>
        </w:tc>
        <w:tc>
          <w:tcPr>
            <w:tcW w:w="3888" w:type="dxa"/>
          </w:tcPr>
          <w:p w:rsidR="0095096B" w:rsidRPr="002E2327" w:rsidRDefault="00FD28BB"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83FE5">
            <w:pPr>
              <w:rPr>
                <w:rFonts w:cs="Times New Roman"/>
                <w:sz w:val="20"/>
                <w:szCs w:val="20"/>
                <w:lang w:val="fr-CA"/>
              </w:rPr>
            </w:pPr>
          </w:p>
        </w:tc>
      </w:tr>
    </w:tbl>
    <w:p w:rsidR="0095096B" w:rsidRDefault="0095096B" w:rsidP="0095096B">
      <w:pPr>
        <w:tabs>
          <w:tab w:val="right" w:pos="9360"/>
        </w:tabs>
      </w:pPr>
    </w:p>
    <w:p w:rsidR="00E83FE5" w:rsidRDefault="00E83FE5" w:rsidP="0095096B">
      <w:pPr>
        <w:tabs>
          <w:tab w:val="right" w:pos="9360"/>
        </w:tabs>
      </w:pPr>
    </w:p>
    <w:p w:rsidR="00E83FE5" w:rsidRDefault="00E83FE5" w:rsidP="0095096B">
      <w:pPr>
        <w:tabs>
          <w:tab w:val="right" w:pos="9360"/>
        </w:tabs>
      </w:pPr>
    </w:p>
    <w:p w:rsidR="00E83FE5" w:rsidRDefault="00E83FE5" w:rsidP="0095096B">
      <w:pPr>
        <w:tabs>
          <w:tab w:val="right" w:pos="9360"/>
        </w:tabs>
      </w:pPr>
    </w:p>
    <w:p w:rsidR="00E83FE5" w:rsidRDefault="00E83FE5" w:rsidP="0095096B">
      <w:pPr>
        <w:tabs>
          <w:tab w:val="right" w:pos="9360"/>
        </w:tabs>
      </w:pPr>
    </w:p>
    <w:p w:rsidR="00E83FE5" w:rsidRPr="002E2327" w:rsidRDefault="00E83FE5" w:rsidP="0095096B">
      <w:pPr>
        <w:tabs>
          <w:tab w:val="right" w:pos="9360"/>
        </w:tabs>
      </w:pPr>
    </w:p>
    <w:tbl>
      <w:tblPr>
        <w:tblStyle w:val="TableGrid"/>
        <w:tblW w:w="0" w:type="auto"/>
        <w:tblLook w:val="04A0"/>
      </w:tblPr>
      <w:tblGrid>
        <w:gridCol w:w="9576"/>
      </w:tblGrid>
      <w:tr w:rsidR="0079724F" w:rsidRPr="00251B1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673FB4" w:rsidTr="003B3977">
        <w:tc>
          <w:tcPr>
            <w:tcW w:w="4320" w:type="dxa"/>
            <w:shd w:val="clear" w:color="auto" w:fill="auto"/>
          </w:tcPr>
          <w:p w:rsidR="00242AEE" w:rsidRPr="00A935AA" w:rsidRDefault="00673FB4" w:rsidP="003B3977">
            <w:pPr>
              <w:rPr>
                <w:b/>
                <w:sz w:val="20"/>
                <w:szCs w:val="20"/>
              </w:rPr>
            </w:pPr>
            <w:r>
              <w:rPr>
                <w:b/>
                <w:sz w:val="20"/>
                <w:szCs w:val="20"/>
              </w:rPr>
              <w:t xml:space="preserve">Jean </w:t>
            </w:r>
            <w:proofErr w:type="spellStart"/>
            <w:r>
              <w:rPr>
                <w:b/>
                <w:sz w:val="20"/>
                <w:szCs w:val="20"/>
              </w:rPr>
              <w:t>Gaetan</w:t>
            </w:r>
            <w:proofErr w:type="spellEnd"/>
            <w:r>
              <w:rPr>
                <w:b/>
                <w:sz w:val="20"/>
                <w:szCs w:val="20"/>
              </w:rPr>
              <w:t xml:space="preserve"> </w:t>
            </w:r>
            <w:proofErr w:type="spellStart"/>
            <w:r>
              <w:rPr>
                <w:b/>
                <w:sz w:val="20"/>
                <w:szCs w:val="20"/>
              </w:rPr>
              <w:t>Gingras</w:t>
            </w:r>
            <w:proofErr w:type="spellEnd"/>
          </w:p>
          <w:p w:rsidR="00242AEE" w:rsidRPr="00A935AA" w:rsidRDefault="00242AEE" w:rsidP="003B3977">
            <w:pPr>
              <w:tabs>
                <w:tab w:val="left" w:pos="-1440"/>
                <w:tab w:val="left" w:pos="-720"/>
              </w:tabs>
              <w:rPr>
                <w:sz w:val="20"/>
                <w:szCs w:val="20"/>
              </w:rPr>
            </w:pPr>
            <w:r w:rsidRPr="00A935AA">
              <w:rPr>
                <w:sz w:val="20"/>
                <w:szCs w:val="20"/>
              </w:rPr>
              <w:tab/>
            </w:r>
            <w:r w:rsidR="00673FB4">
              <w:rPr>
                <w:sz w:val="20"/>
                <w:szCs w:val="20"/>
              </w:rPr>
              <w:t xml:space="preserve">Karen </w:t>
            </w:r>
            <w:proofErr w:type="spellStart"/>
            <w:r w:rsidR="00673FB4">
              <w:rPr>
                <w:sz w:val="20"/>
                <w:szCs w:val="20"/>
              </w:rPr>
              <w:t>Bastow</w:t>
            </w:r>
            <w:proofErr w:type="spellEnd"/>
          </w:p>
          <w:p w:rsidR="00242AEE" w:rsidRPr="00A935AA" w:rsidRDefault="00242AEE" w:rsidP="003B3977">
            <w:pPr>
              <w:tabs>
                <w:tab w:val="left" w:pos="-1440"/>
                <w:tab w:val="left" w:pos="-720"/>
              </w:tabs>
              <w:rPr>
                <w:sz w:val="20"/>
                <w:szCs w:val="20"/>
              </w:rPr>
            </w:pPr>
            <w:r w:rsidRPr="00A935AA">
              <w:rPr>
                <w:sz w:val="20"/>
                <w:szCs w:val="20"/>
              </w:rPr>
              <w:tab/>
            </w:r>
            <w:r w:rsidR="00673FB4">
              <w:rPr>
                <w:sz w:val="20"/>
                <w:szCs w:val="20"/>
              </w:rPr>
              <w:t>Myers, McMurdo &amp; Karp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BF29D3">
              <w:rPr>
                <w:sz w:val="20"/>
                <w:szCs w:val="20"/>
              </w:rPr>
              <w:t>4</w:t>
            </w:r>
            <w:r w:rsidR="00673FB4">
              <w:rPr>
                <w:sz w:val="20"/>
                <w:szCs w:val="20"/>
              </w:rPr>
              <w:t>61</w:t>
            </w:r>
            <w:r w:rsidR="00BF29D3">
              <w:rPr>
                <w:sz w:val="20"/>
                <w:szCs w:val="20"/>
              </w:rPr>
              <w:t>5</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673FB4" w:rsidP="003B3977">
            <w:pPr>
              <w:tabs>
                <w:tab w:val="left" w:pos="-1440"/>
                <w:tab w:val="left" w:pos="-720"/>
              </w:tabs>
              <w:rPr>
                <w:b/>
                <w:sz w:val="20"/>
                <w:szCs w:val="20"/>
              </w:rPr>
            </w:pPr>
            <w:r>
              <w:rPr>
                <w:b/>
                <w:sz w:val="20"/>
                <w:szCs w:val="20"/>
              </w:rPr>
              <w:t xml:space="preserve">Her Majesty the Queen et al. </w:t>
            </w:r>
            <w:r w:rsidR="00242AEE" w:rsidRPr="00A935AA">
              <w:rPr>
                <w:b/>
                <w:sz w:val="20"/>
                <w:szCs w:val="20"/>
              </w:rPr>
              <w:t>(B.C.)</w:t>
            </w:r>
          </w:p>
          <w:p w:rsidR="00242AEE" w:rsidRPr="00A935AA" w:rsidRDefault="00242AEE" w:rsidP="003B3977">
            <w:pPr>
              <w:tabs>
                <w:tab w:val="left" w:pos="-1440"/>
                <w:tab w:val="left" w:pos="-720"/>
              </w:tabs>
              <w:rPr>
                <w:sz w:val="20"/>
                <w:szCs w:val="20"/>
              </w:rPr>
            </w:pPr>
            <w:r w:rsidRPr="00A935AA">
              <w:rPr>
                <w:sz w:val="20"/>
                <w:szCs w:val="20"/>
              </w:rPr>
              <w:tab/>
            </w:r>
            <w:r w:rsidR="00673FB4">
              <w:rPr>
                <w:sz w:val="20"/>
                <w:szCs w:val="20"/>
              </w:rPr>
              <w:t>Martha M. Devlin, Q.C.</w:t>
            </w:r>
          </w:p>
          <w:p w:rsidR="00242AEE" w:rsidRPr="00A935AA" w:rsidRDefault="00242AEE" w:rsidP="003B3977">
            <w:pPr>
              <w:tabs>
                <w:tab w:val="left" w:pos="-1440"/>
                <w:tab w:val="left" w:pos="-720"/>
              </w:tabs>
              <w:rPr>
                <w:sz w:val="20"/>
                <w:szCs w:val="20"/>
              </w:rPr>
            </w:pPr>
            <w:r w:rsidRPr="00A935AA">
              <w:rPr>
                <w:sz w:val="20"/>
                <w:szCs w:val="20"/>
              </w:rPr>
              <w:tab/>
            </w:r>
            <w:r w:rsidR="00673FB4">
              <w:rPr>
                <w:sz w:val="20"/>
                <w:szCs w:val="20"/>
              </w:rPr>
              <w:t>A.G.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673FB4">
              <w:rPr>
                <w:sz w:val="20"/>
                <w:szCs w:val="20"/>
              </w:rPr>
              <w:t>11</w:t>
            </w:r>
            <w:r w:rsidRPr="00A935AA">
              <w:rPr>
                <w:sz w:val="20"/>
                <w:szCs w:val="20"/>
              </w:rPr>
              <w:t>.0</w:t>
            </w:r>
            <w:r w:rsidR="00BF29D3">
              <w:rPr>
                <w:sz w:val="20"/>
                <w:szCs w:val="20"/>
              </w:rPr>
              <w:t>1</w:t>
            </w:r>
            <w:r w:rsidRPr="00A935AA">
              <w:rPr>
                <w:sz w:val="20"/>
                <w:szCs w:val="20"/>
              </w:rPr>
              <w:t>.201</w:t>
            </w:r>
            <w:r w:rsidR="00BF29D3">
              <w:rPr>
                <w:sz w:val="20"/>
                <w:szCs w:val="20"/>
              </w:rPr>
              <w:t>2</w:t>
            </w:r>
          </w:p>
          <w:p w:rsidR="00242AEE" w:rsidRPr="00A935AA" w:rsidRDefault="00FD28BB" w:rsidP="003B3977">
            <w:pPr>
              <w:rPr>
                <w:sz w:val="20"/>
                <w:szCs w:val="20"/>
              </w:rPr>
            </w:pPr>
            <w:r w:rsidRPr="00FD28B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204A6F" w:rsidRDefault="00673FB4" w:rsidP="003B3977">
            <w:pPr>
              <w:keepNext/>
              <w:keepLines/>
              <w:tabs>
                <w:tab w:val="left" w:pos="-1440"/>
                <w:tab w:val="left" w:pos="-720"/>
              </w:tabs>
              <w:rPr>
                <w:b/>
                <w:sz w:val="20"/>
                <w:szCs w:val="20"/>
                <w:lang w:val="fr-CA"/>
              </w:rPr>
            </w:pPr>
            <w:r w:rsidRPr="00204A6F">
              <w:rPr>
                <w:b/>
                <w:sz w:val="20"/>
                <w:szCs w:val="20"/>
                <w:lang w:val="fr-CA"/>
              </w:rPr>
              <w:t xml:space="preserve">Émile </w:t>
            </w:r>
            <w:proofErr w:type="spellStart"/>
            <w:r w:rsidRPr="00204A6F">
              <w:rPr>
                <w:b/>
                <w:sz w:val="20"/>
                <w:szCs w:val="20"/>
                <w:lang w:val="fr-CA"/>
              </w:rPr>
              <w:t>Lavallée</w:t>
            </w:r>
            <w:proofErr w:type="spellEnd"/>
          </w:p>
          <w:p w:rsidR="00242AEE" w:rsidRPr="00204A6F" w:rsidRDefault="00242AEE" w:rsidP="003B3977">
            <w:pPr>
              <w:keepNext/>
              <w:keepLines/>
              <w:tabs>
                <w:tab w:val="left" w:pos="-1440"/>
                <w:tab w:val="left" w:pos="-720"/>
              </w:tabs>
              <w:rPr>
                <w:sz w:val="20"/>
                <w:szCs w:val="20"/>
                <w:lang w:val="fr-CA"/>
              </w:rPr>
            </w:pPr>
            <w:r w:rsidRPr="00204A6F">
              <w:rPr>
                <w:sz w:val="20"/>
                <w:szCs w:val="20"/>
                <w:lang w:val="fr-CA"/>
              </w:rPr>
              <w:tab/>
            </w:r>
            <w:r w:rsidR="00673FB4" w:rsidRPr="00204A6F">
              <w:rPr>
                <w:sz w:val="20"/>
                <w:szCs w:val="20"/>
                <w:lang w:val="fr-CA"/>
              </w:rPr>
              <w:t xml:space="preserve">Émile </w:t>
            </w:r>
            <w:proofErr w:type="spellStart"/>
            <w:r w:rsidR="00673FB4" w:rsidRPr="00204A6F">
              <w:rPr>
                <w:sz w:val="20"/>
                <w:szCs w:val="20"/>
                <w:lang w:val="fr-CA"/>
              </w:rPr>
              <w:t>Lavallée</w:t>
            </w:r>
            <w:proofErr w:type="spellEnd"/>
          </w:p>
          <w:p w:rsidR="00242AEE" w:rsidRPr="00204A6F" w:rsidRDefault="00242AEE" w:rsidP="003B3977">
            <w:pPr>
              <w:keepNext/>
              <w:keepLines/>
              <w:tabs>
                <w:tab w:val="left" w:pos="-1440"/>
                <w:tab w:val="left" w:pos="-720"/>
              </w:tabs>
              <w:rPr>
                <w:sz w:val="20"/>
                <w:szCs w:val="20"/>
                <w:lang w:val="fr-CA"/>
              </w:rPr>
            </w:pPr>
          </w:p>
          <w:p w:rsidR="00242AEE" w:rsidRPr="00A935AA" w:rsidRDefault="00242AEE" w:rsidP="003B3977">
            <w:pPr>
              <w:keepNext/>
              <w:keepLines/>
              <w:tabs>
                <w:tab w:val="left" w:pos="-1440"/>
                <w:tab w:val="left" w:pos="-720"/>
              </w:tabs>
              <w:rPr>
                <w:sz w:val="20"/>
                <w:szCs w:val="20"/>
                <w:lang w:val="fr-CA"/>
              </w:rPr>
            </w:pPr>
            <w:r w:rsidRPr="00204A6F">
              <w:rPr>
                <w:sz w:val="20"/>
                <w:szCs w:val="20"/>
                <w:lang w:val="fr-CA"/>
              </w:rPr>
              <w:tab/>
            </w:r>
            <w:r w:rsidR="00673FB4" w:rsidRPr="00673FB4">
              <w:rPr>
                <w:sz w:val="20"/>
                <w:szCs w:val="20"/>
                <w:lang w:val="fr-CA"/>
              </w:rPr>
              <w:t>c</w:t>
            </w:r>
            <w:r w:rsidRPr="00A935AA">
              <w:rPr>
                <w:sz w:val="20"/>
                <w:szCs w:val="20"/>
                <w:lang w:val="fr-CA"/>
              </w:rPr>
              <w:t>. (3</w:t>
            </w:r>
            <w:r w:rsidR="00BF29D3">
              <w:rPr>
                <w:sz w:val="20"/>
                <w:szCs w:val="20"/>
                <w:lang w:val="fr-CA"/>
              </w:rPr>
              <w:t>4</w:t>
            </w:r>
            <w:r w:rsidR="00673FB4">
              <w:rPr>
                <w:sz w:val="20"/>
                <w:szCs w:val="20"/>
                <w:lang w:val="fr-CA"/>
              </w:rPr>
              <w:t>633</w:t>
            </w:r>
            <w:r w:rsidRPr="00A935AA">
              <w:rPr>
                <w:sz w:val="20"/>
                <w:szCs w:val="20"/>
                <w:lang w:val="fr-CA"/>
              </w:rPr>
              <w:t>)</w:t>
            </w:r>
          </w:p>
          <w:p w:rsidR="00242AEE" w:rsidRPr="00A935AA" w:rsidRDefault="00242AEE" w:rsidP="003B3977">
            <w:pPr>
              <w:keepNext/>
              <w:keepLines/>
              <w:tabs>
                <w:tab w:val="left" w:pos="-1440"/>
                <w:tab w:val="left" w:pos="-720"/>
              </w:tabs>
              <w:rPr>
                <w:sz w:val="20"/>
                <w:szCs w:val="20"/>
                <w:lang w:val="fr-CA"/>
              </w:rPr>
            </w:pPr>
          </w:p>
          <w:p w:rsidR="00242AEE" w:rsidRPr="00A935AA" w:rsidRDefault="00673FB4" w:rsidP="003B3977">
            <w:pPr>
              <w:keepNext/>
              <w:keepLines/>
              <w:tabs>
                <w:tab w:val="left" w:pos="-1440"/>
                <w:tab w:val="left" w:pos="-720"/>
              </w:tabs>
              <w:rPr>
                <w:b/>
                <w:sz w:val="20"/>
                <w:szCs w:val="20"/>
                <w:lang w:val="fr-CA"/>
              </w:rPr>
            </w:pPr>
            <w:r>
              <w:rPr>
                <w:b/>
                <w:sz w:val="20"/>
                <w:szCs w:val="20"/>
                <w:lang w:val="fr-CA"/>
              </w:rPr>
              <w:t xml:space="preserve">Yvan Simard et autre </w:t>
            </w:r>
            <w:r w:rsidR="00242AEE" w:rsidRPr="00A935AA">
              <w:rPr>
                <w:b/>
                <w:sz w:val="20"/>
                <w:szCs w:val="20"/>
                <w:lang w:val="fr-CA"/>
              </w:rPr>
              <w:t>(</w:t>
            </w:r>
            <w:proofErr w:type="spellStart"/>
            <w:r>
              <w:rPr>
                <w:b/>
                <w:sz w:val="20"/>
                <w:szCs w:val="20"/>
                <w:lang w:val="fr-CA"/>
              </w:rPr>
              <w:t>Qc</w:t>
            </w:r>
            <w:proofErr w:type="spellEnd"/>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673FB4">
              <w:rPr>
                <w:sz w:val="20"/>
                <w:szCs w:val="20"/>
                <w:lang w:val="fr-CA"/>
              </w:rPr>
              <w:t xml:space="preserve">Susan </w:t>
            </w:r>
            <w:proofErr w:type="spellStart"/>
            <w:r w:rsidR="00673FB4">
              <w:rPr>
                <w:sz w:val="20"/>
                <w:szCs w:val="20"/>
                <w:lang w:val="fr-CA"/>
              </w:rPr>
              <w:t>Nour</w:t>
            </w:r>
            <w:proofErr w:type="spellEnd"/>
          </w:p>
          <w:p w:rsidR="00242AEE" w:rsidRPr="00A935AA" w:rsidRDefault="00242AEE" w:rsidP="003B3977">
            <w:pPr>
              <w:keepNext/>
              <w:keepLines/>
              <w:tabs>
                <w:tab w:val="left" w:pos="-1440"/>
                <w:tab w:val="left" w:pos="-720"/>
              </w:tabs>
              <w:rPr>
                <w:sz w:val="20"/>
                <w:szCs w:val="20"/>
                <w:lang w:val="fr-CA"/>
              </w:rPr>
            </w:pPr>
          </w:p>
          <w:p w:rsidR="00242AEE" w:rsidRDefault="00673FB4" w:rsidP="00BF29D3">
            <w:pPr>
              <w:rPr>
                <w:sz w:val="20"/>
                <w:szCs w:val="20"/>
                <w:lang w:val="fr-CA"/>
              </w:rPr>
            </w:pPr>
            <w:r>
              <w:rPr>
                <w:sz w:val="20"/>
                <w:szCs w:val="20"/>
                <w:lang w:val="fr-CA"/>
              </w:rPr>
              <w:t>DAT</w:t>
            </w:r>
            <w:r w:rsidR="00242AEE" w:rsidRPr="00673FB4">
              <w:rPr>
                <w:sz w:val="20"/>
                <w:szCs w:val="20"/>
                <w:lang w:val="fr-CA"/>
              </w:rPr>
              <w:t>E</w:t>
            </w:r>
            <w:r>
              <w:rPr>
                <w:sz w:val="20"/>
                <w:szCs w:val="20"/>
                <w:lang w:val="fr-CA"/>
              </w:rPr>
              <w:t xml:space="preserve"> DE PRODUCTION </w:t>
            </w:r>
            <w:r w:rsidR="00242AEE" w:rsidRPr="00673FB4">
              <w:rPr>
                <w:sz w:val="20"/>
                <w:szCs w:val="20"/>
                <w:lang w:val="fr-CA"/>
              </w:rPr>
              <w:t xml:space="preserve">: </w:t>
            </w:r>
            <w:r w:rsidR="00E556B4">
              <w:rPr>
                <w:sz w:val="20"/>
                <w:szCs w:val="20"/>
                <w:lang w:val="fr-CA"/>
              </w:rPr>
              <w:t>19</w:t>
            </w:r>
            <w:r w:rsidR="00242AEE" w:rsidRPr="00673FB4">
              <w:rPr>
                <w:sz w:val="20"/>
                <w:szCs w:val="20"/>
                <w:lang w:val="fr-CA"/>
              </w:rPr>
              <w:t>.0</w:t>
            </w:r>
            <w:r w:rsidR="00BF29D3" w:rsidRPr="00673FB4">
              <w:rPr>
                <w:sz w:val="20"/>
                <w:szCs w:val="20"/>
                <w:lang w:val="fr-CA"/>
              </w:rPr>
              <w:t>1</w:t>
            </w:r>
            <w:r w:rsidR="00242AEE" w:rsidRPr="00673FB4">
              <w:rPr>
                <w:sz w:val="20"/>
                <w:szCs w:val="20"/>
                <w:lang w:val="fr-CA"/>
              </w:rPr>
              <w:t>.201</w:t>
            </w:r>
            <w:r w:rsidR="00BF29D3" w:rsidRPr="00673FB4">
              <w:rPr>
                <w:sz w:val="20"/>
                <w:szCs w:val="20"/>
                <w:lang w:val="fr-CA"/>
              </w:rPr>
              <w:t>2</w:t>
            </w:r>
            <w:r w:rsidR="00FD28BB" w:rsidRPr="00FD28BB">
              <w:rPr>
                <w:sz w:val="20"/>
                <w:szCs w:val="20"/>
                <w:lang w:val="fr-CA"/>
              </w:rPr>
              <w:pict>
                <v:rect id="_x0000_i1026" style="width:108pt;height:1pt" o:hrpct="0" o:hralign="center" o:hrstd="t" o:hrnoshade="t" o:hr="t" fillcolor="black [3213]" stroked="f"/>
              </w:pict>
            </w:r>
          </w:p>
          <w:p w:rsidR="00BA22AC" w:rsidRDefault="00BA22AC" w:rsidP="00BF29D3">
            <w:pPr>
              <w:rPr>
                <w:sz w:val="20"/>
                <w:szCs w:val="20"/>
                <w:lang w:val="fr-CA"/>
              </w:rPr>
            </w:pPr>
          </w:p>
          <w:p w:rsidR="00BA22AC" w:rsidRPr="00204A6F" w:rsidRDefault="00BA22AC" w:rsidP="00BF29D3">
            <w:pPr>
              <w:rPr>
                <w:b/>
                <w:sz w:val="20"/>
                <w:szCs w:val="20"/>
              </w:rPr>
            </w:pPr>
            <w:r w:rsidRPr="00204A6F">
              <w:rPr>
                <w:b/>
                <w:sz w:val="20"/>
                <w:szCs w:val="20"/>
              </w:rPr>
              <w:t>Reverend Brian Hart</w:t>
            </w:r>
          </w:p>
          <w:p w:rsidR="00BA22AC" w:rsidRPr="00204A6F" w:rsidRDefault="00BA22AC" w:rsidP="00BF29D3">
            <w:pPr>
              <w:rPr>
                <w:sz w:val="20"/>
                <w:szCs w:val="20"/>
              </w:rPr>
            </w:pPr>
            <w:r w:rsidRPr="00204A6F">
              <w:rPr>
                <w:sz w:val="20"/>
                <w:szCs w:val="20"/>
              </w:rPr>
              <w:tab/>
              <w:t>J. Keenan Sprague</w:t>
            </w:r>
          </w:p>
        </w:tc>
      </w:tr>
      <w:tr w:rsidR="00BF29D3" w:rsidRPr="00A935AA" w:rsidTr="003B3977">
        <w:tc>
          <w:tcPr>
            <w:tcW w:w="4320" w:type="dxa"/>
            <w:shd w:val="clear" w:color="auto" w:fill="auto"/>
          </w:tcPr>
          <w:p w:rsidR="00BF29D3" w:rsidRPr="00BA22AC" w:rsidRDefault="005E05C9" w:rsidP="00BF29D3">
            <w:pPr>
              <w:rPr>
                <w:b/>
                <w:sz w:val="20"/>
                <w:szCs w:val="20"/>
              </w:rPr>
            </w:pPr>
            <w:r>
              <w:rPr>
                <w:b/>
                <w:sz w:val="20"/>
                <w:szCs w:val="20"/>
              </w:rPr>
              <w:t xml:space="preserve">Adam </w:t>
            </w:r>
            <w:proofErr w:type="spellStart"/>
            <w:r>
              <w:rPr>
                <w:b/>
                <w:sz w:val="20"/>
                <w:szCs w:val="20"/>
              </w:rPr>
              <w:t>Karpinski</w:t>
            </w:r>
            <w:proofErr w:type="spellEnd"/>
          </w:p>
          <w:p w:rsidR="00BF29D3" w:rsidRPr="00BA22AC" w:rsidRDefault="00BF29D3" w:rsidP="00BF29D3">
            <w:pPr>
              <w:tabs>
                <w:tab w:val="left" w:pos="-1440"/>
                <w:tab w:val="left" w:pos="-720"/>
              </w:tabs>
              <w:rPr>
                <w:sz w:val="20"/>
                <w:szCs w:val="20"/>
              </w:rPr>
            </w:pPr>
            <w:r w:rsidRPr="00BA22AC">
              <w:rPr>
                <w:sz w:val="20"/>
                <w:szCs w:val="20"/>
              </w:rPr>
              <w:tab/>
            </w:r>
            <w:r w:rsidR="005E05C9">
              <w:rPr>
                <w:sz w:val="20"/>
                <w:szCs w:val="20"/>
              </w:rPr>
              <w:t xml:space="preserve">Adam </w:t>
            </w:r>
            <w:proofErr w:type="spellStart"/>
            <w:r w:rsidR="005E05C9">
              <w:rPr>
                <w:sz w:val="20"/>
                <w:szCs w:val="20"/>
              </w:rPr>
              <w:t>Karpinski</w:t>
            </w:r>
            <w:proofErr w:type="spellEnd"/>
            <w:r w:rsidR="00BA22AC" w:rsidRPr="00BA22AC">
              <w:rPr>
                <w:sz w:val="20"/>
                <w:szCs w:val="20"/>
              </w:rPr>
              <w:t xml:space="preserve"> </w:t>
            </w:r>
          </w:p>
          <w:p w:rsidR="00BF29D3" w:rsidRPr="00BA22AC" w:rsidRDefault="00BF29D3" w:rsidP="00BF29D3">
            <w:pPr>
              <w:tabs>
                <w:tab w:val="left" w:pos="-1440"/>
                <w:tab w:val="left" w:pos="-720"/>
              </w:tabs>
              <w:rPr>
                <w:sz w:val="20"/>
                <w:szCs w:val="20"/>
              </w:rPr>
            </w:pPr>
          </w:p>
          <w:p w:rsidR="00BF29D3" w:rsidRPr="00A935AA" w:rsidRDefault="00BF29D3" w:rsidP="00BF29D3">
            <w:pPr>
              <w:tabs>
                <w:tab w:val="left" w:pos="-1440"/>
                <w:tab w:val="left" w:pos="-720"/>
              </w:tabs>
              <w:rPr>
                <w:sz w:val="20"/>
                <w:szCs w:val="20"/>
              </w:rPr>
            </w:pPr>
            <w:r w:rsidRPr="00BA22AC">
              <w:rPr>
                <w:sz w:val="20"/>
                <w:szCs w:val="20"/>
              </w:rPr>
              <w:tab/>
            </w:r>
            <w:r w:rsidRPr="00A935AA">
              <w:rPr>
                <w:sz w:val="20"/>
                <w:szCs w:val="20"/>
              </w:rPr>
              <w:t>v. (3</w:t>
            </w:r>
            <w:r>
              <w:rPr>
                <w:sz w:val="20"/>
                <w:szCs w:val="20"/>
              </w:rPr>
              <w:t>4</w:t>
            </w:r>
            <w:r w:rsidR="00BA22AC">
              <w:rPr>
                <w:sz w:val="20"/>
                <w:szCs w:val="20"/>
              </w:rPr>
              <w:t>6</w:t>
            </w:r>
            <w:r w:rsidR="005E05C9">
              <w:rPr>
                <w:sz w:val="20"/>
                <w:szCs w:val="20"/>
              </w:rPr>
              <w:t>31</w:t>
            </w:r>
            <w:r w:rsidRPr="00A935AA">
              <w:rPr>
                <w:sz w:val="20"/>
                <w:szCs w:val="20"/>
              </w:rPr>
              <w:t>)</w:t>
            </w:r>
          </w:p>
          <w:p w:rsidR="00BF29D3" w:rsidRPr="00A935AA" w:rsidRDefault="00BF29D3" w:rsidP="00BF29D3">
            <w:pPr>
              <w:tabs>
                <w:tab w:val="left" w:pos="-1440"/>
                <w:tab w:val="left" w:pos="-720"/>
              </w:tabs>
              <w:rPr>
                <w:sz w:val="20"/>
                <w:szCs w:val="20"/>
              </w:rPr>
            </w:pPr>
          </w:p>
          <w:p w:rsidR="00BF29D3" w:rsidRPr="005E05C9" w:rsidRDefault="005E05C9" w:rsidP="00BF29D3">
            <w:pPr>
              <w:tabs>
                <w:tab w:val="left" w:pos="-1440"/>
                <w:tab w:val="left" w:pos="-720"/>
              </w:tabs>
              <w:rPr>
                <w:b/>
                <w:sz w:val="20"/>
                <w:szCs w:val="20"/>
                <w:lang w:val="fr-CA"/>
              </w:rPr>
            </w:pPr>
            <w:r w:rsidRPr="005E05C9">
              <w:rPr>
                <w:b/>
                <w:sz w:val="20"/>
                <w:szCs w:val="20"/>
                <w:lang w:val="fr-CA"/>
              </w:rPr>
              <w:t xml:space="preserve">Pierre Sylvestre et al. </w:t>
            </w:r>
            <w:r w:rsidR="00BF29D3" w:rsidRPr="005E05C9">
              <w:rPr>
                <w:b/>
                <w:sz w:val="20"/>
                <w:szCs w:val="20"/>
                <w:lang w:val="fr-CA"/>
              </w:rPr>
              <w:t>(</w:t>
            </w:r>
            <w:r w:rsidRPr="005E05C9">
              <w:rPr>
                <w:b/>
                <w:sz w:val="20"/>
                <w:szCs w:val="20"/>
                <w:lang w:val="fr-CA"/>
              </w:rPr>
              <w:t>Que.</w:t>
            </w:r>
            <w:r w:rsidR="00BF29D3" w:rsidRPr="005E05C9">
              <w:rPr>
                <w:b/>
                <w:sz w:val="20"/>
                <w:szCs w:val="20"/>
                <w:lang w:val="fr-CA"/>
              </w:rPr>
              <w:t>)</w:t>
            </w:r>
          </w:p>
          <w:p w:rsidR="00BF29D3" w:rsidRPr="005E05C9" w:rsidRDefault="00BF29D3" w:rsidP="00BF29D3">
            <w:pPr>
              <w:tabs>
                <w:tab w:val="left" w:pos="-1440"/>
                <w:tab w:val="left" w:pos="-720"/>
              </w:tabs>
              <w:rPr>
                <w:sz w:val="20"/>
                <w:szCs w:val="20"/>
                <w:lang w:val="fr-CA"/>
              </w:rPr>
            </w:pPr>
            <w:r w:rsidRPr="005E05C9">
              <w:rPr>
                <w:sz w:val="20"/>
                <w:szCs w:val="20"/>
                <w:lang w:val="fr-CA"/>
              </w:rPr>
              <w:tab/>
            </w:r>
            <w:r w:rsidR="005E05C9">
              <w:rPr>
                <w:sz w:val="20"/>
                <w:szCs w:val="20"/>
                <w:lang w:val="fr-CA"/>
              </w:rPr>
              <w:t>Jean-François Carpentier</w:t>
            </w:r>
          </w:p>
          <w:p w:rsidR="00BF29D3" w:rsidRPr="00204A6F" w:rsidRDefault="00BF29D3" w:rsidP="00BF29D3">
            <w:pPr>
              <w:tabs>
                <w:tab w:val="left" w:pos="-1440"/>
                <w:tab w:val="left" w:pos="-720"/>
              </w:tabs>
              <w:rPr>
                <w:sz w:val="20"/>
                <w:szCs w:val="20"/>
                <w:lang w:val="fr-CA"/>
              </w:rPr>
            </w:pPr>
            <w:r w:rsidRPr="005E05C9">
              <w:rPr>
                <w:sz w:val="20"/>
                <w:szCs w:val="20"/>
                <w:lang w:val="fr-CA"/>
              </w:rPr>
              <w:tab/>
            </w:r>
            <w:r w:rsidR="005E05C9" w:rsidRPr="00204A6F">
              <w:rPr>
                <w:sz w:val="20"/>
                <w:szCs w:val="20"/>
                <w:lang w:val="fr-CA"/>
              </w:rPr>
              <w:t xml:space="preserve">Kugler </w:t>
            </w:r>
            <w:proofErr w:type="spellStart"/>
            <w:r w:rsidR="005E05C9" w:rsidRPr="00204A6F">
              <w:rPr>
                <w:sz w:val="20"/>
                <w:szCs w:val="20"/>
                <w:lang w:val="fr-CA"/>
              </w:rPr>
              <w:t>Kandestin</w:t>
            </w:r>
            <w:proofErr w:type="spellEnd"/>
            <w:r w:rsidR="005E05C9" w:rsidRPr="00204A6F">
              <w:rPr>
                <w:sz w:val="20"/>
                <w:szCs w:val="20"/>
                <w:lang w:val="fr-CA"/>
              </w:rPr>
              <w:t xml:space="preserve"> LLP</w:t>
            </w:r>
          </w:p>
          <w:p w:rsidR="00BF29D3" w:rsidRPr="00204A6F" w:rsidRDefault="00BF29D3" w:rsidP="00BF29D3">
            <w:pPr>
              <w:tabs>
                <w:tab w:val="left" w:pos="-1440"/>
                <w:tab w:val="left" w:pos="-720"/>
              </w:tabs>
              <w:rPr>
                <w:sz w:val="20"/>
                <w:szCs w:val="20"/>
                <w:lang w:val="fr-CA"/>
              </w:rPr>
            </w:pPr>
          </w:p>
          <w:p w:rsidR="00BF29D3" w:rsidRPr="00A935AA" w:rsidRDefault="00BF29D3" w:rsidP="00BF29D3">
            <w:pPr>
              <w:rPr>
                <w:sz w:val="20"/>
                <w:szCs w:val="20"/>
              </w:rPr>
            </w:pPr>
            <w:r w:rsidRPr="00A935AA">
              <w:rPr>
                <w:sz w:val="20"/>
                <w:szCs w:val="20"/>
              </w:rPr>
              <w:t>FILING DATE: 2</w:t>
            </w:r>
            <w:r w:rsidR="005E05C9">
              <w:rPr>
                <w:sz w:val="20"/>
                <w:szCs w:val="20"/>
              </w:rPr>
              <w:t>0</w:t>
            </w:r>
            <w:r w:rsidRPr="00A935AA">
              <w:rPr>
                <w:sz w:val="20"/>
                <w:szCs w:val="20"/>
              </w:rPr>
              <w:t>.0</w:t>
            </w:r>
            <w:r>
              <w:rPr>
                <w:sz w:val="20"/>
                <w:szCs w:val="20"/>
              </w:rPr>
              <w:t>1</w:t>
            </w:r>
            <w:r w:rsidRPr="00A935AA">
              <w:rPr>
                <w:sz w:val="20"/>
                <w:szCs w:val="20"/>
              </w:rPr>
              <w:t>.201</w:t>
            </w:r>
            <w:r>
              <w:rPr>
                <w:sz w:val="20"/>
                <w:szCs w:val="20"/>
              </w:rPr>
              <w:t>2</w:t>
            </w:r>
          </w:p>
          <w:p w:rsidR="00BF29D3" w:rsidRPr="00A935AA" w:rsidRDefault="00FD28BB" w:rsidP="00BF29D3">
            <w:pPr>
              <w:rPr>
                <w:sz w:val="20"/>
                <w:szCs w:val="20"/>
              </w:rPr>
            </w:pPr>
            <w:r w:rsidRPr="00FD28BB">
              <w:rPr>
                <w:sz w:val="20"/>
                <w:szCs w:val="20"/>
                <w:lang w:val="fr-CA"/>
              </w:rPr>
              <w:pict>
                <v:rect id="_x0000_i1027" style="width:108pt;height:1pt" o:hrpct="0" o:hralign="center" o:hrstd="t" o:hrnoshade="t" o:hr="t" fillcolor="black [3213]" stroked="f"/>
              </w:pict>
            </w:r>
          </w:p>
        </w:tc>
        <w:tc>
          <w:tcPr>
            <w:tcW w:w="1181" w:type="dxa"/>
            <w:shd w:val="clear" w:color="auto" w:fill="auto"/>
          </w:tcPr>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tc>
        <w:tc>
          <w:tcPr>
            <w:tcW w:w="4320" w:type="dxa"/>
            <w:shd w:val="clear" w:color="auto" w:fill="auto"/>
          </w:tcPr>
          <w:p w:rsidR="00BF29D3" w:rsidRPr="00A935AA" w:rsidRDefault="00BF29D3" w:rsidP="00BF29D3">
            <w:pPr>
              <w:keepNext/>
              <w:keepLines/>
              <w:tabs>
                <w:tab w:val="left" w:pos="-1440"/>
                <w:tab w:val="left" w:pos="-720"/>
              </w:tabs>
              <w:rPr>
                <w:sz w:val="20"/>
                <w:szCs w:val="20"/>
              </w:rPr>
            </w:pPr>
            <w:r w:rsidRPr="00A935AA">
              <w:rPr>
                <w:sz w:val="20"/>
                <w:szCs w:val="20"/>
              </w:rPr>
              <w:tab/>
            </w:r>
            <w:r w:rsidR="00BA22AC">
              <w:rPr>
                <w:sz w:val="20"/>
                <w:szCs w:val="20"/>
              </w:rPr>
              <w:t>Baldwin Law Professional Corporation</w:t>
            </w:r>
          </w:p>
          <w:p w:rsidR="00BF29D3" w:rsidRPr="00A935AA" w:rsidRDefault="00BF29D3" w:rsidP="00BF29D3">
            <w:pPr>
              <w:keepNext/>
              <w:keepLines/>
              <w:tabs>
                <w:tab w:val="left" w:pos="-1440"/>
                <w:tab w:val="left" w:pos="-720"/>
              </w:tabs>
              <w:rPr>
                <w:sz w:val="20"/>
                <w:szCs w:val="20"/>
              </w:rPr>
            </w:pPr>
          </w:p>
          <w:p w:rsidR="00BF29D3" w:rsidRPr="00BA22AC" w:rsidRDefault="00BF29D3" w:rsidP="00BF29D3">
            <w:pPr>
              <w:keepNext/>
              <w:keepLines/>
              <w:tabs>
                <w:tab w:val="left" w:pos="-1440"/>
                <w:tab w:val="left" w:pos="-720"/>
              </w:tabs>
              <w:rPr>
                <w:sz w:val="20"/>
                <w:szCs w:val="20"/>
              </w:rPr>
            </w:pPr>
            <w:r w:rsidRPr="00A935AA">
              <w:rPr>
                <w:sz w:val="20"/>
                <w:szCs w:val="20"/>
              </w:rPr>
              <w:tab/>
            </w:r>
            <w:r w:rsidRPr="00BA22AC">
              <w:rPr>
                <w:sz w:val="20"/>
                <w:szCs w:val="20"/>
              </w:rPr>
              <w:t>v. (34</w:t>
            </w:r>
            <w:r w:rsidR="00BA22AC">
              <w:rPr>
                <w:sz w:val="20"/>
                <w:szCs w:val="20"/>
              </w:rPr>
              <w:t>62</w:t>
            </w:r>
            <w:r w:rsidRPr="00BA22AC">
              <w:rPr>
                <w:sz w:val="20"/>
                <w:szCs w:val="20"/>
              </w:rPr>
              <w:t>5)</w:t>
            </w:r>
          </w:p>
          <w:p w:rsidR="00BF29D3" w:rsidRPr="00BA22AC" w:rsidRDefault="00BF29D3" w:rsidP="00BF29D3">
            <w:pPr>
              <w:keepNext/>
              <w:keepLines/>
              <w:tabs>
                <w:tab w:val="left" w:pos="-1440"/>
                <w:tab w:val="left" w:pos="-720"/>
              </w:tabs>
              <w:rPr>
                <w:sz w:val="20"/>
                <w:szCs w:val="20"/>
              </w:rPr>
            </w:pPr>
          </w:p>
          <w:p w:rsidR="00BF29D3" w:rsidRPr="00BA22AC" w:rsidRDefault="00BA22AC" w:rsidP="00BF29D3">
            <w:pPr>
              <w:keepNext/>
              <w:keepLines/>
              <w:tabs>
                <w:tab w:val="left" w:pos="-1440"/>
                <w:tab w:val="left" w:pos="-720"/>
              </w:tabs>
              <w:rPr>
                <w:b/>
                <w:sz w:val="20"/>
                <w:szCs w:val="20"/>
              </w:rPr>
            </w:pPr>
            <w:r>
              <w:rPr>
                <w:b/>
                <w:sz w:val="20"/>
                <w:szCs w:val="20"/>
              </w:rPr>
              <w:t xml:space="preserve">Roman Catholic Episcopal Corporation of the Diocese of Kingston, in Canada </w:t>
            </w:r>
            <w:r w:rsidR="00BF29D3" w:rsidRPr="00BA22AC">
              <w:rPr>
                <w:b/>
                <w:sz w:val="20"/>
                <w:szCs w:val="20"/>
              </w:rPr>
              <w:t>(Ont.)</w:t>
            </w:r>
          </w:p>
          <w:p w:rsidR="00BF29D3" w:rsidRPr="00BA22AC" w:rsidRDefault="00BF29D3" w:rsidP="00BF29D3">
            <w:pPr>
              <w:keepNext/>
              <w:keepLines/>
              <w:tabs>
                <w:tab w:val="left" w:pos="-1440"/>
                <w:tab w:val="left" w:pos="-720"/>
              </w:tabs>
              <w:rPr>
                <w:sz w:val="20"/>
                <w:szCs w:val="20"/>
              </w:rPr>
            </w:pPr>
            <w:r w:rsidRPr="00BA22AC">
              <w:rPr>
                <w:sz w:val="20"/>
                <w:szCs w:val="20"/>
              </w:rPr>
              <w:tab/>
            </w:r>
            <w:r w:rsidR="005E05C9">
              <w:rPr>
                <w:sz w:val="20"/>
                <w:szCs w:val="20"/>
              </w:rPr>
              <w:t>Andrea Risk</w:t>
            </w:r>
          </w:p>
          <w:p w:rsidR="00BF29D3" w:rsidRPr="00BA22AC" w:rsidRDefault="00BF29D3" w:rsidP="00BF29D3">
            <w:pPr>
              <w:keepNext/>
              <w:keepLines/>
              <w:tabs>
                <w:tab w:val="left" w:pos="-1440"/>
                <w:tab w:val="left" w:pos="-720"/>
              </w:tabs>
              <w:rPr>
                <w:sz w:val="20"/>
                <w:szCs w:val="20"/>
              </w:rPr>
            </w:pPr>
            <w:r w:rsidRPr="00BA22AC">
              <w:rPr>
                <w:sz w:val="20"/>
                <w:szCs w:val="20"/>
              </w:rPr>
              <w:tab/>
            </w:r>
            <w:r w:rsidR="005E05C9">
              <w:rPr>
                <w:sz w:val="20"/>
                <w:szCs w:val="20"/>
              </w:rPr>
              <w:t xml:space="preserve">Cunningham, Swan, Carty, Little &amp; </w:t>
            </w:r>
            <w:r w:rsidR="005E05C9">
              <w:rPr>
                <w:sz w:val="20"/>
                <w:szCs w:val="20"/>
              </w:rPr>
              <w:tab/>
              <w:t xml:space="preserve">Bonham </w:t>
            </w:r>
          </w:p>
          <w:p w:rsidR="00BF29D3" w:rsidRPr="00BA22AC" w:rsidRDefault="00BF29D3" w:rsidP="00BF29D3">
            <w:pPr>
              <w:keepNext/>
              <w:keepLines/>
              <w:tabs>
                <w:tab w:val="left" w:pos="-1440"/>
                <w:tab w:val="left" w:pos="-720"/>
              </w:tabs>
              <w:rPr>
                <w:sz w:val="20"/>
                <w:szCs w:val="20"/>
              </w:rPr>
            </w:pPr>
          </w:p>
          <w:p w:rsidR="00BF29D3" w:rsidRPr="00A935AA" w:rsidRDefault="00BF29D3" w:rsidP="005E05C9">
            <w:pPr>
              <w:rPr>
                <w:sz w:val="20"/>
                <w:szCs w:val="20"/>
              </w:rPr>
            </w:pPr>
            <w:r w:rsidRPr="00A935AA">
              <w:rPr>
                <w:sz w:val="20"/>
                <w:szCs w:val="20"/>
              </w:rPr>
              <w:t>FILING DATE: 2</w:t>
            </w:r>
            <w:r w:rsidR="005E05C9">
              <w:rPr>
                <w:sz w:val="20"/>
                <w:szCs w:val="20"/>
              </w:rPr>
              <w:t>0</w:t>
            </w:r>
            <w:r w:rsidRPr="00A935AA">
              <w:rPr>
                <w:sz w:val="20"/>
                <w:szCs w:val="20"/>
              </w:rPr>
              <w:t>.0</w:t>
            </w:r>
            <w:r>
              <w:rPr>
                <w:sz w:val="20"/>
                <w:szCs w:val="20"/>
              </w:rPr>
              <w:t>1</w:t>
            </w:r>
            <w:r w:rsidRPr="00A935AA">
              <w:rPr>
                <w:sz w:val="20"/>
                <w:szCs w:val="20"/>
              </w:rPr>
              <w:t>.201</w:t>
            </w:r>
            <w:r>
              <w:rPr>
                <w:sz w:val="20"/>
                <w:szCs w:val="20"/>
              </w:rPr>
              <w:t>2</w:t>
            </w:r>
            <w:r w:rsidR="00FD28BB" w:rsidRPr="00FD28BB">
              <w:rPr>
                <w:sz w:val="20"/>
                <w:szCs w:val="20"/>
                <w:lang w:val="fr-CA"/>
              </w:rPr>
              <w:pict>
                <v:rect id="_x0000_i1028" style="width:108pt;height:1pt" o:hrpct="0" o:hralign="center" o:hrstd="t" o:hrnoshade="t" o:hr="t" fillcolor="black [3213]" stroked="f"/>
              </w:pict>
            </w:r>
          </w:p>
        </w:tc>
      </w:tr>
      <w:tr w:rsidR="00BF29D3" w:rsidRPr="005E05C9" w:rsidTr="003B3977">
        <w:tc>
          <w:tcPr>
            <w:tcW w:w="4320" w:type="dxa"/>
            <w:shd w:val="clear" w:color="auto" w:fill="auto"/>
          </w:tcPr>
          <w:p w:rsidR="00BF29D3" w:rsidRPr="00204A6F" w:rsidRDefault="005E05C9" w:rsidP="00BF29D3">
            <w:pPr>
              <w:rPr>
                <w:b/>
                <w:sz w:val="20"/>
                <w:szCs w:val="20"/>
                <w:lang w:val="fr-CA"/>
              </w:rPr>
            </w:pPr>
            <w:r w:rsidRPr="00204A6F">
              <w:rPr>
                <w:b/>
                <w:sz w:val="20"/>
                <w:szCs w:val="20"/>
                <w:lang w:val="fr-CA"/>
              </w:rPr>
              <w:t>Shawn Denver-Lambert</w:t>
            </w:r>
          </w:p>
          <w:p w:rsidR="00BF29D3" w:rsidRPr="00204A6F" w:rsidRDefault="00BF29D3" w:rsidP="00BF29D3">
            <w:pPr>
              <w:tabs>
                <w:tab w:val="left" w:pos="-1440"/>
                <w:tab w:val="left" w:pos="-720"/>
              </w:tabs>
              <w:rPr>
                <w:sz w:val="20"/>
                <w:szCs w:val="20"/>
                <w:lang w:val="fr-CA"/>
              </w:rPr>
            </w:pPr>
            <w:r w:rsidRPr="00204A6F">
              <w:rPr>
                <w:sz w:val="20"/>
                <w:szCs w:val="20"/>
                <w:lang w:val="fr-CA"/>
              </w:rPr>
              <w:tab/>
            </w:r>
            <w:r w:rsidR="005E05C9" w:rsidRPr="00204A6F">
              <w:rPr>
                <w:sz w:val="20"/>
                <w:szCs w:val="20"/>
                <w:lang w:val="fr-CA"/>
              </w:rPr>
              <w:t>René Duval</w:t>
            </w:r>
          </w:p>
          <w:p w:rsidR="00BF29D3" w:rsidRPr="00204A6F" w:rsidRDefault="00BF29D3" w:rsidP="00BF29D3">
            <w:pPr>
              <w:tabs>
                <w:tab w:val="left" w:pos="-1440"/>
                <w:tab w:val="left" w:pos="-720"/>
              </w:tabs>
              <w:rPr>
                <w:sz w:val="20"/>
                <w:szCs w:val="20"/>
                <w:lang w:val="fr-CA"/>
              </w:rPr>
            </w:pPr>
            <w:r w:rsidRPr="00204A6F">
              <w:rPr>
                <w:sz w:val="20"/>
                <w:szCs w:val="20"/>
                <w:lang w:val="fr-CA"/>
              </w:rPr>
              <w:tab/>
            </w:r>
            <w:r w:rsidR="005E05C9" w:rsidRPr="00204A6F">
              <w:rPr>
                <w:sz w:val="20"/>
                <w:szCs w:val="20"/>
                <w:lang w:val="fr-CA"/>
              </w:rPr>
              <w:t>Duval Lauzon Ménard</w:t>
            </w:r>
          </w:p>
          <w:p w:rsidR="00BF29D3" w:rsidRPr="00204A6F" w:rsidRDefault="00BF29D3" w:rsidP="00BF29D3">
            <w:pPr>
              <w:tabs>
                <w:tab w:val="left" w:pos="-1440"/>
                <w:tab w:val="left" w:pos="-720"/>
              </w:tabs>
              <w:rPr>
                <w:sz w:val="20"/>
                <w:szCs w:val="20"/>
                <w:lang w:val="fr-CA"/>
              </w:rPr>
            </w:pPr>
          </w:p>
          <w:p w:rsidR="00BF29D3" w:rsidRPr="00204A6F" w:rsidRDefault="00BF29D3" w:rsidP="00BF29D3">
            <w:pPr>
              <w:tabs>
                <w:tab w:val="left" w:pos="-1440"/>
                <w:tab w:val="left" w:pos="-720"/>
              </w:tabs>
              <w:rPr>
                <w:sz w:val="20"/>
                <w:szCs w:val="20"/>
                <w:lang w:val="fr-CA"/>
              </w:rPr>
            </w:pPr>
            <w:r w:rsidRPr="00204A6F">
              <w:rPr>
                <w:sz w:val="20"/>
                <w:szCs w:val="20"/>
                <w:lang w:val="fr-CA"/>
              </w:rPr>
              <w:tab/>
            </w:r>
            <w:r w:rsidR="005E05C9" w:rsidRPr="00204A6F">
              <w:rPr>
                <w:sz w:val="20"/>
                <w:szCs w:val="20"/>
                <w:lang w:val="fr-CA"/>
              </w:rPr>
              <w:t>c</w:t>
            </w:r>
            <w:r w:rsidRPr="00204A6F">
              <w:rPr>
                <w:sz w:val="20"/>
                <w:szCs w:val="20"/>
                <w:lang w:val="fr-CA"/>
              </w:rPr>
              <w:t>. (34</w:t>
            </w:r>
            <w:r w:rsidR="005E05C9" w:rsidRPr="00204A6F">
              <w:rPr>
                <w:sz w:val="20"/>
                <w:szCs w:val="20"/>
                <w:lang w:val="fr-CA"/>
              </w:rPr>
              <w:t>626</w:t>
            </w:r>
            <w:r w:rsidRPr="00204A6F">
              <w:rPr>
                <w:sz w:val="20"/>
                <w:szCs w:val="20"/>
                <w:lang w:val="fr-CA"/>
              </w:rPr>
              <w:t>)</w:t>
            </w:r>
          </w:p>
          <w:p w:rsidR="00BF29D3" w:rsidRPr="00204A6F" w:rsidRDefault="00BF29D3" w:rsidP="00BF29D3">
            <w:pPr>
              <w:tabs>
                <w:tab w:val="left" w:pos="-1440"/>
                <w:tab w:val="left" w:pos="-720"/>
              </w:tabs>
              <w:rPr>
                <w:sz w:val="20"/>
                <w:szCs w:val="20"/>
                <w:lang w:val="fr-CA"/>
              </w:rPr>
            </w:pPr>
          </w:p>
          <w:p w:rsidR="00BF29D3" w:rsidRPr="005E05C9" w:rsidRDefault="005E05C9" w:rsidP="00BF29D3">
            <w:pPr>
              <w:tabs>
                <w:tab w:val="left" w:pos="-1440"/>
                <w:tab w:val="left" w:pos="-720"/>
              </w:tabs>
              <w:rPr>
                <w:b/>
                <w:sz w:val="20"/>
                <w:szCs w:val="20"/>
                <w:lang w:val="fr-CA"/>
              </w:rPr>
            </w:pPr>
            <w:r w:rsidRPr="005E05C9">
              <w:rPr>
                <w:b/>
                <w:sz w:val="20"/>
                <w:szCs w:val="20"/>
                <w:lang w:val="fr-CA"/>
              </w:rPr>
              <w:t>Sa Majesté la Reine (</w:t>
            </w:r>
            <w:proofErr w:type="spellStart"/>
            <w:r w:rsidRPr="005E05C9">
              <w:rPr>
                <w:b/>
                <w:sz w:val="20"/>
                <w:szCs w:val="20"/>
                <w:lang w:val="fr-CA"/>
              </w:rPr>
              <w:t>Qc</w:t>
            </w:r>
            <w:proofErr w:type="spellEnd"/>
            <w:r w:rsidR="00BF29D3" w:rsidRPr="005E05C9">
              <w:rPr>
                <w:b/>
                <w:sz w:val="20"/>
                <w:szCs w:val="20"/>
                <w:lang w:val="fr-CA"/>
              </w:rPr>
              <w:t>)</w:t>
            </w:r>
          </w:p>
          <w:p w:rsidR="00BF29D3" w:rsidRPr="005E05C9" w:rsidRDefault="00BF29D3" w:rsidP="00BF29D3">
            <w:pPr>
              <w:tabs>
                <w:tab w:val="left" w:pos="-1440"/>
                <w:tab w:val="left" w:pos="-720"/>
              </w:tabs>
              <w:rPr>
                <w:sz w:val="20"/>
                <w:szCs w:val="20"/>
                <w:lang w:val="fr-CA"/>
              </w:rPr>
            </w:pPr>
            <w:r w:rsidRPr="005E05C9">
              <w:rPr>
                <w:sz w:val="20"/>
                <w:szCs w:val="20"/>
                <w:lang w:val="fr-CA"/>
              </w:rPr>
              <w:tab/>
            </w:r>
            <w:r w:rsidR="005E05C9">
              <w:rPr>
                <w:sz w:val="20"/>
                <w:szCs w:val="20"/>
                <w:lang w:val="fr-CA"/>
              </w:rPr>
              <w:t xml:space="preserve">René </w:t>
            </w:r>
            <w:proofErr w:type="spellStart"/>
            <w:r w:rsidR="005E05C9">
              <w:rPr>
                <w:sz w:val="20"/>
                <w:szCs w:val="20"/>
                <w:lang w:val="fr-CA"/>
              </w:rPr>
              <w:t>Verret</w:t>
            </w:r>
            <w:proofErr w:type="spellEnd"/>
          </w:p>
          <w:p w:rsidR="00BF29D3" w:rsidRPr="005E05C9" w:rsidRDefault="00BF29D3" w:rsidP="00BF29D3">
            <w:pPr>
              <w:tabs>
                <w:tab w:val="left" w:pos="-1440"/>
                <w:tab w:val="left" w:pos="-720"/>
              </w:tabs>
              <w:rPr>
                <w:sz w:val="20"/>
                <w:szCs w:val="20"/>
                <w:lang w:val="fr-CA"/>
              </w:rPr>
            </w:pPr>
            <w:r w:rsidRPr="005E05C9">
              <w:rPr>
                <w:sz w:val="20"/>
                <w:szCs w:val="20"/>
                <w:lang w:val="fr-CA"/>
              </w:rPr>
              <w:tab/>
            </w:r>
            <w:r w:rsidR="005E05C9">
              <w:rPr>
                <w:sz w:val="20"/>
                <w:szCs w:val="20"/>
                <w:lang w:val="fr-CA"/>
              </w:rPr>
              <w:t>Poursuite</w:t>
            </w:r>
            <w:r w:rsidR="0014589B">
              <w:rPr>
                <w:sz w:val="20"/>
                <w:szCs w:val="20"/>
                <w:lang w:val="fr-CA"/>
              </w:rPr>
              <w:t>s</w:t>
            </w:r>
            <w:r w:rsidR="005E05C9">
              <w:rPr>
                <w:sz w:val="20"/>
                <w:szCs w:val="20"/>
                <w:lang w:val="fr-CA"/>
              </w:rPr>
              <w:t xml:space="preserve"> criminelles et pénales du </w:t>
            </w:r>
            <w:r w:rsidR="005E05C9">
              <w:rPr>
                <w:sz w:val="20"/>
                <w:szCs w:val="20"/>
                <w:lang w:val="fr-CA"/>
              </w:rPr>
              <w:tab/>
              <w:t>Québec</w:t>
            </w:r>
          </w:p>
          <w:p w:rsidR="00BF29D3" w:rsidRPr="005E05C9" w:rsidRDefault="00BF29D3" w:rsidP="00BF29D3">
            <w:pPr>
              <w:tabs>
                <w:tab w:val="left" w:pos="-1440"/>
                <w:tab w:val="left" w:pos="-720"/>
              </w:tabs>
              <w:rPr>
                <w:sz w:val="20"/>
                <w:szCs w:val="20"/>
                <w:lang w:val="fr-CA"/>
              </w:rPr>
            </w:pPr>
          </w:p>
          <w:p w:rsidR="00BF29D3" w:rsidRPr="005E05C9" w:rsidRDefault="00BF29D3" w:rsidP="00BF29D3">
            <w:pPr>
              <w:rPr>
                <w:sz w:val="20"/>
                <w:szCs w:val="20"/>
                <w:lang w:val="fr-CA"/>
              </w:rPr>
            </w:pPr>
            <w:r w:rsidRPr="005E05C9">
              <w:rPr>
                <w:sz w:val="20"/>
                <w:szCs w:val="20"/>
                <w:lang w:val="fr-CA"/>
              </w:rPr>
              <w:t>DATE</w:t>
            </w:r>
            <w:r w:rsidR="005E05C9">
              <w:rPr>
                <w:sz w:val="20"/>
                <w:szCs w:val="20"/>
                <w:lang w:val="fr-CA"/>
              </w:rPr>
              <w:t xml:space="preserve"> DE PRODUCTION </w:t>
            </w:r>
            <w:r w:rsidRPr="005E05C9">
              <w:rPr>
                <w:sz w:val="20"/>
                <w:szCs w:val="20"/>
                <w:lang w:val="fr-CA"/>
              </w:rPr>
              <w:t>: 2</w:t>
            </w:r>
            <w:r w:rsidR="005E05C9">
              <w:rPr>
                <w:sz w:val="20"/>
                <w:szCs w:val="20"/>
                <w:lang w:val="fr-CA"/>
              </w:rPr>
              <w:t>3</w:t>
            </w:r>
            <w:r w:rsidRPr="005E05C9">
              <w:rPr>
                <w:sz w:val="20"/>
                <w:szCs w:val="20"/>
                <w:lang w:val="fr-CA"/>
              </w:rPr>
              <w:t>.01.2012</w:t>
            </w:r>
          </w:p>
          <w:p w:rsidR="00BF29D3" w:rsidRPr="005E05C9" w:rsidRDefault="00FD28BB" w:rsidP="00BF29D3">
            <w:pPr>
              <w:rPr>
                <w:sz w:val="20"/>
                <w:szCs w:val="20"/>
                <w:lang w:val="fr-CA"/>
              </w:rPr>
            </w:pPr>
            <w:r w:rsidRPr="00FD28BB">
              <w:rPr>
                <w:sz w:val="20"/>
                <w:szCs w:val="20"/>
                <w:lang w:val="fr-CA"/>
              </w:rPr>
              <w:pict>
                <v:rect id="_x0000_i1029" style="width:108pt;height:1pt" o:hrpct="0" o:hralign="center" o:hrstd="t" o:hrnoshade="t" o:hr="t" fillcolor="black [3213]" stroked="f"/>
              </w:pict>
            </w:r>
          </w:p>
        </w:tc>
        <w:tc>
          <w:tcPr>
            <w:tcW w:w="1181" w:type="dxa"/>
            <w:shd w:val="clear" w:color="auto" w:fill="auto"/>
          </w:tcPr>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Pr="005E05C9" w:rsidRDefault="00BF29D3" w:rsidP="00242AEE">
            <w:pPr>
              <w:jc w:val="center"/>
              <w:rPr>
                <w:sz w:val="20"/>
                <w:szCs w:val="20"/>
                <w:lang w:val="fr-CA"/>
              </w:rPr>
            </w:pPr>
          </w:p>
          <w:p w:rsidR="00BF29D3" w:rsidRDefault="00BF29D3" w:rsidP="00242AEE">
            <w:pPr>
              <w:jc w:val="center"/>
              <w:rPr>
                <w:sz w:val="20"/>
                <w:szCs w:val="20"/>
                <w:lang w:val="fr-CA"/>
              </w:rPr>
            </w:pPr>
          </w:p>
          <w:p w:rsidR="003709FE" w:rsidRPr="005E05C9" w:rsidRDefault="003709FE" w:rsidP="00242AEE">
            <w:pPr>
              <w:jc w:val="center"/>
              <w:rPr>
                <w:sz w:val="20"/>
                <w:szCs w:val="20"/>
                <w:lang w:val="fr-CA"/>
              </w:rPr>
            </w:pPr>
          </w:p>
          <w:p w:rsidR="00BF29D3" w:rsidRPr="005E05C9" w:rsidRDefault="00BF29D3" w:rsidP="00242AEE">
            <w:pPr>
              <w:jc w:val="center"/>
              <w:rPr>
                <w:sz w:val="20"/>
                <w:szCs w:val="20"/>
                <w:lang w:val="fr-CA"/>
              </w:rPr>
            </w:pPr>
          </w:p>
        </w:tc>
        <w:tc>
          <w:tcPr>
            <w:tcW w:w="4320" w:type="dxa"/>
            <w:shd w:val="clear" w:color="auto" w:fill="auto"/>
          </w:tcPr>
          <w:p w:rsidR="00BF29D3" w:rsidRDefault="00BF29D3" w:rsidP="00BF29D3">
            <w:pPr>
              <w:keepNext/>
              <w:keepLines/>
              <w:tabs>
                <w:tab w:val="left" w:pos="-1440"/>
                <w:tab w:val="left" w:pos="-720"/>
              </w:tabs>
              <w:rPr>
                <w:b/>
                <w:sz w:val="20"/>
                <w:szCs w:val="20"/>
                <w:lang w:val="fr-CA"/>
              </w:rPr>
            </w:pPr>
          </w:p>
          <w:p w:rsidR="005E05C9" w:rsidRPr="005E05C9" w:rsidRDefault="005E05C9" w:rsidP="00BF29D3">
            <w:pPr>
              <w:keepNext/>
              <w:keepLines/>
              <w:tabs>
                <w:tab w:val="left" w:pos="-1440"/>
                <w:tab w:val="left" w:pos="-720"/>
              </w:tabs>
              <w:rPr>
                <w:b/>
                <w:sz w:val="20"/>
                <w:szCs w:val="20"/>
              </w:rPr>
            </w:pPr>
            <w:r w:rsidRPr="005E05C9">
              <w:rPr>
                <w:b/>
                <w:sz w:val="20"/>
                <w:szCs w:val="20"/>
              </w:rPr>
              <w:t xml:space="preserve">Merck </w:t>
            </w:r>
            <w:proofErr w:type="spellStart"/>
            <w:r w:rsidRPr="005E05C9">
              <w:rPr>
                <w:b/>
                <w:sz w:val="20"/>
                <w:szCs w:val="20"/>
              </w:rPr>
              <w:t>Frosst</w:t>
            </w:r>
            <w:proofErr w:type="spellEnd"/>
            <w:r w:rsidRPr="005E05C9">
              <w:rPr>
                <w:b/>
                <w:sz w:val="20"/>
                <w:szCs w:val="20"/>
              </w:rPr>
              <w:t xml:space="preserve"> Canada &amp; Co.</w:t>
            </w:r>
          </w:p>
          <w:p w:rsidR="00BF29D3" w:rsidRPr="005E05C9" w:rsidRDefault="00BF29D3" w:rsidP="00BF29D3">
            <w:pPr>
              <w:keepNext/>
              <w:keepLines/>
              <w:tabs>
                <w:tab w:val="left" w:pos="-1440"/>
                <w:tab w:val="left" w:pos="-720"/>
              </w:tabs>
              <w:rPr>
                <w:sz w:val="20"/>
                <w:szCs w:val="20"/>
              </w:rPr>
            </w:pPr>
            <w:r w:rsidRPr="005E05C9">
              <w:rPr>
                <w:sz w:val="20"/>
                <w:szCs w:val="20"/>
              </w:rPr>
              <w:tab/>
            </w:r>
            <w:r w:rsidR="005E05C9" w:rsidRPr="005E05C9">
              <w:rPr>
                <w:sz w:val="20"/>
                <w:szCs w:val="20"/>
              </w:rPr>
              <w:t xml:space="preserve">Patrick E. </w:t>
            </w:r>
            <w:proofErr w:type="spellStart"/>
            <w:r w:rsidR="005E05C9">
              <w:rPr>
                <w:sz w:val="20"/>
                <w:szCs w:val="20"/>
              </w:rPr>
              <w:t>Kierans</w:t>
            </w:r>
            <w:proofErr w:type="spellEnd"/>
          </w:p>
          <w:p w:rsidR="00BF29D3" w:rsidRPr="005E05C9" w:rsidRDefault="00BF29D3" w:rsidP="00BF29D3">
            <w:pPr>
              <w:keepNext/>
              <w:keepLines/>
              <w:tabs>
                <w:tab w:val="left" w:pos="-1440"/>
                <w:tab w:val="left" w:pos="-720"/>
              </w:tabs>
              <w:rPr>
                <w:sz w:val="20"/>
                <w:szCs w:val="20"/>
              </w:rPr>
            </w:pPr>
            <w:r w:rsidRPr="005E05C9">
              <w:rPr>
                <w:sz w:val="20"/>
                <w:szCs w:val="20"/>
              </w:rPr>
              <w:tab/>
            </w:r>
            <w:r w:rsidR="005E05C9">
              <w:rPr>
                <w:sz w:val="20"/>
                <w:szCs w:val="20"/>
              </w:rPr>
              <w:t>Norton Rose Canada LLP</w:t>
            </w:r>
          </w:p>
          <w:p w:rsidR="00BF29D3" w:rsidRPr="005E05C9" w:rsidRDefault="00BF29D3" w:rsidP="00BF29D3">
            <w:pPr>
              <w:keepNext/>
              <w:keepLines/>
              <w:tabs>
                <w:tab w:val="left" w:pos="-1440"/>
                <w:tab w:val="left" w:pos="-720"/>
              </w:tabs>
              <w:rPr>
                <w:sz w:val="20"/>
                <w:szCs w:val="20"/>
              </w:rPr>
            </w:pPr>
          </w:p>
          <w:p w:rsidR="00BF29D3" w:rsidRPr="005E05C9" w:rsidRDefault="00BF29D3" w:rsidP="00BF29D3">
            <w:pPr>
              <w:keepNext/>
              <w:keepLines/>
              <w:tabs>
                <w:tab w:val="left" w:pos="-1440"/>
                <w:tab w:val="left" w:pos="-720"/>
              </w:tabs>
              <w:rPr>
                <w:sz w:val="20"/>
                <w:szCs w:val="20"/>
              </w:rPr>
            </w:pPr>
            <w:r w:rsidRPr="005E05C9">
              <w:rPr>
                <w:sz w:val="20"/>
                <w:szCs w:val="20"/>
              </w:rPr>
              <w:tab/>
              <w:t>v. (34</w:t>
            </w:r>
            <w:r w:rsidR="005E05C9">
              <w:rPr>
                <w:sz w:val="20"/>
                <w:szCs w:val="20"/>
              </w:rPr>
              <w:t>627</w:t>
            </w:r>
            <w:r w:rsidRPr="005E05C9">
              <w:rPr>
                <w:sz w:val="20"/>
                <w:szCs w:val="20"/>
              </w:rPr>
              <w:t>)</w:t>
            </w:r>
          </w:p>
          <w:p w:rsidR="00BF29D3" w:rsidRPr="005E05C9" w:rsidRDefault="00BF29D3" w:rsidP="00BF29D3">
            <w:pPr>
              <w:keepNext/>
              <w:keepLines/>
              <w:tabs>
                <w:tab w:val="left" w:pos="-1440"/>
                <w:tab w:val="left" w:pos="-720"/>
              </w:tabs>
              <w:rPr>
                <w:sz w:val="20"/>
                <w:szCs w:val="20"/>
              </w:rPr>
            </w:pPr>
          </w:p>
          <w:p w:rsidR="00BF29D3" w:rsidRPr="005E05C9" w:rsidRDefault="005E05C9" w:rsidP="00BF29D3">
            <w:pPr>
              <w:keepNext/>
              <w:keepLines/>
              <w:tabs>
                <w:tab w:val="left" w:pos="-1440"/>
                <w:tab w:val="left" w:pos="-720"/>
              </w:tabs>
              <w:rPr>
                <w:b/>
                <w:sz w:val="20"/>
                <w:szCs w:val="20"/>
              </w:rPr>
            </w:pPr>
            <w:proofErr w:type="spellStart"/>
            <w:r>
              <w:rPr>
                <w:b/>
                <w:sz w:val="20"/>
                <w:szCs w:val="20"/>
              </w:rPr>
              <w:t>Apotex</w:t>
            </w:r>
            <w:proofErr w:type="spellEnd"/>
            <w:r>
              <w:rPr>
                <w:b/>
                <w:sz w:val="20"/>
                <w:szCs w:val="20"/>
              </w:rPr>
              <w:t xml:space="preserve"> Inc. </w:t>
            </w:r>
            <w:r w:rsidR="00BF29D3" w:rsidRPr="005E05C9">
              <w:rPr>
                <w:b/>
                <w:sz w:val="20"/>
                <w:szCs w:val="20"/>
              </w:rPr>
              <w:t>(</w:t>
            </w:r>
            <w:r>
              <w:rPr>
                <w:b/>
                <w:sz w:val="20"/>
                <w:szCs w:val="20"/>
              </w:rPr>
              <w:t>F.C</w:t>
            </w:r>
            <w:r w:rsidR="00BF29D3" w:rsidRPr="005E05C9">
              <w:rPr>
                <w:b/>
                <w:sz w:val="20"/>
                <w:szCs w:val="20"/>
              </w:rPr>
              <w:t>.)</w:t>
            </w:r>
          </w:p>
          <w:p w:rsidR="00BF29D3" w:rsidRPr="005E05C9" w:rsidRDefault="00BF29D3" w:rsidP="00BF29D3">
            <w:pPr>
              <w:keepNext/>
              <w:keepLines/>
              <w:tabs>
                <w:tab w:val="left" w:pos="-1440"/>
                <w:tab w:val="left" w:pos="-720"/>
              </w:tabs>
              <w:rPr>
                <w:sz w:val="20"/>
                <w:szCs w:val="20"/>
              </w:rPr>
            </w:pPr>
            <w:r w:rsidRPr="005E05C9">
              <w:rPr>
                <w:sz w:val="20"/>
                <w:szCs w:val="20"/>
              </w:rPr>
              <w:tab/>
            </w:r>
            <w:r w:rsidR="003709FE">
              <w:rPr>
                <w:sz w:val="20"/>
                <w:szCs w:val="20"/>
              </w:rPr>
              <w:t xml:space="preserve">Harry B. </w:t>
            </w:r>
            <w:proofErr w:type="spellStart"/>
            <w:r w:rsidR="003709FE">
              <w:rPr>
                <w:sz w:val="20"/>
                <w:szCs w:val="20"/>
              </w:rPr>
              <w:t>Radomski</w:t>
            </w:r>
            <w:proofErr w:type="spellEnd"/>
          </w:p>
          <w:p w:rsidR="00BF29D3" w:rsidRPr="005E05C9" w:rsidRDefault="00BF29D3" w:rsidP="00BF29D3">
            <w:pPr>
              <w:keepNext/>
              <w:keepLines/>
              <w:tabs>
                <w:tab w:val="left" w:pos="-1440"/>
                <w:tab w:val="left" w:pos="-720"/>
              </w:tabs>
              <w:rPr>
                <w:sz w:val="20"/>
                <w:szCs w:val="20"/>
              </w:rPr>
            </w:pPr>
            <w:r w:rsidRPr="005E05C9">
              <w:rPr>
                <w:sz w:val="20"/>
                <w:szCs w:val="20"/>
              </w:rPr>
              <w:tab/>
            </w:r>
            <w:proofErr w:type="spellStart"/>
            <w:r w:rsidR="003709FE">
              <w:rPr>
                <w:sz w:val="20"/>
                <w:szCs w:val="20"/>
              </w:rPr>
              <w:t>Goodmans</w:t>
            </w:r>
            <w:proofErr w:type="spellEnd"/>
            <w:r w:rsidR="003709FE">
              <w:rPr>
                <w:sz w:val="20"/>
                <w:szCs w:val="20"/>
              </w:rPr>
              <w:t xml:space="preserve"> LLP</w:t>
            </w:r>
          </w:p>
          <w:p w:rsidR="00BF29D3" w:rsidRPr="005E05C9" w:rsidRDefault="00BF29D3" w:rsidP="00BF29D3">
            <w:pPr>
              <w:keepNext/>
              <w:keepLines/>
              <w:tabs>
                <w:tab w:val="left" w:pos="-1440"/>
                <w:tab w:val="left" w:pos="-720"/>
              </w:tabs>
              <w:rPr>
                <w:sz w:val="20"/>
                <w:szCs w:val="20"/>
              </w:rPr>
            </w:pPr>
          </w:p>
          <w:p w:rsidR="00BF29D3" w:rsidRPr="005E05C9" w:rsidRDefault="00BF29D3" w:rsidP="003709FE">
            <w:pPr>
              <w:rPr>
                <w:sz w:val="20"/>
                <w:szCs w:val="20"/>
              </w:rPr>
            </w:pPr>
            <w:r w:rsidRPr="005E05C9">
              <w:rPr>
                <w:sz w:val="20"/>
                <w:szCs w:val="20"/>
              </w:rPr>
              <w:t>FILING DATE: 2</w:t>
            </w:r>
            <w:r w:rsidR="003709FE">
              <w:rPr>
                <w:sz w:val="20"/>
                <w:szCs w:val="20"/>
              </w:rPr>
              <w:t>3</w:t>
            </w:r>
            <w:r w:rsidRPr="005E05C9">
              <w:rPr>
                <w:sz w:val="20"/>
                <w:szCs w:val="20"/>
              </w:rPr>
              <w:t>.01.2012</w:t>
            </w:r>
            <w:r w:rsidR="00FD28BB" w:rsidRPr="00FD28BB">
              <w:rPr>
                <w:sz w:val="20"/>
                <w:szCs w:val="20"/>
                <w:lang w:val="fr-CA"/>
              </w:rPr>
              <w:pict>
                <v:rect id="_x0000_i1030" style="width:108pt;height:1pt" o:hrpct="0" o:hralign="center" o:hrstd="t" o:hrnoshade="t" o:hr="t" fillcolor="black [3213]" stroked="f"/>
              </w:pict>
            </w:r>
          </w:p>
        </w:tc>
      </w:tr>
      <w:tr w:rsidR="00BF29D3" w:rsidRPr="00A935AA" w:rsidTr="003B3977">
        <w:trPr>
          <w:cantSplit/>
        </w:trPr>
        <w:tc>
          <w:tcPr>
            <w:tcW w:w="4320" w:type="dxa"/>
            <w:shd w:val="clear" w:color="auto" w:fill="auto"/>
          </w:tcPr>
          <w:p w:rsidR="00BF29D3" w:rsidRPr="005E05C9" w:rsidRDefault="003709FE" w:rsidP="00BF29D3">
            <w:pPr>
              <w:rPr>
                <w:b/>
                <w:sz w:val="20"/>
                <w:szCs w:val="20"/>
              </w:rPr>
            </w:pPr>
            <w:r>
              <w:rPr>
                <w:b/>
                <w:sz w:val="20"/>
                <w:szCs w:val="20"/>
              </w:rPr>
              <w:t>Roger Proctor</w:t>
            </w:r>
          </w:p>
          <w:p w:rsidR="00BF29D3" w:rsidRPr="005E05C9" w:rsidRDefault="00BF29D3" w:rsidP="00BF29D3">
            <w:pPr>
              <w:tabs>
                <w:tab w:val="left" w:pos="-1440"/>
                <w:tab w:val="left" w:pos="-720"/>
              </w:tabs>
              <w:rPr>
                <w:sz w:val="20"/>
                <w:szCs w:val="20"/>
              </w:rPr>
            </w:pPr>
            <w:r w:rsidRPr="005E05C9">
              <w:rPr>
                <w:sz w:val="20"/>
                <w:szCs w:val="20"/>
              </w:rPr>
              <w:tab/>
            </w:r>
            <w:r w:rsidR="003709FE">
              <w:rPr>
                <w:sz w:val="20"/>
                <w:szCs w:val="20"/>
              </w:rPr>
              <w:t xml:space="preserve">Joseph J. </w:t>
            </w:r>
            <w:proofErr w:type="spellStart"/>
            <w:r w:rsidR="003709FE">
              <w:rPr>
                <w:sz w:val="20"/>
                <w:szCs w:val="20"/>
              </w:rPr>
              <w:t>Arvay</w:t>
            </w:r>
            <w:proofErr w:type="spellEnd"/>
            <w:r w:rsidR="003709FE">
              <w:rPr>
                <w:sz w:val="20"/>
                <w:szCs w:val="20"/>
              </w:rPr>
              <w:t>, Q.C.</w:t>
            </w:r>
          </w:p>
          <w:p w:rsidR="00BF29D3" w:rsidRPr="005E05C9" w:rsidRDefault="00BF29D3" w:rsidP="00BF29D3">
            <w:pPr>
              <w:tabs>
                <w:tab w:val="left" w:pos="-1440"/>
                <w:tab w:val="left" w:pos="-720"/>
              </w:tabs>
              <w:rPr>
                <w:sz w:val="20"/>
                <w:szCs w:val="20"/>
              </w:rPr>
            </w:pPr>
            <w:r w:rsidRPr="005E05C9">
              <w:rPr>
                <w:sz w:val="20"/>
                <w:szCs w:val="20"/>
              </w:rPr>
              <w:tab/>
            </w:r>
            <w:proofErr w:type="spellStart"/>
            <w:r w:rsidR="003709FE">
              <w:rPr>
                <w:sz w:val="20"/>
                <w:szCs w:val="20"/>
              </w:rPr>
              <w:t>Arvay</w:t>
            </w:r>
            <w:proofErr w:type="spellEnd"/>
            <w:r w:rsidR="003709FE">
              <w:rPr>
                <w:sz w:val="20"/>
                <w:szCs w:val="20"/>
              </w:rPr>
              <w:t xml:space="preserve"> Finlay</w:t>
            </w:r>
          </w:p>
          <w:p w:rsidR="00BF29D3" w:rsidRPr="005E05C9" w:rsidRDefault="00BF29D3" w:rsidP="00BF29D3">
            <w:pPr>
              <w:tabs>
                <w:tab w:val="left" w:pos="-1440"/>
                <w:tab w:val="left" w:pos="-720"/>
              </w:tabs>
              <w:rPr>
                <w:sz w:val="20"/>
                <w:szCs w:val="20"/>
              </w:rPr>
            </w:pPr>
          </w:p>
          <w:p w:rsidR="00BF29D3" w:rsidRPr="005E05C9" w:rsidRDefault="00BF29D3" w:rsidP="00BF29D3">
            <w:pPr>
              <w:tabs>
                <w:tab w:val="left" w:pos="-1440"/>
                <w:tab w:val="left" w:pos="-720"/>
              </w:tabs>
              <w:rPr>
                <w:sz w:val="20"/>
                <w:szCs w:val="20"/>
              </w:rPr>
            </w:pPr>
            <w:r w:rsidRPr="005E05C9">
              <w:rPr>
                <w:sz w:val="20"/>
                <w:szCs w:val="20"/>
              </w:rPr>
              <w:tab/>
              <w:t>v. (34</w:t>
            </w:r>
            <w:r w:rsidR="003709FE">
              <w:rPr>
                <w:sz w:val="20"/>
                <w:szCs w:val="20"/>
              </w:rPr>
              <w:t>628</w:t>
            </w:r>
            <w:r w:rsidRPr="005E05C9">
              <w:rPr>
                <w:sz w:val="20"/>
                <w:szCs w:val="20"/>
              </w:rPr>
              <w:t>)</w:t>
            </w:r>
          </w:p>
          <w:p w:rsidR="00BF29D3" w:rsidRPr="005E05C9" w:rsidRDefault="00BF29D3" w:rsidP="00BF29D3">
            <w:pPr>
              <w:tabs>
                <w:tab w:val="left" w:pos="-1440"/>
                <w:tab w:val="left" w:pos="-720"/>
              </w:tabs>
              <w:rPr>
                <w:sz w:val="20"/>
                <w:szCs w:val="20"/>
              </w:rPr>
            </w:pPr>
          </w:p>
          <w:p w:rsidR="00BF29D3" w:rsidRPr="005E05C9" w:rsidRDefault="003709FE" w:rsidP="00BF29D3">
            <w:pPr>
              <w:tabs>
                <w:tab w:val="left" w:pos="-1440"/>
                <w:tab w:val="left" w:pos="-720"/>
              </w:tabs>
              <w:rPr>
                <w:b/>
                <w:sz w:val="20"/>
                <w:szCs w:val="20"/>
              </w:rPr>
            </w:pPr>
            <w:r>
              <w:rPr>
                <w:b/>
                <w:sz w:val="20"/>
                <w:szCs w:val="20"/>
              </w:rPr>
              <w:t xml:space="preserve">Attorney General of British Columbia et al. </w:t>
            </w:r>
            <w:r w:rsidR="00BF29D3" w:rsidRPr="005E05C9">
              <w:rPr>
                <w:b/>
                <w:sz w:val="20"/>
                <w:szCs w:val="20"/>
              </w:rPr>
              <w:t>(B.C.)</w:t>
            </w:r>
          </w:p>
          <w:p w:rsidR="00BF29D3" w:rsidRPr="005E05C9" w:rsidRDefault="00BF29D3" w:rsidP="00BF29D3">
            <w:pPr>
              <w:tabs>
                <w:tab w:val="left" w:pos="-1440"/>
                <w:tab w:val="left" w:pos="-720"/>
              </w:tabs>
              <w:rPr>
                <w:sz w:val="20"/>
                <w:szCs w:val="20"/>
              </w:rPr>
            </w:pPr>
            <w:r w:rsidRPr="005E05C9">
              <w:rPr>
                <w:sz w:val="20"/>
                <w:szCs w:val="20"/>
              </w:rPr>
              <w:tab/>
            </w:r>
            <w:r w:rsidR="003709FE">
              <w:rPr>
                <w:sz w:val="20"/>
                <w:szCs w:val="20"/>
              </w:rPr>
              <w:t xml:space="preserve">Jonathan G. </w:t>
            </w:r>
            <w:proofErr w:type="spellStart"/>
            <w:r w:rsidR="003709FE">
              <w:rPr>
                <w:sz w:val="20"/>
                <w:szCs w:val="20"/>
              </w:rPr>
              <w:t>Penner</w:t>
            </w:r>
            <w:proofErr w:type="spellEnd"/>
          </w:p>
          <w:p w:rsidR="00BF29D3" w:rsidRPr="005E05C9" w:rsidRDefault="00BF29D3" w:rsidP="00BF29D3">
            <w:pPr>
              <w:tabs>
                <w:tab w:val="left" w:pos="-1440"/>
                <w:tab w:val="left" w:pos="-720"/>
              </w:tabs>
              <w:rPr>
                <w:sz w:val="20"/>
                <w:szCs w:val="20"/>
              </w:rPr>
            </w:pPr>
            <w:r w:rsidRPr="005E05C9">
              <w:rPr>
                <w:sz w:val="20"/>
                <w:szCs w:val="20"/>
              </w:rPr>
              <w:tab/>
            </w:r>
            <w:r w:rsidR="003709FE">
              <w:rPr>
                <w:sz w:val="20"/>
                <w:szCs w:val="20"/>
              </w:rPr>
              <w:t>A.G. of British Columbia</w:t>
            </w:r>
          </w:p>
          <w:p w:rsidR="00BF29D3" w:rsidRPr="005E05C9" w:rsidRDefault="00BF29D3" w:rsidP="00BF29D3">
            <w:pPr>
              <w:tabs>
                <w:tab w:val="left" w:pos="-1440"/>
                <w:tab w:val="left" w:pos="-720"/>
              </w:tabs>
              <w:rPr>
                <w:sz w:val="20"/>
                <w:szCs w:val="20"/>
              </w:rPr>
            </w:pPr>
          </w:p>
          <w:p w:rsidR="00BF29D3" w:rsidRPr="005E05C9" w:rsidRDefault="00BF29D3" w:rsidP="00BF29D3">
            <w:pPr>
              <w:rPr>
                <w:sz w:val="20"/>
                <w:szCs w:val="20"/>
              </w:rPr>
            </w:pPr>
            <w:r w:rsidRPr="005E05C9">
              <w:rPr>
                <w:sz w:val="20"/>
                <w:szCs w:val="20"/>
              </w:rPr>
              <w:t>FILING DATE: 2</w:t>
            </w:r>
            <w:r w:rsidR="003709FE">
              <w:rPr>
                <w:sz w:val="20"/>
                <w:szCs w:val="20"/>
              </w:rPr>
              <w:t>3</w:t>
            </w:r>
            <w:r w:rsidRPr="005E05C9">
              <w:rPr>
                <w:sz w:val="20"/>
                <w:szCs w:val="20"/>
              </w:rPr>
              <w:t>.01.2012</w:t>
            </w:r>
          </w:p>
          <w:p w:rsidR="00BF29D3" w:rsidRPr="005E05C9" w:rsidRDefault="00FD28BB" w:rsidP="00BF29D3">
            <w:pPr>
              <w:rPr>
                <w:sz w:val="20"/>
                <w:szCs w:val="20"/>
              </w:rPr>
            </w:pPr>
            <w:r w:rsidRPr="00FD28BB">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Pr="005E05C9" w:rsidRDefault="00BF29D3" w:rsidP="00242AEE">
            <w:pPr>
              <w:jc w:val="center"/>
              <w:rPr>
                <w:sz w:val="20"/>
                <w:szCs w:val="20"/>
              </w:rPr>
            </w:pPr>
          </w:p>
          <w:p w:rsidR="00BF29D3" w:rsidRDefault="00BF29D3" w:rsidP="00242AEE">
            <w:pPr>
              <w:jc w:val="center"/>
              <w:rPr>
                <w:sz w:val="20"/>
                <w:szCs w:val="20"/>
              </w:rPr>
            </w:pPr>
          </w:p>
          <w:p w:rsidR="003709FE" w:rsidRPr="005E05C9" w:rsidRDefault="003709FE" w:rsidP="00242AEE">
            <w:pPr>
              <w:jc w:val="center"/>
              <w:rPr>
                <w:sz w:val="20"/>
                <w:szCs w:val="20"/>
              </w:rPr>
            </w:pPr>
          </w:p>
          <w:p w:rsidR="00BF29D3" w:rsidRPr="005E05C9" w:rsidRDefault="00BF29D3" w:rsidP="00242AEE">
            <w:pPr>
              <w:jc w:val="center"/>
              <w:rPr>
                <w:sz w:val="20"/>
                <w:szCs w:val="20"/>
              </w:rPr>
            </w:pPr>
          </w:p>
        </w:tc>
        <w:tc>
          <w:tcPr>
            <w:tcW w:w="4320" w:type="dxa"/>
            <w:shd w:val="clear" w:color="auto" w:fill="auto"/>
          </w:tcPr>
          <w:p w:rsidR="00BF29D3" w:rsidRPr="005E05C9" w:rsidRDefault="003709FE" w:rsidP="00BF29D3">
            <w:pPr>
              <w:keepNext/>
              <w:keepLines/>
              <w:tabs>
                <w:tab w:val="left" w:pos="-1440"/>
                <w:tab w:val="left" w:pos="-720"/>
              </w:tabs>
              <w:rPr>
                <w:b/>
                <w:sz w:val="20"/>
                <w:szCs w:val="20"/>
              </w:rPr>
            </w:pPr>
            <w:r>
              <w:rPr>
                <w:b/>
                <w:sz w:val="20"/>
                <w:szCs w:val="20"/>
              </w:rPr>
              <w:t>Sinopec Shanghai Engineering Company Ltd.</w:t>
            </w:r>
          </w:p>
          <w:p w:rsidR="00BF29D3" w:rsidRPr="003709FE" w:rsidRDefault="00BF29D3" w:rsidP="00BF29D3">
            <w:pPr>
              <w:keepNext/>
              <w:keepLines/>
              <w:tabs>
                <w:tab w:val="left" w:pos="-1440"/>
                <w:tab w:val="left" w:pos="-720"/>
              </w:tabs>
              <w:rPr>
                <w:sz w:val="20"/>
                <w:szCs w:val="20"/>
                <w:lang w:val="fr-CA"/>
              </w:rPr>
            </w:pPr>
            <w:r w:rsidRPr="005E05C9">
              <w:rPr>
                <w:sz w:val="20"/>
                <w:szCs w:val="20"/>
              </w:rPr>
              <w:tab/>
            </w:r>
            <w:r w:rsidR="003709FE" w:rsidRPr="003709FE">
              <w:rPr>
                <w:sz w:val="20"/>
                <w:szCs w:val="20"/>
                <w:lang w:val="fr-CA"/>
              </w:rPr>
              <w:t>Balfour Q.H. Der, Q.C.</w:t>
            </w:r>
          </w:p>
          <w:p w:rsidR="00BF29D3" w:rsidRPr="003709FE" w:rsidRDefault="00BF29D3" w:rsidP="00BF29D3">
            <w:pPr>
              <w:keepNext/>
              <w:keepLines/>
              <w:tabs>
                <w:tab w:val="left" w:pos="-1440"/>
                <w:tab w:val="left" w:pos="-720"/>
              </w:tabs>
              <w:rPr>
                <w:sz w:val="20"/>
                <w:szCs w:val="20"/>
              </w:rPr>
            </w:pPr>
            <w:r w:rsidRPr="003709FE">
              <w:rPr>
                <w:sz w:val="20"/>
                <w:szCs w:val="20"/>
                <w:lang w:val="fr-CA"/>
              </w:rPr>
              <w:tab/>
            </w:r>
            <w:r w:rsidR="003709FE" w:rsidRPr="003709FE">
              <w:rPr>
                <w:sz w:val="20"/>
                <w:szCs w:val="20"/>
              </w:rPr>
              <w:t xml:space="preserve">Batting, </w:t>
            </w:r>
            <w:proofErr w:type="spellStart"/>
            <w:r w:rsidR="003709FE" w:rsidRPr="003709FE">
              <w:rPr>
                <w:sz w:val="20"/>
                <w:szCs w:val="20"/>
              </w:rPr>
              <w:t>Der</w:t>
            </w:r>
            <w:proofErr w:type="spellEnd"/>
          </w:p>
          <w:p w:rsidR="00BF29D3" w:rsidRPr="003709FE" w:rsidRDefault="00BF29D3" w:rsidP="00BF29D3">
            <w:pPr>
              <w:keepNext/>
              <w:keepLines/>
              <w:tabs>
                <w:tab w:val="left" w:pos="-1440"/>
                <w:tab w:val="left" w:pos="-720"/>
              </w:tabs>
              <w:rPr>
                <w:sz w:val="20"/>
                <w:szCs w:val="20"/>
              </w:rPr>
            </w:pPr>
          </w:p>
          <w:p w:rsidR="00BF29D3" w:rsidRPr="005E05C9" w:rsidRDefault="00BF29D3" w:rsidP="00BF29D3">
            <w:pPr>
              <w:keepNext/>
              <w:keepLines/>
              <w:tabs>
                <w:tab w:val="left" w:pos="-1440"/>
                <w:tab w:val="left" w:pos="-720"/>
              </w:tabs>
              <w:rPr>
                <w:sz w:val="20"/>
                <w:szCs w:val="20"/>
              </w:rPr>
            </w:pPr>
            <w:r w:rsidRPr="003709FE">
              <w:rPr>
                <w:sz w:val="20"/>
                <w:szCs w:val="20"/>
              </w:rPr>
              <w:tab/>
            </w:r>
            <w:r w:rsidRPr="005E05C9">
              <w:rPr>
                <w:sz w:val="20"/>
                <w:szCs w:val="20"/>
              </w:rPr>
              <w:t>v. (34</w:t>
            </w:r>
            <w:r w:rsidR="003709FE">
              <w:rPr>
                <w:sz w:val="20"/>
                <w:szCs w:val="20"/>
              </w:rPr>
              <w:t>629</w:t>
            </w:r>
            <w:r w:rsidRPr="005E05C9">
              <w:rPr>
                <w:sz w:val="20"/>
                <w:szCs w:val="20"/>
              </w:rPr>
              <w:t>)</w:t>
            </w:r>
          </w:p>
          <w:p w:rsidR="00BF29D3" w:rsidRPr="005E05C9" w:rsidRDefault="00BF29D3" w:rsidP="00BF29D3">
            <w:pPr>
              <w:keepNext/>
              <w:keepLines/>
              <w:tabs>
                <w:tab w:val="left" w:pos="-1440"/>
                <w:tab w:val="left" w:pos="-720"/>
              </w:tabs>
              <w:rPr>
                <w:sz w:val="20"/>
                <w:szCs w:val="20"/>
              </w:rPr>
            </w:pPr>
          </w:p>
          <w:p w:rsidR="00BF29D3" w:rsidRPr="005E05C9" w:rsidRDefault="003709FE" w:rsidP="00BF29D3">
            <w:pPr>
              <w:keepNext/>
              <w:keepLines/>
              <w:tabs>
                <w:tab w:val="left" w:pos="-1440"/>
                <w:tab w:val="left" w:pos="-720"/>
              </w:tabs>
              <w:rPr>
                <w:b/>
                <w:sz w:val="20"/>
                <w:szCs w:val="20"/>
              </w:rPr>
            </w:pPr>
            <w:r>
              <w:rPr>
                <w:b/>
                <w:sz w:val="20"/>
                <w:szCs w:val="20"/>
              </w:rPr>
              <w:t xml:space="preserve">Her Majesty the Queen in Right of Alberta </w:t>
            </w:r>
            <w:r w:rsidR="00BF29D3" w:rsidRPr="005E05C9">
              <w:rPr>
                <w:b/>
                <w:sz w:val="20"/>
                <w:szCs w:val="20"/>
              </w:rPr>
              <w:t>(</w:t>
            </w:r>
            <w:r>
              <w:rPr>
                <w:b/>
                <w:sz w:val="20"/>
                <w:szCs w:val="20"/>
              </w:rPr>
              <w:t>Al</w:t>
            </w:r>
            <w:r w:rsidR="00BF29D3" w:rsidRPr="005E05C9">
              <w:rPr>
                <w:b/>
                <w:sz w:val="20"/>
                <w:szCs w:val="20"/>
              </w:rPr>
              <w:t>t</w:t>
            </w:r>
            <w:r>
              <w:rPr>
                <w:b/>
                <w:sz w:val="20"/>
                <w:szCs w:val="20"/>
              </w:rPr>
              <w:t>a</w:t>
            </w:r>
            <w:r w:rsidR="00BF29D3" w:rsidRPr="005E05C9">
              <w:rPr>
                <w:b/>
                <w:sz w:val="20"/>
                <w:szCs w:val="20"/>
              </w:rPr>
              <w:t>.)</w:t>
            </w:r>
          </w:p>
          <w:p w:rsidR="00BF29D3" w:rsidRPr="005E05C9" w:rsidRDefault="00BF29D3" w:rsidP="00BF29D3">
            <w:pPr>
              <w:keepNext/>
              <w:keepLines/>
              <w:tabs>
                <w:tab w:val="left" w:pos="-1440"/>
                <w:tab w:val="left" w:pos="-720"/>
              </w:tabs>
              <w:rPr>
                <w:sz w:val="20"/>
                <w:szCs w:val="20"/>
              </w:rPr>
            </w:pPr>
            <w:r w:rsidRPr="005E05C9">
              <w:rPr>
                <w:sz w:val="20"/>
                <w:szCs w:val="20"/>
              </w:rPr>
              <w:tab/>
            </w:r>
            <w:r w:rsidR="003709FE">
              <w:rPr>
                <w:sz w:val="20"/>
                <w:szCs w:val="20"/>
              </w:rPr>
              <w:t xml:space="preserve">Troy L. </w:t>
            </w:r>
            <w:proofErr w:type="spellStart"/>
            <w:r w:rsidR="003709FE">
              <w:rPr>
                <w:sz w:val="20"/>
                <w:szCs w:val="20"/>
              </w:rPr>
              <w:t>Couillard</w:t>
            </w:r>
            <w:proofErr w:type="spellEnd"/>
          </w:p>
          <w:p w:rsidR="00BF29D3" w:rsidRPr="005E05C9" w:rsidRDefault="00BF29D3" w:rsidP="00BF29D3">
            <w:pPr>
              <w:keepNext/>
              <w:keepLines/>
              <w:tabs>
                <w:tab w:val="left" w:pos="-1440"/>
                <w:tab w:val="left" w:pos="-720"/>
              </w:tabs>
              <w:rPr>
                <w:sz w:val="20"/>
                <w:szCs w:val="20"/>
              </w:rPr>
            </w:pPr>
            <w:r w:rsidRPr="005E05C9">
              <w:rPr>
                <w:sz w:val="20"/>
                <w:szCs w:val="20"/>
              </w:rPr>
              <w:tab/>
            </w:r>
            <w:r w:rsidR="003709FE">
              <w:rPr>
                <w:sz w:val="20"/>
                <w:szCs w:val="20"/>
              </w:rPr>
              <w:t>A.G. of Alberta</w:t>
            </w:r>
          </w:p>
          <w:p w:rsidR="00BF29D3" w:rsidRPr="005E05C9" w:rsidRDefault="00BF29D3" w:rsidP="00BF29D3">
            <w:pPr>
              <w:keepNext/>
              <w:keepLines/>
              <w:tabs>
                <w:tab w:val="left" w:pos="-1440"/>
                <w:tab w:val="left" w:pos="-720"/>
              </w:tabs>
              <w:rPr>
                <w:sz w:val="20"/>
                <w:szCs w:val="20"/>
              </w:rPr>
            </w:pPr>
          </w:p>
          <w:p w:rsidR="00BF29D3" w:rsidRPr="00A935AA" w:rsidRDefault="00BF29D3" w:rsidP="003709FE">
            <w:pPr>
              <w:rPr>
                <w:sz w:val="20"/>
                <w:szCs w:val="20"/>
              </w:rPr>
            </w:pPr>
            <w:r w:rsidRPr="00A935AA">
              <w:rPr>
                <w:sz w:val="20"/>
                <w:szCs w:val="20"/>
              </w:rPr>
              <w:t>FILING DATE: 2</w:t>
            </w:r>
            <w:r w:rsidR="003709FE">
              <w:rPr>
                <w:sz w:val="20"/>
                <w:szCs w:val="20"/>
              </w:rPr>
              <w:t>3</w:t>
            </w:r>
            <w:r w:rsidRPr="00A935AA">
              <w:rPr>
                <w:sz w:val="20"/>
                <w:szCs w:val="20"/>
              </w:rPr>
              <w:t>.0</w:t>
            </w:r>
            <w:r>
              <w:rPr>
                <w:sz w:val="20"/>
                <w:szCs w:val="20"/>
              </w:rPr>
              <w:t>1</w:t>
            </w:r>
            <w:r w:rsidRPr="00A935AA">
              <w:rPr>
                <w:sz w:val="20"/>
                <w:szCs w:val="20"/>
              </w:rPr>
              <w:t>.201</w:t>
            </w:r>
            <w:r>
              <w:rPr>
                <w:sz w:val="20"/>
                <w:szCs w:val="20"/>
              </w:rPr>
              <w:t>2</w:t>
            </w:r>
            <w:r w:rsidR="00FD28BB" w:rsidRPr="00FD28BB">
              <w:rPr>
                <w:sz w:val="20"/>
                <w:szCs w:val="20"/>
                <w:lang w:val="fr-CA"/>
              </w:rPr>
              <w:pict>
                <v:rect id="_x0000_i1032" style="width:108pt;height:1pt" o:hrpct="0" o:hralign="center" o:hrstd="t" o:hrnoshade="t" o:hr="t" fillcolor="black [3213]" stroked="f"/>
              </w:pict>
            </w:r>
          </w:p>
        </w:tc>
      </w:tr>
      <w:tr w:rsidR="00BF29D3" w:rsidRPr="00A935AA" w:rsidTr="003B3977">
        <w:trPr>
          <w:cantSplit/>
        </w:trPr>
        <w:tc>
          <w:tcPr>
            <w:tcW w:w="4320" w:type="dxa"/>
            <w:shd w:val="clear" w:color="auto" w:fill="auto"/>
          </w:tcPr>
          <w:p w:rsidR="00BF29D3" w:rsidRPr="00A935AA" w:rsidRDefault="003709FE" w:rsidP="00BF29D3">
            <w:pPr>
              <w:rPr>
                <w:b/>
                <w:sz w:val="20"/>
                <w:szCs w:val="20"/>
              </w:rPr>
            </w:pPr>
            <w:r>
              <w:rPr>
                <w:b/>
                <w:sz w:val="20"/>
                <w:szCs w:val="20"/>
              </w:rPr>
              <w:lastRenderedPageBreak/>
              <w:t>Melvin Sumner</w:t>
            </w:r>
          </w:p>
          <w:p w:rsidR="00BF29D3" w:rsidRPr="00A935AA" w:rsidRDefault="00BF29D3" w:rsidP="00BF29D3">
            <w:pPr>
              <w:tabs>
                <w:tab w:val="left" w:pos="-1440"/>
                <w:tab w:val="left" w:pos="-720"/>
              </w:tabs>
              <w:rPr>
                <w:sz w:val="20"/>
                <w:szCs w:val="20"/>
              </w:rPr>
            </w:pPr>
            <w:r w:rsidRPr="00A935AA">
              <w:rPr>
                <w:sz w:val="20"/>
                <w:szCs w:val="20"/>
              </w:rPr>
              <w:tab/>
            </w:r>
            <w:r w:rsidR="003709FE">
              <w:rPr>
                <w:sz w:val="20"/>
                <w:szCs w:val="20"/>
              </w:rPr>
              <w:t>Dennis G. Groh, Q.C.</w:t>
            </w:r>
          </w:p>
          <w:p w:rsidR="00BF29D3" w:rsidRPr="00204A6F" w:rsidRDefault="00BF29D3" w:rsidP="00BF29D3">
            <w:pPr>
              <w:tabs>
                <w:tab w:val="left" w:pos="-1440"/>
                <w:tab w:val="left" w:pos="-720"/>
              </w:tabs>
              <w:rPr>
                <w:sz w:val="20"/>
                <w:szCs w:val="20"/>
                <w:lang w:val="fr-CA"/>
              </w:rPr>
            </w:pPr>
            <w:r w:rsidRPr="00A935AA">
              <w:rPr>
                <w:sz w:val="20"/>
                <w:szCs w:val="20"/>
              </w:rPr>
              <w:tab/>
            </w:r>
            <w:proofErr w:type="spellStart"/>
            <w:r w:rsidR="003709FE" w:rsidRPr="00204A6F">
              <w:rPr>
                <w:sz w:val="20"/>
                <w:szCs w:val="20"/>
                <w:lang w:val="fr-CA"/>
              </w:rPr>
              <w:t>Heil</w:t>
            </w:r>
            <w:proofErr w:type="spellEnd"/>
            <w:r w:rsidR="003709FE" w:rsidRPr="00204A6F">
              <w:rPr>
                <w:sz w:val="20"/>
                <w:szCs w:val="20"/>
                <w:lang w:val="fr-CA"/>
              </w:rPr>
              <w:t xml:space="preserve"> &amp; </w:t>
            </w:r>
            <w:proofErr w:type="spellStart"/>
            <w:r w:rsidR="003709FE" w:rsidRPr="00204A6F">
              <w:rPr>
                <w:sz w:val="20"/>
                <w:szCs w:val="20"/>
                <w:lang w:val="fr-CA"/>
              </w:rPr>
              <w:t>Groh</w:t>
            </w:r>
            <w:proofErr w:type="spellEnd"/>
          </w:p>
          <w:p w:rsidR="00BF29D3" w:rsidRPr="00204A6F" w:rsidRDefault="00BF29D3" w:rsidP="00BF29D3">
            <w:pPr>
              <w:tabs>
                <w:tab w:val="left" w:pos="-1440"/>
                <w:tab w:val="left" w:pos="-720"/>
              </w:tabs>
              <w:rPr>
                <w:sz w:val="20"/>
                <w:szCs w:val="20"/>
                <w:lang w:val="fr-CA"/>
              </w:rPr>
            </w:pPr>
          </w:p>
          <w:p w:rsidR="00BF29D3" w:rsidRPr="00204A6F" w:rsidRDefault="00BF29D3" w:rsidP="00BF29D3">
            <w:pPr>
              <w:tabs>
                <w:tab w:val="left" w:pos="-1440"/>
                <w:tab w:val="left" w:pos="-720"/>
              </w:tabs>
              <w:rPr>
                <w:sz w:val="20"/>
                <w:szCs w:val="20"/>
                <w:lang w:val="fr-CA"/>
              </w:rPr>
            </w:pPr>
            <w:r w:rsidRPr="00204A6F">
              <w:rPr>
                <w:sz w:val="20"/>
                <w:szCs w:val="20"/>
                <w:lang w:val="fr-CA"/>
              </w:rPr>
              <w:tab/>
              <w:t>v. (34</w:t>
            </w:r>
            <w:r w:rsidR="003709FE" w:rsidRPr="00204A6F">
              <w:rPr>
                <w:sz w:val="20"/>
                <w:szCs w:val="20"/>
                <w:lang w:val="fr-CA"/>
              </w:rPr>
              <w:t>630</w:t>
            </w:r>
            <w:r w:rsidRPr="00204A6F">
              <w:rPr>
                <w:sz w:val="20"/>
                <w:szCs w:val="20"/>
                <w:lang w:val="fr-CA"/>
              </w:rPr>
              <w:t>)</w:t>
            </w:r>
          </w:p>
          <w:p w:rsidR="00BF29D3" w:rsidRPr="00204A6F" w:rsidRDefault="00BF29D3" w:rsidP="00BF29D3">
            <w:pPr>
              <w:tabs>
                <w:tab w:val="left" w:pos="-1440"/>
                <w:tab w:val="left" w:pos="-720"/>
              </w:tabs>
              <w:rPr>
                <w:sz w:val="20"/>
                <w:szCs w:val="20"/>
                <w:lang w:val="fr-CA"/>
              </w:rPr>
            </w:pPr>
          </w:p>
          <w:p w:rsidR="00BF29D3" w:rsidRPr="00A935AA" w:rsidRDefault="003709FE" w:rsidP="00BF29D3">
            <w:pPr>
              <w:tabs>
                <w:tab w:val="left" w:pos="-1440"/>
                <w:tab w:val="left" w:pos="-720"/>
              </w:tabs>
              <w:rPr>
                <w:b/>
                <w:sz w:val="20"/>
                <w:szCs w:val="20"/>
              </w:rPr>
            </w:pPr>
            <w:r w:rsidRPr="003709FE">
              <w:rPr>
                <w:b/>
                <w:sz w:val="20"/>
                <w:szCs w:val="20"/>
                <w:lang w:val="fr-CA"/>
              </w:rPr>
              <w:t xml:space="preserve">PCL </w:t>
            </w:r>
            <w:proofErr w:type="spellStart"/>
            <w:r w:rsidRPr="003709FE">
              <w:rPr>
                <w:b/>
                <w:sz w:val="20"/>
                <w:szCs w:val="20"/>
                <w:lang w:val="fr-CA"/>
              </w:rPr>
              <w:t>Constructors</w:t>
            </w:r>
            <w:proofErr w:type="spellEnd"/>
            <w:r w:rsidRPr="003709FE">
              <w:rPr>
                <w:b/>
                <w:sz w:val="20"/>
                <w:szCs w:val="20"/>
                <w:lang w:val="fr-CA"/>
              </w:rPr>
              <w:t xml:space="preserve"> Inc. et al. </w:t>
            </w:r>
            <w:r w:rsidR="00BF29D3" w:rsidRPr="00A935AA">
              <w:rPr>
                <w:b/>
                <w:sz w:val="20"/>
                <w:szCs w:val="20"/>
              </w:rPr>
              <w:t>(</w:t>
            </w:r>
            <w:r>
              <w:rPr>
                <w:b/>
                <w:sz w:val="20"/>
                <w:szCs w:val="20"/>
              </w:rPr>
              <w:t>Alta</w:t>
            </w:r>
            <w:r w:rsidR="00BF29D3" w:rsidRPr="00A935AA">
              <w:rPr>
                <w:b/>
                <w:sz w:val="20"/>
                <w:szCs w:val="20"/>
              </w:rPr>
              <w:t>.)</w:t>
            </w:r>
          </w:p>
          <w:p w:rsidR="00BF29D3" w:rsidRPr="00A935AA" w:rsidRDefault="00BF29D3" w:rsidP="00BF29D3">
            <w:pPr>
              <w:tabs>
                <w:tab w:val="left" w:pos="-1440"/>
                <w:tab w:val="left" w:pos="-720"/>
              </w:tabs>
              <w:rPr>
                <w:sz w:val="20"/>
                <w:szCs w:val="20"/>
              </w:rPr>
            </w:pPr>
            <w:r w:rsidRPr="00A935AA">
              <w:rPr>
                <w:sz w:val="20"/>
                <w:szCs w:val="20"/>
              </w:rPr>
              <w:tab/>
            </w:r>
            <w:r w:rsidR="003709FE">
              <w:rPr>
                <w:sz w:val="20"/>
                <w:szCs w:val="20"/>
              </w:rPr>
              <w:t xml:space="preserve">Frederick S. </w:t>
            </w:r>
            <w:proofErr w:type="spellStart"/>
            <w:r w:rsidR="003709FE">
              <w:rPr>
                <w:sz w:val="20"/>
                <w:szCs w:val="20"/>
              </w:rPr>
              <w:t>Kozak</w:t>
            </w:r>
            <w:proofErr w:type="spellEnd"/>
            <w:r w:rsidR="003709FE">
              <w:rPr>
                <w:sz w:val="20"/>
                <w:szCs w:val="20"/>
              </w:rPr>
              <w:t>, Q.C.</w:t>
            </w:r>
          </w:p>
          <w:p w:rsidR="00BF29D3" w:rsidRPr="00A935AA" w:rsidRDefault="00BF29D3" w:rsidP="00BF29D3">
            <w:pPr>
              <w:tabs>
                <w:tab w:val="left" w:pos="-1440"/>
                <w:tab w:val="left" w:pos="-720"/>
              </w:tabs>
              <w:rPr>
                <w:sz w:val="20"/>
                <w:szCs w:val="20"/>
              </w:rPr>
            </w:pPr>
            <w:r w:rsidRPr="00A935AA">
              <w:rPr>
                <w:sz w:val="20"/>
                <w:szCs w:val="20"/>
              </w:rPr>
              <w:tab/>
            </w:r>
            <w:r w:rsidR="003709FE">
              <w:rPr>
                <w:sz w:val="20"/>
                <w:szCs w:val="20"/>
              </w:rPr>
              <w:t>Reynolds, Mirth, Richards &amp; Farmer LLP</w:t>
            </w:r>
          </w:p>
          <w:p w:rsidR="00BF29D3" w:rsidRPr="00A935AA" w:rsidRDefault="00BF29D3" w:rsidP="00BF29D3">
            <w:pPr>
              <w:tabs>
                <w:tab w:val="left" w:pos="-1440"/>
                <w:tab w:val="left" w:pos="-720"/>
              </w:tabs>
              <w:rPr>
                <w:sz w:val="20"/>
                <w:szCs w:val="20"/>
              </w:rPr>
            </w:pPr>
          </w:p>
          <w:p w:rsidR="00BF29D3" w:rsidRPr="00A935AA" w:rsidRDefault="00BF29D3" w:rsidP="00BF29D3">
            <w:pPr>
              <w:rPr>
                <w:sz w:val="20"/>
                <w:szCs w:val="20"/>
              </w:rPr>
            </w:pPr>
            <w:r w:rsidRPr="00A935AA">
              <w:rPr>
                <w:sz w:val="20"/>
                <w:szCs w:val="20"/>
              </w:rPr>
              <w:t>FILING DATE: 2</w:t>
            </w:r>
            <w:r w:rsidR="003709FE">
              <w:rPr>
                <w:sz w:val="20"/>
                <w:szCs w:val="20"/>
              </w:rPr>
              <w:t>3</w:t>
            </w:r>
            <w:r w:rsidRPr="00A935AA">
              <w:rPr>
                <w:sz w:val="20"/>
                <w:szCs w:val="20"/>
              </w:rPr>
              <w:t>.0</w:t>
            </w:r>
            <w:r>
              <w:rPr>
                <w:sz w:val="20"/>
                <w:szCs w:val="20"/>
              </w:rPr>
              <w:t>1</w:t>
            </w:r>
            <w:r w:rsidRPr="00A935AA">
              <w:rPr>
                <w:sz w:val="20"/>
                <w:szCs w:val="20"/>
              </w:rPr>
              <w:t>.201</w:t>
            </w:r>
            <w:r>
              <w:rPr>
                <w:sz w:val="20"/>
                <w:szCs w:val="20"/>
              </w:rPr>
              <w:t>2</w:t>
            </w:r>
          </w:p>
          <w:p w:rsidR="00BF29D3" w:rsidRPr="00A935AA" w:rsidRDefault="00FD28BB" w:rsidP="00BF29D3">
            <w:pPr>
              <w:rPr>
                <w:sz w:val="20"/>
                <w:szCs w:val="20"/>
              </w:rPr>
            </w:pPr>
            <w:r w:rsidRPr="00FD28BB">
              <w:rPr>
                <w:sz w:val="20"/>
                <w:szCs w:val="20"/>
                <w:lang w:val="fr-CA"/>
              </w:rPr>
              <w:pict>
                <v:rect id="_x0000_i1033" style="width:108pt;height:1pt" o:hrpct="0" o:hralign="center" o:hrstd="t" o:hrnoshade="t" o:hr="t" fillcolor="black [3213]" stroked="f"/>
              </w:pict>
            </w:r>
          </w:p>
        </w:tc>
        <w:tc>
          <w:tcPr>
            <w:tcW w:w="1181" w:type="dxa"/>
            <w:shd w:val="clear" w:color="auto" w:fill="auto"/>
          </w:tcPr>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p w:rsidR="00BF29D3" w:rsidRPr="00A935AA" w:rsidRDefault="00BF29D3" w:rsidP="00242AEE">
            <w:pPr>
              <w:jc w:val="center"/>
              <w:rPr>
                <w:sz w:val="20"/>
                <w:szCs w:val="20"/>
              </w:rPr>
            </w:pPr>
          </w:p>
        </w:tc>
        <w:tc>
          <w:tcPr>
            <w:tcW w:w="4320" w:type="dxa"/>
            <w:shd w:val="clear" w:color="auto" w:fill="auto"/>
          </w:tcPr>
          <w:p w:rsidR="00BF29D3" w:rsidRPr="00A935AA" w:rsidRDefault="003709FE" w:rsidP="00BF29D3">
            <w:pPr>
              <w:keepNext/>
              <w:keepLines/>
              <w:tabs>
                <w:tab w:val="left" w:pos="-1440"/>
                <w:tab w:val="left" w:pos="-720"/>
              </w:tabs>
              <w:rPr>
                <w:b/>
                <w:sz w:val="20"/>
                <w:szCs w:val="20"/>
              </w:rPr>
            </w:pPr>
            <w:r>
              <w:rPr>
                <w:b/>
                <w:sz w:val="20"/>
                <w:szCs w:val="20"/>
              </w:rPr>
              <w:t xml:space="preserve">Residents and Ratepayers of Central </w:t>
            </w:r>
            <w:proofErr w:type="spellStart"/>
            <w:r>
              <w:rPr>
                <w:b/>
                <w:sz w:val="20"/>
                <w:szCs w:val="20"/>
              </w:rPr>
              <w:t>Saanich</w:t>
            </w:r>
            <w:proofErr w:type="spellEnd"/>
            <w:r>
              <w:rPr>
                <w:b/>
                <w:sz w:val="20"/>
                <w:szCs w:val="20"/>
              </w:rPr>
              <w:t xml:space="preserve"> Society</w:t>
            </w:r>
          </w:p>
          <w:p w:rsidR="00BF29D3" w:rsidRPr="00A935AA" w:rsidRDefault="00BF29D3" w:rsidP="00BF29D3">
            <w:pPr>
              <w:keepNext/>
              <w:keepLines/>
              <w:tabs>
                <w:tab w:val="left" w:pos="-1440"/>
                <w:tab w:val="left" w:pos="-720"/>
              </w:tabs>
              <w:rPr>
                <w:sz w:val="20"/>
                <w:szCs w:val="20"/>
              </w:rPr>
            </w:pPr>
            <w:r w:rsidRPr="00A935AA">
              <w:rPr>
                <w:sz w:val="20"/>
                <w:szCs w:val="20"/>
              </w:rPr>
              <w:tab/>
            </w:r>
            <w:r w:rsidR="003709FE">
              <w:rPr>
                <w:sz w:val="20"/>
                <w:szCs w:val="20"/>
              </w:rPr>
              <w:t>Robin J. Gage</w:t>
            </w:r>
          </w:p>
          <w:p w:rsidR="00BF29D3" w:rsidRPr="00A935AA" w:rsidRDefault="00BF29D3" w:rsidP="00BF29D3">
            <w:pPr>
              <w:keepNext/>
              <w:keepLines/>
              <w:tabs>
                <w:tab w:val="left" w:pos="-1440"/>
                <w:tab w:val="left" w:pos="-720"/>
              </w:tabs>
              <w:rPr>
                <w:sz w:val="20"/>
                <w:szCs w:val="20"/>
              </w:rPr>
            </w:pPr>
            <w:r w:rsidRPr="00A935AA">
              <w:rPr>
                <w:sz w:val="20"/>
                <w:szCs w:val="20"/>
              </w:rPr>
              <w:tab/>
            </w:r>
            <w:r w:rsidR="003709FE">
              <w:rPr>
                <w:sz w:val="20"/>
                <w:szCs w:val="20"/>
              </w:rPr>
              <w:t xml:space="preserve">Underhill </w:t>
            </w:r>
            <w:proofErr w:type="spellStart"/>
            <w:r w:rsidR="003709FE">
              <w:rPr>
                <w:sz w:val="20"/>
                <w:szCs w:val="20"/>
              </w:rPr>
              <w:t>Boies</w:t>
            </w:r>
            <w:proofErr w:type="spellEnd"/>
            <w:r w:rsidR="003709FE">
              <w:rPr>
                <w:sz w:val="20"/>
                <w:szCs w:val="20"/>
              </w:rPr>
              <w:t xml:space="preserve"> Parker</w:t>
            </w:r>
          </w:p>
          <w:p w:rsidR="00BF29D3" w:rsidRPr="00A935AA" w:rsidRDefault="00BF29D3" w:rsidP="00BF29D3">
            <w:pPr>
              <w:keepNext/>
              <w:keepLines/>
              <w:tabs>
                <w:tab w:val="left" w:pos="-1440"/>
                <w:tab w:val="left" w:pos="-720"/>
              </w:tabs>
              <w:rPr>
                <w:sz w:val="20"/>
                <w:szCs w:val="20"/>
              </w:rPr>
            </w:pPr>
          </w:p>
          <w:p w:rsidR="00BF29D3" w:rsidRPr="003709FE" w:rsidRDefault="00BF29D3" w:rsidP="00BF29D3">
            <w:pPr>
              <w:keepNext/>
              <w:keepLines/>
              <w:tabs>
                <w:tab w:val="left" w:pos="-1440"/>
                <w:tab w:val="left" w:pos="-720"/>
              </w:tabs>
              <w:rPr>
                <w:sz w:val="20"/>
                <w:szCs w:val="20"/>
              </w:rPr>
            </w:pPr>
            <w:r w:rsidRPr="00A935AA">
              <w:rPr>
                <w:sz w:val="20"/>
                <w:szCs w:val="20"/>
              </w:rPr>
              <w:tab/>
            </w:r>
            <w:r w:rsidRPr="003709FE">
              <w:rPr>
                <w:sz w:val="20"/>
                <w:szCs w:val="20"/>
              </w:rPr>
              <w:t>v. (34</w:t>
            </w:r>
            <w:r w:rsidR="003709FE">
              <w:rPr>
                <w:sz w:val="20"/>
                <w:szCs w:val="20"/>
              </w:rPr>
              <w:t>632</w:t>
            </w:r>
            <w:r w:rsidRPr="003709FE">
              <w:rPr>
                <w:sz w:val="20"/>
                <w:szCs w:val="20"/>
              </w:rPr>
              <w:t>)</w:t>
            </w:r>
          </w:p>
          <w:p w:rsidR="00BF29D3" w:rsidRPr="003709FE" w:rsidRDefault="00BF29D3" w:rsidP="00BF29D3">
            <w:pPr>
              <w:keepNext/>
              <w:keepLines/>
              <w:tabs>
                <w:tab w:val="left" w:pos="-1440"/>
                <w:tab w:val="left" w:pos="-720"/>
              </w:tabs>
              <w:rPr>
                <w:sz w:val="20"/>
                <w:szCs w:val="20"/>
              </w:rPr>
            </w:pPr>
          </w:p>
          <w:p w:rsidR="00BF29D3" w:rsidRPr="003709FE" w:rsidRDefault="003709FE" w:rsidP="00BF29D3">
            <w:pPr>
              <w:keepNext/>
              <w:keepLines/>
              <w:tabs>
                <w:tab w:val="left" w:pos="-1440"/>
                <w:tab w:val="left" w:pos="-720"/>
              </w:tabs>
              <w:rPr>
                <w:b/>
                <w:sz w:val="20"/>
                <w:szCs w:val="20"/>
              </w:rPr>
            </w:pPr>
            <w:r>
              <w:rPr>
                <w:b/>
                <w:sz w:val="20"/>
                <w:szCs w:val="20"/>
              </w:rPr>
              <w:t xml:space="preserve">Corporation of the District of Central </w:t>
            </w:r>
            <w:proofErr w:type="spellStart"/>
            <w:r>
              <w:rPr>
                <w:b/>
                <w:sz w:val="20"/>
                <w:szCs w:val="20"/>
              </w:rPr>
              <w:t>Saanich</w:t>
            </w:r>
            <w:proofErr w:type="spellEnd"/>
            <w:r>
              <w:rPr>
                <w:b/>
                <w:sz w:val="20"/>
                <w:szCs w:val="20"/>
              </w:rPr>
              <w:t xml:space="preserve"> et al. </w:t>
            </w:r>
            <w:r w:rsidR="00BF29D3" w:rsidRPr="003709FE">
              <w:rPr>
                <w:b/>
                <w:sz w:val="20"/>
                <w:szCs w:val="20"/>
              </w:rPr>
              <w:t>(</w:t>
            </w:r>
            <w:r>
              <w:rPr>
                <w:b/>
                <w:sz w:val="20"/>
                <w:szCs w:val="20"/>
              </w:rPr>
              <w:t>B.C.</w:t>
            </w:r>
            <w:r w:rsidR="00BF29D3" w:rsidRPr="003709FE">
              <w:rPr>
                <w:b/>
                <w:sz w:val="20"/>
                <w:szCs w:val="20"/>
              </w:rPr>
              <w:t>)</w:t>
            </w:r>
          </w:p>
          <w:p w:rsidR="00BF29D3" w:rsidRPr="003709FE" w:rsidRDefault="00BF29D3" w:rsidP="00BF29D3">
            <w:pPr>
              <w:keepNext/>
              <w:keepLines/>
              <w:tabs>
                <w:tab w:val="left" w:pos="-1440"/>
                <w:tab w:val="left" w:pos="-720"/>
              </w:tabs>
              <w:rPr>
                <w:sz w:val="20"/>
                <w:szCs w:val="20"/>
              </w:rPr>
            </w:pPr>
            <w:r w:rsidRPr="003709FE">
              <w:rPr>
                <w:sz w:val="20"/>
                <w:szCs w:val="20"/>
              </w:rPr>
              <w:tab/>
            </w:r>
            <w:r w:rsidR="003709FE">
              <w:rPr>
                <w:sz w:val="20"/>
                <w:szCs w:val="20"/>
              </w:rPr>
              <w:t>Raymond E. Young</w:t>
            </w:r>
          </w:p>
          <w:p w:rsidR="00BF29D3" w:rsidRPr="003709FE" w:rsidRDefault="00BF29D3" w:rsidP="00BF29D3">
            <w:pPr>
              <w:keepNext/>
              <w:keepLines/>
              <w:tabs>
                <w:tab w:val="left" w:pos="-1440"/>
                <w:tab w:val="left" w:pos="-720"/>
              </w:tabs>
              <w:rPr>
                <w:sz w:val="20"/>
                <w:szCs w:val="20"/>
              </w:rPr>
            </w:pPr>
            <w:r w:rsidRPr="003709FE">
              <w:rPr>
                <w:sz w:val="20"/>
                <w:szCs w:val="20"/>
              </w:rPr>
              <w:tab/>
            </w:r>
            <w:proofErr w:type="spellStart"/>
            <w:r w:rsidR="00271381">
              <w:rPr>
                <w:sz w:val="20"/>
                <w:szCs w:val="20"/>
              </w:rPr>
              <w:t>Lidstone</w:t>
            </w:r>
            <w:proofErr w:type="spellEnd"/>
            <w:r w:rsidR="00271381">
              <w:rPr>
                <w:sz w:val="20"/>
                <w:szCs w:val="20"/>
              </w:rPr>
              <w:t xml:space="preserve">, </w:t>
            </w:r>
            <w:r w:rsidR="004C5A4C">
              <w:rPr>
                <w:sz w:val="20"/>
                <w:szCs w:val="20"/>
              </w:rPr>
              <w:t>Young &amp; Anderson</w:t>
            </w:r>
          </w:p>
          <w:p w:rsidR="00BF29D3" w:rsidRPr="003709FE" w:rsidRDefault="00BF29D3" w:rsidP="00BF29D3">
            <w:pPr>
              <w:keepNext/>
              <w:keepLines/>
              <w:tabs>
                <w:tab w:val="left" w:pos="-1440"/>
                <w:tab w:val="left" w:pos="-720"/>
              </w:tabs>
              <w:rPr>
                <w:sz w:val="20"/>
                <w:szCs w:val="20"/>
              </w:rPr>
            </w:pPr>
          </w:p>
          <w:p w:rsidR="00BF29D3" w:rsidRPr="00A935AA" w:rsidRDefault="00BF29D3" w:rsidP="004C5A4C">
            <w:pPr>
              <w:rPr>
                <w:sz w:val="20"/>
                <w:szCs w:val="20"/>
              </w:rPr>
            </w:pPr>
            <w:r w:rsidRPr="00A935AA">
              <w:rPr>
                <w:sz w:val="20"/>
                <w:szCs w:val="20"/>
              </w:rPr>
              <w:t>FILING DATE: 2</w:t>
            </w:r>
            <w:r w:rsidR="004C5A4C">
              <w:rPr>
                <w:sz w:val="20"/>
                <w:szCs w:val="20"/>
              </w:rPr>
              <w:t>4</w:t>
            </w:r>
            <w:r w:rsidRPr="00A935AA">
              <w:rPr>
                <w:sz w:val="20"/>
                <w:szCs w:val="20"/>
              </w:rPr>
              <w:t>.0</w:t>
            </w:r>
            <w:r>
              <w:rPr>
                <w:sz w:val="20"/>
                <w:szCs w:val="20"/>
              </w:rPr>
              <w:t>1</w:t>
            </w:r>
            <w:r w:rsidRPr="00A935AA">
              <w:rPr>
                <w:sz w:val="20"/>
                <w:szCs w:val="20"/>
              </w:rPr>
              <w:t>.201</w:t>
            </w:r>
            <w:r>
              <w:rPr>
                <w:sz w:val="20"/>
                <w:szCs w:val="20"/>
              </w:rPr>
              <w:t>2</w:t>
            </w:r>
            <w:r w:rsidR="00FD28BB" w:rsidRPr="00FD28BB">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F29D3">
          <w:headerReference w:type="default" r:id="rId17"/>
          <w:footerReference w:type="default" r:id="rId18"/>
          <w:headerReference w:type="first" r:id="rId19"/>
          <w:footerReference w:type="first" r:id="rId20"/>
          <w:pgSz w:w="12240" w:h="15840"/>
          <w:pgMar w:top="720" w:right="965" w:bottom="1080" w:left="1656" w:header="706" w:footer="706" w:gutter="0"/>
          <w:pgNumType w:start="16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251B16"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BF29D3" w:rsidP="004B7F60">
      <w:pPr>
        <w:widowControl w:val="0"/>
        <w:rPr>
          <w:b/>
          <w:sz w:val="20"/>
          <w:szCs w:val="20"/>
        </w:rPr>
      </w:pPr>
      <w:r>
        <w:rPr>
          <w:b/>
          <w:sz w:val="20"/>
          <w:szCs w:val="20"/>
        </w:rPr>
        <w:t>JA</w:t>
      </w:r>
      <w:r w:rsidR="004B7F60">
        <w:rPr>
          <w:b/>
          <w:sz w:val="20"/>
          <w:szCs w:val="20"/>
        </w:rPr>
        <w:t>N</w:t>
      </w:r>
      <w:r>
        <w:rPr>
          <w:b/>
          <w:sz w:val="20"/>
          <w:szCs w:val="20"/>
        </w:rPr>
        <w:t>UARY 16</w:t>
      </w:r>
      <w:r w:rsidR="004B7F60" w:rsidRPr="00C50A5C">
        <w:rPr>
          <w:b/>
          <w:sz w:val="20"/>
          <w:szCs w:val="20"/>
        </w:rPr>
        <w:t>, 201</w:t>
      </w:r>
      <w:r>
        <w:rPr>
          <w:b/>
          <w:sz w:val="20"/>
          <w:szCs w:val="20"/>
        </w:rPr>
        <w:t>2</w:t>
      </w:r>
      <w:r w:rsidR="004B7F60" w:rsidRPr="00C50A5C">
        <w:rPr>
          <w:b/>
          <w:sz w:val="20"/>
          <w:szCs w:val="20"/>
        </w:rPr>
        <w:t xml:space="preserve"> / LE </w:t>
      </w:r>
      <w:r>
        <w:rPr>
          <w:b/>
          <w:sz w:val="20"/>
          <w:szCs w:val="20"/>
        </w:rPr>
        <w:t>16 JA</w:t>
      </w:r>
      <w:r w:rsidR="004B7F60">
        <w:rPr>
          <w:b/>
          <w:sz w:val="20"/>
          <w:szCs w:val="20"/>
        </w:rPr>
        <w:t>NV</w:t>
      </w:r>
      <w:r>
        <w:rPr>
          <w:b/>
          <w:sz w:val="20"/>
          <w:szCs w:val="20"/>
        </w:rPr>
        <w:t>I</w:t>
      </w:r>
      <w:r w:rsidR="004B7F60">
        <w:rPr>
          <w:b/>
          <w:sz w:val="20"/>
          <w:szCs w:val="20"/>
        </w:rPr>
        <w:t>ER</w:t>
      </w:r>
      <w:r w:rsidR="004B7F60" w:rsidRPr="00C50A5C">
        <w:rPr>
          <w:b/>
          <w:sz w:val="20"/>
          <w:szCs w:val="20"/>
        </w:rPr>
        <w:t xml:space="preserve"> 201</w:t>
      </w:r>
      <w:r>
        <w:rPr>
          <w:b/>
          <w:sz w:val="20"/>
          <w:szCs w:val="20"/>
        </w:rPr>
        <w:t>2</w:t>
      </w:r>
    </w:p>
    <w:p w:rsidR="004B7F60" w:rsidRPr="00BF29D3" w:rsidRDefault="004B7F60" w:rsidP="004B7F60">
      <w:pPr>
        <w:widowControl w:val="0"/>
        <w:rPr>
          <w:sz w:val="20"/>
          <w:szCs w:val="20"/>
        </w:rPr>
      </w:pPr>
    </w:p>
    <w:p w:rsidR="00BF29D3" w:rsidRPr="00C50A5C" w:rsidRDefault="00BF29D3" w:rsidP="00BF29D3">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BF29D3" w:rsidRPr="00C50A5C" w:rsidRDefault="00BF29D3" w:rsidP="00BF29D3">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BF29D3" w:rsidRPr="00BF29D3" w:rsidRDefault="00BF29D3" w:rsidP="004B7F60">
      <w:pPr>
        <w:widowControl w:val="0"/>
        <w:rPr>
          <w:sz w:val="20"/>
          <w:szCs w:val="20"/>
          <w:lang w:val="fr-CA"/>
        </w:rPr>
      </w:pPr>
    </w:p>
    <w:p w:rsidR="00BF29D3" w:rsidRPr="00C50A5C" w:rsidRDefault="005E034F" w:rsidP="00BF29D3">
      <w:pPr>
        <w:pStyle w:val="ListParagraph"/>
        <w:widowControl w:val="0"/>
        <w:numPr>
          <w:ilvl w:val="0"/>
          <w:numId w:val="1"/>
        </w:numPr>
        <w:ind w:hanging="720"/>
        <w:jc w:val="both"/>
        <w:rPr>
          <w:sz w:val="20"/>
          <w:szCs w:val="20"/>
        </w:rPr>
      </w:pPr>
      <w:r w:rsidRPr="00986371">
        <w:rPr>
          <w:i/>
          <w:sz w:val="20"/>
          <w:szCs w:val="20"/>
        </w:rPr>
        <w:t>J</w:t>
      </w:r>
      <w:r w:rsidR="00BF29D3" w:rsidRPr="00986371">
        <w:rPr>
          <w:i/>
          <w:sz w:val="20"/>
          <w:szCs w:val="20"/>
        </w:rPr>
        <w:t>ean</w:t>
      </w:r>
      <w:r w:rsidRPr="00986371">
        <w:rPr>
          <w:i/>
          <w:sz w:val="20"/>
          <w:szCs w:val="20"/>
        </w:rPr>
        <w:t xml:space="preserve"> </w:t>
      </w:r>
      <w:proofErr w:type="spellStart"/>
      <w:r w:rsidRPr="00986371">
        <w:rPr>
          <w:i/>
          <w:sz w:val="20"/>
          <w:szCs w:val="20"/>
        </w:rPr>
        <w:t>Gaetan</w:t>
      </w:r>
      <w:proofErr w:type="spellEnd"/>
      <w:r w:rsidRPr="00986371">
        <w:rPr>
          <w:i/>
          <w:sz w:val="20"/>
          <w:szCs w:val="20"/>
        </w:rPr>
        <w:t xml:space="preserve"> </w:t>
      </w:r>
      <w:proofErr w:type="spellStart"/>
      <w:r w:rsidRPr="00986371">
        <w:rPr>
          <w:i/>
          <w:sz w:val="20"/>
          <w:szCs w:val="20"/>
        </w:rPr>
        <w:t>Gingras</w:t>
      </w:r>
      <w:proofErr w:type="spellEnd"/>
      <w:r w:rsidR="00BF29D3" w:rsidRPr="00986371">
        <w:rPr>
          <w:i/>
          <w:sz w:val="20"/>
          <w:szCs w:val="20"/>
        </w:rPr>
        <w:t xml:space="preserve"> </w:t>
      </w:r>
      <w:r w:rsidR="00986371" w:rsidRPr="00986371">
        <w:rPr>
          <w:i/>
          <w:sz w:val="20"/>
          <w:szCs w:val="20"/>
        </w:rPr>
        <w:t>v</w:t>
      </w:r>
      <w:r w:rsidR="00BF29D3" w:rsidRPr="00986371">
        <w:rPr>
          <w:i/>
          <w:sz w:val="20"/>
          <w:szCs w:val="20"/>
        </w:rPr>
        <w:t xml:space="preserve">. </w:t>
      </w:r>
      <w:r w:rsidR="00986371" w:rsidRPr="00986371">
        <w:rPr>
          <w:i/>
          <w:sz w:val="20"/>
          <w:szCs w:val="20"/>
        </w:rPr>
        <w:t xml:space="preserve">Her </w:t>
      </w:r>
      <w:r w:rsidRPr="00986371">
        <w:rPr>
          <w:i/>
          <w:sz w:val="20"/>
          <w:szCs w:val="20"/>
        </w:rPr>
        <w:t>Maj</w:t>
      </w:r>
      <w:r w:rsidR="00BF29D3" w:rsidRPr="00986371">
        <w:rPr>
          <w:i/>
          <w:sz w:val="20"/>
          <w:szCs w:val="20"/>
        </w:rPr>
        <w:t>e</w:t>
      </w:r>
      <w:r w:rsidRPr="00986371">
        <w:rPr>
          <w:i/>
          <w:sz w:val="20"/>
          <w:szCs w:val="20"/>
        </w:rPr>
        <w:t>st</w:t>
      </w:r>
      <w:r w:rsidR="00986371" w:rsidRPr="00986371">
        <w:rPr>
          <w:i/>
          <w:sz w:val="20"/>
          <w:szCs w:val="20"/>
        </w:rPr>
        <w:t>y the Queen</w:t>
      </w:r>
      <w:r w:rsidR="004B5CF8">
        <w:rPr>
          <w:i/>
          <w:sz w:val="20"/>
          <w:szCs w:val="20"/>
        </w:rPr>
        <w:t xml:space="preserve"> et al.</w:t>
      </w:r>
      <w:r w:rsidR="00BF29D3" w:rsidRPr="00986371">
        <w:rPr>
          <w:sz w:val="20"/>
          <w:szCs w:val="20"/>
        </w:rPr>
        <w:t xml:space="preserve"> (</w:t>
      </w:r>
      <w:r w:rsidR="00986371" w:rsidRPr="00986371">
        <w:rPr>
          <w:sz w:val="20"/>
          <w:szCs w:val="20"/>
        </w:rPr>
        <w:t>B.C</w:t>
      </w:r>
      <w:r w:rsidR="00BF29D3" w:rsidRPr="00986371">
        <w:rPr>
          <w:sz w:val="20"/>
          <w:szCs w:val="20"/>
        </w:rPr>
        <w:t xml:space="preserve">.) (Crim.) </w:t>
      </w:r>
      <w:r w:rsidR="00BF29D3" w:rsidRPr="002607EA">
        <w:rPr>
          <w:sz w:val="20"/>
          <w:szCs w:val="20"/>
        </w:rPr>
        <w:t>(By Leave)</w:t>
      </w:r>
      <w:r w:rsidR="00BF29D3" w:rsidRPr="00C50A5C">
        <w:rPr>
          <w:sz w:val="20"/>
          <w:szCs w:val="20"/>
        </w:rPr>
        <w:t xml:space="preserve"> (3</w:t>
      </w:r>
      <w:r w:rsidR="00BF29D3">
        <w:rPr>
          <w:sz w:val="20"/>
          <w:szCs w:val="20"/>
        </w:rPr>
        <w:t>4</w:t>
      </w:r>
      <w:r w:rsidR="00986371">
        <w:rPr>
          <w:sz w:val="20"/>
          <w:szCs w:val="20"/>
        </w:rPr>
        <w:t>6</w:t>
      </w:r>
      <w:r w:rsidR="00BF29D3">
        <w:rPr>
          <w:sz w:val="20"/>
          <w:szCs w:val="20"/>
        </w:rPr>
        <w:t>1</w:t>
      </w:r>
      <w:r w:rsidR="00986371">
        <w:rPr>
          <w:sz w:val="20"/>
          <w:szCs w:val="20"/>
        </w:rPr>
        <w:t>5</w:t>
      </w:r>
      <w:r w:rsidR="00BF29D3" w:rsidRPr="00C50A5C">
        <w:rPr>
          <w:sz w:val="20"/>
          <w:szCs w:val="20"/>
        </w:rPr>
        <w:t>)</w:t>
      </w:r>
    </w:p>
    <w:p w:rsidR="00BF29D3" w:rsidRPr="00C50A5C" w:rsidRDefault="00BF29D3" w:rsidP="00BF29D3">
      <w:pPr>
        <w:widowControl w:val="0"/>
        <w:jc w:val="both"/>
        <w:rPr>
          <w:sz w:val="20"/>
          <w:szCs w:val="20"/>
        </w:rPr>
      </w:pPr>
    </w:p>
    <w:p w:rsidR="00BF29D3" w:rsidRPr="00BF29D3" w:rsidRDefault="00FD28BB" w:rsidP="004B7F60">
      <w:pPr>
        <w:widowControl w:val="0"/>
        <w:rPr>
          <w:sz w:val="20"/>
          <w:szCs w:val="20"/>
          <w:lang w:val="fr-CA"/>
        </w:rPr>
      </w:pPr>
      <w:r w:rsidRPr="00FD28BB">
        <w:rPr>
          <w:sz w:val="20"/>
          <w:szCs w:val="20"/>
        </w:rPr>
        <w:pict>
          <v:rect id="_x0000_i1037" style="width:2in;height:1pt" o:hrpct="0" o:hralign="center" o:hrstd="t" o:hrnoshade="t" o:hr="t" fillcolor="black [3213]" stroked="f"/>
        </w:pict>
      </w:r>
    </w:p>
    <w:p w:rsidR="00BF29D3" w:rsidRPr="00BF29D3" w:rsidRDefault="00BF29D3" w:rsidP="004B7F60">
      <w:pPr>
        <w:widowControl w:val="0"/>
        <w:rPr>
          <w:sz w:val="20"/>
          <w:szCs w:val="20"/>
          <w:lang w:val="fr-CA"/>
        </w:rPr>
      </w:pPr>
    </w:p>
    <w:p w:rsidR="00BF29D3" w:rsidRDefault="00BF29D3" w:rsidP="004B7F60">
      <w:pPr>
        <w:widowControl w:val="0"/>
        <w:rPr>
          <w:sz w:val="20"/>
          <w:szCs w:val="20"/>
        </w:rPr>
      </w:pPr>
    </w:p>
    <w:p w:rsidR="009A6280" w:rsidRPr="009A6280" w:rsidRDefault="009A6280" w:rsidP="004B7F60">
      <w:pPr>
        <w:widowControl w:val="0"/>
        <w:rPr>
          <w:b/>
          <w:sz w:val="20"/>
          <w:szCs w:val="20"/>
        </w:rPr>
      </w:pPr>
      <w:r w:rsidRPr="009A6280">
        <w:rPr>
          <w:b/>
          <w:sz w:val="20"/>
          <w:szCs w:val="20"/>
        </w:rPr>
        <w:t xml:space="preserve">FEBRUARY </w:t>
      </w:r>
      <w:r w:rsidR="00E1103F">
        <w:rPr>
          <w:b/>
          <w:sz w:val="20"/>
          <w:szCs w:val="20"/>
        </w:rPr>
        <w:t>6</w:t>
      </w:r>
      <w:r w:rsidRPr="009A6280">
        <w:rPr>
          <w:b/>
          <w:sz w:val="20"/>
          <w:szCs w:val="20"/>
        </w:rPr>
        <w:t xml:space="preserve">, 2012 / LE </w:t>
      </w:r>
      <w:r w:rsidR="00E1103F">
        <w:rPr>
          <w:b/>
          <w:sz w:val="20"/>
          <w:szCs w:val="20"/>
        </w:rPr>
        <w:t>6</w:t>
      </w:r>
      <w:r w:rsidRPr="009A6280">
        <w:rPr>
          <w:b/>
          <w:sz w:val="20"/>
          <w:szCs w:val="20"/>
        </w:rPr>
        <w:t xml:space="preserve"> FÉVRIER 2012 </w:t>
      </w:r>
    </w:p>
    <w:p w:rsidR="009A6280" w:rsidRPr="00F147E3" w:rsidRDefault="009A6280" w:rsidP="004B7F60">
      <w:pPr>
        <w:widowControl w:val="0"/>
        <w:rPr>
          <w:sz w:val="20"/>
          <w:szCs w:val="20"/>
        </w:rPr>
      </w:pPr>
    </w:p>
    <w:p w:rsidR="00BF29D3" w:rsidRPr="00F147E3" w:rsidRDefault="00BF29D3" w:rsidP="004B7F60">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4B7F60" w:rsidRPr="00C50A5C" w:rsidRDefault="004B7F60" w:rsidP="004B7F60">
      <w:pPr>
        <w:widowControl w:val="0"/>
        <w:rPr>
          <w:sz w:val="20"/>
          <w:szCs w:val="20"/>
          <w:lang w:val="fr-CA"/>
        </w:rPr>
      </w:pPr>
    </w:p>
    <w:p w:rsidR="004B7F60" w:rsidRPr="00C50A5C" w:rsidRDefault="00C91F49" w:rsidP="00BF29D3">
      <w:pPr>
        <w:pStyle w:val="ListParagraph"/>
        <w:widowControl w:val="0"/>
        <w:numPr>
          <w:ilvl w:val="0"/>
          <w:numId w:val="2"/>
        </w:numPr>
        <w:ind w:hanging="720"/>
        <w:jc w:val="both"/>
        <w:rPr>
          <w:sz w:val="20"/>
          <w:szCs w:val="20"/>
        </w:rPr>
      </w:pPr>
      <w:r w:rsidRPr="00C91F49">
        <w:rPr>
          <w:i/>
          <w:sz w:val="20"/>
          <w:szCs w:val="20"/>
        </w:rPr>
        <w:t xml:space="preserve">Minister of Foreign Affairs v. Amir </w:t>
      </w:r>
      <w:proofErr w:type="spellStart"/>
      <w:r w:rsidRPr="00C91F49">
        <w:rPr>
          <w:i/>
          <w:sz w:val="20"/>
          <w:szCs w:val="20"/>
        </w:rPr>
        <w:t>Attaran</w:t>
      </w:r>
      <w:proofErr w:type="spellEnd"/>
      <w:r w:rsidRPr="0053579F">
        <w:rPr>
          <w:sz w:val="20"/>
          <w:szCs w:val="20"/>
        </w:rPr>
        <w:t xml:space="preserve"> (F</w:t>
      </w:r>
      <w:r>
        <w:rPr>
          <w:sz w:val="20"/>
          <w:szCs w:val="20"/>
        </w:rPr>
        <w:t>.</w:t>
      </w:r>
      <w:r w:rsidRPr="0053579F">
        <w:rPr>
          <w:sz w:val="20"/>
          <w:szCs w:val="20"/>
        </w:rPr>
        <w:t>C</w:t>
      </w:r>
      <w:r>
        <w:rPr>
          <w:sz w:val="20"/>
          <w:szCs w:val="20"/>
        </w:rPr>
        <w:t>.</w:t>
      </w:r>
      <w:r w:rsidRPr="0053579F">
        <w:rPr>
          <w:sz w:val="20"/>
          <w:szCs w:val="20"/>
        </w:rPr>
        <w:t>) (Civil) (By Leave)</w:t>
      </w:r>
      <w:r w:rsidRPr="00C50A5C">
        <w:rPr>
          <w:sz w:val="20"/>
          <w:szCs w:val="20"/>
        </w:rPr>
        <w:t xml:space="preserve"> </w:t>
      </w:r>
      <w:r w:rsidR="004B7F60" w:rsidRPr="00C50A5C">
        <w:rPr>
          <w:sz w:val="20"/>
          <w:szCs w:val="20"/>
        </w:rPr>
        <w:t>(3</w:t>
      </w:r>
      <w:r w:rsidR="004B7F60">
        <w:rPr>
          <w:sz w:val="20"/>
          <w:szCs w:val="20"/>
        </w:rPr>
        <w:t>44</w:t>
      </w:r>
      <w:r>
        <w:rPr>
          <w:sz w:val="20"/>
          <w:szCs w:val="20"/>
        </w:rPr>
        <w:t>0</w:t>
      </w:r>
      <w:r w:rsidR="004B7F60">
        <w:rPr>
          <w:sz w:val="20"/>
          <w:szCs w:val="20"/>
        </w:rPr>
        <w:t>2</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C91F49" w:rsidP="00BF29D3">
      <w:pPr>
        <w:pStyle w:val="ListParagraph"/>
        <w:widowControl w:val="0"/>
        <w:numPr>
          <w:ilvl w:val="0"/>
          <w:numId w:val="2"/>
        </w:numPr>
        <w:ind w:hanging="720"/>
        <w:jc w:val="both"/>
        <w:rPr>
          <w:sz w:val="20"/>
          <w:szCs w:val="20"/>
        </w:rPr>
      </w:pPr>
      <w:r w:rsidRPr="00C91F49">
        <w:rPr>
          <w:i/>
          <w:sz w:val="20"/>
          <w:szCs w:val="20"/>
          <w:lang w:val="fr-CA"/>
        </w:rPr>
        <w:t xml:space="preserve">Charles D. </w:t>
      </w:r>
      <w:proofErr w:type="spellStart"/>
      <w:r w:rsidRPr="00C91F49">
        <w:rPr>
          <w:i/>
          <w:sz w:val="20"/>
          <w:szCs w:val="20"/>
          <w:lang w:val="fr-CA"/>
        </w:rPr>
        <w:t>Lienaux</w:t>
      </w:r>
      <w:proofErr w:type="spellEnd"/>
      <w:r w:rsidRPr="00C91F49">
        <w:rPr>
          <w:i/>
          <w:sz w:val="20"/>
          <w:szCs w:val="20"/>
          <w:lang w:val="fr-CA"/>
        </w:rPr>
        <w:t xml:space="preserve"> v. Wesley G. Campbell et al.</w:t>
      </w:r>
      <w:r w:rsidRPr="00C91F49">
        <w:rPr>
          <w:sz w:val="20"/>
          <w:szCs w:val="20"/>
          <w:lang w:val="fr-CA"/>
        </w:rPr>
        <w:t xml:space="preserve"> </w:t>
      </w:r>
      <w:r w:rsidRPr="00C91F49">
        <w:rPr>
          <w:sz w:val="20"/>
          <w:szCs w:val="20"/>
        </w:rPr>
        <w:t xml:space="preserve">(N.S.) </w:t>
      </w:r>
      <w:r w:rsidRPr="0053579F">
        <w:rPr>
          <w:sz w:val="20"/>
          <w:szCs w:val="20"/>
        </w:rPr>
        <w:t>(Civil) (By Leave)</w:t>
      </w:r>
      <w:r w:rsidRPr="00C612D0">
        <w:rPr>
          <w:sz w:val="20"/>
          <w:szCs w:val="20"/>
        </w:rPr>
        <w:t xml:space="preserve"> </w:t>
      </w:r>
      <w:r w:rsidR="004B7F60" w:rsidRPr="00C612D0">
        <w:rPr>
          <w:sz w:val="20"/>
          <w:szCs w:val="20"/>
        </w:rPr>
        <w:t>(34</w:t>
      </w:r>
      <w:r>
        <w:rPr>
          <w:sz w:val="20"/>
          <w:szCs w:val="20"/>
        </w:rPr>
        <w:t>61</w:t>
      </w:r>
      <w:r w:rsidR="004B7F60" w:rsidRPr="00C612D0">
        <w:rPr>
          <w:sz w:val="20"/>
          <w:szCs w:val="20"/>
        </w:rPr>
        <w:t>2)</w:t>
      </w:r>
    </w:p>
    <w:p w:rsidR="004B7F60" w:rsidRDefault="004B7F60" w:rsidP="004B7F60">
      <w:pPr>
        <w:widowControl w:val="0"/>
        <w:jc w:val="both"/>
        <w:rPr>
          <w:sz w:val="20"/>
          <w:szCs w:val="20"/>
        </w:rPr>
      </w:pPr>
    </w:p>
    <w:p w:rsidR="004B7F60" w:rsidRPr="00C50A5C" w:rsidRDefault="00C91F49" w:rsidP="00BF29D3">
      <w:pPr>
        <w:pStyle w:val="ListParagraph"/>
        <w:widowControl w:val="0"/>
        <w:numPr>
          <w:ilvl w:val="0"/>
          <w:numId w:val="2"/>
        </w:numPr>
        <w:ind w:hanging="720"/>
        <w:jc w:val="both"/>
        <w:rPr>
          <w:sz w:val="20"/>
          <w:szCs w:val="20"/>
        </w:rPr>
      </w:pPr>
      <w:r w:rsidRPr="00C91F49">
        <w:rPr>
          <w:i/>
          <w:sz w:val="20"/>
          <w:szCs w:val="20"/>
        </w:rPr>
        <w:t xml:space="preserve">Sally </w:t>
      </w:r>
      <w:proofErr w:type="spellStart"/>
      <w:r w:rsidRPr="00C91F49">
        <w:rPr>
          <w:i/>
          <w:sz w:val="20"/>
          <w:szCs w:val="20"/>
        </w:rPr>
        <w:t>Behn</w:t>
      </w:r>
      <w:proofErr w:type="spellEnd"/>
      <w:r w:rsidRPr="00C91F49">
        <w:rPr>
          <w:i/>
          <w:sz w:val="20"/>
          <w:szCs w:val="20"/>
        </w:rPr>
        <w:t xml:space="preserve"> et al. v. Moulton Contracting Ltd. et al.</w:t>
      </w:r>
      <w:r w:rsidRPr="0053579F">
        <w:rPr>
          <w:sz w:val="20"/>
          <w:szCs w:val="20"/>
        </w:rPr>
        <w:t xml:space="preserve"> (B.C.) (Civil) (By Leave)</w:t>
      </w:r>
      <w:r w:rsidRPr="00940CAD">
        <w:rPr>
          <w:sz w:val="20"/>
          <w:szCs w:val="20"/>
        </w:rPr>
        <w:t xml:space="preserve"> </w:t>
      </w:r>
      <w:r w:rsidR="004B7F60" w:rsidRPr="00940CAD">
        <w:rPr>
          <w:sz w:val="20"/>
          <w:szCs w:val="20"/>
        </w:rPr>
        <w:t>(34</w:t>
      </w:r>
      <w:r>
        <w:rPr>
          <w:sz w:val="20"/>
          <w:szCs w:val="20"/>
        </w:rPr>
        <w:t>404</w:t>
      </w:r>
      <w:r w:rsidR="004B7F60" w:rsidRPr="00940CAD">
        <w:rPr>
          <w:sz w:val="20"/>
          <w:szCs w:val="20"/>
        </w:rPr>
        <w:t>)</w:t>
      </w:r>
    </w:p>
    <w:p w:rsidR="004B7F60" w:rsidRDefault="004B7F60" w:rsidP="004B7F60">
      <w:pPr>
        <w:widowControl w:val="0"/>
        <w:rPr>
          <w:sz w:val="20"/>
          <w:szCs w:val="20"/>
        </w:rPr>
      </w:pPr>
    </w:p>
    <w:p w:rsidR="00C91F49" w:rsidRDefault="00C91F49" w:rsidP="004B7F60">
      <w:pPr>
        <w:widowControl w:val="0"/>
        <w:rPr>
          <w:sz w:val="20"/>
          <w:szCs w:val="20"/>
        </w:rPr>
      </w:pPr>
    </w:p>
    <w:p w:rsidR="00C91F49" w:rsidRPr="00C50A5C" w:rsidRDefault="00C91F49" w:rsidP="00C91F49">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C91F49" w:rsidRPr="00C50A5C" w:rsidRDefault="00C91F49" w:rsidP="00C91F49">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C91F49" w:rsidRPr="00C91F49" w:rsidRDefault="00C91F49" w:rsidP="004B7F60">
      <w:pPr>
        <w:widowControl w:val="0"/>
        <w:rPr>
          <w:sz w:val="20"/>
          <w:szCs w:val="20"/>
          <w:lang w:val="fr-CA"/>
        </w:rPr>
      </w:pPr>
    </w:p>
    <w:p w:rsidR="004B7F60" w:rsidRPr="00C50A5C" w:rsidRDefault="00C91F49" w:rsidP="00BF29D3">
      <w:pPr>
        <w:pStyle w:val="ListParagraph"/>
        <w:widowControl w:val="0"/>
        <w:numPr>
          <w:ilvl w:val="0"/>
          <w:numId w:val="2"/>
        </w:numPr>
        <w:ind w:hanging="720"/>
        <w:jc w:val="both"/>
        <w:rPr>
          <w:sz w:val="20"/>
          <w:szCs w:val="20"/>
        </w:rPr>
      </w:pPr>
      <w:r w:rsidRPr="00C91F49">
        <w:rPr>
          <w:i/>
          <w:sz w:val="20"/>
          <w:szCs w:val="20"/>
        </w:rPr>
        <w:t>Ian James Bell v. Her Majesty the Queen</w:t>
      </w:r>
      <w:r w:rsidRPr="00C91F49">
        <w:rPr>
          <w:sz w:val="20"/>
          <w:szCs w:val="20"/>
        </w:rPr>
        <w:t xml:space="preserve"> (Ont.) </w:t>
      </w:r>
      <w:r w:rsidRPr="00C91F49">
        <w:rPr>
          <w:sz w:val="20"/>
          <w:szCs w:val="20"/>
          <w:lang w:val="fr-CA"/>
        </w:rPr>
        <w:t>(</w:t>
      </w:r>
      <w:proofErr w:type="spellStart"/>
      <w:r w:rsidRPr="00C91F49">
        <w:rPr>
          <w:sz w:val="20"/>
          <w:szCs w:val="20"/>
          <w:lang w:val="fr-CA"/>
        </w:rPr>
        <w:t>Crim</w:t>
      </w:r>
      <w:proofErr w:type="spellEnd"/>
      <w:r w:rsidRPr="00C91F49">
        <w:rPr>
          <w:sz w:val="20"/>
          <w:szCs w:val="20"/>
          <w:lang w:val="fr-CA"/>
        </w:rPr>
        <w:t xml:space="preserve">.) </w:t>
      </w:r>
      <w:r w:rsidRPr="0053579F">
        <w:rPr>
          <w:sz w:val="20"/>
          <w:szCs w:val="20"/>
        </w:rPr>
        <w:t>(By Leave)</w:t>
      </w:r>
      <w:r w:rsidRPr="00C50A5C">
        <w:rPr>
          <w:sz w:val="20"/>
          <w:szCs w:val="20"/>
        </w:rPr>
        <w:t xml:space="preserve"> </w:t>
      </w:r>
      <w:r w:rsidR="004B7F60" w:rsidRPr="00C50A5C">
        <w:rPr>
          <w:sz w:val="20"/>
          <w:szCs w:val="20"/>
        </w:rPr>
        <w:t>(3</w:t>
      </w:r>
      <w:r w:rsidR="004B7F60">
        <w:rPr>
          <w:sz w:val="20"/>
          <w:szCs w:val="20"/>
        </w:rPr>
        <w:t>4</w:t>
      </w:r>
      <w:r>
        <w:rPr>
          <w:sz w:val="20"/>
          <w:szCs w:val="20"/>
        </w:rPr>
        <w:t>511</w:t>
      </w:r>
      <w:r w:rsidR="004B7F60" w:rsidRPr="00C50A5C">
        <w:rPr>
          <w:sz w:val="20"/>
          <w:szCs w:val="20"/>
        </w:rPr>
        <w:t>)</w:t>
      </w:r>
    </w:p>
    <w:p w:rsidR="004B7F60" w:rsidRDefault="004B7F60" w:rsidP="004B7F60">
      <w:pPr>
        <w:widowControl w:val="0"/>
        <w:jc w:val="both"/>
        <w:rPr>
          <w:sz w:val="20"/>
          <w:szCs w:val="20"/>
        </w:rPr>
      </w:pPr>
    </w:p>
    <w:p w:rsidR="004B7F60" w:rsidRPr="00C91F49" w:rsidRDefault="00C91F49" w:rsidP="00BF29D3">
      <w:pPr>
        <w:pStyle w:val="ListParagraph"/>
        <w:widowControl w:val="0"/>
        <w:numPr>
          <w:ilvl w:val="0"/>
          <w:numId w:val="2"/>
        </w:numPr>
        <w:ind w:hanging="720"/>
        <w:jc w:val="both"/>
        <w:rPr>
          <w:sz w:val="20"/>
          <w:szCs w:val="20"/>
        </w:rPr>
      </w:pPr>
      <w:r w:rsidRPr="00C91F49">
        <w:rPr>
          <w:i/>
          <w:sz w:val="20"/>
          <w:szCs w:val="20"/>
        </w:rPr>
        <w:t>John Mull v. National Bank of Canada et al.</w:t>
      </w:r>
      <w:r w:rsidRPr="0053579F">
        <w:rPr>
          <w:sz w:val="20"/>
          <w:szCs w:val="20"/>
        </w:rPr>
        <w:t xml:space="preserve"> (Ont.) (Civil) (By Leave)</w:t>
      </w:r>
      <w:r>
        <w:rPr>
          <w:sz w:val="20"/>
          <w:szCs w:val="20"/>
        </w:rPr>
        <w:t xml:space="preserve"> </w:t>
      </w:r>
      <w:r w:rsidR="004B7F60" w:rsidRPr="00C91F49">
        <w:rPr>
          <w:sz w:val="20"/>
          <w:szCs w:val="20"/>
        </w:rPr>
        <w:t>(344</w:t>
      </w:r>
      <w:r w:rsidRPr="00C91F49">
        <w:rPr>
          <w:sz w:val="20"/>
          <w:szCs w:val="20"/>
        </w:rPr>
        <w:t>57</w:t>
      </w:r>
      <w:r w:rsidR="004B7F60" w:rsidRPr="00C91F49">
        <w:rPr>
          <w:sz w:val="20"/>
          <w:szCs w:val="20"/>
        </w:rPr>
        <w:t>)</w:t>
      </w:r>
    </w:p>
    <w:p w:rsidR="004B7F60" w:rsidRPr="00C91F49" w:rsidRDefault="004B7F60" w:rsidP="004B7F60">
      <w:pPr>
        <w:widowControl w:val="0"/>
        <w:rPr>
          <w:sz w:val="20"/>
          <w:szCs w:val="20"/>
        </w:rPr>
      </w:pPr>
    </w:p>
    <w:p w:rsidR="00C91F49" w:rsidRPr="00C91F49" w:rsidRDefault="00C91F49" w:rsidP="004B7F60">
      <w:pPr>
        <w:widowControl w:val="0"/>
        <w:rPr>
          <w:sz w:val="20"/>
          <w:szCs w:val="20"/>
        </w:rPr>
      </w:pPr>
    </w:p>
    <w:p w:rsidR="00C91F49" w:rsidRPr="00C50A5C" w:rsidRDefault="00C91F49" w:rsidP="00C91F49">
      <w:pPr>
        <w:widowControl w:val="0"/>
        <w:jc w:val="center"/>
        <w:rPr>
          <w:b/>
          <w:sz w:val="20"/>
          <w:szCs w:val="20"/>
        </w:rPr>
      </w:pPr>
      <w:r w:rsidRPr="00C50A5C">
        <w:rPr>
          <w:b/>
          <w:sz w:val="20"/>
          <w:szCs w:val="20"/>
        </w:rPr>
        <w:t xml:space="preserve">CORAM: </w:t>
      </w:r>
      <w:proofErr w:type="spellStart"/>
      <w:r>
        <w:rPr>
          <w:b/>
          <w:sz w:val="20"/>
          <w:szCs w:val="20"/>
        </w:rPr>
        <w:t>Deschamps</w:t>
      </w:r>
      <w:proofErr w:type="spellEnd"/>
      <w:r w:rsidRPr="00C50A5C">
        <w:rPr>
          <w:b/>
          <w:sz w:val="20"/>
          <w:szCs w:val="20"/>
        </w:rPr>
        <w:t xml:space="preserve">, </w:t>
      </w:r>
      <w:r>
        <w:rPr>
          <w:b/>
          <w:sz w:val="20"/>
          <w:szCs w:val="20"/>
        </w:rPr>
        <w:t>Fish</w:t>
      </w:r>
      <w:r w:rsidRPr="00C50A5C">
        <w:rPr>
          <w:b/>
          <w:sz w:val="20"/>
          <w:szCs w:val="20"/>
        </w:rPr>
        <w:t xml:space="preserve"> and </w:t>
      </w:r>
      <w:proofErr w:type="spellStart"/>
      <w:r>
        <w:rPr>
          <w:b/>
          <w:sz w:val="20"/>
          <w:szCs w:val="20"/>
        </w:rPr>
        <w:t>Karakatsanis</w:t>
      </w:r>
      <w:proofErr w:type="spellEnd"/>
      <w:r w:rsidRPr="00C50A5C">
        <w:rPr>
          <w:b/>
          <w:sz w:val="20"/>
          <w:szCs w:val="20"/>
        </w:rPr>
        <w:t xml:space="preserve"> JJ.</w:t>
      </w:r>
    </w:p>
    <w:p w:rsidR="00C91F49" w:rsidRPr="00C50A5C" w:rsidRDefault="00C91F49" w:rsidP="00C91F49">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proofErr w:type="spellStart"/>
      <w:r>
        <w:rPr>
          <w:b/>
          <w:sz w:val="20"/>
          <w:szCs w:val="20"/>
          <w:lang w:val="fr-CA"/>
        </w:rPr>
        <w:t>Karakatsanis</w:t>
      </w:r>
      <w:proofErr w:type="spellEnd"/>
    </w:p>
    <w:p w:rsidR="00C91F49" w:rsidRPr="00C612D0" w:rsidRDefault="00C91F49" w:rsidP="004B7F60">
      <w:pPr>
        <w:widowControl w:val="0"/>
        <w:rPr>
          <w:sz w:val="20"/>
          <w:szCs w:val="20"/>
          <w:lang w:val="fr-CA"/>
        </w:rPr>
      </w:pPr>
    </w:p>
    <w:p w:rsidR="004B7F60" w:rsidRPr="00115C9E" w:rsidRDefault="00C91F49" w:rsidP="00BF29D3">
      <w:pPr>
        <w:pStyle w:val="ListParagraph"/>
        <w:widowControl w:val="0"/>
        <w:numPr>
          <w:ilvl w:val="0"/>
          <w:numId w:val="2"/>
        </w:numPr>
        <w:ind w:hanging="720"/>
        <w:jc w:val="both"/>
        <w:rPr>
          <w:sz w:val="20"/>
          <w:szCs w:val="20"/>
          <w:lang w:val="fr-CA"/>
        </w:rPr>
      </w:pPr>
      <w:r w:rsidRPr="00C91F49">
        <w:rPr>
          <w:i/>
          <w:sz w:val="20"/>
          <w:szCs w:val="20"/>
        </w:rPr>
        <w:t>Debby Karen Green v. Her Majesty the Queen</w:t>
      </w:r>
      <w:r w:rsidRPr="0053579F">
        <w:rPr>
          <w:sz w:val="20"/>
          <w:szCs w:val="20"/>
        </w:rPr>
        <w:t xml:space="preserve"> (Sask.) (Crim</w:t>
      </w:r>
      <w:r>
        <w:rPr>
          <w:sz w:val="20"/>
          <w:szCs w:val="20"/>
        </w:rPr>
        <w:t>.</w:t>
      </w:r>
      <w:r w:rsidRPr="0053579F">
        <w:rPr>
          <w:sz w:val="20"/>
          <w:szCs w:val="20"/>
        </w:rPr>
        <w:t>) (By Leave)</w:t>
      </w:r>
      <w:r w:rsidRPr="00115C9E">
        <w:rPr>
          <w:sz w:val="20"/>
          <w:szCs w:val="20"/>
          <w:lang w:val="fr-CA"/>
        </w:rPr>
        <w:t xml:space="preserve"> </w:t>
      </w:r>
      <w:r w:rsidR="004B7F60" w:rsidRPr="00115C9E">
        <w:rPr>
          <w:sz w:val="20"/>
          <w:szCs w:val="20"/>
          <w:lang w:val="fr-CA"/>
        </w:rPr>
        <w:t>(345</w:t>
      </w:r>
      <w:r>
        <w:rPr>
          <w:sz w:val="20"/>
          <w:szCs w:val="20"/>
          <w:lang w:val="fr-CA"/>
        </w:rPr>
        <w:t>76</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C91F49" w:rsidRDefault="00C91F49" w:rsidP="00BF29D3">
      <w:pPr>
        <w:pStyle w:val="ListParagraph"/>
        <w:widowControl w:val="0"/>
        <w:numPr>
          <w:ilvl w:val="0"/>
          <w:numId w:val="2"/>
        </w:numPr>
        <w:ind w:hanging="720"/>
        <w:jc w:val="both"/>
        <w:rPr>
          <w:sz w:val="20"/>
          <w:szCs w:val="20"/>
        </w:rPr>
      </w:pPr>
      <w:r w:rsidRPr="00C91F49">
        <w:rPr>
          <w:i/>
          <w:sz w:val="20"/>
          <w:szCs w:val="20"/>
        </w:rPr>
        <w:t>Andrew Mark Alexander Lawrence v. Peel Regional Police Force et al.</w:t>
      </w:r>
      <w:r w:rsidRPr="0053579F">
        <w:rPr>
          <w:sz w:val="20"/>
          <w:szCs w:val="20"/>
        </w:rPr>
        <w:t xml:space="preserve"> (Ont.) (Civil) (By Leave)</w:t>
      </w:r>
      <w:r>
        <w:rPr>
          <w:sz w:val="20"/>
          <w:szCs w:val="20"/>
        </w:rPr>
        <w:t xml:space="preserve"> </w:t>
      </w:r>
      <w:r w:rsidR="004B7F60" w:rsidRPr="00C91F49">
        <w:rPr>
          <w:sz w:val="20"/>
          <w:szCs w:val="20"/>
        </w:rPr>
        <w:t>(345</w:t>
      </w:r>
      <w:r w:rsidRPr="00C91F49">
        <w:rPr>
          <w:sz w:val="20"/>
          <w:szCs w:val="20"/>
        </w:rPr>
        <w:t>53</w:t>
      </w:r>
      <w:r w:rsidR="004B7F60" w:rsidRPr="00C91F49">
        <w:rPr>
          <w:sz w:val="20"/>
          <w:szCs w:val="20"/>
        </w:rPr>
        <w:t>)</w:t>
      </w:r>
    </w:p>
    <w:p w:rsidR="004B7F60" w:rsidRPr="00C91F49" w:rsidRDefault="004B7F60" w:rsidP="004B7F60">
      <w:pPr>
        <w:widowControl w:val="0"/>
        <w:jc w:val="both"/>
        <w:rPr>
          <w:sz w:val="20"/>
          <w:szCs w:val="20"/>
        </w:rPr>
      </w:pPr>
    </w:p>
    <w:p w:rsidR="004B7F60" w:rsidRPr="00C50A5C" w:rsidRDefault="00C91F49" w:rsidP="00BF29D3">
      <w:pPr>
        <w:pStyle w:val="ListParagraph"/>
        <w:widowControl w:val="0"/>
        <w:numPr>
          <w:ilvl w:val="0"/>
          <w:numId w:val="2"/>
        </w:numPr>
        <w:ind w:hanging="720"/>
        <w:jc w:val="both"/>
        <w:rPr>
          <w:sz w:val="20"/>
          <w:szCs w:val="20"/>
          <w:lang w:val="fr-CA"/>
        </w:rPr>
      </w:pPr>
      <w:r w:rsidRPr="00C91F49">
        <w:rPr>
          <w:i/>
          <w:sz w:val="20"/>
          <w:szCs w:val="20"/>
        </w:rPr>
        <w:t>Estate of Geoffrey Grenville-Wood v. Meridian Credit Union Ltd.</w:t>
      </w:r>
      <w:r w:rsidRPr="0053579F">
        <w:rPr>
          <w:sz w:val="20"/>
          <w:szCs w:val="20"/>
        </w:rPr>
        <w:t xml:space="preserve"> (Ont.) (Civil) (By Leave)</w:t>
      </w:r>
      <w:r w:rsidRPr="00C50A5C">
        <w:rPr>
          <w:sz w:val="20"/>
          <w:szCs w:val="20"/>
          <w:lang w:val="fr-CA"/>
        </w:rPr>
        <w:t xml:space="preserve"> </w:t>
      </w:r>
      <w:r w:rsidR="004B7F60" w:rsidRPr="00C50A5C">
        <w:rPr>
          <w:sz w:val="20"/>
          <w:szCs w:val="20"/>
          <w:lang w:val="fr-CA"/>
        </w:rPr>
        <w:t>(3</w:t>
      </w:r>
      <w:r w:rsidR="004B7F60">
        <w:rPr>
          <w:sz w:val="20"/>
          <w:szCs w:val="20"/>
          <w:lang w:val="fr-CA"/>
        </w:rPr>
        <w:t>4</w:t>
      </w:r>
      <w:r>
        <w:rPr>
          <w:sz w:val="20"/>
          <w:szCs w:val="20"/>
          <w:lang w:val="fr-CA"/>
        </w:rPr>
        <w:t>4</w:t>
      </w:r>
      <w:r w:rsidR="004B7F60">
        <w:rPr>
          <w:sz w:val="20"/>
          <w:szCs w:val="20"/>
          <w:lang w:val="fr-CA"/>
        </w:rPr>
        <w:t>71</w:t>
      </w:r>
      <w:r w:rsidR="004B7F60" w:rsidRPr="00C50A5C">
        <w:rPr>
          <w:sz w:val="20"/>
          <w:szCs w:val="20"/>
          <w:lang w:val="fr-CA"/>
        </w:rPr>
        <w:t>)</w:t>
      </w:r>
    </w:p>
    <w:p w:rsidR="004B7F60" w:rsidRDefault="004B7F60" w:rsidP="004B7F60">
      <w:pPr>
        <w:widowControl w:val="0"/>
        <w:rPr>
          <w:sz w:val="20"/>
          <w:szCs w:val="20"/>
          <w:lang w:val="fr-CA"/>
        </w:rPr>
      </w:pPr>
    </w:p>
    <w:p w:rsidR="002E2327" w:rsidRPr="00C50A5C" w:rsidRDefault="00FD28BB" w:rsidP="002E2327">
      <w:pPr>
        <w:widowControl w:val="0"/>
        <w:rPr>
          <w:sz w:val="20"/>
          <w:szCs w:val="20"/>
        </w:rPr>
      </w:pPr>
      <w:r w:rsidRPr="00FD28BB">
        <w:rPr>
          <w:sz w:val="20"/>
          <w:szCs w:val="20"/>
        </w:rPr>
        <w:pict>
          <v:rect id="_x0000_i103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251B16"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21450C" w:rsidRDefault="0021450C" w:rsidP="008D292F">
      <w:pPr>
        <w:rPr>
          <w:b/>
          <w:sz w:val="20"/>
          <w:szCs w:val="20"/>
        </w:rPr>
      </w:pPr>
      <w:r>
        <w:rPr>
          <w:b/>
          <w:sz w:val="20"/>
          <w:szCs w:val="20"/>
        </w:rPr>
        <w:t>JANUARY 17, 2012 / LE 17 JANVIER 2012</w:t>
      </w:r>
    </w:p>
    <w:p w:rsidR="0021450C" w:rsidRPr="0021450C" w:rsidRDefault="0021450C"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1450C" w:rsidRPr="0021450C" w:rsidTr="00930A00">
        <w:trPr>
          <w:cantSplit/>
        </w:trPr>
        <w:tc>
          <w:tcPr>
            <w:tcW w:w="1458" w:type="dxa"/>
          </w:tcPr>
          <w:p w:rsidR="0021450C" w:rsidRPr="0021450C" w:rsidRDefault="0021450C" w:rsidP="00930A00">
            <w:pPr>
              <w:rPr>
                <w:sz w:val="20"/>
                <w:szCs w:val="20"/>
              </w:rPr>
            </w:pPr>
            <w:r w:rsidRPr="0021450C">
              <w:rPr>
                <w:rStyle w:val="SCCFileNumberChar"/>
                <w:sz w:val="20"/>
                <w:szCs w:val="20"/>
              </w:rPr>
              <w:t>34615</w:t>
            </w:r>
          </w:p>
          <w:p w:rsidR="0021450C" w:rsidRPr="0021450C" w:rsidRDefault="0021450C" w:rsidP="00930A00">
            <w:pPr>
              <w:rPr>
                <w:b/>
                <w:sz w:val="20"/>
                <w:szCs w:val="20"/>
                <w:lang w:val="fr-CA"/>
              </w:rPr>
            </w:pPr>
          </w:p>
        </w:tc>
        <w:tc>
          <w:tcPr>
            <w:tcW w:w="8118" w:type="dxa"/>
          </w:tcPr>
          <w:p w:rsidR="0021450C" w:rsidRPr="0021450C" w:rsidRDefault="0021450C" w:rsidP="00E56B51">
            <w:pPr>
              <w:jc w:val="both"/>
              <w:rPr>
                <w:sz w:val="20"/>
                <w:szCs w:val="20"/>
              </w:rPr>
            </w:pPr>
            <w:r w:rsidRPr="0021450C">
              <w:rPr>
                <w:rStyle w:val="SCCLsocChar"/>
                <w:sz w:val="20"/>
                <w:szCs w:val="20"/>
                <w:lang w:val="en-CA"/>
              </w:rPr>
              <w:t xml:space="preserve">Jean </w:t>
            </w:r>
            <w:proofErr w:type="spellStart"/>
            <w:r w:rsidRPr="0021450C">
              <w:rPr>
                <w:rStyle w:val="SCCLsocChar"/>
                <w:sz w:val="20"/>
                <w:szCs w:val="20"/>
                <w:lang w:val="en-CA"/>
              </w:rPr>
              <w:t>Gaetan</w:t>
            </w:r>
            <w:proofErr w:type="spellEnd"/>
            <w:r w:rsidRPr="0021450C">
              <w:rPr>
                <w:rStyle w:val="SCCLsocChar"/>
                <w:sz w:val="20"/>
                <w:szCs w:val="20"/>
                <w:lang w:val="en-CA"/>
              </w:rPr>
              <w:t xml:space="preserve"> </w:t>
            </w:r>
            <w:proofErr w:type="spellStart"/>
            <w:r w:rsidRPr="0021450C">
              <w:rPr>
                <w:rStyle w:val="SCCLsocChar"/>
                <w:sz w:val="20"/>
                <w:szCs w:val="20"/>
                <w:lang w:val="en-CA"/>
              </w:rPr>
              <w:t>Gingras</w:t>
            </w:r>
            <w:proofErr w:type="spellEnd"/>
            <w:r w:rsidRPr="0021450C">
              <w:rPr>
                <w:rStyle w:val="SCCLsocChar"/>
                <w:sz w:val="20"/>
                <w:szCs w:val="20"/>
                <w:lang w:val="en-CA"/>
              </w:rPr>
              <w:t xml:space="preserve"> v. Her Majesty the Queen</w:t>
            </w:r>
            <w:r w:rsidR="00756BBE">
              <w:rPr>
                <w:rStyle w:val="SCCLsocChar"/>
                <w:sz w:val="20"/>
                <w:szCs w:val="20"/>
                <w:lang w:val="en-CA"/>
              </w:rPr>
              <w:t xml:space="preserve"> and</w:t>
            </w:r>
            <w:r w:rsidRPr="0021450C">
              <w:rPr>
                <w:rStyle w:val="SCCLsocChar"/>
                <w:sz w:val="20"/>
                <w:szCs w:val="20"/>
                <w:lang w:val="en-CA"/>
              </w:rPr>
              <w:t xml:space="preserve"> Vancouver Sun</w:t>
            </w:r>
            <w:r w:rsidRPr="0021450C">
              <w:rPr>
                <w:sz w:val="20"/>
                <w:szCs w:val="20"/>
              </w:rPr>
              <w:t xml:space="preserve"> (B.C.) (Criminal) (By</w:t>
            </w:r>
            <w:r w:rsidR="00E56B51">
              <w:rPr>
                <w:sz w:val="20"/>
                <w:szCs w:val="20"/>
              </w:rPr>
              <w:t> </w:t>
            </w:r>
            <w:r w:rsidRPr="0021450C">
              <w:rPr>
                <w:sz w:val="20"/>
                <w:szCs w:val="20"/>
              </w:rPr>
              <w:t>Leave)</w:t>
            </w:r>
          </w:p>
          <w:p w:rsidR="0021450C" w:rsidRPr="0021450C" w:rsidRDefault="0021450C" w:rsidP="00930A00">
            <w:pPr>
              <w:rPr>
                <w:sz w:val="20"/>
                <w:szCs w:val="20"/>
              </w:rPr>
            </w:pPr>
          </w:p>
        </w:tc>
      </w:tr>
      <w:tr w:rsidR="0021450C" w:rsidRPr="0021450C" w:rsidTr="00930A00">
        <w:trPr>
          <w:cantSplit/>
        </w:trPr>
        <w:tc>
          <w:tcPr>
            <w:tcW w:w="1458" w:type="dxa"/>
          </w:tcPr>
          <w:p w:rsidR="0021450C" w:rsidRPr="0021450C" w:rsidRDefault="0021450C" w:rsidP="00930A00">
            <w:pPr>
              <w:rPr>
                <w:sz w:val="20"/>
                <w:szCs w:val="20"/>
              </w:rPr>
            </w:pPr>
            <w:r w:rsidRPr="0021450C">
              <w:rPr>
                <w:sz w:val="20"/>
                <w:szCs w:val="20"/>
              </w:rPr>
              <w:t>Coram :</w:t>
            </w:r>
          </w:p>
        </w:tc>
        <w:tc>
          <w:tcPr>
            <w:tcW w:w="8118" w:type="dxa"/>
          </w:tcPr>
          <w:p w:rsidR="0021450C" w:rsidRPr="0021450C" w:rsidRDefault="0021450C" w:rsidP="00930A00">
            <w:pPr>
              <w:rPr>
                <w:sz w:val="20"/>
                <w:szCs w:val="20"/>
              </w:rPr>
            </w:pPr>
            <w:proofErr w:type="spellStart"/>
            <w:r w:rsidRPr="0021450C">
              <w:rPr>
                <w:rStyle w:val="SCCCoramChar"/>
                <w:sz w:val="20"/>
                <w:szCs w:val="20"/>
                <w:lang w:val="en-CA"/>
              </w:rPr>
              <w:t>Deschamps</w:t>
            </w:r>
            <w:proofErr w:type="spellEnd"/>
            <w:r w:rsidRPr="0021450C">
              <w:rPr>
                <w:rStyle w:val="SCCCoramChar"/>
                <w:sz w:val="20"/>
                <w:szCs w:val="20"/>
                <w:lang w:val="en-CA"/>
              </w:rPr>
              <w:t xml:space="preserve">, Fish and </w:t>
            </w:r>
            <w:proofErr w:type="spellStart"/>
            <w:r w:rsidRPr="0021450C">
              <w:rPr>
                <w:rStyle w:val="SCCCoramChar"/>
                <w:sz w:val="20"/>
                <w:szCs w:val="20"/>
                <w:lang w:val="en-CA"/>
              </w:rPr>
              <w:t>Karakatsanis</w:t>
            </w:r>
            <w:proofErr w:type="spellEnd"/>
            <w:r w:rsidRPr="0021450C">
              <w:rPr>
                <w:rStyle w:val="SCCCoramChar"/>
                <w:sz w:val="20"/>
                <w:szCs w:val="20"/>
                <w:lang w:val="en-CA"/>
              </w:rPr>
              <w:t> JJ.</w:t>
            </w:r>
          </w:p>
          <w:p w:rsidR="0021450C" w:rsidRPr="0021450C" w:rsidRDefault="0021450C" w:rsidP="00930A00">
            <w:pPr>
              <w:rPr>
                <w:sz w:val="20"/>
                <w:szCs w:val="20"/>
                <w:u w:val="single"/>
              </w:rPr>
            </w:pPr>
          </w:p>
        </w:tc>
      </w:tr>
      <w:tr w:rsidR="0021450C" w:rsidRPr="00251B16" w:rsidTr="00930A00">
        <w:trPr>
          <w:cantSplit/>
        </w:trPr>
        <w:tc>
          <w:tcPr>
            <w:tcW w:w="9576" w:type="dxa"/>
            <w:gridSpan w:val="2"/>
          </w:tcPr>
          <w:p w:rsidR="0021450C" w:rsidRPr="0021450C" w:rsidRDefault="0021450C" w:rsidP="00930A00">
            <w:pPr>
              <w:pStyle w:val="SCCShortJudgment"/>
              <w:rPr>
                <w:szCs w:val="20"/>
              </w:rPr>
            </w:pPr>
            <w:r w:rsidRPr="0021450C">
              <w:rPr>
                <w:szCs w:val="20"/>
              </w:rPr>
              <w:t>The motion to expedite the application for leave to appeal is granted and the application for leave to appeal from the judgment of the Supreme Court of British Columbia, Number 25379, dated January 9, 2012, is dismissed without costs.</w:t>
            </w:r>
          </w:p>
          <w:p w:rsidR="0021450C" w:rsidRPr="0021450C" w:rsidRDefault="0021450C" w:rsidP="00930A00">
            <w:pPr>
              <w:pStyle w:val="SCCShortJudgment"/>
              <w:ind w:firstLine="0"/>
              <w:rPr>
                <w:szCs w:val="20"/>
              </w:rPr>
            </w:pPr>
          </w:p>
          <w:p w:rsidR="0021450C" w:rsidRPr="0021450C" w:rsidRDefault="0021450C" w:rsidP="00930A00">
            <w:pPr>
              <w:pStyle w:val="SCCShortJudgment"/>
              <w:rPr>
                <w:szCs w:val="20"/>
                <w:lang w:val="fr-CA"/>
              </w:rPr>
            </w:pPr>
            <w:r w:rsidRPr="0021450C">
              <w:rPr>
                <w:szCs w:val="20"/>
                <w:lang w:val="fr-CA"/>
              </w:rPr>
              <w:t>La requête visant à accélérer la procédure de la demande d’autorisation d’appel est accueillie et la demande d’autorisation d’appel du jugement de la Cour suprême de la Colombie-Britannique, numéro 25379, daté du 9 janvier 2012, est rejetée sans dépens.</w:t>
            </w:r>
          </w:p>
        </w:tc>
      </w:tr>
    </w:tbl>
    <w:p w:rsidR="0021450C" w:rsidRPr="0021450C" w:rsidRDefault="0021450C" w:rsidP="0021450C">
      <w:pPr>
        <w:rPr>
          <w:sz w:val="20"/>
          <w:szCs w:val="20"/>
          <w:lang w:val="fr-CA"/>
        </w:rPr>
      </w:pPr>
    </w:p>
    <w:p w:rsidR="0021450C" w:rsidRPr="001B157C" w:rsidRDefault="0021450C" w:rsidP="0021450C">
      <w:pPr>
        <w:rPr>
          <w:sz w:val="20"/>
          <w:szCs w:val="20"/>
          <w:u w:val="single"/>
        </w:rPr>
      </w:pPr>
      <w:r w:rsidRPr="001B157C">
        <w:rPr>
          <w:sz w:val="20"/>
          <w:szCs w:val="20"/>
          <w:u w:val="single"/>
        </w:rPr>
        <w:t>CASE SUMMARY</w:t>
      </w:r>
    </w:p>
    <w:p w:rsidR="0021450C" w:rsidRDefault="0021450C" w:rsidP="0021450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56BBE" w:rsidRPr="00F20AA2" w:rsidTr="00756BBE">
        <w:tc>
          <w:tcPr>
            <w:tcW w:w="5000" w:type="pct"/>
            <w:gridSpan w:val="3"/>
          </w:tcPr>
          <w:p w:rsidR="00756BBE" w:rsidRPr="00F20AA2" w:rsidRDefault="00756BBE" w:rsidP="00756BBE">
            <w:pPr>
              <w:jc w:val="both"/>
              <w:rPr>
                <w:sz w:val="20"/>
                <w:szCs w:val="20"/>
              </w:rPr>
            </w:pPr>
            <w:r w:rsidRPr="00F20AA2">
              <w:rPr>
                <w:sz w:val="20"/>
                <w:szCs w:val="20"/>
              </w:rPr>
              <w:t xml:space="preserve">Criminal law – Right to a fair trial – Publication ban – Sealing order – Order for an </w:t>
            </w:r>
            <w:r w:rsidRPr="00F20AA2">
              <w:rPr>
                <w:i/>
                <w:sz w:val="20"/>
                <w:szCs w:val="20"/>
              </w:rPr>
              <w:t>in camera</w:t>
            </w:r>
            <w:r w:rsidRPr="00F20AA2">
              <w:rPr>
                <w:sz w:val="20"/>
                <w:szCs w:val="20"/>
              </w:rPr>
              <w:t xml:space="preserve"> hearing – Whether the trial judge should have issued an order for a publication ban, a sealing order and an </w:t>
            </w:r>
            <w:r w:rsidRPr="00F20AA2">
              <w:rPr>
                <w:i/>
                <w:sz w:val="20"/>
                <w:szCs w:val="20"/>
              </w:rPr>
              <w:t>in camera</w:t>
            </w:r>
            <w:r w:rsidRPr="00F20AA2">
              <w:rPr>
                <w:sz w:val="20"/>
                <w:szCs w:val="20"/>
              </w:rPr>
              <w:t xml:space="preserve"> hearing.</w:t>
            </w:r>
          </w:p>
        </w:tc>
      </w:tr>
      <w:tr w:rsidR="00756BBE" w:rsidRPr="00F20AA2" w:rsidTr="00756BBE">
        <w:tc>
          <w:tcPr>
            <w:tcW w:w="5000" w:type="pct"/>
            <w:gridSpan w:val="3"/>
          </w:tcPr>
          <w:p w:rsidR="00756BBE" w:rsidRPr="00F20AA2" w:rsidRDefault="00756BBE" w:rsidP="00756BBE">
            <w:pPr>
              <w:rPr>
                <w:sz w:val="20"/>
                <w:szCs w:val="20"/>
              </w:rPr>
            </w:pPr>
          </w:p>
        </w:tc>
      </w:tr>
      <w:tr w:rsidR="00756BBE" w:rsidRPr="00F20AA2" w:rsidTr="00756BBE">
        <w:tc>
          <w:tcPr>
            <w:tcW w:w="5000" w:type="pct"/>
            <w:gridSpan w:val="3"/>
          </w:tcPr>
          <w:p w:rsidR="00756BBE" w:rsidRPr="00F20AA2" w:rsidRDefault="00756BBE" w:rsidP="00756BBE">
            <w:pPr>
              <w:jc w:val="both"/>
              <w:rPr>
                <w:sz w:val="20"/>
                <w:szCs w:val="20"/>
              </w:rPr>
            </w:pPr>
            <w:r w:rsidRPr="00F20AA2">
              <w:rPr>
                <w:sz w:val="20"/>
                <w:szCs w:val="20"/>
              </w:rPr>
              <w:t xml:space="preserve">The applicant is charged with one count of conspiracy to traffic cocaine and two counts of laundering the proceeds of crime in connection with a series of dealings with an undercover police officer. Before the trial was scheduled to start, he sought an order that his trial be held </w:t>
            </w:r>
            <w:r w:rsidRPr="00F20AA2">
              <w:rPr>
                <w:i/>
                <w:sz w:val="20"/>
                <w:szCs w:val="20"/>
              </w:rPr>
              <w:t>in camera</w:t>
            </w:r>
            <w:r w:rsidRPr="00F20AA2">
              <w:rPr>
                <w:sz w:val="20"/>
                <w:szCs w:val="20"/>
              </w:rPr>
              <w:t xml:space="preserve"> and that there be a publication ban of the proceedings. He asked that the ban cover all the evidence and testimony and that the exhibits be sealed. He also asked that initials be used to identify him throughout the trial and after it. </w:t>
            </w:r>
          </w:p>
          <w:p w:rsidR="00756BBE" w:rsidRPr="00F20AA2" w:rsidRDefault="00756BBE" w:rsidP="00756BBE">
            <w:pPr>
              <w:jc w:val="both"/>
              <w:rPr>
                <w:sz w:val="20"/>
                <w:szCs w:val="20"/>
              </w:rPr>
            </w:pPr>
          </w:p>
          <w:p w:rsidR="00756BBE" w:rsidRPr="00F20AA2" w:rsidRDefault="00756BBE" w:rsidP="00756BBE">
            <w:pPr>
              <w:jc w:val="both"/>
              <w:rPr>
                <w:sz w:val="20"/>
                <w:szCs w:val="20"/>
              </w:rPr>
            </w:pPr>
            <w:r w:rsidRPr="00F20AA2">
              <w:rPr>
                <w:sz w:val="20"/>
                <w:szCs w:val="20"/>
              </w:rPr>
              <w:t xml:space="preserve">In support of the motion, he alleged that he sincerely and legitimately fears for his safety, and that this fear </w:t>
            </w:r>
            <w:proofErr w:type="spellStart"/>
            <w:r w:rsidRPr="00F20AA2">
              <w:rPr>
                <w:sz w:val="20"/>
                <w:szCs w:val="20"/>
              </w:rPr>
              <w:t>intereferes</w:t>
            </w:r>
            <w:proofErr w:type="spellEnd"/>
            <w:r w:rsidRPr="00F20AA2">
              <w:rPr>
                <w:sz w:val="20"/>
                <w:szCs w:val="20"/>
              </w:rPr>
              <w:t xml:space="preserve"> with his right to a fair trial, contrary to s. 11(</w:t>
            </w:r>
            <w:r w:rsidRPr="00F20AA2">
              <w:rPr>
                <w:i/>
                <w:sz w:val="20"/>
                <w:szCs w:val="20"/>
              </w:rPr>
              <w:t>d</w:t>
            </w:r>
            <w:r w:rsidRPr="00F20AA2">
              <w:rPr>
                <w:sz w:val="20"/>
                <w:szCs w:val="20"/>
              </w:rPr>
              <w:t xml:space="preserve">) of the </w:t>
            </w:r>
            <w:r w:rsidRPr="00F20AA2">
              <w:rPr>
                <w:i/>
                <w:sz w:val="20"/>
                <w:szCs w:val="20"/>
              </w:rPr>
              <w:t>Canadian Charter of Rights and Freedoms</w:t>
            </w:r>
            <w:r w:rsidRPr="00F20AA2">
              <w:rPr>
                <w:sz w:val="20"/>
                <w:szCs w:val="20"/>
              </w:rPr>
              <w:t xml:space="preserve">, in that it </w:t>
            </w:r>
            <w:proofErr w:type="spellStart"/>
            <w:r w:rsidRPr="00F20AA2">
              <w:rPr>
                <w:sz w:val="20"/>
                <w:szCs w:val="20"/>
              </w:rPr>
              <w:t>intereferes</w:t>
            </w:r>
            <w:proofErr w:type="spellEnd"/>
            <w:r w:rsidRPr="00F20AA2">
              <w:rPr>
                <w:sz w:val="20"/>
                <w:szCs w:val="20"/>
              </w:rPr>
              <w:t xml:space="preserve"> with his ability to instruct counsel and his ability to testify. He also claimed that his fear for his safety interferes with his security of the person, contrary to s. 7 of the </w:t>
            </w:r>
            <w:r w:rsidRPr="00F20AA2">
              <w:rPr>
                <w:i/>
                <w:sz w:val="20"/>
                <w:szCs w:val="20"/>
              </w:rPr>
              <w:t>Charter</w:t>
            </w:r>
            <w:r w:rsidRPr="00F20AA2">
              <w:rPr>
                <w:sz w:val="20"/>
                <w:szCs w:val="20"/>
              </w:rPr>
              <w:t>, and that it may interfere with the maintenance of order and the proper administration of justice.</w:t>
            </w:r>
          </w:p>
          <w:p w:rsidR="00756BBE" w:rsidRPr="00F20AA2" w:rsidRDefault="00756BBE" w:rsidP="00756BBE">
            <w:pPr>
              <w:jc w:val="both"/>
              <w:rPr>
                <w:sz w:val="20"/>
                <w:szCs w:val="20"/>
              </w:rPr>
            </w:pPr>
          </w:p>
          <w:p w:rsidR="00756BBE" w:rsidRPr="00F20AA2" w:rsidRDefault="00756BBE" w:rsidP="00756BBE">
            <w:pPr>
              <w:jc w:val="both"/>
              <w:rPr>
                <w:sz w:val="20"/>
                <w:szCs w:val="20"/>
              </w:rPr>
            </w:pPr>
            <w:r w:rsidRPr="00F20AA2">
              <w:rPr>
                <w:sz w:val="20"/>
                <w:szCs w:val="20"/>
              </w:rPr>
              <w:t xml:space="preserve">Applying the principles developed in </w:t>
            </w:r>
            <w:proofErr w:type="spellStart"/>
            <w:r w:rsidRPr="00F20AA2">
              <w:rPr>
                <w:i/>
                <w:sz w:val="20"/>
                <w:szCs w:val="20"/>
              </w:rPr>
              <w:t>Dagenais</w:t>
            </w:r>
            <w:proofErr w:type="spellEnd"/>
            <w:r w:rsidRPr="00F20AA2">
              <w:rPr>
                <w:i/>
                <w:sz w:val="20"/>
                <w:szCs w:val="20"/>
              </w:rPr>
              <w:t xml:space="preserve"> v. Canadian Broadcasting Corp</w:t>
            </w:r>
            <w:r w:rsidRPr="00F20AA2">
              <w:rPr>
                <w:sz w:val="20"/>
                <w:szCs w:val="20"/>
              </w:rPr>
              <w:t xml:space="preserve">., [1994] 3 S.C.R. 835, and </w:t>
            </w:r>
            <w:r w:rsidRPr="00F20AA2">
              <w:rPr>
                <w:i/>
                <w:sz w:val="20"/>
                <w:szCs w:val="20"/>
              </w:rPr>
              <w:t xml:space="preserve">R. v. </w:t>
            </w:r>
            <w:proofErr w:type="spellStart"/>
            <w:r w:rsidRPr="00F20AA2">
              <w:rPr>
                <w:i/>
                <w:sz w:val="20"/>
                <w:szCs w:val="20"/>
              </w:rPr>
              <w:t>Mentuck</w:t>
            </w:r>
            <w:proofErr w:type="spellEnd"/>
            <w:r w:rsidRPr="00F20AA2">
              <w:rPr>
                <w:sz w:val="20"/>
                <w:szCs w:val="20"/>
              </w:rPr>
              <w:t xml:space="preserve">, [2001] 3 S.C.R. 442, the trial judge dismissed the applicant’s motion. She found that the applicant had not provided a “convincing evidentiary basis” showing that a threat justified a publication ban, sealing order or </w:t>
            </w:r>
            <w:r w:rsidRPr="00F20AA2">
              <w:rPr>
                <w:i/>
                <w:sz w:val="20"/>
                <w:szCs w:val="20"/>
              </w:rPr>
              <w:t>in camera</w:t>
            </w:r>
            <w:r w:rsidRPr="00F20AA2">
              <w:rPr>
                <w:sz w:val="20"/>
                <w:szCs w:val="20"/>
              </w:rPr>
              <w:t xml:space="preserve"> hearing. Furthermore, “the information that is said to be of concern has long been in the public record” (</w:t>
            </w:r>
            <w:proofErr w:type="spellStart"/>
            <w:r w:rsidRPr="00F20AA2">
              <w:rPr>
                <w:sz w:val="20"/>
                <w:szCs w:val="20"/>
              </w:rPr>
              <w:t>para</w:t>
            </w:r>
            <w:proofErr w:type="spellEnd"/>
            <w:r w:rsidRPr="00F20AA2">
              <w:rPr>
                <w:sz w:val="20"/>
                <w:szCs w:val="20"/>
              </w:rPr>
              <w:t>. 57). The judge was not convinced that “the incremental risk from further publication elevates what risk exists to the real and substantial risk required as a threshold” (</w:t>
            </w:r>
            <w:proofErr w:type="spellStart"/>
            <w:r w:rsidRPr="00F20AA2">
              <w:rPr>
                <w:sz w:val="20"/>
                <w:szCs w:val="20"/>
              </w:rPr>
              <w:t>para</w:t>
            </w:r>
            <w:proofErr w:type="spellEnd"/>
            <w:r w:rsidRPr="00F20AA2">
              <w:rPr>
                <w:sz w:val="20"/>
                <w:szCs w:val="20"/>
              </w:rPr>
              <w:t>. 57).</w:t>
            </w:r>
          </w:p>
          <w:p w:rsidR="00756BBE" w:rsidRPr="00F20AA2" w:rsidRDefault="00756BBE" w:rsidP="00756BBE">
            <w:pPr>
              <w:rPr>
                <w:sz w:val="20"/>
                <w:szCs w:val="20"/>
              </w:rPr>
            </w:pPr>
          </w:p>
        </w:tc>
      </w:tr>
      <w:tr w:rsidR="00756BBE" w:rsidRPr="00F20AA2" w:rsidTr="00756BBE">
        <w:tc>
          <w:tcPr>
            <w:tcW w:w="2427" w:type="pct"/>
          </w:tcPr>
          <w:p w:rsidR="00756BBE" w:rsidRPr="00F20AA2" w:rsidRDefault="00756BBE" w:rsidP="00756BBE">
            <w:pPr>
              <w:rPr>
                <w:sz w:val="20"/>
                <w:szCs w:val="20"/>
              </w:rPr>
            </w:pPr>
            <w:r w:rsidRPr="00F20AA2">
              <w:rPr>
                <w:sz w:val="20"/>
                <w:szCs w:val="20"/>
              </w:rPr>
              <w:t>January 9, 2012</w:t>
            </w:r>
          </w:p>
          <w:p w:rsidR="00756BBE" w:rsidRPr="00F20AA2" w:rsidRDefault="00756BBE" w:rsidP="00756BBE">
            <w:pPr>
              <w:rPr>
                <w:sz w:val="20"/>
                <w:szCs w:val="20"/>
              </w:rPr>
            </w:pPr>
            <w:r w:rsidRPr="00F20AA2">
              <w:rPr>
                <w:sz w:val="20"/>
                <w:szCs w:val="20"/>
              </w:rPr>
              <w:t>Supreme Court of British Columbia</w:t>
            </w:r>
          </w:p>
          <w:p w:rsidR="00756BBE" w:rsidRPr="00F20AA2" w:rsidRDefault="00756BBE" w:rsidP="00756BBE">
            <w:pPr>
              <w:rPr>
                <w:sz w:val="20"/>
                <w:szCs w:val="20"/>
              </w:rPr>
            </w:pPr>
            <w:r w:rsidRPr="00F20AA2">
              <w:rPr>
                <w:sz w:val="20"/>
                <w:szCs w:val="20"/>
              </w:rPr>
              <w:t>(Ross J.)</w:t>
            </w:r>
          </w:p>
          <w:p w:rsidR="00756BBE" w:rsidRPr="00F20AA2" w:rsidRDefault="00756BBE" w:rsidP="00756BBE">
            <w:pPr>
              <w:rPr>
                <w:sz w:val="20"/>
                <w:szCs w:val="20"/>
              </w:rPr>
            </w:pPr>
            <w:r w:rsidRPr="00F20AA2">
              <w:rPr>
                <w:sz w:val="20"/>
                <w:szCs w:val="20"/>
              </w:rPr>
              <w:t>Docket: 25379</w:t>
            </w:r>
          </w:p>
          <w:p w:rsidR="00756BBE" w:rsidRPr="00F20AA2" w:rsidRDefault="00756BBE" w:rsidP="00756BBE">
            <w:pPr>
              <w:rPr>
                <w:sz w:val="20"/>
                <w:szCs w:val="20"/>
              </w:rPr>
            </w:pPr>
          </w:p>
        </w:tc>
        <w:tc>
          <w:tcPr>
            <w:tcW w:w="243" w:type="pct"/>
          </w:tcPr>
          <w:p w:rsidR="00756BBE" w:rsidRPr="00F20AA2" w:rsidRDefault="00756BBE" w:rsidP="00756BBE">
            <w:pPr>
              <w:rPr>
                <w:sz w:val="20"/>
                <w:szCs w:val="20"/>
              </w:rPr>
            </w:pPr>
          </w:p>
        </w:tc>
        <w:tc>
          <w:tcPr>
            <w:tcW w:w="2330" w:type="pct"/>
          </w:tcPr>
          <w:p w:rsidR="00756BBE" w:rsidRPr="00F20AA2" w:rsidRDefault="00756BBE" w:rsidP="00756BBE">
            <w:pPr>
              <w:jc w:val="both"/>
              <w:rPr>
                <w:sz w:val="20"/>
                <w:szCs w:val="20"/>
              </w:rPr>
            </w:pPr>
            <w:r w:rsidRPr="00F20AA2">
              <w:rPr>
                <w:sz w:val="20"/>
                <w:szCs w:val="20"/>
              </w:rPr>
              <w:t xml:space="preserve">Application for publication ban, sealing order and </w:t>
            </w:r>
            <w:r w:rsidRPr="00F20AA2">
              <w:rPr>
                <w:i/>
                <w:sz w:val="20"/>
                <w:szCs w:val="20"/>
              </w:rPr>
              <w:t>in camera</w:t>
            </w:r>
            <w:r w:rsidRPr="00F20AA2">
              <w:rPr>
                <w:sz w:val="20"/>
                <w:szCs w:val="20"/>
              </w:rPr>
              <w:t xml:space="preserve"> hearing dismissed</w:t>
            </w:r>
          </w:p>
          <w:p w:rsidR="00756BBE" w:rsidRPr="00F20AA2" w:rsidRDefault="00756BBE" w:rsidP="00756BBE">
            <w:pPr>
              <w:rPr>
                <w:sz w:val="20"/>
                <w:szCs w:val="20"/>
              </w:rPr>
            </w:pPr>
          </w:p>
        </w:tc>
      </w:tr>
      <w:tr w:rsidR="00756BBE" w:rsidRPr="00F20AA2" w:rsidTr="00756BBE">
        <w:tc>
          <w:tcPr>
            <w:tcW w:w="2427" w:type="pct"/>
          </w:tcPr>
          <w:p w:rsidR="00756BBE" w:rsidRPr="00F20AA2" w:rsidRDefault="00756BBE" w:rsidP="00756BBE">
            <w:pPr>
              <w:rPr>
                <w:sz w:val="20"/>
                <w:szCs w:val="20"/>
              </w:rPr>
            </w:pPr>
            <w:r w:rsidRPr="00F20AA2">
              <w:rPr>
                <w:sz w:val="20"/>
                <w:szCs w:val="20"/>
              </w:rPr>
              <w:t>January 11, 2012</w:t>
            </w:r>
          </w:p>
          <w:p w:rsidR="00756BBE" w:rsidRPr="00F20AA2" w:rsidRDefault="00756BBE" w:rsidP="00756BBE">
            <w:pPr>
              <w:rPr>
                <w:sz w:val="20"/>
                <w:szCs w:val="20"/>
              </w:rPr>
            </w:pPr>
            <w:r w:rsidRPr="00F20AA2">
              <w:rPr>
                <w:sz w:val="20"/>
                <w:szCs w:val="20"/>
              </w:rPr>
              <w:t>Supreme Court of Canada</w:t>
            </w:r>
          </w:p>
        </w:tc>
        <w:tc>
          <w:tcPr>
            <w:tcW w:w="243" w:type="pct"/>
          </w:tcPr>
          <w:p w:rsidR="00756BBE" w:rsidRPr="00F20AA2" w:rsidRDefault="00756BBE" w:rsidP="00756BBE">
            <w:pPr>
              <w:rPr>
                <w:sz w:val="20"/>
                <w:szCs w:val="20"/>
              </w:rPr>
            </w:pPr>
          </w:p>
        </w:tc>
        <w:tc>
          <w:tcPr>
            <w:tcW w:w="2330" w:type="pct"/>
          </w:tcPr>
          <w:p w:rsidR="00756BBE" w:rsidRPr="00F20AA2" w:rsidRDefault="00756BBE" w:rsidP="00756BBE">
            <w:pPr>
              <w:rPr>
                <w:sz w:val="20"/>
                <w:szCs w:val="20"/>
              </w:rPr>
            </w:pPr>
            <w:r w:rsidRPr="00F20AA2">
              <w:rPr>
                <w:sz w:val="20"/>
                <w:szCs w:val="20"/>
              </w:rPr>
              <w:t>Application for leave to appeal filed</w:t>
            </w:r>
          </w:p>
          <w:p w:rsidR="00756BBE" w:rsidRPr="00F20AA2" w:rsidRDefault="00756BBE" w:rsidP="00756BBE">
            <w:pPr>
              <w:rPr>
                <w:sz w:val="20"/>
                <w:szCs w:val="20"/>
              </w:rPr>
            </w:pPr>
          </w:p>
        </w:tc>
      </w:tr>
    </w:tbl>
    <w:p w:rsidR="0021450C" w:rsidRDefault="0021450C" w:rsidP="0021450C">
      <w:pPr>
        <w:rPr>
          <w:sz w:val="20"/>
          <w:szCs w:val="20"/>
        </w:rPr>
      </w:pPr>
    </w:p>
    <w:p w:rsidR="0021450C" w:rsidRDefault="00FD28BB" w:rsidP="0021450C">
      <w:pPr>
        <w:rPr>
          <w:sz w:val="20"/>
          <w:szCs w:val="20"/>
        </w:rPr>
      </w:pPr>
      <w:r w:rsidRPr="00FD28BB">
        <w:rPr>
          <w:sz w:val="20"/>
          <w:szCs w:val="20"/>
          <w:lang w:val="fr-CA"/>
        </w:rPr>
        <w:pict>
          <v:rect id="_x0000_i1041" style="width:2in;height:1pt" o:hrpct="0" o:hralign="center" o:hrstd="t" o:hrnoshade="t" o:hr="t" fillcolor="black [3213]" stroked="f"/>
        </w:pict>
      </w:r>
    </w:p>
    <w:p w:rsidR="0021450C" w:rsidRDefault="0021450C" w:rsidP="0021450C">
      <w:pPr>
        <w:rPr>
          <w:sz w:val="20"/>
          <w:szCs w:val="20"/>
        </w:rPr>
      </w:pPr>
    </w:p>
    <w:p w:rsidR="0021450C" w:rsidRPr="001B157C" w:rsidRDefault="0021450C" w:rsidP="0021450C">
      <w:pPr>
        <w:rPr>
          <w:sz w:val="20"/>
          <w:szCs w:val="20"/>
          <w:u w:val="single"/>
          <w:lang w:val="fr-CA"/>
        </w:rPr>
      </w:pPr>
      <w:r w:rsidRPr="001B157C">
        <w:rPr>
          <w:sz w:val="20"/>
          <w:szCs w:val="20"/>
          <w:u w:val="single"/>
          <w:lang w:val="fr-CA"/>
        </w:rPr>
        <w:t>RÉSUMÉ DE L’AFFAIRE</w:t>
      </w:r>
    </w:p>
    <w:p w:rsidR="0021450C" w:rsidRDefault="0021450C" w:rsidP="0021450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56BBE" w:rsidRPr="00251B16" w:rsidTr="00756BBE">
        <w:tc>
          <w:tcPr>
            <w:tcW w:w="5000" w:type="pct"/>
            <w:gridSpan w:val="3"/>
          </w:tcPr>
          <w:p w:rsidR="00756BBE" w:rsidRPr="009F6702" w:rsidRDefault="00756BBE" w:rsidP="00756BBE">
            <w:pPr>
              <w:jc w:val="both"/>
              <w:rPr>
                <w:sz w:val="20"/>
                <w:szCs w:val="20"/>
                <w:lang w:val="fr-CA"/>
              </w:rPr>
            </w:pPr>
            <w:r w:rsidRPr="009F6702">
              <w:rPr>
                <w:sz w:val="20"/>
                <w:szCs w:val="20"/>
                <w:lang w:val="fr-CA"/>
              </w:rPr>
              <w:t>Droit criminel – Droit à un procès équitable – Interdiction de publication – Ordonnance de mise sous scellés – Ordonnance visant la tenue d’une audience à huis clos – La juge du procès aurait-elle dû prononcer une interdiction de publication et rendre une ordonnance de mise sous scellés ainsi qu’une ordonnance visant la tenue d’une audience à huis clos?</w:t>
            </w:r>
          </w:p>
        </w:tc>
      </w:tr>
      <w:tr w:rsidR="00756BBE" w:rsidRPr="00251B16" w:rsidTr="00756BBE">
        <w:tc>
          <w:tcPr>
            <w:tcW w:w="5000" w:type="pct"/>
            <w:gridSpan w:val="3"/>
          </w:tcPr>
          <w:p w:rsidR="00756BBE" w:rsidRPr="009F6702" w:rsidRDefault="00756BBE" w:rsidP="00756BBE">
            <w:pPr>
              <w:rPr>
                <w:sz w:val="20"/>
                <w:szCs w:val="20"/>
                <w:lang w:val="fr-CA"/>
              </w:rPr>
            </w:pPr>
          </w:p>
        </w:tc>
      </w:tr>
      <w:tr w:rsidR="00756BBE" w:rsidRPr="00251B16" w:rsidTr="00756BBE">
        <w:tc>
          <w:tcPr>
            <w:tcW w:w="5000" w:type="pct"/>
            <w:gridSpan w:val="3"/>
          </w:tcPr>
          <w:p w:rsidR="00756BBE" w:rsidRPr="009F6702" w:rsidRDefault="00756BBE" w:rsidP="00756BBE">
            <w:pPr>
              <w:jc w:val="both"/>
              <w:rPr>
                <w:sz w:val="20"/>
                <w:szCs w:val="20"/>
                <w:lang w:val="fr-CA"/>
              </w:rPr>
            </w:pPr>
            <w:r w:rsidRPr="009F6702">
              <w:rPr>
                <w:sz w:val="20"/>
                <w:szCs w:val="20"/>
                <w:lang w:val="fr-CA"/>
              </w:rPr>
              <w:t xml:space="preserve">Le demandeur a été accusé d’un chef de complot en vue de faire le trafic de cocaïne et de deux chefs de recyclage des produits de la criminalité à la suite d’une série de rapports avec un agent d’infiltration de la police. Avant la date prévue du début du procès, il a sollicité une ordonnance visant la tenue d’une audience à huis clos et une interdiction de publication des procédures. Il a demandé que l’interdiction de publication vise l’ensemble de la preuve et des témoignages et que les pièces à conviction soient mises sous scellés. Il a aussi demandé d’être identifié par des initiales durant le procès et après la tenue de celui-ci. </w:t>
            </w:r>
          </w:p>
          <w:p w:rsidR="00756BBE" w:rsidRPr="009F6702" w:rsidRDefault="00756BBE" w:rsidP="00756BBE">
            <w:pPr>
              <w:jc w:val="both"/>
              <w:rPr>
                <w:sz w:val="20"/>
                <w:szCs w:val="20"/>
                <w:lang w:val="fr-CA"/>
              </w:rPr>
            </w:pPr>
          </w:p>
          <w:p w:rsidR="00756BBE" w:rsidRPr="009F6702" w:rsidRDefault="00756BBE" w:rsidP="00756BBE">
            <w:pPr>
              <w:jc w:val="both"/>
              <w:rPr>
                <w:sz w:val="20"/>
                <w:szCs w:val="20"/>
                <w:lang w:val="fr-CA"/>
              </w:rPr>
            </w:pPr>
            <w:r w:rsidRPr="009F6702">
              <w:rPr>
                <w:sz w:val="20"/>
                <w:szCs w:val="20"/>
                <w:lang w:val="fr-CA"/>
              </w:rPr>
              <w:t>Pour appuyer sa requête, il a fait valoir qu’il craignait sincèrement et légitimement pour sa sécurité, et que cette crainte portait atteinte à son droit à un procès équitable, en contravention de l’al. 11</w:t>
            </w:r>
            <w:r w:rsidRPr="009F6702">
              <w:rPr>
                <w:i/>
                <w:sz w:val="20"/>
                <w:szCs w:val="20"/>
                <w:lang w:val="fr-CA"/>
              </w:rPr>
              <w:t>d</w:t>
            </w:r>
            <w:r w:rsidRPr="009F6702">
              <w:rPr>
                <w:sz w:val="20"/>
                <w:szCs w:val="20"/>
                <w:lang w:val="fr-CA"/>
              </w:rPr>
              <w:t xml:space="preserve">) of the </w:t>
            </w:r>
            <w:r w:rsidRPr="009F6702">
              <w:rPr>
                <w:i/>
                <w:sz w:val="20"/>
                <w:szCs w:val="20"/>
                <w:lang w:val="fr-CA"/>
              </w:rPr>
              <w:t>Charte canadienne des droits et libertés</w:t>
            </w:r>
            <w:r w:rsidRPr="009F6702">
              <w:rPr>
                <w:sz w:val="20"/>
                <w:szCs w:val="20"/>
                <w:lang w:val="fr-CA"/>
              </w:rPr>
              <w:t xml:space="preserve">, du fait qu’elle nuisait à sa capacité de donner des directives à son avocat et de témoigner. Il a également avancé que sa crainte portait atteinte au droit à la sécurité de sa personne, en contravention de l’art. 7 de la </w:t>
            </w:r>
            <w:r w:rsidRPr="009F6702">
              <w:rPr>
                <w:i/>
                <w:sz w:val="20"/>
                <w:szCs w:val="20"/>
                <w:lang w:val="fr-CA"/>
              </w:rPr>
              <w:t>Charte</w:t>
            </w:r>
            <w:r w:rsidRPr="009F6702">
              <w:rPr>
                <w:sz w:val="20"/>
                <w:szCs w:val="20"/>
                <w:lang w:val="fr-CA"/>
              </w:rPr>
              <w:t>, et qu’elle était susceptible de nuire au maintien de l’ordre et à la bonne administration de la justice.</w:t>
            </w:r>
          </w:p>
          <w:p w:rsidR="00756BBE" w:rsidRPr="009F6702" w:rsidRDefault="00756BBE" w:rsidP="00756BBE">
            <w:pPr>
              <w:jc w:val="both"/>
              <w:rPr>
                <w:sz w:val="20"/>
                <w:szCs w:val="20"/>
                <w:lang w:val="fr-CA"/>
              </w:rPr>
            </w:pPr>
          </w:p>
          <w:p w:rsidR="00756BBE" w:rsidRPr="009F6702" w:rsidRDefault="00756BBE" w:rsidP="00756BBE">
            <w:pPr>
              <w:jc w:val="both"/>
              <w:rPr>
                <w:sz w:val="20"/>
                <w:szCs w:val="20"/>
                <w:lang w:val="fr-CA"/>
              </w:rPr>
            </w:pPr>
            <w:r w:rsidRPr="009F6702">
              <w:rPr>
                <w:sz w:val="20"/>
                <w:szCs w:val="20"/>
                <w:lang w:val="fr-CA"/>
              </w:rPr>
              <w:t xml:space="preserve">Appliquant les principes énoncés dans </w:t>
            </w:r>
            <w:proofErr w:type="spellStart"/>
            <w:r w:rsidRPr="009F6702">
              <w:rPr>
                <w:i/>
                <w:sz w:val="20"/>
                <w:szCs w:val="20"/>
                <w:lang w:val="fr-CA"/>
              </w:rPr>
              <w:t>Dagenais</w:t>
            </w:r>
            <w:proofErr w:type="spellEnd"/>
            <w:r w:rsidRPr="009F6702">
              <w:rPr>
                <w:i/>
                <w:sz w:val="20"/>
                <w:szCs w:val="20"/>
                <w:lang w:val="fr-CA"/>
              </w:rPr>
              <w:t xml:space="preserve"> c. Société Radio-Canada</w:t>
            </w:r>
            <w:r w:rsidRPr="009F6702">
              <w:rPr>
                <w:sz w:val="20"/>
                <w:szCs w:val="20"/>
                <w:lang w:val="fr-CA"/>
              </w:rPr>
              <w:t xml:space="preserve">, [1994] 3 R.C.S. 835, et </w:t>
            </w:r>
            <w:r w:rsidRPr="009F6702">
              <w:rPr>
                <w:i/>
                <w:sz w:val="20"/>
                <w:szCs w:val="20"/>
                <w:lang w:val="fr-CA"/>
              </w:rPr>
              <w:t xml:space="preserve">R. c. </w:t>
            </w:r>
            <w:proofErr w:type="spellStart"/>
            <w:r w:rsidRPr="009F6702">
              <w:rPr>
                <w:i/>
                <w:sz w:val="20"/>
                <w:szCs w:val="20"/>
                <w:lang w:val="fr-CA"/>
              </w:rPr>
              <w:t>Mentuck</w:t>
            </w:r>
            <w:proofErr w:type="spellEnd"/>
            <w:r w:rsidRPr="009F6702">
              <w:rPr>
                <w:sz w:val="20"/>
                <w:szCs w:val="20"/>
                <w:lang w:val="fr-CA"/>
              </w:rPr>
              <w:t xml:space="preserve">, [2001] 3 R.C.S. 442, la juge du procès a rejeté la requête du demandeur. Elle a conclu que le demandeur n’avait pas présenté de </w:t>
            </w:r>
            <w:r w:rsidRPr="009F6702">
              <w:rPr>
                <w:rFonts w:cs="Times New Roman"/>
                <w:sz w:val="20"/>
                <w:szCs w:val="20"/>
                <w:lang w:val="fr-CA"/>
              </w:rPr>
              <w:t>[TRADUCTION</w:t>
            </w:r>
            <w:r w:rsidRPr="009F6702">
              <w:rPr>
                <w:rFonts w:asciiTheme="minorBidi" w:hAnsiTheme="minorBidi"/>
                <w:sz w:val="20"/>
                <w:szCs w:val="20"/>
                <w:lang w:val="fr-CA"/>
              </w:rPr>
              <w:t xml:space="preserve">] </w:t>
            </w:r>
            <w:r w:rsidRPr="009F6702">
              <w:rPr>
                <w:rFonts w:cs="Times New Roman"/>
                <w:sz w:val="20"/>
                <w:szCs w:val="20"/>
                <w:lang w:val="fr-CA"/>
              </w:rPr>
              <w:t>«</w:t>
            </w:r>
            <w:r w:rsidRPr="009F6702">
              <w:rPr>
                <w:sz w:val="20"/>
                <w:szCs w:val="20"/>
                <w:lang w:val="fr-CA"/>
              </w:rPr>
              <w:t> preuve convaincante </w:t>
            </w:r>
            <w:r w:rsidRPr="009F6702">
              <w:rPr>
                <w:rFonts w:cs="Times New Roman"/>
                <w:sz w:val="20"/>
                <w:szCs w:val="20"/>
                <w:lang w:val="fr-CA"/>
              </w:rPr>
              <w:t>»</w:t>
            </w:r>
            <w:r w:rsidRPr="009F6702">
              <w:rPr>
                <w:sz w:val="20"/>
                <w:szCs w:val="20"/>
                <w:lang w:val="fr-CA"/>
              </w:rPr>
              <w:t xml:space="preserve"> démontrant qu’une quelconque menace justifiait une interdiction de publication, une ordonnance de mise sous scellés ou la tenue d’une audience à huis clos. En outre, </w:t>
            </w:r>
            <w:r w:rsidRPr="009F6702">
              <w:rPr>
                <w:rFonts w:asciiTheme="minorBidi" w:hAnsiTheme="minorBidi"/>
                <w:sz w:val="20"/>
                <w:szCs w:val="20"/>
                <w:lang w:val="fr-CA"/>
              </w:rPr>
              <w:t>« les renseignements en cause étaient publics depuis longtemps</w:t>
            </w:r>
            <w:r w:rsidRPr="009F6702">
              <w:rPr>
                <w:sz w:val="20"/>
                <w:szCs w:val="20"/>
                <w:lang w:val="fr-CA"/>
              </w:rPr>
              <w:t> </w:t>
            </w:r>
            <w:r w:rsidRPr="009F6702">
              <w:rPr>
                <w:rFonts w:cs="Times New Roman"/>
                <w:sz w:val="20"/>
                <w:szCs w:val="20"/>
                <w:lang w:val="fr-CA"/>
              </w:rPr>
              <w:t xml:space="preserve">» </w:t>
            </w:r>
            <w:r w:rsidRPr="009F6702">
              <w:rPr>
                <w:sz w:val="20"/>
                <w:szCs w:val="20"/>
                <w:lang w:val="fr-CA"/>
              </w:rPr>
              <w:t xml:space="preserve">(par. 57). La juge n’était pas convaincue que </w:t>
            </w:r>
            <w:r w:rsidRPr="009F6702">
              <w:rPr>
                <w:rFonts w:cs="Times New Roman"/>
                <w:sz w:val="20"/>
                <w:szCs w:val="20"/>
                <w:lang w:val="fr-CA"/>
              </w:rPr>
              <w:t>«</w:t>
            </w:r>
            <w:r w:rsidRPr="009F6702">
              <w:rPr>
                <w:sz w:val="20"/>
                <w:szCs w:val="20"/>
                <w:lang w:val="fr-CA"/>
              </w:rPr>
              <w:t> l’augmentation du risque suscitée par la publication d’autres éléments de l’affaire est telle que le risque préexistant atteint le seuil requis, à savoir le risque réel et important </w:t>
            </w:r>
            <w:r w:rsidRPr="009F6702">
              <w:rPr>
                <w:rFonts w:cs="Times New Roman"/>
                <w:sz w:val="20"/>
                <w:szCs w:val="20"/>
                <w:lang w:val="fr-CA"/>
              </w:rPr>
              <w:t>»</w:t>
            </w:r>
            <w:r w:rsidRPr="009F6702">
              <w:rPr>
                <w:sz w:val="20"/>
                <w:szCs w:val="20"/>
                <w:lang w:val="fr-CA"/>
              </w:rPr>
              <w:t xml:space="preserve"> (par. 57).</w:t>
            </w:r>
          </w:p>
          <w:p w:rsidR="00756BBE" w:rsidRPr="009F6702" w:rsidRDefault="00756BBE" w:rsidP="00756BBE">
            <w:pPr>
              <w:rPr>
                <w:sz w:val="20"/>
                <w:szCs w:val="20"/>
                <w:lang w:val="fr-CA"/>
              </w:rPr>
            </w:pPr>
          </w:p>
        </w:tc>
      </w:tr>
      <w:tr w:rsidR="00756BBE" w:rsidRPr="00251B16" w:rsidTr="00756BBE">
        <w:tc>
          <w:tcPr>
            <w:tcW w:w="2427" w:type="pct"/>
          </w:tcPr>
          <w:p w:rsidR="00756BBE" w:rsidRPr="009F6702" w:rsidRDefault="00756BBE" w:rsidP="00756BBE">
            <w:pPr>
              <w:rPr>
                <w:sz w:val="20"/>
                <w:szCs w:val="20"/>
                <w:lang w:val="fr-CA"/>
              </w:rPr>
            </w:pPr>
            <w:r w:rsidRPr="009F6702">
              <w:rPr>
                <w:sz w:val="20"/>
                <w:szCs w:val="20"/>
                <w:lang w:val="fr-CA"/>
              </w:rPr>
              <w:t>9 janvier 2012</w:t>
            </w:r>
          </w:p>
          <w:p w:rsidR="00756BBE" w:rsidRPr="009F6702" w:rsidRDefault="00756BBE" w:rsidP="00756BBE">
            <w:pPr>
              <w:rPr>
                <w:sz w:val="20"/>
                <w:szCs w:val="20"/>
                <w:lang w:val="fr-CA"/>
              </w:rPr>
            </w:pPr>
            <w:r w:rsidRPr="009F6702">
              <w:rPr>
                <w:sz w:val="20"/>
                <w:szCs w:val="20"/>
                <w:lang w:val="fr-CA"/>
              </w:rPr>
              <w:t>Cour suprême de la Colombie-Britannique</w:t>
            </w:r>
          </w:p>
          <w:p w:rsidR="00756BBE" w:rsidRPr="009F6702" w:rsidRDefault="00756BBE" w:rsidP="00756BBE">
            <w:pPr>
              <w:rPr>
                <w:sz w:val="20"/>
                <w:szCs w:val="20"/>
              </w:rPr>
            </w:pPr>
            <w:r w:rsidRPr="009F6702">
              <w:rPr>
                <w:sz w:val="20"/>
                <w:szCs w:val="20"/>
              </w:rPr>
              <w:t>(</w:t>
            </w:r>
            <w:proofErr w:type="spellStart"/>
            <w:r w:rsidRPr="009F6702">
              <w:rPr>
                <w:sz w:val="20"/>
                <w:szCs w:val="20"/>
              </w:rPr>
              <w:t>Juge</w:t>
            </w:r>
            <w:proofErr w:type="spellEnd"/>
            <w:r w:rsidRPr="009F6702">
              <w:rPr>
                <w:sz w:val="20"/>
                <w:szCs w:val="20"/>
              </w:rPr>
              <w:t xml:space="preserve"> Ross)</w:t>
            </w:r>
          </w:p>
          <w:p w:rsidR="00756BBE" w:rsidRPr="009F6702" w:rsidRDefault="00756BBE" w:rsidP="00756BBE">
            <w:pPr>
              <w:rPr>
                <w:sz w:val="20"/>
                <w:szCs w:val="20"/>
              </w:rPr>
            </w:pPr>
            <w:r w:rsidRPr="009F6702">
              <w:rPr>
                <w:sz w:val="20"/>
                <w:szCs w:val="20"/>
              </w:rPr>
              <w:t>Dossier : 25379</w:t>
            </w:r>
          </w:p>
          <w:p w:rsidR="00756BBE" w:rsidRPr="009F6702" w:rsidRDefault="00756BBE" w:rsidP="00756BBE">
            <w:pPr>
              <w:rPr>
                <w:sz w:val="20"/>
                <w:szCs w:val="20"/>
              </w:rPr>
            </w:pPr>
          </w:p>
        </w:tc>
        <w:tc>
          <w:tcPr>
            <w:tcW w:w="243" w:type="pct"/>
          </w:tcPr>
          <w:p w:rsidR="00756BBE" w:rsidRPr="009F6702" w:rsidRDefault="00756BBE" w:rsidP="00756BBE">
            <w:pPr>
              <w:rPr>
                <w:sz w:val="20"/>
                <w:szCs w:val="20"/>
              </w:rPr>
            </w:pPr>
          </w:p>
        </w:tc>
        <w:tc>
          <w:tcPr>
            <w:tcW w:w="2330" w:type="pct"/>
          </w:tcPr>
          <w:p w:rsidR="00756BBE" w:rsidRPr="009F6702" w:rsidRDefault="00756BBE" w:rsidP="00756BBE">
            <w:pPr>
              <w:jc w:val="both"/>
              <w:rPr>
                <w:sz w:val="20"/>
                <w:szCs w:val="20"/>
                <w:lang w:val="fr-CA"/>
              </w:rPr>
            </w:pPr>
            <w:r w:rsidRPr="009F6702">
              <w:rPr>
                <w:sz w:val="20"/>
                <w:szCs w:val="20"/>
                <w:lang w:val="fr-CA"/>
              </w:rPr>
              <w:t>Demande d’interdiction de publication, d’ordonnance de mise sous scellés et d’ordonnance visant la tenue d’une audience à huis clos, rejetée</w:t>
            </w:r>
          </w:p>
          <w:p w:rsidR="00756BBE" w:rsidRPr="009F6702" w:rsidRDefault="00756BBE" w:rsidP="00756BBE">
            <w:pPr>
              <w:rPr>
                <w:sz w:val="20"/>
                <w:szCs w:val="20"/>
                <w:lang w:val="fr-CA"/>
              </w:rPr>
            </w:pPr>
          </w:p>
        </w:tc>
      </w:tr>
      <w:tr w:rsidR="00756BBE" w:rsidRPr="009F6702" w:rsidTr="00756BBE">
        <w:tc>
          <w:tcPr>
            <w:tcW w:w="2427" w:type="pct"/>
          </w:tcPr>
          <w:p w:rsidR="00756BBE" w:rsidRPr="009F6702" w:rsidRDefault="00756BBE" w:rsidP="00756BBE">
            <w:pPr>
              <w:rPr>
                <w:sz w:val="20"/>
                <w:szCs w:val="20"/>
                <w:lang w:val="fr-CA"/>
              </w:rPr>
            </w:pPr>
            <w:r w:rsidRPr="009F6702">
              <w:rPr>
                <w:sz w:val="20"/>
                <w:szCs w:val="20"/>
                <w:lang w:val="fr-CA"/>
              </w:rPr>
              <w:t>11 janvier 2012</w:t>
            </w:r>
          </w:p>
          <w:p w:rsidR="00756BBE" w:rsidRPr="009F6702" w:rsidRDefault="00756BBE" w:rsidP="00756BBE">
            <w:pPr>
              <w:rPr>
                <w:sz w:val="20"/>
                <w:szCs w:val="20"/>
                <w:lang w:val="fr-CA"/>
              </w:rPr>
            </w:pPr>
            <w:r w:rsidRPr="009F6702">
              <w:rPr>
                <w:sz w:val="20"/>
                <w:szCs w:val="20"/>
                <w:lang w:val="fr-CA"/>
              </w:rPr>
              <w:t>Cour suprême du Canada</w:t>
            </w:r>
          </w:p>
        </w:tc>
        <w:tc>
          <w:tcPr>
            <w:tcW w:w="243" w:type="pct"/>
          </w:tcPr>
          <w:p w:rsidR="00756BBE" w:rsidRPr="009F6702" w:rsidRDefault="00756BBE" w:rsidP="00756BBE">
            <w:pPr>
              <w:rPr>
                <w:sz w:val="20"/>
                <w:szCs w:val="20"/>
                <w:lang w:val="fr-CA"/>
              </w:rPr>
            </w:pPr>
          </w:p>
        </w:tc>
        <w:tc>
          <w:tcPr>
            <w:tcW w:w="2330" w:type="pct"/>
          </w:tcPr>
          <w:p w:rsidR="00756BBE" w:rsidRPr="009F6702" w:rsidRDefault="00756BBE" w:rsidP="00756BBE">
            <w:pPr>
              <w:rPr>
                <w:sz w:val="20"/>
                <w:szCs w:val="20"/>
              </w:rPr>
            </w:pPr>
            <w:r w:rsidRPr="009F6702">
              <w:rPr>
                <w:sz w:val="20"/>
                <w:szCs w:val="20"/>
                <w:lang w:val="fr-CA"/>
              </w:rPr>
              <w:t>Demande d’autorisation de pourvoi déposée</w:t>
            </w:r>
          </w:p>
          <w:p w:rsidR="00756BBE" w:rsidRPr="009F6702" w:rsidRDefault="00756BBE" w:rsidP="00756BBE">
            <w:pPr>
              <w:rPr>
                <w:sz w:val="20"/>
                <w:szCs w:val="20"/>
              </w:rPr>
            </w:pPr>
          </w:p>
        </w:tc>
      </w:tr>
    </w:tbl>
    <w:p w:rsidR="0021450C" w:rsidRDefault="0021450C" w:rsidP="0021450C">
      <w:pPr>
        <w:rPr>
          <w:sz w:val="20"/>
          <w:szCs w:val="20"/>
        </w:rPr>
      </w:pPr>
    </w:p>
    <w:p w:rsidR="0021450C" w:rsidRDefault="00FD28BB" w:rsidP="0021450C">
      <w:pPr>
        <w:rPr>
          <w:sz w:val="20"/>
          <w:szCs w:val="20"/>
        </w:rPr>
      </w:pPr>
      <w:r w:rsidRPr="00FD28BB">
        <w:rPr>
          <w:sz w:val="20"/>
          <w:szCs w:val="20"/>
          <w:lang w:val="fr-CA"/>
        </w:rPr>
        <w:pict>
          <v:rect id="_x0000_i1042" style="width:2in;height:1pt" o:hrpct="0" o:hralign="center" o:hrstd="t" o:hrnoshade="t" o:hr="t" fillcolor="black [3213]" stroked="f"/>
        </w:pict>
      </w:r>
    </w:p>
    <w:p w:rsidR="0021450C" w:rsidRDefault="0021450C" w:rsidP="008D292F">
      <w:pPr>
        <w:rPr>
          <w:b/>
          <w:sz w:val="20"/>
          <w:szCs w:val="20"/>
        </w:rPr>
      </w:pPr>
    </w:p>
    <w:p w:rsidR="008D292F" w:rsidRPr="00C50A5C" w:rsidRDefault="00F9104A" w:rsidP="008D292F">
      <w:pPr>
        <w:rPr>
          <w:b/>
          <w:sz w:val="20"/>
          <w:szCs w:val="20"/>
        </w:rPr>
      </w:pPr>
      <w:r>
        <w:rPr>
          <w:b/>
          <w:sz w:val="20"/>
          <w:szCs w:val="20"/>
        </w:rPr>
        <w:t>FEB</w:t>
      </w:r>
      <w:r w:rsidR="008D292F" w:rsidRPr="00C50A5C">
        <w:rPr>
          <w:b/>
          <w:sz w:val="20"/>
          <w:szCs w:val="20"/>
        </w:rPr>
        <w:t>R</w:t>
      </w:r>
      <w:r>
        <w:rPr>
          <w:b/>
          <w:sz w:val="20"/>
          <w:szCs w:val="20"/>
        </w:rPr>
        <w:t>UARY</w:t>
      </w:r>
      <w:r w:rsidR="008D292F" w:rsidRPr="00C50A5C">
        <w:rPr>
          <w:b/>
          <w:sz w:val="20"/>
          <w:szCs w:val="20"/>
        </w:rPr>
        <w:t xml:space="preserve"> 9, 201</w:t>
      </w:r>
      <w:r>
        <w:rPr>
          <w:b/>
          <w:sz w:val="20"/>
          <w:szCs w:val="20"/>
        </w:rPr>
        <w:t>2</w:t>
      </w:r>
      <w:r w:rsidR="008D292F" w:rsidRPr="00C50A5C">
        <w:rPr>
          <w:b/>
          <w:sz w:val="20"/>
          <w:szCs w:val="20"/>
        </w:rPr>
        <w:t xml:space="preserve"> / LE 9 </w:t>
      </w:r>
      <w:r>
        <w:rPr>
          <w:b/>
          <w:sz w:val="20"/>
          <w:szCs w:val="20"/>
        </w:rPr>
        <w:t>FÉ</w:t>
      </w:r>
      <w:r w:rsidR="008D292F" w:rsidRPr="00C50A5C">
        <w:rPr>
          <w:b/>
          <w:sz w:val="20"/>
          <w:szCs w:val="20"/>
        </w:rPr>
        <w:t>VR</w:t>
      </w:r>
      <w:r>
        <w:rPr>
          <w:b/>
          <w:sz w:val="20"/>
          <w:szCs w:val="20"/>
        </w:rPr>
        <w:t>IER</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6BBE" w:rsidRPr="002B11E5" w:rsidTr="00756BBE">
        <w:trPr>
          <w:cantSplit/>
        </w:trPr>
        <w:tc>
          <w:tcPr>
            <w:tcW w:w="1458" w:type="dxa"/>
          </w:tcPr>
          <w:p w:rsidR="00756BBE" w:rsidRPr="002B11E5" w:rsidRDefault="00756BBE" w:rsidP="00756BBE">
            <w:pPr>
              <w:rPr>
                <w:sz w:val="20"/>
                <w:szCs w:val="20"/>
              </w:rPr>
            </w:pPr>
            <w:r w:rsidRPr="002B11E5">
              <w:rPr>
                <w:rStyle w:val="SCCFileNumberChar"/>
                <w:sz w:val="20"/>
                <w:szCs w:val="20"/>
              </w:rPr>
              <w:t>34341</w:t>
            </w:r>
          </w:p>
          <w:p w:rsidR="00756BBE" w:rsidRPr="002B11E5" w:rsidRDefault="00756BBE" w:rsidP="00756BBE">
            <w:pPr>
              <w:rPr>
                <w:b/>
                <w:sz w:val="20"/>
                <w:szCs w:val="20"/>
                <w:lang w:val="fr-CA"/>
              </w:rPr>
            </w:pPr>
          </w:p>
        </w:tc>
        <w:tc>
          <w:tcPr>
            <w:tcW w:w="8118" w:type="dxa"/>
          </w:tcPr>
          <w:p w:rsidR="00756BBE" w:rsidRPr="002B11E5" w:rsidRDefault="00756BBE" w:rsidP="00756BBE">
            <w:pPr>
              <w:rPr>
                <w:sz w:val="20"/>
                <w:szCs w:val="20"/>
              </w:rPr>
            </w:pPr>
            <w:r w:rsidRPr="00756BBE">
              <w:rPr>
                <w:rStyle w:val="SCCLsocChar"/>
                <w:sz w:val="20"/>
                <w:szCs w:val="20"/>
                <w:lang w:val="en-CA"/>
              </w:rPr>
              <w:t xml:space="preserve">Roger </w:t>
            </w:r>
            <w:proofErr w:type="spellStart"/>
            <w:r w:rsidRPr="00756BBE">
              <w:rPr>
                <w:rStyle w:val="SCCLsocChar"/>
                <w:sz w:val="20"/>
                <w:szCs w:val="20"/>
                <w:lang w:val="en-CA"/>
              </w:rPr>
              <w:t>Obonsawin</w:t>
            </w:r>
            <w:proofErr w:type="spellEnd"/>
            <w:r w:rsidRPr="00756BBE">
              <w:rPr>
                <w:rStyle w:val="SCCLsocChar"/>
                <w:sz w:val="20"/>
                <w:szCs w:val="20"/>
                <w:lang w:val="en-CA"/>
              </w:rPr>
              <w:t xml:space="preserve"> v. Her Majesty the Queen</w:t>
            </w:r>
            <w:r w:rsidRPr="002B11E5">
              <w:rPr>
                <w:sz w:val="20"/>
                <w:szCs w:val="20"/>
              </w:rPr>
              <w:t xml:space="preserve"> (F.C.) (Civil) (By Leave)</w:t>
            </w:r>
          </w:p>
          <w:p w:rsidR="00756BBE" w:rsidRPr="002B11E5" w:rsidRDefault="00756BBE" w:rsidP="00756BBE">
            <w:pPr>
              <w:rPr>
                <w:sz w:val="20"/>
                <w:szCs w:val="20"/>
              </w:rPr>
            </w:pPr>
          </w:p>
        </w:tc>
      </w:tr>
      <w:tr w:rsidR="00756BBE" w:rsidRPr="002B11E5" w:rsidTr="00756BBE">
        <w:trPr>
          <w:cantSplit/>
        </w:trPr>
        <w:tc>
          <w:tcPr>
            <w:tcW w:w="1458" w:type="dxa"/>
          </w:tcPr>
          <w:p w:rsidR="00756BBE" w:rsidRPr="002B11E5" w:rsidRDefault="00756BBE" w:rsidP="00756BBE">
            <w:pPr>
              <w:rPr>
                <w:sz w:val="20"/>
                <w:szCs w:val="20"/>
              </w:rPr>
            </w:pPr>
            <w:r w:rsidRPr="002B11E5">
              <w:rPr>
                <w:sz w:val="20"/>
                <w:szCs w:val="20"/>
              </w:rPr>
              <w:t>Coram :</w:t>
            </w:r>
          </w:p>
        </w:tc>
        <w:tc>
          <w:tcPr>
            <w:tcW w:w="8118" w:type="dxa"/>
          </w:tcPr>
          <w:p w:rsidR="00756BBE" w:rsidRPr="002B11E5" w:rsidRDefault="00756BBE" w:rsidP="00756BBE">
            <w:pPr>
              <w:rPr>
                <w:sz w:val="20"/>
                <w:szCs w:val="20"/>
              </w:rPr>
            </w:pPr>
            <w:proofErr w:type="spellStart"/>
            <w:r w:rsidRPr="00756BBE">
              <w:rPr>
                <w:rStyle w:val="SCCCoramChar"/>
                <w:sz w:val="20"/>
                <w:szCs w:val="20"/>
                <w:lang w:val="en-CA"/>
              </w:rPr>
              <w:t>LeBel</w:t>
            </w:r>
            <w:proofErr w:type="spellEnd"/>
            <w:r w:rsidRPr="00756BBE">
              <w:rPr>
                <w:rStyle w:val="SCCCoramChar"/>
                <w:sz w:val="20"/>
                <w:szCs w:val="20"/>
                <w:lang w:val="en-CA"/>
              </w:rPr>
              <w:t xml:space="preserve">, </w:t>
            </w:r>
            <w:proofErr w:type="spellStart"/>
            <w:r w:rsidRPr="00756BBE">
              <w:rPr>
                <w:rStyle w:val="SCCCoramChar"/>
                <w:sz w:val="20"/>
                <w:szCs w:val="20"/>
                <w:lang w:val="en-CA"/>
              </w:rPr>
              <w:t>Abella</w:t>
            </w:r>
            <w:proofErr w:type="spellEnd"/>
            <w:r w:rsidRPr="00756BBE">
              <w:rPr>
                <w:rStyle w:val="SCCCoramChar"/>
                <w:sz w:val="20"/>
                <w:szCs w:val="20"/>
                <w:lang w:val="en-CA"/>
              </w:rPr>
              <w:t xml:space="preserve"> and Cromwell JJ.</w:t>
            </w:r>
          </w:p>
          <w:p w:rsidR="00756BBE" w:rsidRPr="002B11E5" w:rsidRDefault="00756BBE" w:rsidP="00756BBE">
            <w:pPr>
              <w:rPr>
                <w:sz w:val="20"/>
                <w:szCs w:val="20"/>
                <w:u w:val="single"/>
              </w:rPr>
            </w:pPr>
          </w:p>
        </w:tc>
      </w:tr>
      <w:tr w:rsidR="00756BBE" w:rsidRPr="00251B16" w:rsidTr="00756BBE">
        <w:trPr>
          <w:cantSplit/>
        </w:trPr>
        <w:tc>
          <w:tcPr>
            <w:tcW w:w="9576" w:type="dxa"/>
            <w:gridSpan w:val="2"/>
          </w:tcPr>
          <w:p w:rsidR="00756BBE" w:rsidRPr="002B11E5" w:rsidRDefault="00756BBE" w:rsidP="00756BBE">
            <w:pPr>
              <w:pStyle w:val="SCCShortJudgment"/>
              <w:rPr>
                <w:szCs w:val="20"/>
              </w:rPr>
            </w:pPr>
            <w:r w:rsidRPr="002B11E5">
              <w:rPr>
                <w:szCs w:val="20"/>
              </w:rPr>
              <w:t>The application for leave to appeal from the judgment of the Federal Court of Appeal, Number A-207-10, 2011 FCA 152, dated May 3, 2011, is dismissed with costs.</w:t>
            </w:r>
          </w:p>
          <w:p w:rsidR="00756BBE" w:rsidRPr="002B11E5" w:rsidRDefault="00756BBE" w:rsidP="00756BBE">
            <w:pPr>
              <w:pStyle w:val="SCCShortJudgment"/>
              <w:ind w:firstLine="0"/>
              <w:rPr>
                <w:szCs w:val="20"/>
              </w:rPr>
            </w:pPr>
          </w:p>
          <w:p w:rsidR="00756BBE" w:rsidRPr="002B11E5" w:rsidRDefault="00756BBE" w:rsidP="00756BBE">
            <w:pPr>
              <w:pStyle w:val="SCCShortJudgment"/>
              <w:rPr>
                <w:szCs w:val="20"/>
                <w:lang w:val="fr-CA"/>
              </w:rPr>
            </w:pPr>
            <w:r w:rsidRPr="002B11E5">
              <w:rPr>
                <w:szCs w:val="20"/>
                <w:lang w:val="fr-CA"/>
              </w:rPr>
              <w:t>La demande d’autorisation d’appel de l’arrêt de la Cour d’appel fédérale, numéro A-207-10, 2011 CAF 152, daté du 3 mai 2011, est rejetée avec dépens.</w:t>
            </w:r>
          </w:p>
        </w:tc>
      </w:tr>
    </w:tbl>
    <w:p w:rsidR="00F9104A" w:rsidRPr="00756BBE" w:rsidRDefault="00F9104A" w:rsidP="008D292F">
      <w:pPr>
        <w:rPr>
          <w:sz w:val="20"/>
          <w:szCs w:val="20"/>
          <w:lang w:val="fr-CA"/>
        </w:rPr>
      </w:pPr>
    </w:p>
    <w:p w:rsidR="00756BBE" w:rsidRPr="00EE7E07" w:rsidRDefault="00756BBE">
      <w:pPr>
        <w:rPr>
          <w:sz w:val="20"/>
          <w:szCs w:val="20"/>
          <w:u w:val="single"/>
          <w:lang w:val="fr-CA"/>
        </w:rPr>
      </w:pPr>
      <w:r w:rsidRPr="00EE7E07">
        <w:rPr>
          <w:sz w:val="20"/>
          <w:szCs w:val="20"/>
          <w:u w:val="single"/>
          <w:lang w:val="fr-CA"/>
        </w:rPr>
        <w:br w:type="page"/>
      </w:r>
    </w:p>
    <w:p w:rsidR="00F9104A" w:rsidRPr="001B157C" w:rsidRDefault="00F9104A" w:rsidP="00F9104A">
      <w:pPr>
        <w:rPr>
          <w:sz w:val="20"/>
          <w:szCs w:val="20"/>
          <w:u w:val="single"/>
        </w:rPr>
      </w:pPr>
      <w:r w:rsidRPr="001B157C">
        <w:rPr>
          <w:sz w:val="20"/>
          <w:szCs w:val="20"/>
          <w:u w:val="single"/>
        </w:rPr>
        <w:t>CASE SUMMARY</w:t>
      </w:r>
    </w:p>
    <w:p w:rsidR="00F9104A" w:rsidRDefault="00F9104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56BBE" w:rsidRPr="00293CD1" w:rsidTr="00756BBE">
        <w:tc>
          <w:tcPr>
            <w:tcW w:w="5000" w:type="pct"/>
            <w:gridSpan w:val="3"/>
          </w:tcPr>
          <w:p w:rsidR="00756BBE" w:rsidRPr="00293CD1" w:rsidRDefault="00756BBE" w:rsidP="00756BBE">
            <w:pPr>
              <w:jc w:val="both"/>
              <w:rPr>
                <w:rFonts w:eastAsia="Calibri"/>
                <w:sz w:val="20"/>
              </w:rPr>
            </w:pPr>
            <w:r w:rsidRPr="00293CD1">
              <w:rPr>
                <w:rFonts w:eastAsia="Calibri"/>
                <w:sz w:val="20"/>
              </w:rPr>
              <w:t xml:space="preserve">Taxation ― Goods and Services Tax ― Aboriginal law ― Applicant assessed under </w:t>
            </w:r>
            <w:r w:rsidRPr="00293CD1">
              <w:rPr>
                <w:rFonts w:eastAsia="Calibri"/>
                <w:i/>
                <w:sz w:val="20"/>
              </w:rPr>
              <w:t xml:space="preserve">Excise Tax </w:t>
            </w:r>
            <w:r w:rsidRPr="00293CD1">
              <w:rPr>
                <w:rFonts w:eastAsia="Calibri"/>
                <w:sz w:val="20"/>
              </w:rPr>
              <w:t xml:space="preserve">Act, R.S.C. 1985, c. E-15 for failure to collect and remit GST ― Applicant is an Indian, as defined under the </w:t>
            </w:r>
            <w:r w:rsidRPr="00293CD1">
              <w:rPr>
                <w:rFonts w:eastAsia="Calibri"/>
                <w:i/>
                <w:sz w:val="20"/>
              </w:rPr>
              <w:t>Indian Act</w:t>
            </w:r>
            <w:r w:rsidRPr="00293CD1">
              <w:rPr>
                <w:rFonts w:eastAsia="Calibri"/>
                <w:sz w:val="20"/>
              </w:rPr>
              <w:t xml:space="preserve">, R.S.C. 1985, c. I-5 ― Does the applicant’s interest in employment contracts constitute “property” within the meaning of the </w:t>
            </w:r>
            <w:r w:rsidRPr="00293CD1">
              <w:rPr>
                <w:rFonts w:eastAsia="Calibri"/>
                <w:i/>
                <w:sz w:val="20"/>
              </w:rPr>
              <w:t>Indian Act</w:t>
            </w:r>
            <w:r w:rsidRPr="00293CD1">
              <w:rPr>
                <w:rFonts w:eastAsia="Calibri"/>
                <w:sz w:val="20"/>
              </w:rPr>
              <w:t xml:space="preserve">  ― If yes, is this property exempt from taxation pursuant to s. 87(1)(b) of the </w:t>
            </w:r>
            <w:r w:rsidRPr="00293CD1">
              <w:rPr>
                <w:rFonts w:eastAsia="Calibri"/>
                <w:i/>
                <w:sz w:val="20"/>
              </w:rPr>
              <w:t>Indian Act</w:t>
            </w:r>
            <w:r w:rsidRPr="00293CD1">
              <w:rPr>
                <w:rFonts w:eastAsia="Calibri"/>
                <w:sz w:val="20"/>
              </w:rPr>
              <w:t xml:space="preserve"> where it is leased off-reserve, but where the applicant’s Indian ownership interest remains situate on reserve.</w:t>
            </w:r>
          </w:p>
        </w:tc>
      </w:tr>
      <w:tr w:rsidR="00756BBE" w:rsidRPr="00293CD1" w:rsidTr="00756BBE">
        <w:tc>
          <w:tcPr>
            <w:tcW w:w="5000" w:type="pct"/>
            <w:gridSpan w:val="3"/>
          </w:tcPr>
          <w:p w:rsidR="00756BBE" w:rsidRPr="00293CD1" w:rsidRDefault="00756BBE" w:rsidP="00756BBE">
            <w:pPr>
              <w:jc w:val="both"/>
              <w:rPr>
                <w:rFonts w:eastAsia="Calibri"/>
                <w:sz w:val="20"/>
              </w:rPr>
            </w:pPr>
          </w:p>
        </w:tc>
      </w:tr>
      <w:tr w:rsidR="00756BBE" w:rsidRPr="00293CD1" w:rsidTr="00756BBE">
        <w:tc>
          <w:tcPr>
            <w:tcW w:w="5000" w:type="pct"/>
            <w:gridSpan w:val="3"/>
          </w:tcPr>
          <w:p w:rsidR="00756BBE" w:rsidRPr="00293CD1" w:rsidRDefault="00756BBE" w:rsidP="00756BBE">
            <w:pPr>
              <w:jc w:val="both"/>
              <w:rPr>
                <w:rFonts w:eastAsia="Calibri"/>
                <w:sz w:val="20"/>
              </w:rPr>
            </w:pPr>
            <w:r w:rsidRPr="00293CD1">
              <w:rPr>
                <w:rFonts w:eastAsia="Calibri"/>
                <w:sz w:val="20"/>
              </w:rPr>
              <w:t xml:space="preserve">The applicant, Roger </w:t>
            </w:r>
            <w:proofErr w:type="spellStart"/>
            <w:r w:rsidRPr="00293CD1">
              <w:rPr>
                <w:rFonts w:eastAsia="Calibri"/>
                <w:sz w:val="20"/>
              </w:rPr>
              <w:t>Obonsawin</w:t>
            </w:r>
            <w:proofErr w:type="spellEnd"/>
            <w:r w:rsidRPr="00293CD1">
              <w:rPr>
                <w:rFonts w:eastAsia="Calibri"/>
                <w:sz w:val="20"/>
              </w:rPr>
              <w:t xml:space="preserve"> was assessed under the </w:t>
            </w:r>
            <w:r w:rsidRPr="00293CD1">
              <w:rPr>
                <w:rFonts w:eastAsia="Calibri"/>
                <w:i/>
                <w:sz w:val="20"/>
              </w:rPr>
              <w:t xml:space="preserve">Excise Tax Act </w:t>
            </w:r>
            <w:r w:rsidRPr="00293CD1">
              <w:rPr>
                <w:rFonts w:eastAsia="Calibri"/>
                <w:sz w:val="20"/>
              </w:rPr>
              <w:t xml:space="preserve">for failure to collect and remit the GST owed by his clients on the supplies he provided to them.  Mr. </w:t>
            </w:r>
            <w:proofErr w:type="spellStart"/>
            <w:r w:rsidRPr="00293CD1">
              <w:rPr>
                <w:rFonts w:eastAsia="Calibri"/>
                <w:sz w:val="20"/>
              </w:rPr>
              <w:t>Obonsawin</w:t>
            </w:r>
            <w:proofErr w:type="spellEnd"/>
            <w:r w:rsidRPr="00293CD1">
              <w:rPr>
                <w:rFonts w:eastAsia="Calibri"/>
                <w:sz w:val="20"/>
              </w:rPr>
              <w:t xml:space="preserve"> is an Indian, as defined under the</w:t>
            </w:r>
            <w:r w:rsidRPr="00293CD1">
              <w:rPr>
                <w:rFonts w:eastAsia="Calibri"/>
                <w:i/>
                <w:sz w:val="20"/>
              </w:rPr>
              <w:t xml:space="preserve"> Indian Act</w:t>
            </w:r>
            <w:r w:rsidRPr="00293CD1">
              <w:rPr>
                <w:rFonts w:eastAsia="Calibri"/>
                <w:sz w:val="20"/>
              </w:rPr>
              <w:t xml:space="preserve">.  He claimed that, pursuant to s. 87 of the </w:t>
            </w:r>
            <w:r w:rsidRPr="00293CD1">
              <w:rPr>
                <w:rFonts w:eastAsia="Calibri"/>
                <w:i/>
                <w:sz w:val="20"/>
              </w:rPr>
              <w:t>Indian Act</w:t>
            </w:r>
            <w:r w:rsidRPr="00293CD1">
              <w:rPr>
                <w:rFonts w:eastAsia="Calibri"/>
                <w:sz w:val="20"/>
              </w:rPr>
              <w:t>, he was exempt from taxation and GST assessments against him amounted to a tax on his property situated on a reserve or a tax on him in respect of that property.  The Tax Court of Canada dismissed the appeals.  The Court of Appeal agreed with the decision of the Tax Court and dismissed the appeal.</w:t>
            </w:r>
          </w:p>
          <w:p w:rsidR="00756BBE" w:rsidRPr="00293CD1" w:rsidRDefault="00756BBE" w:rsidP="00756BBE">
            <w:pPr>
              <w:jc w:val="both"/>
              <w:rPr>
                <w:rFonts w:eastAsia="Calibri"/>
                <w:sz w:val="20"/>
              </w:rPr>
            </w:pPr>
          </w:p>
        </w:tc>
      </w:tr>
      <w:tr w:rsidR="00756BBE" w:rsidRPr="00293CD1" w:rsidTr="00756BBE">
        <w:tc>
          <w:tcPr>
            <w:tcW w:w="2427" w:type="pct"/>
          </w:tcPr>
          <w:p w:rsidR="00756BBE" w:rsidRPr="00293CD1" w:rsidRDefault="00756BBE" w:rsidP="00756BBE">
            <w:pPr>
              <w:jc w:val="both"/>
              <w:rPr>
                <w:rFonts w:eastAsia="Calibri"/>
                <w:sz w:val="20"/>
              </w:rPr>
            </w:pPr>
            <w:r w:rsidRPr="00293CD1">
              <w:rPr>
                <w:rFonts w:eastAsia="Calibri"/>
                <w:sz w:val="20"/>
              </w:rPr>
              <w:t>April 27, 2010</w:t>
            </w:r>
          </w:p>
          <w:p w:rsidR="00756BBE" w:rsidRPr="00293CD1" w:rsidRDefault="00756BBE" w:rsidP="00756BBE">
            <w:pPr>
              <w:jc w:val="both"/>
              <w:rPr>
                <w:rFonts w:eastAsia="Calibri"/>
                <w:sz w:val="20"/>
              </w:rPr>
            </w:pPr>
            <w:r w:rsidRPr="00293CD1">
              <w:rPr>
                <w:rFonts w:eastAsia="Calibri"/>
                <w:sz w:val="20"/>
              </w:rPr>
              <w:t>Tax Court of Canada</w:t>
            </w:r>
          </w:p>
          <w:p w:rsidR="00756BBE" w:rsidRPr="00293CD1" w:rsidRDefault="00756BBE" w:rsidP="00756BBE">
            <w:pPr>
              <w:jc w:val="both"/>
              <w:rPr>
                <w:rFonts w:eastAsia="Calibri"/>
                <w:sz w:val="20"/>
              </w:rPr>
            </w:pPr>
            <w:r w:rsidRPr="00293CD1">
              <w:rPr>
                <w:rFonts w:eastAsia="Calibri"/>
                <w:sz w:val="20"/>
              </w:rPr>
              <w:t>(Webb J.)</w:t>
            </w:r>
          </w:p>
          <w:p w:rsidR="00756BBE" w:rsidRPr="00293CD1" w:rsidRDefault="00756BBE" w:rsidP="00756BBE">
            <w:pPr>
              <w:jc w:val="both"/>
              <w:rPr>
                <w:rFonts w:eastAsia="Calibri"/>
                <w:sz w:val="20"/>
              </w:rPr>
            </w:pPr>
            <w:r w:rsidRPr="00293CD1">
              <w:rPr>
                <w:rFonts w:eastAsia="Calibri"/>
                <w:sz w:val="20"/>
              </w:rPr>
              <w:t>2010 TCC 222</w:t>
            </w:r>
          </w:p>
          <w:p w:rsidR="00756BBE" w:rsidRPr="00293CD1" w:rsidRDefault="00756BBE" w:rsidP="00756BBE">
            <w:pPr>
              <w:jc w:val="both"/>
              <w:rPr>
                <w:rFonts w:eastAsia="Calibri"/>
                <w:sz w:val="20"/>
              </w:rPr>
            </w:pPr>
          </w:p>
        </w:tc>
        <w:tc>
          <w:tcPr>
            <w:tcW w:w="243" w:type="pct"/>
          </w:tcPr>
          <w:p w:rsidR="00756BBE" w:rsidRPr="00293CD1" w:rsidRDefault="00756BBE" w:rsidP="00756BBE">
            <w:pPr>
              <w:jc w:val="both"/>
              <w:rPr>
                <w:rFonts w:eastAsia="Calibri"/>
                <w:sz w:val="20"/>
              </w:rPr>
            </w:pPr>
          </w:p>
        </w:tc>
        <w:tc>
          <w:tcPr>
            <w:tcW w:w="2330" w:type="pct"/>
          </w:tcPr>
          <w:p w:rsidR="00756BBE" w:rsidRPr="00293CD1" w:rsidRDefault="00756BBE" w:rsidP="00756BBE">
            <w:pPr>
              <w:jc w:val="both"/>
              <w:rPr>
                <w:rFonts w:eastAsia="Calibri"/>
                <w:sz w:val="20"/>
              </w:rPr>
            </w:pPr>
            <w:r w:rsidRPr="00293CD1">
              <w:rPr>
                <w:rFonts w:eastAsia="Calibri"/>
                <w:sz w:val="20"/>
              </w:rPr>
              <w:t>Appeals dismissed</w:t>
            </w:r>
          </w:p>
          <w:p w:rsidR="00756BBE" w:rsidRPr="00293CD1" w:rsidRDefault="00756BBE" w:rsidP="00756BBE">
            <w:pPr>
              <w:jc w:val="both"/>
              <w:rPr>
                <w:rFonts w:eastAsia="Calibri"/>
                <w:sz w:val="20"/>
              </w:rPr>
            </w:pPr>
          </w:p>
        </w:tc>
      </w:tr>
      <w:tr w:rsidR="00756BBE" w:rsidRPr="00293CD1" w:rsidTr="00756BBE">
        <w:tc>
          <w:tcPr>
            <w:tcW w:w="2427" w:type="pct"/>
          </w:tcPr>
          <w:p w:rsidR="00756BBE" w:rsidRPr="00293CD1" w:rsidRDefault="00756BBE" w:rsidP="00756BBE">
            <w:pPr>
              <w:jc w:val="both"/>
              <w:rPr>
                <w:rFonts w:eastAsia="Calibri"/>
                <w:sz w:val="20"/>
              </w:rPr>
            </w:pPr>
            <w:r w:rsidRPr="00293CD1">
              <w:rPr>
                <w:rFonts w:eastAsia="Calibri"/>
                <w:sz w:val="20"/>
              </w:rPr>
              <w:t>May 3, 2011</w:t>
            </w:r>
          </w:p>
          <w:p w:rsidR="00756BBE" w:rsidRPr="00293CD1" w:rsidRDefault="00756BBE" w:rsidP="00756BBE">
            <w:pPr>
              <w:jc w:val="both"/>
              <w:rPr>
                <w:rFonts w:eastAsia="Calibri"/>
                <w:sz w:val="20"/>
              </w:rPr>
            </w:pPr>
            <w:r w:rsidRPr="00293CD1">
              <w:rPr>
                <w:rFonts w:eastAsia="Calibri"/>
                <w:sz w:val="20"/>
              </w:rPr>
              <w:t>Federal Court of Appeal</w:t>
            </w:r>
          </w:p>
          <w:p w:rsidR="00756BBE" w:rsidRPr="00293CD1" w:rsidRDefault="00756BBE" w:rsidP="00756BBE">
            <w:pPr>
              <w:jc w:val="both"/>
              <w:rPr>
                <w:rFonts w:eastAsia="Calibri"/>
                <w:sz w:val="20"/>
              </w:rPr>
            </w:pPr>
            <w:r w:rsidRPr="00293CD1">
              <w:rPr>
                <w:rFonts w:eastAsia="Calibri"/>
                <w:sz w:val="20"/>
              </w:rPr>
              <w:t>(</w:t>
            </w:r>
            <w:proofErr w:type="spellStart"/>
            <w:r w:rsidRPr="00293CD1">
              <w:rPr>
                <w:rFonts w:eastAsia="Calibri"/>
                <w:sz w:val="20"/>
              </w:rPr>
              <w:t>Blais</w:t>
            </w:r>
            <w:proofErr w:type="spellEnd"/>
            <w:r w:rsidRPr="00293CD1">
              <w:rPr>
                <w:rFonts w:eastAsia="Calibri"/>
                <w:sz w:val="20"/>
              </w:rPr>
              <w:t xml:space="preserve"> C.J. and </w:t>
            </w:r>
            <w:proofErr w:type="spellStart"/>
            <w:r w:rsidRPr="00293CD1">
              <w:rPr>
                <w:rFonts w:eastAsia="Calibri"/>
                <w:sz w:val="20"/>
              </w:rPr>
              <w:t>Létourneau</w:t>
            </w:r>
            <w:proofErr w:type="spellEnd"/>
            <w:r w:rsidRPr="00293CD1">
              <w:rPr>
                <w:rFonts w:eastAsia="Calibri"/>
                <w:sz w:val="20"/>
              </w:rPr>
              <w:t xml:space="preserve"> and Sexton JJ.A.)</w:t>
            </w:r>
          </w:p>
          <w:p w:rsidR="00756BBE" w:rsidRPr="00293CD1" w:rsidRDefault="00756BBE" w:rsidP="00756BBE">
            <w:pPr>
              <w:jc w:val="both"/>
              <w:rPr>
                <w:rFonts w:eastAsia="Calibri"/>
                <w:sz w:val="20"/>
              </w:rPr>
            </w:pPr>
          </w:p>
        </w:tc>
        <w:tc>
          <w:tcPr>
            <w:tcW w:w="243" w:type="pct"/>
          </w:tcPr>
          <w:p w:rsidR="00756BBE" w:rsidRPr="00293CD1" w:rsidRDefault="00756BBE" w:rsidP="00756BBE">
            <w:pPr>
              <w:jc w:val="both"/>
              <w:rPr>
                <w:rFonts w:eastAsia="Calibri"/>
                <w:sz w:val="20"/>
              </w:rPr>
            </w:pPr>
          </w:p>
        </w:tc>
        <w:tc>
          <w:tcPr>
            <w:tcW w:w="2330" w:type="pct"/>
          </w:tcPr>
          <w:p w:rsidR="00756BBE" w:rsidRPr="00293CD1" w:rsidRDefault="00756BBE" w:rsidP="00756BBE">
            <w:pPr>
              <w:jc w:val="both"/>
              <w:rPr>
                <w:rFonts w:eastAsia="Calibri"/>
                <w:sz w:val="20"/>
              </w:rPr>
            </w:pPr>
            <w:r w:rsidRPr="00293CD1">
              <w:rPr>
                <w:rFonts w:eastAsia="Calibri"/>
                <w:sz w:val="20"/>
              </w:rPr>
              <w:t>Appeal dismissed</w:t>
            </w:r>
          </w:p>
          <w:p w:rsidR="00756BBE" w:rsidRPr="00293CD1" w:rsidRDefault="00756BBE" w:rsidP="00756BBE">
            <w:pPr>
              <w:jc w:val="both"/>
              <w:rPr>
                <w:rFonts w:eastAsia="Calibri"/>
                <w:sz w:val="20"/>
              </w:rPr>
            </w:pPr>
          </w:p>
        </w:tc>
      </w:tr>
      <w:tr w:rsidR="00756BBE" w:rsidRPr="00293CD1" w:rsidTr="00756BBE">
        <w:tc>
          <w:tcPr>
            <w:tcW w:w="2427" w:type="pct"/>
          </w:tcPr>
          <w:p w:rsidR="00756BBE" w:rsidRPr="00293CD1" w:rsidRDefault="00756BBE" w:rsidP="00756BBE">
            <w:pPr>
              <w:jc w:val="both"/>
              <w:rPr>
                <w:rFonts w:eastAsia="Calibri"/>
                <w:sz w:val="20"/>
              </w:rPr>
            </w:pPr>
            <w:r w:rsidRPr="00293CD1">
              <w:rPr>
                <w:rFonts w:eastAsia="Calibri"/>
                <w:sz w:val="20"/>
              </w:rPr>
              <w:t>July 4, 2011</w:t>
            </w:r>
          </w:p>
          <w:p w:rsidR="00756BBE" w:rsidRPr="00293CD1" w:rsidRDefault="00756BBE" w:rsidP="00756BBE">
            <w:pPr>
              <w:jc w:val="both"/>
              <w:rPr>
                <w:rFonts w:eastAsia="Calibri"/>
                <w:sz w:val="20"/>
              </w:rPr>
            </w:pPr>
            <w:r w:rsidRPr="00293CD1">
              <w:rPr>
                <w:rFonts w:eastAsia="Calibri"/>
                <w:sz w:val="20"/>
              </w:rPr>
              <w:t>Supreme Court of Canada</w:t>
            </w:r>
          </w:p>
        </w:tc>
        <w:tc>
          <w:tcPr>
            <w:tcW w:w="243" w:type="pct"/>
          </w:tcPr>
          <w:p w:rsidR="00756BBE" w:rsidRPr="00293CD1" w:rsidRDefault="00756BBE" w:rsidP="00756BBE">
            <w:pPr>
              <w:jc w:val="both"/>
              <w:rPr>
                <w:rFonts w:eastAsia="Calibri"/>
                <w:sz w:val="20"/>
              </w:rPr>
            </w:pPr>
          </w:p>
        </w:tc>
        <w:tc>
          <w:tcPr>
            <w:tcW w:w="2330" w:type="pct"/>
          </w:tcPr>
          <w:p w:rsidR="00756BBE" w:rsidRPr="00293CD1" w:rsidRDefault="00756BBE" w:rsidP="00756BBE">
            <w:pPr>
              <w:jc w:val="both"/>
              <w:rPr>
                <w:rFonts w:eastAsia="Calibri"/>
                <w:sz w:val="20"/>
              </w:rPr>
            </w:pPr>
            <w:r w:rsidRPr="00293CD1">
              <w:rPr>
                <w:rFonts w:eastAsia="Calibri"/>
                <w:sz w:val="20"/>
              </w:rPr>
              <w:t>Application for leave to appeal filed</w:t>
            </w:r>
          </w:p>
          <w:p w:rsidR="00756BBE" w:rsidRPr="00293CD1" w:rsidRDefault="00756BBE" w:rsidP="00756BBE">
            <w:pPr>
              <w:jc w:val="both"/>
              <w:rPr>
                <w:rFonts w:eastAsia="Calibri"/>
                <w:sz w:val="20"/>
              </w:rPr>
            </w:pPr>
          </w:p>
        </w:tc>
      </w:tr>
    </w:tbl>
    <w:p w:rsidR="00F9104A" w:rsidRDefault="00F9104A" w:rsidP="008D292F">
      <w:pPr>
        <w:rPr>
          <w:sz w:val="20"/>
          <w:szCs w:val="20"/>
        </w:rPr>
      </w:pPr>
    </w:p>
    <w:p w:rsidR="00F9104A" w:rsidRDefault="00FD28BB" w:rsidP="008D292F">
      <w:pPr>
        <w:rPr>
          <w:sz w:val="20"/>
          <w:szCs w:val="20"/>
        </w:rPr>
      </w:pPr>
      <w:r w:rsidRPr="00FD28BB">
        <w:rPr>
          <w:sz w:val="20"/>
          <w:szCs w:val="20"/>
          <w:lang w:val="fr-CA"/>
        </w:rPr>
        <w:pict>
          <v:rect id="_x0000_i1043" style="width:2in;height:1pt" o:hrpct="0" o:hralign="center" o:hrstd="t" o:hrnoshade="t" o:hr="t" fillcolor="black [3213]" stroked="f"/>
        </w:pict>
      </w:r>
    </w:p>
    <w:p w:rsidR="00F9104A" w:rsidRDefault="00F9104A" w:rsidP="008D292F">
      <w:pPr>
        <w:rPr>
          <w:sz w:val="20"/>
          <w:szCs w:val="20"/>
        </w:rPr>
      </w:pPr>
    </w:p>
    <w:p w:rsidR="00F9104A" w:rsidRPr="001B157C" w:rsidRDefault="00F9104A" w:rsidP="00F9104A">
      <w:pPr>
        <w:rPr>
          <w:sz w:val="20"/>
          <w:szCs w:val="20"/>
          <w:u w:val="single"/>
          <w:lang w:val="fr-CA"/>
        </w:rPr>
      </w:pPr>
      <w:r w:rsidRPr="001B157C">
        <w:rPr>
          <w:sz w:val="20"/>
          <w:szCs w:val="20"/>
          <w:u w:val="single"/>
          <w:lang w:val="fr-CA"/>
        </w:rPr>
        <w:t>RÉSUMÉ DE L’AFFAIRE</w:t>
      </w:r>
    </w:p>
    <w:p w:rsidR="00F9104A" w:rsidRDefault="00F9104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40A2E" w:rsidRPr="00251B16" w:rsidTr="002A6864">
        <w:tc>
          <w:tcPr>
            <w:tcW w:w="5000" w:type="pct"/>
            <w:gridSpan w:val="3"/>
          </w:tcPr>
          <w:p w:rsidR="00740A2E" w:rsidRPr="00293CD1" w:rsidRDefault="00740A2E" w:rsidP="002A6864">
            <w:pPr>
              <w:jc w:val="both"/>
              <w:rPr>
                <w:rFonts w:eastAsia="Calibri"/>
                <w:sz w:val="20"/>
                <w:lang w:val="fr-CA"/>
              </w:rPr>
            </w:pPr>
            <w:r w:rsidRPr="00293CD1">
              <w:rPr>
                <w:rFonts w:eastAsia="Calibri"/>
                <w:sz w:val="20"/>
                <w:lang w:val="fr-CA"/>
              </w:rPr>
              <w:t xml:space="preserve">Fiscalité ― Taxes sur les produits et services ― Droit des autochtones ― Le demandeur a fait l’objet d’une cotisation en vertu de la </w:t>
            </w:r>
            <w:r w:rsidRPr="00293CD1">
              <w:rPr>
                <w:rFonts w:eastAsia="Calibri"/>
                <w:i/>
                <w:sz w:val="20"/>
                <w:lang w:val="fr-CA"/>
              </w:rPr>
              <w:t>Loi sur la taxe d’accise</w:t>
            </w:r>
            <w:r w:rsidRPr="00293CD1">
              <w:rPr>
                <w:rFonts w:eastAsia="Calibri"/>
                <w:sz w:val="20"/>
                <w:lang w:val="fr-CA"/>
              </w:rPr>
              <w:t xml:space="preserve">, L.R.C. 1985, ch. E-15 parce qu’il a omis de percevoir et de remettre la TPS ― Le demandeur est un Indien au sens de la </w:t>
            </w:r>
            <w:r w:rsidRPr="00293CD1">
              <w:rPr>
                <w:rFonts w:eastAsia="Calibri"/>
                <w:i/>
                <w:sz w:val="20"/>
                <w:lang w:val="fr-CA"/>
              </w:rPr>
              <w:t>Loi sur les Indiens</w:t>
            </w:r>
            <w:r w:rsidRPr="00293CD1">
              <w:rPr>
                <w:rFonts w:eastAsia="Calibri"/>
                <w:sz w:val="20"/>
                <w:lang w:val="fr-CA"/>
              </w:rPr>
              <w:t xml:space="preserve">, L.R.C. 1985, ch. I-5 ― Le droit que le demandeur a à l’égard des contrats d’emploi conclus </w:t>
            </w:r>
            <w:proofErr w:type="spellStart"/>
            <w:r w:rsidRPr="00293CD1">
              <w:rPr>
                <w:rFonts w:eastAsia="Calibri"/>
                <w:sz w:val="20"/>
                <w:lang w:val="fr-CA"/>
              </w:rPr>
              <w:t>constitue</w:t>
            </w:r>
            <w:r w:rsidRPr="00293CD1">
              <w:rPr>
                <w:rFonts w:eastAsia="Calibri"/>
                <w:sz w:val="20"/>
                <w:lang w:val="fr-CA"/>
              </w:rPr>
              <w:noBreakHyphen/>
              <w:t>t</w:t>
            </w:r>
            <w:r w:rsidRPr="00293CD1">
              <w:rPr>
                <w:rFonts w:eastAsia="Calibri"/>
                <w:sz w:val="20"/>
                <w:lang w:val="fr-CA"/>
              </w:rPr>
              <w:noBreakHyphen/>
              <w:t>il</w:t>
            </w:r>
            <w:proofErr w:type="spellEnd"/>
            <w:r w:rsidRPr="00293CD1">
              <w:rPr>
                <w:rFonts w:eastAsia="Calibri"/>
                <w:sz w:val="20"/>
                <w:lang w:val="fr-CA"/>
              </w:rPr>
              <w:t xml:space="preserve"> un « bien » au sens de la </w:t>
            </w:r>
            <w:r w:rsidRPr="00293CD1">
              <w:rPr>
                <w:rFonts w:eastAsia="Calibri"/>
                <w:i/>
                <w:sz w:val="20"/>
                <w:lang w:val="fr-CA"/>
              </w:rPr>
              <w:t>Loi sur les Indiens</w:t>
            </w:r>
            <w:r w:rsidRPr="00293CD1">
              <w:rPr>
                <w:rFonts w:eastAsia="Calibri"/>
                <w:sz w:val="20"/>
                <w:lang w:val="fr-CA"/>
              </w:rPr>
              <w:t xml:space="preserve">? ― Dans l’affirmative, ce bien </w:t>
            </w:r>
            <w:proofErr w:type="spellStart"/>
            <w:r w:rsidRPr="00293CD1">
              <w:rPr>
                <w:rFonts w:eastAsia="Calibri"/>
                <w:sz w:val="20"/>
                <w:lang w:val="fr-CA"/>
              </w:rPr>
              <w:t>est</w:t>
            </w:r>
            <w:r w:rsidRPr="00293CD1">
              <w:rPr>
                <w:rFonts w:eastAsia="Calibri"/>
                <w:sz w:val="20"/>
                <w:lang w:val="fr-CA"/>
              </w:rPr>
              <w:noBreakHyphen/>
              <w:t>il</w:t>
            </w:r>
            <w:proofErr w:type="spellEnd"/>
            <w:r w:rsidRPr="00293CD1">
              <w:rPr>
                <w:rFonts w:eastAsia="Calibri"/>
                <w:sz w:val="20"/>
                <w:lang w:val="fr-CA"/>
              </w:rPr>
              <w:t xml:space="preserve"> exempté de taxation en vertu de l’al. 87(1)</w:t>
            </w:r>
            <w:r w:rsidRPr="00293CD1">
              <w:rPr>
                <w:rFonts w:eastAsia="Calibri"/>
                <w:i/>
                <w:sz w:val="20"/>
                <w:lang w:val="fr-CA"/>
              </w:rPr>
              <w:t>b</w:t>
            </w:r>
            <w:r w:rsidRPr="00293CD1">
              <w:rPr>
                <w:rFonts w:eastAsia="Calibri"/>
                <w:sz w:val="20"/>
                <w:lang w:val="fr-CA"/>
              </w:rPr>
              <w:t xml:space="preserve">) de la </w:t>
            </w:r>
            <w:r w:rsidRPr="00293CD1">
              <w:rPr>
                <w:rFonts w:eastAsia="Calibri"/>
                <w:i/>
                <w:sz w:val="20"/>
                <w:lang w:val="fr-CA"/>
              </w:rPr>
              <w:t>Loi sur les Indiens</w:t>
            </w:r>
            <w:r w:rsidRPr="00293CD1">
              <w:rPr>
                <w:rFonts w:eastAsia="Calibri"/>
                <w:sz w:val="20"/>
                <w:lang w:val="fr-CA"/>
              </w:rPr>
              <w:t xml:space="preserve"> lorsqu’il est loué en dehors de la réserve, mais que le droit de propriété du demandeur à l’égard du bien est toujours situé sur la réserve?</w:t>
            </w:r>
          </w:p>
        </w:tc>
      </w:tr>
      <w:tr w:rsidR="00740A2E" w:rsidRPr="00251B16" w:rsidTr="002A6864">
        <w:tc>
          <w:tcPr>
            <w:tcW w:w="5000" w:type="pct"/>
            <w:gridSpan w:val="3"/>
          </w:tcPr>
          <w:p w:rsidR="00740A2E" w:rsidRPr="00293CD1" w:rsidRDefault="00740A2E" w:rsidP="002A6864">
            <w:pPr>
              <w:jc w:val="both"/>
              <w:rPr>
                <w:rFonts w:eastAsia="Calibri"/>
                <w:sz w:val="20"/>
                <w:lang w:val="fr-CA"/>
              </w:rPr>
            </w:pPr>
          </w:p>
        </w:tc>
      </w:tr>
      <w:tr w:rsidR="00740A2E" w:rsidRPr="00251B16" w:rsidTr="002A6864">
        <w:tc>
          <w:tcPr>
            <w:tcW w:w="5000" w:type="pct"/>
            <w:gridSpan w:val="3"/>
          </w:tcPr>
          <w:p w:rsidR="00740A2E" w:rsidRPr="00293CD1" w:rsidRDefault="00740A2E" w:rsidP="002A6864">
            <w:pPr>
              <w:jc w:val="both"/>
              <w:rPr>
                <w:rFonts w:eastAsia="Calibri"/>
                <w:sz w:val="20"/>
                <w:lang w:val="fr-CA"/>
              </w:rPr>
            </w:pPr>
            <w:r w:rsidRPr="00293CD1">
              <w:rPr>
                <w:rFonts w:eastAsia="Calibri"/>
                <w:sz w:val="20"/>
                <w:lang w:val="fr-CA"/>
              </w:rPr>
              <w:t xml:space="preserve">Le demandeur, Roger </w:t>
            </w:r>
            <w:proofErr w:type="spellStart"/>
            <w:r w:rsidRPr="00293CD1">
              <w:rPr>
                <w:rFonts w:eastAsia="Calibri"/>
                <w:sz w:val="20"/>
                <w:lang w:val="fr-CA"/>
              </w:rPr>
              <w:t>Obonsawin</w:t>
            </w:r>
            <w:proofErr w:type="spellEnd"/>
            <w:r w:rsidRPr="00293CD1">
              <w:rPr>
                <w:rFonts w:eastAsia="Calibri"/>
                <w:sz w:val="20"/>
                <w:lang w:val="fr-CA"/>
              </w:rPr>
              <w:t xml:space="preserve">, a fait l’objet d’une cotisation en vertu de la </w:t>
            </w:r>
            <w:r w:rsidRPr="00293CD1">
              <w:rPr>
                <w:rFonts w:eastAsia="Calibri"/>
                <w:i/>
                <w:sz w:val="20"/>
                <w:lang w:val="fr-CA"/>
              </w:rPr>
              <w:t>Loi sur la taxe d’accise</w:t>
            </w:r>
            <w:r w:rsidRPr="00293CD1">
              <w:rPr>
                <w:rFonts w:eastAsia="Calibri"/>
                <w:sz w:val="20"/>
                <w:lang w:val="fr-CA"/>
              </w:rPr>
              <w:t xml:space="preserve"> parce qu’il a omis de percevoir et de remettre la TPS due par ses clients relativement aux fournitures qu’il leur a vendues.  M. </w:t>
            </w:r>
            <w:proofErr w:type="spellStart"/>
            <w:r w:rsidRPr="00293CD1">
              <w:rPr>
                <w:rFonts w:eastAsia="Calibri"/>
                <w:sz w:val="20"/>
                <w:lang w:val="fr-CA"/>
              </w:rPr>
              <w:t>Obonsawin</w:t>
            </w:r>
            <w:proofErr w:type="spellEnd"/>
            <w:r w:rsidRPr="00293CD1">
              <w:rPr>
                <w:rFonts w:eastAsia="Calibri"/>
                <w:sz w:val="20"/>
                <w:lang w:val="fr-CA"/>
              </w:rPr>
              <w:t xml:space="preserve"> est un Indien au sens de la </w:t>
            </w:r>
            <w:r w:rsidRPr="00293CD1">
              <w:rPr>
                <w:rFonts w:eastAsia="Calibri"/>
                <w:i/>
                <w:sz w:val="20"/>
                <w:lang w:val="fr-CA"/>
              </w:rPr>
              <w:t>Loi sur les Indiens</w:t>
            </w:r>
            <w:r w:rsidRPr="00293CD1">
              <w:rPr>
                <w:rFonts w:eastAsia="Calibri"/>
                <w:sz w:val="20"/>
                <w:lang w:val="fr-CA"/>
              </w:rPr>
              <w:t xml:space="preserve">.  Il a prétendu que, selon l’art. 87 de la </w:t>
            </w:r>
            <w:r w:rsidRPr="00293CD1">
              <w:rPr>
                <w:rFonts w:eastAsia="Calibri"/>
                <w:i/>
                <w:sz w:val="20"/>
                <w:lang w:val="fr-CA"/>
              </w:rPr>
              <w:t>Loi sur les Indiens</w:t>
            </w:r>
            <w:r w:rsidRPr="00293CD1">
              <w:rPr>
                <w:rFonts w:eastAsia="Calibri"/>
                <w:sz w:val="20"/>
                <w:lang w:val="fr-CA"/>
              </w:rPr>
              <w:t>, il était exonéré de taxation et que les cotisations de TPS dont il avait fait l’objet équivalaient à taxer ses biens situés sur une réserve ou à le taxer personnellement relativement à ses biens.  La Cour canadienne de l’impôt a rejeté les appels.  La Cour d’appel a souscrit à la décision de la Cour de l’impôt et a rejeté l’appel.</w:t>
            </w:r>
          </w:p>
          <w:p w:rsidR="00740A2E" w:rsidRPr="00293CD1" w:rsidRDefault="00740A2E" w:rsidP="002A6864">
            <w:pPr>
              <w:jc w:val="both"/>
              <w:rPr>
                <w:rFonts w:eastAsia="Calibri"/>
                <w:sz w:val="20"/>
                <w:lang w:val="fr-CA"/>
              </w:rPr>
            </w:pPr>
          </w:p>
        </w:tc>
      </w:tr>
      <w:tr w:rsidR="00740A2E" w:rsidRPr="00293CD1" w:rsidTr="002A6864">
        <w:tc>
          <w:tcPr>
            <w:tcW w:w="2427" w:type="pct"/>
          </w:tcPr>
          <w:p w:rsidR="00740A2E" w:rsidRPr="00293CD1" w:rsidRDefault="00740A2E" w:rsidP="002A6864">
            <w:pPr>
              <w:jc w:val="both"/>
              <w:rPr>
                <w:rFonts w:eastAsia="Calibri"/>
                <w:sz w:val="20"/>
                <w:lang w:val="fr-CA"/>
              </w:rPr>
            </w:pPr>
            <w:r w:rsidRPr="00293CD1">
              <w:rPr>
                <w:rFonts w:eastAsia="Calibri"/>
                <w:sz w:val="20"/>
                <w:lang w:val="fr-CA"/>
              </w:rPr>
              <w:t>27 avril 2010</w:t>
            </w:r>
          </w:p>
          <w:p w:rsidR="00740A2E" w:rsidRPr="00293CD1" w:rsidRDefault="00740A2E" w:rsidP="002A6864">
            <w:pPr>
              <w:jc w:val="both"/>
              <w:rPr>
                <w:rFonts w:eastAsia="Calibri"/>
                <w:sz w:val="20"/>
                <w:lang w:val="fr-CA"/>
              </w:rPr>
            </w:pPr>
            <w:r w:rsidRPr="00293CD1">
              <w:rPr>
                <w:rFonts w:eastAsia="Calibri"/>
                <w:sz w:val="20"/>
                <w:lang w:val="fr-CA"/>
              </w:rPr>
              <w:t>Cour canadienne de l’impôt</w:t>
            </w:r>
          </w:p>
          <w:p w:rsidR="00740A2E" w:rsidRPr="00293CD1" w:rsidRDefault="00740A2E" w:rsidP="002A6864">
            <w:pPr>
              <w:jc w:val="both"/>
              <w:rPr>
                <w:rFonts w:eastAsia="Calibri"/>
                <w:sz w:val="20"/>
                <w:lang w:val="fr-CA"/>
              </w:rPr>
            </w:pPr>
            <w:r w:rsidRPr="00293CD1">
              <w:rPr>
                <w:rFonts w:eastAsia="Calibri"/>
                <w:sz w:val="20"/>
                <w:lang w:val="fr-CA"/>
              </w:rPr>
              <w:t>(Juge Webb)</w:t>
            </w:r>
          </w:p>
          <w:p w:rsidR="00740A2E" w:rsidRPr="00293CD1" w:rsidRDefault="00740A2E" w:rsidP="002A6864">
            <w:pPr>
              <w:jc w:val="both"/>
              <w:rPr>
                <w:rFonts w:eastAsia="Calibri"/>
                <w:sz w:val="20"/>
                <w:lang w:val="fr-CA"/>
              </w:rPr>
            </w:pPr>
            <w:r w:rsidRPr="00293CD1">
              <w:rPr>
                <w:rFonts w:eastAsia="Calibri"/>
                <w:sz w:val="20"/>
                <w:lang w:val="fr-CA"/>
              </w:rPr>
              <w:t>2010 CCI 222</w:t>
            </w:r>
          </w:p>
          <w:p w:rsidR="00740A2E" w:rsidRPr="00293CD1" w:rsidRDefault="00740A2E" w:rsidP="002A6864">
            <w:pPr>
              <w:jc w:val="both"/>
              <w:rPr>
                <w:rFonts w:eastAsia="Calibri"/>
                <w:sz w:val="20"/>
                <w:lang w:val="fr-CA"/>
              </w:rPr>
            </w:pPr>
          </w:p>
        </w:tc>
        <w:tc>
          <w:tcPr>
            <w:tcW w:w="243" w:type="pct"/>
          </w:tcPr>
          <w:p w:rsidR="00740A2E" w:rsidRPr="00293CD1" w:rsidRDefault="00740A2E" w:rsidP="002A6864">
            <w:pPr>
              <w:jc w:val="both"/>
              <w:rPr>
                <w:rFonts w:eastAsia="Calibri"/>
                <w:sz w:val="20"/>
                <w:lang w:val="fr-CA"/>
              </w:rPr>
            </w:pPr>
          </w:p>
        </w:tc>
        <w:tc>
          <w:tcPr>
            <w:tcW w:w="2330" w:type="pct"/>
          </w:tcPr>
          <w:p w:rsidR="00740A2E" w:rsidRPr="00293CD1" w:rsidRDefault="00740A2E" w:rsidP="002A6864">
            <w:pPr>
              <w:jc w:val="both"/>
              <w:rPr>
                <w:rFonts w:eastAsia="Calibri"/>
                <w:sz w:val="20"/>
                <w:lang w:val="fr-CA"/>
              </w:rPr>
            </w:pPr>
            <w:r w:rsidRPr="00293CD1">
              <w:rPr>
                <w:rFonts w:eastAsia="Calibri"/>
                <w:sz w:val="20"/>
                <w:lang w:val="fr-CA"/>
              </w:rPr>
              <w:t>Appels rejetés</w:t>
            </w:r>
          </w:p>
          <w:p w:rsidR="00740A2E" w:rsidRPr="00293CD1" w:rsidRDefault="00740A2E" w:rsidP="002A6864">
            <w:pPr>
              <w:jc w:val="both"/>
              <w:rPr>
                <w:rFonts w:eastAsia="Calibri"/>
                <w:sz w:val="20"/>
                <w:lang w:val="fr-CA"/>
              </w:rPr>
            </w:pPr>
          </w:p>
        </w:tc>
      </w:tr>
      <w:tr w:rsidR="00740A2E" w:rsidRPr="00293CD1" w:rsidTr="00740A2E">
        <w:trPr>
          <w:cantSplit/>
        </w:trPr>
        <w:tc>
          <w:tcPr>
            <w:tcW w:w="2427" w:type="pct"/>
          </w:tcPr>
          <w:p w:rsidR="00740A2E" w:rsidRPr="00293CD1" w:rsidRDefault="00740A2E" w:rsidP="002A6864">
            <w:pPr>
              <w:jc w:val="both"/>
              <w:rPr>
                <w:rFonts w:eastAsia="Calibri"/>
                <w:sz w:val="20"/>
                <w:lang w:val="fr-CA"/>
              </w:rPr>
            </w:pPr>
            <w:r w:rsidRPr="00293CD1">
              <w:rPr>
                <w:rFonts w:eastAsia="Calibri"/>
                <w:sz w:val="20"/>
                <w:lang w:val="fr-CA"/>
              </w:rPr>
              <w:t>3 mai 2011</w:t>
            </w:r>
          </w:p>
          <w:p w:rsidR="00740A2E" w:rsidRPr="00293CD1" w:rsidRDefault="00740A2E" w:rsidP="002A6864">
            <w:pPr>
              <w:jc w:val="both"/>
              <w:rPr>
                <w:rFonts w:eastAsia="Calibri"/>
                <w:sz w:val="20"/>
                <w:lang w:val="fr-CA"/>
              </w:rPr>
            </w:pPr>
            <w:r w:rsidRPr="00293CD1">
              <w:rPr>
                <w:rFonts w:eastAsia="Calibri"/>
                <w:sz w:val="20"/>
                <w:lang w:val="fr-CA"/>
              </w:rPr>
              <w:t>Cour d’appel fédérale</w:t>
            </w:r>
          </w:p>
          <w:p w:rsidR="00740A2E" w:rsidRPr="00293CD1" w:rsidRDefault="00740A2E" w:rsidP="002A6864">
            <w:pPr>
              <w:jc w:val="both"/>
              <w:rPr>
                <w:rFonts w:eastAsia="Calibri"/>
                <w:sz w:val="20"/>
                <w:lang w:val="fr-CA"/>
              </w:rPr>
            </w:pPr>
            <w:r w:rsidRPr="00293CD1">
              <w:rPr>
                <w:rFonts w:eastAsia="Calibri"/>
                <w:sz w:val="20"/>
                <w:lang w:val="fr-CA"/>
              </w:rPr>
              <w:t xml:space="preserve">(Juges Blais, </w:t>
            </w:r>
            <w:proofErr w:type="spellStart"/>
            <w:r w:rsidRPr="00293CD1">
              <w:rPr>
                <w:rFonts w:eastAsia="Calibri"/>
                <w:sz w:val="20"/>
                <w:lang w:val="fr-CA"/>
              </w:rPr>
              <w:t>Létourneau</w:t>
            </w:r>
            <w:proofErr w:type="spellEnd"/>
            <w:r w:rsidRPr="00293CD1">
              <w:rPr>
                <w:rFonts w:eastAsia="Calibri"/>
                <w:sz w:val="20"/>
                <w:lang w:val="fr-CA"/>
              </w:rPr>
              <w:t xml:space="preserve"> et </w:t>
            </w:r>
            <w:proofErr w:type="spellStart"/>
            <w:r w:rsidRPr="00293CD1">
              <w:rPr>
                <w:rFonts w:eastAsia="Calibri"/>
                <w:sz w:val="20"/>
                <w:lang w:val="fr-CA"/>
              </w:rPr>
              <w:t>Sexton</w:t>
            </w:r>
            <w:proofErr w:type="spellEnd"/>
            <w:r w:rsidRPr="00293CD1">
              <w:rPr>
                <w:rFonts w:eastAsia="Calibri"/>
                <w:sz w:val="20"/>
                <w:lang w:val="fr-CA"/>
              </w:rPr>
              <w:t>)</w:t>
            </w:r>
          </w:p>
          <w:p w:rsidR="00740A2E" w:rsidRPr="00293CD1" w:rsidRDefault="00740A2E" w:rsidP="002A6864">
            <w:pPr>
              <w:jc w:val="both"/>
              <w:rPr>
                <w:rFonts w:eastAsia="Calibri"/>
                <w:sz w:val="20"/>
                <w:lang w:val="fr-CA"/>
              </w:rPr>
            </w:pPr>
          </w:p>
        </w:tc>
        <w:tc>
          <w:tcPr>
            <w:tcW w:w="243" w:type="pct"/>
          </w:tcPr>
          <w:p w:rsidR="00740A2E" w:rsidRPr="00293CD1" w:rsidRDefault="00740A2E" w:rsidP="002A6864">
            <w:pPr>
              <w:jc w:val="both"/>
              <w:rPr>
                <w:rFonts w:eastAsia="Calibri"/>
                <w:sz w:val="20"/>
                <w:lang w:val="fr-CA"/>
              </w:rPr>
            </w:pPr>
          </w:p>
        </w:tc>
        <w:tc>
          <w:tcPr>
            <w:tcW w:w="2330" w:type="pct"/>
          </w:tcPr>
          <w:p w:rsidR="00740A2E" w:rsidRPr="00293CD1" w:rsidRDefault="00740A2E" w:rsidP="002A6864">
            <w:pPr>
              <w:jc w:val="both"/>
              <w:rPr>
                <w:rFonts w:eastAsia="Calibri"/>
                <w:sz w:val="20"/>
                <w:lang w:val="fr-CA"/>
              </w:rPr>
            </w:pPr>
            <w:r w:rsidRPr="00293CD1">
              <w:rPr>
                <w:rFonts w:eastAsia="Calibri"/>
                <w:sz w:val="20"/>
                <w:lang w:val="fr-CA"/>
              </w:rPr>
              <w:t>Appel rejeté</w:t>
            </w:r>
          </w:p>
          <w:p w:rsidR="00740A2E" w:rsidRPr="00293CD1" w:rsidRDefault="00740A2E" w:rsidP="002A6864">
            <w:pPr>
              <w:jc w:val="both"/>
              <w:rPr>
                <w:rFonts w:eastAsia="Calibri"/>
                <w:sz w:val="20"/>
                <w:lang w:val="fr-CA"/>
              </w:rPr>
            </w:pPr>
          </w:p>
        </w:tc>
      </w:tr>
      <w:tr w:rsidR="00740A2E" w:rsidRPr="00293CD1" w:rsidTr="00740A2E">
        <w:trPr>
          <w:cantSplit/>
        </w:trPr>
        <w:tc>
          <w:tcPr>
            <w:tcW w:w="2427" w:type="pct"/>
          </w:tcPr>
          <w:p w:rsidR="00740A2E" w:rsidRPr="00293CD1" w:rsidRDefault="00740A2E" w:rsidP="002A6864">
            <w:pPr>
              <w:jc w:val="both"/>
              <w:rPr>
                <w:rFonts w:eastAsia="Calibri"/>
                <w:sz w:val="20"/>
                <w:lang w:val="fr-CA"/>
              </w:rPr>
            </w:pPr>
            <w:r w:rsidRPr="00293CD1">
              <w:rPr>
                <w:rFonts w:eastAsia="Calibri"/>
                <w:sz w:val="20"/>
                <w:lang w:val="fr-CA"/>
              </w:rPr>
              <w:t>4 juillet 2011</w:t>
            </w:r>
          </w:p>
          <w:p w:rsidR="00740A2E" w:rsidRPr="00293CD1" w:rsidRDefault="00740A2E" w:rsidP="002A6864">
            <w:pPr>
              <w:jc w:val="both"/>
              <w:rPr>
                <w:rFonts w:eastAsia="Calibri"/>
                <w:sz w:val="20"/>
                <w:lang w:val="fr-CA"/>
              </w:rPr>
            </w:pPr>
            <w:r w:rsidRPr="00293CD1">
              <w:rPr>
                <w:rFonts w:eastAsia="Calibri"/>
                <w:sz w:val="20"/>
                <w:lang w:val="fr-CA"/>
              </w:rPr>
              <w:t>Cour suprême du Canada</w:t>
            </w:r>
          </w:p>
        </w:tc>
        <w:tc>
          <w:tcPr>
            <w:tcW w:w="243" w:type="pct"/>
          </w:tcPr>
          <w:p w:rsidR="00740A2E" w:rsidRPr="00293CD1" w:rsidRDefault="00740A2E" w:rsidP="002A6864">
            <w:pPr>
              <w:jc w:val="both"/>
              <w:rPr>
                <w:rFonts w:eastAsia="Calibri"/>
                <w:sz w:val="20"/>
                <w:lang w:val="fr-CA"/>
              </w:rPr>
            </w:pPr>
          </w:p>
        </w:tc>
        <w:tc>
          <w:tcPr>
            <w:tcW w:w="2330" w:type="pct"/>
          </w:tcPr>
          <w:p w:rsidR="00740A2E" w:rsidRPr="00293CD1" w:rsidRDefault="00740A2E" w:rsidP="002A6864">
            <w:pPr>
              <w:jc w:val="both"/>
              <w:rPr>
                <w:rFonts w:eastAsia="Calibri"/>
                <w:sz w:val="20"/>
                <w:lang w:val="fr-CA"/>
              </w:rPr>
            </w:pPr>
            <w:r w:rsidRPr="00293CD1">
              <w:rPr>
                <w:rFonts w:eastAsia="Calibri"/>
                <w:sz w:val="20"/>
                <w:lang w:val="fr-CA"/>
              </w:rPr>
              <w:t>Demande d’autorisation d’appel, déposée</w:t>
            </w:r>
          </w:p>
          <w:p w:rsidR="00740A2E" w:rsidRPr="00293CD1" w:rsidRDefault="00740A2E" w:rsidP="002A6864">
            <w:pPr>
              <w:jc w:val="both"/>
              <w:rPr>
                <w:rFonts w:eastAsia="Calibri"/>
                <w:sz w:val="20"/>
                <w:lang w:val="fr-CA"/>
              </w:rPr>
            </w:pPr>
          </w:p>
        </w:tc>
      </w:tr>
    </w:tbl>
    <w:p w:rsidR="00F9104A" w:rsidRDefault="00F9104A" w:rsidP="008D292F">
      <w:pPr>
        <w:rPr>
          <w:sz w:val="20"/>
          <w:szCs w:val="20"/>
        </w:rPr>
      </w:pPr>
    </w:p>
    <w:p w:rsidR="00F9104A" w:rsidRDefault="00FD28BB" w:rsidP="008D292F">
      <w:pPr>
        <w:rPr>
          <w:sz w:val="20"/>
          <w:szCs w:val="20"/>
        </w:rPr>
      </w:pPr>
      <w:r w:rsidRPr="00FD28BB">
        <w:rPr>
          <w:sz w:val="20"/>
          <w:szCs w:val="20"/>
          <w:lang w:val="fr-CA"/>
        </w:rPr>
        <w:pict>
          <v:rect id="_x0000_i1044" style="width:2in;height:1pt" o:hrpct="0" o:hralign="center" o:hrstd="t" o:hrnoshade="t" o:hr="t" fillcolor="black [3213]" stroked="f"/>
        </w:pict>
      </w:r>
    </w:p>
    <w:p w:rsidR="00F9104A" w:rsidRDefault="00F9104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40A2E" w:rsidRPr="002B11E5" w:rsidTr="002A6864">
        <w:trPr>
          <w:cantSplit/>
        </w:trPr>
        <w:tc>
          <w:tcPr>
            <w:tcW w:w="1458" w:type="dxa"/>
          </w:tcPr>
          <w:p w:rsidR="00740A2E" w:rsidRPr="002B11E5" w:rsidRDefault="00740A2E" w:rsidP="002A6864">
            <w:pPr>
              <w:rPr>
                <w:sz w:val="20"/>
                <w:szCs w:val="20"/>
              </w:rPr>
            </w:pPr>
            <w:r w:rsidRPr="002B11E5">
              <w:rPr>
                <w:rStyle w:val="SCCFileNumberChar"/>
                <w:sz w:val="20"/>
                <w:szCs w:val="20"/>
              </w:rPr>
              <w:t>34381</w:t>
            </w:r>
          </w:p>
          <w:p w:rsidR="00740A2E" w:rsidRPr="002B11E5" w:rsidRDefault="00740A2E" w:rsidP="002A6864">
            <w:pPr>
              <w:rPr>
                <w:b/>
                <w:sz w:val="20"/>
                <w:szCs w:val="20"/>
                <w:lang w:val="fr-CA"/>
              </w:rPr>
            </w:pPr>
          </w:p>
        </w:tc>
        <w:tc>
          <w:tcPr>
            <w:tcW w:w="8118" w:type="dxa"/>
          </w:tcPr>
          <w:p w:rsidR="00740A2E" w:rsidRPr="002B11E5" w:rsidRDefault="00740A2E" w:rsidP="002A6864">
            <w:pPr>
              <w:rPr>
                <w:sz w:val="20"/>
                <w:szCs w:val="20"/>
              </w:rPr>
            </w:pPr>
            <w:r w:rsidRPr="00740A2E">
              <w:rPr>
                <w:rStyle w:val="SCCLsocChar"/>
                <w:sz w:val="20"/>
                <w:szCs w:val="20"/>
                <w:lang w:val="en-CA"/>
              </w:rPr>
              <w:t xml:space="preserve">Kirk </w:t>
            </w:r>
            <w:proofErr w:type="spellStart"/>
            <w:r w:rsidRPr="00740A2E">
              <w:rPr>
                <w:rStyle w:val="SCCLsocChar"/>
                <w:sz w:val="20"/>
                <w:szCs w:val="20"/>
                <w:lang w:val="en-CA"/>
              </w:rPr>
              <w:t>Klymchuk</w:t>
            </w:r>
            <w:proofErr w:type="spellEnd"/>
            <w:r w:rsidRPr="00740A2E">
              <w:rPr>
                <w:rStyle w:val="SCCLsocChar"/>
                <w:sz w:val="20"/>
                <w:szCs w:val="20"/>
                <w:lang w:val="en-CA"/>
              </w:rPr>
              <w:t xml:space="preserve"> v. Her Majesty the Queen</w:t>
            </w:r>
            <w:r w:rsidRPr="002B11E5">
              <w:rPr>
                <w:sz w:val="20"/>
                <w:szCs w:val="20"/>
              </w:rPr>
              <w:t xml:space="preserve"> (Ont.) (Criminal) (By Leave)</w:t>
            </w:r>
          </w:p>
          <w:p w:rsidR="00740A2E" w:rsidRPr="002B11E5" w:rsidRDefault="00740A2E" w:rsidP="002A6864">
            <w:pPr>
              <w:rPr>
                <w:sz w:val="20"/>
                <w:szCs w:val="20"/>
              </w:rPr>
            </w:pPr>
          </w:p>
        </w:tc>
      </w:tr>
      <w:tr w:rsidR="00740A2E" w:rsidRPr="002B11E5" w:rsidTr="002A6864">
        <w:trPr>
          <w:cantSplit/>
        </w:trPr>
        <w:tc>
          <w:tcPr>
            <w:tcW w:w="1458" w:type="dxa"/>
          </w:tcPr>
          <w:p w:rsidR="00740A2E" w:rsidRPr="002B11E5" w:rsidRDefault="00740A2E" w:rsidP="002A6864">
            <w:pPr>
              <w:rPr>
                <w:sz w:val="20"/>
                <w:szCs w:val="20"/>
              </w:rPr>
            </w:pPr>
            <w:r w:rsidRPr="002B11E5">
              <w:rPr>
                <w:sz w:val="20"/>
                <w:szCs w:val="20"/>
              </w:rPr>
              <w:t>Coram :</w:t>
            </w:r>
          </w:p>
        </w:tc>
        <w:tc>
          <w:tcPr>
            <w:tcW w:w="8118" w:type="dxa"/>
          </w:tcPr>
          <w:p w:rsidR="00740A2E" w:rsidRPr="002B11E5" w:rsidRDefault="00740A2E" w:rsidP="002A6864">
            <w:pPr>
              <w:rPr>
                <w:sz w:val="20"/>
                <w:szCs w:val="20"/>
              </w:rPr>
            </w:pPr>
            <w:proofErr w:type="spellStart"/>
            <w:r w:rsidRPr="00740A2E">
              <w:rPr>
                <w:rStyle w:val="SCCCoramChar"/>
                <w:sz w:val="20"/>
                <w:szCs w:val="20"/>
                <w:lang w:val="en-CA"/>
              </w:rPr>
              <w:t>LeBel</w:t>
            </w:r>
            <w:proofErr w:type="spellEnd"/>
            <w:r w:rsidRPr="00740A2E">
              <w:rPr>
                <w:rStyle w:val="SCCCoramChar"/>
                <w:sz w:val="20"/>
                <w:szCs w:val="20"/>
                <w:lang w:val="en-CA"/>
              </w:rPr>
              <w:t xml:space="preserve">, </w:t>
            </w:r>
            <w:proofErr w:type="spellStart"/>
            <w:r w:rsidRPr="00740A2E">
              <w:rPr>
                <w:rStyle w:val="SCCCoramChar"/>
                <w:sz w:val="20"/>
                <w:szCs w:val="20"/>
                <w:lang w:val="en-CA"/>
              </w:rPr>
              <w:t>Abella</w:t>
            </w:r>
            <w:proofErr w:type="spellEnd"/>
            <w:r w:rsidRPr="00740A2E">
              <w:rPr>
                <w:rStyle w:val="SCCCoramChar"/>
                <w:sz w:val="20"/>
                <w:szCs w:val="20"/>
                <w:lang w:val="en-CA"/>
              </w:rPr>
              <w:t xml:space="preserve"> and Cromwell JJ.</w:t>
            </w:r>
          </w:p>
          <w:p w:rsidR="00740A2E" w:rsidRPr="002B11E5" w:rsidRDefault="00740A2E" w:rsidP="002A6864">
            <w:pPr>
              <w:rPr>
                <w:sz w:val="20"/>
                <w:szCs w:val="20"/>
                <w:u w:val="single"/>
              </w:rPr>
            </w:pPr>
          </w:p>
        </w:tc>
      </w:tr>
      <w:tr w:rsidR="00740A2E" w:rsidRPr="00251B16" w:rsidTr="002A6864">
        <w:trPr>
          <w:cantSplit/>
        </w:trPr>
        <w:tc>
          <w:tcPr>
            <w:tcW w:w="9576" w:type="dxa"/>
            <w:gridSpan w:val="2"/>
          </w:tcPr>
          <w:p w:rsidR="00740A2E" w:rsidRPr="002B11E5" w:rsidRDefault="00740A2E" w:rsidP="002A6864">
            <w:pPr>
              <w:pStyle w:val="SCCShortJudgment"/>
              <w:rPr>
                <w:szCs w:val="20"/>
              </w:rPr>
            </w:pPr>
            <w:r w:rsidRPr="002B11E5">
              <w:rPr>
                <w:szCs w:val="20"/>
              </w:rPr>
              <w:t>The motion for an extension of time to serve and file the application for leave to appeal is granted. The application for leave to appeal from the judgment of the Court of Appeal for Ontario, Number C49193, 2011 ONCA 258, dated March 30, 2011, is dismissed without costs.</w:t>
            </w:r>
          </w:p>
          <w:p w:rsidR="00740A2E" w:rsidRPr="002B11E5" w:rsidRDefault="00740A2E" w:rsidP="002A6864">
            <w:pPr>
              <w:pStyle w:val="SCCShortJudgment"/>
              <w:ind w:firstLine="0"/>
              <w:rPr>
                <w:szCs w:val="20"/>
              </w:rPr>
            </w:pPr>
          </w:p>
          <w:p w:rsidR="00740A2E" w:rsidRPr="002B11E5" w:rsidRDefault="00740A2E" w:rsidP="002A6864">
            <w:pPr>
              <w:pStyle w:val="SCCShortJudgment"/>
              <w:rPr>
                <w:szCs w:val="20"/>
                <w:lang w:val="fr-CA"/>
              </w:rPr>
            </w:pPr>
            <w:r w:rsidRPr="002B11E5">
              <w:rPr>
                <w:szCs w:val="20"/>
                <w:lang w:val="fr-CA"/>
              </w:rPr>
              <w:t>La requête en prorogation du délai de signification et de dépôt de la demande d’autorisation d’appel est accordée. La demande d’autorisation d’appel de l’arrêt de la Cour d’appel de l’Ontario, numéro C49193, 2011 ONCA 258, daté du 30 mars 2011, est rejetée sans dépens.</w:t>
            </w:r>
          </w:p>
        </w:tc>
      </w:tr>
    </w:tbl>
    <w:p w:rsidR="00F9104A" w:rsidRPr="00740A2E" w:rsidRDefault="00F9104A" w:rsidP="00F9104A">
      <w:pPr>
        <w:rPr>
          <w:sz w:val="20"/>
          <w:szCs w:val="20"/>
          <w:lang w:val="fr-CA"/>
        </w:rPr>
      </w:pPr>
    </w:p>
    <w:p w:rsidR="00F9104A" w:rsidRPr="001B157C" w:rsidRDefault="00F9104A" w:rsidP="00F9104A">
      <w:pPr>
        <w:rPr>
          <w:sz w:val="20"/>
          <w:szCs w:val="20"/>
          <w:u w:val="single"/>
        </w:rPr>
      </w:pPr>
      <w:r w:rsidRPr="001B157C">
        <w:rPr>
          <w:sz w:val="20"/>
          <w:szCs w:val="20"/>
          <w:u w:val="single"/>
        </w:rPr>
        <w:t>CASE SUMMARY</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46DD6" w:rsidRPr="00293CD1" w:rsidTr="002A6864">
        <w:tc>
          <w:tcPr>
            <w:tcW w:w="5000" w:type="pct"/>
            <w:gridSpan w:val="3"/>
          </w:tcPr>
          <w:p w:rsidR="00246DD6" w:rsidRPr="00293CD1" w:rsidRDefault="00246DD6" w:rsidP="002A6864">
            <w:pPr>
              <w:jc w:val="both"/>
              <w:rPr>
                <w:rFonts w:eastAsia="Calibri"/>
                <w:sz w:val="20"/>
              </w:rPr>
            </w:pPr>
            <w:r w:rsidRPr="00293CD1">
              <w:rPr>
                <w:rFonts w:eastAsia="Calibri"/>
                <w:sz w:val="20"/>
              </w:rPr>
              <w:t xml:space="preserve">Criminal law – Appeal – Reasonable verdict – Evidence – What is the appropriate approach when assessing unreasonable verdict claims on appeal – What role should the fairness of an </w:t>
            </w:r>
            <w:proofErr w:type="spellStart"/>
            <w:r w:rsidRPr="00293CD1">
              <w:rPr>
                <w:rFonts w:eastAsia="Calibri"/>
                <w:sz w:val="20"/>
              </w:rPr>
              <w:t>accused’s</w:t>
            </w:r>
            <w:proofErr w:type="spellEnd"/>
            <w:r w:rsidRPr="00293CD1">
              <w:rPr>
                <w:rFonts w:eastAsia="Calibri"/>
                <w:sz w:val="20"/>
              </w:rPr>
              <w:t xml:space="preserve"> trial play in an appellate court’s evaluation of the reasonableness of the verdict on appeal – Whether the Court of Appeal erred in refusing to appoint counsel on appeal to review the confidential material – What is the proper basis for ordering production under the innocence at stake exception to informer privilege – Whether there are issues of public importance raised.</w:t>
            </w:r>
          </w:p>
        </w:tc>
      </w:tr>
      <w:tr w:rsidR="00246DD6" w:rsidRPr="00293CD1" w:rsidTr="002A6864">
        <w:tc>
          <w:tcPr>
            <w:tcW w:w="5000" w:type="pct"/>
            <w:gridSpan w:val="3"/>
          </w:tcPr>
          <w:p w:rsidR="00246DD6" w:rsidRPr="00293CD1" w:rsidRDefault="00246DD6" w:rsidP="002A6864">
            <w:pPr>
              <w:jc w:val="both"/>
              <w:rPr>
                <w:rFonts w:eastAsia="Calibri"/>
                <w:sz w:val="20"/>
              </w:rPr>
            </w:pPr>
          </w:p>
        </w:tc>
      </w:tr>
      <w:tr w:rsidR="00246DD6" w:rsidRPr="00293CD1" w:rsidTr="002A6864">
        <w:tc>
          <w:tcPr>
            <w:tcW w:w="5000" w:type="pct"/>
            <w:gridSpan w:val="3"/>
          </w:tcPr>
          <w:p w:rsidR="00246DD6" w:rsidRPr="00293CD1" w:rsidRDefault="00246DD6" w:rsidP="002A6864">
            <w:pPr>
              <w:jc w:val="both"/>
              <w:rPr>
                <w:rFonts w:eastAsia="Calibri"/>
                <w:sz w:val="20"/>
              </w:rPr>
            </w:pPr>
            <w:r w:rsidRPr="00293CD1">
              <w:rPr>
                <w:rFonts w:eastAsia="Calibri"/>
                <w:sz w:val="20"/>
              </w:rPr>
              <w:t xml:space="preserve">Maria </w:t>
            </w:r>
            <w:proofErr w:type="spellStart"/>
            <w:r w:rsidRPr="00293CD1">
              <w:rPr>
                <w:rFonts w:eastAsia="Calibri"/>
                <w:sz w:val="20"/>
              </w:rPr>
              <w:t>Klymchuk</w:t>
            </w:r>
            <w:proofErr w:type="spellEnd"/>
            <w:r w:rsidRPr="00293CD1">
              <w:rPr>
                <w:rFonts w:eastAsia="Calibri"/>
                <w:sz w:val="20"/>
              </w:rPr>
              <w:t xml:space="preserve"> was murdered in the drive shed just outside her home on April 12, 1998. The murder took place between 9:00 and 11:00 p.m. She was attacked with an axe which was found on the floor of the shed near her body. At about 11 p.m. the applicant, her husband, telephoned 911 and reported that he had found his wife unconscious with a severe head injury. He was directed to perform CPR. It was the Crown’s theory that the victim was murdered by the applicant and that he staged the scene to make it look like there had been a break and enter, so that he could clear the way for a life with his new girlfriend. Counsel for the applicant argued that it was an unknown intruder who committed the murder, having broken into the drive shed through a window to steal a snow blower. The trial judge ruled on the pre-trial motion that the innocence at stake exception was not met on the facts of this case and the identity of the informant remains protected by privilege. After a trial by judge and jury, the applicant was convicted of second degree murder. The appeal was dismissed.</w:t>
            </w:r>
          </w:p>
          <w:p w:rsidR="00246DD6" w:rsidRPr="00293CD1" w:rsidRDefault="00246DD6" w:rsidP="002A6864">
            <w:pPr>
              <w:jc w:val="both"/>
              <w:rPr>
                <w:rFonts w:eastAsia="Calibri"/>
                <w:sz w:val="20"/>
              </w:rPr>
            </w:pPr>
          </w:p>
        </w:tc>
      </w:tr>
      <w:tr w:rsidR="00246DD6" w:rsidRPr="00293CD1" w:rsidTr="002A6864">
        <w:tc>
          <w:tcPr>
            <w:tcW w:w="2427" w:type="pct"/>
          </w:tcPr>
          <w:p w:rsidR="00246DD6" w:rsidRPr="00293CD1" w:rsidRDefault="00246DD6" w:rsidP="002A6864">
            <w:pPr>
              <w:jc w:val="both"/>
              <w:rPr>
                <w:rFonts w:eastAsia="Calibri"/>
                <w:sz w:val="20"/>
              </w:rPr>
            </w:pPr>
            <w:r w:rsidRPr="00293CD1">
              <w:rPr>
                <w:rFonts w:eastAsia="Calibri"/>
                <w:sz w:val="20"/>
              </w:rPr>
              <w:t>May 16, 2008</w:t>
            </w:r>
          </w:p>
          <w:p w:rsidR="00246DD6" w:rsidRPr="00293CD1" w:rsidRDefault="00246DD6" w:rsidP="002A6864">
            <w:pPr>
              <w:jc w:val="both"/>
              <w:rPr>
                <w:rFonts w:eastAsia="Calibri"/>
                <w:sz w:val="20"/>
              </w:rPr>
            </w:pPr>
            <w:r w:rsidRPr="00293CD1">
              <w:rPr>
                <w:rFonts w:eastAsia="Calibri"/>
                <w:sz w:val="20"/>
              </w:rPr>
              <w:t>Ontario Superior Court of Justice</w:t>
            </w:r>
          </w:p>
          <w:p w:rsidR="00246DD6" w:rsidRPr="00293CD1" w:rsidRDefault="00246DD6" w:rsidP="002A6864">
            <w:pPr>
              <w:jc w:val="both"/>
              <w:rPr>
                <w:rFonts w:eastAsia="Calibri"/>
                <w:sz w:val="20"/>
              </w:rPr>
            </w:pPr>
            <w:r w:rsidRPr="00293CD1">
              <w:rPr>
                <w:rFonts w:eastAsia="Calibri"/>
                <w:sz w:val="20"/>
              </w:rPr>
              <w:t>(Dawson J.)</w:t>
            </w:r>
          </w:p>
          <w:p w:rsidR="00246DD6" w:rsidRPr="00293CD1" w:rsidRDefault="00246DD6" w:rsidP="002A6864">
            <w:pPr>
              <w:jc w:val="both"/>
              <w:rPr>
                <w:rFonts w:eastAsia="Calibri"/>
                <w:sz w:val="20"/>
              </w:rPr>
            </w:pPr>
          </w:p>
        </w:tc>
        <w:tc>
          <w:tcPr>
            <w:tcW w:w="243" w:type="pct"/>
          </w:tcPr>
          <w:p w:rsidR="00246DD6" w:rsidRPr="00293CD1" w:rsidRDefault="00246DD6" w:rsidP="002A6864">
            <w:pPr>
              <w:jc w:val="both"/>
              <w:rPr>
                <w:rFonts w:eastAsia="Calibri"/>
                <w:sz w:val="20"/>
              </w:rPr>
            </w:pPr>
          </w:p>
        </w:tc>
        <w:tc>
          <w:tcPr>
            <w:tcW w:w="2330" w:type="pct"/>
          </w:tcPr>
          <w:p w:rsidR="00246DD6" w:rsidRPr="00293CD1" w:rsidRDefault="00246DD6" w:rsidP="002A6864">
            <w:pPr>
              <w:jc w:val="both"/>
              <w:rPr>
                <w:rFonts w:eastAsia="Calibri"/>
                <w:sz w:val="20"/>
              </w:rPr>
            </w:pPr>
            <w:r w:rsidRPr="00293CD1">
              <w:rPr>
                <w:rFonts w:eastAsia="Calibri"/>
                <w:sz w:val="20"/>
              </w:rPr>
              <w:t>Conviction for second degree murder</w:t>
            </w:r>
          </w:p>
          <w:p w:rsidR="00246DD6" w:rsidRPr="00293CD1" w:rsidRDefault="00246DD6" w:rsidP="002A6864">
            <w:pPr>
              <w:jc w:val="both"/>
              <w:rPr>
                <w:rFonts w:eastAsia="Calibri"/>
                <w:sz w:val="20"/>
              </w:rPr>
            </w:pPr>
          </w:p>
        </w:tc>
      </w:tr>
      <w:tr w:rsidR="00246DD6" w:rsidRPr="00293CD1" w:rsidTr="002A6864">
        <w:tc>
          <w:tcPr>
            <w:tcW w:w="2427" w:type="pct"/>
          </w:tcPr>
          <w:p w:rsidR="00246DD6" w:rsidRPr="00293CD1" w:rsidRDefault="00246DD6" w:rsidP="002A6864">
            <w:pPr>
              <w:jc w:val="both"/>
              <w:rPr>
                <w:rFonts w:eastAsia="Calibri"/>
                <w:sz w:val="20"/>
              </w:rPr>
            </w:pPr>
            <w:r w:rsidRPr="00293CD1">
              <w:rPr>
                <w:rFonts w:eastAsia="Calibri"/>
                <w:sz w:val="20"/>
              </w:rPr>
              <w:t>May 30, 2008</w:t>
            </w:r>
          </w:p>
          <w:p w:rsidR="00246DD6" w:rsidRPr="00293CD1" w:rsidRDefault="00246DD6" w:rsidP="002A6864">
            <w:pPr>
              <w:jc w:val="both"/>
              <w:rPr>
                <w:rFonts w:eastAsia="Calibri"/>
                <w:sz w:val="20"/>
              </w:rPr>
            </w:pPr>
            <w:r w:rsidRPr="00293CD1">
              <w:rPr>
                <w:rFonts w:eastAsia="Calibri"/>
                <w:sz w:val="20"/>
              </w:rPr>
              <w:t>Ontario Superior Court of Justice</w:t>
            </w:r>
          </w:p>
          <w:p w:rsidR="00246DD6" w:rsidRPr="00293CD1" w:rsidRDefault="00246DD6" w:rsidP="002A6864">
            <w:pPr>
              <w:jc w:val="both"/>
              <w:rPr>
                <w:rFonts w:eastAsia="Calibri"/>
                <w:sz w:val="20"/>
              </w:rPr>
            </w:pPr>
            <w:r w:rsidRPr="00293CD1">
              <w:rPr>
                <w:rFonts w:eastAsia="Calibri"/>
                <w:sz w:val="20"/>
              </w:rPr>
              <w:t>(Dawson J.)</w:t>
            </w:r>
          </w:p>
          <w:p w:rsidR="00246DD6" w:rsidRPr="00293CD1" w:rsidRDefault="00246DD6" w:rsidP="002A6864">
            <w:pPr>
              <w:jc w:val="both"/>
              <w:rPr>
                <w:rFonts w:eastAsia="Calibri"/>
                <w:sz w:val="20"/>
              </w:rPr>
            </w:pPr>
          </w:p>
        </w:tc>
        <w:tc>
          <w:tcPr>
            <w:tcW w:w="243" w:type="pct"/>
          </w:tcPr>
          <w:p w:rsidR="00246DD6" w:rsidRPr="00293CD1" w:rsidRDefault="00246DD6" w:rsidP="002A6864">
            <w:pPr>
              <w:jc w:val="both"/>
              <w:rPr>
                <w:rFonts w:eastAsia="Calibri"/>
                <w:sz w:val="20"/>
              </w:rPr>
            </w:pPr>
          </w:p>
        </w:tc>
        <w:tc>
          <w:tcPr>
            <w:tcW w:w="2330" w:type="pct"/>
          </w:tcPr>
          <w:p w:rsidR="00246DD6" w:rsidRPr="00293CD1" w:rsidRDefault="00246DD6" w:rsidP="002A6864">
            <w:pPr>
              <w:jc w:val="both"/>
              <w:rPr>
                <w:rFonts w:eastAsia="Calibri"/>
                <w:sz w:val="20"/>
              </w:rPr>
            </w:pPr>
            <w:r w:rsidRPr="00293CD1">
              <w:rPr>
                <w:rFonts w:eastAsia="Calibri"/>
                <w:sz w:val="20"/>
              </w:rPr>
              <w:t>Sentence of life imprisonment with parole ineligibility fixed at 13 years</w:t>
            </w:r>
          </w:p>
          <w:p w:rsidR="00246DD6" w:rsidRPr="00293CD1" w:rsidRDefault="00246DD6" w:rsidP="002A6864">
            <w:pPr>
              <w:jc w:val="both"/>
              <w:rPr>
                <w:rFonts w:eastAsia="Calibri"/>
                <w:sz w:val="20"/>
              </w:rPr>
            </w:pPr>
          </w:p>
          <w:p w:rsidR="00246DD6" w:rsidRPr="00293CD1" w:rsidRDefault="00246DD6" w:rsidP="002A6864">
            <w:pPr>
              <w:jc w:val="both"/>
              <w:rPr>
                <w:rFonts w:eastAsia="Calibri"/>
                <w:sz w:val="20"/>
              </w:rPr>
            </w:pPr>
          </w:p>
        </w:tc>
      </w:tr>
      <w:tr w:rsidR="00246DD6" w:rsidRPr="00293CD1" w:rsidTr="00246DD6">
        <w:trPr>
          <w:cantSplit/>
        </w:trPr>
        <w:tc>
          <w:tcPr>
            <w:tcW w:w="2427" w:type="pct"/>
          </w:tcPr>
          <w:p w:rsidR="00246DD6" w:rsidRPr="00293CD1" w:rsidRDefault="00246DD6" w:rsidP="002A6864">
            <w:pPr>
              <w:jc w:val="both"/>
              <w:rPr>
                <w:rFonts w:eastAsia="Calibri"/>
                <w:sz w:val="20"/>
              </w:rPr>
            </w:pPr>
            <w:r w:rsidRPr="00293CD1">
              <w:rPr>
                <w:rFonts w:eastAsia="Calibri"/>
                <w:sz w:val="20"/>
              </w:rPr>
              <w:t>March 30, 2011</w:t>
            </w:r>
          </w:p>
          <w:p w:rsidR="00246DD6" w:rsidRPr="00293CD1" w:rsidRDefault="00246DD6" w:rsidP="002A6864">
            <w:pPr>
              <w:jc w:val="both"/>
              <w:rPr>
                <w:rFonts w:eastAsia="Calibri"/>
                <w:sz w:val="20"/>
              </w:rPr>
            </w:pPr>
            <w:r w:rsidRPr="00293CD1">
              <w:rPr>
                <w:rFonts w:eastAsia="Calibri"/>
                <w:sz w:val="20"/>
              </w:rPr>
              <w:t>Court of Appeal for Ontario</w:t>
            </w:r>
          </w:p>
          <w:p w:rsidR="00246DD6" w:rsidRPr="00293CD1" w:rsidRDefault="00246DD6" w:rsidP="002A6864">
            <w:pPr>
              <w:jc w:val="both"/>
              <w:rPr>
                <w:rFonts w:eastAsia="Calibri"/>
                <w:sz w:val="20"/>
                <w:lang w:val="fr-CA"/>
              </w:rPr>
            </w:pPr>
            <w:r w:rsidRPr="00293CD1">
              <w:rPr>
                <w:rFonts w:eastAsia="Calibri"/>
                <w:sz w:val="20"/>
                <w:lang w:val="fr-CA"/>
              </w:rPr>
              <w:t>(</w:t>
            </w:r>
            <w:proofErr w:type="spellStart"/>
            <w:r w:rsidRPr="00293CD1">
              <w:rPr>
                <w:rFonts w:eastAsia="Calibri"/>
                <w:sz w:val="20"/>
                <w:lang w:val="fr-CA"/>
              </w:rPr>
              <w:t>Moldaver</w:t>
            </w:r>
            <w:proofErr w:type="spellEnd"/>
            <w:r w:rsidRPr="00293CD1">
              <w:rPr>
                <w:rFonts w:eastAsia="Calibri"/>
                <w:sz w:val="20"/>
                <w:lang w:val="fr-CA"/>
              </w:rPr>
              <w:t xml:space="preserve">, </w:t>
            </w:r>
            <w:proofErr w:type="spellStart"/>
            <w:r w:rsidRPr="00293CD1">
              <w:rPr>
                <w:rFonts w:eastAsia="Calibri"/>
                <w:sz w:val="20"/>
                <w:lang w:val="fr-CA"/>
              </w:rPr>
              <w:t>Gillese</w:t>
            </w:r>
            <w:proofErr w:type="spellEnd"/>
            <w:r w:rsidRPr="00293CD1">
              <w:rPr>
                <w:rFonts w:eastAsia="Calibri"/>
                <w:sz w:val="20"/>
                <w:lang w:val="fr-CA"/>
              </w:rPr>
              <w:t>, Lang JJ.A.)</w:t>
            </w:r>
          </w:p>
          <w:p w:rsidR="00246DD6" w:rsidRPr="00293CD1" w:rsidRDefault="00246DD6" w:rsidP="002A6864">
            <w:pPr>
              <w:jc w:val="both"/>
              <w:rPr>
                <w:rFonts w:eastAsia="Calibri"/>
                <w:sz w:val="20"/>
              </w:rPr>
            </w:pPr>
            <w:r w:rsidRPr="00293CD1">
              <w:rPr>
                <w:rFonts w:eastAsia="Calibri"/>
                <w:sz w:val="20"/>
              </w:rPr>
              <w:t>2011 ONCA 258</w:t>
            </w:r>
          </w:p>
          <w:p w:rsidR="00246DD6" w:rsidRPr="00293CD1" w:rsidRDefault="00246DD6" w:rsidP="002A6864">
            <w:pPr>
              <w:jc w:val="both"/>
              <w:rPr>
                <w:rFonts w:eastAsia="Calibri"/>
                <w:sz w:val="20"/>
              </w:rPr>
            </w:pPr>
          </w:p>
        </w:tc>
        <w:tc>
          <w:tcPr>
            <w:tcW w:w="243" w:type="pct"/>
          </w:tcPr>
          <w:p w:rsidR="00246DD6" w:rsidRPr="00293CD1" w:rsidRDefault="00246DD6" w:rsidP="002A6864">
            <w:pPr>
              <w:jc w:val="both"/>
              <w:rPr>
                <w:rFonts w:eastAsia="Calibri"/>
                <w:sz w:val="20"/>
              </w:rPr>
            </w:pPr>
          </w:p>
        </w:tc>
        <w:tc>
          <w:tcPr>
            <w:tcW w:w="2330" w:type="pct"/>
          </w:tcPr>
          <w:p w:rsidR="00246DD6" w:rsidRPr="00293CD1" w:rsidRDefault="00246DD6" w:rsidP="002A6864">
            <w:pPr>
              <w:jc w:val="both"/>
              <w:rPr>
                <w:rFonts w:eastAsia="Calibri"/>
                <w:sz w:val="20"/>
              </w:rPr>
            </w:pPr>
            <w:r w:rsidRPr="00293CD1">
              <w:rPr>
                <w:rFonts w:eastAsia="Calibri"/>
                <w:sz w:val="20"/>
              </w:rPr>
              <w:t>Appeal dismissed</w:t>
            </w:r>
          </w:p>
          <w:p w:rsidR="00246DD6" w:rsidRPr="00293CD1" w:rsidRDefault="00246DD6" w:rsidP="002A6864">
            <w:pPr>
              <w:jc w:val="both"/>
              <w:rPr>
                <w:rFonts w:eastAsia="Calibri"/>
                <w:sz w:val="20"/>
              </w:rPr>
            </w:pPr>
          </w:p>
        </w:tc>
      </w:tr>
      <w:tr w:rsidR="00246DD6" w:rsidRPr="00293CD1" w:rsidTr="00246DD6">
        <w:trPr>
          <w:cantSplit/>
        </w:trPr>
        <w:tc>
          <w:tcPr>
            <w:tcW w:w="2427" w:type="pct"/>
          </w:tcPr>
          <w:p w:rsidR="00246DD6" w:rsidRPr="00293CD1" w:rsidRDefault="00246DD6" w:rsidP="002A6864">
            <w:pPr>
              <w:jc w:val="both"/>
              <w:rPr>
                <w:rFonts w:eastAsia="Calibri"/>
                <w:sz w:val="20"/>
              </w:rPr>
            </w:pPr>
            <w:r w:rsidRPr="00293CD1">
              <w:rPr>
                <w:rFonts w:eastAsia="Calibri"/>
                <w:sz w:val="20"/>
              </w:rPr>
              <w:t>August 11, 2011</w:t>
            </w:r>
          </w:p>
          <w:p w:rsidR="00246DD6" w:rsidRPr="00293CD1" w:rsidRDefault="00246DD6" w:rsidP="002A6864">
            <w:pPr>
              <w:jc w:val="both"/>
              <w:rPr>
                <w:rFonts w:eastAsia="Calibri"/>
                <w:sz w:val="20"/>
              </w:rPr>
            </w:pPr>
            <w:r w:rsidRPr="00293CD1">
              <w:rPr>
                <w:rFonts w:eastAsia="Calibri"/>
                <w:sz w:val="20"/>
              </w:rPr>
              <w:t>Supreme Court of Canada</w:t>
            </w:r>
          </w:p>
          <w:p w:rsidR="00246DD6" w:rsidRPr="00293CD1" w:rsidRDefault="00246DD6" w:rsidP="002A6864">
            <w:pPr>
              <w:jc w:val="both"/>
              <w:rPr>
                <w:rFonts w:eastAsia="Calibri"/>
                <w:sz w:val="20"/>
              </w:rPr>
            </w:pPr>
          </w:p>
        </w:tc>
        <w:tc>
          <w:tcPr>
            <w:tcW w:w="243" w:type="pct"/>
          </w:tcPr>
          <w:p w:rsidR="00246DD6" w:rsidRPr="00293CD1" w:rsidRDefault="00246DD6" w:rsidP="002A6864">
            <w:pPr>
              <w:jc w:val="both"/>
              <w:rPr>
                <w:rFonts w:eastAsia="Calibri"/>
                <w:sz w:val="20"/>
              </w:rPr>
            </w:pPr>
          </w:p>
        </w:tc>
        <w:tc>
          <w:tcPr>
            <w:tcW w:w="2330" w:type="pct"/>
          </w:tcPr>
          <w:p w:rsidR="00246DD6" w:rsidRPr="00293CD1" w:rsidRDefault="00246DD6" w:rsidP="002A6864">
            <w:pPr>
              <w:jc w:val="both"/>
              <w:rPr>
                <w:rFonts w:eastAsia="Calibri"/>
                <w:sz w:val="20"/>
              </w:rPr>
            </w:pPr>
            <w:r w:rsidRPr="00293CD1">
              <w:rPr>
                <w:rFonts w:eastAsia="Calibri"/>
                <w:sz w:val="20"/>
              </w:rPr>
              <w:t>Motion for an extension of time to serve and file the application for leave to appeal and application for leave to appeal filed</w:t>
            </w: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45" style="width:2in;height:1pt" o:hrpct="0" o:hralign="center" o:hrstd="t" o:hrnoshade="t" o:hr="t" fillcolor="black [3213]" stroked="f"/>
        </w:pict>
      </w:r>
    </w:p>
    <w:p w:rsidR="00F9104A" w:rsidRDefault="00F9104A" w:rsidP="00F9104A">
      <w:pPr>
        <w:rPr>
          <w:sz w:val="20"/>
          <w:szCs w:val="20"/>
        </w:rPr>
      </w:pPr>
    </w:p>
    <w:p w:rsidR="00F9104A" w:rsidRPr="001B157C" w:rsidRDefault="00F9104A" w:rsidP="00F9104A">
      <w:pPr>
        <w:rPr>
          <w:sz w:val="20"/>
          <w:szCs w:val="20"/>
          <w:u w:val="single"/>
          <w:lang w:val="fr-CA"/>
        </w:rPr>
      </w:pPr>
      <w:r w:rsidRPr="001B157C">
        <w:rPr>
          <w:sz w:val="20"/>
          <w:szCs w:val="20"/>
          <w:u w:val="single"/>
          <w:lang w:val="fr-CA"/>
        </w:rPr>
        <w:t>RÉSUMÉ DE L’AFFAIRE</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46DD6" w:rsidRPr="00251B16" w:rsidTr="002A6864">
        <w:tc>
          <w:tcPr>
            <w:tcW w:w="5000" w:type="pct"/>
            <w:gridSpan w:val="3"/>
          </w:tcPr>
          <w:p w:rsidR="00246DD6" w:rsidRPr="00293CD1" w:rsidRDefault="00246DD6" w:rsidP="002A6864">
            <w:pPr>
              <w:jc w:val="both"/>
              <w:rPr>
                <w:rFonts w:eastAsia="Calibri"/>
                <w:sz w:val="20"/>
                <w:lang w:val="fr-FR"/>
              </w:rPr>
            </w:pPr>
            <w:r w:rsidRPr="00293CD1">
              <w:rPr>
                <w:rFonts w:eastAsia="Calibri"/>
                <w:sz w:val="20"/>
                <w:lang w:val="fr-FR"/>
              </w:rPr>
              <w:t>Droit criminel – Appel – Verdict raisonnable – Preuve – Quelle est la bonne approche pour juger du bien fondé de prétentions selon lesquelles le verdict dont il est fait appel  est déraisonnable ? – Quel rôle l’équité d’un procès devrait-il joué dans l’évaluation par une cour d’appel du caractère raisonnable du verdict dont il est fait appel ? – La Cour d’appel a-t-elle commis une erreur en refusant de nommer un avocat en appel afin qu’il examine l’information confidentielle ? – Quand est-il bien fondé d’ordonner la production d’éléments de preuve en application de l’exception au privilège de l’indicateur relative à la démonstration de l’innocence de l’accusé ?  – L’affaire soulève-t-elle des questions d’importance pour le public ?</w:t>
            </w:r>
          </w:p>
        </w:tc>
      </w:tr>
      <w:tr w:rsidR="00246DD6" w:rsidRPr="00251B16" w:rsidTr="002A6864">
        <w:tc>
          <w:tcPr>
            <w:tcW w:w="5000" w:type="pct"/>
            <w:gridSpan w:val="3"/>
          </w:tcPr>
          <w:p w:rsidR="00246DD6" w:rsidRPr="00293CD1" w:rsidRDefault="00246DD6" w:rsidP="002A6864">
            <w:pPr>
              <w:jc w:val="both"/>
              <w:rPr>
                <w:rFonts w:eastAsia="Calibri"/>
                <w:sz w:val="20"/>
                <w:lang w:val="fr-FR"/>
              </w:rPr>
            </w:pPr>
          </w:p>
        </w:tc>
      </w:tr>
      <w:tr w:rsidR="00246DD6" w:rsidRPr="00293CD1" w:rsidTr="002A6864">
        <w:tc>
          <w:tcPr>
            <w:tcW w:w="5000" w:type="pct"/>
            <w:gridSpan w:val="3"/>
          </w:tcPr>
          <w:p w:rsidR="00246DD6" w:rsidRPr="00293CD1" w:rsidRDefault="00246DD6" w:rsidP="002A6864">
            <w:pPr>
              <w:jc w:val="both"/>
              <w:rPr>
                <w:rFonts w:eastAsia="Calibri"/>
                <w:sz w:val="20"/>
                <w:lang w:val="fr-FR"/>
              </w:rPr>
            </w:pPr>
            <w:r w:rsidRPr="00293CD1">
              <w:rPr>
                <w:rFonts w:eastAsia="Calibri"/>
                <w:sz w:val="20"/>
                <w:lang w:val="fr-FR"/>
              </w:rPr>
              <w:t xml:space="preserve">Maria </w:t>
            </w:r>
            <w:proofErr w:type="spellStart"/>
            <w:r w:rsidRPr="00293CD1">
              <w:rPr>
                <w:rFonts w:eastAsia="Calibri"/>
                <w:sz w:val="20"/>
                <w:lang w:val="fr-FR"/>
              </w:rPr>
              <w:t>Klymchuk</w:t>
            </w:r>
            <w:proofErr w:type="spellEnd"/>
            <w:r w:rsidRPr="00293CD1">
              <w:rPr>
                <w:rFonts w:eastAsia="Calibri"/>
                <w:sz w:val="20"/>
                <w:lang w:val="fr-FR"/>
              </w:rPr>
              <w:t xml:space="preserve"> a été tué le 12 avril 1998, dans l’abri à voiture situé juste à côté de sa maison.  Le meurtre a été commis entre 21 h et 23 h.  Elle a été attaquée avec une hache trouvée au sol dans l’abri, près de son corps.  Vers 23 h, le demandeur, son mari, a téléphoné au 911 et a rapporté avoir trouvé son épouse inconsciente et atteinte d’une blessure grave à la tête.  On lui a demandé de procéder à des manœuvres de réanimation cardiorespiratoire.  Selon la thèse du ministère public, le demandeur a tué la victime et, ensuite, arrangé la scène de sorte qu’elle donne l’impression qu’il y avait eu introduction par effraction, le tout, afin d’avoir le champ libre pour vivre sa relation avec sa nouvelle petite amie.  L’avocat du demandeur a plaidé que le meurtre avait été le fait d’un intrus inconnu qui s’était introduit dans l’abri à voiture par une fenêtre afin d’y voler une souffleuse à neige.  Dans le cadre de la motion préalable au procès, le juge a statué que les faits de la cause n’autorisaient pas l’application de l'exception relative à la  démonstration de l'innocence de l'accusé et que l’identité de l’indicateur restait protégée par le privilège qui s’applique à lui.  Au terme d’un procès devant un juge et un jury, le demandeur a été déclaré coupable de meurtre au deuxième degré.  L’appel a été rejeté. </w:t>
            </w:r>
          </w:p>
          <w:p w:rsidR="00246DD6" w:rsidRPr="00293CD1" w:rsidRDefault="00246DD6" w:rsidP="002A6864">
            <w:pPr>
              <w:jc w:val="both"/>
              <w:rPr>
                <w:rFonts w:eastAsia="Calibri"/>
                <w:sz w:val="20"/>
                <w:lang w:val="fr-FR"/>
              </w:rPr>
            </w:pPr>
          </w:p>
        </w:tc>
      </w:tr>
      <w:tr w:rsidR="00246DD6" w:rsidRPr="00251B16" w:rsidTr="002A6864">
        <w:tc>
          <w:tcPr>
            <w:tcW w:w="2427" w:type="pct"/>
          </w:tcPr>
          <w:p w:rsidR="00246DD6" w:rsidRPr="00293CD1" w:rsidRDefault="00246DD6" w:rsidP="002A6864">
            <w:pPr>
              <w:jc w:val="both"/>
              <w:rPr>
                <w:rFonts w:eastAsia="Calibri"/>
                <w:sz w:val="20"/>
                <w:lang w:val="fr-FR"/>
              </w:rPr>
            </w:pPr>
            <w:r w:rsidRPr="00293CD1">
              <w:rPr>
                <w:rFonts w:eastAsia="Calibri"/>
                <w:sz w:val="20"/>
                <w:lang w:val="fr-FR"/>
              </w:rPr>
              <w:t>16 mai 2008</w:t>
            </w:r>
          </w:p>
          <w:p w:rsidR="00246DD6" w:rsidRPr="00293CD1" w:rsidRDefault="00246DD6" w:rsidP="002A6864">
            <w:pPr>
              <w:jc w:val="both"/>
              <w:rPr>
                <w:rFonts w:eastAsia="Calibri"/>
                <w:sz w:val="20"/>
                <w:lang w:val="fr-FR"/>
              </w:rPr>
            </w:pPr>
            <w:r w:rsidRPr="00293CD1">
              <w:rPr>
                <w:rFonts w:eastAsia="Calibri"/>
                <w:sz w:val="20"/>
                <w:lang w:val="fr-FR"/>
              </w:rPr>
              <w:t xml:space="preserve">Cour supérieure de justice de l’Ontario </w:t>
            </w:r>
          </w:p>
          <w:p w:rsidR="00246DD6" w:rsidRPr="00293CD1" w:rsidRDefault="00246DD6" w:rsidP="002A6864">
            <w:pPr>
              <w:jc w:val="both"/>
              <w:rPr>
                <w:rFonts w:eastAsia="Calibri"/>
                <w:sz w:val="20"/>
              </w:rPr>
            </w:pPr>
            <w:r w:rsidRPr="00293CD1">
              <w:rPr>
                <w:rFonts w:eastAsia="Calibri"/>
                <w:sz w:val="20"/>
              </w:rPr>
              <w:t>(</w:t>
            </w:r>
            <w:proofErr w:type="spellStart"/>
            <w:r w:rsidRPr="00293CD1">
              <w:rPr>
                <w:rFonts w:eastAsia="Calibri"/>
                <w:sz w:val="20"/>
              </w:rPr>
              <w:t>Juge</w:t>
            </w:r>
            <w:proofErr w:type="spellEnd"/>
            <w:r w:rsidRPr="00293CD1">
              <w:rPr>
                <w:rFonts w:eastAsia="Calibri"/>
                <w:sz w:val="20"/>
              </w:rPr>
              <w:t xml:space="preserve"> Dawson)</w:t>
            </w:r>
          </w:p>
          <w:p w:rsidR="00246DD6" w:rsidRPr="00293CD1" w:rsidRDefault="00246DD6" w:rsidP="002A6864">
            <w:pPr>
              <w:jc w:val="both"/>
              <w:rPr>
                <w:rFonts w:eastAsia="Calibri"/>
                <w:sz w:val="20"/>
              </w:rPr>
            </w:pPr>
          </w:p>
        </w:tc>
        <w:tc>
          <w:tcPr>
            <w:tcW w:w="243" w:type="pct"/>
          </w:tcPr>
          <w:p w:rsidR="00246DD6" w:rsidRPr="00293CD1" w:rsidRDefault="00246DD6" w:rsidP="002A6864">
            <w:pPr>
              <w:jc w:val="both"/>
              <w:rPr>
                <w:rFonts w:eastAsia="Calibri"/>
                <w:sz w:val="20"/>
              </w:rPr>
            </w:pPr>
          </w:p>
        </w:tc>
        <w:tc>
          <w:tcPr>
            <w:tcW w:w="2330" w:type="pct"/>
          </w:tcPr>
          <w:p w:rsidR="00246DD6" w:rsidRPr="00293CD1" w:rsidRDefault="00246DD6" w:rsidP="002A6864">
            <w:pPr>
              <w:jc w:val="both"/>
              <w:rPr>
                <w:rFonts w:eastAsia="Calibri"/>
                <w:sz w:val="20"/>
                <w:lang w:val="fr-FR"/>
              </w:rPr>
            </w:pPr>
            <w:r w:rsidRPr="00293CD1">
              <w:rPr>
                <w:rFonts w:eastAsia="Calibri"/>
                <w:sz w:val="20"/>
                <w:lang w:val="fr-FR"/>
              </w:rPr>
              <w:t>Déclaration de culpabilité pour meurtre au deuxième degré</w:t>
            </w:r>
          </w:p>
        </w:tc>
      </w:tr>
      <w:tr w:rsidR="00246DD6" w:rsidRPr="00251B16" w:rsidTr="002A6864">
        <w:tc>
          <w:tcPr>
            <w:tcW w:w="2427" w:type="pct"/>
          </w:tcPr>
          <w:p w:rsidR="00246DD6" w:rsidRPr="00293CD1" w:rsidRDefault="00246DD6" w:rsidP="002A6864">
            <w:pPr>
              <w:jc w:val="both"/>
              <w:rPr>
                <w:rFonts w:eastAsia="Calibri"/>
                <w:sz w:val="20"/>
                <w:lang w:val="fr-FR"/>
              </w:rPr>
            </w:pPr>
            <w:r w:rsidRPr="00293CD1">
              <w:rPr>
                <w:rFonts w:eastAsia="Calibri"/>
                <w:sz w:val="20"/>
                <w:lang w:val="fr-FR"/>
              </w:rPr>
              <w:t>30 mai 2008</w:t>
            </w:r>
          </w:p>
          <w:p w:rsidR="00246DD6" w:rsidRPr="00293CD1" w:rsidRDefault="00246DD6" w:rsidP="002A6864">
            <w:pPr>
              <w:jc w:val="both"/>
              <w:rPr>
                <w:rFonts w:eastAsia="Calibri"/>
                <w:sz w:val="20"/>
                <w:lang w:val="fr-FR"/>
              </w:rPr>
            </w:pPr>
            <w:r w:rsidRPr="00293CD1">
              <w:rPr>
                <w:rFonts w:eastAsia="Calibri"/>
                <w:sz w:val="20"/>
                <w:lang w:val="fr-FR"/>
              </w:rPr>
              <w:t xml:space="preserve">Cour supérieure de justice de l’Ontario </w:t>
            </w:r>
          </w:p>
          <w:p w:rsidR="00246DD6" w:rsidRPr="00293CD1" w:rsidRDefault="00246DD6" w:rsidP="002A6864">
            <w:pPr>
              <w:jc w:val="both"/>
              <w:rPr>
                <w:rFonts w:eastAsia="Calibri"/>
                <w:sz w:val="20"/>
              </w:rPr>
            </w:pPr>
            <w:r w:rsidRPr="00293CD1">
              <w:rPr>
                <w:rFonts w:eastAsia="Calibri"/>
                <w:sz w:val="20"/>
              </w:rPr>
              <w:t>(</w:t>
            </w:r>
            <w:proofErr w:type="spellStart"/>
            <w:r w:rsidRPr="00293CD1">
              <w:rPr>
                <w:rFonts w:eastAsia="Calibri"/>
                <w:sz w:val="20"/>
              </w:rPr>
              <w:t>Juge</w:t>
            </w:r>
            <w:proofErr w:type="spellEnd"/>
            <w:r w:rsidRPr="00293CD1">
              <w:rPr>
                <w:rFonts w:eastAsia="Calibri"/>
                <w:sz w:val="20"/>
              </w:rPr>
              <w:t xml:space="preserve"> Dawson)</w:t>
            </w:r>
          </w:p>
          <w:p w:rsidR="00246DD6" w:rsidRPr="00293CD1" w:rsidRDefault="00246DD6" w:rsidP="002A6864">
            <w:pPr>
              <w:jc w:val="both"/>
              <w:rPr>
                <w:rFonts w:eastAsia="Calibri"/>
                <w:sz w:val="20"/>
              </w:rPr>
            </w:pPr>
          </w:p>
        </w:tc>
        <w:tc>
          <w:tcPr>
            <w:tcW w:w="243" w:type="pct"/>
          </w:tcPr>
          <w:p w:rsidR="00246DD6" w:rsidRPr="00293CD1" w:rsidRDefault="00246DD6" w:rsidP="002A6864">
            <w:pPr>
              <w:jc w:val="both"/>
              <w:rPr>
                <w:rFonts w:eastAsia="Calibri"/>
                <w:sz w:val="20"/>
              </w:rPr>
            </w:pPr>
          </w:p>
        </w:tc>
        <w:tc>
          <w:tcPr>
            <w:tcW w:w="2330" w:type="pct"/>
          </w:tcPr>
          <w:p w:rsidR="00246DD6" w:rsidRPr="00293CD1" w:rsidRDefault="00246DD6" w:rsidP="002A6864">
            <w:pPr>
              <w:jc w:val="both"/>
              <w:rPr>
                <w:rFonts w:eastAsia="Calibri"/>
                <w:sz w:val="20"/>
                <w:lang w:val="fr-FR"/>
              </w:rPr>
            </w:pPr>
            <w:r w:rsidRPr="00293CD1">
              <w:rPr>
                <w:rFonts w:eastAsia="Calibri"/>
                <w:sz w:val="20"/>
                <w:lang w:val="fr-FR"/>
              </w:rPr>
              <w:t>Peine d’emprisonnement à vie sans possibilité de libération conditionnelle avant 13 ans</w:t>
            </w:r>
          </w:p>
          <w:p w:rsidR="00246DD6" w:rsidRPr="00293CD1" w:rsidRDefault="00246DD6" w:rsidP="002A6864">
            <w:pPr>
              <w:jc w:val="both"/>
              <w:rPr>
                <w:rFonts w:eastAsia="Calibri"/>
                <w:sz w:val="20"/>
                <w:lang w:val="fr-FR"/>
              </w:rPr>
            </w:pPr>
          </w:p>
          <w:p w:rsidR="00246DD6" w:rsidRPr="00293CD1" w:rsidRDefault="00246DD6" w:rsidP="002A6864">
            <w:pPr>
              <w:jc w:val="both"/>
              <w:rPr>
                <w:rFonts w:eastAsia="Calibri"/>
                <w:sz w:val="20"/>
                <w:lang w:val="fr-FR"/>
              </w:rPr>
            </w:pPr>
          </w:p>
        </w:tc>
      </w:tr>
      <w:tr w:rsidR="00246DD6" w:rsidRPr="00293CD1" w:rsidTr="002A6864">
        <w:tc>
          <w:tcPr>
            <w:tcW w:w="2427" w:type="pct"/>
          </w:tcPr>
          <w:p w:rsidR="00246DD6" w:rsidRPr="00293CD1" w:rsidRDefault="00246DD6" w:rsidP="002A6864">
            <w:pPr>
              <w:jc w:val="both"/>
              <w:rPr>
                <w:rFonts w:eastAsia="Calibri"/>
                <w:sz w:val="20"/>
                <w:lang w:val="fr-FR"/>
              </w:rPr>
            </w:pPr>
            <w:r w:rsidRPr="00293CD1">
              <w:rPr>
                <w:rFonts w:eastAsia="Calibri"/>
                <w:sz w:val="20"/>
                <w:lang w:val="fr-FR"/>
              </w:rPr>
              <w:t>30 mars 2011</w:t>
            </w:r>
          </w:p>
          <w:p w:rsidR="00246DD6" w:rsidRPr="00293CD1" w:rsidRDefault="00246DD6" w:rsidP="002A6864">
            <w:pPr>
              <w:jc w:val="both"/>
              <w:rPr>
                <w:rFonts w:eastAsia="Calibri"/>
                <w:sz w:val="20"/>
                <w:lang w:val="fr-FR"/>
              </w:rPr>
            </w:pPr>
            <w:r w:rsidRPr="00293CD1">
              <w:rPr>
                <w:rFonts w:eastAsia="Calibri"/>
                <w:sz w:val="20"/>
                <w:lang w:val="fr-FR"/>
              </w:rPr>
              <w:t>Cour d’appel de l’Ontario</w:t>
            </w:r>
          </w:p>
          <w:p w:rsidR="00246DD6" w:rsidRPr="00293CD1" w:rsidRDefault="00246DD6" w:rsidP="002A6864">
            <w:pPr>
              <w:jc w:val="both"/>
              <w:rPr>
                <w:rFonts w:eastAsia="Calibri"/>
                <w:sz w:val="20"/>
                <w:lang w:val="fr-CA"/>
              </w:rPr>
            </w:pPr>
            <w:r w:rsidRPr="00293CD1">
              <w:rPr>
                <w:rFonts w:eastAsia="Calibri"/>
                <w:sz w:val="20"/>
                <w:lang w:val="fr-CA"/>
              </w:rPr>
              <w:t xml:space="preserve">(Juges </w:t>
            </w:r>
            <w:proofErr w:type="spellStart"/>
            <w:r w:rsidRPr="00293CD1">
              <w:rPr>
                <w:rFonts w:eastAsia="Calibri"/>
                <w:sz w:val="20"/>
                <w:lang w:val="fr-CA"/>
              </w:rPr>
              <w:t>Moldaver</w:t>
            </w:r>
            <w:proofErr w:type="spellEnd"/>
            <w:r w:rsidRPr="00293CD1">
              <w:rPr>
                <w:rFonts w:eastAsia="Calibri"/>
                <w:sz w:val="20"/>
                <w:lang w:val="fr-CA"/>
              </w:rPr>
              <w:t xml:space="preserve">, </w:t>
            </w:r>
            <w:proofErr w:type="spellStart"/>
            <w:r w:rsidRPr="00293CD1">
              <w:rPr>
                <w:rFonts w:eastAsia="Calibri"/>
                <w:sz w:val="20"/>
                <w:lang w:val="fr-CA"/>
              </w:rPr>
              <w:t>Gillese</w:t>
            </w:r>
            <w:proofErr w:type="spellEnd"/>
            <w:r w:rsidRPr="00293CD1">
              <w:rPr>
                <w:rFonts w:eastAsia="Calibri"/>
                <w:sz w:val="20"/>
                <w:lang w:val="fr-CA"/>
              </w:rPr>
              <w:t>, Lang)</w:t>
            </w:r>
          </w:p>
          <w:p w:rsidR="00246DD6" w:rsidRPr="00293CD1" w:rsidRDefault="00246DD6" w:rsidP="00246DD6">
            <w:pPr>
              <w:jc w:val="both"/>
              <w:rPr>
                <w:rFonts w:eastAsia="Calibri"/>
                <w:sz w:val="20"/>
              </w:rPr>
            </w:pPr>
            <w:r w:rsidRPr="00293CD1">
              <w:rPr>
                <w:rFonts w:eastAsia="Calibri"/>
                <w:sz w:val="20"/>
              </w:rPr>
              <w:t>2011 ONCA 258</w:t>
            </w:r>
          </w:p>
        </w:tc>
        <w:tc>
          <w:tcPr>
            <w:tcW w:w="243" w:type="pct"/>
          </w:tcPr>
          <w:p w:rsidR="00246DD6" w:rsidRPr="00293CD1" w:rsidRDefault="00246DD6" w:rsidP="002A6864">
            <w:pPr>
              <w:jc w:val="both"/>
              <w:rPr>
                <w:rFonts w:eastAsia="Calibri"/>
                <w:sz w:val="20"/>
              </w:rPr>
            </w:pPr>
          </w:p>
        </w:tc>
        <w:tc>
          <w:tcPr>
            <w:tcW w:w="2330" w:type="pct"/>
          </w:tcPr>
          <w:p w:rsidR="00246DD6" w:rsidRPr="00293CD1" w:rsidRDefault="00246DD6" w:rsidP="002A6864">
            <w:pPr>
              <w:jc w:val="both"/>
              <w:rPr>
                <w:rFonts w:eastAsia="Calibri"/>
                <w:sz w:val="20"/>
              </w:rPr>
            </w:pPr>
            <w:proofErr w:type="spellStart"/>
            <w:r w:rsidRPr="00293CD1">
              <w:rPr>
                <w:rFonts w:eastAsia="Calibri"/>
                <w:sz w:val="20"/>
              </w:rPr>
              <w:t>Appel</w:t>
            </w:r>
            <w:proofErr w:type="spellEnd"/>
            <w:r w:rsidRPr="00293CD1">
              <w:rPr>
                <w:rFonts w:eastAsia="Calibri"/>
                <w:sz w:val="20"/>
              </w:rPr>
              <w:t xml:space="preserve"> </w:t>
            </w:r>
            <w:proofErr w:type="spellStart"/>
            <w:r w:rsidRPr="00293CD1">
              <w:rPr>
                <w:rFonts w:eastAsia="Calibri"/>
                <w:sz w:val="20"/>
              </w:rPr>
              <w:t>rejeté</w:t>
            </w:r>
            <w:proofErr w:type="spellEnd"/>
          </w:p>
          <w:p w:rsidR="00246DD6" w:rsidRPr="00293CD1" w:rsidRDefault="00246DD6" w:rsidP="002A6864">
            <w:pPr>
              <w:jc w:val="both"/>
              <w:rPr>
                <w:rFonts w:eastAsia="Calibri"/>
                <w:sz w:val="20"/>
              </w:rPr>
            </w:pPr>
          </w:p>
        </w:tc>
      </w:tr>
    </w:tbl>
    <w:p w:rsidR="00246DD6" w:rsidRDefault="00246DD6"/>
    <w:p w:rsidR="00246DD6" w:rsidRDefault="00246DD6">
      <w:r>
        <w:br w:type="page"/>
      </w:r>
    </w:p>
    <w:tbl>
      <w:tblPr>
        <w:tblW w:w="4952" w:type="pct"/>
        <w:tblLayout w:type="fixed"/>
        <w:tblCellMar>
          <w:left w:w="0" w:type="dxa"/>
          <w:bottom w:w="99" w:type="dxa"/>
          <w:right w:w="0" w:type="dxa"/>
        </w:tblCellMar>
        <w:tblLook w:val="04A0"/>
      </w:tblPr>
      <w:tblGrid>
        <w:gridCol w:w="4624"/>
        <w:gridCol w:w="463"/>
        <w:gridCol w:w="4440"/>
      </w:tblGrid>
      <w:tr w:rsidR="00246DD6" w:rsidRPr="00251B16" w:rsidTr="00246DD6">
        <w:trPr>
          <w:cantSplit/>
        </w:trPr>
        <w:tc>
          <w:tcPr>
            <w:tcW w:w="2427" w:type="pct"/>
          </w:tcPr>
          <w:p w:rsidR="00246DD6" w:rsidRPr="00246DD6" w:rsidRDefault="00246DD6" w:rsidP="002A6864">
            <w:pPr>
              <w:jc w:val="both"/>
              <w:rPr>
                <w:rFonts w:eastAsia="Calibri"/>
                <w:sz w:val="20"/>
                <w:lang w:val="fr-CA"/>
              </w:rPr>
            </w:pPr>
            <w:r w:rsidRPr="00246DD6">
              <w:rPr>
                <w:rFonts w:eastAsia="Calibri"/>
                <w:sz w:val="20"/>
                <w:lang w:val="fr-CA"/>
              </w:rPr>
              <w:t>11 août 2011</w:t>
            </w:r>
          </w:p>
          <w:p w:rsidR="00246DD6" w:rsidRPr="00246DD6" w:rsidRDefault="00246DD6" w:rsidP="002A6864">
            <w:pPr>
              <w:jc w:val="both"/>
              <w:rPr>
                <w:rFonts w:eastAsia="Calibri"/>
                <w:sz w:val="20"/>
                <w:lang w:val="fr-CA"/>
              </w:rPr>
            </w:pPr>
            <w:r w:rsidRPr="00246DD6">
              <w:rPr>
                <w:rFonts w:eastAsia="Calibri"/>
                <w:sz w:val="20"/>
                <w:lang w:val="fr-CA"/>
              </w:rPr>
              <w:t>Cour suprême du Canada</w:t>
            </w:r>
          </w:p>
          <w:p w:rsidR="00246DD6" w:rsidRPr="00246DD6" w:rsidRDefault="00246DD6" w:rsidP="002A6864">
            <w:pPr>
              <w:jc w:val="both"/>
              <w:rPr>
                <w:rFonts w:eastAsia="Calibri"/>
                <w:sz w:val="20"/>
                <w:lang w:val="fr-CA"/>
              </w:rPr>
            </w:pPr>
          </w:p>
        </w:tc>
        <w:tc>
          <w:tcPr>
            <w:tcW w:w="243" w:type="pct"/>
          </w:tcPr>
          <w:p w:rsidR="00246DD6" w:rsidRPr="00246DD6" w:rsidRDefault="00246DD6" w:rsidP="002A6864">
            <w:pPr>
              <w:jc w:val="both"/>
              <w:rPr>
                <w:rFonts w:eastAsia="Calibri"/>
                <w:sz w:val="20"/>
                <w:lang w:val="fr-CA"/>
              </w:rPr>
            </w:pPr>
          </w:p>
        </w:tc>
        <w:tc>
          <w:tcPr>
            <w:tcW w:w="2330" w:type="pct"/>
          </w:tcPr>
          <w:p w:rsidR="00246DD6" w:rsidRPr="00293CD1" w:rsidRDefault="00246DD6" w:rsidP="002A6864">
            <w:pPr>
              <w:jc w:val="both"/>
              <w:rPr>
                <w:rFonts w:eastAsia="Calibri"/>
                <w:sz w:val="20"/>
                <w:lang w:val="fr-FR"/>
              </w:rPr>
            </w:pPr>
            <w:r w:rsidRPr="00293CD1">
              <w:rPr>
                <w:rFonts w:eastAsia="Calibri"/>
                <w:sz w:val="20"/>
                <w:lang w:val="fr-FR"/>
              </w:rPr>
              <w:t xml:space="preserve">Requête en prorogation du délai pour signifier et déposer la demande d’autorisation d’appel et demande d’autorisation </w:t>
            </w:r>
            <w:proofErr w:type="gramStart"/>
            <w:r w:rsidRPr="00293CD1">
              <w:rPr>
                <w:rFonts w:eastAsia="Calibri"/>
                <w:sz w:val="20"/>
                <w:lang w:val="fr-FR"/>
              </w:rPr>
              <w:t>d’appel déposées</w:t>
            </w:r>
            <w:proofErr w:type="gramEnd"/>
            <w:r w:rsidRPr="00293CD1">
              <w:rPr>
                <w:rFonts w:eastAsia="Calibri"/>
                <w:sz w:val="20"/>
                <w:lang w:val="fr-FR"/>
              </w:rPr>
              <w:t xml:space="preserve"> </w:t>
            </w:r>
          </w:p>
        </w:tc>
      </w:tr>
    </w:tbl>
    <w:p w:rsidR="00F9104A" w:rsidRPr="00246DD6" w:rsidRDefault="00F9104A" w:rsidP="00F9104A">
      <w:pPr>
        <w:rPr>
          <w:sz w:val="20"/>
          <w:szCs w:val="20"/>
          <w:lang w:val="fr-CA"/>
        </w:rPr>
      </w:pPr>
    </w:p>
    <w:p w:rsidR="00F9104A" w:rsidRDefault="00FD28BB" w:rsidP="00F9104A">
      <w:pPr>
        <w:rPr>
          <w:sz w:val="20"/>
          <w:szCs w:val="20"/>
        </w:rPr>
      </w:pPr>
      <w:r w:rsidRPr="00FD28BB">
        <w:rPr>
          <w:sz w:val="20"/>
          <w:szCs w:val="20"/>
          <w:lang w:val="fr-CA"/>
        </w:rPr>
        <w:pict>
          <v:rect id="_x0000_i1046" style="width:2in;height:1pt" o:hrpct="0" o:hralign="center" o:hrstd="t" o:hrnoshade="t" o:hr="t" fillcolor="black [3213]" stroked="f"/>
        </w:pict>
      </w:r>
    </w:p>
    <w:p w:rsidR="00F9104A" w:rsidRDefault="00F9104A" w:rsidP="00F9104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6DD6" w:rsidRPr="002B11E5" w:rsidTr="002A6864">
        <w:trPr>
          <w:cantSplit/>
        </w:trPr>
        <w:tc>
          <w:tcPr>
            <w:tcW w:w="1458" w:type="dxa"/>
          </w:tcPr>
          <w:p w:rsidR="00246DD6" w:rsidRPr="002B11E5" w:rsidRDefault="00246DD6" w:rsidP="002A6864">
            <w:pPr>
              <w:rPr>
                <w:sz w:val="20"/>
                <w:szCs w:val="20"/>
              </w:rPr>
            </w:pPr>
            <w:r w:rsidRPr="002B11E5">
              <w:rPr>
                <w:rStyle w:val="SCCFileNumberChar"/>
                <w:sz w:val="20"/>
                <w:szCs w:val="20"/>
              </w:rPr>
              <w:t>34419</w:t>
            </w:r>
          </w:p>
          <w:p w:rsidR="00246DD6" w:rsidRPr="002B11E5" w:rsidRDefault="00246DD6" w:rsidP="002A6864">
            <w:pPr>
              <w:rPr>
                <w:b/>
                <w:sz w:val="20"/>
                <w:szCs w:val="20"/>
                <w:lang w:val="fr-CA"/>
              </w:rPr>
            </w:pPr>
          </w:p>
        </w:tc>
        <w:tc>
          <w:tcPr>
            <w:tcW w:w="8118" w:type="dxa"/>
          </w:tcPr>
          <w:p w:rsidR="00246DD6" w:rsidRPr="002B11E5" w:rsidRDefault="00246DD6" w:rsidP="00246DD6">
            <w:pPr>
              <w:jc w:val="both"/>
              <w:rPr>
                <w:sz w:val="20"/>
                <w:szCs w:val="20"/>
              </w:rPr>
            </w:pPr>
            <w:proofErr w:type="spellStart"/>
            <w:r w:rsidRPr="00246DD6">
              <w:rPr>
                <w:rStyle w:val="SCCLsocChar"/>
                <w:sz w:val="20"/>
                <w:szCs w:val="20"/>
                <w:lang w:val="en-CA"/>
              </w:rPr>
              <w:t>Heli</w:t>
            </w:r>
            <w:proofErr w:type="spellEnd"/>
            <w:r w:rsidRPr="00246DD6">
              <w:rPr>
                <w:rStyle w:val="SCCLsocChar"/>
                <w:sz w:val="20"/>
                <w:szCs w:val="20"/>
                <w:lang w:val="en-CA"/>
              </w:rPr>
              <w:t xml:space="preserve"> Tech Services (Canada) Ltd., </w:t>
            </w:r>
            <w:proofErr w:type="spellStart"/>
            <w:r w:rsidRPr="00246DD6">
              <w:rPr>
                <w:rStyle w:val="SCCLsocChar"/>
                <w:sz w:val="20"/>
                <w:szCs w:val="20"/>
                <w:lang w:val="en-CA"/>
              </w:rPr>
              <w:t>Corporacion</w:t>
            </w:r>
            <w:proofErr w:type="spellEnd"/>
            <w:r w:rsidRPr="00246DD6">
              <w:rPr>
                <w:rStyle w:val="SCCLsocChar"/>
                <w:sz w:val="20"/>
                <w:szCs w:val="20"/>
                <w:lang w:val="en-CA"/>
              </w:rPr>
              <w:t xml:space="preserve"> La </w:t>
            </w:r>
            <w:proofErr w:type="spellStart"/>
            <w:r w:rsidRPr="00246DD6">
              <w:rPr>
                <w:rStyle w:val="SCCLsocChar"/>
                <w:sz w:val="20"/>
                <w:szCs w:val="20"/>
                <w:lang w:val="en-CA"/>
              </w:rPr>
              <w:t>Campana</w:t>
            </w:r>
            <w:proofErr w:type="spellEnd"/>
            <w:r w:rsidRPr="00246DD6">
              <w:rPr>
                <w:rStyle w:val="SCCLsocChar"/>
                <w:sz w:val="20"/>
                <w:szCs w:val="20"/>
                <w:lang w:val="en-CA"/>
              </w:rPr>
              <w:t xml:space="preserve"> de la Villa S.A and Philip </w:t>
            </w:r>
            <w:proofErr w:type="spellStart"/>
            <w:r w:rsidRPr="00246DD6">
              <w:rPr>
                <w:rStyle w:val="SCCLsocChar"/>
                <w:sz w:val="20"/>
                <w:szCs w:val="20"/>
                <w:lang w:val="en-CA"/>
              </w:rPr>
              <w:t>Jarman</w:t>
            </w:r>
            <w:proofErr w:type="spellEnd"/>
            <w:r w:rsidRPr="00246DD6">
              <w:rPr>
                <w:rStyle w:val="SCCLsocChar"/>
                <w:sz w:val="20"/>
                <w:szCs w:val="20"/>
                <w:lang w:val="en-CA"/>
              </w:rPr>
              <w:t xml:space="preserve"> v. Weyerhaeuser Company Limited/</w:t>
            </w:r>
            <w:proofErr w:type="spellStart"/>
            <w:r w:rsidRPr="00246DD6">
              <w:rPr>
                <w:rStyle w:val="SCCLsocChar"/>
                <w:sz w:val="20"/>
                <w:szCs w:val="20"/>
                <w:lang w:val="en-CA"/>
              </w:rPr>
              <w:t>Compagnie</w:t>
            </w:r>
            <w:proofErr w:type="spellEnd"/>
            <w:r w:rsidRPr="00246DD6">
              <w:rPr>
                <w:rStyle w:val="SCCLsocChar"/>
                <w:sz w:val="20"/>
                <w:szCs w:val="20"/>
                <w:lang w:val="en-CA"/>
              </w:rPr>
              <w:t xml:space="preserve"> Weyerhaeuser </w:t>
            </w:r>
            <w:proofErr w:type="spellStart"/>
            <w:r w:rsidRPr="00246DD6">
              <w:rPr>
                <w:rStyle w:val="SCCLsocChar"/>
                <w:sz w:val="20"/>
                <w:szCs w:val="20"/>
                <w:lang w:val="en-CA"/>
              </w:rPr>
              <w:t>Limitée</w:t>
            </w:r>
            <w:proofErr w:type="spellEnd"/>
            <w:r w:rsidRPr="00246DD6">
              <w:rPr>
                <w:rStyle w:val="SCCLsocChar"/>
                <w:sz w:val="20"/>
                <w:szCs w:val="20"/>
                <w:lang w:val="en-CA"/>
              </w:rPr>
              <w:t xml:space="preserve">, doing business as </w:t>
            </w:r>
            <w:proofErr w:type="spellStart"/>
            <w:r w:rsidRPr="00246DD6">
              <w:rPr>
                <w:rStyle w:val="SCCLsocChar"/>
                <w:sz w:val="20"/>
                <w:szCs w:val="20"/>
                <w:lang w:val="en-CA"/>
              </w:rPr>
              <w:t>Cascadia</w:t>
            </w:r>
            <w:proofErr w:type="spellEnd"/>
            <w:r w:rsidRPr="00246DD6">
              <w:rPr>
                <w:rStyle w:val="SCCLsocChar"/>
                <w:sz w:val="20"/>
                <w:szCs w:val="20"/>
                <w:lang w:val="en-CA"/>
              </w:rPr>
              <w:t xml:space="preserve"> Forest Products, and doing business as Island Timberlands and </w:t>
            </w:r>
            <w:proofErr w:type="spellStart"/>
            <w:r w:rsidRPr="00246DD6">
              <w:rPr>
                <w:rStyle w:val="SCCLsocChar"/>
                <w:sz w:val="20"/>
                <w:szCs w:val="20"/>
                <w:lang w:val="en-CA"/>
              </w:rPr>
              <w:t>Cascadia</w:t>
            </w:r>
            <w:proofErr w:type="spellEnd"/>
            <w:r w:rsidRPr="00246DD6">
              <w:rPr>
                <w:rStyle w:val="SCCLsocChar"/>
                <w:sz w:val="20"/>
                <w:szCs w:val="20"/>
                <w:lang w:val="en-CA"/>
              </w:rPr>
              <w:t xml:space="preserve"> Forest Products Ltd., Island Timberlands GP Ltd., </w:t>
            </w:r>
            <w:proofErr w:type="spellStart"/>
            <w:r w:rsidRPr="00246DD6">
              <w:rPr>
                <w:rStyle w:val="SCCLsocChar"/>
                <w:sz w:val="20"/>
                <w:szCs w:val="20"/>
                <w:lang w:val="en-CA"/>
              </w:rPr>
              <w:t>TimberWest</w:t>
            </w:r>
            <w:proofErr w:type="spellEnd"/>
            <w:r w:rsidRPr="00246DD6">
              <w:rPr>
                <w:rStyle w:val="SCCLsocChar"/>
                <w:sz w:val="20"/>
                <w:szCs w:val="20"/>
                <w:lang w:val="en-CA"/>
              </w:rPr>
              <w:t xml:space="preserve"> Forest Corp., Brascan Timberlands Management GP Inc., 550777 B.C. Ltd., operating as "R.E.M" Contracting", Canadian Air-</w:t>
            </w:r>
            <w:r w:rsidR="009416BC">
              <w:rPr>
                <w:rStyle w:val="SCCLsocChar"/>
                <w:sz w:val="20"/>
                <w:szCs w:val="20"/>
                <w:lang w:val="en-CA"/>
              </w:rPr>
              <w:t>Crane Limited, VIH Logging Ltd. and</w:t>
            </w:r>
            <w:r w:rsidRPr="00246DD6">
              <w:rPr>
                <w:rStyle w:val="SCCLsocChar"/>
                <w:sz w:val="20"/>
                <w:szCs w:val="20"/>
                <w:lang w:val="en-CA"/>
              </w:rPr>
              <w:t xml:space="preserve"> International Forest Products Limited</w:t>
            </w:r>
            <w:r w:rsidRPr="002B11E5">
              <w:rPr>
                <w:sz w:val="20"/>
                <w:szCs w:val="20"/>
              </w:rPr>
              <w:t xml:space="preserve"> (F.C.) (Civil) (By Leave)</w:t>
            </w:r>
          </w:p>
          <w:p w:rsidR="00246DD6" w:rsidRPr="002B11E5" w:rsidRDefault="00246DD6" w:rsidP="002A6864">
            <w:pPr>
              <w:rPr>
                <w:sz w:val="20"/>
                <w:szCs w:val="20"/>
              </w:rPr>
            </w:pPr>
          </w:p>
        </w:tc>
      </w:tr>
      <w:tr w:rsidR="00246DD6" w:rsidRPr="002B11E5" w:rsidTr="002A6864">
        <w:trPr>
          <w:cantSplit/>
        </w:trPr>
        <w:tc>
          <w:tcPr>
            <w:tcW w:w="1458" w:type="dxa"/>
          </w:tcPr>
          <w:p w:rsidR="00246DD6" w:rsidRPr="002B11E5" w:rsidRDefault="00246DD6" w:rsidP="002A6864">
            <w:pPr>
              <w:rPr>
                <w:sz w:val="20"/>
                <w:szCs w:val="20"/>
              </w:rPr>
            </w:pPr>
            <w:r w:rsidRPr="002B11E5">
              <w:rPr>
                <w:sz w:val="20"/>
                <w:szCs w:val="20"/>
              </w:rPr>
              <w:t>Coram :</w:t>
            </w:r>
          </w:p>
        </w:tc>
        <w:tc>
          <w:tcPr>
            <w:tcW w:w="8118" w:type="dxa"/>
          </w:tcPr>
          <w:p w:rsidR="00246DD6" w:rsidRPr="002B11E5" w:rsidRDefault="00246DD6" w:rsidP="002A6864">
            <w:pPr>
              <w:rPr>
                <w:sz w:val="20"/>
                <w:szCs w:val="20"/>
              </w:rPr>
            </w:pPr>
            <w:proofErr w:type="spellStart"/>
            <w:r w:rsidRPr="00246DD6">
              <w:rPr>
                <w:rStyle w:val="SCCCoramChar"/>
                <w:sz w:val="20"/>
                <w:szCs w:val="20"/>
                <w:lang w:val="en-CA"/>
              </w:rPr>
              <w:t>LeBel</w:t>
            </w:r>
            <w:proofErr w:type="spellEnd"/>
            <w:r w:rsidRPr="00246DD6">
              <w:rPr>
                <w:rStyle w:val="SCCCoramChar"/>
                <w:sz w:val="20"/>
                <w:szCs w:val="20"/>
                <w:lang w:val="en-CA"/>
              </w:rPr>
              <w:t xml:space="preserve">, </w:t>
            </w:r>
            <w:proofErr w:type="spellStart"/>
            <w:r w:rsidRPr="00246DD6">
              <w:rPr>
                <w:rStyle w:val="SCCCoramChar"/>
                <w:sz w:val="20"/>
                <w:szCs w:val="20"/>
                <w:lang w:val="en-CA"/>
              </w:rPr>
              <w:t>Abella</w:t>
            </w:r>
            <w:proofErr w:type="spellEnd"/>
            <w:r w:rsidRPr="00246DD6">
              <w:rPr>
                <w:rStyle w:val="SCCCoramChar"/>
                <w:sz w:val="20"/>
                <w:szCs w:val="20"/>
                <w:lang w:val="en-CA"/>
              </w:rPr>
              <w:t xml:space="preserve"> and Cromwell JJ.</w:t>
            </w:r>
          </w:p>
          <w:p w:rsidR="00246DD6" w:rsidRPr="002B11E5" w:rsidRDefault="00246DD6" w:rsidP="002A6864">
            <w:pPr>
              <w:rPr>
                <w:sz w:val="20"/>
                <w:szCs w:val="20"/>
                <w:u w:val="single"/>
              </w:rPr>
            </w:pPr>
          </w:p>
        </w:tc>
      </w:tr>
      <w:tr w:rsidR="00246DD6" w:rsidRPr="00251B16" w:rsidTr="002A6864">
        <w:trPr>
          <w:cantSplit/>
        </w:trPr>
        <w:tc>
          <w:tcPr>
            <w:tcW w:w="9576" w:type="dxa"/>
            <w:gridSpan w:val="2"/>
          </w:tcPr>
          <w:p w:rsidR="00246DD6" w:rsidRPr="002B11E5" w:rsidRDefault="00246DD6" w:rsidP="002A6864">
            <w:pPr>
              <w:pStyle w:val="SCCShortJudgment"/>
              <w:rPr>
                <w:szCs w:val="20"/>
              </w:rPr>
            </w:pPr>
            <w:r w:rsidRPr="002B11E5">
              <w:rPr>
                <w:szCs w:val="20"/>
              </w:rPr>
              <w:t xml:space="preserve">The application for leave to appeal from the judgment of the Federal Court of Appeal, Number A-278-09, 2011 FCA 193, dated June 7, 2011, is dismissed with costs to the respondents Brascan Timberlands Management GP Inc., Island Timberlands GP Ltd., </w:t>
            </w:r>
            <w:proofErr w:type="spellStart"/>
            <w:r w:rsidRPr="002B11E5">
              <w:rPr>
                <w:szCs w:val="20"/>
              </w:rPr>
              <w:t>Cascadia</w:t>
            </w:r>
            <w:proofErr w:type="spellEnd"/>
            <w:r w:rsidRPr="002B11E5">
              <w:rPr>
                <w:szCs w:val="20"/>
              </w:rPr>
              <w:t xml:space="preserve"> Forest Products Ltd., </w:t>
            </w:r>
            <w:proofErr w:type="spellStart"/>
            <w:r w:rsidRPr="002B11E5">
              <w:rPr>
                <w:szCs w:val="20"/>
              </w:rPr>
              <w:t>TimberWest</w:t>
            </w:r>
            <w:proofErr w:type="spellEnd"/>
            <w:r w:rsidRPr="002B11E5">
              <w:rPr>
                <w:szCs w:val="20"/>
              </w:rPr>
              <w:t xml:space="preserve"> Forest Corp. and International Forest Products Limited.</w:t>
            </w:r>
          </w:p>
          <w:p w:rsidR="00246DD6" w:rsidRPr="002B11E5" w:rsidRDefault="00246DD6" w:rsidP="002A6864">
            <w:pPr>
              <w:pStyle w:val="SCCShortJudgment"/>
              <w:ind w:firstLine="0"/>
              <w:rPr>
                <w:szCs w:val="20"/>
              </w:rPr>
            </w:pPr>
          </w:p>
          <w:p w:rsidR="00246DD6" w:rsidRPr="002B11E5" w:rsidRDefault="00246DD6" w:rsidP="002A6864">
            <w:pPr>
              <w:pStyle w:val="SCCShortJudgment"/>
              <w:rPr>
                <w:szCs w:val="20"/>
                <w:lang w:val="fr-CA"/>
              </w:rPr>
            </w:pPr>
            <w:r w:rsidRPr="002B11E5">
              <w:rPr>
                <w:szCs w:val="20"/>
                <w:lang w:val="fr-CA"/>
              </w:rPr>
              <w:t xml:space="preserve">La demande d’autorisation d’appel de l’arrêt de la Cour d’appel fédérale, numéro A-278-09, 2011 CAF 193, daté du 7 juin 2011, est rejetée avec dépens en faveur des intimées </w:t>
            </w:r>
            <w:proofErr w:type="spellStart"/>
            <w:r w:rsidRPr="002B11E5">
              <w:rPr>
                <w:szCs w:val="20"/>
                <w:lang w:val="fr-CA"/>
              </w:rPr>
              <w:t>Brascan</w:t>
            </w:r>
            <w:proofErr w:type="spellEnd"/>
            <w:r w:rsidRPr="002B11E5">
              <w:rPr>
                <w:szCs w:val="20"/>
                <w:lang w:val="fr-CA"/>
              </w:rPr>
              <w:t xml:space="preserve"> </w:t>
            </w:r>
            <w:proofErr w:type="spellStart"/>
            <w:r w:rsidRPr="002B11E5">
              <w:rPr>
                <w:szCs w:val="20"/>
                <w:lang w:val="fr-CA"/>
              </w:rPr>
              <w:t>Timberlands</w:t>
            </w:r>
            <w:proofErr w:type="spellEnd"/>
            <w:r w:rsidRPr="002B11E5">
              <w:rPr>
                <w:szCs w:val="20"/>
                <w:lang w:val="fr-CA"/>
              </w:rPr>
              <w:t xml:space="preserve"> Management GP Inc., Island </w:t>
            </w:r>
            <w:proofErr w:type="spellStart"/>
            <w:r w:rsidRPr="002B11E5">
              <w:rPr>
                <w:szCs w:val="20"/>
                <w:lang w:val="fr-CA"/>
              </w:rPr>
              <w:t>Timberlands</w:t>
            </w:r>
            <w:proofErr w:type="spellEnd"/>
            <w:r w:rsidRPr="002B11E5">
              <w:rPr>
                <w:szCs w:val="20"/>
                <w:lang w:val="fr-CA"/>
              </w:rPr>
              <w:t xml:space="preserve"> GP Ltd., </w:t>
            </w:r>
            <w:proofErr w:type="spellStart"/>
            <w:r w:rsidRPr="002B11E5">
              <w:rPr>
                <w:szCs w:val="20"/>
                <w:lang w:val="fr-CA"/>
              </w:rPr>
              <w:t>Cascadia</w:t>
            </w:r>
            <w:proofErr w:type="spellEnd"/>
            <w:r w:rsidRPr="002B11E5">
              <w:rPr>
                <w:szCs w:val="20"/>
                <w:lang w:val="fr-CA"/>
              </w:rPr>
              <w:t xml:space="preserve"> Forest </w:t>
            </w:r>
            <w:proofErr w:type="spellStart"/>
            <w:r w:rsidRPr="002B11E5">
              <w:rPr>
                <w:szCs w:val="20"/>
                <w:lang w:val="fr-CA"/>
              </w:rPr>
              <w:t>Products</w:t>
            </w:r>
            <w:proofErr w:type="spellEnd"/>
            <w:r w:rsidRPr="002B11E5">
              <w:rPr>
                <w:szCs w:val="20"/>
                <w:lang w:val="fr-CA"/>
              </w:rPr>
              <w:t xml:space="preserve"> Ltd., </w:t>
            </w:r>
            <w:proofErr w:type="spellStart"/>
            <w:r w:rsidRPr="002B11E5">
              <w:rPr>
                <w:szCs w:val="20"/>
                <w:lang w:val="fr-CA"/>
              </w:rPr>
              <w:t>TimberWest</w:t>
            </w:r>
            <w:proofErr w:type="spellEnd"/>
            <w:r w:rsidRPr="002B11E5">
              <w:rPr>
                <w:szCs w:val="20"/>
                <w:lang w:val="fr-CA"/>
              </w:rPr>
              <w:t xml:space="preserve"> Forest Corp. et International Forest </w:t>
            </w:r>
            <w:proofErr w:type="spellStart"/>
            <w:r w:rsidRPr="002B11E5">
              <w:rPr>
                <w:szCs w:val="20"/>
                <w:lang w:val="fr-CA"/>
              </w:rPr>
              <w:t>Products</w:t>
            </w:r>
            <w:proofErr w:type="spellEnd"/>
            <w:r w:rsidRPr="002B11E5">
              <w:rPr>
                <w:szCs w:val="20"/>
                <w:lang w:val="fr-CA"/>
              </w:rPr>
              <w:t xml:space="preserve"> Limited.</w:t>
            </w:r>
          </w:p>
        </w:tc>
      </w:tr>
    </w:tbl>
    <w:p w:rsidR="00F9104A" w:rsidRPr="00246DD6" w:rsidRDefault="00F9104A" w:rsidP="00F9104A">
      <w:pPr>
        <w:rPr>
          <w:sz w:val="20"/>
          <w:szCs w:val="20"/>
          <w:lang w:val="fr-CA"/>
        </w:rPr>
      </w:pPr>
    </w:p>
    <w:p w:rsidR="00F9104A" w:rsidRPr="001B157C" w:rsidRDefault="00F9104A" w:rsidP="00F9104A">
      <w:pPr>
        <w:rPr>
          <w:sz w:val="20"/>
          <w:szCs w:val="20"/>
          <w:u w:val="single"/>
        </w:rPr>
      </w:pPr>
      <w:r w:rsidRPr="001B157C">
        <w:rPr>
          <w:sz w:val="20"/>
          <w:szCs w:val="20"/>
          <w:u w:val="single"/>
        </w:rPr>
        <w:t>CASE SUMMARY</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F488C" w:rsidRPr="00293CD1" w:rsidTr="002A6864">
        <w:tc>
          <w:tcPr>
            <w:tcW w:w="5000" w:type="pct"/>
            <w:gridSpan w:val="3"/>
          </w:tcPr>
          <w:p w:rsidR="001F488C" w:rsidRPr="00293CD1" w:rsidRDefault="001F488C" w:rsidP="002A6864">
            <w:pPr>
              <w:jc w:val="both"/>
              <w:rPr>
                <w:rFonts w:eastAsia="Calibri"/>
                <w:sz w:val="20"/>
              </w:rPr>
            </w:pPr>
            <w:r w:rsidRPr="00293CD1">
              <w:rPr>
                <w:rFonts w:eastAsia="Calibri"/>
                <w:sz w:val="20"/>
              </w:rPr>
              <w:t>Civil procedure – Pleadings – Motion to strike – Patent infringement action – Allegations in statement of claim struck for failing to disclose reasonable cause of action and failing to provide factual basis for claim  – Whether a pleading, which recites the content of the patent (in order to describe the manner of the infringement), could constitute a “sufficient and proper pleading” in the circumstances that the patented “methodology or process” can only be carried out substantially similar to the manner outlined in the patent – Whether an indirect operation, supervision of the operation, or failure to take any reasonable steps to prevent the operation of a “patented process, art, or methodology” by the contractor, while the principal has knowledge regarding the patent, could constitute a reasonable “cause of action”.</w:t>
            </w:r>
          </w:p>
          <w:p w:rsidR="001F488C" w:rsidRPr="00293CD1" w:rsidRDefault="001F488C" w:rsidP="002A6864">
            <w:pPr>
              <w:jc w:val="both"/>
              <w:rPr>
                <w:rFonts w:eastAsia="Calibri"/>
                <w:smallCaps/>
                <w:sz w:val="20"/>
              </w:rPr>
            </w:pPr>
          </w:p>
          <w:p w:rsidR="001F488C" w:rsidRPr="00293CD1" w:rsidRDefault="001F488C" w:rsidP="002A6864">
            <w:pPr>
              <w:jc w:val="both"/>
              <w:rPr>
                <w:rFonts w:eastAsia="Calibri"/>
                <w:sz w:val="20"/>
              </w:rPr>
            </w:pPr>
            <w:r w:rsidRPr="00293CD1">
              <w:rPr>
                <w:rFonts w:eastAsia="Calibri"/>
                <w:sz w:val="20"/>
              </w:rPr>
              <w:t xml:space="preserve">The applicants are holders of patent rights in respect of a particular harvesting system for the cutting and removal of logs involving the use of a helicopter.  The applicants brought actions against the respondent companies, alleging that they directly infringed and/or induced infringement of the applicants’ patent rights, by using and/or hiring others to use the same harvesting system.  Two respondents brought motions seeking to strike portions of the applicants’ amended statement of claim, and to dismiss the actions against those respondents.  A </w:t>
            </w:r>
            <w:proofErr w:type="spellStart"/>
            <w:r w:rsidRPr="00293CD1">
              <w:rPr>
                <w:rFonts w:eastAsia="Calibri"/>
                <w:sz w:val="20"/>
              </w:rPr>
              <w:t>Prothonotary</w:t>
            </w:r>
            <w:proofErr w:type="spellEnd"/>
            <w:r w:rsidRPr="00293CD1">
              <w:rPr>
                <w:rFonts w:eastAsia="Calibri"/>
                <w:sz w:val="20"/>
              </w:rPr>
              <w:t xml:space="preserve"> of the Federal Court granted the respondents’ motions, striking the relevant portions of the applicants’ statement of claim for failing to disclose a reasonable cause of action and failing to provide a sufficient factual basis, denying the applicants leave to amend their pleadings, and dismissing the actions against the respondents in question.  A motions judge of the Federal Court dismissed the applicants’ appeal from the </w:t>
            </w:r>
            <w:proofErr w:type="spellStart"/>
            <w:r w:rsidRPr="00293CD1">
              <w:rPr>
                <w:rFonts w:eastAsia="Calibri"/>
                <w:sz w:val="20"/>
              </w:rPr>
              <w:t>Prothonotary’s</w:t>
            </w:r>
            <w:proofErr w:type="spellEnd"/>
            <w:r w:rsidRPr="00293CD1">
              <w:rPr>
                <w:rFonts w:eastAsia="Calibri"/>
                <w:sz w:val="20"/>
              </w:rPr>
              <w:t xml:space="preserve"> order, and upheld the decision.  A further appeal by the applicants was dismissed by the Federal Court of Appeal.</w:t>
            </w:r>
          </w:p>
        </w:tc>
      </w:tr>
      <w:tr w:rsidR="001F488C" w:rsidRPr="00293CD1" w:rsidTr="002A6864">
        <w:tc>
          <w:tcPr>
            <w:tcW w:w="5000" w:type="pct"/>
            <w:gridSpan w:val="3"/>
          </w:tcPr>
          <w:p w:rsidR="001F488C" w:rsidRPr="00293CD1" w:rsidRDefault="001F488C" w:rsidP="002A6864">
            <w:pPr>
              <w:jc w:val="both"/>
              <w:rPr>
                <w:rFonts w:eastAsia="Calibri"/>
                <w:sz w:val="20"/>
              </w:rPr>
            </w:pP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November 21, 2008</w:t>
            </w:r>
          </w:p>
          <w:p w:rsidR="001F488C" w:rsidRPr="00293CD1" w:rsidRDefault="001F488C" w:rsidP="002A6864">
            <w:pPr>
              <w:jc w:val="both"/>
              <w:rPr>
                <w:rFonts w:eastAsia="Calibri"/>
                <w:sz w:val="20"/>
              </w:rPr>
            </w:pPr>
            <w:r w:rsidRPr="00293CD1">
              <w:rPr>
                <w:rFonts w:eastAsia="Calibri"/>
                <w:sz w:val="20"/>
              </w:rPr>
              <w:t>Federal Court</w:t>
            </w:r>
          </w:p>
          <w:p w:rsidR="001F488C" w:rsidRPr="00293CD1" w:rsidRDefault="001F488C" w:rsidP="002A6864">
            <w:pPr>
              <w:jc w:val="both"/>
              <w:rPr>
                <w:rFonts w:eastAsia="Calibri"/>
                <w:sz w:val="20"/>
              </w:rPr>
            </w:pPr>
            <w:r w:rsidRPr="00293CD1">
              <w:rPr>
                <w:rFonts w:eastAsia="Calibri"/>
                <w:sz w:val="20"/>
              </w:rPr>
              <w:t>(</w:t>
            </w:r>
            <w:proofErr w:type="spellStart"/>
            <w:r w:rsidRPr="00293CD1">
              <w:rPr>
                <w:rFonts w:eastAsia="Calibri"/>
                <w:sz w:val="20"/>
              </w:rPr>
              <w:t>Lafrenière</w:t>
            </w:r>
            <w:proofErr w:type="spellEnd"/>
            <w:r w:rsidRPr="00293CD1">
              <w:rPr>
                <w:rFonts w:eastAsia="Calibri"/>
                <w:sz w:val="20"/>
              </w:rPr>
              <w:t xml:space="preserve">, </w:t>
            </w:r>
            <w:proofErr w:type="spellStart"/>
            <w:r w:rsidRPr="00293CD1">
              <w:rPr>
                <w:rFonts w:eastAsia="Calibri"/>
                <w:sz w:val="20"/>
              </w:rPr>
              <w:t>Prothonotary</w:t>
            </w:r>
            <w:proofErr w:type="spellEnd"/>
            <w:r w:rsidRPr="00293CD1">
              <w:rPr>
                <w:rFonts w:eastAsia="Calibri"/>
                <w:sz w:val="20"/>
              </w:rPr>
              <w:t>)</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Order granting motion by certain respondents to strike portions of applicants’ statement of claim, and to dismiss actions against each of these respondents</w:t>
            </w:r>
          </w:p>
        </w:tc>
      </w:tr>
      <w:tr w:rsidR="001F488C" w:rsidRPr="00293CD1" w:rsidTr="00341F91">
        <w:trPr>
          <w:cantSplit/>
        </w:trPr>
        <w:tc>
          <w:tcPr>
            <w:tcW w:w="2427" w:type="pct"/>
          </w:tcPr>
          <w:p w:rsidR="001F488C" w:rsidRPr="00293CD1" w:rsidRDefault="001F488C" w:rsidP="002A6864">
            <w:pPr>
              <w:jc w:val="both"/>
              <w:rPr>
                <w:rFonts w:eastAsia="Calibri"/>
                <w:sz w:val="20"/>
              </w:rPr>
            </w:pPr>
            <w:r w:rsidRPr="00293CD1">
              <w:rPr>
                <w:rFonts w:eastAsia="Calibri"/>
                <w:sz w:val="20"/>
              </w:rPr>
              <w:t>June 8, 2009</w:t>
            </w:r>
          </w:p>
          <w:p w:rsidR="001F488C" w:rsidRPr="00293CD1" w:rsidRDefault="001F488C" w:rsidP="002A6864">
            <w:pPr>
              <w:jc w:val="both"/>
              <w:rPr>
                <w:rFonts w:eastAsia="Calibri"/>
                <w:sz w:val="20"/>
              </w:rPr>
            </w:pPr>
            <w:r w:rsidRPr="00293CD1">
              <w:rPr>
                <w:rFonts w:eastAsia="Calibri"/>
                <w:sz w:val="20"/>
              </w:rPr>
              <w:t>Federal Court</w:t>
            </w:r>
          </w:p>
          <w:p w:rsidR="001F488C" w:rsidRPr="00293CD1" w:rsidRDefault="001F488C" w:rsidP="002A6864">
            <w:pPr>
              <w:jc w:val="both"/>
              <w:rPr>
                <w:rFonts w:eastAsia="Calibri"/>
                <w:sz w:val="20"/>
              </w:rPr>
            </w:pPr>
            <w:r w:rsidRPr="00293CD1">
              <w:rPr>
                <w:rFonts w:eastAsia="Calibri"/>
                <w:sz w:val="20"/>
              </w:rPr>
              <w:t>(O'Reilly J.)</w:t>
            </w:r>
          </w:p>
          <w:p w:rsidR="001F488C" w:rsidRPr="00293CD1" w:rsidRDefault="001F488C" w:rsidP="002A6864">
            <w:pPr>
              <w:jc w:val="both"/>
              <w:rPr>
                <w:rFonts w:eastAsia="Calibri"/>
                <w:sz w:val="20"/>
              </w:rPr>
            </w:pPr>
            <w:r w:rsidRPr="00293CD1">
              <w:rPr>
                <w:rFonts w:eastAsia="Calibri"/>
                <w:sz w:val="20"/>
              </w:rPr>
              <w:t>2009 FC 592</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 xml:space="preserve">Applicants’ appeal from </w:t>
            </w:r>
            <w:proofErr w:type="spellStart"/>
            <w:r w:rsidRPr="00293CD1">
              <w:rPr>
                <w:rFonts w:eastAsia="Calibri"/>
                <w:sz w:val="20"/>
              </w:rPr>
              <w:t>Prothonotary’s</w:t>
            </w:r>
            <w:proofErr w:type="spellEnd"/>
            <w:r w:rsidRPr="00293CD1">
              <w:rPr>
                <w:rFonts w:eastAsia="Calibri"/>
                <w:sz w:val="20"/>
              </w:rPr>
              <w:t xml:space="preserve"> order, dismissed</w:t>
            </w:r>
          </w:p>
        </w:tc>
      </w:tr>
      <w:tr w:rsidR="001F488C" w:rsidRPr="00293CD1" w:rsidTr="00341F91">
        <w:trPr>
          <w:cantSplit/>
        </w:trPr>
        <w:tc>
          <w:tcPr>
            <w:tcW w:w="2427" w:type="pct"/>
          </w:tcPr>
          <w:p w:rsidR="001F488C" w:rsidRPr="00293CD1" w:rsidRDefault="001F488C" w:rsidP="002A6864">
            <w:pPr>
              <w:jc w:val="both"/>
              <w:rPr>
                <w:rFonts w:eastAsia="Calibri"/>
                <w:sz w:val="20"/>
              </w:rPr>
            </w:pPr>
            <w:r w:rsidRPr="00293CD1">
              <w:rPr>
                <w:rFonts w:eastAsia="Calibri"/>
                <w:sz w:val="20"/>
              </w:rPr>
              <w:t>June 7, 2011</w:t>
            </w:r>
          </w:p>
          <w:p w:rsidR="001F488C" w:rsidRPr="00293CD1" w:rsidRDefault="001F488C" w:rsidP="002A6864">
            <w:pPr>
              <w:jc w:val="both"/>
              <w:rPr>
                <w:rFonts w:eastAsia="Calibri"/>
                <w:sz w:val="20"/>
              </w:rPr>
            </w:pPr>
            <w:r w:rsidRPr="00293CD1">
              <w:rPr>
                <w:rFonts w:eastAsia="Calibri"/>
                <w:sz w:val="20"/>
              </w:rPr>
              <w:t>Federal Court of Appeal</w:t>
            </w:r>
          </w:p>
          <w:p w:rsidR="001F488C" w:rsidRPr="00293CD1" w:rsidRDefault="001F488C" w:rsidP="002A6864">
            <w:pPr>
              <w:jc w:val="both"/>
              <w:rPr>
                <w:rFonts w:eastAsia="Calibri"/>
                <w:sz w:val="20"/>
              </w:rPr>
            </w:pPr>
            <w:r w:rsidRPr="00293CD1">
              <w:rPr>
                <w:rFonts w:eastAsia="Calibri"/>
                <w:sz w:val="20"/>
              </w:rPr>
              <w:t>(Vancouver)</w:t>
            </w:r>
          </w:p>
          <w:p w:rsidR="001F488C" w:rsidRPr="00293CD1" w:rsidRDefault="001F488C" w:rsidP="002A6864">
            <w:pPr>
              <w:jc w:val="both"/>
              <w:rPr>
                <w:rFonts w:eastAsia="Calibri"/>
                <w:sz w:val="20"/>
              </w:rPr>
            </w:pPr>
            <w:r w:rsidRPr="00293CD1">
              <w:rPr>
                <w:rFonts w:eastAsia="Calibri"/>
                <w:sz w:val="20"/>
              </w:rPr>
              <w:t>(</w:t>
            </w:r>
            <w:proofErr w:type="spellStart"/>
            <w:r w:rsidRPr="00293CD1">
              <w:rPr>
                <w:rFonts w:eastAsia="Calibri"/>
                <w:sz w:val="20"/>
              </w:rPr>
              <w:t>Blais</w:t>
            </w:r>
            <w:proofErr w:type="spellEnd"/>
            <w:r w:rsidRPr="00293CD1">
              <w:rPr>
                <w:rFonts w:eastAsia="Calibri"/>
                <w:sz w:val="20"/>
              </w:rPr>
              <w:t xml:space="preserve">, C.J., </w:t>
            </w:r>
            <w:proofErr w:type="spellStart"/>
            <w:r w:rsidRPr="00293CD1">
              <w:rPr>
                <w:rFonts w:eastAsia="Calibri"/>
                <w:sz w:val="20"/>
              </w:rPr>
              <w:t>Sharlow</w:t>
            </w:r>
            <w:proofErr w:type="spellEnd"/>
            <w:r w:rsidRPr="00293CD1">
              <w:rPr>
                <w:rFonts w:eastAsia="Calibri"/>
                <w:sz w:val="20"/>
              </w:rPr>
              <w:t xml:space="preserve"> and </w:t>
            </w:r>
            <w:proofErr w:type="spellStart"/>
            <w:r w:rsidRPr="00293CD1">
              <w:rPr>
                <w:rFonts w:eastAsia="Calibri"/>
                <w:sz w:val="20"/>
              </w:rPr>
              <w:t>Trudel</w:t>
            </w:r>
            <w:proofErr w:type="spellEnd"/>
            <w:r w:rsidRPr="00293CD1">
              <w:rPr>
                <w:rFonts w:eastAsia="Calibri"/>
                <w:sz w:val="20"/>
              </w:rPr>
              <w:t>, JJ.A.)</w:t>
            </w:r>
          </w:p>
          <w:p w:rsidR="001F488C" w:rsidRPr="00293CD1" w:rsidRDefault="001F488C" w:rsidP="002A6864">
            <w:pPr>
              <w:jc w:val="both"/>
              <w:rPr>
                <w:rFonts w:eastAsia="Calibri"/>
                <w:sz w:val="20"/>
              </w:rPr>
            </w:pPr>
            <w:r w:rsidRPr="00293CD1">
              <w:rPr>
                <w:rFonts w:eastAsia="Calibri"/>
                <w:sz w:val="20"/>
              </w:rPr>
              <w:t>2011 FCA 193</w:t>
            </w:r>
          </w:p>
          <w:p w:rsidR="001F488C" w:rsidRPr="00293CD1" w:rsidRDefault="001F488C" w:rsidP="002A6864">
            <w:pPr>
              <w:jc w:val="both"/>
              <w:rPr>
                <w:rFonts w:eastAsia="Calibri"/>
                <w:sz w:val="20"/>
              </w:rPr>
            </w:pPr>
            <w:r w:rsidRPr="00293CD1">
              <w:rPr>
                <w:rFonts w:eastAsia="Calibri"/>
                <w:sz w:val="20"/>
              </w:rPr>
              <w:t>Docket:  A-278-09</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Applicants’ further appeal from motions judge’s decision, dismissed</w:t>
            </w:r>
          </w:p>
          <w:p w:rsidR="001F488C" w:rsidRPr="00293CD1" w:rsidRDefault="001F488C" w:rsidP="002A6864">
            <w:pPr>
              <w:jc w:val="both"/>
              <w:rPr>
                <w:rFonts w:eastAsia="Calibri"/>
                <w:sz w:val="20"/>
              </w:rPr>
            </w:pPr>
          </w:p>
        </w:tc>
      </w:tr>
      <w:tr w:rsidR="001F488C" w:rsidRPr="00293CD1" w:rsidTr="00341F91">
        <w:trPr>
          <w:cantSplit/>
        </w:trPr>
        <w:tc>
          <w:tcPr>
            <w:tcW w:w="2427" w:type="pct"/>
          </w:tcPr>
          <w:p w:rsidR="001F488C" w:rsidRPr="00293CD1" w:rsidRDefault="001F488C" w:rsidP="002A6864">
            <w:pPr>
              <w:jc w:val="both"/>
              <w:rPr>
                <w:rFonts w:eastAsia="Calibri"/>
                <w:sz w:val="20"/>
              </w:rPr>
            </w:pPr>
            <w:r w:rsidRPr="00293CD1">
              <w:rPr>
                <w:rFonts w:eastAsia="Calibri"/>
                <w:sz w:val="20"/>
              </w:rPr>
              <w:t>September 6, 2011</w:t>
            </w:r>
          </w:p>
          <w:p w:rsidR="001F488C" w:rsidRPr="00293CD1" w:rsidRDefault="001F488C" w:rsidP="002A6864">
            <w:pPr>
              <w:jc w:val="both"/>
              <w:rPr>
                <w:rFonts w:eastAsia="Calibri"/>
                <w:sz w:val="20"/>
              </w:rPr>
            </w:pPr>
            <w:r w:rsidRPr="00293CD1">
              <w:rPr>
                <w:rFonts w:eastAsia="Calibri"/>
                <w:sz w:val="20"/>
              </w:rPr>
              <w:t>Supreme Court of Canada</w:t>
            </w: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Application for leave to appeal filed</w:t>
            </w:r>
          </w:p>
          <w:p w:rsidR="001F488C" w:rsidRPr="00293CD1" w:rsidRDefault="001F488C" w:rsidP="002A6864">
            <w:pPr>
              <w:jc w:val="both"/>
              <w:rPr>
                <w:rFonts w:eastAsia="Calibri"/>
                <w:sz w:val="20"/>
              </w:rPr>
            </w:pP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47" style="width:2in;height:1pt" o:hrpct="0" o:hralign="center" o:hrstd="t" o:hrnoshade="t" o:hr="t" fillcolor="black [3213]" stroked="f"/>
        </w:pict>
      </w:r>
    </w:p>
    <w:p w:rsidR="00F9104A" w:rsidRDefault="00F9104A" w:rsidP="00F9104A">
      <w:pPr>
        <w:rPr>
          <w:sz w:val="20"/>
          <w:szCs w:val="20"/>
        </w:rPr>
      </w:pPr>
    </w:p>
    <w:p w:rsidR="00F9104A" w:rsidRPr="001B157C" w:rsidRDefault="00F9104A" w:rsidP="00F9104A">
      <w:pPr>
        <w:rPr>
          <w:sz w:val="20"/>
          <w:szCs w:val="20"/>
          <w:u w:val="single"/>
          <w:lang w:val="fr-CA"/>
        </w:rPr>
      </w:pPr>
      <w:r w:rsidRPr="001B157C">
        <w:rPr>
          <w:sz w:val="20"/>
          <w:szCs w:val="20"/>
          <w:u w:val="single"/>
          <w:lang w:val="fr-CA"/>
        </w:rPr>
        <w:t>RÉSUMÉ DE L’AFFAIRE</w:t>
      </w:r>
    </w:p>
    <w:p w:rsidR="00F9104A" w:rsidRDefault="00F9104A" w:rsidP="00F9104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16337" w:rsidRPr="00251B16" w:rsidTr="002A6864">
        <w:tc>
          <w:tcPr>
            <w:tcW w:w="5000" w:type="pct"/>
            <w:gridSpan w:val="3"/>
          </w:tcPr>
          <w:p w:rsidR="00F16337" w:rsidRPr="00293CD1" w:rsidRDefault="00F16337" w:rsidP="002A6864">
            <w:pPr>
              <w:jc w:val="both"/>
              <w:rPr>
                <w:rFonts w:eastAsia="Calibri"/>
                <w:sz w:val="20"/>
                <w:lang w:val="fr-CA"/>
              </w:rPr>
            </w:pPr>
            <w:r w:rsidRPr="00293CD1">
              <w:rPr>
                <w:rFonts w:eastAsia="Calibri"/>
                <w:sz w:val="20"/>
                <w:lang w:val="fr-CA"/>
              </w:rPr>
              <w:t>Procédure civile – Actes de procédure – Requête en radiation – Action en contrefaçon de brevet – Les allégations dans la déclaration ont été radiées par ce qu'elles ne révélaient aucune cause valable d'action et n'établissaient pas de fondement factuel pour une action – Un acte de procédure qui énonce le contenu du brevet (afin de décrire la manière dont le brevet a été contrefait) peut-il être considéré « suffisant et adéquat » lorsque que la « méthode ou le procédé » ne peut être exécuté que de façon substantiellement similaire à la manière énoncée dans le brevet? – Une opération indirecte, une supervision de l'opération ou l'omission de prendre des mesures raisonnables pour empêcher l'opération « d’un procédé, d'une réalisation ou d'une méthode breveté » par un entrepreneur alors que le dirigeant a connaissance du brevet peuvent-elles constituer une « cause d'action » valable?</w:t>
            </w:r>
          </w:p>
          <w:p w:rsidR="00F16337" w:rsidRPr="00293CD1" w:rsidRDefault="00F16337" w:rsidP="002A6864">
            <w:pPr>
              <w:jc w:val="both"/>
              <w:rPr>
                <w:rFonts w:eastAsia="Calibri"/>
                <w:smallCaps/>
                <w:sz w:val="20"/>
                <w:lang w:val="fr-CA"/>
              </w:rPr>
            </w:pPr>
          </w:p>
          <w:p w:rsidR="00F16337" w:rsidRPr="00293CD1" w:rsidRDefault="00F16337" w:rsidP="002A6864">
            <w:pPr>
              <w:jc w:val="both"/>
              <w:rPr>
                <w:rFonts w:eastAsia="Calibri"/>
                <w:sz w:val="20"/>
                <w:lang w:val="fr-CA"/>
              </w:rPr>
            </w:pPr>
            <w:r w:rsidRPr="00293CD1">
              <w:rPr>
                <w:rFonts w:eastAsia="Calibri"/>
                <w:sz w:val="20"/>
                <w:lang w:val="fr-CA"/>
              </w:rPr>
              <w:t xml:space="preserve">Les </w:t>
            </w:r>
            <w:proofErr w:type="spellStart"/>
            <w:r w:rsidRPr="00293CD1">
              <w:rPr>
                <w:rFonts w:eastAsia="Calibri"/>
                <w:sz w:val="20"/>
                <w:lang w:val="fr-CA"/>
              </w:rPr>
              <w:t>demanderesses</w:t>
            </w:r>
            <w:proofErr w:type="spellEnd"/>
            <w:r w:rsidRPr="00293CD1">
              <w:rPr>
                <w:rFonts w:eastAsia="Calibri"/>
                <w:sz w:val="20"/>
                <w:lang w:val="fr-CA"/>
              </w:rPr>
              <w:t xml:space="preserve"> sont titulaires de droits de brevet à l'égard d'un système de récolte particulier pour la coupe et l'enlèvement de troncs d'arbres qui fait appel à l'utilisation d'un hélicoptère. Les </w:t>
            </w:r>
            <w:proofErr w:type="spellStart"/>
            <w:r w:rsidRPr="00293CD1">
              <w:rPr>
                <w:rFonts w:eastAsia="Calibri"/>
                <w:sz w:val="20"/>
                <w:lang w:val="fr-CA"/>
              </w:rPr>
              <w:t>demanderesses</w:t>
            </w:r>
            <w:proofErr w:type="spellEnd"/>
            <w:r w:rsidRPr="00293CD1">
              <w:rPr>
                <w:rFonts w:eastAsia="Calibri"/>
                <w:sz w:val="20"/>
                <w:lang w:val="fr-CA"/>
              </w:rPr>
              <w:t xml:space="preserve"> ont intenté des actions contre les sociétés intimées, alléguant qu'elles avaient directement violé les droits de brevet des </w:t>
            </w:r>
            <w:proofErr w:type="spellStart"/>
            <w:r w:rsidRPr="00293CD1">
              <w:rPr>
                <w:rFonts w:eastAsia="Calibri"/>
                <w:sz w:val="20"/>
                <w:lang w:val="fr-CA"/>
              </w:rPr>
              <w:t>demanderesses</w:t>
            </w:r>
            <w:proofErr w:type="spellEnd"/>
            <w:r w:rsidRPr="00293CD1">
              <w:rPr>
                <w:rFonts w:eastAsia="Calibri"/>
                <w:sz w:val="20"/>
                <w:lang w:val="fr-CA"/>
              </w:rPr>
              <w:t xml:space="preserve"> ou incité d'autres à le faire en retenant les services d'autres personnes pour utiliser le même système de récolte. Deux intimées ont présenté des requêtes en radiation de certaines parties de la déclaration modifiée des </w:t>
            </w:r>
            <w:proofErr w:type="spellStart"/>
            <w:r w:rsidRPr="00293CD1">
              <w:rPr>
                <w:rFonts w:eastAsia="Calibri"/>
                <w:sz w:val="20"/>
                <w:lang w:val="fr-CA"/>
              </w:rPr>
              <w:t>demanderesses</w:t>
            </w:r>
            <w:proofErr w:type="spellEnd"/>
            <w:r w:rsidRPr="00293CD1">
              <w:rPr>
                <w:rFonts w:eastAsia="Calibri"/>
                <w:sz w:val="20"/>
                <w:lang w:val="fr-CA"/>
              </w:rPr>
              <w:t xml:space="preserve"> et en rejet de l'action contre ces intimées. Un protonotaire de la Cour fédérale a accueilli les requêtes des intimées, radié les parties pertinentes de la déclaration des </w:t>
            </w:r>
            <w:proofErr w:type="spellStart"/>
            <w:r w:rsidRPr="00293CD1">
              <w:rPr>
                <w:rFonts w:eastAsia="Calibri"/>
                <w:sz w:val="20"/>
                <w:lang w:val="fr-CA"/>
              </w:rPr>
              <w:t>demanderesses</w:t>
            </w:r>
            <w:proofErr w:type="spellEnd"/>
            <w:r w:rsidRPr="00293CD1">
              <w:rPr>
                <w:rFonts w:eastAsia="Calibri"/>
                <w:sz w:val="20"/>
                <w:lang w:val="fr-CA"/>
              </w:rPr>
              <w:t xml:space="preserve"> par ce qu'elles ne révélaient aucune cause d'action valable et  n'établissaient pas de fondement factuel suffisant, refusé aux </w:t>
            </w:r>
            <w:proofErr w:type="spellStart"/>
            <w:r w:rsidRPr="00293CD1">
              <w:rPr>
                <w:rFonts w:eastAsia="Calibri"/>
                <w:sz w:val="20"/>
                <w:lang w:val="fr-CA"/>
              </w:rPr>
              <w:t>demanderesses</w:t>
            </w:r>
            <w:proofErr w:type="spellEnd"/>
            <w:r w:rsidRPr="00293CD1">
              <w:rPr>
                <w:rFonts w:eastAsia="Calibri"/>
                <w:sz w:val="20"/>
                <w:lang w:val="fr-CA"/>
              </w:rPr>
              <w:t xml:space="preserve"> l'autorisation de modifier leurs actes de procédure et rejeté les actions contre les intimées en question. Un juge de la Cour fédérale a rejeté l'appel des </w:t>
            </w:r>
            <w:proofErr w:type="spellStart"/>
            <w:r w:rsidRPr="00293CD1">
              <w:rPr>
                <w:rFonts w:eastAsia="Calibri"/>
                <w:sz w:val="20"/>
                <w:lang w:val="fr-CA"/>
              </w:rPr>
              <w:t>demanderesses</w:t>
            </w:r>
            <w:proofErr w:type="spellEnd"/>
            <w:r w:rsidRPr="00293CD1">
              <w:rPr>
                <w:rFonts w:eastAsia="Calibri"/>
                <w:sz w:val="20"/>
                <w:lang w:val="fr-CA"/>
              </w:rPr>
              <w:t xml:space="preserve"> de l'ordonnance du protonotaire et a confirmé la décision. Un appel subséquent des </w:t>
            </w:r>
            <w:proofErr w:type="spellStart"/>
            <w:r w:rsidRPr="00293CD1">
              <w:rPr>
                <w:rFonts w:eastAsia="Calibri"/>
                <w:sz w:val="20"/>
                <w:lang w:val="fr-CA"/>
              </w:rPr>
              <w:t>demanderesses</w:t>
            </w:r>
            <w:proofErr w:type="spellEnd"/>
            <w:r w:rsidRPr="00293CD1">
              <w:rPr>
                <w:rFonts w:eastAsia="Calibri"/>
                <w:sz w:val="20"/>
                <w:lang w:val="fr-CA"/>
              </w:rPr>
              <w:t xml:space="preserve"> a été rejeté par la Cour d'appel fédérale.</w:t>
            </w:r>
          </w:p>
        </w:tc>
      </w:tr>
      <w:tr w:rsidR="00F16337" w:rsidRPr="00251B16" w:rsidTr="002A6864">
        <w:tc>
          <w:tcPr>
            <w:tcW w:w="5000" w:type="pct"/>
            <w:gridSpan w:val="3"/>
          </w:tcPr>
          <w:p w:rsidR="00F16337" w:rsidRPr="00293CD1" w:rsidRDefault="00F16337" w:rsidP="002A6864">
            <w:pPr>
              <w:jc w:val="both"/>
              <w:rPr>
                <w:rFonts w:eastAsia="Calibri"/>
                <w:sz w:val="20"/>
                <w:lang w:val="fr-CA"/>
              </w:rPr>
            </w:pPr>
          </w:p>
        </w:tc>
      </w:tr>
      <w:tr w:rsidR="00F16337" w:rsidRPr="00251B16" w:rsidTr="002A6864">
        <w:tc>
          <w:tcPr>
            <w:tcW w:w="2427" w:type="pct"/>
          </w:tcPr>
          <w:p w:rsidR="00F16337" w:rsidRPr="00293CD1" w:rsidRDefault="00F16337" w:rsidP="002A6864">
            <w:pPr>
              <w:jc w:val="both"/>
              <w:rPr>
                <w:rFonts w:eastAsia="Calibri"/>
                <w:sz w:val="20"/>
                <w:lang w:val="fr-CA"/>
              </w:rPr>
            </w:pPr>
            <w:r w:rsidRPr="00293CD1">
              <w:rPr>
                <w:rFonts w:eastAsia="Calibri"/>
                <w:sz w:val="20"/>
                <w:lang w:val="fr-CA"/>
              </w:rPr>
              <w:t>21 novembre 2008</w:t>
            </w:r>
          </w:p>
          <w:p w:rsidR="00F16337" w:rsidRPr="00293CD1" w:rsidRDefault="00F16337" w:rsidP="002A6864">
            <w:pPr>
              <w:jc w:val="both"/>
              <w:rPr>
                <w:rFonts w:eastAsia="Calibri"/>
                <w:sz w:val="20"/>
                <w:lang w:val="fr-CA"/>
              </w:rPr>
            </w:pPr>
            <w:r w:rsidRPr="00293CD1">
              <w:rPr>
                <w:rFonts w:eastAsia="Calibri"/>
                <w:sz w:val="20"/>
                <w:lang w:val="fr-CA"/>
              </w:rPr>
              <w:t xml:space="preserve">Cour fédérale </w:t>
            </w:r>
          </w:p>
          <w:p w:rsidR="00F16337" w:rsidRPr="00293CD1" w:rsidRDefault="00F16337" w:rsidP="002A6864">
            <w:pPr>
              <w:jc w:val="both"/>
              <w:rPr>
                <w:rFonts w:eastAsia="Calibri"/>
                <w:sz w:val="20"/>
                <w:lang w:val="fr-CA"/>
              </w:rPr>
            </w:pPr>
            <w:r w:rsidRPr="00293CD1">
              <w:rPr>
                <w:rFonts w:eastAsia="Calibri"/>
                <w:sz w:val="20"/>
                <w:lang w:val="fr-CA"/>
              </w:rPr>
              <w:t xml:space="preserve">(Protonotaire </w:t>
            </w:r>
            <w:proofErr w:type="spellStart"/>
            <w:r w:rsidRPr="00293CD1">
              <w:rPr>
                <w:rFonts w:eastAsia="Calibri"/>
                <w:sz w:val="20"/>
                <w:lang w:val="fr-CA"/>
              </w:rPr>
              <w:t>Lafrenière</w:t>
            </w:r>
            <w:proofErr w:type="spellEnd"/>
            <w:r w:rsidRPr="00293CD1">
              <w:rPr>
                <w:rFonts w:eastAsia="Calibri"/>
                <w:sz w:val="20"/>
                <w:lang w:val="fr-CA"/>
              </w:rPr>
              <w:t>)</w:t>
            </w:r>
          </w:p>
          <w:p w:rsidR="00F16337" w:rsidRPr="00293CD1" w:rsidRDefault="00F16337" w:rsidP="002A6864">
            <w:pPr>
              <w:jc w:val="both"/>
              <w:rPr>
                <w:rFonts w:eastAsia="Calibri"/>
                <w:sz w:val="20"/>
                <w:lang w:val="fr-CA"/>
              </w:rPr>
            </w:pPr>
          </w:p>
        </w:tc>
        <w:tc>
          <w:tcPr>
            <w:tcW w:w="243" w:type="pct"/>
          </w:tcPr>
          <w:p w:rsidR="00F16337" w:rsidRPr="00293CD1" w:rsidRDefault="00F16337" w:rsidP="002A6864">
            <w:pPr>
              <w:jc w:val="both"/>
              <w:rPr>
                <w:rFonts w:eastAsia="Calibri"/>
                <w:sz w:val="20"/>
                <w:lang w:val="fr-CA"/>
              </w:rPr>
            </w:pPr>
          </w:p>
        </w:tc>
        <w:tc>
          <w:tcPr>
            <w:tcW w:w="2330" w:type="pct"/>
          </w:tcPr>
          <w:p w:rsidR="00F16337" w:rsidRPr="00293CD1" w:rsidRDefault="00F16337" w:rsidP="002A6864">
            <w:pPr>
              <w:jc w:val="both"/>
              <w:rPr>
                <w:rFonts w:eastAsia="Calibri"/>
                <w:sz w:val="20"/>
                <w:lang w:val="fr-CA"/>
              </w:rPr>
            </w:pPr>
            <w:r w:rsidRPr="00293CD1">
              <w:rPr>
                <w:rFonts w:eastAsia="Calibri"/>
                <w:sz w:val="20"/>
                <w:lang w:val="fr-CA"/>
              </w:rPr>
              <w:t xml:space="preserve">Ordonnance accueillant la requête de certaines intimées en radiation de parties de la déclaration des </w:t>
            </w:r>
            <w:proofErr w:type="spellStart"/>
            <w:r w:rsidRPr="00293CD1">
              <w:rPr>
                <w:rFonts w:eastAsia="Calibri"/>
                <w:sz w:val="20"/>
                <w:lang w:val="fr-CA"/>
              </w:rPr>
              <w:t>demanderesses</w:t>
            </w:r>
            <w:proofErr w:type="spellEnd"/>
            <w:r w:rsidRPr="00293CD1">
              <w:rPr>
                <w:rFonts w:eastAsia="Calibri"/>
                <w:sz w:val="20"/>
                <w:lang w:val="fr-CA"/>
              </w:rPr>
              <w:t xml:space="preserve"> et en rejet des actions contre chacune de ces intimées</w:t>
            </w:r>
          </w:p>
          <w:p w:rsidR="00F16337" w:rsidRPr="00293CD1" w:rsidRDefault="00F16337" w:rsidP="002A6864">
            <w:pPr>
              <w:jc w:val="both"/>
              <w:rPr>
                <w:rFonts w:eastAsia="Calibri"/>
                <w:sz w:val="20"/>
                <w:lang w:val="fr-CA"/>
              </w:rPr>
            </w:pPr>
          </w:p>
        </w:tc>
      </w:tr>
      <w:tr w:rsidR="00F16337" w:rsidRPr="00251B16" w:rsidTr="002A6864">
        <w:tc>
          <w:tcPr>
            <w:tcW w:w="2427" w:type="pct"/>
          </w:tcPr>
          <w:p w:rsidR="00F16337" w:rsidRPr="00293CD1" w:rsidRDefault="00F16337" w:rsidP="002A6864">
            <w:pPr>
              <w:jc w:val="both"/>
              <w:rPr>
                <w:rFonts w:eastAsia="Calibri"/>
                <w:sz w:val="20"/>
                <w:lang w:val="fr-CA"/>
              </w:rPr>
            </w:pPr>
            <w:r w:rsidRPr="00293CD1">
              <w:rPr>
                <w:rFonts w:eastAsia="Calibri"/>
                <w:sz w:val="20"/>
                <w:lang w:val="fr-CA"/>
              </w:rPr>
              <w:t>8 juin 2009</w:t>
            </w:r>
          </w:p>
          <w:p w:rsidR="00F16337" w:rsidRPr="00293CD1" w:rsidRDefault="00F16337" w:rsidP="002A6864">
            <w:pPr>
              <w:jc w:val="both"/>
              <w:rPr>
                <w:rFonts w:eastAsia="Calibri"/>
                <w:sz w:val="20"/>
                <w:lang w:val="fr-CA"/>
              </w:rPr>
            </w:pPr>
            <w:r w:rsidRPr="00293CD1">
              <w:rPr>
                <w:rFonts w:eastAsia="Calibri"/>
                <w:sz w:val="20"/>
                <w:lang w:val="fr-CA"/>
              </w:rPr>
              <w:t xml:space="preserve">Cour fédérale </w:t>
            </w:r>
          </w:p>
          <w:p w:rsidR="00F16337" w:rsidRPr="00293CD1" w:rsidRDefault="00F16337" w:rsidP="002A6864">
            <w:pPr>
              <w:jc w:val="both"/>
              <w:rPr>
                <w:rFonts w:eastAsia="Calibri"/>
                <w:sz w:val="20"/>
                <w:lang w:val="fr-CA"/>
              </w:rPr>
            </w:pPr>
            <w:r w:rsidRPr="00293CD1">
              <w:rPr>
                <w:rFonts w:eastAsia="Calibri"/>
                <w:sz w:val="20"/>
                <w:lang w:val="fr-CA"/>
              </w:rPr>
              <w:t xml:space="preserve">(Juge </w:t>
            </w:r>
            <w:proofErr w:type="spellStart"/>
            <w:r w:rsidRPr="00293CD1">
              <w:rPr>
                <w:rFonts w:eastAsia="Calibri"/>
                <w:sz w:val="20"/>
                <w:lang w:val="fr-CA"/>
              </w:rPr>
              <w:t>O'Reilly</w:t>
            </w:r>
            <w:proofErr w:type="spellEnd"/>
            <w:r w:rsidRPr="00293CD1">
              <w:rPr>
                <w:rFonts w:eastAsia="Calibri"/>
                <w:sz w:val="20"/>
                <w:lang w:val="fr-CA"/>
              </w:rPr>
              <w:t>)</w:t>
            </w:r>
          </w:p>
          <w:p w:rsidR="00F16337" w:rsidRPr="00293CD1" w:rsidRDefault="00F16337" w:rsidP="002A6864">
            <w:pPr>
              <w:jc w:val="both"/>
              <w:rPr>
                <w:rFonts w:eastAsia="Calibri"/>
                <w:sz w:val="20"/>
                <w:lang w:val="fr-CA"/>
              </w:rPr>
            </w:pPr>
            <w:r w:rsidRPr="00293CD1">
              <w:rPr>
                <w:rFonts w:eastAsia="Calibri"/>
                <w:sz w:val="20"/>
                <w:lang w:val="fr-CA"/>
              </w:rPr>
              <w:t>2009 FC 592</w:t>
            </w:r>
          </w:p>
          <w:p w:rsidR="00F16337" w:rsidRPr="00293CD1" w:rsidRDefault="00F16337" w:rsidP="002A6864">
            <w:pPr>
              <w:jc w:val="both"/>
              <w:rPr>
                <w:rFonts w:eastAsia="Calibri"/>
                <w:sz w:val="20"/>
                <w:lang w:val="fr-CA"/>
              </w:rPr>
            </w:pPr>
          </w:p>
        </w:tc>
        <w:tc>
          <w:tcPr>
            <w:tcW w:w="243" w:type="pct"/>
          </w:tcPr>
          <w:p w:rsidR="00F16337" w:rsidRPr="00293CD1" w:rsidRDefault="00F16337" w:rsidP="002A6864">
            <w:pPr>
              <w:jc w:val="both"/>
              <w:rPr>
                <w:rFonts w:eastAsia="Calibri"/>
                <w:sz w:val="20"/>
                <w:lang w:val="fr-CA"/>
              </w:rPr>
            </w:pPr>
          </w:p>
        </w:tc>
        <w:tc>
          <w:tcPr>
            <w:tcW w:w="2330" w:type="pct"/>
          </w:tcPr>
          <w:p w:rsidR="00F16337" w:rsidRPr="00293CD1" w:rsidRDefault="00F16337" w:rsidP="002A6864">
            <w:pPr>
              <w:jc w:val="both"/>
              <w:rPr>
                <w:rFonts w:eastAsia="Calibri"/>
                <w:sz w:val="20"/>
                <w:lang w:val="fr-CA"/>
              </w:rPr>
            </w:pPr>
            <w:r w:rsidRPr="00293CD1">
              <w:rPr>
                <w:rFonts w:eastAsia="Calibri"/>
                <w:sz w:val="20"/>
                <w:lang w:val="fr-CA"/>
              </w:rPr>
              <w:t xml:space="preserve">Appel de l'ordonnance du protonotaire par les </w:t>
            </w:r>
            <w:proofErr w:type="spellStart"/>
            <w:r w:rsidRPr="00293CD1">
              <w:rPr>
                <w:rFonts w:eastAsia="Calibri"/>
                <w:sz w:val="20"/>
                <w:lang w:val="fr-CA"/>
              </w:rPr>
              <w:t>demanderesses</w:t>
            </w:r>
            <w:proofErr w:type="spellEnd"/>
            <w:r w:rsidRPr="00293CD1">
              <w:rPr>
                <w:rFonts w:eastAsia="Calibri"/>
                <w:sz w:val="20"/>
                <w:lang w:val="fr-CA"/>
              </w:rPr>
              <w:t>, rejeté</w:t>
            </w:r>
          </w:p>
        </w:tc>
      </w:tr>
      <w:tr w:rsidR="00F16337" w:rsidRPr="00251B16" w:rsidTr="00341F91">
        <w:trPr>
          <w:cantSplit/>
        </w:trPr>
        <w:tc>
          <w:tcPr>
            <w:tcW w:w="2427" w:type="pct"/>
          </w:tcPr>
          <w:p w:rsidR="00F16337" w:rsidRPr="00293CD1" w:rsidRDefault="00F16337" w:rsidP="002A6864">
            <w:pPr>
              <w:jc w:val="both"/>
              <w:rPr>
                <w:rFonts w:eastAsia="Calibri"/>
                <w:sz w:val="20"/>
                <w:lang w:val="fr-CA"/>
              </w:rPr>
            </w:pPr>
            <w:r w:rsidRPr="00293CD1">
              <w:rPr>
                <w:rFonts w:eastAsia="Calibri"/>
                <w:sz w:val="20"/>
                <w:lang w:val="fr-CA"/>
              </w:rPr>
              <w:t>7 juin 2011</w:t>
            </w:r>
          </w:p>
          <w:p w:rsidR="00F16337" w:rsidRPr="00293CD1" w:rsidRDefault="00F16337" w:rsidP="002A6864">
            <w:pPr>
              <w:jc w:val="both"/>
              <w:rPr>
                <w:rFonts w:eastAsia="Calibri"/>
                <w:sz w:val="20"/>
                <w:lang w:val="fr-CA"/>
              </w:rPr>
            </w:pPr>
            <w:r w:rsidRPr="00293CD1">
              <w:rPr>
                <w:rFonts w:eastAsia="Calibri"/>
                <w:sz w:val="20"/>
                <w:lang w:val="fr-CA"/>
              </w:rPr>
              <w:t xml:space="preserve">Cour d'appel fédérale </w:t>
            </w:r>
          </w:p>
          <w:p w:rsidR="00F16337" w:rsidRPr="00293CD1" w:rsidRDefault="00F16337" w:rsidP="002A6864">
            <w:pPr>
              <w:jc w:val="both"/>
              <w:rPr>
                <w:rFonts w:eastAsia="Calibri"/>
                <w:sz w:val="20"/>
                <w:lang w:val="fr-CA"/>
              </w:rPr>
            </w:pPr>
            <w:r w:rsidRPr="00293CD1">
              <w:rPr>
                <w:rFonts w:eastAsia="Calibri"/>
                <w:sz w:val="20"/>
                <w:lang w:val="fr-CA"/>
              </w:rPr>
              <w:t>(Vancouver)</w:t>
            </w:r>
          </w:p>
          <w:p w:rsidR="00F16337" w:rsidRPr="00293CD1" w:rsidRDefault="00F16337" w:rsidP="002A6864">
            <w:pPr>
              <w:jc w:val="both"/>
              <w:rPr>
                <w:rFonts w:eastAsia="Calibri"/>
                <w:sz w:val="20"/>
                <w:lang w:val="fr-CA"/>
              </w:rPr>
            </w:pPr>
            <w:r w:rsidRPr="00293CD1">
              <w:rPr>
                <w:rFonts w:eastAsia="Calibri"/>
                <w:sz w:val="20"/>
                <w:lang w:val="fr-CA"/>
              </w:rPr>
              <w:t xml:space="preserve">(Juge en chef Blais, juges </w:t>
            </w:r>
            <w:proofErr w:type="spellStart"/>
            <w:r w:rsidRPr="00293CD1">
              <w:rPr>
                <w:rFonts w:eastAsia="Calibri"/>
                <w:sz w:val="20"/>
                <w:lang w:val="fr-CA"/>
              </w:rPr>
              <w:t>Sharlow</w:t>
            </w:r>
            <w:proofErr w:type="spellEnd"/>
            <w:r w:rsidRPr="00293CD1">
              <w:rPr>
                <w:rFonts w:eastAsia="Calibri"/>
                <w:sz w:val="20"/>
                <w:lang w:val="fr-CA"/>
              </w:rPr>
              <w:t xml:space="preserve"> et Trudel)</w:t>
            </w:r>
          </w:p>
          <w:p w:rsidR="00F16337" w:rsidRPr="00293CD1" w:rsidRDefault="00F16337" w:rsidP="002A6864">
            <w:pPr>
              <w:jc w:val="both"/>
              <w:rPr>
                <w:rFonts w:eastAsia="Calibri"/>
                <w:sz w:val="20"/>
              </w:rPr>
            </w:pPr>
            <w:r w:rsidRPr="00293CD1">
              <w:rPr>
                <w:rFonts w:eastAsia="Calibri"/>
                <w:sz w:val="20"/>
              </w:rPr>
              <w:t>2011 FCA 193</w:t>
            </w:r>
          </w:p>
          <w:p w:rsidR="00F16337" w:rsidRPr="00293CD1" w:rsidRDefault="00F16337" w:rsidP="002A6864">
            <w:pPr>
              <w:jc w:val="both"/>
              <w:rPr>
                <w:rFonts w:eastAsia="Calibri"/>
                <w:sz w:val="20"/>
              </w:rPr>
            </w:pPr>
            <w:r w:rsidRPr="00293CD1">
              <w:rPr>
                <w:rFonts w:eastAsia="Calibri"/>
                <w:sz w:val="20"/>
              </w:rPr>
              <w:t>N</w:t>
            </w:r>
            <w:r w:rsidRPr="00293CD1">
              <w:rPr>
                <w:rFonts w:eastAsia="Calibri"/>
                <w:sz w:val="20"/>
                <w:vertAlign w:val="superscript"/>
              </w:rPr>
              <w:t>o</w:t>
            </w:r>
            <w:r w:rsidRPr="00293CD1">
              <w:rPr>
                <w:rFonts w:eastAsia="Calibri"/>
                <w:sz w:val="20"/>
              </w:rPr>
              <w:t xml:space="preserve"> du </w:t>
            </w:r>
            <w:proofErr w:type="spellStart"/>
            <w:r w:rsidRPr="00293CD1">
              <w:rPr>
                <w:rFonts w:eastAsia="Calibri"/>
                <w:sz w:val="20"/>
              </w:rPr>
              <w:t>greffe</w:t>
            </w:r>
            <w:proofErr w:type="spellEnd"/>
            <w:r w:rsidRPr="00293CD1">
              <w:rPr>
                <w:rFonts w:eastAsia="Calibri"/>
                <w:sz w:val="20"/>
              </w:rPr>
              <w:t xml:space="preserve"> :  A-278-09</w:t>
            </w:r>
          </w:p>
          <w:p w:rsidR="00F16337" w:rsidRPr="00293CD1" w:rsidRDefault="00F16337" w:rsidP="002A6864">
            <w:pPr>
              <w:jc w:val="both"/>
              <w:rPr>
                <w:rFonts w:eastAsia="Calibri"/>
                <w:sz w:val="20"/>
              </w:rPr>
            </w:pPr>
          </w:p>
        </w:tc>
        <w:tc>
          <w:tcPr>
            <w:tcW w:w="243" w:type="pct"/>
          </w:tcPr>
          <w:p w:rsidR="00F16337" w:rsidRPr="00293CD1" w:rsidRDefault="00F16337" w:rsidP="002A6864">
            <w:pPr>
              <w:jc w:val="both"/>
              <w:rPr>
                <w:rFonts w:eastAsia="Calibri"/>
                <w:sz w:val="20"/>
              </w:rPr>
            </w:pPr>
          </w:p>
        </w:tc>
        <w:tc>
          <w:tcPr>
            <w:tcW w:w="2330" w:type="pct"/>
          </w:tcPr>
          <w:p w:rsidR="00F16337" w:rsidRPr="00293CD1" w:rsidRDefault="00F16337" w:rsidP="002A6864">
            <w:pPr>
              <w:jc w:val="both"/>
              <w:rPr>
                <w:rFonts w:eastAsia="Calibri"/>
                <w:sz w:val="20"/>
                <w:lang w:val="fr-CA"/>
              </w:rPr>
            </w:pPr>
            <w:r w:rsidRPr="00293CD1">
              <w:rPr>
                <w:rFonts w:eastAsia="Calibri"/>
                <w:sz w:val="20"/>
                <w:lang w:val="fr-CA"/>
              </w:rPr>
              <w:t xml:space="preserve">Appel de la décision du juge par les </w:t>
            </w:r>
            <w:proofErr w:type="spellStart"/>
            <w:r w:rsidRPr="00293CD1">
              <w:rPr>
                <w:rFonts w:eastAsia="Calibri"/>
                <w:sz w:val="20"/>
                <w:lang w:val="fr-CA"/>
              </w:rPr>
              <w:t>demanderesses</w:t>
            </w:r>
            <w:proofErr w:type="spellEnd"/>
            <w:r w:rsidRPr="00293CD1">
              <w:rPr>
                <w:rFonts w:eastAsia="Calibri"/>
                <w:sz w:val="20"/>
                <w:lang w:val="fr-CA"/>
              </w:rPr>
              <w:t>, rejeté</w:t>
            </w:r>
          </w:p>
          <w:p w:rsidR="00F16337" w:rsidRPr="00293CD1" w:rsidRDefault="00F16337" w:rsidP="002A6864">
            <w:pPr>
              <w:jc w:val="both"/>
              <w:rPr>
                <w:rFonts w:eastAsia="Calibri"/>
                <w:sz w:val="20"/>
                <w:lang w:val="fr-CA"/>
              </w:rPr>
            </w:pPr>
          </w:p>
        </w:tc>
      </w:tr>
      <w:tr w:rsidR="00F16337" w:rsidRPr="00293CD1" w:rsidTr="00341F91">
        <w:trPr>
          <w:cantSplit/>
        </w:trPr>
        <w:tc>
          <w:tcPr>
            <w:tcW w:w="2427" w:type="pct"/>
          </w:tcPr>
          <w:p w:rsidR="00F16337" w:rsidRPr="00293CD1" w:rsidRDefault="00F16337" w:rsidP="002A6864">
            <w:pPr>
              <w:jc w:val="both"/>
              <w:rPr>
                <w:rFonts w:eastAsia="Calibri"/>
                <w:sz w:val="20"/>
                <w:lang w:val="fr-CA"/>
              </w:rPr>
            </w:pPr>
            <w:r w:rsidRPr="00293CD1">
              <w:rPr>
                <w:rFonts w:eastAsia="Calibri"/>
                <w:sz w:val="20"/>
                <w:lang w:val="fr-CA"/>
              </w:rPr>
              <w:t>6 septembre 2011</w:t>
            </w:r>
          </w:p>
          <w:p w:rsidR="00F16337" w:rsidRPr="00293CD1" w:rsidRDefault="00F16337" w:rsidP="002A6864">
            <w:pPr>
              <w:jc w:val="both"/>
              <w:rPr>
                <w:rFonts w:eastAsia="Calibri"/>
                <w:sz w:val="20"/>
                <w:lang w:val="fr-CA"/>
              </w:rPr>
            </w:pPr>
            <w:r w:rsidRPr="00293CD1">
              <w:rPr>
                <w:rFonts w:eastAsia="Calibri"/>
                <w:sz w:val="20"/>
                <w:lang w:val="fr-CA"/>
              </w:rPr>
              <w:t>Cour suprême du Canada</w:t>
            </w:r>
          </w:p>
        </w:tc>
        <w:tc>
          <w:tcPr>
            <w:tcW w:w="243" w:type="pct"/>
          </w:tcPr>
          <w:p w:rsidR="00F16337" w:rsidRPr="00293CD1" w:rsidRDefault="00F16337" w:rsidP="002A6864">
            <w:pPr>
              <w:jc w:val="both"/>
              <w:rPr>
                <w:rFonts w:eastAsia="Calibri"/>
                <w:sz w:val="20"/>
                <w:lang w:val="fr-CA"/>
              </w:rPr>
            </w:pPr>
          </w:p>
        </w:tc>
        <w:tc>
          <w:tcPr>
            <w:tcW w:w="2330" w:type="pct"/>
          </w:tcPr>
          <w:p w:rsidR="00F16337" w:rsidRPr="00293CD1" w:rsidRDefault="00F16337" w:rsidP="002A6864">
            <w:pPr>
              <w:jc w:val="both"/>
              <w:rPr>
                <w:rFonts w:eastAsia="Calibri"/>
                <w:sz w:val="20"/>
                <w:lang w:val="fr-CA"/>
              </w:rPr>
            </w:pPr>
            <w:r w:rsidRPr="00293CD1">
              <w:rPr>
                <w:rFonts w:eastAsia="Calibri"/>
                <w:sz w:val="20"/>
                <w:lang w:val="fr-CA"/>
              </w:rPr>
              <w:t>Demande d'autorisation d'appel, déposée</w:t>
            </w:r>
          </w:p>
          <w:p w:rsidR="00F16337" w:rsidRPr="00293CD1" w:rsidRDefault="00F16337" w:rsidP="002A6864">
            <w:pPr>
              <w:jc w:val="both"/>
              <w:rPr>
                <w:rFonts w:eastAsia="Calibri"/>
                <w:sz w:val="20"/>
                <w:lang w:val="fr-CA"/>
              </w:rPr>
            </w:pP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48" style="width:2in;height:1pt" o:hrpct="0" o:hralign="center" o:hrstd="t" o:hrnoshade="t" o:hr="t" fillcolor="black [3213]" stroked="f"/>
        </w:pict>
      </w:r>
    </w:p>
    <w:p w:rsidR="00F9104A" w:rsidRDefault="00F9104A" w:rsidP="00F9104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6DD6" w:rsidRPr="002B11E5" w:rsidTr="002A6864">
        <w:trPr>
          <w:cantSplit/>
        </w:trPr>
        <w:tc>
          <w:tcPr>
            <w:tcW w:w="1458" w:type="dxa"/>
          </w:tcPr>
          <w:p w:rsidR="00246DD6" w:rsidRPr="002B11E5" w:rsidRDefault="00246DD6" w:rsidP="002A6864">
            <w:pPr>
              <w:rPr>
                <w:sz w:val="20"/>
                <w:szCs w:val="20"/>
              </w:rPr>
            </w:pPr>
            <w:r w:rsidRPr="002B11E5">
              <w:rPr>
                <w:rStyle w:val="SCCFileNumberChar"/>
                <w:sz w:val="20"/>
                <w:szCs w:val="20"/>
              </w:rPr>
              <w:t>34427</w:t>
            </w:r>
          </w:p>
          <w:p w:rsidR="00246DD6" w:rsidRPr="002B11E5" w:rsidRDefault="00246DD6" w:rsidP="002A6864">
            <w:pPr>
              <w:rPr>
                <w:b/>
                <w:sz w:val="20"/>
                <w:szCs w:val="20"/>
                <w:lang w:val="fr-CA"/>
              </w:rPr>
            </w:pPr>
          </w:p>
        </w:tc>
        <w:tc>
          <w:tcPr>
            <w:tcW w:w="8118" w:type="dxa"/>
          </w:tcPr>
          <w:p w:rsidR="00246DD6" w:rsidRPr="002B11E5" w:rsidRDefault="00246DD6" w:rsidP="00341F91">
            <w:pPr>
              <w:jc w:val="both"/>
              <w:rPr>
                <w:sz w:val="20"/>
                <w:szCs w:val="20"/>
              </w:rPr>
            </w:pPr>
            <w:proofErr w:type="spellStart"/>
            <w:r w:rsidRPr="00246DD6">
              <w:rPr>
                <w:rStyle w:val="SCCLsocChar"/>
                <w:sz w:val="20"/>
                <w:szCs w:val="20"/>
                <w:lang w:val="en-CA"/>
              </w:rPr>
              <w:t>Savitri</w:t>
            </w:r>
            <w:proofErr w:type="spellEnd"/>
            <w:r w:rsidRPr="00246DD6">
              <w:rPr>
                <w:rStyle w:val="SCCLsocChar"/>
                <w:sz w:val="20"/>
                <w:szCs w:val="20"/>
                <w:lang w:val="en-CA"/>
              </w:rPr>
              <w:t xml:space="preserve"> </w:t>
            </w:r>
            <w:proofErr w:type="spellStart"/>
            <w:r w:rsidRPr="00246DD6">
              <w:rPr>
                <w:rStyle w:val="SCCLsocChar"/>
                <w:sz w:val="20"/>
                <w:szCs w:val="20"/>
                <w:lang w:val="en-CA"/>
              </w:rPr>
              <w:t>Ramsaroop</w:t>
            </w:r>
            <w:proofErr w:type="spellEnd"/>
            <w:r w:rsidRPr="00246DD6">
              <w:rPr>
                <w:rStyle w:val="SCCLsocChar"/>
                <w:sz w:val="20"/>
                <w:szCs w:val="20"/>
                <w:lang w:val="en-CA"/>
              </w:rPr>
              <w:t xml:space="preserve"> v. McGill University Health Centre</w:t>
            </w:r>
            <w:r w:rsidR="00341F91">
              <w:rPr>
                <w:rStyle w:val="SCCLsocChar"/>
                <w:sz w:val="20"/>
                <w:szCs w:val="20"/>
                <w:lang w:val="en-CA"/>
              </w:rPr>
              <w:t xml:space="preserve"> and </w:t>
            </w:r>
            <w:r w:rsidRPr="00246DD6">
              <w:rPr>
                <w:rStyle w:val="SCCLsocChar"/>
                <w:sz w:val="20"/>
                <w:szCs w:val="20"/>
                <w:lang w:val="en-CA"/>
              </w:rPr>
              <w:t>McGill University Health Centre Employees' Union-CSN</w:t>
            </w:r>
            <w:r w:rsidRPr="002B11E5">
              <w:rPr>
                <w:sz w:val="20"/>
                <w:szCs w:val="20"/>
              </w:rPr>
              <w:t xml:space="preserve"> (Que.) (Civil) (By Leave)</w:t>
            </w:r>
          </w:p>
          <w:p w:rsidR="00246DD6" w:rsidRPr="002B11E5" w:rsidRDefault="00246DD6" w:rsidP="002A6864">
            <w:pPr>
              <w:rPr>
                <w:sz w:val="20"/>
                <w:szCs w:val="20"/>
              </w:rPr>
            </w:pPr>
          </w:p>
        </w:tc>
      </w:tr>
      <w:tr w:rsidR="00246DD6" w:rsidRPr="002B11E5" w:rsidTr="002A6864">
        <w:trPr>
          <w:cantSplit/>
        </w:trPr>
        <w:tc>
          <w:tcPr>
            <w:tcW w:w="1458" w:type="dxa"/>
          </w:tcPr>
          <w:p w:rsidR="00246DD6" w:rsidRPr="002B11E5" w:rsidRDefault="00246DD6" w:rsidP="002A6864">
            <w:pPr>
              <w:rPr>
                <w:sz w:val="20"/>
                <w:szCs w:val="20"/>
              </w:rPr>
            </w:pPr>
            <w:r w:rsidRPr="002B11E5">
              <w:rPr>
                <w:sz w:val="20"/>
                <w:szCs w:val="20"/>
              </w:rPr>
              <w:t>Coram :</w:t>
            </w:r>
          </w:p>
        </w:tc>
        <w:tc>
          <w:tcPr>
            <w:tcW w:w="8118" w:type="dxa"/>
          </w:tcPr>
          <w:p w:rsidR="00246DD6" w:rsidRPr="002B11E5" w:rsidRDefault="00246DD6" w:rsidP="002A6864">
            <w:pPr>
              <w:rPr>
                <w:sz w:val="20"/>
                <w:szCs w:val="20"/>
              </w:rPr>
            </w:pPr>
            <w:proofErr w:type="spellStart"/>
            <w:r w:rsidRPr="00246DD6">
              <w:rPr>
                <w:rStyle w:val="SCCCoramChar"/>
                <w:sz w:val="20"/>
                <w:szCs w:val="20"/>
                <w:lang w:val="en-CA"/>
              </w:rPr>
              <w:t>LeBel</w:t>
            </w:r>
            <w:proofErr w:type="spellEnd"/>
            <w:r w:rsidRPr="00246DD6">
              <w:rPr>
                <w:rStyle w:val="SCCCoramChar"/>
                <w:sz w:val="20"/>
                <w:szCs w:val="20"/>
                <w:lang w:val="en-CA"/>
              </w:rPr>
              <w:t xml:space="preserve">, </w:t>
            </w:r>
            <w:proofErr w:type="spellStart"/>
            <w:r w:rsidRPr="00246DD6">
              <w:rPr>
                <w:rStyle w:val="SCCCoramChar"/>
                <w:sz w:val="20"/>
                <w:szCs w:val="20"/>
                <w:lang w:val="en-CA"/>
              </w:rPr>
              <w:t>Deschamps</w:t>
            </w:r>
            <w:proofErr w:type="spellEnd"/>
            <w:r w:rsidRPr="00246DD6">
              <w:rPr>
                <w:rStyle w:val="SCCCoramChar"/>
                <w:sz w:val="20"/>
                <w:szCs w:val="20"/>
                <w:lang w:val="en-CA"/>
              </w:rPr>
              <w:t xml:space="preserve"> and </w:t>
            </w:r>
            <w:proofErr w:type="spellStart"/>
            <w:r w:rsidRPr="00246DD6">
              <w:rPr>
                <w:rStyle w:val="SCCCoramChar"/>
                <w:sz w:val="20"/>
                <w:szCs w:val="20"/>
                <w:lang w:val="en-CA"/>
              </w:rPr>
              <w:t>Karakatsanis</w:t>
            </w:r>
            <w:proofErr w:type="spellEnd"/>
            <w:r w:rsidRPr="00246DD6">
              <w:rPr>
                <w:rStyle w:val="SCCCoramChar"/>
                <w:sz w:val="20"/>
                <w:szCs w:val="20"/>
                <w:lang w:val="en-CA"/>
              </w:rPr>
              <w:t> JJ.</w:t>
            </w:r>
          </w:p>
          <w:p w:rsidR="00246DD6" w:rsidRPr="002B11E5" w:rsidRDefault="00246DD6" w:rsidP="002A6864">
            <w:pPr>
              <w:rPr>
                <w:sz w:val="20"/>
                <w:szCs w:val="20"/>
                <w:u w:val="single"/>
              </w:rPr>
            </w:pPr>
          </w:p>
        </w:tc>
      </w:tr>
      <w:tr w:rsidR="00246DD6" w:rsidRPr="00251B16" w:rsidTr="002A6864">
        <w:trPr>
          <w:cantSplit/>
        </w:trPr>
        <w:tc>
          <w:tcPr>
            <w:tcW w:w="9576" w:type="dxa"/>
            <w:gridSpan w:val="2"/>
          </w:tcPr>
          <w:p w:rsidR="00246DD6" w:rsidRPr="002B11E5" w:rsidRDefault="00246DD6" w:rsidP="002A6864">
            <w:pPr>
              <w:pStyle w:val="SCCShortJudgment"/>
              <w:rPr>
                <w:szCs w:val="20"/>
              </w:rPr>
            </w:pPr>
            <w:r w:rsidRPr="002B11E5">
              <w:rPr>
                <w:szCs w:val="20"/>
              </w:rPr>
              <w:t>The application for leave to appeal from the judgment of the Court of Appeal of Quebec (Montréal), Number 500-09-021705-116, 2011 QCCA 1109, dated June 14, 2011, is dismissed with costs to the respondent McGill University Health Centre.</w:t>
            </w:r>
          </w:p>
          <w:p w:rsidR="00246DD6" w:rsidRPr="002B11E5" w:rsidRDefault="00246DD6" w:rsidP="002A6864">
            <w:pPr>
              <w:pStyle w:val="SCCShortJudgment"/>
              <w:ind w:firstLine="0"/>
              <w:rPr>
                <w:szCs w:val="20"/>
              </w:rPr>
            </w:pPr>
          </w:p>
          <w:p w:rsidR="00246DD6" w:rsidRPr="002B11E5" w:rsidRDefault="00246DD6" w:rsidP="002A6864">
            <w:pPr>
              <w:pStyle w:val="SCCShortJudgment"/>
              <w:rPr>
                <w:szCs w:val="20"/>
                <w:lang w:val="fr-CA"/>
              </w:rPr>
            </w:pPr>
            <w:r w:rsidRPr="002B11E5">
              <w:rPr>
                <w:szCs w:val="20"/>
                <w:lang w:val="fr-CA"/>
              </w:rPr>
              <w:t>La demande d’autorisation d’appel de l’arrêt de la Cour d’appel du Québec (Montréal), numéro 500-09-021705-116, 2011 QCCA 1109, daté du 14 juin 2011, est rejetée avec dépens en faveur de l’intimé Centre universitaire de santé McGill.</w:t>
            </w:r>
          </w:p>
        </w:tc>
      </w:tr>
    </w:tbl>
    <w:p w:rsidR="00F9104A" w:rsidRPr="00246DD6" w:rsidRDefault="00F9104A" w:rsidP="00F9104A">
      <w:pPr>
        <w:rPr>
          <w:sz w:val="20"/>
          <w:szCs w:val="20"/>
          <w:lang w:val="fr-CA"/>
        </w:rPr>
      </w:pPr>
    </w:p>
    <w:p w:rsidR="00F9104A" w:rsidRPr="001B157C" w:rsidRDefault="00F9104A" w:rsidP="00F9104A">
      <w:pPr>
        <w:rPr>
          <w:sz w:val="20"/>
          <w:szCs w:val="20"/>
          <w:u w:val="single"/>
        </w:rPr>
      </w:pPr>
      <w:r w:rsidRPr="001B157C">
        <w:rPr>
          <w:sz w:val="20"/>
          <w:szCs w:val="20"/>
          <w:u w:val="single"/>
        </w:rPr>
        <w:t>CASE SUMMARY</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E5192" w:rsidRPr="00293CD1" w:rsidTr="002A6864">
        <w:tc>
          <w:tcPr>
            <w:tcW w:w="5000" w:type="pct"/>
            <w:gridSpan w:val="3"/>
          </w:tcPr>
          <w:p w:rsidR="00DE5192" w:rsidRPr="00293CD1" w:rsidRDefault="00DE5192" w:rsidP="002A6864">
            <w:pPr>
              <w:jc w:val="both"/>
              <w:rPr>
                <w:rFonts w:eastAsia="Calibri"/>
                <w:sz w:val="20"/>
              </w:rPr>
            </w:pPr>
            <w:r w:rsidRPr="00293CD1">
              <w:rPr>
                <w:rFonts w:eastAsia="Calibri"/>
                <w:sz w:val="20"/>
              </w:rPr>
              <w:t xml:space="preserve">Labour relations – Remedies – Prescription – Impossibility to act – Union refusing to proceed with grievances previously filed to contest employee’s dismissal – Superior Court dismissing action by unionized employee against employer under art. 2091 C.C.Q. for lack of jurisdiction – Employee subsequently filing complaint against union under s. 47.2 of </w:t>
            </w:r>
            <w:r w:rsidRPr="00293CD1">
              <w:rPr>
                <w:rFonts w:eastAsia="Calibri"/>
                <w:i/>
                <w:sz w:val="20"/>
              </w:rPr>
              <w:t>Labour Code</w:t>
            </w:r>
            <w:r w:rsidRPr="00293CD1">
              <w:rPr>
                <w:rFonts w:eastAsia="Calibri"/>
                <w:sz w:val="20"/>
              </w:rPr>
              <w:t xml:space="preserve"> – Whether it could be found in proceedings below that action against union prescribed in circumstances – Whether decisions consistent with principles of natural justice – Whether Court of Appeal erred in refusing leave to appeal.</w:t>
            </w:r>
          </w:p>
        </w:tc>
      </w:tr>
      <w:tr w:rsidR="00DE5192" w:rsidRPr="00293CD1" w:rsidTr="002A6864">
        <w:tc>
          <w:tcPr>
            <w:tcW w:w="5000" w:type="pct"/>
            <w:gridSpan w:val="3"/>
          </w:tcPr>
          <w:p w:rsidR="00DE5192" w:rsidRPr="00293CD1" w:rsidRDefault="00DE5192" w:rsidP="002A6864">
            <w:pPr>
              <w:jc w:val="both"/>
              <w:rPr>
                <w:rFonts w:eastAsia="Calibri"/>
                <w:sz w:val="20"/>
              </w:rPr>
            </w:pPr>
          </w:p>
        </w:tc>
      </w:tr>
      <w:tr w:rsidR="00DE5192" w:rsidRPr="00293CD1" w:rsidTr="002A6864">
        <w:tc>
          <w:tcPr>
            <w:tcW w:w="5000" w:type="pct"/>
            <w:gridSpan w:val="3"/>
          </w:tcPr>
          <w:p w:rsidR="00DE5192" w:rsidRPr="00293CD1" w:rsidRDefault="00DE5192" w:rsidP="002A6864">
            <w:pPr>
              <w:jc w:val="both"/>
              <w:rPr>
                <w:rFonts w:eastAsia="Calibri"/>
                <w:sz w:val="20"/>
              </w:rPr>
            </w:pPr>
            <w:r w:rsidRPr="00293CD1">
              <w:rPr>
                <w:rFonts w:eastAsia="Calibri"/>
                <w:sz w:val="20"/>
              </w:rPr>
              <w:t>The applicant, Ms. </w:t>
            </w:r>
            <w:proofErr w:type="spellStart"/>
            <w:r w:rsidRPr="00293CD1">
              <w:rPr>
                <w:rFonts w:eastAsia="Calibri"/>
                <w:sz w:val="20"/>
              </w:rPr>
              <w:t>Ramsaroop</w:t>
            </w:r>
            <w:proofErr w:type="spellEnd"/>
            <w:r w:rsidRPr="00293CD1">
              <w:rPr>
                <w:rFonts w:eastAsia="Calibri"/>
                <w:sz w:val="20"/>
              </w:rPr>
              <w:t>, was dismissed by her employer, the respondent McGill University Health Centre (“MUHC”).  Her union, the other respondent, filed grievances against that decision.  The MUHC made a final offer of accommodation, but Ms. </w:t>
            </w:r>
            <w:proofErr w:type="spellStart"/>
            <w:r w:rsidRPr="00293CD1">
              <w:rPr>
                <w:rFonts w:eastAsia="Calibri"/>
                <w:sz w:val="20"/>
              </w:rPr>
              <w:t>Ramsaroop</w:t>
            </w:r>
            <w:proofErr w:type="spellEnd"/>
            <w:r w:rsidRPr="00293CD1">
              <w:rPr>
                <w:rFonts w:eastAsia="Calibri"/>
                <w:sz w:val="20"/>
              </w:rPr>
              <w:t xml:space="preserve"> rejected it.  The union then decided not to proceed with arbitration.  Ms. </w:t>
            </w:r>
            <w:proofErr w:type="spellStart"/>
            <w:r w:rsidRPr="00293CD1">
              <w:rPr>
                <w:rFonts w:eastAsia="Calibri"/>
                <w:sz w:val="20"/>
              </w:rPr>
              <w:t>Ramsaroop</w:t>
            </w:r>
            <w:proofErr w:type="spellEnd"/>
            <w:r w:rsidRPr="00293CD1">
              <w:rPr>
                <w:rFonts w:eastAsia="Calibri"/>
                <w:sz w:val="20"/>
              </w:rPr>
              <w:t xml:space="preserve"> filed a motion in the Superior Court to institute proceedings against the MUHC, </w:t>
            </w:r>
            <w:r w:rsidRPr="00293CD1">
              <w:rPr>
                <w:rFonts w:eastAsia="Calibri"/>
                <w:i/>
                <w:sz w:val="20"/>
              </w:rPr>
              <w:t>inter alia</w:t>
            </w:r>
            <w:r w:rsidRPr="00293CD1">
              <w:rPr>
                <w:rFonts w:eastAsia="Calibri"/>
                <w:sz w:val="20"/>
              </w:rPr>
              <w:t xml:space="preserve"> under art. 2091 C.C.Q. (reasonable notice of termination required for contracts of employment with an indeterminate term).  The Superior Court dismissed the action at a preliminary stage on the ground of lack of jurisdiction (2009 QCCS 6578).  Ms. </w:t>
            </w:r>
            <w:proofErr w:type="spellStart"/>
            <w:r w:rsidRPr="00293CD1">
              <w:rPr>
                <w:rFonts w:eastAsia="Calibri"/>
                <w:sz w:val="20"/>
              </w:rPr>
              <w:t>Ramsaroop</w:t>
            </w:r>
            <w:proofErr w:type="spellEnd"/>
            <w:r w:rsidRPr="00293CD1">
              <w:rPr>
                <w:rFonts w:eastAsia="Calibri"/>
                <w:sz w:val="20"/>
              </w:rPr>
              <w:t xml:space="preserve"> then filed a complaint against the union with the Commission des relations du travail under s. 47.2 of the </w:t>
            </w:r>
            <w:r w:rsidRPr="00293CD1">
              <w:rPr>
                <w:rFonts w:eastAsia="Calibri"/>
                <w:i/>
                <w:sz w:val="20"/>
              </w:rPr>
              <w:t>Labour Code</w:t>
            </w:r>
            <w:r w:rsidRPr="00293CD1">
              <w:rPr>
                <w:rFonts w:eastAsia="Calibri"/>
                <w:sz w:val="20"/>
              </w:rPr>
              <w:t xml:space="preserve">.  She alleged in particular that the union had acted in bad faith and shown negligence in dealing with the grievances relating to her dismissal.  The Commission dismissed the complaint at the preliminary stage because it had not been filed within the </w:t>
            </w:r>
            <w:proofErr w:type="spellStart"/>
            <w:r w:rsidRPr="00293CD1">
              <w:rPr>
                <w:rFonts w:eastAsia="Calibri"/>
                <w:sz w:val="20"/>
              </w:rPr>
              <w:t>six</w:t>
            </w:r>
            <w:r w:rsidRPr="00293CD1">
              <w:rPr>
                <w:rFonts w:eastAsia="Calibri"/>
                <w:sz w:val="20"/>
              </w:rPr>
              <w:noBreakHyphen/>
              <w:t>month</w:t>
            </w:r>
            <w:proofErr w:type="spellEnd"/>
            <w:r w:rsidRPr="00293CD1">
              <w:rPr>
                <w:rFonts w:eastAsia="Calibri"/>
                <w:sz w:val="20"/>
              </w:rPr>
              <w:t xml:space="preserve"> period referred to in s. 47.3 of the </w:t>
            </w:r>
            <w:r w:rsidRPr="00293CD1">
              <w:rPr>
                <w:rFonts w:eastAsia="Calibri"/>
                <w:i/>
                <w:sz w:val="20"/>
              </w:rPr>
              <w:t>Labour Code</w:t>
            </w:r>
            <w:r w:rsidRPr="00293CD1">
              <w:rPr>
                <w:rFonts w:eastAsia="Calibri"/>
                <w:sz w:val="20"/>
              </w:rPr>
              <w:t xml:space="preserve">.  The Superior Court declined to review the decision and the Court of Appeal refused leave to appeal. </w:t>
            </w:r>
          </w:p>
          <w:p w:rsidR="00DE5192" w:rsidRPr="00293CD1" w:rsidRDefault="00DE5192" w:rsidP="002A6864">
            <w:pPr>
              <w:jc w:val="both"/>
              <w:rPr>
                <w:rFonts w:eastAsia="Calibri"/>
                <w:sz w:val="20"/>
              </w:rPr>
            </w:pPr>
          </w:p>
        </w:tc>
      </w:tr>
      <w:tr w:rsidR="00DE5192" w:rsidRPr="00293CD1" w:rsidTr="002A6864">
        <w:tc>
          <w:tcPr>
            <w:tcW w:w="2427" w:type="pct"/>
          </w:tcPr>
          <w:p w:rsidR="00DE5192" w:rsidRPr="00293CD1" w:rsidRDefault="00DE5192" w:rsidP="002A6864">
            <w:pPr>
              <w:jc w:val="both"/>
              <w:rPr>
                <w:rFonts w:eastAsia="Calibri"/>
                <w:sz w:val="20"/>
                <w:lang w:val="fr-CA"/>
              </w:rPr>
            </w:pPr>
            <w:r w:rsidRPr="00293CD1">
              <w:rPr>
                <w:rFonts w:eastAsia="Calibri"/>
                <w:sz w:val="20"/>
                <w:lang w:val="fr-CA"/>
              </w:rPr>
              <w:t>July 6, 2010</w:t>
            </w:r>
          </w:p>
          <w:p w:rsidR="00DE5192" w:rsidRPr="00293CD1" w:rsidRDefault="00DE5192" w:rsidP="002A6864">
            <w:pPr>
              <w:jc w:val="both"/>
              <w:rPr>
                <w:rFonts w:eastAsia="Calibri"/>
                <w:sz w:val="20"/>
                <w:lang w:val="fr-CA"/>
              </w:rPr>
            </w:pPr>
            <w:r w:rsidRPr="00293CD1">
              <w:rPr>
                <w:rFonts w:eastAsia="Calibri"/>
                <w:sz w:val="20"/>
                <w:lang w:val="fr-CA"/>
              </w:rPr>
              <w:t>Commission des relations du travail</w:t>
            </w:r>
          </w:p>
          <w:p w:rsidR="00DE5192" w:rsidRPr="00293CD1" w:rsidRDefault="00DE5192" w:rsidP="002A6864">
            <w:pPr>
              <w:jc w:val="both"/>
              <w:rPr>
                <w:rFonts w:eastAsia="Calibri"/>
                <w:sz w:val="20"/>
              </w:rPr>
            </w:pPr>
            <w:r w:rsidRPr="00293CD1">
              <w:rPr>
                <w:rFonts w:eastAsia="Calibri"/>
                <w:sz w:val="20"/>
              </w:rPr>
              <w:t>2010 QCCRT 0335</w:t>
            </w:r>
          </w:p>
          <w:p w:rsidR="00DE5192" w:rsidRPr="00293CD1" w:rsidRDefault="00DE5192" w:rsidP="002A6864">
            <w:pPr>
              <w:jc w:val="both"/>
              <w:rPr>
                <w:rFonts w:eastAsia="Calibri"/>
                <w:sz w:val="20"/>
              </w:rPr>
            </w:pPr>
          </w:p>
        </w:tc>
        <w:tc>
          <w:tcPr>
            <w:tcW w:w="243" w:type="pct"/>
          </w:tcPr>
          <w:p w:rsidR="00DE5192" w:rsidRPr="00293CD1" w:rsidRDefault="00DE5192" w:rsidP="002A6864">
            <w:pPr>
              <w:jc w:val="both"/>
              <w:rPr>
                <w:rFonts w:eastAsia="Calibri"/>
                <w:sz w:val="20"/>
              </w:rPr>
            </w:pPr>
          </w:p>
        </w:tc>
        <w:tc>
          <w:tcPr>
            <w:tcW w:w="2330" w:type="pct"/>
          </w:tcPr>
          <w:p w:rsidR="00DE5192" w:rsidRPr="00293CD1" w:rsidRDefault="00DE5192" w:rsidP="002A6864">
            <w:pPr>
              <w:jc w:val="both"/>
              <w:rPr>
                <w:rFonts w:eastAsia="Calibri"/>
                <w:sz w:val="20"/>
              </w:rPr>
            </w:pPr>
            <w:r w:rsidRPr="00293CD1">
              <w:rPr>
                <w:rFonts w:eastAsia="Calibri"/>
                <w:sz w:val="20"/>
              </w:rPr>
              <w:t xml:space="preserve">Complaint under s. 47.2 of </w:t>
            </w:r>
            <w:r w:rsidRPr="00293CD1">
              <w:rPr>
                <w:rFonts w:eastAsia="Calibri"/>
                <w:i/>
                <w:sz w:val="20"/>
              </w:rPr>
              <w:t xml:space="preserve">Labour Code </w:t>
            </w:r>
            <w:r w:rsidRPr="00293CD1">
              <w:rPr>
                <w:rFonts w:eastAsia="Calibri"/>
                <w:sz w:val="20"/>
              </w:rPr>
              <w:t>dismissed on ground of prescription</w:t>
            </w:r>
          </w:p>
          <w:p w:rsidR="00DE5192" w:rsidRPr="00293CD1" w:rsidRDefault="00DE5192" w:rsidP="002A6864">
            <w:pPr>
              <w:jc w:val="both"/>
              <w:rPr>
                <w:rFonts w:eastAsia="Calibri"/>
                <w:sz w:val="20"/>
              </w:rPr>
            </w:pPr>
          </w:p>
        </w:tc>
      </w:tr>
      <w:tr w:rsidR="00DE5192" w:rsidRPr="00293CD1" w:rsidTr="00341F91">
        <w:trPr>
          <w:cantSplit/>
        </w:trPr>
        <w:tc>
          <w:tcPr>
            <w:tcW w:w="2427" w:type="pct"/>
          </w:tcPr>
          <w:p w:rsidR="00DE5192" w:rsidRPr="00293CD1" w:rsidRDefault="00DE5192" w:rsidP="002A6864">
            <w:pPr>
              <w:jc w:val="both"/>
              <w:rPr>
                <w:rFonts w:eastAsia="Calibri"/>
                <w:sz w:val="20"/>
              </w:rPr>
            </w:pPr>
            <w:r w:rsidRPr="00293CD1">
              <w:rPr>
                <w:rFonts w:eastAsia="Calibri"/>
                <w:sz w:val="20"/>
              </w:rPr>
              <w:t>May 12, 2011</w:t>
            </w:r>
          </w:p>
          <w:p w:rsidR="00DE5192" w:rsidRPr="00293CD1" w:rsidRDefault="00DE5192" w:rsidP="002A6864">
            <w:pPr>
              <w:jc w:val="both"/>
              <w:rPr>
                <w:rFonts w:eastAsia="Calibri"/>
                <w:sz w:val="20"/>
              </w:rPr>
            </w:pPr>
            <w:r w:rsidRPr="00293CD1">
              <w:rPr>
                <w:rFonts w:eastAsia="Calibri"/>
                <w:sz w:val="20"/>
              </w:rPr>
              <w:t>Quebec Superior Court</w:t>
            </w:r>
          </w:p>
          <w:p w:rsidR="00DE5192" w:rsidRPr="00293CD1" w:rsidRDefault="00DE5192" w:rsidP="002A6864">
            <w:pPr>
              <w:jc w:val="both"/>
              <w:rPr>
                <w:rFonts w:eastAsia="Calibri"/>
                <w:sz w:val="20"/>
              </w:rPr>
            </w:pPr>
            <w:r w:rsidRPr="00293CD1">
              <w:rPr>
                <w:rFonts w:eastAsia="Calibri"/>
                <w:sz w:val="20"/>
              </w:rPr>
              <w:t>(</w:t>
            </w:r>
            <w:proofErr w:type="spellStart"/>
            <w:r w:rsidRPr="00293CD1">
              <w:rPr>
                <w:rFonts w:eastAsia="Calibri"/>
                <w:sz w:val="20"/>
              </w:rPr>
              <w:t>Larouche</w:t>
            </w:r>
            <w:proofErr w:type="spellEnd"/>
            <w:r w:rsidRPr="00293CD1">
              <w:rPr>
                <w:rFonts w:eastAsia="Calibri"/>
                <w:sz w:val="20"/>
              </w:rPr>
              <w:t xml:space="preserve"> J.)</w:t>
            </w:r>
          </w:p>
          <w:p w:rsidR="00DE5192" w:rsidRPr="00293CD1" w:rsidRDefault="00DE5192" w:rsidP="002A6864">
            <w:pPr>
              <w:jc w:val="both"/>
              <w:rPr>
                <w:rFonts w:eastAsia="Calibri"/>
                <w:sz w:val="20"/>
              </w:rPr>
            </w:pPr>
            <w:r w:rsidRPr="00293CD1">
              <w:rPr>
                <w:rFonts w:eastAsia="Calibri"/>
                <w:sz w:val="20"/>
              </w:rPr>
              <w:t>2011 QCCS 2750</w:t>
            </w:r>
          </w:p>
          <w:p w:rsidR="00DE5192" w:rsidRPr="00293CD1" w:rsidRDefault="00DE5192" w:rsidP="002A6864">
            <w:pPr>
              <w:jc w:val="both"/>
              <w:rPr>
                <w:rFonts w:eastAsia="Calibri"/>
                <w:sz w:val="20"/>
              </w:rPr>
            </w:pPr>
          </w:p>
        </w:tc>
        <w:tc>
          <w:tcPr>
            <w:tcW w:w="243" w:type="pct"/>
          </w:tcPr>
          <w:p w:rsidR="00DE5192" w:rsidRPr="00293CD1" w:rsidRDefault="00DE5192" w:rsidP="002A6864">
            <w:pPr>
              <w:jc w:val="both"/>
              <w:rPr>
                <w:rFonts w:eastAsia="Calibri"/>
                <w:sz w:val="20"/>
              </w:rPr>
            </w:pPr>
          </w:p>
        </w:tc>
        <w:tc>
          <w:tcPr>
            <w:tcW w:w="2330" w:type="pct"/>
          </w:tcPr>
          <w:p w:rsidR="00DE5192" w:rsidRPr="00293CD1" w:rsidRDefault="00DE5192" w:rsidP="002A6864">
            <w:pPr>
              <w:jc w:val="both"/>
              <w:rPr>
                <w:rFonts w:eastAsia="Calibri"/>
                <w:sz w:val="20"/>
              </w:rPr>
            </w:pPr>
            <w:r w:rsidRPr="00293CD1">
              <w:rPr>
                <w:rFonts w:eastAsia="Calibri"/>
                <w:sz w:val="20"/>
              </w:rPr>
              <w:t>Motion for judicial review dismissed</w:t>
            </w:r>
          </w:p>
          <w:p w:rsidR="00DE5192" w:rsidRPr="00293CD1" w:rsidRDefault="00DE5192" w:rsidP="002A6864">
            <w:pPr>
              <w:jc w:val="both"/>
              <w:rPr>
                <w:rFonts w:eastAsia="Calibri"/>
                <w:sz w:val="20"/>
              </w:rPr>
            </w:pPr>
          </w:p>
        </w:tc>
      </w:tr>
      <w:tr w:rsidR="00DE5192" w:rsidRPr="00293CD1" w:rsidTr="00341F91">
        <w:trPr>
          <w:cantSplit/>
        </w:trPr>
        <w:tc>
          <w:tcPr>
            <w:tcW w:w="2427" w:type="pct"/>
          </w:tcPr>
          <w:p w:rsidR="00DE5192" w:rsidRPr="00293CD1" w:rsidRDefault="00DE5192" w:rsidP="002A6864">
            <w:pPr>
              <w:jc w:val="both"/>
              <w:rPr>
                <w:rFonts w:eastAsia="Calibri"/>
                <w:sz w:val="20"/>
              </w:rPr>
            </w:pPr>
            <w:r w:rsidRPr="00293CD1">
              <w:rPr>
                <w:rFonts w:eastAsia="Calibri"/>
                <w:sz w:val="20"/>
              </w:rPr>
              <w:t>June 14, 2011</w:t>
            </w:r>
          </w:p>
          <w:p w:rsidR="00DE5192" w:rsidRPr="00293CD1" w:rsidRDefault="00DE5192" w:rsidP="002A6864">
            <w:pPr>
              <w:jc w:val="both"/>
              <w:rPr>
                <w:rFonts w:eastAsia="Calibri"/>
                <w:sz w:val="20"/>
              </w:rPr>
            </w:pPr>
            <w:r w:rsidRPr="00293CD1">
              <w:rPr>
                <w:rFonts w:eastAsia="Calibri"/>
                <w:sz w:val="20"/>
              </w:rPr>
              <w:t>Quebec Court of Appeal (Montréal)</w:t>
            </w:r>
          </w:p>
          <w:p w:rsidR="00DE5192" w:rsidRPr="00293CD1" w:rsidRDefault="00DE5192" w:rsidP="002A6864">
            <w:pPr>
              <w:jc w:val="both"/>
              <w:rPr>
                <w:rFonts w:eastAsia="Calibri"/>
                <w:sz w:val="20"/>
              </w:rPr>
            </w:pPr>
            <w:r w:rsidRPr="00293CD1">
              <w:rPr>
                <w:rFonts w:eastAsia="Calibri"/>
                <w:sz w:val="20"/>
              </w:rPr>
              <w:t>(</w:t>
            </w:r>
            <w:proofErr w:type="spellStart"/>
            <w:r w:rsidRPr="00293CD1">
              <w:rPr>
                <w:rFonts w:eastAsia="Calibri"/>
                <w:sz w:val="20"/>
              </w:rPr>
              <w:t>Rochon</w:t>
            </w:r>
            <w:proofErr w:type="spellEnd"/>
            <w:r w:rsidRPr="00293CD1">
              <w:rPr>
                <w:rFonts w:eastAsia="Calibri"/>
                <w:sz w:val="20"/>
              </w:rPr>
              <w:t xml:space="preserve"> J.A.)</w:t>
            </w:r>
          </w:p>
          <w:p w:rsidR="00DE5192" w:rsidRPr="00293CD1" w:rsidRDefault="00DE5192" w:rsidP="002A6864">
            <w:pPr>
              <w:jc w:val="both"/>
              <w:rPr>
                <w:rFonts w:eastAsia="Calibri"/>
                <w:sz w:val="20"/>
              </w:rPr>
            </w:pPr>
            <w:r w:rsidRPr="00293CD1">
              <w:rPr>
                <w:rFonts w:eastAsia="Calibri"/>
                <w:sz w:val="20"/>
              </w:rPr>
              <w:t>2011 QCCA 1109</w:t>
            </w:r>
          </w:p>
          <w:p w:rsidR="00DE5192" w:rsidRPr="00293CD1" w:rsidRDefault="00DE5192" w:rsidP="002A6864">
            <w:pPr>
              <w:jc w:val="both"/>
              <w:rPr>
                <w:rFonts w:eastAsia="Calibri"/>
                <w:sz w:val="20"/>
              </w:rPr>
            </w:pPr>
          </w:p>
        </w:tc>
        <w:tc>
          <w:tcPr>
            <w:tcW w:w="243" w:type="pct"/>
          </w:tcPr>
          <w:p w:rsidR="00DE5192" w:rsidRPr="00293CD1" w:rsidRDefault="00DE5192" w:rsidP="002A6864">
            <w:pPr>
              <w:jc w:val="both"/>
              <w:rPr>
                <w:rFonts w:eastAsia="Calibri"/>
                <w:sz w:val="20"/>
              </w:rPr>
            </w:pPr>
          </w:p>
        </w:tc>
        <w:tc>
          <w:tcPr>
            <w:tcW w:w="2330" w:type="pct"/>
          </w:tcPr>
          <w:p w:rsidR="00DE5192" w:rsidRPr="00293CD1" w:rsidRDefault="00DE5192" w:rsidP="002A6864">
            <w:pPr>
              <w:jc w:val="both"/>
              <w:rPr>
                <w:rFonts w:eastAsia="Calibri"/>
                <w:sz w:val="20"/>
              </w:rPr>
            </w:pPr>
            <w:r w:rsidRPr="00293CD1">
              <w:rPr>
                <w:rFonts w:eastAsia="Calibri"/>
                <w:sz w:val="20"/>
              </w:rPr>
              <w:t>Motion for leave to appeal dismissed</w:t>
            </w:r>
          </w:p>
          <w:p w:rsidR="00DE5192" w:rsidRPr="00293CD1" w:rsidRDefault="00DE5192" w:rsidP="002A6864">
            <w:pPr>
              <w:jc w:val="both"/>
              <w:rPr>
                <w:rFonts w:eastAsia="Calibri"/>
                <w:sz w:val="20"/>
              </w:rPr>
            </w:pPr>
          </w:p>
        </w:tc>
      </w:tr>
      <w:tr w:rsidR="00DE5192" w:rsidRPr="00293CD1" w:rsidTr="00341F91">
        <w:trPr>
          <w:cantSplit/>
        </w:trPr>
        <w:tc>
          <w:tcPr>
            <w:tcW w:w="2427" w:type="pct"/>
          </w:tcPr>
          <w:p w:rsidR="00DE5192" w:rsidRPr="00293CD1" w:rsidRDefault="00DE5192" w:rsidP="002A6864">
            <w:pPr>
              <w:jc w:val="both"/>
              <w:rPr>
                <w:rFonts w:eastAsia="Calibri"/>
                <w:sz w:val="20"/>
              </w:rPr>
            </w:pPr>
            <w:r w:rsidRPr="00293CD1">
              <w:rPr>
                <w:rFonts w:eastAsia="Calibri"/>
                <w:sz w:val="20"/>
              </w:rPr>
              <w:t>September 12, 2011</w:t>
            </w:r>
          </w:p>
          <w:p w:rsidR="00DE5192" w:rsidRPr="00293CD1" w:rsidRDefault="00DE5192" w:rsidP="002A6864">
            <w:pPr>
              <w:jc w:val="both"/>
              <w:rPr>
                <w:rFonts w:eastAsia="Calibri"/>
                <w:sz w:val="20"/>
              </w:rPr>
            </w:pPr>
            <w:r w:rsidRPr="00293CD1">
              <w:rPr>
                <w:rFonts w:eastAsia="Calibri"/>
                <w:sz w:val="20"/>
              </w:rPr>
              <w:t>Supreme Court of Canada</w:t>
            </w:r>
          </w:p>
        </w:tc>
        <w:tc>
          <w:tcPr>
            <w:tcW w:w="243" w:type="pct"/>
          </w:tcPr>
          <w:p w:rsidR="00DE5192" w:rsidRPr="00293CD1" w:rsidRDefault="00DE5192" w:rsidP="002A6864">
            <w:pPr>
              <w:jc w:val="both"/>
              <w:rPr>
                <w:rFonts w:eastAsia="Calibri"/>
                <w:sz w:val="20"/>
              </w:rPr>
            </w:pPr>
          </w:p>
        </w:tc>
        <w:tc>
          <w:tcPr>
            <w:tcW w:w="2330" w:type="pct"/>
          </w:tcPr>
          <w:p w:rsidR="00DE5192" w:rsidRPr="00293CD1" w:rsidRDefault="00DE5192" w:rsidP="002A6864">
            <w:pPr>
              <w:jc w:val="both"/>
              <w:rPr>
                <w:rFonts w:eastAsia="Calibri"/>
                <w:sz w:val="20"/>
              </w:rPr>
            </w:pPr>
            <w:r w:rsidRPr="00293CD1">
              <w:rPr>
                <w:rFonts w:eastAsia="Calibri"/>
                <w:sz w:val="20"/>
              </w:rPr>
              <w:t>Application for leave to appeal filed</w:t>
            </w:r>
          </w:p>
          <w:p w:rsidR="00DE5192" w:rsidRPr="00293CD1" w:rsidRDefault="00DE5192" w:rsidP="002A6864">
            <w:pPr>
              <w:jc w:val="both"/>
              <w:rPr>
                <w:rFonts w:eastAsia="Calibri"/>
                <w:sz w:val="20"/>
              </w:rPr>
            </w:pP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49" style="width:2in;height:1pt" o:hrpct="0" o:hralign="center" o:hrstd="t" o:hrnoshade="t" o:hr="t" fillcolor="black [3213]" stroked="f"/>
        </w:pict>
      </w:r>
    </w:p>
    <w:p w:rsidR="00F9104A" w:rsidRDefault="00F9104A" w:rsidP="00F9104A">
      <w:pPr>
        <w:rPr>
          <w:sz w:val="20"/>
          <w:szCs w:val="20"/>
        </w:rPr>
      </w:pPr>
    </w:p>
    <w:p w:rsidR="00F9104A" w:rsidRPr="001B157C" w:rsidRDefault="00F9104A" w:rsidP="00F9104A">
      <w:pPr>
        <w:rPr>
          <w:sz w:val="20"/>
          <w:szCs w:val="20"/>
          <w:u w:val="single"/>
          <w:lang w:val="fr-CA"/>
        </w:rPr>
      </w:pPr>
      <w:r w:rsidRPr="001B157C">
        <w:rPr>
          <w:sz w:val="20"/>
          <w:szCs w:val="20"/>
          <w:u w:val="single"/>
          <w:lang w:val="fr-CA"/>
        </w:rPr>
        <w:t>RÉSUMÉ DE L’AFFAIRE</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E5192" w:rsidRPr="00251B16" w:rsidTr="002A6864">
        <w:tc>
          <w:tcPr>
            <w:tcW w:w="5000" w:type="pct"/>
            <w:gridSpan w:val="3"/>
          </w:tcPr>
          <w:p w:rsidR="00DE5192" w:rsidRPr="00293CD1" w:rsidRDefault="00DE5192" w:rsidP="002A6864">
            <w:pPr>
              <w:jc w:val="both"/>
              <w:rPr>
                <w:rFonts w:eastAsia="Calibri"/>
                <w:sz w:val="20"/>
                <w:lang w:val="fr-CA"/>
              </w:rPr>
            </w:pPr>
            <w:r w:rsidRPr="00293CD1">
              <w:rPr>
                <w:rFonts w:eastAsia="Calibri"/>
                <w:sz w:val="20"/>
                <w:lang w:val="fr-CA"/>
              </w:rPr>
              <w:t xml:space="preserve">Relations du travail – Recours – Prescription – Impossibilité d’agir – Syndicat refusant de poursuivre des griefs précédemment déposés pour contester le congédiement d’une employée – Action intentée par l’employée syndiquée contre son employeur en vertu de l’art. 2091 </w:t>
            </w:r>
            <w:proofErr w:type="spellStart"/>
            <w:r w:rsidRPr="00293CD1">
              <w:rPr>
                <w:rFonts w:eastAsia="Calibri"/>
                <w:sz w:val="20"/>
                <w:lang w:val="fr-CA"/>
              </w:rPr>
              <w:t>C.c.Q</w:t>
            </w:r>
            <w:proofErr w:type="spellEnd"/>
            <w:r w:rsidRPr="00293CD1">
              <w:rPr>
                <w:rFonts w:eastAsia="Calibri"/>
                <w:sz w:val="20"/>
                <w:lang w:val="fr-CA"/>
              </w:rPr>
              <w:t xml:space="preserve">. rejetée par la Cour supérieure au motif d’absence de compétence – Plainte déposée par la suite par l’employée contre le syndicat en vertu de l’art 47.2 du </w:t>
            </w:r>
            <w:r w:rsidRPr="00293CD1">
              <w:rPr>
                <w:rFonts w:eastAsia="Calibri"/>
                <w:i/>
                <w:sz w:val="20"/>
                <w:lang w:val="fr-CA"/>
              </w:rPr>
              <w:t>Code du travail</w:t>
            </w:r>
            <w:r w:rsidRPr="00293CD1">
              <w:rPr>
                <w:rFonts w:eastAsia="Calibri"/>
                <w:sz w:val="20"/>
                <w:lang w:val="fr-CA"/>
              </w:rPr>
              <w:t xml:space="preserve"> – Les instances inférieures pouvaient-elles conclure que le recours contre le syndicat était prescrit dans les circonstances? – Les décisions respectent-elles les principes de justice naturelle? – La Cour d’appel a-t-elle eu tort de refuser la permission d’appeler?</w:t>
            </w:r>
          </w:p>
        </w:tc>
      </w:tr>
      <w:tr w:rsidR="00DE5192" w:rsidRPr="00251B16" w:rsidTr="002A6864">
        <w:tc>
          <w:tcPr>
            <w:tcW w:w="5000" w:type="pct"/>
            <w:gridSpan w:val="3"/>
          </w:tcPr>
          <w:p w:rsidR="00DE5192" w:rsidRPr="00293CD1" w:rsidRDefault="00DE5192" w:rsidP="002A6864">
            <w:pPr>
              <w:jc w:val="both"/>
              <w:rPr>
                <w:rFonts w:eastAsia="Calibri"/>
                <w:sz w:val="20"/>
                <w:lang w:val="fr-CA"/>
              </w:rPr>
            </w:pPr>
          </w:p>
        </w:tc>
      </w:tr>
      <w:tr w:rsidR="00DE5192" w:rsidRPr="00251B16" w:rsidTr="002A6864">
        <w:tc>
          <w:tcPr>
            <w:tcW w:w="5000" w:type="pct"/>
            <w:gridSpan w:val="3"/>
          </w:tcPr>
          <w:p w:rsidR="00DE5192" w:rsidRPr="00293CD1" w:rsidRDefault="00DE5192" w:rsidP="002A6864">
            <w:pPr>
              <w:jc w:val="both"/>
              <w:rPr>
                <w:rFonts w:eastAsia="Calibri"/>
                <w:sz w:val="20"/>
                <w:lang w:val="fr-CA"/>
              </w:rPr>
            </w:pPr>
            <w:r w:rsidRPr="00293CD1">
              <w:rPr>
                <w:rFonts w:eastAsia="Calibri"/>
                <w:sz w:val="20"/>
                <w:lang w:val="fr-CA"/>
              </w:rPr>
              <w:t xml:space="preserve">La demanderesse, Mme </w:t>
            </w:r>
            <w:proofErr w:type="spellStart"/>
            <w:r w:rsidRPr="00293CD1">
              <w:rPr>
                <w:rFonts w:eastAsia="Calibri"/>
                <w:sz w:val="20"/>
                <w:lang w:val="fr-CA"/>
              </w:rPr>
              <w:t>Ramsaroop</w:t>
            </w:r>
            <w:proofErr w:type="spellEnd"/>
            <w:r w:rsidRPr="00293CD1">
              <w:rPr>
                <w:rFonts w:eastAsia="Calibri"/>
                <w:sz w:val="20"/>
                <w:lang w:val="fr-CA"/>
              </w:rPr>
              <w:t xml:space="preserve">, a été congédiée par son employeur, le Centre universitaire de santé McGill (« CUSM ») intimé. Son syndicat, intimé, dépose des griefs pour contester cette décision. Le CUSM offre un dernier accommodement, mais Mme </w:t>
            </w:r>
            <w:proofErr w:type="spellStart"/>
            <w:r w:rsidRPr="00293CD1">
              <w:rPr>
                <w:rFonts w:eastAsia="Calibri"/>
                <w:sz w:val="20"/>
                <w:lang w:val="fr-CA"/>
              </w:rPr>
              <w:t>Ramsaroop</w:t>
            </w:r>
            <w:proofErr w:type="spellEnd"/>
            <w:r w:rsidRPr="00293CD1">
              <w:rPr>
                <w:rFonts w:eastAsia="Calibri"/>
                <w:sz w:val="20"/>
                <w:lang w:val="fr-CA"/>
              </w:rPr>
              <w:t xml:space="preserve"> la rejette. Le syndicat décide alors de ne pas poursuivre l’arbitrage. Madame </w:t>
            </w:r>
            <w:proofErr w:type="spellStart"/>
            <w:r w:rsidRPr="00293CD1">
              <w:rPr>
                <w:rFonts w:eastAsia="Calibri"/>
                <w:sz w:val="20"/>
                <w:lang w:val="fr-CA"/>
              </w:rPr>
              <w:t>Ramsaroop</w:t>
            </w:r>
            <w:proofErr w:type="spellEnd"/>
            <w:r w:rsidRPr="00293CD1">
              <w:rPr>
                <w:rFonts w:eastAsia="Calibri"/>
                <w:sz w:val="20"/>
                <w:lang w:val="fr-CA"/>
              </w:rPr>
              <w:t xml:space="preserve"> dépose une requête introductive d’instance en Cour supérieure contre le CUSM fondée notamment sur l’art. 2091 </w:t>
            </w:r>
            <w:proofErr w:type="spellStart"/>
            <w:r w:rsidRPr="00293CD1">
              <w:rPr>
                <w:rFonts w:eastAsia="Calibri"/>
                <w:sz w:val="20"/>
                <w:lang w:val="fr-CA"/>
              </w:rPr>
              <w:t>C.c.Q</w:t>
            </w:r>
            <w:proofErr w:type="spellEnd"/>
            <w:r w:rsidRPr="00293CD1">
              <w:rPr>
                <w:rFonts w:eastAsia="Calibri"/>
                <w:sz w:val="20"/>
                <w:lang w:val="fr-CA"/>
              </w:rPr>
              <w:t xml:space="preserve">. (délai congé raisonnable avant de mettre fin à un contrat d’emploi à durée indéterminée). La Cour supérieure rejette l’action à un stade préliminaire au motif d’absence de compétence (2009 QCCS 6578). Mme </w:t>
            </w:r>
            <w:proofErr w:type="spellStart"/>
            <w:r w:rsidRPr="00293CD1">
              <w:rPr>
                <w:rFonts w:eastAsia="Calibri"/>
                <w:sz w:val="20"/>
                <w:lang w:val="fr-CA"/>
              </w:rPr>
              <w:t>Ramsaroop</w:t>
            </w:r>
            <w:proofErr w:type="spellEnd"/>
            <w:r w:rsidRPr="00293CD1">
              <w:rPr>
                <w:rFonts w:eastAsia="Calibri"/>
                <w:sz w:val="20"/>
                <w:lang w:val="fr-CA"/>
              </w:rPr>
              <w:t xml:space="preserve"> dépose alors auprès de la Commission des relations du travail une plainte en vertu de l’art. 47.2 du </w:t>
            </w:r>
            <w:r w:rsidRPr="00293CD1">
              <w:rPr>
                <w:rFonts w:eastAsia="Calibri"/>
                <w:i/>
                <w:sz w:val="20"/>
                <w:lang w:val="fr-CA"/>
              </w:rPr>
              <w:t>Code du travail</w:t>
            </w:r>
            <w:r w:rsidRPr="00293CD1">
              <w:rPr>
                <w:rFonts w:eastAsia="Calibri"/>
                <w:sz w:val="20"/>
                <w:lang w:val="fr-CA"/>
              </w:rPr>
              <w:t xml:space="preserve"> contre le syndicat. Elle allègue notamment la mauvaise foi ainsi que la négligence du syndicat dans le traitement des griefs relatifs à son congédiement. La Commission rejette la plainte au stade préliminaire, car celle-ci n’a pas été déposée dans le délai de six mois prévu par l’art. 47.3 du </w:t>
            </w:r>
            <w:r w:rsidRPr="00293CD1">
              <w:rPr>
                <w:rFonts w:eastAsia="Calibri"/>
                <w:i/>
                <w:sz w:val="20"/>
                <w:lang w:val="fr-CA"/>
              </w:rPr>
              <w:t>Code du travail</w:t>
            </w:r>
            <w:r w:rsidRPr="00293CD1">
              <w:rPr>
                <w:rFonts w:eastAsia="Calibri"/>
                <w:sz w:val="20"/>
                <w:lang w:val="fr-CA"/>
              </w:rPr>
              <w:t xml:space="preserve">. La Cour supérieure refuse de réviser la décision et la Cour d’appel refuse la permission d’appel. </w:t>
            </w:r>
          </w:p>
          <w:p w:rsidR="00DE5192" w:rsidRPr="00293CD1" w:rsidRDefault="00DE5192" w:rsidP="002A6864">
            <w:pPr>
              <w:jc w:val="both"/>
              <w:rPr>
                <w:rFonts w:eastAsia="Calibri"/>
                <w:sz w:val="20"/>
                <w:lang w:val="fr-CA"/>
              </w:rPr>
            </w:pPr>
          </w:p>
        </w:tc>
      </w:tr>
      <w:tr w:rsidR="00DE5192" w:rsidRPr="00251B16" w:rsidTr="002A6864">
        <w:tc>
          <w:tcPr>
            <w:tcW w:w="2427" w:type="pct"/>
          </w:tcPr>
          <w:p w:rsidR="00DE5192" w:rsidRPr="00293CD1" w:rsidRDefault="00DE5192" w:rsidP="002A6864">
            <w:pPr>
              <w:jc w:val="both"/>
              <w:rPr>
                <w:rFonts w:eastAsia="Calibri"/>
                <w:sz w:val="20"/>
                <w:lang w:val="fr-CA"/>
              </w:rPr>
            </w:pPr>
            <w:r w:rsidRPr="00293CD1">
              <w:rPr>
                <w:rFonts w:eastAsia="Calibri"/>
                <w:sz w:val="20"/>
                <w:lang w:val="fr-CA"/>
              </w:rPr>
              <w:t>Le 6 juillet 2010</w:t>
            </w:r>
          </w:p>
          <w:p w:rsidR="00DE5192" w:rsidRPr="00293CD1" w:rsidRDefault="00DE5192" w:rsidP="002A6864">
            <w:pPr>
              <w:jc w:val="both"/>
              <w:rPr>
                <w:rFonts w:eastAsia="Calibri"/>
                <w:sz w:val="20"/>
                <w:lang w:val="fr-CA"/>
              </w:rPr>
            </w:pPr>
            <w:r w:rsidRPr="00293CD1">
              <w:rPr>
                <w:rFonts w:eastAsia="Calibri"/>
                <w:sz w:val="20"/>
                <w:lang w:val="fr-CA"/>
              </w:rPr>
              <w:t>Commission des relations du travail</w:t>
            </w:r>
          </w:p>
          <w:p w:rsidR="00DE5192" w:rsidRPr="00293CD1" w:rsidRDefault="00DE5192" w:rsidP="002A6864">
            <w:pPr>
              <w:jc w:val="both"/>
              <w:rPr>
                <w:rFonts w:eastAsia="Calibri"/>
                <w:sz w:val="20"/>
                <w:lang w:val="fr-CA"/>
              </w:rPr>
            </w:pPr>
            <w:r w:rsidRPr="00293CD1">
              <w:rPr>
                <w:rFonts w:eastAsia="Calibri"/>
                <w:sz w:val="20"/>
                <w:lang w:val="fr-CA"/>
              </w:rPr>
              <w:t>2010 QCCRT 0335</w:t>
            </w:r>
          </w:p>
          <w:p w:rsidR="00DE5192" w:rsidRPr="00293CD1" w:rsidRDefault="00DE5192" w:rsidP="002A6864">
            <w:pPr>
              <w:jc w:val="both"/>
              <w:rPr>
                <w:rFonts w:eastAsia="Calibri"/>
                <w:sz w:val="20"/>
              </w:rPr>
            </w:pPr>
          </w:p>
        </w:tc>
        <w:tc>
          <w:tcPr>
            <w:tcW w:w="243" w:type="pct"/>
          </w:tcPr>
          <w:p w:rsidR="00DE5192" w:rsidRPr="00293CD1" w:rsidRDefault="00DE5192" w:rsidP="002A6864">
            <w:pPr>
              <w:jc w:val="both"/>
              <w:rPr>
                <w:rFonts w:eastAsia="Calibri"/>
                <w:sz w:val="20"/>
              </w:rPr>
            </w:pPr>
          </w:p>
        </w:tc>
        <w:tc>
          <w:tcPr>
            <w:tcW w:w="2330" w:type="pct"/>
          </w:tcPr>
          <w:p w:rsidR="00DE5192" w:rsidRPr="00293CD1" w:rsidRDefault="00DE5192" w:rsidP="002A6864">
            <w:pPr>
              <w:jc w:val="both"/>
              <w:rPr>
                <w:rFonts w:eastAsia="Calibri"/>
                <w:sz w:val="20"/>
                <w:lang w:val="fr-CA"/>
              </w:rPr>
            </w:pPr>
            <w:r w:rsidRPr="00293CD1">
              <w:rPr>
                <w:rFonts w:eastAsia="Calibri"/>
                <w:sz w:val="20"/>
                <w:lang w:val="fr-CA"/>
              </w:rPr>
              <w:t xml:space="preserve">Plainte en vertu de l’art. 47.2 du </w:t>
            </w:r>
            <w:r w:rsidRPr="00293CD1">
              <w:rPr>
                <w:rFonts w:eastAsia="Calibri"/>
                <w:i/>
                <w:sz w:val="20"/>
                <w:lang w:val="fr-CA"/>
              </w:rPr>
              <w:t>Code du travail</w:t>
            </w:r>
            <w:r w:rsidRPr="00293CD1">
              <w:rPr>
                <w:rFonts w:eastAsia="Calibri"/>
                <w:sz w:val="20"/>
                <w:lang w:val="fr-CA"/>
              </w:rPr>
              <w:t xml:space="preserve"> </w:t>
            </w:r>
            <w:proofErr w:type="gramStart"/>
            <w:r w:rsidRPr="00293CD1">
              <w:rPr>
                <w:rFonts w:eastAsia="Calibri"/>
                <w:sz w:val="20"/>
                <w:lang w:val="fr-CA"/>
              </w:rPr>
              <w:t>rejetée</w:t>
            </w:r>
            <w:proofErr w:type="gramEnd"/>
            <w:r w:rsidRPr="00293CD1">
              <w:rPr>
                <w:rFonts w:eastAsia="Calibri"/>
                <w:sz w:val="20"/>
                <w:lang w:val="fr-CA"/>
              </w:rPr>
              <w:t xml:space="preserve"> au motif de prescription</w:t>
            </w:r>
          </w:p>
          <w:p w:rsidR="00DE5192" w:rsidRPr="00293CD1" w:rsidRDefault="00DE5192" w:rsidP="002A6864">
            <w:pPr>
              <w:jc w:val="both"/>
              <w:rPr>
                <w:rFonts w:eastAsia="Calibri"/>
                <w:sz w:val="20"/>
                <w:lang w:val="fr-CA"/>
              </w:rPr>
            </w:pPr>
          </w:p>
        </w:tc>
      </w:tr>
      <w:tr w:rsidR="00DE5192" w:rsidRPr="00293CD1" w:rsidTr="002A6864">
        <w:tc>
          <w:tcPr>
            <w:tcW w:w="2427" w:type="pct"/>
          </w:tcPr>
          <w:p w:rsidR="00DE5192" w:rsidRPr="00293CD1" w:rsidRDefault="00DE5192" w:rsidP="002A6864">
            <w:pPr>
              <w:jc w:val="both"/>
              <w:rPr>
                <w:rFonts w:eastAsia="Calibri"/>
                <w:sz w:val="20"/>
                <w:lang w:val="fr-CA"/>
              </w:rPr>
            </w:pPr>
            <w:r w:rsidRPr="00293CD1">
              <w:rPr>
                <w:rFonts w:eastAsia="Calibri"/>
                <w:sz w:val="20"/>
                <w:lang w:val="fr-CA"/>
              </w:rPr>
              <w:t>Le 12 mai 2011</w:t>
            </w:r>
          </w:p>
          <w:p w:rsidR="00DE5192" w:rsidRPr="00293CD1" w:rsidRDefault="00DE5192" w:rsidP="002A6864">
            <w:pPr>
              <w:jc w:val="both"/>
              <w:rPr>
                <w:rFonts w:eastAsia="Calibri"/>
                <w:sz w:val="20"/>
                <w:lang w:val="fr-CA"/>
              </w:rPr>
            </w:pPr>
            <w:r w:rsidRPr="00293CD1">
              <w:rPr>
                <w:rFonts w:eastAsia="Calibri"/>
                <w:sz w:val="20"/>
                <w:lang w:val="fr-CA"/>
              </w:rPr>
              <w:t>Cour supérieure du Québec</w:t>
            </w:r>
          </w:p>
          <w:p w:rsidR="00DE5192" w:rsidRPr="00293CD1" w:rsidRDefault="00DE5192" w:rsidP="002A6864">
            <w:pPr>
              <w:jc w:val="both"/>
              <w:rPr>
                <w:rFonts w:eastAsia="Calibri"/>
                <w:sz w:val="20"/>
                <w:lang w:val="fr-CA"/>
              </w:rPr>
            </w:pPr>
            <w:r w:rsidRPr="00293CD1">
              <w:rPr>
                <w:rFonts w:eastAsia="Calibri"/>
                <w:sz w:val="20"/>
                <w:lang w:val="fr-CA"/>
              </w:rPr>
              <w:t>(Le juge Larouche)</w:t>
            </w:r>
          </w:p>
          <w:p w:rsidR="00DE5192" w:rsidRPr="00293CD1" w:rsidRDefault="00DE5192" w:rsidP="002A6864">
            <w:pPr>
              <w:jc w:val="both"/>
              <w:rPr>
                <w:rFonts w:eastAsia="Calibri"/>
                <w:sz w:val="20"/>
                <w:lang w:val="fr-CA"/>
              </w:rPr>
            </w:pPr>
            <w:r w:rsidRPr="00293CD1">
              <w:rPr>
                <w:rFonts w:eastAsia="Calibri"/>
                <w:sz w:val="20"/>
                <w:lang w:val="fr-CA"/>
              </w:rPr>
              <w:t>2011 QCCS 2750</w:t>
            </w:r>
          </w:p>
          <w:p w:rsidR="00DE5192" w:rsidRPr="00293CD1" w:rsidRDefault="00DE5192" w:rsidP="002A6864">
            <w:pPr>
              <w:jc w:val="both"/>
              <w:rPr>
                <w:rFonts w:eastAsia="Calibri"/>
                <w:sz w:val="20"/>
              </w:rPr>
            </w:pPr>
          </w:p>
        </w:tc>
        <w:tc>
          <w:tcPr>
            <w:tcW w:w="243" w:type="pct"/>
          </w:tcPr>
          <w:p w:rsidR="00DE5192" w:rsidRPr="00293CD1" w:rsidRDefault="00DE5192" w:rsidP="002A6864">
            <w:pPr>
              <w:jc w:val="both"/>
              <w:rPr>
                <w:rFonts w:eastAsia="Calibri"/>
                <w:sz w:val="20"/>
              </w:rPr>
            </w:pPr>
          </w:p>
        </w:tc>
        <w:tc>
          <w:tcPr>
            <w:tcW w:w="2330" w:type="pct"/>
          </w:tcPr>
          <w:p w:rsidR="00DE5192" w:rsidRPr="00293CD1" w:rsidRDefault="00DE5192" w:rsidP="002A6864">
            <w:pPr>
              <w:jc w:val="both"/>
              <w:rPr>
                <w:rFonts w:eastAsia="Calibri"/>
                <w:sz w:val="20"/>
                <w:lang w:val="fr-CA"/>
              </w:rPr>
            </w:pPr>
            <w:r w:rsidRPr="00293CD1">
              <w:rPr>
                <w:rFonts w:eastAsia="Calibri"/>
                <w:sz w:val="20"/>
                <w:lang w:val="fr-CA"/>
              </w:rPr>
              <w:t>Requête en révision judiciaire rejetée</w:t>
            </w:r>
          </w:p>
          <w:p w:rsidR="00DE5192" w:rsidRPr="00293CD1" w:rsidRDefault="00DE5192" w:rsidP="002A6864">
            <w:pPr>
              <w:jc w:val="both"/>
              <w:rPr>
                <w:rFonts w:eastAsia="Calibri"/>
                <w:sz w:val="20"/>
                <w:lang w:val="fr-CA"/>
              </w:rPr>
            </w:pPr>
          </w:p>
        </w:tc>
      </w:tr>
      <w:tr w:rsidR="00DE5192" w:rsidRPr="00293CD1" w:rsidTr="002A6864">
        <w:tc>
          <w:tcPr>
            <w:tcW w:w="2427" w:type="pct"/>
          </w:tcPr>
          <w:p w:rsidR="00DE5192" w:rsidRPr="00293CD1" w:rsidRDefault="00DE5192" w:rsidP="002A6864">
            <w:pPr>
              <w:jc w:val="both"/>
              <w:rPr>
                <w:rFonts w:eastAsia="Calibri"/>
                <w:sz w:val="20"/>
                <w:lang w:val="fr-CA"/>
              </w:rPr>
            </w:pPr>
            <w:r w:rsidRPr="00293CD1">
              <w:rPr>
                <w:rFonts w:eastAsia="Calibri"/>
                <w:sz w:val="20"/>
                <w:lang w:val="fr-CA"/>
              </w:rPr>
              <w:t>Le 14 juin 2011</w:t>
            </w:r>
          </w:p>
          <w:p w:rsidR="00DE5192" w:rsidRPr="00293CD1" w:rsidRDefault="00DE5192" w:rsidP="002A6864">
            <w:pPr>
              <w:jc w:val="both"/>
              <w:rPr>
                <w:rFonts w:eastAsia="Calibri"/>
                <w:sz w:val="20"/>
                <w:lang w:val="fr-CA"/>
              </w:rPr>
            </w:pPr>
            <w:r w:rsidRPr="00293CD1">
              <w:rPr>
                <w:rFonts w:eastAsia="Calibri"/>
                <w:sz w:val="20"/>
                <w:lang w:val="fr-CA"/>
              </w:rPr>
              <w:t>Cour d’appel du Québec (Montréal)</w:t>
            </w:r>
          </w:p>
          <w:p w:rsidR="00DE5192" w:rsidRPr="00293CD1" w:rsidRDefault="00DE5192" w:rsidP="002A6864">
            <w:pPr>
              <w:jc w:val="both"/>
              <w:rPr>
                <w:rFonts w:eastAsia="Calibri"/>
                <w:sz w:val="20"/>
                <w:lang w:val="fr-CA"/>
              </w:rPr>
            </w:pPr>
            <w:r w:rsidRPr="00293CD1">
              <w:rPr>
                <w:rFonts w:eastAsia="Calibri"/>
                <w:sz w:val="20"/>
                <w:lang w:val="fr-CA"/>
              </w:rPr>
              <w:t xml:space="preserve">(Le juge </w:t>
            </w:r>
            <w:proofErr w:type="spellStart"/>
            <w:r w:rsidRPr="00293CD1">
              <w:rPr>
                <w:rFonts w:eastAsia="Calibri"/>
                <w:sz w:val="20"/>
                <w:lang w:val="fr-CA"/>
              </w:rPr>
              <w:t>Rochon</w:t>
            </w:r>
            <w:proofErr w:type="spellEnd"/>
            <w:r w:rsidRPr="00293CD1">
              <w:rPr>
                <w:rFonts w:eastAsia="Calibri"/>
                <w:sz w:val="20"/>
                <w:lang w:val="fr-CA"/>
              </w:rPr>
              <w:t>)</w:t>
            </w:r>
          </w:p>
          <w:p w:rsidR="00DE5192" w:rsidRPr="00293CD1" w:rsidRDefault="00DE5192" w:rsidP="002A6864">
            <w:pPr>
              <w:jc w:val="both"/>
              <w:rPr>
                <w:rFonts w:eastAsia="Calibri"/>
                <w:sz w:val="20"/>
                <w:lang w:val="fr-CA"/>
              </w:rPr>
            </w:pPr>
            <w:r w:rsidRPr="00293CD1">
              <w:rPr>
                <w:rFonts w:eastAsia="Calibri"/>
                <w:sz w:val="20"/>
                <w:lang w:val="fr-CA"/>
              </w:rPr>
              <w:t>2011 QCCA 1109</w:t>
            </w:r>
          </w:p>
          <w:p w:rsidR="00DE5192" w:rsidRPr="00293CD1" w:rsidRDefault="00DE5192" w:rsidP="002A6864">
            <w:pPr>
              <w:jc w:val="both"/>
              <w:rPr>
                <w:rFonts w:eastAsia="Calibri"/>
                <w:sz w:val="20"/>
              </w:rPr>
            </w:pPr>
          </w:p>
        </w:tc>
        <w:tc>
          <w:tcPr>
            <w:tcW w:w="243" w:type="pct"/>
          </w:tcPr>
          <w:p w:rsidR="00DE5192" w:rsidRPr="00293CD1" w:rsidRDefault="00DE5192" w:rsidP="002A6864">
            <w:pPr>
              <w:jc w:val="both"/>
              <w:rPr>
                <w:rFonts w:eastAsia="Calibri"/>
                <w:sz w:val="20"/>
              </w:rPr>
            </w:pPr>
          </w:p>
        </w:tc>
        <w:tc>
          <w:tcPr>
            <w:tcW w:w="2330" w:type="pct"/>
          </w:tcPr>
          <w:p w:rsidR="00DE5192" w:rsidRPr="00293CD1" w:rsidRDefault="00DE5192" w:rsidP="002A6864">
            <w:pPr>
              <w:jc w:val="both"/>
              <w:rPr>
                <w:rFonts w:eastAsia="Calibri"/>
                <w:sz w:val="20"/>
                <w:lang w:val="fr-CA"/>
              </w:rPr>
            </w:pPr>
            <w:r w:rsidRPr="00293CD1">
              <w:rPr>
                <w:rFonts w:eastAsia="Calibri"/>
                <w:sz w:val="20"/>
                <w:lang w:val="fr-CA"/>
              </w:rPr>
              <w:t>Requête pour permission d’appeler rejetée</w:t>
            </w:r>
          </w:p>
          <w:p w:rsidR="00DE5192" w:rsidRPr="00293CD1" w:rsidRDefault="00DE5192" w:rsidP="002A6864">
            <w:pPr>
              <w:jc w:val="both"/>
              <w:rPr>
                <w:rFonts w:eastAsia="Calibri"/>
                <w:sz w:val="20"/>
                <w:lang w:val="fr-CA"/>
              </w:rPr>
            </w:pPr>
          </w:p>
        </w:tc>
      </w:tr>
      <w:tr w:rsidR="00DE5192" w:rsidRPr="00293CD1" w:rsidTr="00341F91">
        <w:trPr>
          <w:cantSplit/>
        </w:trPr>
        <w:tc>
          <w:tcPr>
            <w:tcW w:w="2427" w:type="pct"/>
          </w:tcPr>
          <w:p w:rsidR="00DE5192" w:rsidRPr="00293CD1" w:rsidRDefault="00DE5192" w:rsidP="002A6864">
            <w:pPr>
              <w:jc w:val="both"/>
              <w:rPr>
                <w:rFonts w:eastAsia="Calibri"/>
                <w:sz w:val="20"/>
                <w:lang w:val="fr-CA"/>
              </w:rPr>
            </w:pPr>
            <w:r w:rsidRPr="00293CD1">
              <w:rPr>
                <w:rFonts w:eastAsia="Calibri"/>
                <w:sz w:val="20"/>
                <w:lang w:val="fr-CA"/>
              </w:rPr>
              <w:t>Le 12 septembre 2011</w:t>
            </w:r>
          </w:p>
          <w:p w:rsidR="00DE5192" w:rsidRPr="00293CD1" w:rsidRDefault="00DE5192" w:rsidP="002A6864">
            <w:pPr>
              <w:jc w:val="both"/>
              <w:rPr>
                <w:rFonts w:eastAsia="Calibri"/>
                <w:sz w:val="20"/>
                <w:lang w:val="fr-CA"/>
              </w:rPr>
            </w:pPr>
            <w:r w:rsidRPr="00293CD1">
              <w:rPr>
                <w:rFonts w:eastAsia="Calibri"/>
                <w:sz w:val="20"/>
                <w:lang w:val="fr-CA"/>
              </w:rPr>
              <w:t>Cour suprême du Canada</w:t>
            </w:r>
          </w:p>
        </w:tc>
        <w:tc>
          <w:tcPr>
            <w:tcW w:w="243" w:type="pct"/>
          </w:tcPr>
          <w:p w:rsidR="00DE5192" w:rsidRPr="00293CD1" w:rsidRDefault="00DE5192" w:rsidP="002A6864">
            <w:pPr>
              <w:jc w:val="both"/>
              <w:rPr>
                <w:rFonts w:eastAsia="Calibri"/>
                <w:sz w:val="20"/>
                <w:lang w:val="fr-CA"/>
              </w:rPr>
            </w:pPr>
          </w:p>
        </w:tc>
        <w:tc>
          <w:tcPr>
            <w:tcW w:w="2330" w:type="pct"/>
          </w:tcPr>
          <w:p w:rsidR="00DE5192" w:rsidRPr="00293CD1" w:rsidRDefault="00DE5192" w:rsidP="002A6864">
            <w:pPr>
              <w:jc w:val="both"/>
              <w:rPr>
                <w:rFonts w:eastAsia="Calibri"/>
                <w:sz w:val="20"/>
                <w:lang w:val="fr-CA"/>
              </w:rPr>
            </w:pPr>
            <w:r w:rsidRPr="00293CD1">
              <w:rPr>
                <w:rFonts w:eastAsia="Calibri"/>
                <w:sz w:val="20"/>
                <w:lang w:val="fr-CA"/>
              </w:rPr>
              <w:t>Demande d'autorisation d'appel déposée</w:t>
            </w:r>
          </w:p>
          <w:p w:rsidR="00DE5192" w:rsidRPr="00293CD1" w:rsidRDefault="00DE5192" w:rsidP="002A6864">
            <w:pPr>
              <w:jc w:val="both"/>
              <w:rPr>
                <w:rFonts w:eastAsia="Calibri"/>
                <w:sz w:val="20"/>
                <w:lang w:val="fr-CA"/>
              </w:rPr>
            </w:pP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50" style="width:2in;height:1pt" o:hrpct="0" o:hralign="center" o:hrstd="t" o:hrnoshade="t" o:hr="t" fillcolor="black [3213]" stroked="f"/>
        </w:pict>
      </w:r>
    </w:p>
    <w:p w:rsidR="00F9104A" w:rsidRDefault="00F9104A" w:rsidP="00F9104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6DD6" w:rsidRPr="002B11E5" w:rsidTr="002A6864">
        <w:trPr>
          <w:cantSplit/>
        </w:trPr>
        <w:tc>
          <w:tcPr>
            <w:tcW w:w="1458" w:type="dxa"/>
          </w:tcPr>
          <w:p w:rsidR="00246DD6" w:rsidRPr="002B11E5" w:rsidRDefault="00246DD6" w:rsidP="002A6864">
            <w:pPr>
              <w:rPr>
                <w:sz w:val="20"/>
                <w:szCs w:val="20"/>
              </w:rPr>
            </w:pPr>
            <w:r w:rsidRPr="002B11E5">
              <w:rPr>
                <w:rStyle w:val="SCCFileNumberChar"/>
                <w:sz w:val="20"/>
                <w:szCs w:val="20"/>
              </w:rPr>
              <w:t>34438</w:t>
            </w:r>
          </w:p>
          <w:p w:rsidR="00246DD6" w:rsidRPr="002B11E5" w:rsidRDefault="00246DD6" w:rsidP="002A6864">
            <w:pPr>
              <w:rPr>
                <w:b/>
                <w:sz w:val="20"/>
                <w:szCs w:val="20"/>
                <w:lang w:val="fr-CA"/>
              </w:rPr>
            </w:pPr>
          </w:p>
        </w:tc>
        <w:tc>
          <w:tcPr>
            <w:tcW w:w="8118" w:type="dxa"/>
          </w:tcPr>
          <w:p w:rsidR="00246DD6" w:rsidRPr="002B11E5" w:rsidRDefault="00246DD6" w:rsidP="002A6864">
            <w:pPr>
              <w:rPr>
                <w:sz w:val="20"/>
                <w:szCs w:val="20"/>
                <w:lang w:val="fr-CA"/>
              </w:rPr>
            </w:pPr>
            <w:r w:rsidRPr="002B11E5">
              <w:rPr>
                <w:rStyle w:val="SCCLsocChar"/>
                <w:sz w:val="20"/>
                <w:szCs w:val="20"/>
              </w:rPr>
              <w:t xml:space="preserve">Leona </w:t>
            </w:r>
            <w:proofErr w:type="spellStart"/>
            <w:r w:rsidRPr="002B11E5">
              <w:rPr>
                <w:rStyle w:val="SCCLsocChar"/>
                <w:sz w:val="20"/>
                <w:szCs w:val="20"/>
              </w:rPr>
              <w:t>Polger</w:t>
            </w:r>
            <w:proofErr w:type="spellEnd"/>
            <w:r w:rsidR="00341F91">
              <w:rPr>
                <w:rStyle w:val="SCCLsocChar"/>
                <w:sz w:val="20"/>
                <w:szCs w:val="20"/>
              </w:rPr>
              <w:t xml:space="preserve"> and</w:t>
            </w:r>
            <w:r w:rsidRPr="002B11E5">
              <w:rPr>
                <w:rStyle w:val="SCCLsocChar"/>
                <w:sz w:val="20"/>
                <w:szCs w:val="20"/>
              </w:rPr>
              <w:t xml:space="preserve"> Abraham </w:t>
            </w:r>
            <w:proofErr w:type="spellStart"/>
            <w:r w:rsidRPr="002B11E5">
              <w:rPr>
                <w:rStyle w:val="SCCLsocChar"/>
                <w:sz w:val="20"/>
                <w:szCs w:val="20"/>
              </w:rPr>
              <w:t>Smajovits</w:t>
            </w:r>
            <w:proofErr w:type="spellEnd"/>
            <w:r w:rsidRPr="002B11E5">
              <w:rPr>
                <w:rStyle w:val="SCCLsocChar"/>
                <w:sz w:val="20"/>
                <w:szCs w:val="20"/>
              </w:rPr>
              <w:t xml:space="preserve"> c. Congrès juif canadien</w:t>
            </w:r>
            <w:r w:rsidRPr="002B11E5">
              <w:rPr>
                <w:sz w:val="20"/>
                <w:szCs w:val="20"/>
                <w:lang w:val="fr-CA"/>
              </w:rPr>
              <w:t xml:space="preserve"> (</w:t>
            </w:r>
            <w:proofErr w:type="spellStart"/>
            <w:r w:rsidRPr="002B11E5">
              <w:rPr>
                <w:sz w:val="20"/>
                <w:szCs w:val="20"/>
                <w:lang w:val="fr-CA"/>
              </w:rPr>
              <w:t>Qc</w:t>
            </w:r>
            <w:proofErr w:type="spellEnd"/>
            <w:r w:rsidRPr="002B11E5">
              <w:rPr>
                <w:sz w:val="20"/>
                <w:szCs w:val="20"/>
                <w:lang w:val="fr-CA"/>
              </w:rPr>
              <w:t>) (Civile) (Autorisation)</w:t>
            </w:r>
          </w:p>
          <w:p w:rsidR="00246DD6" w:rsidRPr="002B11E5" w:rsidRDefault="00246DD6" w:rsidP="002A6864">
            <w:pPr>
              <w:rPr>
                <w:sz w:val="20"/>
                <w:szCs w:val="20"/>
                <w:lang w:val="fr-CA"/>
              </w:rPr>
            </w:pPr>
          </w:p>
        </w:tc>
      </w:tr>
      <w:tr w:rsidR="00246DD6" w:rsidRPr="00251B16" w:rsidTr="002A6864">
        <w:trPr>
          <w:cantSplit/>
        </w:trPr>
        <w:tc>
          <w:tcPr>
            <w:tcW w:w="1458" w:type="dxa"/>
          </w:tcPr>
          <w:p w:rsidR="00246DD6" w:rsidRPr="002B11E5" w:rsidRDefault="00246DD6" w:rsidP="002A6864">
            <w:pPr>
              <w:rPr>
                <w:sz w:val="20"/>
                <w:szCs w:val="20"/>
              </w:rPr>
            </w:pPr>
            <w:r w:rsidRPr="002B11E5">
              <w:rPr>
                <w:sz w:val="20"/>
                <w:szCs w:val="20"/>
              </w:rPr>
              <w:t>Coram :</w:t>
            </w:r>
          </w:p>
        </w:tc>
        <w:tc>
          <w:tcPr>
            <w:tcW w:w="8118" w:type="dxa"/>
          </w:tcPr>
          <w:p w:rsidR="00246DD6" w:rsidRPr="002B11E5" w:rsidRDefault="00246DD6" w:rsidP="002A6864">
            <w:pPr>
              <w:rPr>
                <w:sz w:val="20"/>
                <w:szCs w:val="20"/>
                <w:lang w:val="fr-CA"/>
              </w:rPr>
            </w:pPr>
            <w:r w:rsidRPr="002B11E5">
              <w:rPr>
                <w:rStyle w:val="SCCCoramChar"/>
                <w:sz w:val="20"/>
                <w:szCs w:val="20"/>
              </w:rPr>
              <w:t xml:space="preserve">Les juges Deschamps, Fish et </w:t>
            </w:r>
            <w:proofErr w:type="spellStart"/>
            <w:r w:rsidRPr="002B11E5">
              <w:rPr>
                <w:rStyle w:val="SCCCoramChar"/>
                <w:sz w:val="20"/>
                <w:szCs w:val="20"/>
              </w:rPr>
              <w:t>Karakatsanis</w:t>
            </w:r>
            <w:proofErr w:type="spellEnd"/>
          </w:p>
          <w:p w:rsidR="00246DD6" w:rsidRPr="002B11E5" w:rsidRDefault="00246DD6" w:rsidP="002A6864">
            <w:pPr>
              <w:rPr>
                <w:sz w:val="20"/>
                <w:szCs w:val="20"/>
                <w:u w:val="single"/>
                <w:lang w:val="fr-CA"/>
              </w:rPr>
            </w:pPr>
          </w:p>
        </w:tc>
      </w:tr>
      <w:tr w:rsidR="00246DD6" w:rsidRPr="002B11E5" w:rsidTr="002A6864">
        <w:trPr>
          <w:cantSplit/>
        </w:trPr>
        <w:tc>
          <w:tcPr>
            <w:tcW w:w="9576" w:type="dxa"/>
            <w:gridSpan w:val="2"/>
          </w:tcPr>
          <w:p w:rsidR="00246DD6" w:rsidRPr="002B11E5" w:rsidRDefault="00246DD6" w:rsidP="002A6864">
            <w:pPr>
              <w:pStyle w:val="SCCShortJudgment"/>
              <w:rPr>
                <w:szCs w:val="20"/>
                <w:lang w:val="fr-CA"/>
              </w:rPr>
            </w:pPr>
            <w:r w:rsidRPr="002B11E5">
              <w:rPr>
                <w:szCs w:val="20"/>
                <w:lang w:val="fr-CA"/>
              </w:rPr>
              <w:t>La demande d’autorisation d’appel de l’arrêt de la Cour d’appel du Québec (Montréal), numéro 500-09-019743-095, 2011 QCCA 1169, daté du 21 juin 2011, est rejetée avec dépens.</w:t>
            </w:r>
          </w:p>
          <w:p w:rsidR="00246DD6" w:rsidRPr="002B11E5" w:rsidRDefault="00246DD6" w:rsidP="002A6864">
            <w:pPr>
              <w:pStyle w:val="SCCShortJudgment"/>
              <w:ind w:firstLine="0"/>
              <w:rPr>
                <w:szCs w:val="20"/>
                <w:lang w:val="fr-CA"/>
              </w:rPr>
            </w:pPr>
          </w:p>
          <w:p w:rsidR="00246DD6" w:rsidRPr="002B11E5" w:rsidRDefault="00246DD6" w:rsidP="002A6864">
            <w:pPr>
              <w:pStyle w:val="SCCShortJudgment"/>
              <w:rPr>
                <w:szCs w:val="20"/>
              </w:rPr>
            </w:pPr>
            <w:r w:rsidRPr="002B11E5">
              <w:rPr>
                <w:szCs w:val="20"/>
              </w:rPr>
              <w:t>The application for leave to appeal from the judgment of the Court of Appeal of Quebec (Montréal), Number 500-09-019743-095, 2011 QCCA 1169, dated June 21, 2011, is dismissed with costs.</w:t>
            </w:r>
          </w:p>
        </w:tc>
      </w:tr>
    </w:tbl>
    <w:p w:rsidR="00F9104A" w:rsidRDefault="00F9104A" w:rsidP="00F9104A">
      <w:pPr>
        <w:rPr>
          <w:sz w:val="20"/>
          <w:szCs w:val="20"/>
        </w:rPr>
      </w:pPr>
    </w:p>
    <w:p w:rsidR="00F9104A" w:rsidRPr="001B157C" w:rsidRDefault="00F9104A" w:rsidP="00F9104A">
      <w:pPr>
        <w:rPr>
          <w:sz w:val="20"/>
          <w:szCs w:val="20"/>
          <w:u w:val="single"/>
        </w:rPr>
      </w:pPr>
      <w:r w:rsidRPr="001B157C">
        <w:rPr>
          <w:sz w:val="20"/>
          <w:szCs w:val="20"/>
          <w:u w:val="single"/>
        </w:rPr>
        <w:t>CASE SUMMARY</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F488C" w:rsidRPr="00293CD1" w:rsidTr="002A6864">
        <w:tc>
          <w:tcPr>
            <w:tcW w:w="5000" w:type="pct"/>
            <w:gridSpan w:val="3"/>
          </w:tcPr>
          <w:p w:rsidR="001F488C" w:rsidRPr="00293CD1" w:rsidRDefault="001F488C" w:rsidP="002A6864">
            <w:pPr>
              <w:jc w:val="both"/>
              <w:rPr>
                <w:rFonts w:eastAsia="Calibri"/>
                <w:sz w:val="20"/>
              </w:rPr>
            </w:pPr>
            <w:r w:rsidRPr="00293CD1">
              <w:rPr>
                <w:rFonts w:eastAsia="Calibri"/>
                <w:sz w:val="20"/>
              </w:rPr>
              <w:t xml:space="preserve">Employment law — Contract of employment — Usage — Remuneration in lieu of notice and pension plan — Whether Court of Appeal erred in law in disregarding longstanding practice and usage relating to employer’s obligations under contract of employment — Whether Court of Appeal erred in reviewing factual basis for trial judgment having regard to employer’s practice, thus imposing improper burden of proof on applicants — Whether Court of Appeal erred in failing to consider employer’s past practice to determine whether remuneration in lieu of notice reasonable — </w:t>
            </w:r>
            <w:r w:rsidRPr="00293CD1">
              <w:rPr>
                <w:rFonts w:eastAsia="Calibri"/>
                <w:i/>
                <w:sz w:val="20"/>
              </w:rPr>
              <w:t>Civil Code of Québec</w:t>
            </w:r>
            <w:r w:rsidRPr="00293CD1">
              <w:rPr>
                <w:rFonts w:eastAsia="Calibri"/>
                <w:sz w:val="20"/>
              </w:rPr>
              <w:t>, S.Q. 1991, c. 64, arts. 1434, 2091.</w:t>
            </w:r>
          </w:p>
          <w:p w:rsidR="001F488C" w:rsidRPr="00293CD1" w:rsidRDefault="001F488C" w:rsidP="002A6864">
            <w:pPr>
              <w:jc w:val="both"/>
              <w:rPr>
                <w:rFonts w:eastAsia="Calibri"/>
                <w:sz w:val="20"/>
              </w:rPr>
            </w:pPr>
          </w:p>
        </w:tc>
      </w:tr>
      <w:tr w:rsidR="001F488C" w:rsidRPr="00293CD1" w:rsidTr="002A6864">
        <w:tc>
          <w:tcPr>
            <w:tcW w:w="5000" w:type="pct"/>
            <w:gridSpan w:val="3"/>
          </w:tcPr>
          <w:p w:rsidR="001F488C" w:rsidRPr="00293CD1" w:rsidRDefault="001F488C" w:rsidP="002A6864">
            <w:pPr>
              <w:jc w:val="both"/>
              <w:rPr>
                <w:rFonts w:eastAsia="Calibri"/>
                <w:sz w:val="20"/>
              </w:rPr>
            </w:pPr>
            <w:r w:rsidRPr="00293CD1">
              <w:rPr>
                <w:rFonts w:eastAsia="Calibri"/>
                <w:sz w:val="20"/>
              </w:rPr>
              <w:t xml:space="preserve">As a result of administrative restructuring within the Canadian Jewish Congress, the Montréal office’s accounting department closed and the applicants lost their jobs.  They had worked for the employer for 36 years and 22 years, respectively.  The employer offered them 18 months’ remuneration in lieu of notice and asked them to sign a discharge and waive any rights they might assert, including to a pension enhancement.  The applicants turned down the offer.  Although they had a defined contribution pension plan, they argued that there was a general practice or usage at the employer entitling them to the equivalent of a defined benefit pension plan.  They therefore instituted an action in the Superior Court claiming 36 months’ remuneration in lieu of notice each as well as additional pension benefits that took account of their years of service and their salaries, in keeping with the employer’s practice.  Their action was based on art. 1434 of the </w:t>
            </w:r>
            <w:r w:rsidRPr="00293CD1">
              <w:rPr>
                <w:rFonts w:eastAsia="Calibri"/>
                <w:i/>
                <w:sz w:val="20"/>
              </w:rPr>
              <w:t>Civil Code of Québec</w:t>
            </w:r>
            <w:r w:rsidRPr="00293CD1">
              <w:rPr>
                <w:rFonts w:eastAsia="Calibri"/>
                <w:sz w:val="20"/>
              </w:rPr>
              <w:t>, which provides that “[a] contract validly formed binds the parties who have entered into it not only as to what they have expressed in it but also as to what is incident to it according to its nature and in conformity with usage, equity or law”.  The Superior Court found that it had been shown on a balance of probabilities that there were practices, customs and usage justifying the applicants’ claim with regard to both the pension enhancement and the remuneration in lieu of notice.  The Court of Appeal unanimously reduced the remuneration in lieu of notice to 24 months.  The majority of the Court concluded that the applicants had not been able to prove the existence of an implicit contract or usage entitling them to additional pension benefits.</w:t>
            </w:r>
          </w:p>
        </w:tc>
      </w:tr>
      <w:tr w:rsidR="001F488C" w:rsidRPr="00293CD1" w:rsidTr="002A6864">
        <w:tc>
          <w:tcPr>
            <w:tcW w:w="5000" w:type="pct"/>
            <w:gridSpan w:val="3"/>
          </w:tcPr>
          <w:p w:rsidR="001F488C" w:rsidRPr="00293CD1" w:rsidRDefault="001F488C" w:rsidP="002A6864">
            <w:pPr>
              <w:jc w:val="both"/>
              <w:rPr>
                <w:rFonts w:eastAsia="Calibri"/>
                <w:sz w:val="20"/>
              </w:rPr>
            </w:pPr>
            <w:r w:rsidRPr="00293CD1">
              <w:rPr>
                <w:rFonts w:eastAsia="Calibri"/>
                <w:sz w:val="20"/>
              </w:rPr>
              <w:t xml:space="preserve"> </w:t>
            </w: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May 11, 2009</w:t>
            </w:r>
          </w:p>
          <w:p w:rsidR="001F488C" w:rsidRPr="00293CD1" w:rsidRDefault="001F488C" w:rsidP="002A6864">
            <w:pPr>
              <w:jc w:val="both"/>
              <w:rPr>
                <w:rFonts w:eastAsia="Calibri"/>
                <w:sz w:val="20"/>
              </w:rPr>
            </w:pPr>
            <w:r w:rsidRPr="00293CD1">
              <w:rPr>
                <w:rFonts w:eastAsia="Calibri"/>
                <w:sz w:val="20"/>
              </w:rPr>
              <w:t>Quebec Superior Court</w:t>
            </w:r>
          </w:p>
          <w:p w:rsidR="001F488C" w:rsidRPr="00293CD1" w:rsidRDefault="001F488C" w:rsidP="002A6864">
            <w:pPr>
              <w:jc w:val="both"/>
              <w:rPr>
                <w:rFonts w:eastAsia="Calibri"/>
                <w:sz w:val="20"/>
              </w:rPr>
            </w:pPr>
            <w:r w:rsidRPr="00293CD1">
              <w:rPr>
                <w:rFonts w:eastAsia="Calibri"/>
                <w:sz w:val="20"/>
              </w:rPr>
              <w:t>(</w:t>
            </w:r>
            <w:proofErr w:type="spellStart"/>
            <w:r w:rsidRPr="00293CD1">
              <w:rPr>
                <w:rFonts w:eastAsia="Calibri"/>
                <w:sz w:val="20"/>
              </w:rPr>
              <w:t>Larouche</w:t>
            </w:r>
            <w:proofErr w:type="spellEnd"/>
            <w:r w:rsidRPr="00293CD1">
              <w:rPr>
                <w:rFonts w:eastAsia="Calibri"/>
                <w:sz w:val="20"/>
              </w:rPr>
              <w:t xml:space="preserve"> J.)</w:t>
            </w:r>
          </w:p>
          <w:p w:rsidR="001F488C" w:rsidRPr="00293CD1" w:rsidRDefault="001F488C" w:rsidP="002A6864">
            <w:pPr>
              <w:jc w:val="both"/>
              <w:rPr>
                <w:rFonts w:eastAsia="Calibri"/>
                <w:sz w:val="20"/>
              </w:rPr>
            </w:pPr>
            <w:r w:rsidRPr="00293CD1">
              <w:rPr>
                <w:rFonts w:eastAsia="Calibri"/>
                <w:sz w:val="20"/>
              </w:rPr>
              <w:t>2009 QCCS 2041</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Action allowed</w:t>
            </w: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June 21, 2011</w:t>
            </w:r>
          </w:p>
          <w:p w:rsidR="001F488C" w:rsidRPr="00293CD1" w:rsidRDefault="001F488C" w:rsidP="002A6864">
            <w:pPr>
              <w:jc w:val="both"/>
              <w:rPr>
                <w:rFonts w:eastAsia="Calibri"/>
                <w:sz w:val="20"/>
              </w:rPr>
            </w:pPr>
            <w:r w:rsidRPr="00293CD1">
              <w:rPr>
                <w:rFonts w:eastAsia="Calibri"/>
                <w:sz w:val="20"/>
              </w:rPr>
              <w:t>Quebec Court of Appeal (Montréal)</w:t>
            </w:r>
          </w:p>
          <w:p w:rsidR="001F488C" w:rsidRPr="00293CD1" w:rsidRDefault="001F488C" w:rsidP="002A6864">
            <w:pPr>
              <w:jc w:val="both"/>
              <w:rPr>
                <w:rFonts w:eastAsia="Calibri"/>
                <w:sz w:val="20"/>
              </w:rPr>
            </w:pPr>
            <w:r w:rsidRPr="00293CD1">
              <w:rPr>
                <w:rFonts w:eastAsia="Calibri"/>
                <w:sz w:val="20"/>
              </w:rPr>
              <w:t xml:space="preserve">(Beauregard, </w:t>
            </w:r>
            <w:proofErr w:type="spellStart"/>
            <w:r w:rsidRPr="00293CD1">
              <w:rPr>
                <w:rFonts w:eastAsia="Calibri"/>
                <w:sz w:val="20"/>
              </w:rPr>
              <w:t>Bich</w:t>
            </w:r>
            <w:proofErr w:type="spellEnd"/>
            <w:r w:rsidRPr="00293CD1">
              <w:rPr>
                <w:rFonts w:eastAsia="Calibri"/>
                <w:sz w:val="20"/>
              </w:rPr>
              <w:t xml:space="preserve"> and Duval </w:t>
            </w:r>
            <w:proofErr w:type="spellStart"/>
            <w:r w:rsidRPr="00293CD1">
              <w:rPr>
                <w:rFonts w:eastAsia="Calibri"/>
                <w:sz w:val="20"/>
              </w:rPr>
              <w:t>Hesler</w:t>
            </w:r>
            <w:proofErr w:type="spellEnd"/>
            <w:r w:rsidRPr="00293CD1">
              <w:rPr>
                <w:rFonts w:eastAsia="Calibri"/>
                <w:sz w:val="20"/>
              </w:rPr>
              <w:t xml:space="preserve"> JJ.A.)</w:t>
            </w:r>
          </w:p>
          <w:p w:rsidR="001F488C" w:rsidRPr="00293CD1" w:rsidRDefault="001F488C" w:rsidP="002A6864">
            <w:pPr>
              <w:jc w:val="both"/>
              <w:rPr>
                <w:rFonts w:eastAsia="Calibri"/>
                <w:sz w:val="20"/>
              </w:rPr>
            </w:pPr>
            <w:r w:rsidRPr="00293CD1">
              <w:rPr>
                <w:rFonts w:eastAsia="Calibri"/>
                <w:sz w:val="20"/>
              </w:rPr>
              <w:t>2011 QCCA 1169</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Appeal allowed</w:t>
            </w:r>
          </w:p>
        </w:tc>
      </w:tr>
      <w:tr w:rsidR="001F488C" w:rsidRPr="00293CD1" w:rsidTr="00341F91">
        <w:trPr>
          <w:cantSplit/>
        </w:trPr>
        <w:tc>
          <w:tcPr>
            <w:tcW w:w="2427" w:type="pct"/>
          </w:tcPr>
          <w:p w:rsidR="001F488C" w:rsidRPr="00293CD1" w:rsidRDefault="001F488C" w:rsidP="002A6864">
            <w:pPr>
              <w:jc w:val="both"/>
              <w:rPr>
                <w:rFonts w:eastAsia="Calibri"/>
                <w:sz w:val="20"/>
              </w:rPr>
            </w:pPr>
            <w:r w:rsidRPr="00293CD1">
              <w:rPr>
                <w:rFonts w:eastAsia="Calibri"/>
                <w:sz w:val="20"/>
              </w:rPr>
              <w:t>September 19, 2011</w:t>
            </w:r>
          </w:p>
          <w:p w:rsidR="001F488C" w:rsidRPr="00293CD1" w:rsidRDefault="001F488C" w:rsidP="002A6864">
            <w:pPr>
              <w:jc w:val="both"/>
              <w:rPr>
                <w:rFonts w:eastAsia="Calibri"/>
                <w:sz w:val="20"/>
              </w:rPr>
            </w:pPr>
            <w:r w:rsidRPr="00293CD1">
              <w:rPr>
                <w:rFonts w:eastAsia="Calibri"/>
                <w:sz w:val="20"/>
              </w:rPr>
              <w:t>Supreme Court of Canada</w:t>
            </w: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Application for leave to appeal filed</w:t>
            </w: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51" style="width:2in;height:1pt" o:hrpct="0" o:hralign="center" o:hrstd="t" o:hrnoshade="t" o:hr="t" fillcolor="black [3213]" stroked="f"/>
        </w:pict>
      </w:r>
    </w:p>
    <w:p w:rsidR="00F9104A" w:rsidRDefault="00F9104A" w:rsidP="00F9104A">
      <w:pPr>
        <w:rPr>
          <w:sz w:val="20"/>
          <w:szCs w:val="20"/>
        </w:rPr>
      </w:pPr>
    </w:p>
    <w:p w:rsidR="00F9104A" w:rsidRPr="001B157C" w:rsidRDefault="00F9104A" w:rsidP="00F9104A">
      <w:pPr>
        <w:rPr>
          <w:sz w:val="20"/>
          <w:szCs w:val="20"/>
          <w:u w:val="single"/>
          <w:lang w:val="fr-CA"/>
        </w:rPr>
      </w:pPr>
      <w:r w:rsidRPr="001B157C">
        <w:rPr>
          <w:sz w:val="20"/>
          <w:szCs w:val="20"/>
          <w:u w:val="single"/>
          <w:lang w:val="fr-CA"/>
        </w:rPr>
        <w:t>RÉSUMÉ DE L’AFFAIRE</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F488C" w:rsidRPr="00251B16" w:rsidTr="002A6864">
        <w:tc>
          <w:tcPr>
            <w:tcW w:w="5000" w:type="pct"/>
            <w:gridSpan w:val="3"/>
          </w:tcPr>
          <w:p w:rsidR="001F488C" w:rsidRPr="00293CD1" w:rsidRDefault="001F488C" w:rsidP="002A6864">
            <w:pPr>
              <w:jc w:val="both"/>
              <w:rPr>
                <w:sz w:val="20"/>
                <w:lang w:val="fr-CA"/>
              </w:rPr>
            </w:pPr>
            <w:r w:rsidRPr="00293CD1">
              <w:rPr>
                <w:sz w:val="20"/>
                <w:lang w:val="fr-CA"/>
              </w:rPr>
              <w:t xml:space="preserve">Droit de l’emploi — Contrat de travail — Usages — Délai de congé et régime de retraite — La Cour d’appel a-t-elle erré en droit en écartant l’usage et la pratique de longue date des obligations de l’employeur en vertu du contrat de travail? —  La Cour d’appel a-t-elle erré en révisant les fondements factuels du jugement de première instance eu égard à la pratique de l’employeur imposant ainsi aux demandeurs un fardeau de preuve inapproprié? —  La Cour d’appel a-t-elle erré en omettant de considérer la pratique passée d’un employeur afin d’évaluer le délai de congé raisonnable? — </w:t>
            </w:r>
            <w:r w:rsidRPr="00293CD1">
              <w:rPr>
                <w:i/>
                <w:sz w:val="20"/>
                <w:lang w:val="fr-CA"/>
              </w:rPr>
              <w:t>Code civil du Québec</w:t>
            </w:r>
            <w:r w:rsidRPr="00293CD1">
              <w:rPr>
                <w:sz w:val="20"/>
                <w:lang w:val="fr-CA"/>
              </w:rPr>
              <w:t>, L.Q. 1991, ch. 64, art. 1434, 2091.</w:t>
            </w:r>
          </w:p>
          <w:p w:rsidR="001F488C" w:rsidRPr="00293CD1" w:rsidRDefault="001F488C" w:rsidP="002A6864">
            <w:pPr>
              <w:rPr>
                <w:sz w:val="20"/>
                <w:lang w:val="fr-CA"/>
              </w:rPr>
            </w:pPr>
          </w:p>
        </w:tc>
      </w:tr>
      <w:tr w:rsidR="001F488C" w:rsidRPr="00251B16" w:rsidTr="002A6864">
        <w:tc>
          <w:tcPr>
            <w:tcW w:w="5000" w:type="pct"/>
            <w:gridSpan w:val="3"/>
          </w:tcPr>
          <w:p w:rsidR="001F488C" w:rsidRPr="00293CD1" w:rsidRDefault="001F488C" w:rsidP="002A6864">
            <w:pPr>
              <w:jc w:val="both"/>
              <w:rPr>
                <w:sz w:val="20"/>
                <w:lang w:val="fr-CA"/>
              </w:rPr>
            </w:pPr>
            <w:r w:rsidRPr="00293CD1">
              <w:rPr>
                <w:sz w:val="20"/>
                <w:lang w:val="fr-CA"/>
              </w:rPr>
              <w:t xml:space="preserve">À la suite d’une réorganisation administrative au sein du Congrès juif canadien, le service de comptabilité du bureau de Montréal ferme et les demandeurs perdent leur emploi. Ils comptaient respectivement 36 ans et 22 ans de service. L’employeur leur offre 18 mois de délai de congé et exige qu’ils signent une quittance et renoncent à tous droits qu'ils pourraient faire valoir dont une bonification du régime de retraite. Les demandeurs refusent l’offre. Bien qu’ils bénéficient d’un régime de retraite à contributions déterminées, ils invoquent l’existence d’un usage ou d’une pratique générale au sein de l’employeur selon laquelle ils auraient droit d’obtenir l’équivalent d’un régime de retraite à prestations déterminées. Ils intentent une action devant la Cour supérieure réclamant ainsi un délai de congé de 36 mois chacun de même que des prestations supplémentaires de retraite qui tiennent compte de leurs années de service et de leur salaire, le tout conformément à la pratique de l’employeur. L’article 1434 du </w:t>
            </w:r>
            <w:r w:rsidRPr="00293CD1">
              <w:rPr>
                <w:i/>
                <w:sz w:val="20"/>
                <w:lang w:val="fr-CA"/>
              </w:rPr>
              <w:t>Code civil du Québec</w:t>
            </w:r>
            <w:r w:rsidRPr="00293CD1">
              <w:rPr>
                <w:sz w:val="20"/>
                <w:lang w:val="fr-CA"/>
              </w:rPr>
              <w:t xml:space="preserve"> constitue le fondement de leur recours. Cette disposition prévoit que « [l]e contrat valablement formé oblige ceux qui l’ont conclu non seulement pour ce qu’ils y ont exprimé, mais aussi pour tout ce qui en découle d’après sa nature et suivant les usages, l’équité ou la loi ». La Cour supérieure conclut que la prépondérance de la preuve démontre des pratiques, coutumes et usages justifiant la réclamation des demandeurs tant en ce qui concerne la bonification de leur régime de retraite que le délai de congé. La Cour d’appel, à l’unanimité, réduit le délai de congé à 24 mois. À la majorité, la Cour conclut que les demandeurs n’ont pas réussi à prouver l’existence d’un contrat implicite ou d’un usage en vertu duquel ils peuvent bénéficier de prestations supplémentaires de retraite.</w:t>
            </w:r>
          </w:p>
        </w:tc>
      </w:tr>
      <w:tr w:rsidR="001F488C" w:rsidRPr="00251B16" w:rsidTr="002A6864">
        <w:tc>
          <w:tcPr>
            <w:tcW w:w="5000" w:type="pct"/>
            <w:gridSpan w:val="3"/>
          </w:tcPr>
          <w:p w:rsidR="001F488C" w:rsidRPr="00293CD1" w:rsidRDefault="001F488C" w:rsidP="002A6864">
            <w:pPr>
              <w:rPr>
                <w:sz w:val="20"/>
                <w:lang w:val="fr-CA"/>
              </w:rPr>
            </w:pPr>
            <w:r w:rsidRPr="00293CD1">
              <w:rPr>
                <w:sz w:val="20"/>
                <w:lang w:val="fr-CA"/>
              </w:rPr>
              <w:t xml:space="preserve"> </w:t>
            </w:r>
          </w:p>
        </w:tc>
      </w:tr>
      <w:tr w:rsidR="001F488C" w:rsidRPr="00293CD1" w:rsidTr="002A6864">
        <w:tc>
          <w:tcPr>
            <w:tcW w:w="2427" w:type="pct"/>
          </w:tcPr>
          <w:p w:rsidR="001F488C" w:rsidRPr="00293CD1" w:rsidRDefault="001F488C" w:rsidP="002A6864">
            <w:pPr>
              <w:rPr>
                <w:sz w:val="20"/>
                <w:lang w:val="fr-CA"/>
              </w:rPr>
            </w:pPr>
            <w:r w:rsidRPr="00293CD1">
              <w:rPr>
                <w:sz w:val="20"/>
                <w:lang w:val="fr-CA"/>
              </w:rPr>
              <w:t>Le 11 mai 2009</w:t>
            </w:r>
          </w:p>
          <w:p w:rsidR="001F488C" w:rsidRPr="00293CD1" w:rsidRDefault="001F488C" w:rsidP="002A6864">
            <w:pPr>
              <w:rPr>
                <w:sz w:val="20"/>
                <w:lang w:val="fr-CA"/>
              </w:rPr>
            </w:pPr>
            <w:r w:rsidRPr="00293CD1">
              <w:rPr>
                <w:sz w:val="20"/>
                <w:lang w:val="fr-CA"/>
              </w:rPr>
              <w:t>Cour supérieure du Québec</w:t>
            </w:r>
          </w:p>
          <w:p w:rsidR="001F488C" w:rsidRPr="00293CD1" w:rsidRDefault="001F488C" w:rsidP="002A6864">
            <w:pPr>
              <w:rPr>
                <w:sz w:val="20"/>
              </w:rPr>
            </w:pPr>
            <w:r w:rsidRPr="00293CD1">
              <w:rPr>
                <w:sz w:val="20"/>
              </w:rPr>
              <w:t xml:space="preserve">(Le </w:t>
            </w:r>
            <w:proofErr w:type="spellStart"/>
            <w:r w:rsidRPr="00293CD1">
              <w:rPr>
                <w:sz w:val="20"/>
              </w:rPr>
              <w:t>juge</w:t>
            </w:r>
            <w:proofErr w:type="spellEnd"/>
            <w:r w:rsidRPr="00293CD1">
              <w:rPr>
                <w:sz w:val="20"/>
              </w:rPr>
              <w:t xml:space="preserve"> </w:t>
            </w:r>
            <w:proofErr w:type="spellStart"/>
            <w:r w:rsidRPr="00293CD1">
              <w:rPr>
                <w:sz w:val="20"/>
              </w:rPr>
              <w:t>Larouche</w:t>
            </w:r>
            <w:proofErr w:type="spellEnd"/>
            <w:r w:rsidRPr="00293CD1">
              <w:rPr>
                <w:sz w:val="20"/>
              </w:rPr>
              <w:t>)</w:t>
            </w:r>
          </w:p>
          <w:p w:rsidR="001F488C" w:rsidRPr="00293CD1" w:rsidRDefault="001F488C" w:rsidP="002A6864">
            <w:pPr>
              <w:rPr>
                <w:sz w:val="20"/>
              </w:rPr>
            </w:pPr>
            <w:r w:rsidRPr="00293CD1">
              <w:rPr>
                <w:sz w:val="20"/>
              </w:rPr>
              <w:t>2009 QCCS 2041</w:t>
            </w:r>
          </w:p>
          <w:p w:rsidR="001F488C" w:rsidRPr="00293CD1" w:rsidRDefault="001F488C" w:rsidP="002A6864">
            <w:pPr>
              <w:rPr>
                <w:sz w:val="20"/>
              </w:rPr>
            </w:pPr>
          </w:p>
        </w:tc>
        <w:tc>
          <w:tcPr>
            <w:tcW w:w="243" w:type="pct"/>
          </w:tcPr>
          <w:p w:rsidR="001F488C" w:rsidRPr="00293CD1" w:rsidRDefault="001F488C" w:rsidP="002A6864">
            <w:pPr>
              <w:rPr>
                <w:sz w:val="20"/>
                <w:lang w:val="fr-FR"/>
              </w:rPr>
            </w:pPr>
          </w:p>
        </w:tc>
        <w:tc>
          <w:tcPr>
            <w:tcW w:w="2330" w:type="pct"/>
          </w:tcPr>
          <w:p w:rsidR="001F488C" w:rsidRPr="00293CD1" w:rsidRDefault="001F488C" w:rsidP="002A6864">
            <w:pPr>
              <w:rPr>
                <w:sz w:val="20"/>
              </w:rPr>
            </w:pPr>
            <w:r w:rsidRPr="00293CD1">
              <w:rPr>
                <w:sz w:val="20"/>
              </w:rPr>
              <w:t xml:space="preserve">Action </w:t>
            </w:r>
            <w:proofErr w:type="spellStart"/>
            <w:r w:rsidRPr="00293CD1">
              <w:rPr>
                <w:sz w:val="20"/>
              </w:rPr>
              <w:t>accueillie</w:t>
            </w:r>
            <w:proofErr w:type="spellEnd"/>
          </w:p>
        </w:tc>
      </w:tr>
      <w:tr w:rsidR="001F488C" w:rsidRPr="00293CD1" w:rsidTr="002A6864">
        <w:tc>
          <w:tcPr>
            <w:tcW w:w="2427" w:type="pct"/>
          </w:tcPr>
          <w:p w:rsidR="001F488C" w:rsidRPr="00293CD1" w:rsidRDefault="001F488C" w:rsidP="002A6864">
            <w:pPr>
              <w:rPr>
                <w:sz w:val="20"/>
                <w:lang w:val="fr-CA"/>
              </w:rPr>
            </w:pPr>
            <w:r w:rsidRPr="00293CD1">
              <w:rPr>
                <w:sz w:val="20"/>
                <w:lang w:val="fr-CA"/>
              </w:rPr>
              <w:t>Le 21 juin 2011</w:t>
            </w:r>
          </w:p>
          <w:p w:rsidR="001F488C" w:rsidRPr="00293CD1" w:rsidRDefault="001F488C" w:rsidP="002A6864">
            <w:pPr>
              <w:rPr>
                <w:sz w:val="20"/>
                <w:lang w:val="fr-CA"/>
              </w:rPr>
            </w:pPr>
            <w:r w:rsidRPr="00293CD1">
              <w:rPr>
                <w:sz w:val="20"/>
                <w:lang w:val="fr-CA"/>
              </w:rPr>
              <w:t>Cour d’appel du Québec (Montréal)</w:t>
            </w:r>
          </w:p>
          <w:p w:rsidR="001F488C" w:rsidRPr="00293CD1" w:rsidRDefault="001F488C" w:rsidP="002A6864">
            <w:pPr>
              <w:rPr>
                <w:sz w:val="20"/>
                <w:lang w:val="fr-CA"/>
              </w:rPr>
            </w:pPr>
            <w:r w:rsidRPr="00293CD1">
              <w:rPr>
                <w:sz w:val="20"/>
                <w:lang w:val="fr-CA"/>
              </w:rPr>
              <w:t xml:space="preserve">(Les juges Beauregard, </w:t>
            </w:r>
            <w:proofErr w:type="spellStart"/>
            <w:r w:rsidRPr="00293CD1">
              <w:rPr>
                <w:sz w:val="20"/>
                <w:lang w:val="fr-CA"/>
              </w:rPr>
              <w:t>Bich</w:t>
            </w:r>
            <w:proofErr w:type="spellEnd"/>
            <w:r w:rsidRPr="00293CD1">
              <w:rPr>
                <w:sz w:val="20"/>
                <w:lang w:val="fr-CA"/>
              </w:rPr>
              <w:t xml:space="preserve"> et Duval </w:t>
            </w:r>
            <w:proofErr w:type="spellStart"/>
            <w:r w:rsidRPr="00293CD1">
              <w:rPr>
                <w:sz w:val="20"/>
                <w:lang w:val="fr-CA"/>
              </w:rPr>
              <w:t>Hesler</w:t>
            </w:r>
            <w:proofErr w:type="spellEnd"/>
            <w:r w:rsidRPr="00293CD1">
              <w:rPr>
                <w:sz w:val="20"/>
                <w:lang w:val="fr-CA"/>
              </w:rPr>
              <w:t>)</w:t>
            </w:r>
          </w:p>
          <w:p w:rsidR="001F488C" w:rsidRPr="00293CD1" w:rsidRDefault="001F488C" w:rsidP="002A6864">
            <w:pPr>
              <w:rPr>
                <w:sz w:val="20"/>
              </w:rPr>
            </w:pPr>
            <w:r w:rsidRPr="00293CD1">
              <w:rPr>
                <w:sz w:val="20"/>
              </w:rPr>
              <w:t>2011 QCCA 1169</w:t>
            </w:r>
          </w:p>
          <w:p w:rsidR="001F488C" w:rsidRPr="00293CD1" w:rsidRDefault="001F488C" w:rsidP="002A6864">
            <w:pPr>
              <w:rPr>
                <w:sz w:val="20"/>
                <w:lang w:val="fr-FR"/>
              </w:rPr>
            </w:pPr>
          </w:p>
        </w:tc>
        <w:tc>
          <w:tcPr>
            <w:tcW w:w="243" w:type="pct"/>
          </w:tcPr>
          <w:p w:rsidR="001F488C" w:rsidRPr="00293CD1" w:rsidRDefault="001F488C" w:rsidP="002A6864">
            <w:pPr>
              <w:rPr>
                <w:sz w:val="20"/>
                <w:lang w:val="fr-FR"/>
              </w:rPr>
            </w:pPr>
          </w:p>
        </w:tc>
        <w:tc>
          <w:tcPr>
            <w:tcW w:w="2330" w:type="pct"/>
          </w:tcPr>
          <w:p w:rsidR="001F488C" w:rsidRPr="00293CD1" w:rsidRDefault="001F488C" w:rsidP="002A6864">
            <w:pPr>
              <w:rPr>
                <w:sz w:val="20"/>
              </w:rPr>
            </w:pPr>
            <w:proofErr w:type="spellStart"/>
            <w:r w:rsidRPr="00293CD1">
              <w:rPr>
                <w:sz w:val="20"/>
              </w:rPr>
              <w:t>Appel</w:t>
            </w:r>
            <w:proofErr w:type="spellEnd"/>
            <w:r w:rsidRPr="00293CD1">
              <w:rPr>
                <w:sz w:val="20"/>
              </w:rPr>
              <w:t xml:space="preserve"> </w:t>
            </w:r>
            <w:proofErr w:type="spellStart"/>
            <w:r w:rsidRPr="00293CD1">
              <w:rPr>
                <w:sz w:val="20"/>
              </w:rPr>
              <w:t>accueilli</w:t>
            </w:r>
            <w:proofErr w:type="spellEnd"/>
          </w:p>
        </w:tc>
      </w:tr>
      <w:tr w:rsidR="001F488C" w:rsidRPr="00293CD1" w:rsidTr="002A6864">
        <w:tc>
          <w:tcPr>
            <w:tcW w:w="2427" w:type="pct"/>
          </w:tcPr>
          <w:p w:rsidR="001F488C" w:rsidRPr="00293CD1" w:rsidRDefault="001F488C" w:rsidP="002A6864">
            <w:pPr>
              <w:rPr>
                <w:sz w:val="20"/>
                <w:lang w:val="fr-CA"/>
              </w:rPr>
            </w:pPr>
            <w:r w:rsidRPr="00293CD1">
              <w:rPr>
                <w:sz w:val="20"/>
                <w:lang w:val="fr-CA"/>
              </w:rPr>
              <w:t>Le 19 septembre 2011</w:t>
            </w:r>
          </w:p>
          <w:p w:rsidR="001F488C" w:rsidRPr="00293CD1" w:rsidRDefault="001F488C" w:rsidP="002A6864">
            <w:pPr>
              <w:rPr>
                <w:sz w:val="20"/>
                <w:lang w:val="fr-FR"/>
              </w:rPr>
            </w:pPr>
            <w:r w:rsidRPr="00293CD1">
              <w:rPr>
                <w:sz w:val="20"/>
                <w:lang w:val="fr-CA"/>
              </w:rPr>
              <w:t>Cour suprême du Canada</w:t>
            </w:r>
          </w:p>
        </w:tc>
        <w:tc>
          <w:tcPr>
            <w:tcW w:w="243" w:type="pct"/>
          </w:tcPr>
          <w:p w:rsidR="001F488C" w:rsidRPr="00293CD1" w:rsidRDefault="001F488C" w:rsidP="002A6864">
            <w:pPr>
              <w:rPr>
                <w:sz w:val="20"/>
                <w:lang w:val="fr-FR"/>
              </w:rPr>
            </w:pPr>
          </w:p>
        </w:tc>
        <w:tc>
          <w:tcPr>
            <w:tcW w:w="2330" w:type="pct"/>
          </w:tcPr>
          <w:p w:rsidR="001F488C" w:rsidRPr="00293CD1" w:rsidRDefault="001F488C" w:rsidP="002A6864">
            <w:pPr>
              <w:rPr>
                <w:sz w:val="20"/>
              </w:rPr>
            </w:pPr>
            <w:proofErr w:type="spellStart"/>
            <w:r w:rsidRPr="00293CD1">
              <w:rPr>
                <w:sz w:val="20"/>
              </w:rPr>
              <w:t>Demande</w:t>
            </w:r>
            <w:proofErr w:type="spellEnd"/>
            <w:r w:rsidRPr="00293CD1">
              <w:rPr>
                <w:sz w:val="20"/>
              </w:rPr>
              <w:t xml:space="preserve"> </w:t>
            </w:r>
            <w:proofErr w:type="spellStart"/>
            <w:r w:rsidRPr="00293CD1">
              <w:rPr>
                <w:sz w:val="20"/>
              </w:rPr>
              <w:t>d'autorisation</w:t>
            </w:r>
            <w:proofErr w:type="spellEnd"/>
            <w:r w:rsidRPr="00293CD1">
              <w:rPr>
                <w:sz w:val="20"/>
              </w:rPr>
              <w:t xml:space="preserve"> </w:t>
            </w:r>
            <w:proofErr w:type="spellStart"/>
            <w:r w:rsidRPr="00293CD1">
              <w:rPr>
                <w:sz w:val="20"/>
              </w:rPr>
              <w:t>d'appel</w:t>
            </w:r>
            <w:proofErr w:type="spellEnd"/>
            <w:r w:rsidRPr="00293CD1">
              <w:rPr>
                <w:sz w:val="20"/>
              </w:rPr>
              <w:t xml:space="preserve"> </w:t>
            </w:r>
            <w:proofErr w:type="spellStart"/>
            <w:r w:rsidRPr="00293CD1">
              <w:rPr>
                <w:sz w:val="20"/>
              </w:rPr>
              <w:t>déposée</w:t>
            </w:r>
            <w:proofErr w:type="spellEnd"/>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52" style="width:2in;height:1pt" o:hrpct="0" o:hralign="center" o:hrstd="t" o:hrnoshade="t" o:hr="t" fillcolor="black [3213]" stroked="f"/>
        </w:pict>
      </w:r>
    </w:p>
    <w:p w:rsidR="00F9104A" w:rsidRDefault="00F9104A" w:rsidP="00F9104A">
      <w:pPr>
        <w:rPr>
          <w:sz w:val="20"/>
          <w:szCs w:val="20"/>
        </w:rPr>
      </w:pPr>
    </w:p>
    <w:p w:rsidR="00341F91" w:rsidRDefault="00341F91">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6DD6" w:rsidRPr="002B11E5" w:rsidTr="00341F91">
        <w:trPr>
          <w:cantSplit/>
        </w:trPr>
        <w:tc>
          <w:tcPr>
            <w:tcW w:w="1458" w:type="dxa"/>
          </w:tcPr>
          <w:p w:rsidR="00246DD6" w:rsidRPr="002B11E5" w:rsidRDefault="00246DD6" w:rsidP="002A6864">
            <w:pPr>
              <w:rPr>
                <w:sz w:val="20"/>
                <w:szCs w:val="20"/>
              </w:rPr>
            </w:pPr>
            <w:r w:rsidRPr="002B11E5">
              <w:rPr>
                <w:rStyle w:val="SCCFileNumberChar"/>
                <w:sz w:val="20"/>
                <w:szCs w:val="20"/>
              </w:rPr>
              <w:t>34450</w:t>
            </w:r>
          </w:p>
          <w:p w:rsidR="00246DD6" w:rsidRPr="002B11E5" w:rsidRDefault="00246DD6" w:rsidP="002A6864">
            <w:pPr>
              <w:rPr>
                <w:b/>
                <w:sz w:val="20"/>
                <w:szCs w:val="20"/>
                <w:lang w:val="fr-CA"/>
              </w:rPr>
            </w:pPr>
          </w:p>
        </w:tc>
        <w:tc>
          <w:tcPr>
            <w:tcW w:w="8118" w:type="dxa"/>
          </w:tcPr>
          <w:p w:rsidR="00246DD6" w:rsidRPr="002B11E5" w:rsidRDefault="00246DD6" w:rsidP="002A6864">
            <w:pPr>
              <w:rPr>
                <w:sz w:val="20"/>
                <w:szCs w:val="20"/>
              </w:rPr>
            </w:pPr>
            <w:proofErr w:type="spellStart"/>
            <w:r w:rsidRPr="00246DD6">
              <w:rPr>
                <w:rStyle w:val="SCCLsocChar"/>
                <w:sz w:val="20"/>
                <w:szCs w:val="20"/>
                <w:lang w:val="en-CA"/>
              </w:rPr>
              <w:t>Rohan</w:t>
            </w:r>
            <w:proofErr w:type="spellEnd"/>
            <w:r w:rsidRPr="00246DD6">
              <w:rPr>
                <w:rStyle w:val="SCCLsocChar"/>
                <w:sz w:val="20"/>
                <w:szCs w:val="20"/>
                <w:lang w:val="en-CA"/>
              </w:rPr>
              <w:t xml:space="preserve"> Ranger v. Her Majesty the Queen</w:t>
            </w:r>
            <w:r w:rsidRPr="002B11E5">
              <w:rPr>
                <w:sz w:val="20"/>
                <w:szCs w:val="20"/>
              </w:rPr>
              <w:t xml:space="preserve"> (Ont.) (Criminal) (By Leave)</w:t>
            </w:r>
          </w:p>
          <w:p w:rsidR="00246DD6" w:rsidRPr="002B11E5" w:rsidRDefault="00246DD6" w:rsidP="002A6864">
            <w:pPr>
              <w:rPr>
                <w:sz w:val="20"/>
                <w:szCs w:val="20"/>
              </w:rPr>
            </w:pPr>
          </w:p>
        </w:tc>
      </w:tr>
      <w:tr w:rsidR="00246DD6" w:rsidRPr="002B11E5" w:rsidTr="00341F91">
        <w:trPr>
          <w:cantSplit/>
        </w:trPr>
        <w:tc>
          <w:tcPr>
            <w:tcW w:w="1458" w:type="dxa"/>
          </w:tcPr>
          <w:p w:rsidR="00246DD6" w:rsidRPr="002B11E5" w:rsidRDefault="00246DD6" w:rsidP="002A6864">
            <w:pPr>
              <w:rPr>
                <w:sz w:val="20"/>
                <w:szCs w:val="20"/>
              </w:rPr>
            </w:pPr>
            <w:r w:rsidRPr="002B11E5">
              <w:rPr>
                <w:sz w:val="20"/>
                <w:szCs w:val="20"/>
              </w:rPr>
              <w:t>Coram :</w:t>
            </w:r>
          </w:p>
        </w:tc>
        <w:tc>
          <w:tcPr>
            <w:tcW w:w="8118" w:type="dxa"/>
          </w:tcPr>
          <w:p w:rsidR="00246DD6" w:rsidRPr="002B11E5" w:rsidRDefault="00246DD6" w:rsidP="002A6864">
            <w:pPr>
              <w:rPr>
                <w:sz w:val="20"/>
                <w:szCs w:val="20"/>
              </w:rPr>
            </w:pPr>
            <w:proofErr w:type="spellStart"/>
            <w:r w:rsidRPr="00246DD6">
              <w:rPr>
                <w:rStyle w:val="SCCCoramChar"/>
                <w:sz w:val="20"/>
                <w:szCs w:val="20"/>
                <w:lang w:val="en-CA"/>
              </w:rPr>
              <w:t>Deschamps</w:t>
            </w:r>
            <w:proofErr w:type="spellEnd"/>
            <w:r w:rsidRPr="00246DD6">
              <w:rPr>
                <w:rStyle w:val="SCCCoramChar"/>
                <w:sz w:val="20"/>
                <w:szCs w:val="20"/>
                <w:lang w:val="en-CA"/>
              </w:rPr>
              <w:t xml:space="preserve">, Fish and </w:t>
            </w:r>
            <w:proofErr w:type="spellStart"/>
            <w:r w:rsidRPr="00246DD6">
              <w:rPr>
                <w:rStyle w:val="SCCCoramChar"/>
                <w:sz w:val="20"/>
                <w:szCs w:val="20"/>
                <w:lang w:val="en-CA"/>
              </w:rPr>
              <w:t>Karakatsanis</w:t>
            </w:r>
            <w:proofErr w:type="spellEnd"/>
            <w:r w:rsidRPr="00246DD6">
              <w:rPr>
                <w:rStyle w:val="SCCCoramChar"/>
                <w:sz w:val="20"/>
                <w:szCs w:val="20"/>
                <w:lang w:val="en-CA"/>
              </w:rPr>
              <w:t> JJ.</w:t>
            </w:r>
          </w:p>
          <w:p w:rsidR="00246DD6" w:rsidRPr="002B11E5" w:rsidRDefault="00246DD6" w:rsidP="002A6864">
            <w:pPr>
              <w:rPr>
                <w:sz w:val="20"/>
                <w:szCs w:val="20"/>
                <w:u w:val="single"/>
              </w:rPr>
            </w:pPr>
          </w:p>
        </w:tc>
      </w:tr>
      <w:tr w:rsidR="00246DD6" w:rsidRPr="00251B16" w:rsidTr="00341F91">
        <w:trPr>
          <w:cantSplit/>
        </w:trPr>
        <w:tc>
          <w:tcPr>
            <w:tcW w:w="9576" w:type="dxa"/>
            <w:gridSpan w:val="2"/>
          </w:tcPr>
          <w:p w:rsidR="00246DD6" w:rsidRPr="002B11E5" w:rsidRDefault="00246DD6" w:rsidP="002A6864">
            <w:pPr>
              <w:pStyle w:val="SCCShortJudgment"/>
              <w:rPr>
                <w:szCs w:val="20"/>
              </w:rPr>
            </w:pPr>
            <w:r w:rsidRPr="002B11E5">
              <w:rPr>
                <w:szCs w:val="20"/>
              </w:rPr>
              <w:t>The motion for an extension of time to serve and file the application for leave to appeal is granted. The application for leave to appeal from the judgment of the Court of Appeal for Ontario, Number C45555, 2011 ONCA 311, dated April 20, 2011, is dismissed without costs.</w:t>
            </w:r>
          </w:p>
          <w:p w:rsidR="00246DD6" w:rsidRPr="002B11E5" w:rsidRDefault="00246DD6" w:rsidP="002A6864">
            <w:pPr>
              <w:pStyle w:val="SCCShortJudgment"/>
              <w:ind w:firstLine="0"/>
              <w:rPr>
                <w:szCs w:val="20"/>
              </w:rPr>
            </w:pPr>
          </w:p>
          <w:p w:rsidR="00246DD6" w:rsidRPr="002B11E5" w:rsidRDefault="00246DD6" w:rsidP="002A6864">
            <w:pPr>
              <w:pStyle w:val="SCCShortJudgment"/>
              <w:rPr>
                <w:szCs w:val="20"/>
                <w:lang w:val="fr-CA"/>
              </w:rPr>
            </w:pPr>
            <w:r w:rsidRPr="002B11E5">
              <w:rPr>
                <w:szCs w:val="20"/>
                <w:lang w:val="fr-CA"/>
              </w:rPr>
              <w:t>La requête en prorogation du délai de signification et de dépôt de la demande d’autorisation d’appel est accueillie. La demande d’autorisation d’appel de l’arrêt de la Cour d’appel de l’Ontario, numéro C45555, 2011 ONCA 311, daté du 20 avril 2011, est rejetée sans dépens.</w:t>
            </w:r>
          </w:p>
        </w:tc>
      </w:tr>
    </w:tbl>
    <w:p w:rsidR="00F9104A" w:rsidRPr="00246DD6" w:rsidRDefault="00F9104A" w:rsidP="00F9104A">
      <w:pPr>
        <w:rPr>
          <w:sz w:val="20"/>
          <w:szCs w:val="20"/>
          <w:lang w:val="fr-CA"/>
        </w:rPr>
      </w:pPr>
    </w:p>
    <w:p w:rsidR="00F9104A" w:rsidRPr="001B157C" w:rsidRDefault="00F9104A" w:rsidP="00F9104A">
      <w:pPr>
        <w:rPr>
          <w:sz w:val="20"/>
          <w:szCs w:val="20"/>
          <w:u w:val="single"/>
        </w:rPr>
      </w:pPr>
      <w:r w:rsidRPr="001B157C">
        <w:rPr>
          <w:sz w:val="20"/>
          <w:szCs w:val="20"/>
          <w:u w:val="single"/>
        </w:rPr>
        <w:t>CASE SUMMARY</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F488C" w:rsidRPr="00293CD1" w:rsidTr="002A6864">
        <w:tc>
          <w:tcPr>
            <w:tcW w:w="5000" w:type="pct"/>
            <w:gridSpan w:val="3"/>
          </w:tcPr>
          <w:p w:rsidR="001F488C" w:rsidRPr="00293CD1" w:rsidRDefault="001F488C" w:rsidP="002A6864">
            <w:pPr>
              <w:jc w:val="both"/>
              <w:rPr>
                <w:rFonts w:eastAsia="Calibri"/>
                <w:sz w:val="20"/>
              </w:rPr>
            </w:pPr>
            <w:r w:rsidRPr="00293CD1">
              <w:rPr>
                <w:rFonts w:eastAsia="Calibri"/>
                <w:sz w:val="20"/>
              </w:rPr>
              <w:t>Criminal Law – Evidence – Hearsay – Whether evidentiary rule that a statement against penal interest is only admissible if traditional hearsay exception prerequisites are met should be abrogated – Whether prior confession by a witness to the crime with which the accused is charged should always be admissible for the truth of its contents even if the witness denies its truth at trial – Principles applicable to a witness’ pre-trial confession, even though repudiated at trial, if the substance of the confession and its subsequent repudiations are linked circumstantially in a way that suggests the witness is manipulating the truth in order to evade the consequences of his confession.</w:t>
            </w:r>
          </w:p>
        </w:tc>
      </w:tr>
      <w:tr w:rsidR="001F488C" w:rsidRPr="00293CD1" w:rsidTr="002A6864">
        <w:tc>
          <w:tcPr>
            <w:tcW w:w="5000" w:type="pct"/>
            <w:gridSpan w:val="3"/>
          </w:tcPr>
          <w:p w:rsidR="001F488C" w:rsidRPr="00293CD1" w:rsidRDefault="001F488C" w:rsidP="002A6864">
            <w:pPr>
              <w:jc w:val="both"/>
              <w:rPr>
                <w:rFonts w:eastAsia="Calibri"/>
                <w:sz w:val="20"/>
              </w:rPr>
            </w:pPr>
          </w:p>
        </w:tc>
      </w:tr>
      <w:tr w:rsidR="001F488C" w:rsidRPr="00293CD1" w:rsidTr="002A6864">
        <w:tc>
          <w:tcPr>
            <w:tcW w:w="5000" w:type="pct"/>
            <w:gridSpan w:val="3"/>
          </w:tcPr>
          <w:p w:rsidR="001F488C" w:rsidRPr="00293CD1" w:rsidRDefault="001F488C" w:rsidP="002A6864">
            <w:pPr>
              <w:jc w:val="both"/>
              <w:rPr>
                <w:rFonts w:eastAsia="Calibri"/>
                <w:sz w:val="20"/>
              </w:rPr>
            </w:pPr>
            <w:r w:rsidRPr="00293CD1">
              <w:rPr>
                <w:rFonts w:eastAsia="Calibri"/>
                <w:sz w:val="20"/>
              </w:rPr>
              <w:t xml:space="preserve">The applicant was convicted by a jury of the first degree murder of his ex-girlfriend and of manslaughter in relation to the death of her sister. The applicant’s cousin, Adrian </w:t>
            </w:r>
            <w:proofErr w:type="spellStart"/>
            <w:r w:rsidRPr="00293CD1">
              <w:rPr>
                <w:rFonts w:eastAsia="Calibri"/>
                <w:sz w:val="20"/>
              </w:rPr>
              <w:t>Kinkead</w:t>
            </w:r>
            <w:proofErr w:type="spellEnd"/>
            <w:r w:rsidRPr="00293CD1">
              <w:rPr>
                <w:rFonts w:eastAsia="Calibri"/>
                <w:sz w:val="20"/>
              </w:rPr>
              <w:t xml:space="preserve">, was convicted in separate proceedings of first degree murder and manslaughter.  </w:t>
            </w:r>
            <w:proofErr w:type="spellStart"/>
            <w:r w:rsidRPr="00293CD1">
              <w:rPr>
                <w:rFonts w:eastAsia="Calibri"/>
                <w:sz w:val="20"/>
              </w:rPr>
              <w:t>Kinkead</w:t>
            </w:r>
            <w:proofErr w:type="spellEnd"/>
            <w:r w:rsidRPr="00293CD1">
              <w:rPr>
                <w:rFonts w:eastAsia="Calibri"/>
                <w:sz w:val="20"/>
              </w:rPr>
              <w:t xml:space="preserve"> testified at the applicant’s trial that the applicant committed the murders.  However, when arrested, </w:t>
            </w:r>
            <w:proofErr w:type="spellStart"/>
            <w:r w:rsidRPr="00293CD1">
              <w:rPr>
                <w:rFonts w:eastAsia="Calibri"/>
                <w:sz w:val="20"/>
              </w:rPr>
              <w:t>Kinkead</w:t>
            </w:r>
            <w:proofErr w:type="spellEnd"/>
            <w:r w:rsidRPr="00293CD1">
              <w:rPr>
                <w:rFonts w:eastAsia="Calibri"/>
                <w:sz w:val="20"/>
              </w:rPr>
              <w:t xml:space="preserve"> had confessed to the murders and told the police that the applicant was not involved.  Between his arrest and the applicant’s trial, </w:t>
            </w:r>
            <w:proofErr w:type="spellStart"/>
            <w:r w:rsidRPr="00293CD1">
              <w:rPr>
                <w:rFonts w:eastAsia="Calibri"/>
                <w:sz w:val="20"/>
              </w:rPr>
              <w:t>Kinkead</w:t>
            </w:r>
            <w:proofErr w:type="spellEnd"/>
            <w:r w:rsidRPr="00293CD1">
              <w:rPr>
                <w:rFonts w:eastAsia="Calibri"/>
                <w:sz w:val="20"/>
              </w:rPr>
              <w:t xml:space="preserve"> gave different and conflicting accounts of the murders.</w:t>
            </w:r>
          </w:p>
          <w:p w:rsidR="001F488C" w:rsidRPr="00293CD1" w:rsidRDefault="001F488C" w:rsidP="002A6864">
            <w:pPr>
              <w:jc w:val="both"/>
              <w:rPr>
                <w:rFonts w:eastAsia="Calibri"/>
                <w:sz w:val="20"/>
              </w:rPr>
            </w:pP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November 18, 2003</w:t>
            </w:r>
          </w:p>
          <w:p w:rsidR="001F488C" w:rsidRPr="00293CD1" w:rsidRDefault="001F488C" w:rsidP="002A6864">
            <w:pPr>
              <w:jc w:val="both"/>
              <w:rPr>
                <w:rFonts w:eastAsia="Calibri"/>
                <w:sz w:val="20"/>
              </w:rPr>
            </w:pPr>
            <w:r w:rsidRPr="00293CD1">
              <w:rPr>
                <w:rFonts w:eastAsia="Calibri"/>
                <w:sz w:val="20"/>
              </w:rPr>
              <w:t>Ontario Superior Court of Justice</w:t>
            </w:r>
          </w:p>
          <w:p w:rsidR="001F488C" w:rsidRPr="00293CD1" w:rsidRDefault="001F488C" w:rsidP="002A6864">
            <w:pPr>
              <w:jc w:val="both"/>
              <w:rPr>
                <w:rFonts w:eastAsia="Calibri"/>
                <w:sz w:val="20"/>
              </w:rPr>
            </w:pPr>
            <w:r w:rsidRPr="00293CD1">
              <w:rPr>
                <w:rFonts w:eastAsia="Calibri"/>
                <w:sz w:val="20"/>
              </w:rPr>
              <w:t>(Then J.)</w:t>
            </w:r>
          </w:p>
          <w:p w:rsidR="001F488C" w:rsidRPr="00293CD1" w:rsidRDefault="001F488C" w:rsidP="002A6864">
            <w:pPr>
              <w:jc w:val="both"/>
              <w:rPr>
                <w:rFonts w:eastAsia="Calibri"/>
                <w:sz w:val="20"/>
              </w:rPr>
            </w:pPr>
            <w:r w:rsidRPr="00293CD1">
              <w:rPr>
                <w:rFonts w:eastAsia="Calibri"/>
                <w:sz w:val="20"/>
              </w:rPr>
              <w:t xml:space="preserve"> </w:t>
            </w: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Conviction by jury of first degree murder and manslaughter</w:t>
            </w:r>
          </w:p>
          <w:p w:rsidR="001F488C" w:rsidRPr="00293CD1" w:rsidRDefault="001F488C" w:rsidP="002A6864">
            <w:pPr>
              <w:jc w:val="both"/>
              <w:rPr>
                <w:rFonts w:eastAsia="Calibri"/>
                <w:sz w:val="20"/>
              </w:rPr>
            </w:pP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April 20, 2011</w:t>
            </w:r>
          </w:p>
          <w:p w:rsidR="001F488C" w:rsidRPr="00293CD1" w:rsidRDefault="001F488C" w:rsidP="002A6864">
            <w:pPr>
              <w:jc w:val="both"/>
              <w:rPr>
                <w:rFonts w:eastAsia="Calibri"/>
                <w:sz w:val="20"/>
              </w:rPr>
            </w:pPr>
            <w:r w:rsidRPr="00293CD1">
              <w:rPr>
                <w:rFonts w:eastAsia="Calibri"/>
                <w:sz w:val="20"/>
              </w:rPr>
              <w:t>Court of Appeal for Ontario</w:t>
            </w:r>
          </w:p>
          <w:p w:rsidR="001F488C" w:rsidRPr="00293CD1" w:rsidRDefault="001F488C" w:rsidP="002A6864">
            <w:pPr>
              <w:jc w:val="both"/>
              <w:rPr>
                <w:rFonts w:eastAsia="Calibri"/>
                <w:sz w:val="20"/>
                <w:lang w:val="fr-CA"/>
              </w:rPr>
            </w:pPr>
            <w:r w:rsidRPr="00293CD1">
              <w:rPr>
                <w:rFonts w:eastAsia="Calibri"/>
                <w:sz w:val="20"/>
                <w:lang w:val="fr-CA"/>
              </w:rPr>
              <w:t>(</w:t>
            </w:r>
            <w:proofErr w:type="spellStart"/>
            <w:r w:rsidRPr="00293CD1">
              <w:rPr>
                <w:rFonts w:eastAsia="Calibri"/>
                <w:sz w:val="20"/>
                <w:lang w:val="fr-CA"/>
              </w:rPr>
              <w:t>Moldaver</w:t>
            </w:r>
            <w:proofErr w:type="spellEnd"/>
            <w:r w:rsidRPr="00293CD1">
              <w:rPr>
                <w:rFonts w:eastAsia="Calibri"/>
                <w:sz w:val="20"/>
                <w:lang w:val="fr-CA"/>
              </w:rPr>
              <w:t>, Simmons, Blair JJ.A.)</w:t>
            </w:r>
          </w:p>
          <w:p w:rsidR="001F488C" w:rsidRPr="00293CD1" w:rsidRDefault="001F488C" w:rsidP="002A6864">
            <w:pPr>
              <w:jc w:val="both"/>
              <w:rPr>
                <w:rFonts w:eastAsia="Calibri"/>
                <w:sz w:val="20"/>
              </w:rPr>
            </w:pPr>
            <w:r w:rsidRPr="00293CD1">
              <w:rPr>
                <w:rFonts w:eastAsia="Calibri"/>
                <w:sz w:val="20"/>
              </w:rPr>
              <w:t>2011 ONCA 311; C45555</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Appeal from convictions dismissed</w:t>
            </w:r>
          </w:p>
          <w:p w:rsidR="001F488C" w:rsidRPr="00293CD1" w:rsidRDefault="001F488C" w:rsidP="002A6864">
            <w:pPr>
              <w:jc w:val="both"/>
              <w:rPr>
                <w:rFonts w:eastAsia="Calibri"/>
                <w:sz w:val="20"/>
              </w:rPr>
            </w:pP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September 27, 2011</w:t>
            </w:r>
          </w:p>
          <w:p w:rsidR="001F488C" w:rsidRPr="00293CD1" w:rsidRDefault="001F488C" w:rsidP="002A6864">
            <w:pPr>
              <w:jc w:val="both"/>
              <w:rPr>
                <w:rFonts w:eastAsia="Calibri"/>
                <w:sz w:val="20"/>
              </w:rPr>
            </w:pPr>
            <w:r w:rsidRPr="00293CD1">
              <w:rPr>
                <w:rFonts w:eastAsia="Calibri"/>
                <w:sz w:val="20"/>
              </w:rPr>
              <w:t>Supreme Court of Canada</w:t>
            </w: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Application for extension of time to serve and file application for leave to appeal and Application for leave to appeal filed</w:t>
            </w: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53" style="width:2in;height:1pt" o:hrpct="0" o:hralign="center" o:hrstd="t" o:hrnoshade="t" o:hr="t" fillcolor="black [3213]" stroked="f"/>
        </w:pict>
      </w:r>
    </w:p>
    <w:p w:rsidR="00F9104A" w:rsidRDefault="00F9104A" w:rsidP="00F9104A">
      <w:pPr>
        <w:rPr>
          <w:sz w:val="20"/>
          <w:szCs w:val="20"/>
        </w:rPr>
      </w:pPr>
    </w:p>
    <w:p w:rsidR="00F9104A" w:rsidRPr="001B157C" w:rsidRDefault="00F9104A" w:rsidP="00F9104A">
      <w:pPr>
        <w:rPr>
          <w:sz w:val="20"/>
          <w:szCs w:val="20"/>
          <w:u w:val="single"/>
          <w:lang w:val="fr-CA"/>
        </w:rPr>
      </w:pPr>
      <w:r w:rsidRPr="001B157C">
        <w:rPr>
          <w:sz w:val="20"/>
          <w:szCs w:val="20"/>
          <w:u w:val="single"/>
          <w:lang w:val="fr-CA"/>
        </w:rPr>
        <w:t>RÉSUMÉ DE L’AFFAIRE</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F488C" w:rsidRPr="00251B16" w:rsidTr="002A6864">
        <w:tc>
          <w:tcPr>
            <w:tcW w:w="5000" w:type="pct"/>
            <w:gridSpan w:val="3"/>
          </w:tcPr>
          <w:p w:rsidR="001F488C" w:rsidRPr="00293CD1" w:rsidRDefault="001F488C" w:rsidP="002A6864">
            <w:pPr>
              <w:jc w:val="both"/>
              <w:rPr>
                <w:rFonts w:eastAsia="Calibri"/>
                <w:sz w:val="20"/>
                <w:lang w:val="fr-FR"/>
              </w:rPr>
            </w:pPr>
            <w:r w:rsidRPr="00293CD1">
              <w:rPr>
                <w:rFonts w:eastAsia="Calibri"/>
                <w:sz w:val="20"/>
                <w:lang w:val="fr-FR"/>
              </w:rPr>
              <w:t xml:space="preserve">Droit criminel – Preuve – Ouï-dire – Faut-il abroger la règle de preuve selon laquelle une déclaration contraire à un intérêt pénal n’est admissible que si les conditions préalables traditionnelles de l’exception à la règle du ouï-dire sont réunies? – Les aveux antérieurs d’un témoin du crime dont l’accusé est inculpé doivent-ils toujours être admissibles comme preuve de la véracité de leur contenu même si le témoin en nie la véracité au procès? – Principes applicables aux aveux faits par un témoin avant le procès malgré leur rétractation au procès s’il y a entre leur contenu et leur rétractation subséquente un lien circonstanciel qui laisse croire que le témoin manipule la vérité afin d’éluder les conséquences de ses aveux. </w:t>
            </w:r>
          </w:p>
        </w:tc>
      </w:tr>
      <w:tr w:rsidR="001F488C" w:rsidRPr="00251B16" w:rsidTr="002A6864">
        <w:tc>
          <w:tcPr>
            <w:tcW w:w="5000" w:type="pct"/>
            <w:gridSpan w:val="3"/>
          </w:tcPr>
          <w:p w:rsidR="001F488C" w:rsidRPr="00293CD1" w:rsidRDefault="001F488C" w:rsidP="002A6864">
            <w:pPr>
              <w:jc w:val="both"/>
              <w:rPr>
                <w:rFonts w:eastAsia="Calibri"/>
                <w:sz w:val="20"/>
                <w:lang w:val="fr-FR"/>
              </w:rPr>
            </w:pPr>
          </w:p>
        </w:tc>
      </w:tr>
      <w:tr w:rsidR="001F488C" w:rsidRPr="00251B16" w:rsidTr="002A6864">
        <w:tc>
          <w:tcPr>
            <w:tcW w:w="5000" w:type="pct"/>
            <w:gridSpan w:val="3"/>
          </w:tcPr>
          <w:p w:rsidR="001F488C" w:rsidRPr="00293CD1" w:rsidRDefault="001F488C" w:rsidP="002A6864">
            <w:pPr>
              <w:jc w:val="both"/>
              <w:rPr>
                <w:rFonts w:eastAsia="Calibri"/>
                <w:sz w:val="20"/>
                <w:lang w:val="fr-FR"/>
              </w:rPr>
            </w:pPr>
            <w:r w:rsidRPr="00293CD1">
              <w:rPr>
                <w:rFonts w:eastAsia="Calibri"/>
                <w:sz w:val="20"/>
                <w:lang w:val="fr-FR"/>
              </w:rPr>
              <w:t xml:space="preserve">Un jury a reconnu le demandeur coupable du meurtre au premier degré de son ex-petite amie et de l’homicide involontaire coupable de la sœur de celle-ci.  Adrian </w:t>
            </w:r>
            <w:proofErr w:type="spellStart"/>
            <w:r w:rsidRPr="00293CD1">
              <w:rPr>
                <w:rFonts w:eastAsia="Calibri"/>
                <w:sz w:val="20"/>
                <w:lang w:val="fr-FR"/>
              </w:rPr>
              <w:t>Kinkead</w:t>
            </w:r>
            <w:proofErr w:type="spellEnd"/>
            <w:r w:rsidRPr="00293CD1">
              <w:rPr>
                <w:rFonts w:eastAsia="Calibri"/>
                <w:sz w:val="20"/>
                <w:lang w:val="fr-FR"/>
              </w:rPr>
              <w:t xml:space="preserve">, le cousin du demandeur, a été reconnu coupable de meurtre au premier degré et d’homicide involontaire coupable dans une instance distincte.  </w:t>
            </w:r>
            <w:proofErr w:type="spellStart"/>
            <w:r w:rsidRPr="00293CD1">
              <w:rPr>
                <w:rFonts w:eastAsia="Calibri"/>
                <w:sz w:val="20"/>
                <w:lang w:val="fr-FR"/>
              </w:rPr>
              <w:t>Kinkead</w:t>
            </w:r>
            <w:proofErr w:type="spellEnd"/>
            <w:r w:rsidRPr="00293CD1">
              <w:rPr>
                <w:rFonts w:eastAsia="Calibri"/>
                <w:sz w:val="20"/>
                <w:lang w:val="fr-FR"/>
              </w:rPr>
              <w:t xml:space="preserve"> a affirmé au procès du demandeur que ce dernier avait commis les meurtres.  Mais lors de son arrestation, M. </w:t>
            </w:r>
            <w:proofErr w:type="spellStart"/>
            <w:r w:rsidRPr="00293CD1">
              <w:rPr>
                <w:rFonts w:eastAsia="Calibri"/>
                <w:sz w:val="20"/>
                <w:lang w:val="fr-FR"/>
              </w:rPr>
              <w:t>Kinkead</w:t>
            </w:r>
            <w:proofErr w:type="spellEnd"/>
            <w:r w:rsidRPr="00293CD1">
              <w:rPr>
                <w:rFonts w:eastAsia="Calibri"/>
                <w:sz w:val="20"/>
                <w:lang w:val="fr-FR"/>
              </w:rPr>
              <w:t xml:space="preserve"> avait avoué être l’auteur des meurtres et dit à la police que le demandeur n’avait pas participé à ceux-ci.  M. </w:t>
            </w:r>
            <w:proofErr w:type="spellStart"/>
            <w:r w:rsidRPr="00293CD1">
              <w:rPr>
                <w:rFonts w:eastAsia="Calibri"/>
                <w:sz w:val="20"/>
                <w:lang w:val="fr-FR"/>
              </w:rPr>
              <w:t>Kinkead</w:t>
            </w:r>
            <w:proofErr w:type="spellEnd"/>
            <w:r w:rsidRPr="00293CD1">
              <w:rPr>
                <w:rFonts w:eastAsia="Calibri"/>
                <w:sz w:val="20"/>
                <w:lang w:val="fr-FR"/>
              </w:rPr>
              <w:t xml:space="preserve"> a donné des récits divergents et contradictoires des meurtres entre son arrestation et le procès du demandeur.  </w:t>
            </w:r>
          </w:p>
          <w:p w:rsidR="001F488C" w:rsidRPr="00293CD1" w:rsidRDefault="001F488C" w:rsidP="002A6864">
            <w:pPr>
              <w:jc w:val="both"/>
              <w:rPr>
                <w:rFonts w:eastAsia="Calibri"/>
                <w:sz w:val="20"/>
                <w:lang w:val="fr-FR"/>
              </w:rPr>
            </w:pPr>
          </w:p>
        </w:tc>
      </w:tr>
      <w:tr w:rsidR="001F488C" w:rsidRPr="00251B16" w:rsidTr="002A6864">
        <w:tc>
          <w:tcPr>
            <w:tcW w:w="2427" w:type="pct"/>
          </w:tcPr>
          <w:p w:rsidR="001F488C" w:rsidRPr="00293CD1" w:rsidRDefault="001F488C" w:rsidP="002A6864">
            <w:pPr>
              <w:jc w:val="both"/>
              <w:rPr>
                <w:rFonts w:eastAsia="Calibri"/>
                <w:sz w:val="20"/>
                <w:lang w:val="fr-FR"/>
              </w:rPr>
            </w:pPr>
            <w:r w:rsidRPr="00293CD1">
              <w:rPr>
                <w:rFonts w:eastAsia="Calibri"/>
                <w:sz w:val="20"/>
                <w:lang w:val="fr-FR"/>
              </w:rPr>
              <w:t>18 novembre 2003</w:t>
            </w:r>
          </w:p>
          <w:p w:rsidR="001F488C" w:rsidRPr="00293CD1" w:rsidRDefault="001F488C" w:rsidP="002A6864">
            <w:pPr>
              <w:jc w:val="both"/>
              <w:rPr>
                <w:rFonts w:eastAsia="Calibri"/>
                <w:sz w:val="20"/>
                <w:lang w:val="fr-FR"/>
              </w:rPr>
            </w:pPr>
            <w:r w:rsidRPr="00293CD1">
              <w:rPr>
                <w:rFonts w:eastAsia="Calibri"/>
                <w:sz w:val="20"/>
                <w:lang w:val="fr-FR"/>
              </w:rPr>
              <w:t xml:space="preserve">Cour supérieure de justice de l’Ontario </w:t>
            </w:r>
          </w:p>
          <w:p w:rsidR="001F488C" w:rsidRPr="00293CD1" w:rsidRDefault="001F488C" w:rsidP="002A6864">
            <w:pPr>
              <w:jc w:val="both"/>
              <w:rPr>
                <w:rFonts w:eastAsia="Calibri"/>
                <w:sz w:val="20"/>
                <w:lang w:val="fr-FR"/>
              </w:rPr>
            </w:pPr>
            <w:r w:rsidRPr="00293CD1">
              <w:rPr>
                <w:rFonts w:eastAsia="Calibri"/>
                <w:sz w:val="20"/>
                <w:lang w:val="fr-FR"/>
              </w:rPr>
              <w:t xml:space="preserve">(Juge </w:t>
            </w:r>
            <w:proofErr w:type="spellStart"/>
            <w:r w:rsidRPr="00293CD1">
              <w:rPr>
                <w:rFonts w:eastAsia="Calibri"/>
                <w:sz w:val="20"/>
                <w:lang w:val="fr-FR"/>
              </w:rPr>
              <w:t>Then</w:t>
            </w:r>
            <w:proofErr w:type="spellEnd"/>
            <w:r w:rsidRPr="00293CD1">
              <w:rPr>
                <w:rFonts w:eastAsia="Calibri"/>
                <w:sz w:val="20"/>
                <w:lang w:val="fr-FR"/>
              </w:rPr>
              <w:t>)</w:t>
            </w:r>
          </w:p>
          <w:p w:rsidR="001F488C" w:rsidRPr="00293CD1" w:rsidRDefault="001F488C" w:rsidP="002A6864">
            <w:pPr>
              <w:jc w:val="both"/>
              <w:rPr>
                <w:rFonts w:eastAsia="Calibri"/>
                <w:sz w:val="20"/>
                <w:lang w:val="fr-FR"/>
              </w:rPr>
            </w:pPr>
          </w:p>
        </w:tc>
        <w:tc>
          <w:tcPr>
            <w:tcW w:w="243" w:type="pct"/>
          </w:tcPr>
          <w:p w:rsidR="001F488C" w:rsidRPr="00293CD1" w:rsidRDefault="001F488C" w:rsidP="002A6864">
            <w:pPr>
              <w:jc w:val="both"/>
              <w:rPr>
                <w:rFonts w:eastAsia="Calibri"/>
                <w:sz w:val="20"/>
                <w:lang w:val="fr-FR"/>
              </w:rPr>
            </w:pPr>
          </w:p>
        </w:tc>
        <w:tc>
          <w:tcPr>
            <w:tcW w:w="2330" w:type="pct"/>
          </w:tcPr>
          <w:p w:rsidR="001F488C" w:rsidRPr="00293CD1" w:rsidRDefault="001F488C" w:rsidP="002A6864">
            <w:pPr>
              <w:jc w:val="both"/>
              <w:rPr>
                <w:rFonts w:eastAsia="Calibri"/>
                <w:sz w:val="20"/>
                <w:lang w:val="fr-FR"/>
              </w:rPr>
            </w:pPr>
            <w:r w:rsidRPr="00293CD1">
              <w:rPr>
                <w:rFonts w:eastAsia="Calibri"/>
                <w:sz w:val="20"/>
                <w:lang w:val="fr-FR"/>
              </w:rPr>
              <w:t xml:space="preserve">Déclaration de culpabilité pour meurtre au premier degré et homicide involontaire coupable prononcée par un jury </w:t>
            </w:r>
          </w:p>
          <w:p w:rsidR="001F488C" w:rsidRPr="00293CD1" w:rsidRDefault="001F488C" w:rsidP="002A6864">
            <w:pPr>
              <w:jc w:val="both"/>
              <w:rPr>
                <w:rFonts w:eastAsia="Calibri"/>
                <w:sz w:val="20"/>
                <w:lang w:val="fr-FR"/>
              </w:rPr>
            </w:pPr>
          </w:p>
        </w:tc>
      </w:tr>
      <w:tr w:rsidR="001F488C" w:rsidRPr="00251B16" w:rsidTr="002A6864">
        <w:tc>
          <w:tcPr>
            <w:tcW w:w="2427" w:type="pct"/>
          </w:tcPr>
          <w:p w:rsidR="001F488C" w:rsidRPr="00293CD1" w:rsidRDefault="001F488C" w:rsidP="002A6864">
            <w:pPr>
              <w:jc w:val="both"/>
              <w:rPr>
                <w:rFonts w:eastAsia="Calibri"/>
                <w:sz w:val="20"/>
                <w:lang w:val="fr-FR"/>
              </w:rPr>
            </w:pPr>
            <w:r w:rsidRPr="00293CD1">
              <w:rPr>
                <w:rFonts w:eastAsia="Calibri"/>
                <w:sz w:val="20"/>
                <w:lang w:val="fr-FR"/>
              </w:rPr>
              <w:t>20 avril 2011</w:t>
            </w:r>
          </w:p>
          <w:p w:rsidR="001F488C" w:rsidRPr="00293CD1" w:rsidRDefault="001F488C" w:rsidP="002A6864">
            <w:pPr>
              <w:jc w:val="both"/>
              <w:rPr>
                <w:rFonts w:eastAsia="Calibri"/>
                <w:sz w:val="20"/>
                <w:lang w:val="fr-FR"/>
              </w:rPr>
            </w:pPr>
            <w:r w:rsidRPr="00293CD1">
              <w:rPr>
                <w:rFonts w:eastAsia="Calibri"/>
                <w:sz w:val="20"/>
                <w:lang w:val="fr-FR"/>
              </w:rPr>
              <w:t>Cour d’appel de l’Ontario</w:t>
            </w:r>
          </w:p>
          <w:p w:rsidR="001F488C" w:rsidRPr="00293CD1" w:rsidRDefault="001F488C" w:rsidP="002A6864">
            <w:pPr>
              <w:jc w:val="both"/>
              <w:rPr>
                <w:rFonts w:eastAsia="Calibri"/>
                <w:sz w:val="20"/>
                <w:lang w:val="fr-CA"/>
              </w:rPr>
            </w:pPr>
            <w:r w:rsidRPr="00293CD1">
              <w:rPr>
                <w:rFonts w:eastAsia="Calibri"/>
                <w:sz w:val="20"/>
                <w:lang w:val="fr-CA"/>
              </w:rPr>
              <w:t xml:space="preserve">(Juges </w:t>
            </w:r>
            <w:proofErr w:type="spellStart"/>
            <w:r w:rsidRPr="00293CD1">
              <w:rPr>
                <w:rFonts w:eastAsia="Calibri"/>
                <w:sz w:val="20"/>
                <w:lang w:val="fr-CA"/>
              </w:rPr>
              <w:t>Moldaver</w:t>
            </w:r>
            <w:proofErr w:type="spellEnd"/>
            <w:r w:rsidRPr="00293CD1">
              <w:rPr>
                <w:rFonts w:eastAsia="Calibri"/>
                <w:sz w:val="20"/>
                <w:lang w:val="fr-CA"/>
              </w:rPr>
              <w:t>, Simmons et Blair)</w:t>
            </w:r>
          </w:p>
          <w:p w:rsidR="001F488C" w:rsidRPr="00293CD1" w:rsidRDefault="001F488C" w:rsidP="002A6864">
            <w:pPr>
              <w:jc w:val="both"/>
              <w:rPr>
                <w:rFonts w:eastAsia="Calibri"/>
                <w:sz w:val="20"/>
                <w:lang w:val="fr-FR"/>
              </w:rPr>
            </w:pPr>
            <w:r w:rsidRPr="00293CD1">
              <w:rPr>
                <w:rFonts w:eastAsia="Calibri"/>
                <w:sz w:val="20"/>
                <w:lang w:val="fr-FR"/>
              </w:rPr>
              <w:t>2011 ONCA 311; C45555</w:t>
            </w:r>
          </w:p>
          <w:p w:rsidR="001F488C" w:rsidRPr="00293CD1" w:rsidRDefault="001F488C" w:rsidP="002A6864">
            <w:pPr>
              <w:jc w:val="both"/>
              <w:rPr>
                <w:rFonts w:eastAsia="Calibri"/>
                <w:sz w:val="20"/>
                <w:lang w:val="fr-FR"/>
              </w:rPr>
            </w:pPr>
          </w:p>
        </w:tc>
        <w:tc>
          <w:tcPr>
            <w:tcW w:w="243" w:type="pct"/>
          </w:tcPr>
          <w:p w:rsidR="001F488C" w:rsidRPr="00293CD1" w:rsidRDefault="001F488C" w:rsidP="002A6864">
            <w:pPr>
              <w:jc w:val="both"/>
              <w:rPr>
                <w:rFonts w:eastAsia="Calibri"/>
                <w:sz w:val="20"/>
                <w:lang w:val="fr-FR"/>
              </w:rPr>
            </w:pPr>
          </w:p>
        </w:tc>
        <w:tc>
          <w:tcPr>
            <w:tcW w:w="2330" w:type="pct"/>
          </w:tcPr>
          <w:p w:rsidR="001F488C" w:rsidRPr="00293CD1" w:rsidRDefault="001F488C" w:rsidP="002A6864">
            <w:pPr>
              <w:jc w:val="both"/>
              <w:rPr>
                <w:rFonts w:eastAsia="Calibri"/>
                <w:sz w:val="20"/>
                <w:lang w:val="fr-FR"/>
              </w:rPr>
            </w:pPr>
            <w:r w:rsidRPr="00293CD1">
              <w:rPr>
                <w:rFonts w:eastAsia="Calibri"/>
                <w:sz w:val="20"/>
                <w:lang w:val="fr-FR"/>
              </w:rPr>
              <w:t>Appel des déclarations de culpabilité rejeté</w:t>
            </w:r>
          </w:p>
          <w:p w:rsidR="001F488C" w:rsidRPr="00293CD1" w:rsidRDefault="001F488C" w:rsidP="002A6864">
            <w:pPr>
              <w:jc w:val="both"/>
              <w:rPr>
                <w:rFonts w:eastAsia="Calibri"/>
                <w:sz w:val="20"/>
                <w:lang w:val="fr-FR"/>
              </w:rPr>
            </w:pPr>
          </w:p>
        </w:tc>
      </w:tr>
      <w:tr w:rsidR="001F488C" w:rsidRPr="00251B16" w:rsidTr="002A6864">
        <w:tc>
          <w:tcPr>
            <w:tcW w:w="2427" w:type="pct"/>
          </w:tcPr>
          <w:p w:rsidR="001F488C" w:rsidRPr="00293CD1" w:rsidRDefault="001F488C" w:rsidP="002A6864">
            <w:pPr>
              <w:jc w:val="both"/>
              <w:rPr>
                <w:rFonts w:eastAsia="Calibri"/>
                <w:sz w:val="20"/>
                <w:lang w:val="fr-FR"/>
              </w:rPr>
            </w:pPr>
            <w:r w:rsidRPr="00293CD1">
              <w:rPr>
                <w:rFonts w:eastAsia="Calibri"/>
                <w:sz w:val="20"/>
                <w:lang w:val="fr-FR"/>
              </w:rPr>
              <w:t>27 septembre 2011</w:t>
            </w:r>
          </w:p>
          <w:p w:rsidR="001F488C" w:rsidRPr="00293CD1" w:rsidRDefault="001F488C" w:rsidP="002A6864">
            <w:pPr>
              <w:jc w:val="both"/>
              <w:rPr>
                <w:rFonts w:eastAsia="Calibri"/>
                <w:sz w:val="20"/>
                <w:lang w:val="fr-FR"/>
              </w:rPr>
            </w:pPr>
            <w:r w:rsidRPr="00293CD1">
              <w:rPr>
                <w:rFonts w:eastAsia="Calibri"/>
                <w:sz w:val="20"/>
                <w:lang w:val="fr-FR"/>
              </w:rPr>
              <w:t>Cour suprême du Canada</w:t>
            </w:r>
          </w:p>
        </w:tc>
        <w:tc>
          <w:tcPr>
            <w:tcW w:w="243" w:type="pct"/>
          </w:tcPr>
          <w:p w:rsidR="001F488C" w:rsidRPr="00293CD1" w:rsidRDefault="001F488C" w:rsidP="002A6864">
            <w:pPr>
              <w:jc w:val="both"/>
              <w:rPr>
                <w:rFonts w:eastAsia="Calibri"/>
                <w:sz w:val="20"/>
                <w:lang w:val="fr-FR"/>
              </w:rPr>
            </w:pPr>
          </w:p>
        </w:tc>
        <w:tc>
          <w:tcPr>
            <w:tcW w:w="2330" w:type="pct"/>
          </w:tcPr>
          <w:p w:rsidR="001F488C" w:rsidRPr="00293CD1" w:rsidRDefault="001F488C" w:rsidP="002A6864">
            <w:pPr>
              <w:jc w:val="both"/>
              <w:rPr>
                <w:rFonts w:eastAsia="Calibri"/>
                <w:sz w:val="20"/>
                <w:lang w:val="fr-FR"/>
              </w:rPr>
            </w:pPr>
            <w:r w:rsidRPr="00293CD1">
              <w:rPr>
                <w:rFonts w:eastAsia="Calibri"/>
                <w:sz w:val="20"/>
                <w:lang w:val="fr-FR"/>
              </w:rPr>
              <w:t xml:space="preserve">Demande de prorogation du délai pour signifier et déposer une demande d’autorisation d’appel et demande d’autorisation </w:t>
            </w:r>
            <w:proofErr w:type="gramStart"/>
            <w:r w:rsidRPr="00293CD1">
              <w:rPr>
                <w:rFonts w:eastAsia="Calibri"/>
                <w:sz w:val="20"/>
                <w:lang w:val="fr-FR"/>
              </w:rPr>
              <w:t>d’appel déposées</w:t>
            </w:r>
            <w:proofErr w:type="gramEnd"/>
            <w:r w:rsidRPr="00293CD1">
              <w:rPr>
                <w:rFonts w:eastAsia="Calibri"/>
                <w:sz w:val="20"/>
                <w:lang w:val="fr-FR"/>
              </w:rPr>
              <w:t xml:space="preserve"> </w:t>
            </w:r>
          </w:p>
        </w:tc>
      </w:tr>
    </w:tbl>
    <w:p w:rsidR="00F9104A" w:rsidRPr="001F488C" w:rsidRDefault="00F9104A" w:rsidP="00F9104A">
      <w:pPr>
        <w:rPr>
          <w:sz w:val="20"/>
          <w:szCs w:val="20"/>
          <w:lang w:val="fr-CA"/>
        </w:rPr>
      </w:pPr>
    </w:p>
    <w:p w:rsidR="00F9104A" w:rsidRDefault="00FD28BB" w:rsidP="00F9104A">
      <w:pPr>
        <w:rPr>
          <w:sz w:val="20"/>
          <w:szCs w:val="20"/>
        </w:rPr>
      </w:pPr>
      <w:r w:rsidRPr="00FD28BB">
        <w:rPr>
          <w:sz w:val="20"/>
          <w:szCs w:val="20"/>
          <w:lang w:val="fr-CA"/>
        </w:rPr>
        <w:pict>
          <v:rect id="_x0000_i1054" style="width:2in;height:1pt" o:hrpct="0" o:hralign="center" o:hrstd="t" o:hrnoshade="t" o:hr="t" fillcolor="black [3213]" stroked="f"/>
        </w:pict>
      </w:r>
    </w:p>
    <w:p w:rsidR="00F9104A" w:rsidRDefault="00F9104A" w:rsidP="00F9104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6DD6" w:rsidRPr="002B11E5" w:rsidTr="002A6864">
        <w:trPr>
          <w:cantSplit/>
        </w:trPr>
        <w:tc>
          <w:tcPr>
            <w:tcW w:w="1458" w:type="dxa"/>
          </w:tcPr>
          <w:p w:rsidR="00246DD6" w:rsidRPr="002B11E5" w:rsidRDefault="00246DD6" w:rsidP="002A6864">
            <w:pPr>
              <w:rPr>
                <w:sz w:val="20"/>
                <w:szCs w:val="20"/>
              </w:rPr>
            </w:pPr>
            <w:r w:rsidRPr="002B11E5">
              <w:rPr>
                <w:rStyle w:val="SCCFileNumberChar"/>
                <w:sz w:val="20"/>
                <w:szCs w:val="20"/>
              </w:rPr>
              <w:t>34500</w:t>
            </w:r>
          </w:p>
          <w:p w:rsidR="00246DD6" w:rsidRPr="002B11E5" w:rsidRDefault="00246DD6" w:rsidP="002A6864">
            <w:pPr>
              <w:rPr>
                <w:b/>
                <w:sz w:val="20"/>
                <w:szCs w:val="20"/>
                <w:lang w:val="fr-CA"/>
              </w:rPr>
            </w:pPr>
          </w:p>
        </w:tc>
        <w:tc>
          <w:tcPr>
            <w:tcW w:w="8118" w:type="dxa"/>
          </w:tcPr>
          <w:p w:rsidR="00246DD6" w:rsidRPr="002B11E5" w:rsidRDefault="00246DD6" w:rsidP="002A6864">
            <w:pPr>
              <w:rPr>
                <w:sz w:val="20"/>
                <w:szCs w:val="20"/>
              </w:rPr>
            </w:pPr>
            <w:proofErr w:type="spellStart"/>
            <w:r w:rsidRPr="00246DD6">
              <w:rPr>
                <w:rStyle w:val="SCCLsocChar"/>
                <w:sz w:val="20"/>
                <w:szCs w:val="20"/>
                <w:lang w:val="en-CA"/>
              </w:rPr>
              <w:t>Vincenzo</w:t>
            </w:r>
            <w:proofErr w:type="spellEnd"/>
            <w:r w:rsidRPr="00246DD6">
              <w:rPr>
                <w:rStyle w:val="SCCLsocChar"/>
                <w:sz w:val="20"/>
                <w:szCs w:val="20"/>
                <w:lang w:val="en-CA"/>
              </w:rPr>
              <w:t xml:space="preserve"> </w:t>
            </w:r>
            <w:proofErr w:type="spellStart"/>
            <w:r w:rsidRPr="00246DD6">
              <w:rPr>
                <w:rStyle w:val="SCCLsocChar"/>
                <w:sz w:val="20"/>
                <w:szCs w:val="20"/>
                <w:lang w:val="en-CA"/>
              </w:rPr>
              <w:t>Armeni</w:t>
            </w:r>
            <w:proofErr w:type="spellEnd"/>
            <w:r w:rsidRPr="00246DD6">
              <w:rPr>
                <w:rStyle w:val="SCCLsocChar"/>
                <w:sz w:val="20"/>
                <w:szCs w:val="20"/>
                <w:lang w:val="en-CA"/>
              </w:rPr>
              <w:t xml:space="preserve"> v. Her Majesty the Queen</w:t>
            </w:r>
            <w:r w:rsidRPr="002B11E5">
              <w:rPr>
                <w:sz w:val="20"/>
                <w:szCs w:val="20"/>
              </w:rPr>
              <w:t xml:space="preserve"> (Que.) (Criminal) (By Leave)</w:t>
            </w:r>
          </w:p>
          <w:p w:rsidR="00246DD6" w:rsidRPr="002B11E5" w:rsidRDefault="00246DD6" w:rsidP="002A6864">
            <w:pPr>
              <w:rPr>
                <w:sz w:val="20"/>
                <w:szCs w:val="20"/>
              </w:rPr>
            </w:pPr>
          </w:p>
        </w:tc>
      </w:tr>
      <w:tr w:rsidR="00246DD6" w:rsidRPr="002B11E5" w:rsidTr="002A6864">
        <w:trPr>
          <w:cantSplit/>
        </w:trPr>
        <w:tc>
          <w:tcPr>
            <w:tcW w:w="1458" w:type="dxa"/>
          </w:tcPr>
          <w:p w:rsidR="00246DD6" w:rsidRPr="002B11E5" w:rsidRDefault="00246DD6" w:rsidP="002A6864">
            <w:pPr>
              <w:rPr>
                <w:sz w:val="20"/>
                <w:szCs w:val="20"/>
              </w:rPr>
            </w:pPr>
            <w:r w:rsidRPr="002B11E5">
              <w:rPr>
                <w:sz w:val="20"/>
                <w:szCs w:val="20"/>
              </w:rPr>
              <w:t>Coram :</w:t>
            </w:r>
          </w:p>
        </w:tc>
        <w:tc>
          <w:tcPr>
            <w:tcW w:w="8118" w:type="dxa"/>
          </w:tcPr>
          <w:p w:rsidR="00246DD6" w:rsidRPr="002B11E5" w:rsidRDefault="00246DD6" w:rsidP="002A6864">
            <w:pPr>
              <w:rPr>
                <w:sz w:val="20"/>
                <w:szCs w:val="20"/>
              </w:rPr>
            </w:pPr>
            <w:proofErr w:type="spellStart"/>
            <w:r w:rsidRPr="00246DD6">
              <w:rPr>
                <w:rStyle w:val="SCCCoramChar"/>
                <w:sz w:val="20"/>
                <w:szCs w:val="20"/>
                <w:lang w:val="en-CA"/>
              </w:rPr>
              <w:t>LeBel</w:t>
            </w:r>
            <w:proofErr w:type="spellEnd"/>
            <w:r w:rsidRPr="00246DD6">
              <w:rPr>
                <w:rStyle w:val="SCCCoramChar"/>
                <w:sz w:val="20"/>
                <w:szCs w:val="20"/>
                <w:lang w:val="en-CA"/>
              </w:rPr>
              <w:t xml:space="preserve">, </w:t>
            </w:r>
            <w:proofErr w:type="spellStart"/>
            <w:r w:rsidRPr="00246DD6">
              <w:rPr>
                <w:rStyle w:val="SCCCoramChar"/>
                <w:sz w:val="20"/>
                <w:szCs w:val="20"/>
                <w:lang w:val="en-CA"/>
              </w:rPr>
              <w:t>Abella</w:t>
            </w:r>
            <w:proofErr w:type="spellEnd"/>
            <w:r w:rsidRPr="00246DD6">
              <w:rPr>
                <w:rStyle w:val="SCCCoramChar"/>
                <w:sz w:val="20"/>
                <w:szCs w:val="20"/>
                <w:lang w:val="en-CA"/>
              </w:rPr>
              <w:t xml:space="preserve"> and Cromwell JJ.</w:t>
            </w:r>
          </w:p>
          <w:p w:rsidR="00246DD6" w:rsidRPr="002B11E5" w:rsidRDefault="00246DD6" w:rsidP="002A6864">
            <w:pPr>
              <w:rPr>
                <w:sz w:val="20"/>
                <w:szCs w:val="20"/>
                <w:u w:val="single"/>
              </w:rPr>
            </w:pPr>
          </w:p>
        </w:tc>
      </w:tr>
      <w:tr w:rsidR="00246DD6" w:rsidRPr="00251B16" w:rsidTr="002A6864">
        <w:trPr>
          <w:cantSplit/>
        </w:trPr>
        <w:tc>
          <w:tcPr>
            <w:tcW w:w="9576" w:type="dxa"/>
            <w:gridSpan w:val="2"/>
          </w:tcPr>
          <w:p w:rsidR="00246DD6" w:rsidRPr="002B11E5" w:rsidRDefault="00246DD6" w:rsidP="002A6864">
            <w:pPr>
              <w:pStyle w:val="SCCShortJudgment"/>
              <w:rPr>
                <w:szCs w:val="20"/>
              </w:rPr>
            </w:pPr>
            <w:r w:rsidRPr="002B11E5">
              <w:rPr>
                <w:szCs w:val="20"/>
              </w:rPr>
              <w:t>The application for leave to appeal from the judgment of the Court of Appeal of Quebec (Montréal), Numbers 500-10-003988-076 and 500-10-003989-074, 2011 QCCA 1574, dated August 24, 2011, is dismissed without costs.</w:t>
            </w:r>
          </w:p>
          <w:p w:rsidR="00246DD6" w:rsidRPr="002B11E5" w:rsidRDefault="00246DD6" w:rsidP="002A6864">
            <w:pPr>
              <w:pStyle w:val="SCCShortJudgment"/>
              <w:ind w:firstLine="0"/>
              <w:rPr>
                <w:szCs w:val="20"/>
              </w:rPr>
            </w:pPr>
          </w:p>
          <w:p w:rsidR="00246DD6" w:rsidRPr="002B11E5" w:rsidRDefault="00246DD6" w:rsidP="002A6864">
            <w:pPr>
              <w:pStyle w:val="SCCShortJudgment"/>
              <w:rPr>
                <w:szCs w:val="20"/>
                <w:lang w:val="fr-CA"/>
              </w:rPr>
            </w:pPr>
            <w:r w:rsidRPr="002B11E5">
              <w:rPr>
                <w:szCs w:val="20"/>
                <w:lang w:val="fr-CA"/>
              </w:rPr>
              <w:t>La demande d’autorisation d’appel de l’arrêt de la Cour d’appel du Québec (Montréal), numéros 500-10-003988-076 et 500-10-003989-074, 2011 QCCA 1574, daté du 24 août 2011, est rejetée sans dépens.</w:t>
            </w:r>
          </w:p>
        </w:tc>
      </w:tr>
    </w:tbl>
    <w:p w:rsidR="00F9104A" w:rsidRPr="00246DD6" w:rsidRDefault="00F9104A" w:rsidP="00F9104A">
      <w:pPr>
        <w:rPr>
          <w:sz w:val="20"/>
          <w:szCs w:val="20"/>
          <w:lang w:val="fr-CA"/>
        </w:rPr>
      </w:pPr>
    </w:p>
    <w:p w:rsidR="00F9104A" w:rsidRPr="001B157C" w:rsidRDefault="00F9104A" w:rsidP="00F9104A">
      <w:pPr>
        <w:rPr>
          <w:sz w:val="20"/>
          <w:szCs w:val="20"/>
          <w:u w:val="single"/>
        </w:rPr>
      </w:pPr>
      <w:r w:rsidRPr="001B157C">
        <w:rPr>
          <w:sz w:val="20"/>
          <w:szCs w:val="20"/>
          <w:u w:val="single"/>
        </w:rPr>
        <w:t>CASE SUMMARY</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DE5192" w:rsidRPr="00293CD1" w:rsidTr="002A6864">
        <w:tc>
          <w:tcPr>
            <w:tcW w:w="5000" w:type="pct"/>
            <w:gridSpan w:val="3"/>
          </w:tcPr>
          <w:p w:rsidR="00DE5192" w:rsidRPr="00293CD1" w:rsidRDefault="00DE5192" w:rsidP="002A6864">
            <w:pPr>
              <w:jc w:val="both"/>
              <w:rPr>
                <w:rFonts w:eastAsia="Calibri"/>
                <w:sz w:val="20"/>
              </w:rPr>
            </w:pPr>
            <w:r w:rsidRPr="00293CD1">
              <w:rPr>
                <w:rFonts w:eastAsia="Calibri"/>
                <w:sz w:val="20"/>
              </w:rPr>
              <w:t>Criminal law — Procedure — Duties of judge — Charge or instructions — Conspiracy to traffic in drugs — Whether evidence against applicant was essentially circumstantial and based in large part on testimony of accomplice — Whether judge correctly cautioned jury about importance of confirming accomplice’s testimony through independent evidence — Whether caution concerning identification evidence was adequate and sufficiently alerted jury to danger associated with that type of evidence — Whether instructions to jury on concept of reasonable doubt were flawless.</w:t>
            </w:r>
          </w:p>
          <w:p w:rsidR="00DE5192" w:rsidRPr="00293CD1" w:rsidRDefault="00DE5192" w:rsidP="002A6864">
            <w:pPr>
              <w:jc w:val="both"/>
              <w:rPr>
                <w:rFonts w:eastAsia="Calibri"/>
                <w:sz w:val="20"/>
              </w:rPr>
            </w:pPr>
          </w:p>
        </w:tc>
      </w:tr>
      <w:tr w:rsidR="00DE5192" w:rsidRPr="00293CD1" w:rsidTr="002A6864">
        <w:tc>
          <w:tcPr>
            <w:tcW w:w="5000" w:type="pct"/>
            <w:gridSpan w:val="3"/>
          </w:tcPr>
          <w:p w:rsidR="00DE5192" w:rsidRPr="00293CD1" w:rsidRDefault="00DE5192" w:rsidP="002A6864">
            <w:pPr>
              <w:jc w:val="both"/>
              <w:rPr>
                <w:rFonts w:eastAsia="Calibri"/>
                <w:sz w:val="20"/>
              </w:rPr>
            </w:pPr>
            <w:r w:rsidRPr="00293CD1">
              <w:rPr>
                <w:rFonts w:eastAsia="Calibri"/>
                <w:sz w:val="20"/>
              </w:rPr>
              <w:t>Mr. </w:t>
            </w:r>
            <w:proofErr w:type="spellStart"/>
            <w:r w:rsidRPr="00293CD1">
              <w:rPr>
                <w:rFonts w:eastAsia="Calibri"/>
                <w:sz w:val="20"/>
              </w:rPr>
              <w:t>Armeni</w:t>
            </w:r>
            <w:proofErr w:type="spellEnd"/>
            <w:r w:rsidRPr="00293CD1">
              <w:rPr>
                <w:rFonts w:eastAsia="Calibri"/>
                <w:sz w:val="20"/>
              </w:rPr>
              <w:t xml:space="preserve"> was convicted of trafficking in cocaine, possession of cocaine for the purpose of trafficking and conspiracy to traffic in cocaine.  He was sentenced to imprisonment for 19 years.  The evidence against him was essentially circumstantial and was based in large part on the testimony of an accomplice, Mr. Garand.  On appeal, Mr. </w:t>
            </w:r>
            <w:proofErr w:type="spellStart"/>
            <w:r w:rsidRPr="00293CD1">
              <w:rPr>
                <w:rFonts w:eastAsia="Calibri"/>
                <w:sz w:val="20"/>
              </w:rPr>
              <w:t>Armeni</w:t>
            </w:r>
            <w:proofErr w:type="spellEnd"/>
            <w:r w:rsidRPr="00293CD1">
              <w:rPr>
                <w:rFonts w:eastAsia="Calibri"/>
                <w:sz w:val="20"/>
              </w:rPr>
              <w:t xml:space="preserve"> argued that the trial judge should have stated that independent and material evidence was required to confirm Mr. Garand’s suspect version.  Mr. </w:t>
            </w:r>
            <w:proofErr w:type="spellStart"/>
            <w:r w:rsidRPr="00293CD1">
              <w:rPr>
                <w:rFonts w:eastAsia="Calibri"/>
                <w:sz w:val="20"/>
              </w:rPr>
              <w:t>Armeni</w:t>
            </w:r>
            <w:proofErr w:type="spellEnd"/>
            <w:r w:rsidRPr="00293CD1">
              <w:rPr>
                <w:rFonts w:eastAsia="Calibri"/>
                <w:sz w:val="20"/>
              </w:rPr>
              <w:t xml:space="preserve"> also argued that the judge should have emphasized to the jury the weakness of the identification evidence given by Mr. Garand.  However, after analysing the instructions to the jury, the Court of Appeal dismissed Mr. </w:t>
            </w:r>
            <w:proofErr w:type="spellStart"/>
            <w:r w:rsidRPr="00293CD1">
              <w:rPr>
                <w:rFonts w:eastAsia="Calibri"/>
                <w:sz w:val="20"/>
              </w:rPr>
              <w:t>Armeni’s</w:t>
            </w:r>
            <w:proofErr w:type="spellEnd"/>
            <w:r w:rsidRPr="00293CD1">
              <w:rPr>
                <w:rFonts w:eastAsia="Calibri"/>
                <w:sz w:val="20"/>
              </w:rPr>
              <w:t xml:space="preserve"> appeal.</w:t>
            </w:r>
          </w:p>
        </w:tc>
      </w:tr>
      <w:tr w:rsidR="00DE5192" w:rsidRPr="00293CD1" w:rsidTr="002A6864">
        <w:tc>
          <w:tcPr>
            <w:tcW w:w="5000" w:type="pct"/>
            <w:gridSpan w:val="3"/>
          </w:tcPr>
          <w:p w:rsidR="00DE5192" w:rsidRPr="00293CD1" w:rsidRDefault="00DE5192" w:rsidP="002A6864">
            <w:pPr>
              <w:jc w:val="both"/>
              <w:rPr>
                <w:rFonts w:eastAsia="Calibri"/>
                <w:sz w:val="20"/>
              </w:rPr>
            </w:pPr>
          </w:p>
        </w:tc>
      </w:tr>
      <w:tr w:rsidR="00DE5192" w:rsidRPr="00293CD1" w:rsidTr="002A6864">
        <w:tblPrEx>
          <w:tblCellMar>
            <w:bottom w:w="0" w:type="dxa"/>
          </w:tblCellMar>
        </w:tblPrEx>
        <w:tc>
          <w:tcPr>
            <w:tcW w:w="2390" w:type="pct"/>
          </w:tcPr>
          <w:p w:rsidR="00DE5192" w:rsidRPr="00293CD1" w:rsidRDefault="00DE5192" w:rsidP="002A6864">
            <w:pPr>
              <w:jc w:val="both"/>
              <w:rPr>
                <w:rFonts w:eastAsia="Calibri"/>
                <w:sz w:val="20"/>
              </w:rPr>
            </w:pPr>
            <w:r w:rsidRPr="00293CD1">
              <w:rPr>
                <w:rFonts w:eastAsia="Calibri"/>
                <w:sz w:val="20"/>
              </w:rPr>
              <w:t>October 6, 2007</w:t>
            </w:r>
          </w:p>
          <w:p w:rsidR="00DE5192" w:rsidRPr="00293CD1" w:rsidRDefault="00DE5192" w:rsidP="002A6864">
            <w:pPr>
              <w:jc w:val="both"/>
              <w:rPr>
                <w:rFonts w:eastAsia="Calibri"/>
                <w:sz w:val="20"/>
              </w:rPr>
            </w:pPr>
            <w:r w:rsidRPr="00293CD1">
              <w:rPr>
                <w:rFonts w:eastAsia="Calibri"/>
                <w:sz w:val="20"/>
              </w:rPr>
              <w:t>Quebec Superior Court</w:t>
            </w:r>
          </w:p>
          <w:p w:rsidR="00DE5192" w:rsidRPr="00293CD1" w:rsidRDefault="00DE5192" w:rsidP="002A6864">
            <w:pPr>
              <w:jc w:val="both"/>
              <w:rPr>
                <w:rFonts w:eastAsia="Calibri"/>
                <w:sz w:val="20"/>
              </w:rPr>
            </w:pPr>
            <w:r w:rsidRPr="00293CD1">
              <w:rPr>
                <w:rFonts w:eastAsia="Calibri"/>
                <w:sz w:val="20"/>
              </w:rPr>
              <w:t>(Wagner J.)</w:t>
            </w:r>
          </w:p>
          <w:p w:rsidR="00DE5192" w:rsidRPr="00293CD1" w:rsidRDefault="00DE5192" w:rsidP="002A6864">
            <w:pPr>
              <w:jc w:val="both"/>
              <w:rPr>
                <w:rFonts w:eastAsia="Calibri"/>
                <w:sz w:val="20"/>
              </w:rPr>
            </w:pPr>
          </w:p>
        </w:tc>
        <w:tc>
          <w:tcPr>
            <w:tcW w:w="270" w:type="pct"/>
          </w:tcPr>
          <w:p w:rsidR="00DE5192" w:rsidRPr="00293CD1" w:rsidRDefault="00DE5192" w:rsidP="002A6864">
            <w:pPr>
              <w:jc w:val="both"/>
              <w:rPr>
                <w:rFonts w:eastAsia="Calibri"/>
                <w:sz w:val="20"/>
              </w:rPr>
            </w:pPr>
          </w:p>
        </w:tc>
        <w:tc>
          <w:tcPr>
            <w:tcW w:w="2340" w:type="pct"/>
          </w:tcPr>
          <w:p w:rsidR="00DE5192" w:rsidRPr="00293CD1" w:rsidRDefault="00DE5192" w:rsidP="002A6864">
            <w:pPr>
              <w:jc w:val="both"/>
              <w:rPr>
                <w:rFonts w:eastAsia="Calibri"/>
                <w:sz w:val="20"/>
              </w:rPr>
            </w:pPr>
            <w:r w:rsidRPr="00293CD1">
              <w:rPr>
                <w:rFonts w:eastAsia="Calibri"/>
                <w:sz w:val="20"/>
              </w:rPr>
              <w:t>Applicant convicted of trafficking in cocaine, possession of cocaine for purpose of trafficking and conspiracy to traffic in cocaine and sentenced to imprisonment for 19 years</w:t>
            </w:r>
          </w:p>
          <w:p w:rsidR="00DE5192" w:rsidRPr="00293CD1" w:rsidRDefault="00DE5192" w:rsidP="002A6864">
            <w:pPr>
              <w:jc w:val="both"/>
              <w:rPr>
                <w:rFonts w:eastAsia="Calibri"/>
                <w:sz w:val="20"/>
              </w:rPr>
            </w:pPr>
          </w:p>
        </w:tc>
      </w:tr>
      <w:tr w:rsidR="00DE5192" w:rsidRPr="00293CD1" w:rsidTr="002A6864">
        <w:tblPrEx>
          <w:tblCellMar>
            <w:bottom w:w="0" w:type="dxa"/>
          </w:tblCellMar>
        </w:tblPrEx>
        <w:tc>
          <w:tcPr>
            <w:tcW w:w="2390" w:type="pct"/>
          </w:tcPr>
          <w:p w:rsidR="00DE5192" w:rsidRPr="00293CD1" w:rsidRDefault="00DE5192" w:rsidP="002A6864">
            <w:pPr>
              <w:jc w:val="both"/>
              <w:rPr>
                <w:rFonts w:eastAsia="Calibri"/>
                <w:sz w:val="20"/>
              </w:rPr>
            </w:pPr>
            <w:r w:rsidRPr="00293CD1">
              <w:rPr>
                <w:rFonts w:eastAsia="Calibri"/>
                <w:sz w:val="20"/>
              </w:rPr>
              <w:t>August 24, 2011</w:t>
            </w:r>
          </w:p>
          <w:p w:rsidR="00DE5192" w:rsidRPr="00293CD1" w:rsidRDefault="00DE5192" w:rsidP="002A6864">
            <w:pPr>
              <w:jc w:val="both"/>
              <w:rPr>
                <w:rFonts w:eastAsia="Calibri"/>
                <w:sz w:val="20"/>
              </w:rPr>
            </w:pPr>
            <w:r w:rsidRPr="00293CD1">
              <w:rPr>
                <w:rFonts w:eastAsia="Calibri"/>
                <w:sz w:val="20"/>
              </w:rPr>
              <w:t>Quebec Court of Appeal (Montréal)</w:t>
            </w:r>
          </w:p>
          <w:p w:rsidR="00DE5192" w:rsidRPr="00293CD1" w:rsidRDefault="00DE5192" w:rsidP="002A6864">
            <w:pPr>
              <w:jc w:val="both"/>
              <w:rPr>
                <w:rFonts w:eastAsia="Calibri"/>
                <w:sz w:val="20"/>
              </w:rPr>
            </w:pPr>
            <w:r w:rsidRPr="00293CD1">
              <w:rPr>
                <w:rFonts w:eastAsia="Calibri"/>
                <w:sz w:val="20"/>
              </w:rPr>
              <w:t xml:space="preserve">(Beauregard, </w:t>
            </w:r>
            <w:proofErr w:type="spellStart"/>
            <w:r w:rsidRPr="00293CD1">
              <w:rPr>
                <w:rFonts w:eastAsia="Calibri"/>
                <w:sz w:val="20"/>
              </w:rPr>
              <w:t>Rochon</w:t>
            </w:r>
            <w:proofErr w:type="spellEnd"/>
            <w:r w:rsidRPr="00293CD1">
              <w:rPr>
                <w:rFonts w:eastAsia="Calibri"/>
                <w:sz w:val="20"/>
              </w:rPr>
              <w:t xml:space="preserve"> and Gagnon JJ.A.)</w:t>
            </w:r>
          </w:p>
          <w:p w:rsidR="00DE5192" w:rsidRPr="00293CD1" w:rsidRDefault="00DE5192" w:rsidP="002A6864">
            <w:pPr>
              <w:jc w:val="both"/>
              <w:rPr>
                <w:rFonts w:eastAsia="Calibri"/>
                <w:sz w:val="20"/>
              </w:rPr>
            </w:pPr>
            <w:r w:rsidRPr="00293CD1">
              <w:rPr>
                <w:rFonts w:eastAsia="Calibri"/>
                <w:sz w:val="20"/>
              </w:rPr>
              <w:t>2011 QCCA 1574</w:t>
            </w:r>
          </w:p>
          <w:p w:rsidR="00DE5192" w:rsidRPr="00293CD1" w:rsidRDefault="00DE5192" w:rsidP="002A6864">
            <w:pPr>
              <w:jc w:val="both"/>
              <w:rPr>
                <w:rFonts w:eastAsia="Calibri"/>
                <w:sz w:val="20"/>
              </w:rPr>
            </w:pPr>
          </w:p>
        </w:tc>
        <w:tc>
          <w:tcPr>
            <w:tcW w:w="270" w:type="pct"/>
          </w:tcPr>
          <w:p w:rsidR="00DE5192" w:rsidRPr="00293CD1" w:rsidRDefault="00DE5192" w:rsidP="002A6864">
            <w:pPr>
              <w:jc w:val="both"/>
              <w:rPr>
                <w:rFonts w:eastAsia="Calibri"/>
                <w:sz w:val="20"/>
              </w:rPr>
            </w:pPr>
          </w:p>
        </w:tc>
        <w:tc>
          <w:tcPr>
            <w:tcW w:w="2340" w:type="pct"/>
          </w:tcPr>
          <w:p w:rsidR="00DE5192" w:rsidRPr="00293CD1" w:rsidRDefault="00DE5192" w:rsidP="002A6864">
            <w:pPr>
              <w:jc w:val="both"/>
              <w:rPr>
                <w:rFonts w:eastAsia="Calibri"/>
                <w:sz w:val="20"/>
              </w:rPr>
            </w:pPr>
            <w:r w:rsidRPr="00293CD1">
              <w:rPr>
                <w:rFonts w:eastAsia="Calibri"/>
                <w:sz w:val="20"/>
              </w:rPr>
              <w:t>Appeal and motion to produce new evidence dismissed</w:t>
            </w:r>
          </w:p>
          <w:p w:rsidR="00DE5192" w:rsidRPr="00293CD1" w:rsidRDefault="00DE5192" w:rsidP="002A6864">
            <w:pPr>
              <w:jc w:val="both"/>
              <w:rPr>
                <w:rFonts w:eastAsia="Calibri"/>
                <w:sz w:val="20"/>
              </w:rPr>
            </w:pPr>
          </w:p>
        </w:tc>
      </w:tr>
      <w:tr w:rsidR="00DE5192" w:rsidRPr="00293CD1" w:rsidTr="002A6864">
        <w:tblPrEx>
          <w:tblCellMar>
            <w:bottom w:w="0" w:type="dxa"/>
          </w:tblCellMar>
        </w:tblPrEx>
        <w:tc>
          <w:tcPr>
            <w:tcW w:w="2390" w:type="pct"/>
          </w:tcPr>
          <w:p w:rsidR="00DE5192" w:rsidRPr="00293CD1" w:rsidRDefault="00DE5192" w:rsidP="002A6864">
            <w:pPr>
              <w:jc w:val="both"/>
              <w:rPr>
                <w:rFonts w:eastAsia="Calibri"/>
                <w:sz w:val="20"/>
              </w:rPr>
            </w:pPr>
            <w:r w:rsidRPr="00293CD1">
              <w:rPr>
                <w:rFonts w:eastAsia="Calibri"/>
                <w:sz w:val="20"/>
              </w:rPr>
              <w:t>October 21, 2011</w:t>
            </w:r>
          </w:p>
          <w:p w:rsidR="00DE5192" w:rsidRPr="00293CD1" w:rsidRDefault="00DE5192" w:rsidP="00DE5192">
            <w:pPr>
              <w:jc w:val="both"/>
              <w:rPr>
                <w:rFonts w:eastAsia="Calibri"/>
                <w:sz w:val="20"/>
              </w:rPr>
            </w:pPr>
            <w:r w:rsidRPr="00293CD1">
              <w:rPr>
                <w:rFonts w:eastAsia="Calibri"/>
                <w:sz w:val="20"/>
              </w:rPr>
              <w:t>Supreme Court of Canada</w:t>
            </w:r>
          </w:p>
        </w:tc>
        <w:tc>
          <w:tcPr>
            <w:tcW w:w="270" w:type="pct"/>
          </w:tcPr>
          <w:p w:rsidR="00DE5192" w:rsidRPr="00293CD1" w:rsidRDefault="00DE5192" w:rsidP="002A6864">
            <w:pPr>
              <w:jc w:val="both"/>
              <w:rPr>
                <w:rFonts w:eastAsia="Calibri"/>
                <w:sz w:val="20"/>
              </w:rPr>
            </w:pPr>
          </w:p>
        </w:tc>
        <w:tc>
          <w:tcPr>
            <w:tcW w:w="2340" w:type="pct"/>
          </w:tcPr>
          <w:p w:rsidR="00DE5192" w:rsidRPr="00293CD1" w:rsidRDefault="00DE5192" w:rsidP="002A6864">
            <w:pPr>
              <w:jc w:val="both"/>
              <w:rPr>
                <w:rFonts w:eastAsia="Calibri"/>
                <w:sz w:val="20"/>
              </w:rPr>
            </w:pPr>
            <w:r w:rsidRPr="00293CD1">
              <w:rPr>
                <w:rFonts w:eastAsia="Calibri"/>
                <w:sz w:val="20"/>
              </w:rPr>
              <w:t>Application for leave to appeal filed</w:t>
            </w:r>
          </w:p>
          <w:p w:rsidR="00DE5192" w:rsidRPr="00293CD1" w:rsidRDefault="00DE5192" w:rsidP="002A6864">
            <w:pPr>
              <w:jc w:val="both"/>
              <w:rPr>
                <w:rFonts w:eastAsia="Calibri"/>
                <w:sz w:val="20"/>
              </w:rPr>
            </w:pP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55" style="width:2in;height:1pt" o:hrpct="0" o:hralign="center" o:hrstd="t" o:hrnoshade="t" o:hr="t" fillcolor="black [3213]" stroked="f"/>
        </w:pict>
      </w:r>
    </w:p>
    <w:p w:rsidR="00F9104A" w:rsidRDefault="00F9104A" w:rsidP="00F9104A">
      <w:pPr>
        <w:rPr>
          <w:sz w:val="20"/>
          <w:szCs w:val="20"/>
        </w:rPr>
      </w:pPr>
    </w:p>
    <w:p w:rsidR="00F9104A" w:rsidRPr="001B157C" w:rsidRDefault="00F9104A" w:rsidP="00F9104A">
      <w:pPr>
        <w:rPr>
          <w:sz w:val="20"/>
          <w:szCs w:val="20"/>
          <w:u w:val="single"/>
          <w:lang w:val="fr-CA"/>
        </w:rPr>
      </w:pPr>
      <w:r w:rsidRPr="001B157C">
        <w:rPr>
          <w:sz w:val="20"/>
          <w:szCs w:val="20"/>
          <w:u w:val="single"/>
          <w:lang w:val="fr-CA"/>
        </w:rPr>
        <w:t>RÉSUMÉ DE L’AFFAIRE</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DE5192" w:rsidRPr="00251B16" w:rsidTr="002A6864">
        <w:tc>
          <w:tcPr>
            <w:tcW w:w="5000" w:type="pct"/>
            <w:gridSpan w:val="3"/>
          </w:tcPr>
          <w:p w:rsidR="00DE5192" w:rsidRPr="00293CD1" w:rsidRDefault="00DE5192" w:rsidP="002A6864">
            <w:pPr>
              <w:jc w:val="both"/>
              <w:rPr>
                <w:rFonts w:eastAsia="Calibri"/>
                <w:sz w:val="20"/>
                <w:lang w:val="fr-CA"/>
              </w:rPr>
            </w:pPr>
            <w:r w:rsidRPr="00293CD1">
              <w:rPr>
                <w:rFonts w:eastAsia="Calibri"/>
                <w:sz w:val="20"/>
                <w:lang w:val="fr-CA"/>
              </w:rPr>
              <w:t>Droit criminel — Procédure — Devoirs du juge — Exposé ou directives  — Complot pour faire le trafic de drogue — La preuve contre le demandeur est essentiellement circonstancielle et repose en grande partie sur le témoignage d’un complice — Est-ce que le juge a correctement mis le jury en garde quant à l’importance de confirmer le témoignage du complice à l’aide d’une preuve indépendante ? — Est-ce que la mise en garde portant sur la preuve d’identification était adéquate et alertait suffisamment le jury sur le danger associé à ce type de preuve ? — Est-ce que les instructions données au jury sur la notion du doute raisonnable étaient sans faille ?</w:t>
            </w:r>
          </w:p>
          <w:p w:rsidR="00DE5192" w:rsidRPr="00293CD1" w:rsidRDefault="00DE5192" w:rsidP="002A6864">
            <w:pPr>
              <w:jc w:val="both"/>
              <w:rPr>
                <w:rFonts w:eastAsia="Calibri"/>
                <w:sz w:val="20"/>
                <w:lang w:val="fr-CA"/>
              </w:rPr>
            </w:pPr>
          </w:p>
        </w:tc>
      </w:tr>
      <w:tr w:rsidR="00DE5192" w:rsidRPr="00251B16" w:rsidTr="002A6864">
        <w:tc>
          <w:tcPr>
            <w:tcW w:w="5000" w:type="pct"/>
            <w:gridSpan w:val="3"/>
          </w:tcPr>
          <w:p w:rsidR="00DE5192" w:rsidRPr="00293CD1" w:rsidRDefault="00DE5192" w:rsidP="002A6864">
            <w:pPr>
              <w:jc w:val="both"/>
              <w:rPr>
                <w:rFonts w:eastAsia="Calibri"/>
                <w:sz w:val="20"/>
                <w:lang w:val="fr-CA"/>
              </w:rPr>
            </w:pPr>
            <w:r w:rsidRPr="00293CD1">
              <w:rPr>
                <w:rFonts w:eastAsia="Calibri"/>
                <w:sz w:val="20"/>
                <w:lang w:val="fr-CA"/>
              </w:rPr>
              <w:t xml:space="preserve">Monsieur </w:t>
            </w:r>
            <w:proofErr w:type="spellStart"/>
            <w:r w:rsidRPr="00293CD1">
              <w:rPr>
                <w:rFonts w:eastAsia="Calibri"/>
                <w:sz w:val="20"/>
                <w:lang w:val="fr-CA"/>
              </w:rPr>
              <w:t>Armeni</w:t>
            </w:r>
            <w:proofErr w:type="spellEnd"/>
            <w:r w:rsidRPr="00293CD1">
              <w:rPr>
                <w:rFonts w:eastAsia="Calibri"/>
                <w:sz w:val="20"/>
                <w:lang w:val="fr-CA"/>
              </w:rPr>
              <w:t xml:space="preserve"> est déclaré coupable des infractions de trafic de cocaïne, de possession de cocaïne dans le but d’en faire le trafic et de complot pour faire le trafic de cette drogue. Il est condamné à 19 ans d’emprisonnement. La preuve contre Monsieur </w:t>
            </w:r>
            <w:proofErr w:type="spellStart"/>
            <w:r w:rsidRPr="00293CD1">
              <w:rPr>
                <w:rFonts w:eastAsia="Calibri"/>
                <w:sz w:val="20"/>
                <w:lang w:val="fr-CA"/>
              </w:rPr>
              <w:t>Armeni</w:t>
            </w:r>
            <w:proofErr w:type="spellEnd"/>
            <w:r w:rsidRPr="00293CD1">
              <w:rPr>
                <w:rFonts w:eastAsia="Calibri"/>
                <w:sz w:val="20"/>
                <w:lang w:val="fr-CA"/>
              </w:rPr>
              <w:t xml:space="preserve"> était essentiellement circonstancielle et reposait en grande partie sur le témoignage d’un complice, Monsieur </w:t>
            </w:r>
            <w:proofErr w:type="spellStart"/>
            <w:r w:rsidRPr="00293CD1">
              <w:rPr>
                <w:rFonts w:eastAsia="Calibri"/>
                <w:sz w:val="20"/>
                <w:lang w:val="fr-CA"/>
              </w:rPr>
              <w:t>Garand</w:t>
            </w:r>
            <w:proofErr w:type="spellEnd"/>
            <w:r w:rsidRPr="00293CD1">
              <w:rPr>
                <w:rFonts w:eastAsia="Calibri"/>
                <w:sz w:val="20"/>
                <w:lang w:val="fr-CA"/>
              </w:rPr>
              <w:t xml:space="preserve">. En appel, Monsieur </w:t>
            </w:r>
            <w:proofErr w:type="spellStart"/>
            <w:r w:rsidRPr="00293CD1">
              <w:rPr>
                <w:rFonts w:eastAsia="Calibri"/>
                <w:sz w:val="20"/>
                <w:lang w:val="fr-CA"/>
              </w:rPr>
              <w:t>Armeni</w:t>
            </w:r>
            <w:proofErr w:type="spellEnd"/>
            <w:r w:rsidRPr="00293CD1">
              <w:rPr>
                <w:rFonts w:eastAsia="Calibri"/>
                <w:sz w:val="20"/>
                <w:lang w:val="fr-CA"/>
              </w:rPr>
              <w:t xml:space="preserve"> soutient que le juge du procès aurait dû mentionner qu’une preuve indépendante et substantielle était nécessaire pour confirmer la version suspecte de Monsieur </w:t>
            </w:r>
            <w:proofErr w:type="spellStart"/>
            <w:r w:rsidRPr="00293CD1">
              <w:rPr>
                <w:rFonts w:eastAsia="Calibri"/>
                <w:sz w:val="20"/>
                <w:lang w:val="fr-CA"/>
              </w:rPr>
              <w:t>Garand</w:t>
            </w:r>
            <w:proofErr w:type="spellEnd"/>
            <w:r w:rsidRPr="00293CD1">
              <w:rPr>
                <w:rFonts w:eastAsia="Calibri"/>
                <w:sz w:val="20"/>
                <w:lang w:val="fr-CA"/>
              </w:rPr>
              <w:t xml:space="preserve">. De plus, Monsieur </w:t>
            </w:r>
            <w:proofErr w:type="spellStart"/>
            <w:r w:rsidRPr="00293CD1">
              <w:rPr>
                <w:rFonts w:eastAsia="Calibri"/>
                <w:sz w:val="20"/>
                <w:lang w:val="fr-CA"/>
              </w:rPr>
              <w:t>Armeni</w:t>
            </w:r>
            <w:proofErr w:type="spellEnd"/>
            <w:r w:rsidRPr="00293CD1">
              <w:rPr>
                <w:rFonts w:eastAsia="Calibri"/>
                <w:sz w:val="20"/>
                <w:lang w:val="fr-CA"/>
              </w:rPr>
              <w:t xml:space="preserve"> plaide que le juge aurait dû insister auprès du jury sur la faiblesse de la preuve d’identification donnée par Monsieur </w:t>
            </w:r>
            <w:proofErr w:type="spellStart"/>
            <w:r w:rsidRPr="00293CD1">
              <w:rPr>
                <w:rFonts w:eastAsia="Calibri"/>
                <w:sz w:val="20"/>
                <w:lang w:val="fr-CA"/>
              </w:rPr>
              <w:t>Garand</w:t>
            </w:r>
            <w:proofErr w:type="spellEnd"/>
            <w:r w:rsidRPr="00293CD1">
              <w:rPr>
                <w:rFonts w:eastAsia="Calibri"/>
                <w:sz w:val="20"/>
                <w:lang w:val="fr-CA"/>
              </w:rPr>
              <w:t xml:space="preserve">. Toutefois, après avoir analysé les directives au jury, la Cour d’appel rejette l’appel de Monsieur </w:t>
            </w:r>
            <w:proofErr w:type="spellStart"/>
            <w:r w:rsidRPr="00293CD1">
              <w:rPr>
                <w:rFonts w:eastAsia="Calibri"/>
                <w:sz w:val="20"/>
                <w:lang w:val="fr-CA"/>
              </w:rPr>
              <w:t>Armeni</w:t>
            </w:r>
            <w:proofErr w:type="spellEnd"/>
            <w:r w:rsidRPr="00293CD1">
              <w:rPr>
                <w:rFonts w:eastAsia="Calibri"/>
                <w:sz w:val="20"/>
                <w:lang w:val="fr-CA"/>
              </w:rPr>
              <w:t>.</w:t>
            </w:r>
          </w:p>
        </w:tc>
      </w:tr>
      <w:tr w:rsidR="00DE5192" w:rsidRPr="00251B16" w:rsidTr="002A6864">
        <w:tc>
          <w:tcPr>
            <w:tcW w:w="5000" w:type="pct"/>
            <w:gridSpan w:val="3"/>
          </w:tcPr>
          <w:p w:rsidR="00DE5192" w:rsidRPr="00293CD1" w:rsidRDefault="00DE5192" w:rsidP="002A6864">
            <w:pPr>
              <w:jc w:val="both"/>
              <w:rPr>
                <w:rFonts w:eastAsia="Calibri"/>
                <w:sz w:val="20"/>
                <w:lang w:val="fr-CA"/>
              </w:rPr>
            </w:pPr>
          </w:p>
        </w:tc>
      </w:tr>
      <w:tr w:rsidR="00DE5192" w:rsidRPr="00251B16" w:rsidTr="002A6864">
        <w:tblPrEx>
          <w:tblCellMar>
            <w:bottom w:w="0" w:type="dxa"/>
          </w:tblCellMar>
        </w:tblPrEx>
        <w:tc>
          <w:tcPr>
            <w:tcW w:w="2390" w:type="pct"/>
          </w:tcPr>
          <w:p w:rsidR="00DE5192" w:rsidRPr="00293CD1" w:rsidRDefault="00DE5192" w:rsidP="002A6864">
            <w:pPr>
              <w:jc w:val="both"/>
              <w:rPr>
                <w:rFonts w:eastAsia="Calibri"/>
                <w:sz w:val="20"/>
                <w:lang w:val="fr-CA"/>
              </w:rPr>
            </w:pPr>
            <w:r w:rsidRPr="00293CD1">
              <w:rPr>
                <w:rFonts w:eastAsia="Calibri"/>
                <w:sz w:val="20"/>
                <w:lang w:val="fr-CA"/>
              </w:rPr>
              <w:t>Le 6 octobre 2007</w:t>
            </w:r>
          </w:p>
          <w:p w:rsidR="00DE5192" w:rsidRPr="00293CD1" w:rsidRDefault="00DE5192" w:rsidP="002A6864">
            <w:pPr>
              <w:jc w:val="both"/>
              <w:rPr>
                <w:rFonts w:eastAsia="Calibri"/>
                <w:sz w:val="20"/>
                <w:lang w:val="fr-CA"/>
              </w:rPr>
            </w:pPr>
            <w:r w:rsidRPr="00293CD1">
              <w:rPr>
                <w:rFonts w:eastAsia="Calibri"/>
                <w:sz w:val="20"/>
                <w:lang w:val="fr-CA"/>
              </w:rPr>
              <w:t>Cour supérieure du Québec</w:t>
            </w:r>
          </w:p>
          <w:p w:rsidR="00DE5192" w:rsidRPr="00293CD1" w:rsidRDefault="00DE5192" w:rsidP="002A6864">
            <w:pPr>
              <w:jc w:val="both"/>
              <w:rPr>
                <w:rFonts w:eastAsia="Calibri"/>
                <w:sz w:val="20"/>
                <w:lang w:val="fr-CA"/>
              </w:rPr>
            </w:pPr>
            <w:r w:rsidRPr="00293CD1">
              <w:rPr>
                <w:rFonts w:eastAsia="Calibri"/>
                <w:sz w:val="20"/>
                <w:lang w:val="fr-CA"/>
              </w:rPr>
              <w:t>(le juge Wagner)</w:t>
            </w:r>
          </w:p>
          <w:p w:rsidR="00DE5192" w:rsidRPr="00293CD1" w:rsidRDefault="00DE5192" w:rsidP="002A6864">
            <w:pPr>
              <w:jc w:val="both"/>
              <w:rPr>
                <w:rFonts w:eastAsia="Calibri"/>
                <w:sz w:val="20"/>
                <w:lang w:val="fr-CA"/>
              </w:rPr>
            </w:pPr>
          </w:p>
        </w:tc>
        <w:tc>
          <w:tcPr>
            <w:tcW w:w="270" w:type="pct"/>
          </w:tcPr>
          <w:p w:rsidR="00DE5192" w:rsidRPr="00293CD1" w:rsidRDefault="00DE5192" w:rsidP="002A6864">
            <w:pPr>
              <w:jc w:val="both"/>
              <w:rPr>
                <w:rFonts w:eastAsia="Calibri"/>
                <w:sz w:val="20"/>
                <w:lang w:val="fr-CA"/>
              </w:rPr>
            </w:pPr>
          </w:p>
        </w:tc>
        <w:tc>
          <w:tcPr>
            <w:tcW w:w="2340" w:type="pct"/>
          </w:tcPr>
          <w:p w:rsidR="00DE5192" w:rsidRPr="00293CD1" w:rsidRDefault="00DE5192" w:rsidP="002A6864">
            <w:pPr>
              <w:jc w:val="both"/>
              <w:rPr>
                <w:rFonts w:eastAsia="Calibri"/>
                <w:sz w:val="20"/>
                <w:lang w:val="fr-CA"/>
              </w:rPr>
            </w:pPr>
            <w:r w:rsidRPr="00293CD1">
              <w:rPr>
                <w:rFonts w:eastAsia="Calibri"/>
                <w:sz w:val="20"/>
                <w:lang w:val="fr-CA"/>
              </w:rPr>
              <w:t>Déclaration de culpabilité pour des infractions de trafic de cocaïne, de possession de cocaïne dans le but d’en faire le trafic et de complot pour faire le trafic de cette drogue ainsi que condamnation à 19 ans d’emprisonnement</w:t>
            </w:r>
          </w:p>
          <w:p w:rsidR="00DE5192" w:rsidRPr="00293CD1" w:rsidRDefault="00DE5192" w:rsidP="002A6864">
            <w:pPr>
              <w:jc w:val="both"/>
              <w:rPr>
                <w:rFonts w:eastAsia="Calibri"/>
                <w:sz w:val="20"/>
                <w:lang w:val="fr-CA"/>
              </w:rPr>
            </w:pPr>
          </w:p>
        </w:tc>
      </w:tr>
      <w:tr w:rsidR="00DE5192" w:rsidRPr="00251B16" w:rsidTr="002A6864">
        <w:tblPrEx>
          <w:tblCellMar>
            <w:bottom w:w="0" w:type="dxa"/>
          </w:tblCellMar>
        </w:tblPrEx>
        <w:tc>
          <w:tcPr>
            <w:tcW w:w="2390" w:type="pct"/>
          </w:tcPr>
          <w:p w:rsidR="00DE5192" w:rsidRPr="00293CD1" w:rsidRDefault="00DE5192" w:rsidP="002A6864">
            <w:pPr>
              <w:jc w:val="both"/>
              <w:rPr>
                <w:rFonts w:eastAsia="Calibri"/>
                <w:sz w:val="20"/>
                <w:lang w:val="fr-CA"/>
              </w:rPr>
            </w:pPr>
            <w:r w:rsidRPr="00293CD1">
              <w:rPr>
                <w:rFonts w:eastAsia="Calibri"/>
                <w:sz w:val="20"/>
                <w:lang w:val="fr-CA"/>
              </w:rPr>
              <w:t>Le 24 août 2011</w:t>
            </w:r>
          </w:p>
          <w:p w:rsidR="00DE5192" w:rsidRPr="00293CD1" w:rsidRDefault="00DE5192" w:rsidP="002A6864">
            <w:pPr>
              <w:jc w:val="both"/>
              <w:rPr>
                <w:rFonts w:eastAsia="Calibri"/>
                <w:sz w:val="20"/>
                <w:lang w:val="fr-CA"/>
              </w:rPr>
            </w:pPr>
            <w:r w:rsidRPr="00293CD1">
              <w:rPr>
                <w:rFonts w:eastAsia="Calibri"/>
                <w:sz w:val="20"/>
                <w:lang w:val="fr-CA"/>
              </w:rPr>
              <w:t>Cour d’appel du Québec (Montréal)</w:t>
            </w:r>
          </w:p>
          <w:p w:rsidR="00DE5192" w:rsidRPr="00293CD1" w:rsidRDefault="00DE5192" w:rsidP="002A6864">
            <w:pPr>
              <w:jc w:val="both"/>
              <w:rPr>
                <w:rFonts w:eastAsia="Calibri"/>
                <w:sz w:val="20"/>
                <w:lang w:val="fr-CA"/>
              </w:rPr>
            </w:pPr>
            <w:r w:rsidRPr="00293CD1">
              <w:rPr>
                <w:rFonts w:eastAsia="Calibri"/>
                <w:sz w:val="20"/>
                <w:lang w:val="fr-CA"/>
              </w:rPr>
              <w:t xml:space="preserve">(Beauregard, </w:t>
            </w:r>
            <w:proofErr w:type="spellStart"/>
            <w:r w:rsidRPr="00293CD1">
              <w:rPr>
                <w:rFonts w:eastAsia="Calibri"/>
                <w:sz w:val="20"/>
                <w:lang w:val="fr-CA"/>
              </w:rPr>
              <w:t>Rochon</w:t>
            </w:r>
            <w:proofErr w:type="spellEnd"/>
            <w:r w:rsidRPr="00293CD1">
              <w:rPr>
                <w:rFonts w:eastAsia="Calibri"/>
                <w:sz w:val="20"/>
                <w:lang w:val="fr-CA"/>
              </w:rPr>
              <w:t xml:space="preserve"> et Gagnon J.C.A)</w:t>
            </w:r>
          </w:p>
          <w:p w:rsidR="00DE5192" w:rsidRPr="00293CD1" w:rsidRDefault="00DE5192" w:rsidP="002A6864">
            <w:pPr>
              <w:jc w:val="both"/>
              <w:rPr>
                <w:rFonts w:eastAsia="Calibri"/>
                <w:sz w:val="20"/>
                <w:lang w:val="fr-CA"/>
              </w:rPr>
            </w:pPr>
            <w:r w:rsidRPr="00293CD1">
              <w:rPr>
                <w:rFonts w:eastAsia="Calibri"/>
                <w:sz w:val="20"/>
                <w:lang w:val="fr-CA"/>
              </w:rPr>
              <w:t>2011 QCCA 1574</w:t>
            </w:r>
          </w:p>
          <w:p w:rsidR="00DE5192" w:rsidRPr="00293CD1" w:rsidRDefault="00DE5192" w:rsidP="002A6864">
            <w:pPr>
              <w:jc w:val="both"/>
              <w:rPr>
                <w:rFonts w:eastAsia="Calibri"/>
                <w:sz w:val="20"/>
                <w:lang w:val="fr-CA"/>
              </w:rPr>
            </w:pPr>
          </w:p>
        </w:tc>
        <w:tc>
          <w:tcPr>
            <w:tcW w:w="270" w:type="pct"/>
          </w:tcPr>
          <w:p w:rsidR="00DE5192" w:rsidRPr="00293CD1" w:rsidRDefault="00DE5192" w:rsidP="002A6864">
            <w:pPr>
              <w:jc w:val="both"/>
              <w:rPr>
                <w:rFonts w:eastAsia="Calibri"/>
                <w:sz w:val="20"/>
                <w:lang w:val="fr-CA"/>
              </w:rPr>
            </w:pPr>
          </w:p>
        </w:tc>
        <w:tc>
          <w:tcPr>
            <w:tcW w:w="2340" w:type="pct"/>
          </w:tcPr>
          <w:p w:rsidR="00DE5192" w:rsidRPr="00293CD1" w:rsidRDefault="00DE5192" w:rsidP="002A6864">
            <w:pPr>
              <w:jc w:val="both"/>
              <w:rPr>
                <w:rFonts w:eastAsia="Calibri"/>
                <w:sz w:val="20"/>
                <w:lang w:val="fr-CA"/>
              </w:rPr>
            </w:pPr>
            <w:r w:rsidRPr="00293CD1">
              <w:rPr>
                <w:rFonts w:eastAsia="Calibri"/>
                <w:sz w:val="20"/>
                <w:lang w:val="fr-CA"/>
              </w:rPr>
              <w:t>Appel et requête pour preuve nouvelle rejetés</w:t>
            </w:r>
          </w:p>
          <w:p w:rsidR="00DE5192" w:rsidRPr="00293CD1" w:rsidRDefault="00DE5192" w:rsidP="002A6864">
            <w:pPr>
              <w:jc w:val="both"/>
              <w:rPr>
                <w:rFonts w:eastAsia="Calibri"/>
                <w:sz w:val="20"/>
                <w:lang w:val="fr-CA"/>
              </w:rPr>
            </w:pPr>
          </w:p>
        </w:tc>
      </w:tr>
      <w:tr w:rsidR="00DE5192" w:rsidRPr="00293CD1" w:rsidTr="002A6864">
        <w:tblPrEx>
          <w:tblCellMar>
            <w:bottom w:w="0" w:type="dxa"/>
          </w:tblCellMar>
        </w:tblPrEx>
        <w:tc>
          <w:tcPr>
            <w:tcW w:w="2390" w:type="pct"/>
          </w:tcPr>
          <w:p w:rsidR="00DE5192" w:rsidRPr="00293CD1" w:rsidRDefault="00DE5192" w:rsidP="002A6864">
            <w:pPr>
              <w:jc w:val="both"/>
              <w:rPr>
                <w:rFonts w:eastAsia="Calibri"/>
                <w:sz w:val="20"/>
                <w:lang w:val="fr-CA"/>
              </w:rPr>
            </w:pPr>
            <w:r w:rsidRPr="00293CD1">
              <w:rPr>
                <w:rFonts w:eastAsia="Calibri"/>
                <w:sz w:val="20"/>
                <w:lang w:val="fr-CA"/>
              </w:rPr>
              <w:t>Le 21 octobre 2011</w:t>
            </w:r>
          </w:p>
          <w:p w:rsidR="00DE5192" w:rsidRPr="00293CD1" w:rsidRDefault="00DE5192" w:rsidP="00DE5192">
            <w:pPr>
              <w:jc w:val="both"/>
              <w:rPr>
                <w:rFonts w:eastAsia="Calibri"/>
                <w:sz w:val="20"/>
                <w:lang w:val="fr-CA"/>
              </w:rPr>
            </w:pPr>
            <w:r w:rsidRPr="00293CD1">
              <w:rPr>
                <w:rFonts w:eastAsia="Calibri"/>
                <w:sz w:val="20"/>
                <w:lang w:val="fr-CA"/>
              </w:rPr>
              <w:t>Cour suprême du Canada</w:t>
            </w:r>
          </w:p>
        </w:tc>
        <w:tc>
          <w:tcPr>
            <w:tcW w:w="270" w:type="pct"/>
          </w:tcPr>
          <w:p w:rsidR="00DE5192" w:rsidRPr="00293CD1" w:rsidRDefault="00DE5192" w:rsidP="002A6864">
            <w:pPr>
              <w:jc w:val="both"/>
              <w:rPr>
                <w:rFonts w:eastAsia="Calibri"/>
                <w:sz w:val="20"/>
                <w:lang w:val="fr-CA"/>
              </w:rPr>
            </w:pPr>
          </w:p>
        </w:tc>
        <w:tc>
          <w:tcPr>
            <w:tcW w:w="2340" w:type="pct"/>
          </w:tcPr>
          <w:p w:rsidR="00DE5192" w:rsidRPr="00293CD1" w:rsidRDefault="00DE5192" w:rsidP="002A6864">
            <w:pPr>
              <w:jc w:val="both"/>
              <w:rPr>
                <w:rFonts w:eastAsia="Calibri"/>
                <w:sz w:val="20"/>
                <w:lang w:val="fr-CA"/>
              </w:rPr>
            </w:pPr>
            <w:r w:rsidRPr="00293CD1">
              <w:rPr>
                <w:rFonts w:eastAsia="Calibri"/>
                <w:sz w:val="20"/>
                <w:lang w:val="fr-CA"/>
              </w:rPr>
              <w:t>Demande d’autorisation d’appel déposée</w:t>
            </w:r>
          </w:p>
          <w:p w:rsidR="00DE5192" w:rsidRPr="00293CD1" w:rsidRDefault="00DE5192" w:rsidP="002A6864">
            <w:pPr>
              <w:jc w:val="both"/>
              <w:rPr>
                <w:rFonts w:eastAsia="Calibri"/>
                <w:sz w:val="20"/>
                <w:lang w:val="fr-CA"/>
              </w:rPr>
            </w:pP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56" style="width:2in;height:1pt" o:hrpct="0" o:hralign="center" o:hrstd="t" o:hrnoshade="t" o:hr="t" fillcolor="black [3213]" stroked="f"/>
        </w:pict>
      </w:r>
    </w:p>
    <w:p w:rsidR="00F9104A" w:rsidRDefault="00F9104A" w:rsidP="00F9104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46DD6" w:rsidRPr="002B11E5" w:rsidTr="002A6864">
        <w:trPr>
          <w:cantSplit/>
        </w:trPr>
        <w:tc>
          <w:tcPr>
            <w:tcW w:w="1458" w:type="dxa"/>
          </w:tcPr>
          <w:p w:rsidR="00246DD6" w:rsidRPr="002B11E5" w:rsidRDefault="00246DD6" w:rsidP="002A6864">
            <w:pPr>
              <w:rPr>
                <w:sz w:val="20"/>
                <w:szCs w:val="20"/>
              </w:rPr>
            </w:pPr>
            <w:r w:rsidRPr="002B11E5">
              <w:rPr>
                <w:rStyle w:val="SCCFileNumberChar"/>
                <w:sz w:val="20"/>
                <w:szCs w:val="20"/>
              </w:rPr>
              <w:t>34525</w:t>
            </w:r>
          </w:p>
          <w:p w:rsidR="00246DD6" w:rsidRPr="002B11E5" w:rsidRDefault="00246DD6" w:rsidP="002A6864">
            <w:pPr>
              <w:rPr>
                <w:b/>
                <w:sz w:val="20"/>
                <w:szCs w:val="20"/>
                <w:lang w:val="fr-CA"/>
              </w:rPr>
            </w:pPr>
          </w:p>
        </w:tc>
        <w:tc>
          <w:tcPr>
            <w:tcW w:w="8118" w:type="dxa"/>
          </w:tcPr>
          <w:p w:rsidR="00246DD6" w:rsidRPr="002B11E5" w:rsidRDefault="00246DD6" w:rsidP="002A6864">
            <w:pPr>
              <w:rPr>
                <w:sz w:val="20"/>
                <w:szCs w:val="20"/>
              </w:rPr>
            </w:pPr>
            <w:r w:rsidRPr="00246DD6">
              <w:rPr>
                <w:rStyle w:val="SCCLsocChar"/>
                <w:sz w:val="20"/>
                <w:szCs w:val="20"/>
                <w:lang w:val="en-CA"/>
              </w:rPr>
              <w:t xml:space="preserve">Eric Claude </w:t>
            </w:r>
            <w:proofErr w:type="spellStart"/>
            <w:r w:rsidRPr="00246DD6">
              <w:rPr>
                <w:rStyle w:val="SCCLsocChar"/>
                <w:sz w:val="20"/>
                <w:szCs w:val="20"/>
                <w:lang w:val="en-CA"/>
              </w:rPr>
              <w:t>L'Espinay</w:t>
            </w:r>
            <w:proofErr w:type="spellEnd"/>
            <w:r w:rsidRPr="00246DD6">
              <w:rPr>
                <w:rStyle w:val="SCCLsocChar"/>
                <w:sz w:val="20"/>
                <w:szCs w:val="20"/>
                <w:lang w:val="en-CA"/>
              </w:rPr>
              <w:t xml:space="preserve"> v. Her Majesty the Queen</w:t>
            </w:r>
            <w:r w:rsidRPr="002B11E5">
              <w:rPr>
                <w:sz w:val="20"/>
                <w:szCs w:val="20"/>
              </w:rPr>
              <w:t xml:space="preserve"> (B.C.) (Criminal) (By Leave)</w:t>
            </w:r>
          </w:p>
          <w:p w:rsidR="00246DD6" w:rsidRPr="002B11E5" w:rsidRDefault="00246DD6" w:rsidP="002A6864">
            <w:pPr>
              <w:rPr>
                <w:sz w:val="20"/>
                <w:szCs w:val="20"/>
              </w:rPr>
            </w:pPr>
          </w:p>
        </w:tc>
      </w:tr>
      <w:tr w:rsidR="00246DD6" w:rsidRPr="002B11E5" w:rsidTr="002A6864">
        <w:trPr>
          <w:cantSplit/>
        </w:trPr>
        <w:tc>
          <w:tcPr>
            <w:tcW w:w="1458" w:type="dxa"/>
          </w:tcPr>
          <w:p w:rsidR="00246DD6" w:rsidRPr="002B11E5" w:rsidRDefault="00246DD6" w:rsidP="002A6864">
            <w:pPr>
              <w:rPr>
                <w:sz w:val="20"/>
                <w:szCs w:val="20"/>
              </w:rPr>
            </w:pPr>
            <w:r w:rsidRPr="002B11E5">
              <w:rPr>
                <w:sz w:val="20"/>
                <w:szCs w:val="20"/>
              </w:rPr>
              <w:t>Coram :</w:t>
            </w:r>
          </w:p>
        </w:tc>
        <w:tc>
          <w:tcPr>
            <w:tcW w:w="8118" w:type="dxa"/>
          </w:tcPr>
          <w:p w:rsidR="00246DD6" w:rsidRPr="002B11E5" w:rsidRDefault="00246DD6" w:rsidP="002A6864">
            <w:pPr>
              <w:rPr>
                <w:sz w:val="20"/>
                <w:szCs w:val="20"/>
              </w:rPr>
            </w:pPr>
            <w:proofErr w:type="spellStart"/>
            <w:r w:rsidRPr="00246DD6">
              <w:rPr>
                <w:rStyle w:val="SCCCoramChar"/>
                <w:sz w:val="20"/>
                <w:szCs w:val="20"/>
                <w:lang w:val="en-CA"/>
              </w:rPr>
              <w:t>Deschamps</w:t>
            </w:r>
            <w:proofErr w:type="spellEnd"/>
            <w:r w:rsidRPr="00246DD6">
              <w:rPr>
                <w:rStyle w:val="SCCCoramChar"/>
                <w:sz w:val="20"/>
                <w:szCs w:val="20"/>
                <w:lang w:val="en-CA"/>
              </w:rPr>
              <w:t xml:space="preserve">, Fish and </w:t>
            </w:r>
            <w:proofErr w:type="spellStart"/>
            <w:r w:rsidRPr="00246DD6">
              <w:rPr>
                <w:rStyle w:val="SCCCoramChar"/>
                <w:sz w:val="20"/>
                <w:szCs w:val="20"/>
                <w:lang w:val="en-CA"/>
              </w:rPr>
              <w:t>Karakatsanis</w:t>
            </w:r>
            <w:proofErr w:type="spellEnd"/>
            <w:r w:rsidRPr="00246DD6">
              <w:rPr>
                <w:rStyle w:val="SCCCoramChar"/>
                <w:sz w:val="20"/>
                <w:szCs w:val="20"/>
                <w:lang w:val="en-CA"/>
              </w:rPr>
              <w:t> JJ.</w:t>
            </w:r>
          </w:p>
          <w:p w:rsidR="00246DD6" w:rsidRPr="002B11E5" w:rsidRDefault="00246DD6" w:rsidP="002A6864">
            <w:pPr>
              <w:rPr>
                <w:sz w:val="20"/>
                <w:szCs w:val="20"/>
                <w:u w:val="single"/>
              </w:rPr>
            </w:pPr>
          </w:p>
        </w:tc>
      </w:tr>
      <w:tr w:rsidR="00246DD6" w:rsidRPr="00251B16" w:rsidTr="002A6864">
        <w:trPr>
          <w:cantSplit/>
        </w:trPr>
        <w:tc>
          <w:tcPr>
            <w:tcW w:w="9576" w:type="dxa"/>
            <w:gridSpan w:val="2"/>
          </w:tcPr>
          <w:p w:rsidR="00246DD6" w:rsidRPr="002B11E5" w:rsidRDefault="00246DD6" w:rsidP="002A6864">
            <w:pPr>
              <w:pStyle w:val="SCCShortJudgment"/>
              <w:rPr>
                <w:szCs w:val="20"/>
              </w:rPr>
            </w:pPr>
            <w:r w:rsidRPr="002B11E5">
              <w:rPr>
                <w:szCs w:val="20"/>
              </w:rPr>
              <w:t>The motion for an extension of time to serve and file the application for leave to appeal is granted. The application for leave to appeal from the judgment of the Court of Appeal for British Columbia (Vancouver), Number CA033817, dated November 2, 2009, is dismissed without costs.</w:t>
            </w:r>
          </w:p>
          <w:p w:rsidR="00246DD6" w:rsidRPr="002B11E5" w:rsidRDefault="00246DD6" w:rsidP="002A6864">
            <w:pPr>
              <w:pStyle w:val="SCCShortJudgment"/>
              <w:ind w:firstLine="0"/>
              <w:rPr>
                <w:szCs w:val="20"/>
              </w:rPr>
            </w:pPr>
          </w:p>
          <w:p w:rsidR="00246DD6" w:rsidRPr="002B11E5" w:rsidRDefault="00246DD6" w:rsidP="002A6864">
            <w:pPr>
              <w:pStyle w:val="SCCShortJudgment"/>
              <w:rPr>
                <w:szCs w:val="20"/>
                <w:lang w:val="fr-CA"/>
              </w:rPr>
            </w:pPr>
            <w:r w:rsidRPr="002B11E5">
              <w:rPr>
                <w:szCs w:val="20"/>
                <w:lang w:val="fr-CA"/>
              </w:rPr>
              <w:t>La requête en prorogation du délai de signification et de dépôt de la demande d’autorisation d’appel est accueillie. La demande d’autorisation d’appel de l’arrêt de la Cour d’appel de la Colombie-Britannique (Vancouver), numéro CA033817, daté du 2 novembre 2009, est rejetée sans dépens.</w:t>
            </w:r>
          </w:p>
        </w:tc>
      </w:tr>
    </w:tbl>
    <w:p w:rsidR="00F9104A" w:rsidRPr="00246DD6" w:rsidRDefault="00F9104A" w:rsidP="00F9104A">
      <w:pPr>
        <w:rPr>
          <w:sz w:val="20"/>
          <w:szCs w:val="20"/>
          <w:lang w:val="fr-CA"/>
        </w:rPr>
      </w:pPr>
    </w:p>
    <w:p w:rsidR="00F9104A" w:rsidRPr="001B157C" w:rsidRDefault="00F9104A" w:rsidP="00F9104A">
      <w:pPr>
        <w:rPr>
          <w:sz w:val="20"/>
          <w:szCs w:val="20"/>
          <w:u w:val="single"/>
        </w:rPr>
      </w:pPr>
      <w:r w:rsidRPr="001B157C">
        <w:rPr>
          <w:sz w:val="20"/>
          <w:szCs w:val="20"/>
          <w:u w:val="single"/>
        </w:rPr>
        <w:t>CASE SUMMARY</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F488C" w:rsidRPr="00293CD1" w:rsidTr="002A6864">
        <w:tc>
          <w:tcPr>
            <w:tcW w:w="5000" w:type="pct"/>
            <w:gridSpan w:val="3"/>
          </w:tcPr>
          <w:p w:rsidR="001F488C" w:rsidRPr="00293CD1" w:rsidRDefault="001F488C" w:rsidP="002A6864">
            <w:pPr>
              <w:jc w:val="both"/>
              <w:rPr>
                <w:rFonts w:eastAsia="Calibri"/>
                <w:sz w:val="20"/>
              </w:rPr>
            </w:pPr>
            <w:r w:rsidRPr="00293CD1">
              <w:rPr>
                <w:rFonts w:eastAsia="Calibri"/>
                <w:i/>
                <w:sz w:val="20"/>
              </w:rPr>
              <w:t>Charter</w:t>
            </w:r>
            <w:r w:rsidRPr="00293CD1">
              <w:rPr>
                <w:rFonts w:eastAsia="Calibri"/>
                <w:sz w:val="20"/>
              </w:rPr>
              <w:t xml:space="preserve"> — Criminal law — Procedural and equality rights — Appeals — At trial, accused sought order that court or Crown provide transcripts of proceedings — Whether </w:t>
            </w:r>
            <w:r w:rsidRPr="00293CD1">
              <w:rPr>
                <w:rFonts w:eastAsia="Calibri"/>
                <w:i/>
                <w:sz w:val="20"/>
              </w:rPr>
              <w:t>Criminal Code</w:t>
            </w:r>
            <w:r w:rsidRPr="00293CD1">
              <w:rPr>
                <w:rFonts w:eastAsia="Calibri"/>
                <w:sz w:val="20"/>
              </w:rPr>
              <w:t xml:space="preserve"> provides accused right to transcript during trial? — Whether failure to make transcript available for purpose of appeal infringes </w:t>
            </w:r>
            <w:proofErr w:type="spellStart"/>
            <w:r w:rsidRPr="00293CD1">
              <w:rPr>
                <w:rFonts w:eastAsia="Calibri"/>
                <w:sz w:val="20"/>
              </w:rPr>
              <w:t>accused’s</w:t>
            </w:r>
            <w:proofErr w:type="spellEnd"/>
            <w:r w:rsidRPr="00293CD1">
              <w:rPr>
                <w:rFonts w:eastAsia="Calibri"/>
                <w:sz w:val="20"/>
              </w:rPr>
              <w:t xml:space="preserve"> </w:t>
            </w:r>
            <w:r w:rsidRPr="00293CD1">
              <w:rPr>
                <w:rFonts w:eastAsia="Calibri"/>
                <w:i/>
                <w:sz w:val="20"/>
              </w:rPr>
              <w:t>Charter</w:t>
            </w:r>
            <w:r w:rsidRPr="00293CD1">
              <w:rPr>
                <w:rFonts w:eastAsia="Calibri"/>
                <w:sz w:val="20"/>
              </w:rPr>
              <w:t xml:space="preserve"> rights? — </w:t>
            </w:r>
            <w:r w:rsidRPr="00293CD1">
              <w:rPr>
                <w:rFonts w:eastAsia="Calibri"/>
                <w:i/>
                <w:sz w:val="20"/>
              </w:rPr>
              <w:t>Canadian Charter of Rights and Freedoms</w:t>
            </w:r>
            <w:r w:rsidRPr="00293CD1">
              <w:rPr>
                <w:rFonts w:eastAsia="Calibri"/>
                <w:sz w:val="20"/>
              </w:rPr>
              <w:t>, ss. 11(d) and 15.</w:t>
            </w:r>
          </w:p>
          <w:p w:rsidR="001F488C" w:rsidRPr="00293CD1" w:rsidRDefault="001F488C" w:rsidP="002A6864">
            <w:pPr>
              <w:jc w:val="both"/>
              <w:rPr>
                <w:rFonts w:eastAsia="Calibri"/>
                <w:sz w:val="20"/>
              </w:rPr>
            </w:pPr>
          </w:p>
        </w:tc>
      </w:tr>
      <w:tr w:rsidR="001F488C" w:rsidRPr="00293CD1" w:rsidTr="002A6864">
        <w:tc>
          <w:tcPr>
            <w:tcW w:w="5000" w:type="pct"/>
            <w:gridSpan w:val="3"/>
          </w:tcPr>
          <w:p w:rsidR="001F488C" w:rsidRPr="00293CD1" w:rsidRDefault="001F488C" w:rsidP="002A6864">
            <w:pPr>
              <w:jc w:val="both"/>
              <w:rPr>
                <w:rFonts w:eastAsia="Calibri"/>
                <w:sz w:val="20"/>
              </w:rPr>
            </w:pPr>
            <w:r w:rsidRPr="00293CD1">
              <w:rPr>
                <w:rFonts w:eastAsia="Calibri"/>
                <w:sz w:val="20"/>
              </w:rPr>
              <w:t xml:space="preserve">Mr. </w:t>
            </w:r>
            <w:proofErr w:type="spellStart"/>
            <w:r w:rsidRPr="00293CD1">
              <w:rPr>
                <w:rFonts w:eastAsia="Calibri"/>
                <w:sz w:val="20"/>
              </w:rPr>
              <w:t>L’Espinay</w:t>
            </w:r>
            <w:proofErr w:type="spellEnd"/>
            <w:r w:rsidRPr="00293CD1">
              <w:rPr>
                <w:rFonts w:eastAsia="Calibri"/>
                <w:sz w:val="20"/>
              </w:rPr>
              <w:t xml:space="preserve"> was charged with drug trafficking and possession of drugs for the purpose of trafficking. At trial, Mr. </w:t>
            </w:r>
            <w:proofErr w:type="spellStart"/>
            <w:r w:rsidRPr="00293CD1">
              <w:rPr>
                <w:rFonts w:eastAsia="Calibri"/>
                <w:sz w:val="20"/>
              </w:rPr>
              <w:t>L’Espinay</w:t>
            </w:r>
            <w:proofErr w:type="spellEnd"/>
            <w:r w:rsidRPr="00293CD1">
              <w:rPr>
                <w:rFonts w:eastAsia="Calibri"/>
                <w:sz w:val="20"/>
              </w:rPr>
              <w:t xml:space="preserve"> brought an application for an order that the court or Crown provide him transcripts of the proceedings. However, the trial judge held that the </w:t>
            </w:r>
            <w:r w:rsidRPr="00293CD1">
              <w:rPr>
                <w:rFonts w:eastAsia="Calibri"/>
                <w:i/>
                <w:sz w:val="20"/>
              </w:rPr>
              <w:t>Criminal Code</w:t>
            </w:r>
            <w:r w:rsidRPr="00293CD1">
              <w:rPr>
                <w:rFonts w:eastAsia="Calibri"/>
                <w:sz w:val="20"/>
              </w:rPr>
              <w:t xml:space="preserve"> did not give Mr. </w:t>
            </w:r>
            <w:proofErr w:type="spellStart"/>
            <w:r w:rsidRPr="00293CD1">
              <w:rPr>
                <w:rFonts w:eastAsia="Calibri"/>
                <w:sz w:val="20"/>
              </w:rPr>
              <w:t>L’Espinay</w:t>
            </w:r>
            <w:proofErr w:type="spellEnd"/>
            <w:r w:rsidRPr="00293CD1">
              <w:rPr>
                <w:rFonts w:eastAsia="Calibri"/>
                <w:sz w:val="20"/>
              </w:rPr>
              <w:t xml:space="preserve"> the right to a transcript during the trial. The trial judge further held that the failure to make a transcript available to Mr. </w:t>
            </w:r>
            <w:proofErr w:type="spellStart"/>
            <w:r w:rsidRPr="00293CD1">
              <w:rPr>
                <w:rFonts w:eastAsia="Calibri"/>
                <w:sz w:val="20"/>
              </w:rPr>
              <w:t>L’Espinay</w:t>
            </w:r>
            <w:proofErr w:type="spellEnd"/>
            <w:r w:rsidRPr="00293CD1">
              <w:rPr>
                <w:rFonts w:eastAsia="Calibri"/>
                <w:sz w:val="20"/>
              </w:rPr>
              <w:t xml:space="preserve"> for the purpose of an appeal did not infringe his </w:t>
            </w:r>
            <w:r w:rsidRPr="00293CD1">
              <w:rPr>
                <w:rFonts w:eastAsia="Calibri"/>
                <w:i/>
                <w:sz w:val="20"/>
              </w:rPr>
              <w:t xml:space="preserve">Charter </w:t>
            </w:r>
            <w:r w:rsidRPr="00293CD1">
              <w:rPr>
                <w:rFonts w:eastAsia="Calibri"/>
                <w:sz w:val="20"/>
              </w:rPr>
              <w:t xml:space="preserve">rights. Mr. </w:t>
            </w:r>
            <w:proofErr w:type="spellStart"/>
            <w:r w:rsidRPr="00293CD1">
              <w:rPr>
                <w:rFonts w:eastAsia="Calibri"/>
                <w:sz w:val="20"/>
              </w:rPr>
              <w:t>L’Espinay’s</w:t>
            </w:r>
            <w:proofErr w:type="spellEnd"/>
            <w:r w:rsidRPr="00293CD1">
              <w:rPr>
                <w:rFonts w:eastAsia="Calibri"/>
                <w:sz w:val="20"/>
              </w:rPr>
              <w:t xml:space="preserve"> appeal on the transcript issue was dismissed.</w:t>
            </w:r>
          </w:p>
        </w:tc>
      </w:tr>
      <w:tr w:rsidR="001F488C" w:rsidRPr="00293CD1" w:rsidTr="002A6864">
        <w:tc>
          <w:tcPr>
            <w:tcW w:w="5000" w:type="pct"/>
            <w:gridSpan w:val="3"/>
          </w:tcPr>
          <w:p w:rsidR="001F488C" w:rsidRPr="00293CD1" w:rsidRDefault="001F488C" w:rsidP="002A6864">
            <w:pPr>
              <w:jc w:val="both"/>
              <w:rPr>
                <w:rFonts w:eastAsia="Calibri"/>
                <w:sz w:val="20"/>
              </w:rPr>
            </w:pPr>
            <w:r w:rsidRPr="00293CD1">
              <w:rPr>
                <w:rFonts w:eastAsia="Calibri"/>
                <w:sz w:val="20"/>
              </w:rPr>
              <w:t xml:space="preserve"> </w:t>
            </w: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January 26, 2006</w:t>
            </w:r>
          </w:p>
          <w:p w:rsidR="001F488C" w:rsidRPr="00293CD1" w:rsidRDefault="001F488C" w:rsidP="002A6864">
            <w:pPr>
              <w:jc w:val="both"/>
              <w:rPr>
                <w:rFonts w:eastAsia="Calibri"/>
                <w:sz w:val="20"/>
              </w:rPr>
            </w:pPr>
            <w:r w:rsidRPr="00293CD1">
              <w:rPr>
                <w:rFonts w:eastAsia="Calibri"/>
                <w:sz w:val="20"/>
              </w:rPr>
              <w:t>Provincial Court of British Columbia</w:t>
            </w:r>
          </w:p>
          <w:p w:rsidR="001F488C" w:rsidRPr="00293CD1" w:rsidRDefault="001F488C" w:rsidP="002A6864">
            <w:pPr>
              <w:jc w:val="both"/>
              <w:rPr>
                <w:rFonts w:eastAsia="Calibri"/>
                <w:sz w:val="20"/>
              </w:rPr>
            </w:pPr>
            <w:r w:rsidRPr="00293CD1">
              <w:rPr>
                <w:rFonts w:eastAsia="Calibri"/>
                <w:sz w:val="20"/>
              </w:rPr>
              <w:t>(Dollis P.C.J.)</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proofErr w:type="spellStart"/>
            <w:r w:rsidRPr="00293CD1">
              <w:rPr>
                <w:rFonts w:eastAsia="Calibri"/>
                <w:sz w:val="20"/>
              </w:rPr>
              <w:t>Accused’s</w:t>
            </w:r>
            <w:proofErr w:type="spellEnd"/>
            <w:r w:rsidRPr="00293CD1">
              <w:rPr>
                <w:rFonts w:eastAsia="Calibri"/>
                <w:sz w:val="20"/>
              </w:rPr>
              <w:t xml:space="preserve"> application for order that Crown provide transcripts of trial proceedings dismissed</w:t>
            </w:r>
          </w:p>
          <w:p w:rsidR="001F488C" w:rsidRPr="00293CD1" w:rsidRDefault="001F488C" w:rsidP="002A6864">
            <w:pPr>
              <w:jc w:val="both"/>
              <w:rPr>
                <w:rFonts w:eastAsia="Calibri"/>
                <w:sz w:val="20"/>
              </w:rPr>
            </w:pP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January 18, 2008</w:t>
            </w:r>
          </w:p>
          <w:p w:rsidR="001F488C" w:rsidRPr="00293CD1" w:rsidRDefault="001F488C" w:rsidP="002A6864">
            <w:pPr>
              <w:jc w:val="both"/>
              <w:rPr>
                <w:rFonts w:eastAsia="Calibri"/>
                <w:sz w:val="20"/>
              </w:rPr>
            </w:pPr>
            <w:r w:rsidRPr="00293CD1">
              <w:rPr>
                <w:rFonts w:eastAsia="Calibri"/>
                <w:sz w:val="20"/>
              </w:rPr>
              <w:t>Court of Appeal for British Columbia (Vancouver)</w:t>
            </w:r>
          </w:p>
          <w:p w:rsidR="001F488C" w:rsidRPr="00293CD1" w:rsidRDefault="001F488C" w:rsidP="002A6864">
            <w:pPr>
              <w:jc w:val="both"/>
              <w:rPr>
                <w:rFonts w:eastAsia="Calibri"/>
                <w:sz w:val="20"/>
              </w:rPr>
            </w:pPr>
            <w:r w:rsidRPr="00293CD1">
              <w:rPr>
                <w:rFonts w:eastAsia="Calibri"/>
                <w:sz w:val="20"/>
              </w:rPr>
              <w:t xml:space="preserve">(Finch C.J.B.C., </w:t>
            </w:r>
            <w:proofErr w:type="spellStart"/>
            <w:r w:rsidRPr="00293CD1">
              <w:rPr>
                <w:rFonts w:eastAsia="Calibri"/>
                <w:sz w:val="20"/>
              </w:rPr>
              <w:t>Huddart</w:t>
            </w:r>
            <w:proofErr w:type="spellEnd"/>
            <w:r w:rsidRPr="00293CD1">
              <w:rPr>
                <w:rFonts w:eastAsia="Calibri"/>
                <w:sz w:val="20"/>
              </w:rPr>
              <w:t xml:space="preserve"> and </w:t>
            </w:r>
            <w:proofErr w:type="spellStart"/>
            <w:r w:rsidRPr="00293CD1">
              <w:rPr>
                <w:rFonts w:eastAsia="Calibri"/>
                <w:sz w:val="20"/>
              </w:rPr>
              <w:t>Chiasson</w:t>
            </w:r>
            <w:proofErr w:type="spellEnd"/>
            <w:r w:rsidRPr="00293CD1">
              <w:rPr>
                <w:rFonts w:eastAsia="Calibri"/>
                <w:sz w:val="20"/>
              </w:rPr>
              <w:t xml:space="preserve"> JJ.A.)</w:t>
            </w:r>
          </w:p>
          <w:p w:rsidR="001F488C" w:rsidRPr="00293CD1" w:rsidRDefault="001F488C" w:rsidP="002A6864">
            <w:pPr>
              <w:jc w:val="both"/>
              <w:rPr>
                <w:rFonts w:eastAsia="Calibri"/>
                <w:sz w:val="20"/>
              </w:rPr>
            </w:pPr>
            <w:r w:rsidRPr="00293CD1">
              <w:rPr>
                <w:rFonts w:eastAsia="Calibri"/>
                <w:sz w:val="20"/>
              </w:rPr>
              <w:t>2008 BCCA 20</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proofErr w:type="spellStart"/>
            <w:r w:rsidRPr="00293CD1">
              <w:rPr>
                <w:rFonts w:eastAsia="Calibri"/>
                <w:sz w:val="20"/>
              </w:rPr>
              <w:t>Accused’s</w:t>
            </w:r>
            <w:proofErr w:type="spellEnd"/>
            <w:r w:rsidRPr="00293CD1">
              <w:rPr>
                <w:rFonts w:eastAsia="Calibri"/>
                <w:sz w:val="20"/>
              </w:rPr>
              <w:t xml:space="preserve"> appeal from dismissal of application for order that Crown provide transcripts of trial proceedings dismissed</w:t>
            </w: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November 2, 2009</w:t>
            </w:r>
          </w:p>
          <w:p w:rsidR="001F488C" w:rsidRPr="00293CD1" w:rsidRDefault="001F488C" w:rsidP="002A6864">
            <w:pPr>
              <w:jc w:val="both"/>
              <w:rPr>
                <w:rFonts w:eastAsia="Calibri"/>
                <w:sz w:val="20"/>
              </w:rPr>
            </w:pPr>
            <w:r w:rsidRPr="00293CD1">
              <w:rPr>
                <w:rFonts w:eastAsia="Calibri"/>
                <w:sz w:val="20"/>
              </w:rPr>
              <w:t>Court of Appeal for British Columbia (Vancouver)</w:t>
            </w:r>
          </w:p>
          <w:p w:rsidR="001F488C" w:rsidRPr="00293CD1" w:rsidRDefault="001F488C" w:rsidP="002A6864">
            <w:pPr>
              <w:jc w:val="both"/>
              <w:rPr>
                <w:rFonts w:eastAsia="Calibri"/>
                <w:sz w:val="20"/>
              </w:rPr>
            </w:pPr>
            <w:r w:rsidRPr="00293CD1">
              <w:rPr>
                <w:rFonts w:eastAsia="Calibri"/>
                <w:sz w:val="20"/>
              </w:rPr>
              <w:t>(Ryan, Hall and Frankel JJ.A.)</w:t>
            </w:r>
          </w:p>
          <w:p w:rsidR="001F488C" w:rsidRPr="00293CD1" w:rsidRDefault="001F488C" w:rsidP="002A6864">
            <w:pPr>
              <w:jc w:val="both"/>
              <w:rPr>
                <w:rFonts w:eastAsia="Calibri"/>
                <w:sz w:val="20"/>
              </w:rPr>
            </w:pPr>
          </w:p>
        </w:tc>
        <w:tc>
          <w:tcPr>
            <w:tcW w:w="243" w:type="pct"/>
          </w:tcPr>
          <w:p w:rsidR="001F488C" w:rsidRPr="00140EBE" w:rsidRDefault="001F488C" w:rsidP="002A6864">
            <w:pPr>
              <w:jc w:val="both"/>
              <w:rPr>
                <w:rFonts w:eastAsia="Calibri"/>
                <w:sz w:val="20"/>
              </w:rPr>
            </w:pPr>
          </w:p>
        </w:tc>
        <w:tc>
          <w:tcPr>
            <w:tcW w:w="2330" w:type="pct"/>
          </w:tcPr>
          <w:p w:rsidR="001F488C" w:rsidRPr="00140EBE" w:rsidRDefault="001F488C" w:rsidP="002A6864">
            <w:pPr>
              <w:jc w:val="both"/>
              <w:rPr>
                <w:rFonts w:eastAsia="Calibri"/>
                <w:sz w:val="20"/>
              </w:rPr>
            </w:pPr>
            <w:r w:rsidRPr="00140EBE">
              <w:rPr>
                <w:rFonts w:eastAsia="Calibri"/>
                <w:sz w:val="20"/>
              </w:rPr>
              <w:t>Underlying appeal from conviction dismissed for want of prosecution</w:t>
            </w:r>
          </w:p>
          <w:p w:rsidR="001F488C" w:rsidRPr="00140EBE" w:rsidRDefault="001F488C" w:rsidP="002A6864">
            <w:pPr>
              <w:jc w:val="both"/>
              <w:rPr>
                <w:rFonts w:eastAsia="Calibri"/>
                <w:sz w:val="20"/>
              </w:rPr>
            </w:pP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May 25, 2011</w:t>
            </w:r>
          </w:p>
          <w:p w:rsidR="001F488C" w:rsidRPr="00293CD1" w:rsidRDefault="001F488C" w:rsidP="002A6864">
            <w:pPr>
              <w:jc w:val="both"/>
              <w:rPr>
                <w:rFonts w:eastAsia="Calibri"/>
                <w:sz w:val="20"/>
              </w:rPr>
            </w:pPr>
            <w:r w:rsidRPr="00293CD1">
              <w:rPr>
                <w:rFonts w:eastAsia="Calibri"/>
                <w:sz w:val="20"/>
              </w:rPr>
              <w:t>Supreme Court of Canada</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Application for leave to appeal filed</w:t>
            </w:r>
          </w:p>
          <w:p w:rsidR="001F488C" w:rsidRPr="00293CD1" w:rsidRDefault="001F488C" w:rsidP="002A6864">
            <w:pPr>
              <w:jc w:val="both"/>
              <w:rPr>
                <w:rFonts w:eastAsia="Calibri"/>
                <w:sz w:val="20"/>
              </w:rPr>
            </w:pP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September 21, 2011</w:t>
            </w:r>
          </w:p>
          <w:p w:rsidR="001F488C" w:rsidRPr="00293CD1" w:rsidRDefault="001F488C" w:rsidP="002A6864">
            <w:pPr>
              <w:jc w:val="both"/>
              <w:rPr>
                <w:rFonts w:eastAsia="Calibri"/>
                <w:sz w:val="20"/>
              </w:rPr>
            </w:pPr>
            <w:r w:rsidRPr="00293CD1">
              <w:rPr>
                <w:rFonts w:eastAsia="Calibri"/>
                <w:sz w:val="20"/>
              </w:rPr>
              <w:t>Supreme Court of Canada</w:t>
            </w: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r w:rsidRPr="00293CD1">
              <w:rPr>
                <w:rFonts w:eastAsia="Calibri"/>
                <w:sz w:val="20"/>
              </w:rPr>
              <w:t>Amended notice of application for leave to appeal and motion for an extension of time filed</w:t>
            </w:r>
          </w:p>
        </w:tc>
      </w:tr>
    </w:tbl>
    <w:p w:rsidR="00F9104A" w:rsidRDefault="00F9104A" w:rsidP="00F9104A">
      <w:pPr>
        <w:rPr>
          <w:sz w:val="20"/>
          <w:szCs w:val="20"/>
        </w:rPr>
      </w:pPr>
    </w:p>
    <w:p w:rsidR="00F9104A" w:rsidRDefault="00FD28BB" w:rsidP="00F9104A">
      <w:pPr>
        <w:rPr>
          <w:sz w:val="20"/>
          <w:szCs w:val="20"/>
        </w:rPr>
      </w:pPr>
      <w:r w:rsidRPr="00FD28BB">
        <w:rPr>
          <w:sz w:val="20"/>
          <w:szCs w:val="20"/>
          <w:lang w:val="fr-CA"/>
        </w:rPr>
        <w:pict>
          <v:rect id="_x0000_i1057" style="width:2in;height:1pt" o:hrpct="0" o:hralign="center" o:hrstd="t" o:hrnoshade="t" o:hr="t" fillcolor="black [3213]" stroked="f"/>
        </w:pict>
      </w:r>
    </w:p>
    <w:p w:rsidR="00F9104A" w:rsidRDefault="00F9104A" w:rsidP="00F9104A">
      <w:pPr>
        <w:rPr>
          <w:sz w:val="20"/>
          <w:szCs w:val="20"/>
        </w:rPr>
      </w:pPr>
    </w:p>
    <w:p w:rsidR="00341F91" w:rsidRDefault="00341F91">
      <w:pPr>
        <w:rPr>
          <w:sz w:val="20"/>
          <w:szCs w:val="20"/>
          <w:u w:val="single"/>
          <w:lang w:val="fr-CA"/>
        </w:rPr>
      </w:pPr>
      <w:r>
        <w:rPr>
          <w:sz w:val="20"/>
          <w:szCs w:val="20"/>
          <w:u w:val="single"/>
          <w:lang w:val="fr-CA"/>
        </w:rPr>
        <w:br w:type="page"/>
      </w:r>
    </w:p>
    <w:p w:rsidR="00F9104A" w:rsidRPr="001B157C" w:rsidRDefault="00F9104A" w:rsidP="00F9104A">
      <w:pPr>
        <w:rPr>
          <w:sz w:val="20"/>
          <w:szCs w:val="20"/>
          <w:u w:val="single"/>
          <w:lang w:val="fr-CA"/>
        </w:rPr>
      </w:pPr>
      <w:r w:rsidRPr="001B157C">
        <w:rPr>
          <w:sz w:val="20"/>
          <w:szCs w:val="20"/>
          <w:u w:val="single"/>
          <w:lang w:val="fr-CA"/>
        </w:rPr>
        <w:t>RÉSUMÉ DE L’AFFAIRE</w:t>
      </w:r>
    </w:p>
    <w:p w:rsidR="00F9104A" w:rsidRDefault="00F9104A" w:rsidP="00F9104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F488C" w:rsidRPr="00251B16" w:rsidTr="002A6864">
        <w:tc>
          <w:tcPr>
            <w:tcW w:w="5000" w:type="pct"/>
            <w:gridSpan w:val="3"/>
          </w:tcPr>
          <w:p w:rsidR="001F488C" w:rsidRPr="00293CD1" w:rsidRDefault="001F488C" w:rsidP="002A6864">
            <w:pPr>
              <w:jc w:val="both"/>
              <w:rPr>
                <w:rFonts w:eastAsia="Calibri"/>
                <w:sz w:val="20"/>
                <w:lang w:val="fr-FR"/>
              </w:rPr>
            </w:pPr>
            <w:r w:rsidRPr="00293CD1">
              <w:rPr>
                <w:rFonts w:eastAsia="Calibri"/>
                <w:i/>
                <w:sz w:val="20"/>
                <w:lang w:val="fr-FR"/>
              </w:rPr>
              <w:t>Charte</w:t>
            </w:r>
            <w:r w:rsidRPr="00293CD1">
              <w:rPr>
                <w:rFonts w:eastAsia="Calibri"/>
                <w:sz w:val="20"/>
                <w:lang w:val="fr-FR"/>
              </w:rPr>
              <w:t xml:space="preserve"> — Droit criminel — Droits procéduraux et droit à l’égalité — Appels — Au procès, l’accusé a sollicité une ordonnance prévoyant que le tribunal ou le ministère fournit la transcription de la procédure — Le </w:t>
            </w:r>
            <w:r w:rsidRPr="00293CD1">
              <w:rPr>
                <w:rFonts w:eastAsia="Calibri"/>
                <w:i/>
                <w:sz w:val="20"/>
                <w:lang w:val="fr-FR"/>
              </w:rPr>
              <w:t>Code criminel</w:t>
            </w:r>
            <w:r w:rsidRPr="00293CD1">
              <w:rPr>
                <w:rFonts w:eastAsia="Calibri"/>
                <w:sz w:val="20"/>
                <w:lang w:val="fr-FR"/>
              </w:rPr>
              <w:t xml:space="preserve"> confère-t-il à l’accusé le droit à la transcription au cours du procès? — L’omission de permettre la consultation de la transcription pour les besoins d’un appel porte-t-elle atteinte aux droits garantis par la </w:t>
            </w:r>
            <w:r w:rsidRPr="00293CD1">
              <w:rPr>
                <w:rFonts w:eastAsia="Calibri"/>
                <w:i/>
                <w:sz w:val="20"/>
                <w:lang w:val="fr-FR"/>
              </w:rPr>
              <w:t>Charte</w:t>
            </w:r>
            <w:r w:rsidRPr="00293CD1">
              <w:rPr>
                <w:rFonts w:eastAsia="Calibri"/>
                <w:sz w:val="20"/>
                <w:lang w:val="fr-FR"/>
              </w:rPr>
              <w:t xml:space="preserve"> à l’accusé? — </w:t>
            </w:r>
            <w:r w:rsidRPr="00293CD1">
              <w:rPr>
                <w:rFonts w:eastAsia="Calibri"/>
                <w:i/>
                <w:sz w:val="20"/>
                <w:lang w:val="fr-FR"/>
              </w:rPr>
              <w:t>Charte canadienne des droits et libertés</w:t>
            </w:r>
            <w:r w:rsidRPr="00293CD1">
              <w:rPr>
                <w:rFonts w:eastAsia="Calibri"/>
                <w:sz w:val="20"/>
                <w:lang w:val="fr-FR"/>
              </w:rPr>
              <w:t>, art. 11</w:t>
            </w:r>
            <w:r w:rsidRPr="00293CD1">
              <w:rPr>
                <w:rFonts w:eastAsia="Calibri"/>
                <w:i/>
                <w:sz w:val="20"/>
                <w:lang w:val="fr-FR"/>
              </w:rPr>
              <w:t>d</w:t>
            </w:r>
            <w:r w:rsidRPr="00293CD1">
              <w:rPr>
                <w:rFonts w:eastAsia="Calibri"/>
                <w:sz w:val="20"/>
                <w:lang w:val="fr-FR"/>
              </w:rPr>
              <w:t>) et 15.</w:t>
            </w:r>
          </w:p>
          <w:p w:rsidR="001F488C" w:rsidRPr="00293CD1" w:rsidRDefault="001F488C" w:rsidP="002A6864">
            <w:pPr>
              <w:jc w:val="both"/>
              <w:rPr>
                <w:rFonts w:eastAsia="Calibri"/>
                <w:sz w:val="20"/>
                <w:lang w:val="fr-FR"/>
              </w:rPr>
            </w:pPr>
          </w:p>
        </w:tc>
      </w:tr>
      <w:tr w:rsidR="001F488C" w:rsidRPr="00251B16" w:rsidTr="002A6864">
        <w:tc>
          <w:tcPr>
            <w:tcW w:w="5000" w:type="pct"/>
            <w:gridSpan w:val="3"/>
          </w:tcPr>
          <w:p w:rsidR="001F488C" w:rsidRPr="00293CD1" w:rsidRDefault="001F488C" w:rsidP="002A6864">
            <w:pPr>
              <w:jc w:val="both"/>
              <w:rPr>
                <w:rFonts w:eastAsia="Calibri"/>
                <w:sz w:val="20"/>
                <w:lang w:val="fr-CA"/>
              </w:rPr>
            </w:pPr>
            <w:r w:rsidRPr="00293CD1">
              <w:rPr>
                <w:rFonts w:eastAsia="Calibri"/>
                <w:sz w:val="20"/>
                <w:lang w:val="fr-FR"/>
              </w:rPr>
              <w:t>M. L’</w:t>
            </w:r>
            <w:proofErr w:type="spellStart"/>
            <w:r w:rsidRPr="00293CD1">
              <w:rPr>
                <w:rFonts w:eastAsia="Calibri"/>
                <w:sz w:val="20"/>
                <w:lang w:val="fr-FR"/>
              </w:rPr>
              <w:t>Espinay</w:t>
            </w:r>
            <w:proofErr w:type="spellEnd"/>
            <w:r w:rsidRPr="00293CD1">
              <w:rPr>
                <w:rFonts w:eastAsia="Calibri"/>
                <w:sz w:val="20"/>
                <w:lang w:val="fr-FR"/>
              </w:rPr>
              <w:t xml:space="preserve"> a été accusé de trafic de drogue et de possession de drogue en vue d’en faire le trafic.  Au procès, il a présenté une demande en vue d’obtenir une ordonnance prévoyant que le tribunal ou le ministère public lui fournit la transcription de la procédure.  Le juge du procès a toutefois conclu que le </w:t>
            </w:r>
            <w:r w:rsidRPr="00293CD1">
              <w:rPr>
                <w:rFonts w:eastAsia="Calibri"/>
                <w:i/>
                <w:sz w:val="20"/>
                <w:lang w:val="fr-FR"/>
              </w:rPr>
              <w:t>Code criminel</w:t>
            </w:r>
            <w:r w:rsidRPr="00293CD1">
              <w:rPr>
                <w:rFonts w:eastAsia="Calibri"/>
                <w:sz w:val="20"/>
                <w:lang w:val="fr-FR"/>
              </w:rPr>
              <w:t xml:space="preserve"> n’accordait pas à M. L’</w:t>
            </w:r>
            <w:proofErr w:type="spellStart"/>
            <w:r w:rsidRPr="00293CD1">
              <w:rPr>
                <w:rFonts w:eastAsia="Calibri"/>
                <w:sz w:val="20"/>
                <w:lang w:val="fr-FR"/>
              </w:rPr>
              <w:t>Espinay</w:t>
            </w:r>
            <w:proofErr w:type="spellEnd"/>
            <w:r w:rsidRPr="00293CD1">
              <w:rPr>
                <w:rFonts w:eastAsia="Calibri"/>
                <w:sz w:val="20"/>
                <w:lang w:val="fr-FR"/>
              </w:rPr>
              <w:t xml:space="preserve"> le droit à une transcription durant le procès.  Il a ajouté que l’omission de mettre une transcription à la disposition de M. L’</w:t>
            </w:r>
            <w:proofErr w:type="spellStart"/>
            <w:r w:rsidRPr="00293CD1">
              <w:rPr>
                <w:rFonts w:eastAsia="Calibri"/>
                <w:sz w:val="20"/>
                <w:lang w:val="fr-FR"/>
              </w:rPr>
              <w:t>Espinay</w:t>
            </w:r>
            <w:proofErr w:type="spellEnd"/>
            <w:r w:rsidRPr="00293CD1">
              <w:rPr>
                <w:rFonts w:eastAsia="Calibri"/>
                <w:sz w:val="20"/>
                <w:lang w:val="fr-FR"/>
              </w:rPr>
              <w:t xml:space="preserve"> pour les besoins d’un appel ne portait pas atteinte aux droits que lui garantit la </w:t>
            </w:r>
            <w:r w:rsidRPr="00293CD1">
              <w:rPr>
                <w:rFonts w:eastAsia="Calibri"/>
                <w:i/>
                <w:sz w:val="20"/>
                <w:lang w:val="fr-FR"/>
              </w:rPr>
              <w:t>Charte</w:t>
            </w:r>
            <w:r w:rsidRPr="00293CD1">
              <w:rPr>
                <w:rFonts w:eastAsia="Calibri"/>
                <w:sz w:val="20"/>
                <w:lang w:val="fr-FR"/>
              </w:rPr>
              <w:t>. L’appel de M. L’</w:t>
            </w:r>
            <w:proofErr w:type="spellStart"/>
            <w:r w:rsidRPr="00293CD1">
              <w:rPr>
                <w:rFonts w:eastAsia="Calibri"/>
                <w:sz w:val="20"/>
                <w:lang w:val="fr-FR"/>
              </w:rPr>
              <w:t>Espinay</w:t>
            </w:r>
            <w:proofErr w:type="spellEnd"/>
            <w:r w:rsidRPr="00293CD1">
              <w:rPr>
                <w:rFonts w:eastAsia="Calibri"/>
                <w:sz w:val="20"/>
                <w:lang w:val="fr-FR"/>
              </w:rPr>
              <w:t xml:space="preserve"> relatif à la transcription a été rejeté. </w:t>
            </w:r>
          </w:p>
        </w:tc>
      </w:tr>
      <w:tr w:rsidR="001F488C" w:rsidRPr="00251B16" w:rsidTr="002A6864">
        <w:tc>
          <w:tcPr>
            <w:tcW w:w="5000" w:type="pct"/>
            <w:gridSpan w:val="3"/>
          </w:tcPr>
          <w:p w:rsidR="001F488C" w:rsidRPr="00293CD1" w:rsidRDefault="001F488C" w:rsidP="002A6864">
            <w:pPr>
              <w:jc w:val="both"/>
              <w:rPr>
                <w:rFonts w:eastAsia="Calibri"/>
                <w:sz w:val="20"/>
                <w:lang w:val="fr-CA"/>
              </w:rPr>
            </w:pPr>
            <w:r w:rsidRPr="00293CD1">
              <w:rPr>
                <w:rFonts w:eastAsia="Calibri"/>
                <w:sz w:val="20"/>
                <w:lang w:val="fr-CA"/>
              </w:rPr>
              <w:t xml:space="preserve"> </w:t>
            </w:r>
          </w:p>
        </w:tc>
      </w:tr>
      <w:tr w:rsidR="001F488C" w:rsidRPr="00251B16" w:rsidTr="002A6864">
        <w:tc>
          <w:tcPr>
            <w:tcW w:w="2427" w:type="pct"/>
          </w:tcPr>
          <w:p w:rsidR="001F488C" w:rsidRPr="00293CD1" w:rsidRDefault="001F488C" w:rsidP="002A6864">
            <w:pPr>
              <w:jc w:val="both"/>
              <w:rPr>
                <w:rFonts w:eastAsia="Calibri"/>
                <w:sz w:val="20"/>
                <w:lang w:val="fr-FR"/>
              </w:rPr>
            </w:pPr>
            <w:r w:rsidRPr="00293CD1">
              <w:rPr>
                <w:rFonts w:eastAsia="Calibri"/>
                <w:sz w:val="20"/>
                <w:lang w:val="fr-FR"/>
              </w:rPr>
              <w:t>26 janvier 2006</w:t>
            </w:r>
          </w:p>
          <w:p w:rsidR="001F488C" w:rsidRPr="00293CD1" w:rsidRDefault="001F488C" w:rsidP="002A6864">
            <w:pPr>
              <w:jc w:val="both"/>
              <w:rPr>
                <w:rFonts w:eastAsia="Calibri"/>
                <w:sz w:val="20"/>
                <w:lang w:val="fr-FR"/>
              </w:rPr>
            </w:pPr>
            <w:r w:rsidRPr="00293CD1">
              <w:rPr>
                <w:rFonts w:eastAsia="Calibri"/>
                <w:sz w:val="20"/>
                <w:lang w:val="fr-FR"/>
              </w:rPr>
              <w:t>Cour provinciale de la Colombie-Britannique</w:t>
            </w:r>
          </w:p>
          <w:p w:rsidR="001F488C" w:rsidRPr="00293CD1" w:rsidRDefault="001F488C" w:rsidP="002A6864">
            <w:pPr>
              <w:jc w:val="both"/>
              <w:rPr>
                <w:rFonts w:eastAsia="Calibri"/>
                <w:sz w:val="20"/>
                <w:lang w:val="fr-FR"/>
              </w:rPr>
            </w:pPr>
            <w:r w:rsidRPr="00293CD1">
              <w:rPr>
                <w:rFonts w:eastAsia="Calibri"/>
                <w:sz w:val="20"/>
                <w:lang w:val="fr-FR"/>
              </w:rPr>
              <w:t xml:space="preserve">(Juge </w:t>
            </w:r>
            <w:proofErr w:type="spellStart"/>
            <w:r w:rsidRPr="00293CD1">
              <w:rPr>
                <w:rFonts w:eastAsia="Calibri"/>
                <w:sz w:val="20"/>
                <w:lang w:val="fr-FR"/>
              </w:rPr>
              <w:t>Dollis</w:t>
            </w:r>
            <w:proofErr w:type="spellEnd"/>
            <w:r w:rsidRPr="00293CD1">
              <w:rPr>
                <w:rFonts w:eastAsia="Calibri"/>
                <w:sz w:val="20"/>
                <w:lang w:val="fr-FR"/>
              </w:rPr>
              <w:t>)</w:t>
            </w:r>
          </w:p>
          <w:p w:rsidR="001F488C" w:rsidRPr="00293CD1" w:rsidRDefault="001F488C" w:rsidP="002A6864">
            <w:pPr>
              <w:jc w:val="both"/>
              <w:rPr>
                <w:rFonts w:eastAsia="Calibri"/>
                <w:sz w:val="20"/>
                <w:lang w:val="fr-FR"/>
              </w:rPr>
            </w:pPr>
          </w:p>
        </w:tc>
        <w:tc>
          <w:tcPr>
            <w:tcW w:w="243" w:type="pct"/>
          </w:tcPr>
          <w:p w:rsidR="001F488C" w:rsidRPr="00293CD1" w:rsidRDefault="001F488C" w:rsidP="002A6864">
            <w:pPr>
              <w:jc w:val="both"/>
              <w:rPr>
                <w:rFonts w:eastAsia="Calibri"/>
                <w:sz w:val="20"/>
                <w:lang w:val="fr-FR"/>
              </w:rPr>
            </w:pPr>
          </w:p>
        </w:tc>
        <w:tc>
          <w:tcPr>
            <w:tcW w:w="2330" w:type="pct"/>
          </w:tcPr>
          <w:p w:rsidR="001F488C" w:rsidRPr="00293CD1" w:rsidRDefault="001F488C" w:rsidP="002A6864">
            <w:pPr>
              <w:jc w:val="both"/>
              <w:rPr>
                <w:rFonts w:eastAsia="Calibri"/>
                <w:sz w:val="20"/>
                <w:lang w:val="fr-FR"/>
              </w:rPr>
            </w:pPr>
            <w:r w:rsidRPr="00293CD1">
              <w:rPr>
                <w:rFonts w:eastAsia="Calibri"/>
                <w:sz w:val="20"/>
                <w:lang w:val="fr-FR"/>
              </w:rPr>
              <w:t xml:space="preserve">Demande du demandeur en vue d’obtenir une ordonnance enjoignant au ministère public de fournir la transcription du procès rejetée </w:t>
            </w:r>
          </w:p>
          <w:p w:rsidR="001F488C" w:rsidRPr="00293CD1" w:rsidRDefault="001F488C" w:rsidP="002A6864">
            <w:pPr>
              <w:jc w:val="both"/>
              <w:rPr>
                <w:rFonts w:eastAsia="Calibri"/>
                <w:sz w:val="20"/>
                <w:lang w:val="fr-FR"/>
              </w:rPr>
            </w:pPr>
          </w:p>
        </w:tc>
      </w:tr>
      <w:tr w:rsidR="001F488C" w:rsidRPr="00251B16" w:rsidTr="002A6864">
        <w:tc>
          <w:tcPr>
            <w:tcW w:w="2427" w:type="pct"/>
          </w:tcPr>
          <w:p w:rsidR="001F488C" w:rsidRPr="00293CD1" w:rsidRDefault="001F488C" w:rsidP="002A6864">
            <w:pPr>
              <w:jc w:val="both"/>
              <w:rPr>
                <w:rFonts w:eastAsia="Calibri"/>
                <w:sz w:val="20"/>
                <w:lang w:val="fr-CA"/>
              </w:rPr>
            </w:pPr>
            <w:r w:rsidRPr="00293CD1">
              <w:rPr>
                <w:rFonts w:eastAsia="Calibri"/>
                <w:sz w:val="20"/>
                <w:lang w:val="fr-CA"/>
              </w:rPr>
              <w:t>18 janvier 2008</w:t>
            </w:r>
          </w:p>
          <w:p w:rsidR="001F488C" w:rsidRPr="00293CD1" w:rsidRDefault="001F488C" w:rsidP="002A6864">
            <w:pPr>
              <w:jc w:val="both"/>
              <w:rPr>
                <w:rFonts w:eastAsia="Calibri"/>
                <w:sz w:val="20"/>
                <w:lang w:val="fr-FR"/>
              </w:rPr>
            </w:pPr>
            <w:r w:rsidRPr="00293CD1">
              <w:rPr>
                <w:rFonts w:eastAsia="Calibri"/>
                <w:sz w:val="20"/>
                <w:lang w:val="fr-FR"/>
              </w:rPr>
              <w:t>Cour d’appel de la Colombie-Britannique (Vancouver)</w:t>
            </w:r>
          </w:p>
          <w:p w:rsidR="001F488C" w:rsidRPr="00293CD1" w:rsidRDefault="001F488C" w:rsidP="002A6864">
            <w:pPr>
              <w:jc w:val="both"/>
              <w:rPr>
                <w:rFonts w:eastAsia="Calibri"/>
                <w:sz w:val="20"/>
                <w:lang w:val="fr-FR"/>
              </w:rPr>
            </w:pPr>
            <w:r w:rsidRPr="00293CD1">
              <w:rPr>
                <w:rFonts w:eastAsia="Calibri"/>
                <w:sz w:val="20"/>
                <w:lang w:val="fr-FR"/>
              </w:rPr>
              <w:t xml:space="preserve">(Juge en chef </w:t>
            </w:r>
            <w:proofErr w:type="spellStart"/>
            <w:r w:rsidRPr="00293CD1">
              <w:rPr>
                <w:rFonts w:eastAsia="Calibri"/>
                <w:sz w:val="20"/>
                <w:lang w:val="fr-FR"/>
              </w:rPr>
              <w:t>Finch</w:t>
            </w:r>
            <w:proofErr w:type="spellEnd"/>
            <w:r w:rsidRPr="00293CD1">
              <w:rPr>
                <w:rFonts w:eastAsia="Calibri"/>
                <w:sz w:val="20"/>
                <w:lang w:val="fr-FR"/>
              </w:rPr>
              <w:t xml:space="preserve"> et juges </w:t>
            </w:r>
            <w:proofErr w:type="spellStart"/>
            <w:r w:rsidRPr="00293CD1">
              <w:rPr>
                <w:rFonts w:eastAsia="Calibri"/>
                <w:sz w:val="20"/>
                <w:lang w:val="fr-FR"/>
              </w:rPr>
              <w:t>Huddart</w:t>
            </w:r>
            <w:proofErr w:type="spellEnd"/>
            <w:r w:rsidRPr="00293CD1">
              <w:rPr>
                <w:rFonts w:eastAsia="Calibri"/>
                <w:sz w:val="20"/>
                <w:lang w:val="fr-FR"/>
              </w:rPr>
              <w:t xml:space="preserve"> et Chiasson)</w:t>
            </w:r>
          </w:p>
          <w:p w:rsidR="001F488C" w:rsidRPr="00293CD1" w:rsidRDefault="001F488C" w:rsidP="002A6864">
            <w:pPr>
              <w:jc w:val="both"/>
              <w:rPr>
                <w:rFonts w:eastAsia="Calibri"/>
                <w:sz w:val="20"/>
              </w:rPr>
            </w:pPr>
            <w:r w:rsidRPr="00293CD1">
              <w:rPr>
                <w:rFonts w:eastAsia="Calibri"/>
                <w:sz w:val="20"/>
              </w:rPr>
              <w:t>2008 BCCA 20</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lang w:val="fr-FR"/>
              </w:rPr>
            </w:pPr>
            <w:r w:rsidRPr="00293CD1">
              <w:rPr>
                <w:rFonts w:eastAsia="Calibri"/>
                <w:sz w:val="20"/>
                <w:lang w:val="fr-FR"/>
              </w:rPr>
              <w:t xml:space="preserve">Appel par l’accusé du rejet de la demande d’ordonnance enjoignant au ministère public de fournir la transcription du procès rejeté </w:t>
            </w:r>
          </w:p>
        </w:tc>
      </w:tr>
      <w:tr w:rsidR="001F488C" w:rsidRPr="00251B16" w:rsidTr="002A6864">
        <w:tc>
          <w:tcPr>
            <w:tcW w:w="2427" w:type="pct"/>
          </w:tcPr>
          <w:p w:rsidR="001F488C" w:rsidRPr="00293CD1" w:rsidRDefault="001F488C" w:rsidP="002A6864">
            <w:pPr>
              <w:jc w:val="both"/>
              <w:rPr>
                <w:rFonts w:eastAsia="Calibri"/>
                <w:sz w:val="20"/>
                <w:lang w:val="fr-FR"/>
              </w:rPr>
            </w:pPr>
            <w:r w:rsidRPr="00293CD1">
              <w:rPr>
                <w:rFonts w:eastAsia="Calibri"/>
                <w:sz w:val="20"/>
                <w:lang w:val="fr-FR"/>
              </w:rPr>
              <w:t>2 novembre 2009</w:t>
            </w:r>
          </w:p>
          <w:p w:rsidR="001F488C" w:rsidRPr="00293CD1" w:rsidRDefault="001F488C" w:rsidP="002A6864">
            <w:pPr>
              <w:jc w:val="both"/>
              <w:rPr>
                <w:rFonts w:eastAsia="Calibri"/>
                <w:sz w:val="20"/>
                <w:lang w:val="fr-FR"/>
              </w:rPr>
            </w:pPr>
            <w:r w:rsidRPr="00293CD1">
              <w:rPr>
                <w:rFonts w:eastAsia="Calibri"/>
                <w:sz w:val="20"/>
                <w:lang w:val="fr-FR"/>
              </w:rPr>
              <w:t>Cour d’appel de la Colombie-Britannique (Vancouver)</w:t>
            </w:r>
          </w:p>
          <w:p w:rsidR="001F488C" w:rsidRPr="00293CD1" w:rsidRDefault="001F488C" w:rsidP="002A6864">
            <w:pPr>
              <w:jc w:val="both"/>
              <w:rPr>
                <w:rFonts w:eastAsia="Calibri"/>
                <w:sz w:val="20"/>
              </w:rPr>
            </w:pPr>
            <w:r w:rsidRPr="00293CD1">
              <w:rPr>
                <w:rFonts w:eastAsia="Calibri"/>
                <w:sz w:val="20"/>
              </w:rPr>
              <w:t>(</w:t>
            </w:r>
            <w:proofErr w:type="spellStart"/>
            <w:r w:rsidRPr="00293CD1">
              <w:rPr>
                <w:rFonts w:eastAsia="Calibri"/>
                <w:sz w:val="20"/>
              </w:rPr>
              <w:t>Juges</w:t>
            </w:r>
            <w:proofErr w:type="spellEnd"/>
            <w:r w:rsidRPr="00293CD1">
              <w:rPr>
                <w:rFonts w:eastAsia="Calibri"/>
                <w:sz w:val="20"/>
              </w:rPr>
              <w:t xml:space="preserve"> Ryan, Hall et Frankel)</w:t>
            </w:r>
          </w:p>
          <w:p w:rsidR="001F488C" w:rsidRPr="00293CD1" w:rsidRDefault="001F488C" w:rsidP="002A6864">
            <w:pPr>
              <w:jc w:val="both"/>
              <w:rPr>
                <w:rFonts w:eastAsia="Calibri"/>
                <w:sz w:val="20"/>
              </w:rPr>
            </w:pPr>
          </w:p>
        </w:tc>
        <w:tc>
          <w:tcPr>
            <w:tcW w:w="243" w:type="pct"/>
          </w:tcPr>
          <w:p w:rsidR="001F488C" w:rsidRPr="00140EBE" w:rsidRDefault="001F488C" w:rsidP="002A6864">
            <w:pPr>
              <w:jc w:val="both"/>
              <w:rPr>
                <w:rFonts w:eastAsia="Calibri"/>
                <w:sz w:val="20"/>
              </w:rPr>
            </w:pPr>
          </w:p>
        </w:tc>
        <w:tc>
          <w:tcPr>
            <w:tcW w:w="2330" w:type="pct"/>
          </w:tcPr>
          <w:p w:rsidR="001F488C" w:rsidRPr="00140EBE" w:rsidRDefault="001F488C" w:rsidP="002A6864">
            <w:pPr>
              <w:jc w:val="both"/>
              <w:rPr>
                <w:rFonts w:eastAsia="Calibri"/>
                <w:sz w:val="20"/>
                <w:lang w:val="fr-FR"/>
              </w:rPr>
            </w:pPr>
            <w:r w:rsidRPr="00140EBE">
              <w:rPr>
                <w:rFonts w:eastAsia="Calibri"/>
                <w:sz w:val="20"/>
                <w:lang w:val="fr-FR"/>
              </w:rPr>
              <w:t xml:space="preserve">Appel sous-jacent de la déclaration de culpabilité rejeté pour défaut de poursuite </w:t>
            </w:r>
          </w:p>
          <w:p w:rsidR="001F488C" w:rsidRPr="00140EBE" w:rsidRDefault="001F488C" w:rsidP="002A6864">
            <w:pPr>
              <w:jc w:val="both"/>
              <w:rPr>
                <w:rFonts w:eastAsia="Calibri"/>
                <w:sz w:val="20"/>
                <w:lang w:val="fr-FR"/>
              </w:rPr>
            </w:pPr>
          </w:p>
        </w:tc>
      </w:tr>
      <w:tr w:rsidR="001F488C" w:rsidRPr="00293CD1" w:rsidTr="002A6864">
        <w:tc>
          <w:tcPr>
            <w:tcW w:w="2427" w:type="pct"/>
          </w:tcPr>
          <w:p w:rsidR="001F488C" w:rsidRPr="00293CD1" w:rsidRDefault="001F488C" w:rsidP="002A6864">
            <w:pPr>
              <w:jc w:val="both"/>
              <w:rPr>
                <w:rFonts w:eastAsia="Calibri"/>
                <w:sz w:val="20"/>
              </w:rPr>
            </w:pPr>
            <w:r w:rsidRPr="00293CD1">
              <w:rPr>
                <w:rFonts w:eastAsia="Calibri"/>
                <w:sz w:val="20"/>
              </w:rPr>
              <w:t xml:space="preserve">25 </w:t>
            </w:r>
            <w:proofErr w:type="spellStart"/>
            <w:r w:rsidRPr="00293CD1">
              <w:rPr>
                <w:rFonts w:eastAsia="Calibri"/>
                <w:sz w:val="20"/>
              </w:rPr>
              <w:t>mai</w:t>
            </w:r>
            <w:proofErr w:type="spellEnd"/>
            <w:r w:rsidRPr="00293CD1">
              <w:rPr>
                <w:rFonts w:eastAsia="Calibri"/>
                <w:sz w:val="20"/>
              </w:rPr>
              <w:t xml:space="preserve"> 2011</w:t>
            </w:r>
          </w:p>
          <w:p w:rsidR="001F488C" w:rsidRPr="00293CD1" w:rsidRDefault="001F488C" w:rsidP="002A6864">
            <w:pPr>
              <w:jc w:val="both"/>
              <w:rPr>
                <w:rFonts w:eastAsia="Calibri"/>
                <w:sz w:val="20"/>
              </w:rPr>
            </w:pPr>
            <w:proofErr w:type="spellStart"/>
            <w:r w:rsidRPr="00293CD1">
              <w:rPr>
                <w:rFonts w:eastAsia="Calibri"/>
                <w:sz w:val="20"/>
              </w:rPr>
              <w:t>Cour</w:t>
            </w:r>
            <w:proofErr w:type="spellEnd"/>
            <w:r w:rsidRPr="00293CD1">
              <w:rPr>
                <w:rFonts w:eastAsia="Calibri"/>
                <w:sz w:val="20"/>
              </w:rPr>
              <w:t xml:space="preserve"> </w:t>
            </w:r>
            <w:proofErr w:type="spellStart"/>
            <w:r w:rsidRPr="00293CD1">
              <w:rPr>
                <w:rFonts w:eastAsia="Calibri"/>
                <w:sz w:val="20"/>
              </w:rPr>
              <w:t>suprême</w:t>
            </w:r>
            <w:proofErr w:type="spellEnd"/>
            <w:r w:rsidRPr="00293CD1">
              <w:rPr>
                <w:rFonts w:eastAsia="Calibri"/>
                <w:sz w:val="20"/>
              </w:rPr>
              <w:t xml:space="preserve"> du Canada</w:t>
            </w:r>
          </w:p>
          <w:p w:rsidR="001F488C" w:rsidRPr="00293CD1" w:rsidRDefault="001F488C" w:rsidP="002A6864">
            <w:pPr>
              <w:jc w:val="both"/>
              <w:rPr>
                <w:rFonts w:eastAsia="Calibri"/>
                <w:sz w:val="20"/>
              </w:rPr>
            </w:pPr>
          </w:p>
        </w:tc>
        <w:tc>
          <w:tcPr>
            <w:tcW w:w="243" w:type="pct"/>
          </w:tcPr>
          <w:p w:rsidR="001F488C" w:rsidRPr="00293CD1" w:rsidRDefault="001F488C" w:rsidP="002A6864">
            <w:pPr>
              <w:jc w:val="both"/>
              <w:rPr>
                <w:rFonts w:eastAsia="Calibri"/>
                <w:sz w:val="20"/>
              </w:rPr>
            </w:pPr>
          </w:p>
        </w:tc>
        <w:tc>
          <w:tcPr>
            <w:tcW w:w="2330" w:type="pct"/>
          </w:tcPr>
          <w:p w:rsidR="001F488C" w:rsidRPr="00293CD1" w:rsidRDefault="001F488C" w:rsidP="002A6864">
            <w:pPr>
              <w:jc w:val="both"/>
              <w:rPr>
                <w:rFonts w:eastAsia="Calibri"/>
                <w:sz w:val="20"/>
              </w:rPr>
            </w:pPr>
            <w:proofErr w:type="spellStart"/>
            <w:r w:rsidRPr="00293CD1">
              <w:rPr>
                <w:rFonts w:eastAsia="Calibri"/>
                <w:sz w:val="20"/>
              </w:rPr>
              <w:t>Demande</w:t>
            </w:r>
            <w:proofErr w:type="spellEnd"/>
            <w:r w:rsidRPr="00293CD1">
              <w:rPr>
                <w:rFonts w:eastAsia="Calibri"/>
                <w:sz w:val="20"/>
              </w:rPr>
              <w:t xml:space="preserve"> </w:t>
            </w:r>
            <w:proofErr w:type="spellStart"/>
            <w:r w:rsidRPr="00293CD1">
              <w:rPr>
                <w:rFonts w:eastAsia="Calibri"/>
                <w:sz w:val="20"/>
              </w:rPr>
              <w:t>d’autorisation</w:t>
            </w:r>
            <w:proofErr w:type="spellEnd"/>
            <w:r w:rsidRPr="00293CD1">
              <w:rPr>
                <w:rFonts w:eastAsia="Calibri"/>
                <w:sz w:val="20"/>
              </w:rPr>
              <w:t xml:space="preserve"> </w:t>
            </w:r>
            <w:proofErr w:type="spellStart"/>
            <w:r w:rsidRPr="00293CD1">
              <w:rPr>
                <w:rFonts w:eastAsia="Calibri"/>
                <w:sz w:val="20"/>
              </w:rPr>
              <w:t>d’appel</w:t>
            </w:r>
            <w:proofErr w:type="spellEnd"/>
            <w:r w:rsidRPr="00293CD1">
              <w:rPr>
                <w:rFonts w:eastAsia="Calibri"/>
                <w:sz w:val="20"/>
              </w:rPr>
              <w:t xml:space="preserve"> </w:t>
            </w:r>
            <w:proofErr w:type="spellStart"/>
            <w:r w:rsidRPr="00293CD1">
              <w:rPr>
                <w:rFonts w:eastAsia="Calibri"/>
                <w:sz w:val="20"/>
              </w:rPr>
              <w:t>déposée</w:t>
            </w:r>
            <w:proofErr w:type="spellEnd"/>
            <w:r w:rsidRPr="00293CD1">
              <w:rPr>
                <w:rFonts w:eastAsia="Calibri"/>
                <w:sz w:val="20"/>
              </w:rPr>
              <w:t xml:space="preserve"> </w:t>
            </w:r>
          </w:p>
          <w:p w:rsidR="001F488C" w:rsidRPr="00293CD1" w:rsidRDefault="001F488C" w:rsidP="002A6864">
            <w:pPr>
              <w:jc w:val="both"/>
              <w:rPr>
                <w:rFonts w:eastAsia="Calibri"/>
                <w:sz w:val="20"/>
              </w:rPr>
            </w:pPr>
          </w:p>
        </w:tc>
      </w:tr>
      <w:tr w:rsidR="001F488C" w:rsidRPr="00251B16" w:rsidTr="002A6864">
        <w:tc>
          <w:tcPr>
            <w:tcW w:w="2427" w:type="pct"/>
          </w:tcPr>
          <w:p w:rsidR="001F488C" w:rsidRPr="00CA1C01" w:rsidRDefault="001F488C" w:rsidP="002A6864">
            <w:pPr>
              <w:jc w:val="both"/>
              <w:rPr>
                <w:rFonts w:eastAsia="Calibri"/>
                <w:sz w:val="20"/>
                <w:lang w:val="fr-CA"/>
              </w:rPr>
            </w:pPr>
            <w:r w:rsidRPr="00CA1C01">
              <w:rPr>
                <w:rFonts w:eastAsia="Calibri"/>
                <w:sz w:val="20"/>
                <w:lang w:val="fr-CA"/>
              </w:rPr>
              <w:t>21 septembre 2011</w:t>
            </w:r>
          </w:p>
          <w:p w:rsidR="001F488C" w:rsidRPr="00CA1C01" w:rsidRDefault="001F488C" w:rsidP="002A6864">
            <w:pPr>
              <w:jc w:val="both"/>
              <w:rPr>
                <w:rFonts w:eastAsia="Calibri"/>
                <w:sz w:val="20"/>
                <w:lang w:val="fr-CA"/>
              </w:rPr>
            </w:pPr>
            <w:r w:rsidRPr="00CA1C01">
              <w:rPr>
                <w:rFonts w:eastAsia="Calibri"/>
                <w:sz w:val="20"/>
                <w:lang w:val="fr-CA"/>
              </w:rPr>
              <w:t>Cour suprême du Canada</w:t>
            </w:r>
          </w:p>
        </w:tc>
        <w:tc>
          <w:tcPr>
            <w:tcW w:w="243" w:type="pct"/>
          </w:tcPr>
          <w:p w:rsidR="001F488C" w:rsidRPr="00CA1C01" w:rsidRDefault="001F488C" w:rsidP="002A6864">
            <w:pPr>
              <w:jc w:val="both"/>
              <w:rPr>
                <w:rFonts w:eastAsia="Calibri"/>
                <w:sz w:val="20"/>
                <w:lang w:val="fr-CA"/>
              </w:rPr>
            </w:pPr>
          </w:p>
        </w:tc>
        <w:tc>
          <w:tcPr>
            <w:tcW w:w="2330" w:type="pct"/>
          </w:tcPr>
          <w:p w:rsidR="001F488C" w:rsidRPr="00293CD1" w:rsidRDefault="001F488C" w:rsidP="002A6864">
            <w:pPr>
              <w:jc w:val="both"/>
              <w:rPr>
                <w:rFonts w:eastAsia="Calibri"/>
                <w:sz w:val="20"/>
                <w:lang w:val="fr-FR"/>
              </w:rPr>
            </w:pPr>
            <w:r w:rsidRPr="00293CD1">
              <w:rPr>
                <w:rFonts w:eastAsia="Calibri"/>
                <w:sz w:val="20"/>
                <w:lang w:val="fr-FR"/>
              </w:rPr>
              <w:t>Avis modifié de demande d’autorisation d’appel et requête en prorogation de délai déposés</w:t>
            </w:r>
          </w:p>
        </w:tc>
      </w:tr>
    </w:tbl>
    <w:p w:rsidR="00F9104A" w:rsidRPr="001F488C" w:rsidRDefault="00F9104A" w:rsidP="00F9104A">
      <w:pPr>
        <w:rPr>
          <w:sz w:val="20"/>
          <w:szCs w:val="20"/>
          <w:lang w:val="fr-CA"/>
        </w:rPr>
      </w:pPr>
    </w:p>
    <w:p w:rsidR="00F9104A" w:rsidRDefault="00FD28BB" w:rsidP="00F9104A">
      <w:pPr>
        <w:rPr>
          <w:sz w:val="20"/>
          <w:szCs w:val="20"/>
        </w:rPr>
      </w:pPr>
      <w:r w:rsidRPr="00FD28BB">
        <w:rPr>
          <w:sz w:val="20"/>
          <w:szCs w:val="20"/>
          <w:lang w:val="fr-CA"/>
        </w:rPr>
        <w:pict>
          <v:rect id="_x0000_i1058" style="width:2in;height:1pt" o:hrpct="0" o:hralign="center" o:hrstd="t" o:hrnoshade="t" o:hr="t" fillcolor="black [3213]" stroked="f"/>
        </w:pict>
      </w:r>
    </w:p>
    <w:p w:rsidR="00F9104A" w:rsidRDefault="00F9104A" w:rsidP="00F9104A">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F147E3" w:rsidRPr="001D6433" w:rsidRDefault="00F147E3" w:rsidP="00F147E3">
      <w:pPr>
        <w:tabs>
          <w:tab w:val="left" w:pos="-1440"/>
          <w:tab w:val="left" w:pos="-720"/>
        </w:tabs>
        <w:jc w:val="both"/>
        <w:rPr>
          <w:sz w:val="20"/>
          <w:szCs w:val="20"/>
          <w:lang w:val="fr-CA"/>
        </w:rPr>
      </w:pPr>
      <w:r w:rsidRPr="001D6433">
        <w:rPr>
          <w:sz w:val="20"/>
          <w:szCs w:val="20"/>
          <w:lang w:val="fr-CA"/>
        </w:rPr>
        <w:t>27.01.2012</w: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sz w:val="20"/>
          <w:szCs w:val="20"/>
          <w:lang w:val="fr-CA"/>
        </w:rPr>
      </w:pPr>
      <w:proofErr w:type="spellStart"/>
      <w:r w:rsidRPr="001D6433">
        <w:rPr>
          <w:sz w:val="20"/>
          <w:szCs w:val="20"/>
          <w:lang w:val="fr-CA"/>
        </w:rPr>
        <w:t>Before</w:t>
      </w:r>
      <w:proofErr w:type="spellEnd"/>
      <w:r w:rsidRPr="001D6433">
        <w:rPr>
          <w:sz w:val="20"/>
          <w:szCs w:val="20"/>
          <w:lang w:val="fr-CA"/>
        </w:rPr>
        <w:t xml:space="preserve"> / Devant :   THE CHIEF JUSTICE / LA JUGE EN CHEF</w:t>
      </w:r>
    </w:p>
    <w:p w:rsidR="00F147E3" w:rsidRPr="001D6433" w:rsidRDefault="00F147E3" w:rsidP="00F147E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147E3" w:rsidRPr="00251B16" w:rsidTr="0053579F">
        <w:tc>
          <w:tcPr>
            <w:tcW w:w="4338" w:type="dxa"/>
          </w:tcPr>
          <w:p w:rsidR="00F147E3" w:rsidRPr="001D6433" w:rsidRDefault="00FD28BB" w:rsidP="0053579F">
            <w:pPr>
              <w:tabs>
                <w:tab w:val="left" w:pos="-1440"/>
                <w:tab w:val="left" w:pos="-720"/>
              </w:tabs>
              <w:jc w:val="both"/>
              <w:rPr>
                <w:b/>
                <w:sz w:val="20"/>
                <w:szCs w:val="20"/>
              </w:rPr>
            </w:pPr>
            <w:r w:rsidRPr="001D6433">
              <w:rPr>
                <w:sz w:val="20"/>
                <w:szCs w:val="20"/>
              </w:rPr>
              <w:fldChar w:fldCharType="begin"/>
            </w:r>
            <w:r w:rsidR="00F147E3" w:rsidRPr="001D6433">
              <w:rPr>
                <w:sz w:val="20"/>
                <w:szCs w:val="20"/>
              </w:rPr>
              <w:instrText xml:space="preserve"> SEQ CHAPTER \h \r 1</w:instrText>
            </w:r>
            <w:r w:rsidRPr="001D6433">
              <w:rPr>
                <w:sz w:val="20"/>
                <w:szCs w:val="20"/>
              </w:rPr>
              <w:fldChar w:fldCharType="end"/>
            </w:r>
            <w:r w:rsidR="00F147E3" w:rsidRPr="001D6433">
              <w:rPr>
                <w:b/>
                <w:bCs/>
                <w:sz w:val="20"/>
                <w:szCs w:val="20"/>
              </w:rPr>
              <w:t xml:space="preserve">Motion to state constitutional questions and </w:t>
            </w:r>
            <w:r w:rsidRPr="001D6433">
              <w:rPr>
                <w:sz w:val="20"/>
                <w:szCs w:val="20"/>
              </w:rPr>
              <w:fldChar w:fldCharType="begin"/>
            </w:r>
            <w:r w:rsidR="00F147E3" w:rsidRPr="001D6433">
              <w:rPr>
                <w:sz w:val="20"/>
                <w:szCs w:val="20"/>
              </w:rPr>
              <w:instrText xml:space="preserve"> SEQ CHAPTER \h \r 1</w:instrText>
            </w:r>
            <w:r w:rsidRPr="001D6433">
              <w:rPr>
                <w:sz w:val="20"/>
                <w:szCs w:val="20"/>
              </w:rPr>
              <w:fldChar w:fldCharType="end"/>
            </w:r>
            <w:r w:rsidR="00F147E3" w:rsidRPr="001D6433">
              <w:rPr>
                <w:b/>
                <w:bCs/>
                <w:sz w:val="20"/>
                <w:szCs w:val="20"/>
              </w:rPr>
              <w:t>motion to expedite the appeal</w:t>
            </w:r>
          </w:p>
        </w:tc>
        <w:tc>
          <w:tcPr>
            <w:tcW w:w="1170" w:type="dxa"/>
          </w:tcPr>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tc>
        <w:tc>
          <w:tcPr>
            <w:tcW w:w="4327" w:type="dxa"/>
          </w:tcPr>
          <w:p w:rsidR="00F147E3" w:rsidRPr="001D6433" w:rsidRDefault="00FD28BB" w:rsidP="0053579F">
            <w:pPr>
              <w:tabs>
                <w:tab w:val="left" w:pos="-1440"/>
                <w:tab w:val="left" w:pos="-720"/>
              </w:tabs>
              <w:jc w:val="both"/>
              <w:rPr>
                <w:sz w:val="20"/>
                <w:szCs w:val="20"/>
                <w:lang w:val="fr-CA"/>
              </w:rPr>
            </w:pP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00F147E3" w:rsidRPr="001D6433">
              <w:rPr>
                <w:b/>
                <w:bCs/>
                <w:sz w:val="20"/>
                <w:szCs w:val="20"/>
                <w:lang w:val="fr-CA"/>
              </w:rPr>
              <w:t>Requête en formulation de questions constitutionnelles et r</w:t>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00F147E3" w:rsidRPr="001D6433">
              <w:rPr>
                <w:b/>
                <w:bCs/>
                <w:sz w:val="20"/>
                <w:szCs w:val="20"/>
                <w:lang w:val="fr-CA"/>
              </w:rPr>
              <w:t>equête visant à accélérer la procédure d’appel</w:t>
            </w:r>
            <w:r w:rsidR="00F147E3" w:rsidRPr="001D6433">
              <w:rPr>
                <w:sz w:val="20"/>
                <w:szCs w:val="20"/>
                <w:lang w:val="fr-CA"/>
              </w:rPr>
              <w:t xml:space="preserve"> </w:t>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p>
        </w:tc>
      </w:tr>
      <w:tr w:rsidR="00F147E3" w:rsidRPr="001D6433" w:rsidTr="0053579F">
        <w:tc>
          <w:tcPr>
            <w:tcW w:w="4338" w:type="dxa"/>
          </w:tcPr>
          <w:p w:rsidR="00F147E3" w:rsidRPr="001D6433" w:rsidRDefault="00F147E3" w:rsidP="0053579F">
            <w:pPr>
              <w:tabs>
                <w:tab w:val="left" w:pos="-1440"/>
                <w:tab w:val="left" w:pos="-720"/>
              </w:tabs>
              <w:jc w:val="both"/>
              <w:rPr>
                <w:sz w:val="20"/>
                <w:szCs w:val="20"/>
                <w:lang w:val="fr-CA"/>
              </w:rPr>
            </w:pPr>
            <w:r w:rsidRPr="001D6433">
              <w:rPr>
                <w:sz w:val="20"/>
                <w:szCs w:val="20"/>
                <w:lang w:val="fr-CA"/>
              </w:rPr>
              <w:t xml:space="preserve">Sun </w:t>
            </w:r>
            <w:proofErr w:type="spellStart"/>
            <w:r w:rsidRPr="001D6433">
              <w:rPr>
                <w:sz w:val="20"/>
                <w:szCs w:val="20"/>
                <w:lang w:val="fr-CA"/>
              </w:rPr>
              <w:t>Indalex</w:t>
            </w:r>
            <w:proofErr w:type="spellEnd"/>
            <w:r w:rsidRPr="001D6433">
              <w:rPr>
                <w:sz w:val="20"/>
                <w:szCs w:val="20"/>
                <w:lang w:val="fr-CA"/>
              </w:rPr>
              <w:t xml:space="preserve"> Finance, LLC et al. </w:t>
            </w:r>
          </w:p>
          <w:p w:rsidR="00F147E3" w:rsidRPr="001D6433" w:rsidRDefault="00F147E3" w:rsidP="0053579F">
            <w:pPr>
              <w:tabs>
                <w:tab w:val="left" w:pos="-1440"/>
                <w:tab w:val="left" w:pos="-720"/>
              </w:tabs>
              <w:jc w:val="both"/>
              <w:rPr>
                <w:sz w:val="20"/>
                <w:szCs w:val="20"/>
                <w:lang w:val="fr-CA"/>
              </w:rPr>
            </w:pPr>
          </w:p>
          <w:p w:rsidR="00F147E3" w:rsidRPr="001D6433" w:rsidRDefault="00F147E3" w:rsidP="0053579F">
            <w:pPr>
              <w:tabs>
                <w:tab w:val="left" w:pos="-1440"/>
                <w:tab w:val="left" w:pos="-720"/>
              </w:tabs>
              <w:jc w:val="both"/>
              <w:rPr>
                <w:sz w:val="20"/>
                <w:szCs w:val="20"/>
              </w:rPr>
            </w:pPr>
            <w:r w:rsidRPr="001D6433">
              <w:rPr>
                <w:sz w:val="20"/>
                <w:szCs w:val="20"/>
                <w:lang w:val="fr-CA"/>
              </w:rPr>
              <w:tab/>
            </w:r>
            <w:r w:rsidRPr="001D6433">
              <w:rPr>
                <w:sz w:val="20"/>
                <w:szCs w:val="20"/>
              </w:rPr>
              <w:t>v. (34308)</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United Steelworkers et al. (Ont.)</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 xml:space="preserve">- and between - </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 xml:space="preserve">George L. Miller, The Chapter 7 Trustee of the Bankruptcy Estates of the US </w:t>
            </w:r>
            <w:proofErr w:type="spellStart"/>
            <w:r w:rsidRPr="001D6433">
              <w:rPr>
                <w:sz w:val="20"/>
                <w:szCs w:val="20"/>
              </w:rPr>
              <w:t>Indalex</w:t>
            </w:r>
            <w:proofErr w:type="spellEnd"/>
            <w:r w:rsidRPr="001D6433">
              <w:rPr>
                <w:sz w:val="20"/>
                <w:szCs w:val="20"/>
              </w:rPr>
              <w:t xml:space="preserve"> Debtors</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ab/>
              <w:t>v. (34308)</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United Steelworkers et al. (Ont.)</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 xml:space="preserve">- and between - </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 xml:space="preserve">FTI Consulting Canada ULC, in its capacity as court-appointed monitor of </w:t>
            </w:r>
            <w:proofErr w:type="spellStart"/>
            <w:r w:rsidRPr="001D6433">
              <w:rPr>
                <w:sz w:val="20"/>
                <w:szCs w:val="20"/>
              </w:rPr>
              <w:t>Indalex</w:t>
            </w:r>
            <w:proofErr w:type="spellEnd"/>
            <w:r w:rsidRPr="001D6433">
              <w:rPr>
                <w:sz w:val="20"/>
                <w:szCs w:val="20"/>
              </w:rPr>
              <w:t xml:space="preserve"> Limited, on behalf of </w:t>
            </w:r>
            <w:proofErr w:type="spellStart"/>
            <w:r w:rsidRPr="001D6433">
              <w:rPr>
                <w:sz w:val="20"/>
                <w:szCs w:val="20"/>
              </w:rPr>
              <w:t>Indalex</w:t>
            </w:r>
            <w:proofErr w:type="spellEnd"/>
            <w:r w:rsidRPr="001D6433">
              <w:rPr>
                <w:sz w:val="20"/>
                <w:szCs w:val="20"/>
              </w:rPr>
              <w:t xml:space="preserve"> Limited</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lang w:val="fr-CA"/>
              </w:rPr>
            </w:pPr>
            <w:r w:rsidRPr="001D6433">
              <w:rPr>
                <w:sz w:val="20"/>
                <w:szCs w:val="20"/>
              </w:rPr>
              <w:tab/>
            </w:r>
            <w:r w:rsidRPr="001D6433">
              <w:rPr>
                <w:sz w:val="20"/>
                <w:szCs w:val="20"/>
                <w:lang w:val="fr-CA"/>
              </w:rPr>
              <w:t>v. (34308)</w:t>
            </w:r>
          </w:p>
          <w:p w:rsidR="00F147E3" w:rsidRPr="001D6433" w:rsidRDefault="00F147E3" w:rsidP="0053579F">
            <w:pPr>
              <w:tabs>
                <w:tab w:val="left" w:pos="-1440"/>
                <w:tab w:val="left" w:pos="-720"/>
              </w:tabs>
              <w:jc w:val="both"/>
              <w:rPr>
                <w:sz w:val="20"/>
                <w:szCs w:val="20"/>
                <w:lang w:val="fr-CA"/>
              </w:rPr>
            </w:pPr>
          </w:p>
          <w:p w:rsidR="00F147E3" w:rsidRPr="001D6433" w:rsidRDefault="00F147E3" w:rsidP="0053579F">
            <w:pPr>
              <w:tabs>
                <w:tab w:val="left" w:pos="-1440"/>
                <w:tab w:val="left" w:pos="-720"/>
              </w:tabs>
              <w:jc w:val="both"/>
              <w:rPr>
                <w:sz w:val="20"/>
                <w:szCs w:val="20"/>
                <w:lang w:val="fr-CA"/>
              </w:rPr>
            </w:pPr>
            <w:r w:rsidRPr="001D6433">
              <w:rPr>
                <w:sz w:val="20"/>
                <w:szCs w:val="20"/>
                <w:lang w:val="fr-CA"/>
              </w:rPr>
              <w:t xml:space="preserve">Keith </w:t>
            </w:r>
            <w:proofErr w:type="spellStart"/>
            <w:r w:rsidRPr="001D6433">
              <w:rPr>
                <w:sz w:val="20"/>
                <w:szCs w:val="20"/>
                <w:lang w:val="fr-CA"/>
              </w:rPr>
              <w:t>Carruthers</w:t>
            </w:r>
            <w:proofErr w:type="spellEnd"/>
            <w:r w:rsidRPr="001D6433">
              <w:rPr>
                <w:sz w:val="20"/>
                <w:szCs w:val="20"/>
                <w:lang w:val="fr-CA"/>
              </w:rPr>
              <w:t xml:space="preserve"> et al. (Ont.)</w:t>
            </w:r>
          </w:p>
          <w:p w:rsidR="00F147E3" w:rsidRPr="001D6433" w:rsidRDefault="00F147E3" w:rsidP="0053579F">
            <w:pPr>
              <w:tabs>
                <w:tab w:val="left" w:pos="-1440"/>
                <w:tab w:val="left" w:pos="-720"/>
              </w:tabs>
              <w:jc w:val="both"/>
              <w:rPr>
                <w:sz w:val="20"/>
                <w:szCs w:val="20"/>
                <w:lang w:val="fr-CA"/>
              </w:rPr>
            </w:pPr>
          </w:p>
          <w:p w:rsidR="00F147E3" w:rsidRPr="001D6433" w:rsidRDefault="00F147E3" w:rsidP="0053579F">
            <w:pPr>
              <w:tabs>
                <w:tab w:val="left" w:pos="-1440"/>
                <w:tab w:val="left" w:pos="-720"/>
              </w:tabs>
              <w:jc w:val="both"/>
              <w:rPr>
                <w:sz w:val="20"/>
                <w:szCs w:val="20"/>
              </w:rPr>
            </w:pPr>
            <w:r w:rsidRPr="001D6433">
              <w:rPr>
                <w:sz w:val="20"/>
                <w:szCs w:val="20"/>
              </w:rPr>
              <w:t xml:space="preserve">- and between - </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United Steelworkers</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ab/>
              <w:t>v. (34308)</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roofErr w:type="spellStart"/>
            <w:r w:rsidRPr="001D6433">
              <w:rPr>
                <w:sz w:val="20"/>
                <w:szCs w:val="20"/>
              </w:rPr>
              <w:t>Morneau</w:t>
            </w:r>
            <w:proofErr w:type="spellEnd"/>
            <w:r w:rsidRPr="001D6433">
              <w:rPr>
                <w:sz w:val="20"/>
                <w:szCs w:val="20"/>
              </w:rPr>
              <w:t xml:space="preserve"> </w:t>
            </w:r>
            <w:proofErr w:type="spellStart"/>
            <w:r w:rsidRPr="001D6433">
              <w:rPr>
                <w:sz w:val="20"/>
                <w:szCs w:val="20"/>
              </w:rPr>
              <w:t>Shepell</w:t>
            </w:r>
            <w:proofErr w:type="spellEnd"/>
            <w:r w:rsidRPr="001D6433">
              <w:rPr>
                <w:sz w:val="20"/>
                <w:szCs w:val="20"/>
              </w:rPr>
              <w:t xml:space="preserve"> Ltd. (formerly known as </w:t>
            </w:r>
            <w:proofErr w:type="spellStart"/>
            <w:r w:rsidRPr="001D6433">
              <w:rPr>
                <w:sz w:val="20"/>
                <w:szCs w:val="20"/>
              </w:rPr>
              <w:t>Morneau</w:t>
            </w:r>
            <w:proofErr w:type="spellEnd"/>
            <w:r w:rsidRPr="001D6433">
              <w:rPr>
                <w:sz w:val="20"/>
                <w:szCs w:val="20"/>
              </w:rPr>
              <w:t xml:space="preserve"> </w:t>
            </w:r>
            <w:proofErr w:type="spellStart"/>
            <w:r w:rsidRPr="001D6433">
              <w:rPr>
                <w:sz w:val="20"/>
                <w:szCs w:val="20"/>
              </w:rPr>
              <w:t>Sobeco</w:t>
            </w:r>
            <w:proofErr w:type="spellEnd"/>
            <w:r w:rsidRPr="001D6433">
              <w:rPr>
                <w:sz w:val="20"/>
                <w:szCs w:val="20"/>
              </w:rPr>
              <w:t xml:space="preserve"> Limited Partnership) et al. (Ont.)</w:t>
            </w:r>
          </w:p>
        </w:tc>
        <w:tc>
          <w:tcPr>
            <w:tcW w:w="1170" w:type="dxa"/>
          </w:tcPr>
          <w:p w:rsidR="00F147E3" w:rsidRPr="001D6433" w:rsidRDefault="00F147E3" w:rsidP="0053579F">
            <w:pPr>
              <w:tabs>
                <w:tab w:val="left" w:pos="-1440"/>
                <w:tab w:val="left" w:pos="-720"/>
              </w:tabs>
              <w:jc w:val="both"/>
              <w:rPr>
                <w:sz w:val="20"/>
                <w:szCs w:val="20"/>
              </w:rPr>
            </w:pPr>
          </w:p>
        </w:tc>
        <w:tc>
          <w:tcPr>
            <w:tcW w:w="4327" w:type="dxa"/>
          </w:tcPr>
          <w:p w:rsidR="00F147E3" w:rsidRPr="001D6433" w:rsidRDefault="00F147E3" w:rsidP="0053579F">
            <w:pPr>
              <w:tabs>
                <w:tab w:val="left" w:pos="-1440"/>
                <w:tab w:val="left" w:pos="-720"/>
              </w:tabs>
              <w:jc w:val="both"/>
              <w:rPr>
                <w:sz w:val="20"/>
                <w:szCs w:val="20"/>
              </w:rPr>
            </w:pPr>
          </w:p>
        </w:tc>
      </w:tr>
    </w:tbl>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rPr>
      </w:pPr>
      <w:r w:rsidRPr="001D6433">
        <w:rPr>
          <w:b/>
          <w:sz w:val="20"/>
          <w:szCs w:val="20"/>
        </w:rPr>
        <w:t>GRANTED / ACCORDÉE</w:t>
      </w:r>
    </w:p>
    <w:p w:rsidR="00F147E3" w:rsidRPr="001D6433" w:rsidRDefault="00F147E3" w:rsidP="00F147E3">
      <w:pPr>
        <w:tabs>
          <w:tab w:val="left" w:pos="-1440"/>
          <w:tab w:val="left" w:pos="-720"/>
        </w:tabs>
        <w:jc w:val="both"/>
        <w:rPr>
          <w:sz w:val="20"/>
          <w:szCs w:val="20"/>
        </w:rPr>
      </w:pPr>
    </w:p>
    <w:p w:rsidR="00F147E3" w:rsidRPr="001D6433" w:rsidRDefault="00F147E3" w:rsidP="00F147E3">
      <w:pPr>
        <w:spacing w:before="120"/>
        <w:jc w:val="both"/>
        <w:rPr>
          <w:sz w:val="20"/>
          <w:szCs w:val="20"/>
        </w:rPr>
      </w:pPr>
      <w:r w:rsidRPr="001D6433">
        <w:rPr>
          <w:b/>
          <w:bCs/>
          <w:sz w:val="20"/>
          <w:szCs w:val="20"/>
        </w:rPr>
        <w:t>UPON APPLICATION</w:t>
      </w:r>
      <w:r w:rsidRPr="001D6433">
        <w:rPr>
          <w:sz w:val="20"/>
          <w:szCs w:val="20"/>
        </w:rPr>
        <w:t xml:space="preserve"> by the appellant Sun </w:t>
      </w:r>
      <w:proofErr w:type="spellStart"/>
      <w:r w:rsidRPr="001D6433">
        <w:rPr>
          <w:sz w:val="20"/>
          <w:szCs w:val="20"/>
        </w:rPr>
        <w:t>Indalex</w:t>
      </w:r>
      <w:proofErr w:type="spellEnd"/>
      <w:r w:rsidRPr="001D6433">
        <w:rPr>
          <w:sz w:val="20"/>
          <w:szCs w:val="20"/>
        </w:rPr>
        <w:t xml:space="preserve"> Finance, LLC, for an order stating constitutional questions in the main appeal;</w:t>
      </w:r>
    </w:p>
    <w:p w:rsidR="00F147E3" w:rsidRPr="001D6433" w:rsidRDefault="00F147E3" w:rsidP="00F147E3">
      <w:pPr>
        <w:spacing w:before="240"/>
        <w:jc w:val="both"/>
        <w:rPr>
          <w:sz w:val="20"/>
          <w:szCs w:val="20"/>
        </w:rPr>
      </w:pPr>
      <w:r w:rsidRPr="001D6433">
        <w:rPr>
          <w:b/>
          <w:bCs/>
          <w:sz w:val="20"/>
          <w:szCs w:val="20"/>
        </w:rPr>
        <w:t>AND UPON APPLICATION</w:t>
      </w:r>
      <w:r w:rsidRPr="001D6433">
        <w:rPr>
          <w:sz w:val="20"/>
          <w:szCs w:val="20"/>
        </w:rPr>
        <w:t xml:space="preserve"> by the respondents Retirees Keith </w:t>
      </w:r>
      <w:proofErr w:type="spellStart"/>
      <w:r w:rsidRPr="001D6433">
        <w:rPr>
          <w:sz w:val="20"/>
          <w:szCs w:val="20"/>
        </w:rPr>
        <w:t>Carruthers</w:t>
      </w:r>
      <w:proofErr w:type="spellEnd"/>
      <w:r w:rsidRPr="001D6433">
        <w:rPr>
          <w:sz w:val="20"/>
          <w:szCs w:val="20"/>
        </w:rPr>
        <w:t>, et al., to expedite the motion to expedite and the main appeal;</w:t>
      </w:r>
    </w:p>
    <w:p w:rsidR="00F147E3" w:rsidRPr="001D6433" w:rsidRDefault="00F147E3" w:rsidP="00F147E3">
      <w:pPr>
        <w:jc w:val="both"/>
        <w:rPr>
          <w:sz w:val="20"/>
          <w:szCs w:val="20"/>
        </w:rPr>
      </w:pPr>
    </w:p>
    <w:p w:rsidR="00F147E3" w:rsidRPr="001D6433" w:rsidRDefault="00F147E3" w:rsidP="00F147E3">
      <w:pPr>
        <w:jc w:val="both"/>
        <w:rPr>
          <w:sz w:val="20"/>
          <w:szCs w:val="20"/>
        </w:rPr>
      </w:pPr>
      <w:r w:rsidRPr="001D6433">
        <w:rPr>
          <w:b/>
          <w:bCs/>
          <w:sz w:val="20"/>
          <w:szCs w:val="20"/>
        </w:rPr>
        <w:t>AND THE MATERIAL FILED</w:t>
      </w:r>
      <w:r w:rsidRPr="001D6433">
        <w:rPr>
          <w:sz w:val="20"/>
          <w:szCs w:val="20"/>
        </w:rPr>
        <w:t xml:space="preserve"> having been read;</w:t>
      </w:r>
    </w:p>
    <w:p w:rsidR="00F147E3" w:rsidRPr="001D6433" w:rsidRDefault="00F147E3" w:rsidP="00F147E3">
      <w:pPr>
        <w:jc w:val="both"/>
        <w:rPr>
          <w:sz w:val="20"/>
          <w:szCs w:val="20"/>
        </w:rPr>
      </w:pPr>
    </w:p>
    <w:p w:rsidR="00F147E3" w:rsidRDefault="00F147E3">
      <w:pPr>
        <w:rPr>
          <w:sz w:val="20"/>
          <w:szCs w:val="20"/>
        </w:rPr>
      </w:pPr>
      <w:r>
        <w:rPr>
          <w:sz w:val="20"/>
          <w:szCs w:val="20"/>
        </w:rPr>
        <w:br w:type="page"/>
      </w:r>
    </w:p>
    <w:p w:rsidR="00F147E3" w:rsidRPr="001D6433" w:rsidRDefault="00FD28BB" w:rsidP="00F147E3">
      <w:pPr>
        <w:jc w:val="both"/>
        <w:rPr>
          <w:sz w:val="20"/>
          <w:szCs w:val="20"/>
        </w:rPr>
      </w:pPr>
      <w:r w:rsidRPr="001D6433">
        <w:rPr>
          <w:sz w:val="20"/>
          <w:szCs w:val="20"/>
        </w:rPr>
        <w:fldChar w:fldCharType="begin"/>
      </w:r>
      <w:r w:rsidR="00F147E3" w:rsidRPr="001D6433">
        <w:rPr>
          <w:sz w:val="20"/>
          <w:szCs w:val="20"/>
        </w:rPr>
        <w:instrText xml:space="preserve"> SEQ CHAPTER \h \r 1</w:instrText>
      </w:r>
      <w:r w:rsidRPr="001D6433">
        <w:rPr>
          <w:sz w:val="20"/>
          <w:szCs w:val="20"/>
        </w:rPr>
        <w:fldChar w:fldCharType="end"/>
      </w:r>
      <w:r w:rsidR="00F147E3" w:rsidRPr="001D6433">
        <w:rPr>
          <w:b/>
          <w:bCs/>
          <w:sz w:val="20"/>
          <w:szCs w:val="20"/>
        </w:rPr>
        <w:t>IT IS HEREBY ORDERED THAT:</w:t>
      </w:r>
    </w:p>
    <w:p w:rsidR="00F147E3" w:rsidRPr="001D6433" w:rsidRDefault="00F147E3" w:rsidP="00F147E3">
      <w:pPr>
        <w:jc w:val="both"/>
        <w:rPr>
          <w:sz w:val="20"/>
          <w:szCs w:val="20"/>
        </w:rPr>
      </w:pPr>
    </w:p>
    <w:p w:rsidR="00F147E3" w:rsidRPr="001D6433" w:rsidRDefault="00F147E3" w:rsidP="00F147E3">
      <w:pPr>
        <w:jc w:val="both"/>
        <w:rPr>
          <w:sz w:val="20"/>
          <w:szCs w:val="20"/>
        </w:rPr>
      </w:pPr>
      <w:r w:rsidRPr="001D6433">
        <w:rPr>
          <w:sz w:val="20"/>
          <w:szCs w:val="20"/>
        </w:rPr>
        <w:t xml:space="preserve">1. The motion to state constitutional questions is dismissed with costs to the respondents on the main appeal. </w:t>
      </w:r>
    </w:p>
    <w:p w:rsidR="00F147E3" w:rsidRPr="001D6433" w:rsidRDefault="00F147E3" w:rsidP="00F147E3">
      <w:pPr>
        <w:jc w:val="both"/>
        <w:rPr>
          <w:sz w:val="20"/>
          <w:szCs w:val="20"/>
        </w:rPr>
      </w:pPr>
    </w:p>
    <w:p w:rsidR="00F147E3" w:rsidRPr="001D6433" w:rsidRDefault="00F147E3" w:rsidP="00F147E3">
      <w:pPr>
        <w:jc w:val="both"/>
        <w:rPr>
          <w:sz w:val="20"/>
          <w:szCs w:val="20"/>
        </w:rPr>
      </w:pPr>
      <w:r w:rsidRPr="001D6433">
        <w:rPr>
          <w:sz w:val="20"/>
          <w:szCs w:val="20"/>
        </w:rPr>
        <w:t>2. The motion to expedite is granted without costs and the schedule for serving and filing the material in both the main appeal and the appeal on costs is set as follows:</w:t>
      </w:r>
    </w:p>
    <w:p w:rsidR="00F147E3" w:rsidRPr="001D6433" w:rsidRDefault="00F147E3" w:rsidP="00F147E3">
      <w:pPr>
        <w:jc w:val="both"/>
        <w:rPr>
          <w:sz w:val="20"/>
          <w:szCs w:val="20"/>
        </w:rPr>
      </w:pPr>
    </w:p>
    <w:p w:rsidR="00F147E3" w:rsidRPr="001D6433" w:rsidRDefault="00F147E3" w:rsidP="00F147E3">
      <w:pPr>
        <w:pStyle w:val="ListParagraph"/>
        <w:numPr>
          <w:ilvl w:val="0"/>
          <w:numId w:val="3"/>
        </w:numPr>
        <w:autoSpaceDE w:val="0"/>
        <w:autoSpaceDN w:val="0"/>
        <w:adjustRightInd w:val="0"/>
        <w:jc w:val="both"/>
        <w:rPr>
          <w:rFonts w:cs="Times New Roman"/>
          <w:sz w:val="20"/>
          <w:szCs w:val="20"/>
        </w:rPr>
      </w:pPr>
      <w:r w:rsidRPr="001D6433">
        <w:rPr>
          <w:rFonts w:cs="Times New Roman"/>
          <w:sz w:val="20"/>
          <w:szCs w:val="20"/>
        </w:rPr>
        <w:t xml:space="preserve">The </w:t>
      </w:r>
      <w:proofErr w:type="spellStart"/>
      <w:r w:rsidRPr="001D6433">
        <w:rPr>
          <w:rFonts w:cs="Times New Roman"/>
          <w:sz w:val="20"/>
          <w:szCs w:val="20"/>
        </w:rPr>
        <w:t>facta</w:t>
      </w:r>
      <w:proofErr w:type="spellEnd"/>
      <w:r w:rsidRPr="001D6433">
        <w:rPr>
          <w:rFonts w:cs="Times New Roman"/>
          <w:sz w:val="20"/>
          <w:szCs w:val="20"/>
        </w:rPr>
        <w:t>, records and book of authorities of the appellants on the main appeal to be served and filed by February 10, 2012;</w:t>
      </w:r>
    </w:p>
    <w:p w:rsidR="00F147E3" w:rsidRPr="001D6433" w:rsidRDefault="00F147E3" w:rsidP="00F147E3">
      <w:pPr>
        <w:pStyle w:val="ListParagraph"/>
        <w:jc w:val="both"/>
        <w:rPr>
          <w:rFonts w:cs="Times New Roman"/>
          <w:sz w:val="20"/>
          <w:szCs w:val="20"/>
        </w:rPr>
      </w:pPr>
    </w:p>
    <w:p w:rsidR="00F147E3" w:rsidRPr="001D6433" w:rsidRDefault="00F147E3" w:rsidP="00F147E3">
      <w:pPr>
        <w:pStyle w:val="ListParagraph"/>
        <w:numPr>
          <w:ilvl w:val="0"/>
          <w:numId w:val="3"/>
        </w:numPr>
        <w:autoSpaceDE w:val="0"/>
        <w:autoSpaceDN w:val="0"/>
        <w:adjustRightInd w:val="0"/>
        <w:jc w:val="both"/>
        <w:rPr>
          <w:rFonts w:cs="Times New Roman"/>
          <w:sz w:val="20"/>
          <w:szCs w:val="20"/>
        </w:rPr>
      </w:pPr>
      <w:r w:rsidRPr="001D6433">
        <w:rPr>
          <w:rFonts w:cs="Times New Roman"/>
          <w:sz w:val="20"/>
          <w:szCs w:val="20"/>
        </w:rPr>
        <w:t xml:space="preserve">The </w:t>
      </w:r>
      <w:proofErr w:type="spellStart"/>
      <w:r w:rsidRPr="001D6433">
        <w:rPr>
          <w:rFonts w:cs="Times New Roman"/>
          <w:sz w:val="20"/>
          <w:szCs w:val="20"/>
        </w:rPr>
        <w:t>facta</w:t>
      </w:r>
      <w:proofErr w:type="spellEnd"/>
      <w:r w:rsidRPr="001D6433">
        <w:rPr>
          <w:rFonts w:cs="Times New Roman"/>
          <w:sz w:val="20"/>
          <w:szCs w:val="20"/>
        </w:rPr>
        <w:t>, records and book of authorities of the appellant on the appeal on costs to be served and filed by February 17, 2012;</w:t>
      </w:r>
    </w:p>
    <w:p w:rsidR="00F147E3" w:rsidRPr="001D6433" w:rsidRDefault="00F147E3" w:rsidP="00F147E3">
      <w:pPr>
        <w:pStyle w:val="ListParagraph"/>
        <w:jc w:val="both"/>
        <w:rPr>
          <w:rFonts w:cs="Times New Roman"/>
          <w:sz w:val="20"/>
          <w:szCs w:val="20"/>
        </w:rPr>
      </w:pPr>
    </w:p>
    <w:p w:rsidR="00F147E3" w:rsidRPr="001D6433" w:rsidRDefault="00F147E3" w:rsidP="00F147E3">
      <w:pPr>
        <w:pStyle w:val="ListParagraph"/>
        <w:numPr>
          <w:ilvl w:val="0"/>
          <w:numId w:val="3"/>
        </w:numPr>
        <w:autoSpaceDE w:val="0"/>
        <w:autoSpaceDN w:val="0"/>
        <w:adjustRightInd w:val="0"/>
        <w:jc w:val="both"/>
        <w:rPr>
          <w:rFonts w:cs="Times New Roman"/>
          <w:sz w:val="20"/>
          <w:szCs w:val="20"/>
        </w:rPr>
      </w:pPr>
      <w:r w:rsidRPr="001D6433">
        <w:rPr>
          <w:rFonts w:cs="Times New Roman"/>
          <w:sz w:val="20"/>
          <w:szCs w:val="20"/>
        </w:rPr>
        <w:t>Any application for leave to intervene to be served and filed by February 17, 2012;</w:t>
      </w:r>
    </w:p>
    <w:p w:rsidR="00F147E3" w:rsidRPr="001D6433" w:rsidRDefault="00F147E3" w:rsidP="00F147E3">
      <w:pPr>
        <w:pStyle w:val="ListParagraph"/>
        <w:jc w:val="both"/>
        <w:rPr>
          <w:rFonts w:cs="Times New Roman"/>
          <w:sz w:val="20"/>
          <w:szCs w:val="20"/>
        </w:rPr>
      </w:pPr>
    </w:p>
    <w:p w:rsidR="00F147E3" w:rsidRPr="001D6433" w:rsidRDefault="00F147E3" w:rsidP="00F147E3">
      <w:pPr>
        <w:pStyle w:val="ListParagraph"/>
        <w:numPr>
          <w:ilvl w:val="0"/>
          <w:numId w:val="3"/>
        </w:numPr>
        <w:autoSpaceDE w:val="0"/>
        <w:autoSpaceDN w:val="0"/>
        <w:adjustRightInd w:val="0"/>
        <w:jc w:val="both"/>
        <w:rPr>
          <w:rFonts w:cs="Times New Roman"/>
          <w:sz w:val="20"/>
          <w:szCs w:val="20"/>
        </w:rPr>
      </w:pPr>
      <w:r w:rsidRPr="001D6433">
        <w:rPr>
          <w:rFonts w:cs="Times New Roman"/>
          <w:sz w:val="20"/>
          <w:szCs w:val="20"/>
        </w:rPr>
        <w:t>The responses to any application for leave to intervene to be served and filed by February 27, 2012;</w:t>
      </w:r>
    </w:p>
    <w:p w:rsidR="00F147E3" w:rsidRPr="001D6433" w:rsidRDefault="00F147E3" w:rsidP="00F147E3">
      <w:pPr>
        <w:pStyle w:val="ListParagraph"/>
        <w:jc w:val="both"/>
        <w:rPr>
          <w:rFonts w:cs="Times New Roman"/>
          <w:sz w:val="20"/>
          <w:szCs w:val="20"/>
        </w:rPr>
      </w:pPr>
    </w:p>
    <w:p w:rsidR="00F147E3" w:rsidRPr="001D6433" w:rsidRDefault="00F147E3" w:rsidP="00F147E3">
      <w:pPr>
        <w:pStyle w:val="ListParagraph"/>
        <w:numPr>
          <w:ilvl w:val="0"/>
          <w:numId w:val="3"/>
        </w:numPr>
        <w:autoSpaceDE w:val="0"/>
        <w:autoSpaceDN w:val="0"/>
        <w:adjustRightInd w:val="0"/>
        <w:jc w:val="both"/>
        <w:rPr>
          <w:rFonts w:cs="Times New Roman"/>
          <w:sz w:val="20"/>
          <w:szCs w:val="20"/>
        </w:rPr>
      </w:pPr>
      <w:r w:rsidRPr="001D6433">
        <w:rPr>
          <w:rFonts w:cs="Times New Roman"/>
          <w:sz w:val="20"/>
          <w:szCs w:val="20"/>
        </w:rPr>
        <w:t>The replies on any application for leave to intervene to be served and filed by March 5, 2012;</w:t>
      </w:r>
    </w:p>
    <w:p w:rsidR="00F147E3" w:rsidRPr="001D6433" w:rsidRDefault="00F147E3" w:rsidP="00F147E3">
      <w:pPr>
        <w:pStyle w:val="ListParagraph"/>
        <w:jc w:val="both"/>
        <w:rPr>
          <w:rFonts w:cs="Times New Roman"/>
          <w:sz w:val="20"/>
          <w:szCs w:val="20"/>
        </w:rPr>
      </w:pPr>
    </w:p>
    <w:p w:rsidR="00F147E3" w:rsidRPr="001D6433" w:rsidRDefault="00F147E3" w:rsidP="00F147E3">
      <w:pPr>
        <w:pStyle w:val="ListParagraph"/>
        <w:numPr>
          <w:ilvl w:val="0"/>
          <w:numId w:val="3"/>
        </w:numPr>
        <w:autoSpaceDE w:val="0"/>
        <w:autoSpaceDN w:val="0"/>
        <w:adjustRightInd w:val="0"/>
        <w:jc w:val="both"/>
        <w:rPr>
          <w:rFonts w:cs="Times New Roman"/>
          <w:sz w:val="20"/>
          <w:szCs w:val="20"/>
        </w:rPr>
      </w:pPr>
      <w:r w:rsidRPr="001D6433">
        <w:rPr>
          <w:rFonts w:cs="Times New Roman"/>
          <w:sz w:val="20"/>
          <w:szCs w:val="20"/>
        </w:rPr>
        <w:t xml:space="preserve">The </w:t>
      </w:r>
      <w:proofErr w:type="spellStart"/>
      <w:r w:rsidRPr="001D6433">
        <w:rPr>
          <w:rFonts w:cs="Times New Roman"/>
          <w:sz w:val="20"/>
          <w:szCs w:val="20"/>
        </w:rPr>
        <w:t>facta</w:t>
      </w:r>
      <w:proofErr w:type="spellEnd"/>
      <w:r w:rsidRPr="001D6433">
        <w:rPr>
          <w:rFonts w:cs="Times New Roman"/>
          <w:sz w:val="20"/>
          <w:szCs w:val="20"/>
        </w:rPr>
        <w:t>, record and authorities of the respondents on both appeals to be served and filed by March 30, 2012;</w:t>
      </w:r>
    </w:p>
    <w:p w:rsidR="00F147E3" w:rsidRPr="001D6433" w:rsidRDefault="00F147E3" w:rsidP="00F147E3">
      <w:pPr>
        <w:pStyle w:val="ListParagraph"/>
        <w:jc w:val="both"/>
        <w:rPr>
          <w:rFonts w:cs="Times New Roman"/>
          <w:sz w:val="20"/>
          <w:szCs w:val="20"/>
        </w:rPr>
      </w:pPr>
    </w:p>
    <w:p w:rsidR="00F147E3" w:rsidRPr="001D6433" w:rsidRDefault="00F147E3" w:rsidP="00F147E3">
      <w:pPr>
        <w:pStyle w:val="ListParagraph"/>
        <w:numPr>
          <w:ilvl w:val="0"/>
          <w:numId w:val="3"/>
        </w:numPr>
        <w:autoSpaceDE w:val="0"/>
        <w:autoSpaceDN w:val="0"/>
        <w:adjustRightInd w:val="0"/>
        <w:jc w:val="both"/>
        <w:rPr>
          <w:rFonts w:cs="Times New Roman"/>
          <w:sz w:val="20"/>
          <w:szCs w:val="20"/>
        </w:rPr>
      </w:pPr>
      <w:r w:rsidRPr="001D6433">
        <w:rPr>
          <w:rFonts w:cs="Times New Roman"/>
          <w:sz w:val="20"/>
          <w:szCs w:val="20"/>
        </w:rPr>
        <w:t xml:space="preserve">The intervener’s factums to be served and filed in accordance with the date set in the order granting leave to intervene; and, </w:t>
      </w:r>
    </w:p>
    <w:p w:rsidR="00F147E3" w:rsidRPr="001D6433" w:rsidRDefault="00F147E3" w:rsidP="00F147E3">
      <w:pPr>
        <w:pStyle w:val="ListParagraph"/>
        <w:jc w:val="both"/>
        <w:rPr>
          <w:rFonts w:cs="Times New Roman"/>
          <w:sz w:val="20"/>
          <w:szCs w:val="20"/>
        </w:rPr>
      </w:pPr>
    </w:p>
    <w:p w:rsidR="00F147E3" w:rsidRPr="001D6433" w:rsidRDefault="00F147E3" w:rsidP="00F147E3">
      <w:pPr>
        <w:pStyle w:val="ListParagraph"/>
        <w:numPr>
          <w:ilvl w:val="0"/>
          <w:numId w:val="3"/>
        </w:numPr>
        <w:autoSpaceDE w:val="0"/>
        <w:autoSpaceDN w:val="0"/>
        <w:adjustRightInd w:val="0"/>
        <w:jc w:val="both"/>
        <w:rPr>
          <w:rFonts w:cs="Times New Roman"/>
          <w:sz w:val="20"/>
          <w:szCs w:val="20"/>
        </w:rPr>
      </w:pPr>
      <w:r w:rsidRPr="001D6433">
        <w:rPr>
          <w:rFonts w:cs="Times New Roman"/>
          <w:sz w:val="20"/>
          <w:szCs w:val="20"/>
        </w:rPr>
        <w:t>The appeal is to be heard on June 5, 2012.</w:t>
      </w:r>
    </w:p>
    <w:p w:rsidR="00F147E3" w:rsidRPr="001D6433" w:rsidRDefault="00F147E3" w:rsidP="00F147E3">
      <w:pPr>
        <w:pStyle w:val="ListParagraph"/>
        <w:jc w:val="both"/>
        <w:rPr>
          <w:rFonts w:cs="Times New Roman"/>
          <w:sz w:val="20"/>
          <w:szCs w:val="20"/>
        </w:rPr>
      </w:pPr>
    </w:p>
    <w:p w:rsidR="00F147E3" w:rsidRPr="001D6433" w:rsidRDefault="00F147E3" w:rsidP="00F147E3">
      <w:pPr>
        <w:jc w:val="both"/>
        <w:rPr>
          <w:sz w:val="20"/>
          <w:szCs w:val="20"/>
        </w:rPr>
      </w:pPr>
      <w:r w:rsidRPr="001D6433">
        <w:rPr>
          <w:sz w:val="20"/>
          <w:szCs w:val="20"/>
        </w:rPr>
        <w:t xml:space="preserve">3. </w:t>
      </w:r>
      <w:proofErr w:type="spellStart"/>
      <w:r w:rsidRPr="001D6433">
        <w:rPr>
          <w:sz w:val="20"/>
          <w:szCs w:val="20"/>
        </w:rPr>
        <w:t>Morneau</w:t>
      </w:r>
      <w:proofErr w:type="spellEnd"/>
      <w:r w:rsidRPr="001D6433">
        <w:rPr>
          <w:sz w:val="20"/>
          <w:szCs w:val="20"/>
        </w:rPr>
        <w:t xml:space="preserve"> </w:t>
      </w:r>
      <w:proofErr w:type="spellStart"/>
      <w:r w:rsidRPr="001D6433">
        <w:rPr>
          <w:sz w:val="20"/>
          <w:szCs w:val="20"/>
        </w:rPr>
        <w:t>Shepell</w:t>
      </w:r>
      <w:proofErr w:type="spellEnd"/>
      <w:r w:rsidRPr="001D6433">
        <w:rPr>
          <w:sz w:val="20"/>
          <w:szCs w:val="20"/>
        </w:rPr>
        <w:t xml:space="preserve"> Ltd. (formerly known as </w:t>
      </w:r>
      <w:proofErr w:type="spellStart"/>
      <w:r w:rsidRPr="001D6433">
        <w:rPr>
          <w:sz w:val="20"/>
          <w:szCs w:val="20"/>
        </w:rPr>
        <w:t>Morneau</w:t>
      </w:r>
      <w:proofErr w:type="spellEnd"/>
      <w:r w:rsidRPr="001D6433">
        <w:rPr>
          <w:sz w:val="20"/>
          <w:szCs w:val="20"/>
        </w:rPr>
        <w:t xml:space="preserve"> </w:t>
      </w:r>
      <w:proofErr w:type="spellStart"/>
      <w:r w:rsidRPr="001D6433">
        <w:rPr>
          <w:sz w:val="20"/>
          <w:szCs w:val="20"/>
        </w:rPr>
        <w:t>Sobeco</w:t>
      </w:r>
      <w:proofErr w:type="spellEnd"/>
      <w:r w:rsidRPr="001D6433">
        <w:rPr>
          <w:sz w:val="20"/>
          <w:szCs w:val="20"/>
        </w:rPr>
        <w:t xml:space="preserve"> Limited Partnership) is added as a full party in the main appeal.</w:t>
      </w:r>
    </w:p>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rPr>
      </w:pPr>
    </w:p>
    <w:p w:rsidR="00F147E3" w:rsidRPr="001D6433" w:rsidRDefault="00F147E3" w:rsidP="00F147E3">
      <w:pPr>
        <w:jc w:val="both"/>
        <w:rPr>
          <w:sz w:val="20"/>
          <w:szCs w:val="20"/>
          <w:lang w:val="fr-CA"/>
        </w:rPr>
      </w:pPr>
      <w:r w:rsidRPr="001D6433">
        <w:rPr>
          <w:b/>
          <w:bCs/>
          <w:sz w:val="20"/>
          <w:szCs w:val="20"/>
          <w:lang w:val="fr-CA"/>
        </w:rPr>
        <w:t xml:space="preserve">À LA SUITE DE LA DEMANDE </w:t>
      </w:r>
      <w:r w:rsidRPr="001D6433">
        <w:rPr>
          <w:bCs/>
          <w:sz w:val="20"/>
          <w:szCs w:val="20"/>
          <w:lang w:val="fr-CA"/>
        </w:rPr>
        <w:t xml:space="preserve">de formulation de questions constitutionnelles dans l’appel principal présentée par l’appelante </w:t>
      </w:r>
      <w:r w:rsidRPr="001D6433">
        <w:rPr>
          <w:sz w:val="20"/>
          <w:szCs w:val="20"/>
          <w:lang w:val="fr-CA"/>
        </w:rPr>
        <w:t xml:space="preserve">Sun </w:t>
      </w:r>
      <w:proofErr w:type="spellStart"/>
      <w:r w:rsidRPr="001D6433">
        <w:rPr>
          <w:sz w:val="20"/>
          <w:szCs w:val="20"/>
          <w:lang w:val="fr-CA"/>
        </w:rPr>
        <w:t>Indalex</w:t>
      </w:r>
      <w:proofErr w:type="spellEnd"/>
      <w:r w:rsidRPr="001D6433">
        <w:rPr>
          <w:sz w:val="20"/>
          <w:szCs w:val="20"/>
          <w:lang w:val="fr-CA"/>
        </w:rPr>
        <w:t xml:space="preserve"> Finance, LLC</w:t>
      </w:r>
      <w:proofErr w:type="gramStart"/>
      <w:r w:rsidRPr="001D6433">
        <w:rPr>
          <w:sz w:val="20"/>
          <w:szCs w:val="20"/>
          <w:lang w:val="fr-CA"/>
        </w:rPr>
        <w:t>,;</w:t>
      </w:r>
      <w:proofErr w:type="gramEnd"/>
    </w:p>
    <w:p w:rsidR="00F147E3" w:rsidRPr="001D6433" w:rsidRDefault="00F147E3" w:rsidP="00F147E3">
      <w:pPr>
        <w:spacing w:before="240"/>
        <w:jc w:val="both"/>
        <w:rPr>
          <w:sz w:val="20"/>
          <w:szCs w:val="20"/>
          <w:lang w:val="fr-CA"/>
        </w:rPr>
      </w:pPr>
      <w:r w:rsidRPr="001D6433">
        <w:rPr>
          <w:b/>
          <w:bCs/>
          <w:sz w:val="20"/>
          <w:szCs w:val="20"/>
          <w:lang w:val="fr-CA"/>
        </w:rPr>
        <w:t xml:space="preserve">ET À LA SUITE DE LA DEMANDE </w:t>
      </w:r>
      <w:r w:rsidRPr="001D6433">
        <w:rPr>
          <w:bCs/>
          <w:sz w:val="20"/>
          <w:szCs w:val="20"/>
          <w:lang w:val="fr-CA"/>
        </w:rPr>
        <w:t xml:space="preserve">de traitement accéléré de la demande de traitement accéléré et de l’appel principal présentée par les retraités intimés </w:t>
      </w:r>
      <w:r w:rsidRPr="001D6433">
        <w:rPr>
          <w:sz w:val="20"/>
          <w:szCs w:val="20"/>
          <w:lang w:val="fr-CA"/>
        </w:rPr>
        <w:t xml:space="preserve">Keith </w:t>
      </w:r>
      <w:proofErr w:type="spellStart"/>
      <w:r w:rsidRPr="001D6433">
        <w:rPr>
          <w:sz w:val="20"/>
          <w:szCs w:val="20"/>
          <w:lang w:val="fr-CA"/>
        </w:rPr>
        <w:t>Carruthers</w:t>
      </w:r>
      <w:proofErr w:type="spellEnd"/>
      <w:r w:rsidRPr="001D6433">
        <w:rPr>
          <w:sz w:val="20"/>
          <w:szCs w:val="20"/>
          <w:lang w:val="fr-CA"/>
        </w:rPr>
        <w:t xml:space="preserve"> et autres;</w:t>
      </w:r>
    </w:p>
    <w:p w:rsidR="00F147E3" w:rsidRPr="001D6433" w:rsidRDefault="00F147E3" w:rsidP="00F147E3">
      <w:pPr>
        <w:jc w:val="both"/>
        <w:rPr>
          <w:sz w:val="20"/>
          <w:szCs w:val="20"/>
          <w:lang w:val="fr-CA"/>
        </w:rPr>
      </w:pPr>
    </w:p>
    <w:p w:rsidR="00F147E3" w:rsidRPr="001D6433" w:rsidRDefault="00F147E3" w:rsidP="00F147E3">
      <w:pPr>
        <w:jc w:val="both"/>
        <w:rPr>
          <w:sz w:val="20"/>
          <w:szCs w:val="20"/>
          <w:lang w:val="fr-CA"/>
        </w:rPr>
      </w:pPr>
      <w:r w:rsidRPr="001D6433">
        <w:rPr>
          <w:b/>
          <w:bCs/>
          <w:sz w:val="20"/>
          <w:szCs w:val="20"/>
          <w:lang w:val="fr-CA"/>
        </w:rPr>
        <w:t xml:space="preserve">ET APRÈS EXAMEN </w:t>
      </w:r>
      <w:r w:rsidRPr="001D6433">
        <w:rPr>
          <w:bCs/>
          <w:sz w:val="20"/>
          <w:szCs w:val="20"/>
          <w:lang w:val="fr-CA"/>
        </w:rPr>
        <w:t xml:space="preserve">des documents déposés, </w:t>
      </w:r>
    </w:p>
    <w:p w:rsidR="00F147E3" w:rsidRPr="001D6433" w:rsidRDefault="00F147E3" w:rsidP="00F147E3">
      <w:pPr>
        <w:jc w:val="both"/>
        <w:rPr>
          <w:sz w:val="20"/>
          <w:szCs w:val="20"/>
          <w:lang w:val="fr-CA"/>
        </w:rPr>
      </w:pPr>
    </w:p>
    <w:p w:rsidR="00F147E3" w:rsidRPr="001D6433" w:rsidRDefault="00FD28BB" w:rsidP="00F147E3">
      <w:pPr>
        <w:jc w:val="both"/>
        <w:rPr>
          <w:sz w:val="20"/>
          <w:szCs w:val="20"/>
          <w:lang w:val="fr-CA"/>
        </w:rPr>
      </w:pP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00F147E3" w:rsidRPr="001D6433">
        <w:rPr>
          <w:b/>
          <w:bCs/>
          <w:sz w:val="20"/>
          <w:szCs w:val="20"/>
          <w:lang w:val="fr-CA"/>
        </w:rPr>
        <w:t>IL EST ORDONNÉ CE QUI SUIT :</w:t>
      </w:r>
    </w:p>
    <w:p w:rsidR="00F147E3" w:rsidRPr="001D6433" w:rsidRDefault="00F147E3" w:rsidP="00F147E3">
      <w:pPr>
        <w:jc w:val="both"/>
        <w:rPr>
          <w:sz w:val="20"/>
          <w:szCs w:val="20"/>
          <w:lang w:val="fr-CA"/>
        </w:rPr>
      </w:pPr>
    </w:p>
    <w:p w:rsidR="00F147E3" w:rsidRPr="001D6433" w:rsidRDefault="00F147E3" w:rsidP="00F147E3">
      <w:pPr>
        <w:jc w:val="both"/>
        <w:rPr>
          <w:sz w:val="20"/>
          <w:szCs w:val="20"/>
          <w:lang w:val="fr-CA"/>
        </w:rPr>
      </w:pPr>
      <w:r w:rsidRPr="001D6433">
        <w:rPr>
          <w:sz w:val="20"/>
          <w:szCs w:val="20"/>
          <w:lang w:val="fr-CA"/>
        </w:rPr>
        <w:t xml:space="preserve">1. La requête en formulation de questions constitutionnelles est rejetée avec dépens en faveur des intimés dans l’appel principal. </w:t>
      </w:r>
    </w:p>
    <w:p w:rsidR="00F147E3" w:rsidRPr="001D6433" w:rsidRDefault="00F147E3" w:rsidP="00F147E3">
      <w:pPr>
        <w:jc w:val="both"/>
        <w:rPr>
          <w:sz w:val="20"/>
          <w:szCs w:val="20"/>
          <w:lang w:val="fr-CA"/>
        </w:rPr>
      </w:pPr>
    </w:p>
    <w:p w:rsidR="00F147E3" w:rsidRPr="001D6433" w:rsidRDefault="00F147E3" w:rsidP="00F147E3">
      <w:pPr>
        <w:jc w:val="both"/>
        <w:rPr>
          <w:sz w:val="20"/>
          <w:szCs w:val="20"/>
          <w:lang w:val="fr-CA"/>
        </w:rPr>
      </w:pPr>
      <w:r w:rsidRPr="001D6433">
        <w:rPr>
          <w:sz w:val="20"/>
          <w:szCs w:val="20"/>
          <w:lang w:val="fr-CA"/>
        </w:rPr>
        <w:t>2. La requête visant le traitement accéléré est accueillie sans dépens et les délais fixés pour la signification et le dépôt des documents dans l’appel principal et dans l’appel sur les dépens sont les suivants :</w:t>
      </w:r>
    </w:p>
    <w:p w:rsidR="00F147E3" w:rsidRPr="001D6433" w:rsidRDefault="00F147E3" w:rsidP="00F147E3">
      <w:pPr>
        <w:jc w:val="both"/>
        <w:rPr>
          <w:sz w:val="20"/>
          <w:szCs w:val="20"/>
          <w:lang w:val="fr-CA"/>
        </w:rPr>
      </w:pPr>
    </w:p>
    <w:p w:rsidR="00F147E3" w:rsidRPr="001D6433" w:rsidRDefault="00F147E3" w:rsidP="00F147E3">
      <w:pPr>
        <w:pStyle w:val="ListParagraph"/>
        <w:numPr>
          <w:ilvl w:val="0"/>
          <w:numId w:val="4"/>
        </w:numPr>
        <w:autoSpaceDE w:val="0"/>
        <w:autoSpaceDN w:val="0"/>
        <w:adjustRightInd w:val="0"/>
        <w:jc w:val="both"/>
        <w:rPr>
          <w:rFonts w:cs="Times New Roman"/>
          <w:sz w:val="20"/>
          <w:szCs w:val="20"/>
          <w:lang w:val="fr-CA"/>
        </w:rPr>
      </w:pPr>
      <w:r w:rsidRPr="001D6433">
        <w:rPr>
          <w:rFonts w:cs="Times New Roman"/>
          <w:sz w:val="20"/>
          <w:szCs w:val="20"/>
          <w:lang w:val="fr-CA"/>
        </w:rPr>
        <w:t xml:space="preserve">Les mémoires, dossiers et recueils de sources des appelants dans l’appel principal seront signifiés et déposés au plus tard le 10 février 2012; </w:t>
      </w:r>
    </w:p>
    <w:p w:rsidR="00F147E3" w:rsidRPr="001D6433" w:rsidRDefault="00F147E3" w:rsidP="00F147E3">
      <w:pPr>
        <w:pStyle w:val="ListParagraph"/>
        <w:jc w:val="both"/>
        <w:rPr>
          <w:rFonts w:cs="Times New Roman"/>
          <w:sz w:val="20"/>
          <w:szCs w:val="20"/>
          <w:lang w:val="fr-CA"/>
        </w:rPr>
      </w:pPr>
    </w:p>
    <w:p w:rsidR="00F147E3" w:rsidRPr="001D6433" w:rsidRDefault="00F147E3" w:rsidP="00F147E3">
      <w:pPr>
        <w:pStyle w:val="ListParagraph"/>
        <w:numPr>
          <w:ilvl w:val="0"/>
          <w:numId w:val="4"/>
        </w:numPr>
        <w:autoSpaceDE w:val="0"/>
        <w:autoSpaceDN w:val="0"/>
        <w:adjustRightInd w:val="0"/>
        <w:jc w:val="both"/>
        <w:rPr>
          <w:rFonts w:cs="Times New Roman"/>
          <w:sz w:val="20"/>
          <w:szCs w:val="20"/>
          <w:lang w:val="fr-CA"/>
        </w:rPr>
      </w:pPr>
      <w:r w:rsidRPr="001D6433">
        <w:rPr>
          <w:rFonts w:cs="Times New Roman"/>
          <w:sz w:val="20"/>
          <w:szCs w:val="20"/>
          <w:lang w:val="fr-CA"/>
        </w:rPr>
        <w:t xml:space="preserve">Les mémoires, dossiers et recueils de sources de l’appelant dans l’appel sur les dépens seront signifiés et déposés au plus tard le 17 février 2012; </w:t>
      </w:r>
    </w:p>
    <w:p w:rsidR="00F147E3" w:rsidRPr="001D6433" w:rsidRDefault="00F147E3" w:rsidP="00F147E3">
      <w:pPr>
        <w:pStyle w:val="ListParagraph"/>
        <w:jc w:val="both"/>
        <w:rPr>
          <w:rFonts w:cs="Times New Roman"/>
          <w:sz w:val="20"/>
          <w:szCs w:val="20"/>
          <w:lang w:val="fr-CA"/>
        </w:rPr>
      </w:pPr>
    </w:p>
    <w:p w:rsidR="00F147E3" w:rsidRPr="001D6433" w:rsidRDefault="00F147E3" w:rsidP="00F147E3">
      <w:pPr>
        <w:pStyle w:val="ListParagraph"/>
        <w:numPr>
          <w:ilvl w:val="0"/>
          <w:numId w:val="4"/>
        </w:numPr>
        <w:autoSpaceDE w:val="0"/>
        <w:autoSpaceDN w:val="0"/>
        <w:adjustRightInd w:val="0"/>
        <w:jc w:val="both"/>
        <w:rPr>
          <w:rFonts w:cs="Times New Roman"/>
          <w:sz w:val="20"/>
          <w:szCs w:val="20"/>
          <w:lang w:val="fr-CA"/>
        </w:rPr>
      </w:pPr>
      <w:r w:rsidRPr="001D6433">
        <w:rPr>
          <w:rFonts w:cs="Times New Roman"/>
          <w:sz w:val="20"/>
          <w:szCs w:val="20"/>
          <w:lang w:val="fr-CA"/>
        </w:rPr>
        <w:t xml:space="preserve">Toute demande d’autorisation d’intervenir sera signifiée et déposée au plus tard le 17 février 2012; </w:t>
      </w:r>
    </w:p>
    <w:p w:rsidR="00F147E3" w:rsidRPr="001D6433" w:rsidRDefault="00F147E3" w:rsidP="00F147E3">
      <w:pPr>
        <w:pStyle w:val="ListParagraph"/>
        <w:jc w:val="both"/>
        <w:rPr>
          <w:rFonts w:cs="Times New Roman"/>
          <w:sz w:val="20"/>
          <w:szCs w:val="20"/>
          <w:lang w:val="fr-CA"/>
        </w:rPr>
      </w:pPr>
    </w:p>
    <w:p w:rsidR="00F147E3" w:rsidRPr="001D6433" w:rsidRDefault="00F147E3" w:rsidP="00F147E3">
      <w:pPr>
        <w:pStyle w:val="ListParagraph"/>
        <w:numPr>
          <w:ilvl w:val="0"/>
          <w:numId w:val="4"/>
        </w:numPr>
        <w:autoSpaceDE w:val="0"/>
        <w:autoSpaceDN w:val="0"/>
        <w:adjustRightInd w:val="0"/>
        <w:jc w:val="both"/>
        <w:rPr>
          <w:rFonts w:cs="Times New Roman"/>
          <w:sz w:val="20"/>
          <w:szCs w:val="20"/>
          <w:lang w:val="fr-CA"/>
        </w:rPr>
      </w:pPr>
      <w:r w:rsidRPr="001D6433">
        <w:rPr>
          <w:rFonts w:cs="Times New Roman"/>
          <w:sz w:val="20"/>
          <w:szCs w:val="20"/>
          <w:lang w:val="fr-CA"/>
        </w:rPr>
        <w:t>Les réponses à toute demande d’autorisation d’intervenir seront signifiées et déposées au plus tard le 27 février 2012;</w:t>
      </w:r>
    </w:p>
    <w:p w:rsidR="00F147E3" w:rsidRPr="001D6433" w:rsidRDefault="00F147E3" w:rsidP="00F147E3">
      <w:pPr>
        <w:pStyle w:val="ListParagraph"/>
        <w:jc w:val="both"/>
        <w:rPr>
          <w:rFonts w:cs="Times New Roman"/>
          <w:sz w:val="20"/>
          <w:szCs w:val="20"/>
          <w:lang w:val="fr-CA"/>
        </w:rPr>
      </w:pPr>
    </w:p>
    <w:p w:rsidR="00F147E3" w:rsidRPr="001D6433" w:rsidRDefault="00F147E3" w:rsidP="00F147E3">
      <w:pPr>
        <w:pStyle w:val="ListParagraph"/>
        <w:numPr>
          <w:ilvl w:val="0"/>
          <w:numId w:val="4"/>
        </w:numPr>
        <w:autoSpaceDE w:val="0"/>
        <w:autoSpaceDN w:val="0"/>
        <w:adjustRightInd w:val="0"/>
        <w:jc w:val="both"/>
        <w:rPr>
          <w:rFonts w:cs="Times New Roman"/>
          <w:sz w:val="20"/>
          <w:szCs w:val="20"/>
          <w:lang w:val="fr-CA"/>
        </w:rPr>
      </w:pPr>
      <w:r w:rsidRPr="001D6433">
        <w:rPr>
          <w:rFonts w:cs="Times New Roman"/>
          <w:sz w:val="20"/>
          <w:szCs w:val="20"/>
          <w:lang w:val="fr-CA"/>
        </w:rPr>
        <w:t xml:space="preserve">Les répliques relatives à toute demande d’autorisation d’intervenir seront signifiées et déposées au plus tard le 5 mars 2012; </w:t>
      </w:r>
    </w:p>
    <w:p w:rsidR="00F147E3" w:rsidRPr="001D6433" w:rsidRDefault="00F147E3" w:rsidP="00F147E3">
      <w:pPr>
        <w:pStyle w:val="ListParagraph"/>
        <w:jc w:val="both"/>
        <w:rPr>
          <w:rFonts w:cs="Times New Roman"/>
          <w:sz w:val="20"/>
          <w:szCs w:val="20"/>
          <w:lang w:val="fr-CA"/>
        </w:rPr>
      </w:pPr>
    </w:p>
    <w:p w:rsidR="00F147E3" w:rsidRPr="001D6433" w:rsidRDefault="00F147E3" w:rsidP="00F147E3">
      <w:pPr>
        <w:pStyle w:val="ListParagraph"/>
        <w:numPr>
          <w:ilvl w:val="0"/>
          <w:numId w:val="4"/>
        </w:numPr>
        <w:autoSpaceDE w:val="0"/>
        <w:autoSpaceDN w:val="0"/>
        <w:adjustRightInd w:val="0"/>
        <w:jc w:val="both"/>
        <w:rPr>
          <w:rFonts w:cs="Times New Roman"/>
          <w:sz w:val="20"/>
          <w:szCs w:val="20"/>
          <w:lang w:val="fr-CA"/>
        </w:rPr>
      </w:pPr>
      <w:r w:rsidRPr="001D6433">
        <w:rPr>
          <w:rFonts w:cs="Times New Roman"/>
          <w:sz w:val="20"/>
          <w:szCs w:val="20"/>
          <w:lang w:val="fr-CA"/>
        </w:rPr>
        <w:t>Les mémoires, dossiers et recueils de sources des intimés dans les deux appels seront signifiés et déposés au plus tard le 30 mars 2012;</w:t>
      </w:r>
    </w:p>
    <w:p w:rsidR="00F147E3" w:rsidRPr="001D6433" w:rsidRDefault="00F147E3" w:rsidP="00F147E3">
      <w:pPr>
        <w:pStyle w:val="ListParagraph"/>
        <w:jc w:val="both"/>
        <w:rPr>
          <w:rFonts w:cs="Times New Roman"/>
          <w:sz w:val="20"/>
          <w:szCs w:val="20"/>
          <w:lang w:val="fr-CA"/>
        </w:rPr>
      </w:pPr>
    </w:p>
    <w:p w:rsidR="00F147E3" w:rsidRPr="001D6433" w:rsidRDefault="00F147E3" w:rsidP="00F147E3">
      <w:pPr>
        <w:pStyle w:val="ListParagraph"/>
        <w:numPr>
          <w:ilvl w:val="0"/>
          <w:numId w:val="4"/>
        </w:numPr>
        <w:autoSpaceDE w:val="0"/>
        <w:autoSpaceDN w:val="0"/>
        <w:adjustRightInd w:val="0"/>
        <w:jc w:val="both"/>
        <w:rPr>
          <w:rFonts w:cs="Times New Roman"/>
          <w:sz w:val="20"/>
          <w:szCs w:val="20"/>
          <w:lang w:val="fr-CA"/>
        </w:rPr>
      </w:pPr>
      <w:r w:rsidRPr="001D6433">
        <w:rPr>
          <w:rFonts w:cs="Times New Roman"/>
          <w:sz w:val="20"/>
          <w:szCs w:val="20"/>
          <w:lang w:val="fr-CA"/>
        </w:rPr>
        <w:t xml:space="preserve">Les mémoires des intervenants seront signifiés et déposés au plus tard à la date fixée dans l’ordonnance les autorisant à intervenir; </w:t>
      </w:r>
    </w:p>
    <w:p w:rsidR="00F147E3" w:rsidRPr="001D6433" w:rsidRDefault="00F147E3" w:rsidP="00F147E3">
      <w:pPr>
        <w:pStyle w:val="ListParagraph"/>
        <w:jc w:val="both"/>
        <w:rPr>
          <w:rFonts w:cs="Times New Roman"/>
          <w:sz w:val="20"/>
          <w:szCs w:val="20"/>
          <w:lang w:val="fr-CA"/>
        </w:rPr>
      </w:pPr>
    </w:p>
    <w:p w:rsidR="00F147E3" w:rsidRPr="001D6433" w:rsidRDefault="00F147E3" w:rsidP="00F147E3">
      <w:pPr>
        <w:pStyle w:val="ListParagraph"/>
        <w:numPr>
          <w:ilvl w:val="0"/>
          <w:numId w:val="4"/>
        </w:numPr>
        <w:autoSpaceDE w:val="0"/>
        <w:autoSpaceDN w:val="0"/>
        <w:adjustRightInd w:val="0"/>
        <w:jc w:val="both"/>
        <w:rPr>
          <w:rFonts w:cs="Times New Roman"/>
          <w:sz w:val="20"/>
          <w:szCs w:val="20"/>
          <w:lang w:val="fr-CA"/>
        </w:rPr>
      </w:pPr>
      <w:r w:rsidRPr="001D6433">
        <w:rPr>
          <w:rFonts w:cs="Times New Roman"/>
          <w:sz w:val="20"/>
          <w:szCs w:val="20"/>
          <w:lang w:val="fr-CA"/>
        </w:rPr>
        <w:t xml:space="preserve">L’appel sera entendu le 5 juin 2012. </w:t>
      </w:r>
    </w:p>
    <w:p w:rsidR="00F147E3" w:rsidRPr="001D6433" w:rsidRDefault="00F147E3" w:rsidP="00F147E3">
      <w:pPr>
        <w:pStyle w:val="ListParagraph"/>
        <w:jc w:val="both"/>
        <w:rPr>
          <w:rFonts w:cs="Times New Roman"/>
          <w:sz w:val="20"/>
          <w:szCs w:val="20"/>
          <w:lang w:val="fr-CA"/>
        </w:rPr>
      </w:pPr>
    </w:p>
    <w:p w:rsidR="00F147E3" w:rsidRPr="001D6433" w:rsidRDefault="00F147E3" w:rsidP="00F147E3">
      <w:pPr>
        <w:jc w:val="both"/>
        <w:rPr>
          <w:sz w:val="20"/>
          <w:szCs w:val="20"/>
          <w:lang w:val="fr-CA"/>
        </w:rPr>
      </w:pPr>
      <w:r w:rsidRPr="001D6433">
        <w:rPr>
          <w:sz w:val="20"/>
          <w:szCs w:val="20"/>
          <w:lang w:val="fr-CA"/>
        </w:rPr>
        <w:t xml:space="preserve">3. </w:t>
      </w:r>
      <w:proofErr w:type="spellStart"/>
      <w:r w:rsidRPr="001D6433">
        <w:rPr>
          <w:sz w:val="20"/>
          <w:szCs w:val="20"/>
          <w:lang w:val="fr-CA"/>
        </w:rPr>
        <w:t>Morneau</w:t>
      </w:r>
      <w:proofErr w:type="spellEnd"/>
      <w:r w:rsidRPr="001D6433">
        <w:rPr>
          <w:sz w:val="20"/>
          <w:szCs w:val="20"/>
          <w:lang w:val="fr-CA"/>
        </w:rPr>
        <w:t xml:space="preserve"> </w:t>
      </w:r>
      <w:proofErr w:type="spellStart"/>
      <w:r w:rsidRPr="001D6433">
        <w:rPr>
          <w:sz w:val="20"/>
          <w:szCs w:val="20"/>
          <w:lang w:val="fr-CA"/>
        </w:rPr>
        <w:t>Shepell</w:t>
      </w:r>
      <w:proofErr w:type="spellEnd"/>
      <w:r w:rsidRPr="001D6433">
        <w:rPr>
          <w:sz w:val="20"/>
          <w:szCs w:val="20"/>
          <w:lang w:val="fr-CA"/>
        </w:rPr>
        <w:t xml:space="preserve"> Ltd. (autrefois connue sous le nom de </w:t>
      </w:r>
      <w:proofErr w:type="spellStart"/>
      <w:r w:rsidRPr="001D6433">
        <w:rPr>
          <w:sz w:val="20"/>
          <w:szCs w:val="20"/>
          <w:lang w:val="fr-CA"/>
        </w:rPr>
        <w:t>Morneau</w:t>
      </w:r>
      <w:proofErr w:type="spellEnd"/>
      <w:r w:rsidRPr="001D6433">
        <w:rPr>
          <w:sz w:val="20"/>
          <w:szCs w:val="20"/>
          <w:lang w:val="fr-CA"/>
        </w:rPr>
        <w:t xml:space="preserve"> </w:t>
      </w:r>
      <w:proofErr w:type="spellStart"/>
      <w:r w:rsidRPr="001D6433">
        <w:rPr>
          <w:sz w:val="20"/>
          <w:szCs w:val="20"/>
          <w:lang w:val="fr-CA"/>
        </w:rPr>
        <w:t>Sobeco</w:t>
      </w:r>
      <w:proofErr w:type="spellEnd"/>
      <w:r w:rsidRPr="001D6433">
        <w:rPr>
          <w:sz w:val="20"/>
          <w:szCs w:val="20"/>
          <w:lang w:val="fr-CA"/>
        </w:rPr>
        <w:t xml:space="preserve"> Limited </w:t>
      </w:r>
      <w:proofErr w:type="spellStart"/>
      <w:r w:rsidRPr="001D6433">
        <w:rPr>
          <w:sz w:val="20"/>
          <w:szCs w:val="20"/>
          <w:lang w:val="fr-CA"/>
        </w:rPr>
        <w:t>Partnership</w:t>
      </w:r>
      <w:proofErr w:type="spellEnd"/>
      <w:r w:rsidRPr="001D6433">
        <w:rPr>
          <w:sz w:val="20"/>
          <w:szCs w:val="20"/>
          <w:lang w:val="fr-CA"/>
        </w:rPr>
        <w:t xml:space="preserve">) est jointe en qualité de partie à part entière à l’appel principal. </w:t>
      </w:r>
    </w:p>
    <w:p w:rsidR="00F147E3" w:rsidRPr="001D6433" w:rsidRDefault="00F147E3" w:rsidP="00F147E3">
      <w:pPr>
        <w:tabs>
          <w:tab w:val="left" w:pos="-1440"/>
          <w:tab w:val="left" w:pos="-720"/>
        </w:tabs>
        <w:jc w:val="both"/>
        <w:rPr>
          <w:sz w:val="20"/>
          <w:szCs w:val="20"/>
          <w:lang w:val="fr-CA"/>
        </w:rPr>
      </w:pPr>
    </w:p>
    <w:p w:rsidR="00F147E3" w:rsidRPr="001D6433" w:rsidRDefault="00FD28BB" w:rsidP="00F147E3">
      <w:pPr>
        <w:tabs>
          <w:tab w:val="left" w:pos="-1440"/>
          <w:tab w:val="left" w:pos="-720"/>
        </w:tabs>
        <w:jc w:val="both"/>
        <w:rPr>
          <w:sz w:val="20"/>
          <w:szCs w:val="20"/>
        </w:rPr>
      </w:pPr>
      <w:r w:rsidRPr="00FD28BB">
        <w:rPr>
          <w:sz w:val="20"/>
          <w:szCs w:val="20"/>
          <w:lang w:val="fr-CA"/>
        </w:rPr>
        <w:pict>
          <v:rect id="_x0000_i1061" style="width:2in;height:1pt" o:hrpct="0" o:hralign="center" o:hrstd="t" o:hrnoshade="t" o:hr="t" fillcolor="black [3213]" stroked="f"/>
        </w:pic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sz w:val="20"/>
          <w:szCs w:val="20"/>
          <w:lang w:val="fr-CA"/>
        </w:rPr>
      </w:pPr>
      <w:r w:rsidRPr="001D6433">
        <w:rPr>
          <w:sz w:val="20"/>
          <w:szCs w:val="20"/>
          <w:lang w:val="fr-CA"/>
        </w:rPr>
        <w:t>27.01.2012</w: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sz w:val="20"/>
          <w:szCs w:val="20"/>
          <w:lang w:val="fr-CA"/>
        </w:rPr>
      </w:pPr>
      <w:proofErr w:type="spellStart"/>
      <w:r w:rsidRPr="001D6433">
        <w:rPr>
          <w:sz w:val="20"/>
          <w:szCs w:val="20"/>
          <w:lang w:val="fr-CA"/>
        </w:rPr>
        <w:t>Before</w:t>
      </w:r>
      <w:proofErr w:type="spellEnd"/>
      <w:r w:rsidRPr="001D6433">
        <w:rPr>
          <w:sz w:val="20"/>
          <w:szCs w:val="20"/>
          <w:lang w:val="fr-CA"/>
        </w:rPr>
        <w:t xml:space="preserve"> / Devant :   CROMWELL J. / LE JUGE CROMWELL</w:t>
      </w:r>
    </w:p>
    <w:p w:rsidR="00F147E3" w:rsidRPr="001D6433" w:rsidRDefault="00F147E3" w:rsidP="00F147E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147E3" w:rsidRPr="00251B16" w:rsidTr="0053579F">
        <w:tc>
          <w:tcPr>
            <w:tcW w:w="4338" w:type="dxa"/>
          </w:tcPr>
          <w:p w:rsidR="00F147E3" w:rsidRPr="001D6433" w:rsidRDefault="00FD28BB" w:rsidP="0053579F">
            <w:pPr>
              <w:tabs>
                <w:tab w:val="left" w:pos="-1440"/>
                <w:tab w:val="left" w:pos="-720"/>
              </w:tabs>
              <w:jc w:val="both"/>
              <w:rPr>
                <w:b/>
                <w:sz w:val="20"/>
                <w:szCs w:val="20"/>
              </w:rPr>
            </w:pPr>
            <w:r w:rsidRPr="001D6433">
              <w:rPr>
                <w:sz w:val="20"/>
                <w:szCs w:val="20"/>
              </w:rPr>
              <w:fldChar w:fldCharType="begin"/>
            </w:r>
            <w:r w:rsidR="00F147E3" w:rsidRPr="001D6433">
              <w:rPr>
                <w:sz w:val="20"/>
                <w:szCs w:val="20"/>
              </w:rPr>
              <w:instrText xml:space="preserve"> SEQ CHAPTER \h \r 1</w:instrText>
            </w:r>
            <w:r w:rsidRPr="001D6433">
              <w:rPr>
                <w:sz w:val="20"/>
                <w:szCs w:val="20"/>
              </w:rPr>
              <w:fldChar w:fldCharType="end"/>
            </w:r>
            <w:r w:rsidR="00F147E3" w:rsidRPr="001D6433">
              <w:rPr>
                <w:b/>
                <w:bCs/>
                <w:sz w:val="20"/>
                <w:szCs w:val="20"/>
              </w:rPr>
              <w:t xml:space="preserve">Motion </w:t>
            </w:r>
            <w:r w:rsidRPr="001D6433">
              <w:rPr>
                <w:sz w:val="20"/>
                <w:szCs w:val="20"/>
              </w:rPr>
              <w:fldChar w:fldCharType="begin"/>
            </w:r>
            <w:r w:rsidR="00F147E3" w:rsidRPr="001D6433">
              <w:rPr>
                <w:sz w:val="20"/>
                <w:szCs w:val="20"/>
              </w:rPr>
              <w:instrText xml:space="preserve"> SEQ CHAPTER \h \r 1</w:instrText>
            </w:r>
            <w:r w:rsidRPr="001D6433">
              <w:rPr>
                <w:sz w:val="20"/>
                <w:szCs w:val="20"/>
              </w:rPr>
              <w:fldChar w:fldCharType="end"/>
            </w:r>
            <w:r w:rsidR="00F147E3" w:rsidRPr="001D6433">
              <w:rPr>
                <w:b/>
                <w:bCs/>
                <w:sz w:val="20"/>
                <w:szCs w:val="20"/>
              </w:rPr>
              <w:t>to adduce new evidence</w:t>
            </w:r>
          </w:p>
        </w:tc>
        <w:tc>
          <w:tcPr>
            <w:tcW w:w="1170" w:type="dxa"/>
          </w:tcPr>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tc>
        <w:tc>
          <w:tcPr>
            <w:tcW w:w="4327" w:type="dxa"/>
          </w:tcPr>
          <w:p w:rsidR="00F147E3" w:rsidRPr="001D6433" w:rsidRDefault="00FD28BB" w:rsidP="0053579F">
            <w:pPr>
              <w:tabs>
                <w:tab w:val="left" w:pos="-1440"/>
                <w:tab w:val="left" w:pos="-720"/>
              </w:tabs>
              <w:jc w:val="both"/>
              <w:rPr>
                <w:sz w:val="20"/>
                <w:szCs w:val="20"/>
                <w:lang w:val="fr-CA"/>
              </w:rPr>
            </w:pP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00F147E3" w:rsidRPr="001D6433">
              <w:rPr>
                <w:b/>
                <w:bCs/>
                <w:sz w:val="20"/>
                <w:szCs w:val="20"/>
                <w:lang w:val="fr-CA"/>
              </w:rPr>
              <w:t xml:space="preserve">Requête </w:t>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00F147E3" w:rsidRPr="001D6433">
              <w:rPr>
                <w:b/>
                <w:bCs/>
                <w:sz w:val="20"/>
                <w:szCs w:val="20"/>
                <w:lang w:val="fr-CA"/>
              </w:rPr>
              <w:t>en vue de produire une nouvelle preuve</w:t>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p>
        </w:tc>
      </w:tr>
      <w:tr w:rsidR="00F147E3" w:rsidRPr="001D6433" w:rsidTr="0053579F">
        <w:tc>
          <w:tcPr>
            <w:tcW w:w="4338" w:type="dxa"/>
          </w:tcPr>
          <w:p w:rsidR="00F147E3" w:rsidRPr="001D6433" w:rsidRDefault="00F147E3" w:rsidP="0053579F">
            <w:pPr>
              <w:tabs>
                <w:tab w:val="left" w:pos="-1440"/>
                <w:tab w:val="left" w:pos="-720"/>
              </w:tabs>
              <w:jc w:val="both"/>
              <w:rPr>
                <w:sz w:val="20"/>
                <w:szCs w:val="20"/>
              </w:rPr>
            </w:pPr>
            <w:r w:rsidRPr="001D6433">
              <w:rPr>
                <w:sz w:val="20"/>
                <w:szCs w:val="20"/>
              </w:rPr>
              <w:t>Leighton Hay</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ab/>
              <w:t>v. (33536)</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lang w:val="fr-CA"/>
              </w:rPr>
            </w:pPr>
            <w:r w:rsidRPr="001D6433">
              <w:rPr>
                <w:sz w:val="20"/>
                <w:szCs w:val="20"/>
              </w:rPr>
              <w:t xml:space="preserve">Her Majesty the Queen (Crim.) </w:t>
            </w:r>
            <w:r w:rsidRPr="001D6433">
              <w:rPr>
                <w:sz w:val="20"/>
                <w:szCs w:val="20"/>
                <w:lang w:val="fr-CA"/>
              </w:rPr>
              <w:t>(Ont.)</w:t>
            </w:r>
          </w:p>
        </w:tc>
        <w:tc>
          <w:tcPr>
            <w:tcW w:w="1170" w:type="dxa"/>
          </w:tcPr>
          <w:p w:rsidR="00F147E3" w:rsidRPr="001D6433" w:rsidRDefault="00F147E3" w:rsidP="0053579F">
            <w:pPr>
              <w:tabs>
                <w:tab w:val="left" w:pos="-1440"/>
                <w:tab w:val="left" w:pos="-720"/>
              </w:tabs>
              <w:jc w:val="both"/>
              <w:rPr>
                <w:sz w:val="20"/>
                <w:szCs w:val="20"/>
                <w:lang w:val="fr-CA"/>
              </w:rPr>
            </w:pPr>
          </w:p>
        </w:tc>
        <w:tc>
          <w:tcPr>
            <w:tcW w:w="4327" w:type="dxa"/>
          </w:tcPr>
          <w:p w:rsidR="00F147E3" w:rsidRPr="001D6433" w:rsidRDefault="00F147E3" w:rsidP="0053579F">
            <w:pPr>
              <w:tabs>
                <w:tab w:val="left" w:pos="-1440"/>
                <w:tab w:val="left" w:pos="-720"/>
              </w:tabs>
              <w:jc w:val="both"/>
              <w:rPr>
                <w:sz w:val="20"/>
                <w:szCs w:val="20"/>
                <w:lang w:val="fr-CA"/>
              </w:rPr>
            </w:pPr>
          </w:p>
        </w:tc>
      </w:tr>
    </w:tbl>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b/>
          <w:sz w:val="20"/>
          <w:szCs w:val="20"/>
          <w:lang w:val="fr-CA"/>
        </w:rPr>
      </w:pPr>
      <w:r w:rsidRPr="001D6433">
        <w:rPr>
          <w:b/>
          <w:sz w:val="20"/>
          <w:szCs w:val="20"/>
          <w:lang w:val="fr-CA"/>
        </w:rPr>
        <w:t>GRANTED IN PART / ACCORDÉE EN PARTIE</w: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spacing w:line="233" w:lineRule="auto"/>
        <w:jc w:val="both"/>
        <w:rPr>
          <w:sz w:val="20"/>
          <w:szCs w:val="20"/>
        </w:rPr>
      </w:pPr>
      <w:r w:rsidRPr="001D6433">
        <w:rPr>
          <w:b/>
          <w:bCs/>
          <w:sz w:val="20"/>
          <w:szCs w:val="20"/>
        </w:rPr>
        <w:t xml:space="preserve">UPON APPLICATION </w:t>
      </w:r>
      <w:r w:rsidRPr="001D6433">
        <w:rPr>
          <w:sz w:val="20"/>
          <w:szCs w:val="20"/>
        </w:rPr>
        <w:t>by the applicant for an order to admit fresh evidence on the leave application, brought pursuant to and in accordance with the Order of the Court dated November 18, 2010, for an Order permitting a 46 page Memorandum of Argument and for an Order for an oral hearing of this application pursuant to section 43(1</w:t>
      </w:r>
      <w:proofErr w:type="gramStart"/>
      <w:r w:rsidRPr="001D6433">
        <w:rPr>
          <w:sz w:val="20"/>
          <w:szCs w:val="20"/>
        </w:rPr>
        <w:t>)(</w:t>
      </w:r>
      <w:proofErr w:type="gramEnd"/>
      <w:r w:rsidRPr="001D6433">
        <w:rPr>
          <w:i/>
          <w:sz w:val="20"/>
          <w:szCs w:val="20"/>
        </w:rPr>
        <w:t>c</w:t>
      </w:r>
      <w:r w:rsidRPr="001D6433">
        <w:rPr>
          <w:sz w:val="20"/>
          <w:szCs w:val="20"/>
        </w:rPr>
        <w:t xml:space="preserve">) of the </w:t>
      </w:r>
      <w:r w:rsidRPr="001D6433">
        <w:rPr>
          <w:i/>
          <w:sz w:val="20"/>
          <w:szCs w:val="20"/>
        </w:rPr>
        <w:t>Supreme Court Act</w:t>
      </w:r>
      <w:r w:rsidRPr="001D6433">
        <w:rPr>
          <w:sz w:val="20"/>
          <w:szCs w:val="20"/>
        </w:rPr>
        <w:t xml:space="preserve">; </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b/>
          <w:bCs/>
          <w:sz w:val="20"/>
          <w:szCs w:val="20"/>
        </w:rPr>
        <w:t>AND THE MATERIAL FILED</w:t>
      </w:r>
      <w:r w:rsidRPr="001D6433">
        <w:rPr>
          <w:sz w:val="20"/>
          <w:szCs w:val="20"/>
        </w:rPr>
        <w:t xml:space="preserve"> having been read;</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b/>
          <w:bCs/>
          <w:sz w:val="20"/>
          <w:szCs w:val="20"/>
        </w:rPr>
        <w:t>IT IS HEREBY ORDERED THAT:</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 xml:space="preserve">The motion to file a 46 page Memorandum of Argument is granted. The respondent is granted permission to file a Memorandum of Argument of 21 pages. </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b/>
          <w:bCs/>
          <w:sz w:val="20"/>
          <w:szCs w:val="20"/>
        </w:rPr>
        <w:t>IT IS HEREBY FURTHER ORDERED THAT:</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 xml:space="preserve">The request for an oral hearing of the application to admit fresh evidence is referred to the panel of the Court </w:t>
      </w:r>
      <w:r w:rsidR="00FD28BB" w:rsidRPr="001D6433">
        <w:rPr>
          <w:sz w:val="20"/>
          <w:szCs w:val="20"/>
        </w:rPr>
        <w:fldChar w:fldCharType="begin"/>
      </w:r>
      <w:r w:rsidRPr="001D6433">
        <w:rPr>
          <w:sz w:val="20"/>
          <w:szCs w:val="20"/>
        </w:rPr>
        <w:instrText xml:space="preserve"> SEQ CHAPTER \h \r 1</w:instrText>
      </w:r>
      <w:r w:rsidR="00FD28BB" w:rsidRPr="001D6433">
        <w:rPr>
          <w:sz w:val="20"/>
          <w:szCs w:val="20"/>
        </w:rPr>
        <w:fldChar w:fldCharType="end"/>
      </w:r>
      <w:r w:rsidRPr="001D6433">
        <w:rPr>
          <w:sz w:val="20"/>
          <w:szCs w:val="20"/>
        </w:rPr>
        <w:t>which will be seized of the application for leave to appeal.</w:t>
      </w:r>
    </w:p>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rPr>
      </w:pPr>
    </w:p>
    <w:p w:rsidR="00F147E3" w:rsidRPr="001D6433" w:rsidRDefault="00F147E3" w:rsidP="00F147E3">
      <w:pPr>
        <w:spacing w:line="233" w:lineRule="auto"/>
        <w:jc w:val="both"/>
        <w:rPr>
          <w:sz w:val="20"/>
          <w:szCs w:val="20"/>
          <w:lang w:val="fr-CA"/>
        </w:rPr>
      </w:pPr>
      <w:r w:rsidRPr="001D6433">
        <w:rPr>
          <w:b/>
          <w:bCs/>
          <w:sz w:val="20"/>
          <w:szCs w:val="20"/>
          <w:lang w:val="fr-CA"/>
        </w:rPr>
        <w:t xml:space="preserve">À LA SUITE DE LA DEMANDE </w:t>
      </w:r>
      <w:r w:rsidRPr="001D6433">
        <w:rPr>
          <w:bCs/>
          <w:sz w:val="20"/>
          <w:szCs w:val="20"/>
          <w:lang w:val="fr-CA"/>
        </w:rPr>
        <w:t>du demandeur</w:t>
      </w:r>
      <w:r w:rsidRPr="001D6433">
        <w:rPr>
          <w:b/>
          <w:bCs/>
          <w:sz w:val="20"/>
          <w:szCs w:val="20"/>
          <w:lang w:val="fr-CA"/>
        </w:rPr>
        <w:t xml:space="preserve"> </w:t>
      </w:r>
      <w:r w:rsidRPr="001D6433">
        <w:rPr>
          <w:bCs/>
          <w:sz w:val="20"/>
          <w:szCs w:val="20"/>
          <w:lang w:val="fr-CA"/>
        </w:rPr>
        <w:t>sollicitant l’autorisation de présenter de nouveaux éléments de preuve relativement à la demande d’autorisation, conformément à l’ordonnance de la Cour datée du 18 novembre 2010, l’autorisation de déposer un mémoire de 46 pages et la tenue d’une audience sur la présente demande en application de l’al. 43(1)</w:t>
      </w:r>
      <w:r w:rsidRPr="001D6433">
        <w:rPr>
          <w:bCs/>
          <w:i/>
          <w:sz w:val="20"/>
          <w:szCs w:val="20"/>
          <w:lang w:val="fr-CA"/>
        </w:rPr>
        <w:t>c</w:t>
      </w:r>
      <w:r w:rsidRPr="001D6433">
        <w:rPr>
          <w:bCs/>
          <w:sz w:val="20"/>
          <w:szCs w:val="20"/>
          <w:lang w:val="fr-CA"/>
        </w:rPr>
        <w:t xml:space="preserve">) de la </w:t>
      </w:r>
      <w:r w:rsidRPr="001D6433">
        <w:rPr>
          <w:bCs/>
          <w:i/>
          <w:sz w:val="20"/>
          <w:szCs w:val="20"/>
          <w:lang w:val="fr-CA"/>
        </w:rPr>
        <w:t>Loi sur la Cour suprême</w:t>
      </w:r>
      <w:r w:rsidRPr="001D6433">
        <w:rPr>
          <w:sz w:val="20"/>
          <w:szCs w:val="20"/>
          <w:lang w:val="fr-CA"/>
        </w:rPr>
        <w:t xml:space="preserve">; </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b/>
          <w:bCs/>
          <w:sz w:val="20"/>
          <w:szCs w:val="20"/>
          <w:lang w:val="fr-CA"/>
        </w:rPr>
        <w:t xml:space="preserve">ET APRÈS EXAMEN </w:t>
      </w:r>
      <w:r w:rsidRPr="001D6433">
        <w:rPr>
          <w:bCs/>
          <w:sz w:val="20"/>
          <w:szCs w:val="20"/>
          <w:lang w:val="fr-CA"/>
        </w:rPr>
        <w:t>des documents déposés</w:t>
      </w:r>
      <w:r w:rsidRPr="001D6433">
        <w:rPr>
          <w:b/>
          <w:bCs/>
          <w:sz w:val="20"/>
          <w:szCs w:val="20"/>
          <w:lang w:val="fr-CA"/>
        </w:rPr>
        <w:t xml:space="preserve">, </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b/>
          <w:bCs/>
          <w:sz w:val="20"/>
          <w:szCs w:val="20"/>
          <w:lang w:val="fr-CA"/>
        </w:rPr>
        <w:t xml:space="preserve">IL EST ORDONNÉ CE QUI SUIT : </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sz w:val="20"/>
          <w:szCs w:val="20"/>
          <w:lang w:val="fr-CA"/>
        </w:rPr>
        <w:t xml:space="preserve">La requête en vue de déposer un mémoire de 46 pages est accueillie.  L’intimée est autorisée à déposer un mémoire de 21 pages. </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b/>
          <w:bCs/>
          <w:sz w:val="20"/>
          <w:szCs w:val="20"/>
          <w:lang w:val="fr-CA"/>
        </w:rPr>
        <w:t>IL EST EN OUTRE ORDONNÉ QUE :</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sz w:val="20"/>
          <w:szCs w:val="20"/>
          <w:lang w:val="fr-CA"/>
        </w:rPr>
        <w:t>La demande de tenue d’une audience sur la demande de présentation de nouveaux éléments de preuve est renvoyée à la formation de la Cour qui sera saisie de la demande d’autorisation d’appel.</w:t>
      </w:r>
    </w:p>
    <w:p w:rsidR="00F147E3" w:rsidRPr="001D6433" w:rsidRDefault="00F147E3" w:rsidP="00F147E3">
      <w:pPr>
        <w:spacing w:line="233" w:lineRule="auto"/>
        <w:jc w:val="both"/>
        <w:rPr>
          <w:sz w:val="20"/>
          <w:szCs w:val="20"/>
          <w:lang w:val="fr-CA"/>
        </w:rPr>
      </w:pPr>
    </w:p>
    <w:p w:rsidR="00F147E3" w:rsidRPr="001D6433" w:rsidRDefault="00FD28BB" w:rsidP="00F147E3">
      <w:pPr>
        <w:tabs>
          <w:tab w:val="left" w:pos="-1440"/>
          <w:tab w:val="left" w:pos="-720"/>
        </w:tabs>
        <w:jc w:val="both"/>
        <w:rPr>
          <w:sz w:val="20"/>
          <w:szCs w:val="20"/>
          <w:lang w:val="fr-CA"/>
        </w:rPr>
      </w:pPr>
      <w:r w:rsidRPr="00FD28BB">
        <w:rPr>
          <w:sz w:val="20"/>
          <w:szCs w:val="20"/>
          <w:lang w:val="fr-CA"/>
        </w:rPr>
        <w:pict>
          <v:rect id="_x0000_i1062" style="width:2in;height:1pt" o:hrpct="0" o:hralign="center" o:hrstd="t" o:hrnoshade="t" o:hr="t" fillcolor="black [3213]" stroked="f"/>
        </w:pic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sz w:val="20"/>
          <w:szCs w:val="20"/>
          <w:lang w:val="fr-CA"/>
        </w:rPr>
      </w:pPr>
      <w:r w:rsidRPr="001D6433">
        <w:rPr>
          <w:sz w:val="20"/>
          <w:szCs w:val="20"/>
          <w:lang w:val="fr-CA"/>
        </w:rPr>
        <w:t>27.01.2012</w: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sz w:val="20"/>
          <w:szCs w:val="20"/>
          <w:lang w:val="fr-CA"/>
        </w:rPr>
      </w:pPr>
      <w:proofErr w:type="spellStart"/>
      <w:r w:rsidRPr="001D6433">
        <w:rPr>
          <w:sz w:val="20"/>
          <w:szCs w:val="20"/>
          <w:lang w:val="fr-CA"/>
        </w:rPr>
        <w:t>Before</w:t>
      </w:r>
      <w:proofErr w:type="spellEnd"/>
      <w:r w:rsidRPr="001D6433">
        <w:rPr>
          <w:sz w:val="20"/>
          <w:szCs w:val="20"/>
          <w:lang w:val="fr-CA"/>
        </w:rPr>
        <w:t xml:space="preserve"> / Devant :   KARAKATSANIS J. / LA JUGE KARAKATSANIS</w:t>
      </w:r>
    </w:p>
    <w:p w:rsidR="00F147E3" w:rsidRPr="001D6433" w:rsidRDefault="00F147E3" w:rsidP="00F147E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F147E3" w:rsidRPr="00251B16" w:rsidTr="0053579F">
        <w:tc>
          <w:tcPr>
            <w:tcW w:w="4338" w:type="dxa"/>
            <w:gridSpan w:val="2"/>
          </w:tcPr>
          <w:p w:rsidR="00F147E3" w:rsidRPr="001D6433" w:rsidRDefault="00F147E3" w:rsidP="0053579F">
            <w:pPr>
              <w:jc w:val="both"/>
              <w:rPr>
                <w:b/>
                <w:sz w:val="20"/>
                <w:szCs w:val="20"/>
              </w:rPr>
            </w:pPr>
            <w:r w:rsidRPr="001D6433">
              <w:rPr>
                <w:b/>
                <w:sz w:val="20"/>
                <w:szCs w:val="20"/>
              </w:rPr>
              <w:t xml:space="preserve">Order on intervention with respect to oral argument </w:t>
            </w:r>
            <w:r w:rsidR="00FD28BB" w:rsidRPr="001D6433">
              <w:rPr>
                <w:b/>
                <w:sz w:val="20"/>
                <w:szCs w:val="20"/>
              </w:rPr>
              <w:fldChar w:fldCharType="begin"/>
            </w:r>
            <w:r w:rsidRPr="001D6433">
              <w:rPr>
                <w:b/>
                <w:sz w:val="20"/>
                <w:szCs w:val="20"/>
              </w:rPr>
              <w:instrText xml:space="preserve"> SEQ CHAPTER \h \r 1</w:instrText>
            </w:r>
            <w:r w:rsidR="00FD28BB" w:rsidRPr="001D6433">
              <w:rPr>
                <w:b/>
                <w:sz w:val="20"/>
                <w:szCs w:val="20"/>
              </w:rPr>
              <w:fldChar w:fldCharType="end"/>
            </w:r>
          </w:p>
        </w:tc>
        <w:tc>
          <w:tcPr>
            <w:tcW w:w="1170" w:type="dxa"/>
          </w:tcPr>
          <w:p w:rsidR="00F147E3" w:rsidRPr="001D6433" w:rsidRDefault="00F147E3" w:rsidP="0053579F">
            <w:pPr>
              <w:rPr>
                <w:sz w:val="20"/>
                <w:szCs w:val="20"/>
              </w:rPr>
            </w:pPr>
          </w:p>
          <w:p w:rsidR="00F147E3" w:rsidRPr="001D6433" w:rsidRDefault="00F147E3" w:rsidP="0053579F">
            <w:pPr>
              <w:rPr>
                <w:sz w:val="20"/>
                <w:szCs w:val="20"/>
              </w:rPr>
            </w:pPr>
          </w:p>
          <w:p w:rsidR="00F147E3" w:rsidRPr="001D6433" w:rsidRDefault="00F147E3" w:rsidP="0053579F">
            <w:pPr>
              <w:rPr>
                <w:sz w:val="20"/>
                <w:szCs w:val="20"/>
              </w:rPr>
            </w:pPr>
          </w:p>
        </w:tc>
        <w:tc>
          <w:tcPr>
            <w:tcW w:w="4327" w:type="dxa"/>
          </w:tcPr>
          <w:p w:rsidR="00F147E3" w:rsidRPr="001D6433" w:rsidRDefault="00F147E3" w:rsidP="0053579F">
            <w:pPr>
              <w:jc w:val="both"/>
              <w:rPr>
                <w:b/>
                <w:sz w:val="20"/>
                <w:szCs w:val="20"/>
                <w:lang w:val="fr-CA"/>
              </w:rPr>
            </w:pPr>
            <w:r w:rsidRPr="001D6433">
              <w:rPr>
                <w:b/>
                <w:sz w:val="20"/>
                <w:szCs w:val="20"/>
                <w:lang w:val="fr-CA"/>
              </w:rPr>
              <w:t>Ordonnance relative à la présentation d’une plaidoirie orale par l’intervenant</w:t>
            </w:r>
            <w:r w:rsidR="00FD28BB" w:rsidRPr="001D6433">
              <w:rPr>
                <w:b/>
                <w:sz w:val="20"/>
                <w:szCs w:val="20"/>
              </w:rPr>
              <w:fldChar w:fldCharType="begin"/>
            </w:r>
            <w:r w:rsidRPr="001D6433">
              <w:rPr>
                <w:b/>
                <w:sz w:val="20"/>
                <w:szCs w:val="20"/>
                <w:lang w:val="fr-CA"/>
              </w:rPr>
              <w:instrText xml:space="preserve"> SEQ CHAPTER \h \r 1</w:instrText>
            </w:r>
            <w:r w:rsidR="00FD28BB" w:rsidRPr="001D6433">
              <w:rPr>
                <w:b/>
                <w:sz w:val="20"/>
                <w:szCs w:val="20"/>
              </w:rPr>
              <w:fldChar w:fldCharType="end"/>
            </w:r>
          </w:p>
        </w:tc>
      </w:tr>
      <w:tr w:rsidR="00F147E3" w:rsidRPr="001D6433" w:rsidTr="0053579F">
        <w:tc>
          <w:tcPr>
            <w:tcW w:w="1368" w:type="dxa"/>
          </w:tcPr>
          <w:p w:rsidR="00F147E3" w:rsidRPr="001D6433" w:rsidRDefault="00F147E3" w:rsidP="0053579F">
            <w:pPr>
              <w:rPr>
                <w:sz w:val="20"/>
                <w:szCs w:val="20"/>
              </w:rPr>
            </w:pPr>
            <w:r w:rsidRPr="001D6433">
              <w:rPr>
                <w:sz w:val="20"/>
                <w:szCs w:val="20"/>
              </w:rPr>
              <w:t>RE:</w:t>
            </w:r>
          </w:p>
        </w:tc>
        <w:tc>
          <w:tcPr>
            <w:tcW w:w="2970" w:type="dxa"/>
          </w:tcPr>
          <w:p w:rsidR="00F147E3" w:rsidRPr="001D6433" w:rsidRDefault="00F147E3" w:rsidP="0053579F">
            <w:pPr>
              <w:rPr>
                <w:sz w:val="20"/>
                <w:szCs w:val="20"/>
              </w:rPr>
            </w:pPr>
            <w:r w:rsidRPr="001D6433">
              <w:rPr>
                <w:sz w:val="20"/>
                <w:szCs w:val="20"/>
              </w:rPr>
              <w:t>Attorney General of British Columbia</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r w:rsidRPr="001D6433">
              <w:rPr>
                <w:sz w:val="20"/>
                <w:szCs w:val="20"/>
              </w:rPr>
              <w:t>IN / DANS :</w:t>
            </w:r>
          </w:p>
        </w:tc>
        <w:tc>
          <w:tcPr>
            <w:tcW w:w="2970" w:type="dxa"/>
          </w:tcPr>
          <w:p w:rsidR="00F147E3" w:rsidRPr="001D6433" w:rsidRDefault="00F147E3" w:rsidP="0053579F">
            <w:pPr>
              <w:rPr>
                <w:sz w:val="20"/>
                <w:szCs w:val="20"/>
              </w:rPr>
            </w:pPr>
            <w:r w:rsidRPr="001D6433">
              <w:rPr>
                <w:sz w:val="20"/>
                <w:szCs w:val="20"/>
              </w:rPr>
              <w:t xml:space="preserve">Joan Clements, by her Litigation Guardian, Donna </w:t>
            </w:r>
            <w:proofErr w:type="spellStart"/>
            <w:r w:rsidRPr="001D6433">
              <w:rPr>
                <w:sz w:val="20"/>
                <w:szCs w:val="20"/>
              </w:rPr>
              <w:t>Jardine</w:t>
            </w:r>
            <w:proofErr w:type="spellEnd"/>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ab/>
              <w:t>v. (34100)</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lang w:val="fr-CA"/>
              </w:rPr>
            </w:pPr>
            <w:r w:rsidRPr="001D6433">
              <w:rPr>
                <w:sz w:val="20"/>
                <w:szCs w:val="20"/>
                <w:lang w:val="fr-CA"/>
              </w:rPr>
              <w:t xml:space="preserve">Joseph </w:t>
            </w:r>
            <w:proofErr w:type="spellStart"/>
            <w:r w:rsidRPr="001D6433">
              <w:rPr>
                <w:sz w:val="20"/>
                <w:szCs w:val="20"/>
                <w:lang w:val="fr-CA"/>
              </w:rPr>
              <w:t>Clements</w:t>
            </w:r>
            <w:proofErr w:type="spellEnd"/>
            <w:r w:rsidRPr="001D6433">
              <w:rPr>
                <w:sz w:val="20"/>
                <w:szCs w:val="20"/>
                <w:lang w:val="fr-CA"/>
              </w:rPr>
              <w:t xml:space="preserve"> (B.C.)</w:t>
            </w:r>
          </w:p>
        </w:tc>
        <w:tc>
          <w:tcPr>
            <w:tcW w:w="1170" w:type="dxa"/>
          </w:tcPr>
          <w:p w:rsidR="00F147E3" w:rsidRPr="001D6433" w:rsidRDefault="00F147E3" w:rsidP="0053579F">
            <w:pPr>
              <w:rPr>
                <w:sz w:val="20"/>
                <w:szCs w:val="20"/>
                <w:lang w:val="fr-CA"/>
              </w:rPr>
            </w:pPr>
          </w:p>
        </w:tc>
        <w:tc>
          <w:tcPr>
            <w:tcW w:w="4327" w:type="dxa"/>
          </w:tcPr>
          <w:p w:rsidR="00F147E3" w:rsidRPr="001D6433" w:rsidRDefault="00F147E3" w:rsidP="0053579F">
            <w:pPr>
              <w:rPr>
                <w:sz w:val="20"/>
                <w:szCs w:val="20"/>
                <w:lang w:val="fr-CA"/>
              </w:rPr>
            </w:pPr>
          </w:p>
        </w:tc>
      </w:tr>
    </w:tbl>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spacing w:line="230" w:lineRule="auto"/>
        <w:jc w:val="both"/>
        <w:rPr>
          <w:sz w:val="20"/>
          <w:szCs w:val="20"/>
        </w:rPr>
      </w:pPr>
      <w:r w:rsidRPr="001D6433">
        <w:rPr>
          <w:b/>
          <w:bCs/>
          <w:sz w:val="20"/>
          <w:szCs w:val="20"/>
        </w:rPr>
        <w:t>FURTHER TO THE ORDER</w:t>
      </w:r>
      <w:r w:rsidRPr="001D6433">
        <w:rPr>
          <w:sz w:val="20"/>
          <w:szCs w:val="20"/>
        </w:rPr>
        <w:t xml:space="preserve"> dated December 20, 2011, granting leave to intervene to</w:t>
      </w:r>
      <w:r w:rsidRPr="001D6433">
        <w:rPr>
          <w:b/>
          <w:bCs/>
          <w:sz w:val="20"/>
          <w:szCs w:val="20"/>
        </w:rPr>
        <w:t xml:space="preserve"> </w:t>
      </w:r>
      <w:r w:rsidRPr="001D6433">
        <w:rPr>
          <w:sz w:val="20"/>
          <w:szCs w:val="20"/>
        </w:rPr>
        <w:t>the Attorney General of British Columbia;</w:t>
      </w:r>
    </w:p>
    <w:p w:rsidR="00F147E3" w:rsidRPr="001D6433" w:rsidRDefault="00F147E3" w:rsidP="00F147E3">
      <w:pPr>
        <w:spacing w:line="230" w:lineRule="auto"/>
        <w:jc w:val="both"/>
        <w:rPr>
          <w:sz w:val="20"/>
          <w:szCs w:val="20"/>
        </w:rPr>
      </w:pPr>
    </w:p>
    <w:p w:rsidR="00F147E3" w:rsidRPr="001D6433" w:rsidRDefault="00F147E3" w:rsidP="00F147E3">
      <w:pPr>
        <w:spacing w:line="230" w:lineRule="auto"/>
        <w:jc w:val="both"/>
        <w:rPr>
          <w:sz w:val="20"/>
          <w:szCs w:val="20"/>
        </w:rPr>
      </w:pPr>
      <w:r w:rsidRPr="001D6433">
        <w:rPr>
          <w:b/>
          <w:bCs/>
          <w:sz w:val="20"/>
          <w:szCs w:val="20"/>
        </w:rPr>
        <w:t xml:space="preserve">IT IS HEREBY FURTHER ORDERED THAT </w:t>
      </w:r>
      <w:r w:rsidRPr="001D6433">
        <w:rPr>
          <w:sz w:val="20"/>
          <w:szCs w:val="20"/>
        </w:rPr>
        <w:t>the said intervener is granted permission to present oral argument not exceeding ten (10) minutes at the hearing of the appeal.</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p>
    <w:p w:rsidR="00F147E3" w:rsidRPr="001D6433" w:rsidRDefault="00F147E3" w:rsidP="00F147E3">
      <w:pPr>
        <w:spacing w:line="230" w:lineRule="auto"/>
        <w:jc w:val="both"/>
        <w:rPr>
          <w:sz w:val="20"/>
          <w:szCs w:val="20"/>
          <w:lang w:val="fr-CA"/>
        </w:rPr>
      </w:pPr>
      <w:r w:rsidRPr="001D6433">
        <w:rPr>
          <w:b/>
          <w:bCs/>
          <w:sz w:val="20"/>
          <w:szCs w:val="20"/>
          <w:lang w:val="fr-CA"/>
        </w:rPr>
        <w:t xml:space="preserve">À LA SUITE DE L’ORDONNANCE </w:t>
      </w:r>
      <w:r w:rsidRPr="001D6433">
        <w:rPr>
          <w:bCs/>
          <w:sz w:val="20"/>
          <w:szCs w:val="20"/>
          <w:lang w:val="fr-CA"/>
        </w:rPr>
        <w:t>datée du 20 décembre 2011 autorisant le procureur général de la Colombie-Britannique à intervenir;</w:t>
      </w:r>
    </w:p>
    <w:p w:rsidR="00F147E3" w:rsidRPr="001D6433" w:rsidRDefault="00F147E3" w:rsidP="00F147E3">
      <w:pPr>
        <w:spacing w:line="230" w:lineRule="auto"/>
        <w:jc w:val="both"/>
        <w:rPr>
          <w:sz w:val="20"/>
          <w:szCs w:val="20"/>
          <w:lang w:val="fr-CA"/>
        </w:rPr>
      </w:pPr>
    </w:p>
    <w:p w:rsidR="00F147E3" w:rsidRPr="001D6433" w:rsidRDefault="00F147E3" w:rsidP="00F147E3">
      <w:pPr>
        <w:spacing w:line="230" w:lineRule="auto"/>
        <w:jc w:val="both"/>
        <w:rPr>
          <w:sz w:val="20"/>
          <w:szCs w:val="20"/>
          <w:lang w:val="fr-CA"/>
        </w:rPr>
      </w:pPr>
      <w:r w:rsidRPr="001D6433">
        <w:rPr>
          <w:b/>
          <w:bCs/>
          <w:sz w:val="20"/>
          <w:szCs w:val="20"/>
          <w:lang w:val="fr-CA"/>
        </w:rPr>
        <w:t xml:space="preserve">IL EST EN OUTRE ORDONNÉ QUE </w:t>
      </w:r>
      <w:r w:rsidRPr="001D6433">
        <w:rPr>
          <w:bCs/>
          <w:sz w:val="20"/>
          <w:szCs w:val="20"/>
          <w:lang w:val="fr-CA"/>
        </w:rPr>
        <w:t xml:space="preserve">cet intervenant pourra présenter une plaidoirie orale d’au plus dix (10) minutes lors de l’audition de l’appel. </w:t>
      </w:r>
    </w:p>
    <w:p w:rsidR="00F147E3" w:rsidRPr="001D6433" w:rsidRDefault="00F147E3" w:rsidP="00F147E3">
      <w:pPr>
        <w:spacing w:line="233" w:lineRule="auto"/>
        <w:jc w:val="both"/>
        <w:rPr>
          <w:sz w:val="20"/>
          <w:szCs w:val="20"/>
          <w:lang w:val="fr-CA"/>
        </w:rPr>
      </w:pPr>
    </w:p>
    <w:p w:rsidR="00F147E3" w:rsidRPr="001D6433" w:rsidRDefault="00FD28BB" w:rsidP="00F147E3">
      <w:pPr>
        <w:tabs>
          <w:tab w:val="left" w:pos="-1440"/>
          <w:tab w:val="left" w:pos="-720"/>
        </w:tabs>
        <w:jc w:val="both"/>
        <w:rPr>
          <w:sz w:val="20"/>
          <w:szCs w:val="20"/>
          <w:lang w:val="fr-CA"/>
        </w:rPr>
      </w:pPr>
      <w:r w:rsidRPr="00FD28BB">
        <w:rPr>
          <w:sz w:val="20"/>
          <w:szCs w:val="20"/>
          <w:lang w:val="fr-CA"/>
        </w:rPr>
        <w:pict>
          <v:rect id="_x0000_i1063" style="width:2in;height:1pt" o:hrpct="0" o:hralign="center" o:hrstd="t" o:hrnoshade="t" o:hr="t" fillcolor="black [3213]" stroked="f"/>
        </w:pict>
      </w:r>
    </w:p>
    <w:p w:rsidR="00F147E3" w:rsidRPr="001D6433" w:rsidRDefault="00F147E3" w:rsidP="00F147E3">
      <w:pPr>
        <w:tabs>
          <w:tab w:val="left" w:pos="-1440"/>
          <w:tab w:val="left" w:pos="-720"/>
        </w:tabs>
        <w:jc w:val="both"/>
        <w:rPr>
          <w:sz w:val="20"/>
          <w:szCs w:val="20"/>
          <w:lang w:val="fr-CA"/>
        </w:rPr>
      </w:pPr>
    </w:p>
    <w:p w:rsidR="00F147E3" w:rsidRDefault="00F147E3">
      <w:pPr>
        <w:rPr>
          <w:sz w:val="20"/>
          <w:szCs w:val="20"/>
        </w:rPr>
      </w:pPr>
      <w:r>
        <w:rPr>
          <w:sz w:val="20"/>
          <w:szCs w:val="20"/>
        </w:rPr>
        <w:br w:type="page"/>
      </w:r>
    </w:p>
    <w:p w:rsidR="00F147E3" w:rsidRPr="001D6433" w:rsidRDefault="00F147E3" w:rsidP="00F147E3">
      <w:pPr>
        <w:tabs>
          <w:tab w:val="left" w:pos="-1440"/>
          <w:tab w:val="left" w:pos="-720"/>
        </w:tabs>
        <w:jc w:val="both"/>
        <w:rPr>
          <w:sz w:val="20"/>
          <w:szCs w:val="20"/>
        </w:rPr>
      </w:pPr>
      <w:r w:rsidRPr="001D6433">
        <w:rPr>
          <w:sz w:val="20"/>
          <w:szCs w:val="20"/>
        </w:rPr>
        <w:t>30.01.2012</w:t>
      </w:r>
    </w:p>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rPr>
      </w:pPr>
      <w:r w:rsidRPr="001D6433">
        <w:rPr>
          <w:sz w:val="20"/>
          <w:szCs w:val="20"/>
        </w:rPr>
        <w:t xml:space="preserve">Before / </w:t>
      </w:r>
      <w:proofErr w:type="spellStart"/>
      <w:proofErr w:type="gramStart"/>
      <w:r w:rsidRPr="001D6433">
        <w:rPr>
          <w:sz w:val="20"/>
          <w:szCs w:val="20"/>
        </w:rPr>
        <w:t>Devant</w:t>
      </w:r>
      <w:proofErr w:type="spellEnd"/>
      <w:r w:rsidRPr="001D6433">
        <w:rPr>
          <w:sz w:val="20"/>
          <w:szCs w:val="20"/>
        </w:rPr>
        <w:t xml:space="preserve"> :</w:t>
      </w:r>
      <w:proofErr w:type="gramEnd"/>
      <w:r w:rsidRPr="001D6433">
        <w:rPr>
          <w:sz w:val="20"/>
          <w:szCs w:val="20"/>
        </w:rPr>
        <w:t xml:space="preserve">   THE DEPUTY REGISTRAR / LA REGISTRAIRE ADJOINTE</w:t>
      </w:r>
    </w:p>
    <w:p w:rsidR="00F147E3" w:rsidRPr="001D6433" w:rsidRDefault="00F147E3" w:rsidP="00F147E3">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147E3" w:rsidRPr="00251B16" w:rsidTr="0053579F">
        <w:tc>
          <w:tcPr>
            <w:tcW w:w="4338" w:type="dxa"/>
          </w:tcPr>
          <w:p w:rsidR="00F147E3" w:rsidRPr="001D6433" w:rsidRDefault="00FD28BB" w:rsidP="0053579F">
            <w:pPr>
              <w:tabs>
                <w:tab w:val="left" w:pos="-1440"/>
                <w:tab w:val="left" w:pos="-720"/>
              </w:tabs>
              <w:jc w:val="both"/>
              <w:rPr>
                <w:b/>
                <w:sz w:val="20"/>
                <w:szCs w:val="20"/>
              </w:rPr>
            </w:pPr>
            <w:r w:rsidRPr="001D6433">
              <w:rPr>
                <w:sz w:val="20"/>
                <w:szCs w:val="20"/>
              </w:rPr>
              <w:fldChar w:fldCharType="begin"/>
            </w:r>
            <w:r w:rsidR="00F147E3" w:rsidRPr="001D6433">
              <w:rPr>
                <w:sz w:val="20"/>
                <w:szCs w:val="20"/>
              </w:rPr>
              <w:instrText xml:space="preserve"> SEQ CHAPTER \h \r 1</w:instrText>
            </w:r>
            <w:r w:rsidRPr="001D6433">
              <w:rPr>
                <w:sz w:val="20"/>
                <w:szCs w:val="20"/>
              </w:rPr>
              <w:fldChar w:fldCharType="end"/>
            </w:r>
            <w:r w:rsidRPr="001D6433">
              <w:rPr>
                <w:sz w:val="20"/>
                <w:szCs w:val="20"/>
              </w:rPr>
              <w:fldChar w:fldCharType="begin"/>
            </w:r>
            <w:r w:rsidR="00F147E3" w:rsidRPr="001D6433">
              <w:rPr>
                <w:sz w:val="20"/>
                <w:szCs w:val="20"/>
              </w:rPr>
              <w:instrText xml:space="preserve"> SEQ CHAPTER \h \r 1</w:instrText>
            </w:r>
            <w:r w:rsidRPr="001D6433">
              <w:rPr>
                <w:sz w:val="20"/>
                <w:szCs w:val="20"/>
              </w:rPr>
              <w:fldChar w:fldCharType="end"/>
            </w:r>
            <w:r w:rsidR="00F147E3" w:rsidRPr="001D6433">
              <w:rPr>
                <w:b/>
                <w:bCs/>
                <w:sz w:val="20"/>
                <w:szCs w:val="20"/>
              </w:rPr>
              <w:t>Motion to file additional documents</w:t>
            </w:r>
            <w:r w:rsidR="00F147E3" w:rsidRPr="001D6433">
              <w:rPr>
                <w:sz w:val="20"/>
                <w:szCs w:val="20"/>
              </w:rPr>
              <w:t xml:space="preserve"> </w:t>
            </w:r>
            <w:r w:rsidR="00F147E3" w:rsidRPr="001D6433">
              <w:rPr>
                <w:b/>
                <w:bCs/>
                <w:sz w:val="20"/>
                <w:szCs w:val="20"/>
              </w:rPr>
              <w:t xml:space="preserve">pursuant to Rule 32(2) of the </w:t>
            </w:r>
            <w:r w:rsidR="00F147E3" w:rsidRPr="001D6433">
              <w:rPr>
                <w:b/>
                <w:bCs/>
                <w:i/>
                <w:iCs/>
                <w:sz w:val="20"/>
                <w:szCs w:val="20"/>
              </w:rPr>
              <w:t>Rules of the Supreme Court of Canada</w:t>
            </w:r>
          </w:p>
        </w:tc>
        <w:tc>
          <w:tcPr>
            <w:tcW w:w="1170" w:type="dxa"/>
          </w:tcPr>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tc>
        <w:tc>
          <w:tcPr>
            <w:tcW w:w="4327" w:type="dxa"/>
          </w:tcPr>
          <w:p w:rsidR="00F147E3" w:rsidRPr="001D6433" w:rsidRDefault="00FD28BB" w:rsidP="0053579F">
            <w:pPr>
              <w:tabs>
                <w:tab w:val="left" w:pos="-1440"/>
                <w:tab w:val="left" w:pos="-720"/>
              </w:tabs>
              <w:jc w:val="both"/>
              <w:rPr>
                <w:sz w:val="20"/>
                <w:szCs w:val="20"/>
                <w:lang w:val="fr-CA"/>
              </w:rPr>
            </w:pP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00F147E3" w:rsidRPr="001D6433">
              <w:rPr>
                <w:b/>
                <w:bCs/>
                <w:sz w:val="20"/>
                <w:szCs w:val="20"/>
                <w:lang w:val="fr-CA"/>
              </w:rPr>
              <w:t>Requête en vue de déposer des documents supplémentaires</w:t>
            </w:r>
            <w:r w:rsidR="00F147E3" w:rsidRPr="001D6433">
              <w:rPr>
                <w:sz w:val="20"/>
                <w:szCs w:val="20"/>
                <w:lang w:val="fr-CA"/>
              </w:rPr>
              <w:t xml:space="preserve"> </w:t>
            </w:r>
            <w:r w:rsidR="00F147E3" w:rsidRPr="001D6433">
              <w:rPr>
                <w:b/>
                <w:bCs/>
                <w:sz w:val="20"/>
                <w:szCs w:val="20"/>
                <w:lang w:val="fr-CA"/>
              </w:rPr>
              <w:t xml:space="preserve">en vertu du paragraphe 32(2) des </w:t>
            </w:r>
            <w:r w:rsidR="00F147E3" w:rsidRPr="001D6433">
              <w:rPr>
                <w:b/>
                <w:bCs/>
                <w:i/>
                <w:iCs/>
                <w:sz w:val="20"/>
                <w:szCs w:val="20"/>
                <w:lang w:val="fr-CA"/>
              </w:rPr>
              <w:t>Règles de la Cour suprême du Canada</w:t>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p>
        </w:tc>
      </w:tr>
      <w:tr w:rsidR="00F147E3" w:rsidRPr="001D6433" w:rsidTr="0053579F">
        <w:tc>
          <w:tcPr>
            <w:tcW w:w="4338" w:type="dxa"/>
          </w:tcPr>
          <w:p w:rsidR="00F147E3" w:rsidRPr="001D6433" w:rsidRDefault="00F147E3" w:rsidP="0053579F">
            <w:pPr>
              <w:tabs>
                <w:tab w:val="left" w:pos="-1440"/>
                <w:tab w:val="left" w:pos="-720"/>
              </w:tabs>
              <w:jc w:val="both"/>
              <w:rPr>
                <w:sz w:val="20"/>
                <w:szCs w:val="20"/>
              </w:rPr>
            </w:pPr>
            <w:r w:rsidRPr="001D6433">
              <w:rPr>
                <w:sz w:val="20"/>
                <w:szCs w:val="20"/>
              </w:rPr>
              <w:t>Kelvin Kingsbury Purdy</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ab/>
              <w:t>v. (34391)</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Her Majesty the Queen (Crim.) (B.C.)</w:t>
            </w:r>
          </w:p>
        </w:tc>
        <w:tc>
          <w:tcPr>
            <w:tcW w:w="1170" w:type="dxa"/>
          </w:tcPr>
          <w:p w:rsidR="00F147E3" w:rsidRPr="001D6433" w:rsidRDefault="00F147E3" w:rsidP="0053579F">
            <w:pPr>
              <w:tabs>
                <w:tab w:val="left" w:pos="-1440"/>
                <w:tab w:val="left" w:pos="-720"/>
              </w:tabs>
              <w:jc w:val="both"/>
              <w:rPr>
                <w:sz w:val="20"/>
                <w:szCs w:val="20"/>
              </w:rPr>
            </w:pPr>
          </w:p>
        </w:tc>
        <w:tc>
          <w:tcPr>
            <w:tcW w:w="4327" w:type="dxa"/>
          </w:tcPr>
          <w:p w:rsidR="00F147E3" w:rsidRPr="001D6433" w:rsidRDefault="00F147E3" w:rsidP="0053579F">
            <w:pPr>
              <w:tabs>
                <w:tab w:val="left" w:pos="-1440"/>
                <w:tab w:val="left" w:pos="-720"/>
              </w:tabs>
              <w:jc w:val="both"/>
              <w:rPr>
                <w:sz w:val="20"/>
                <w:szCs w:val="20"/>
              </w:rPr>
            </w:pPr>
          </w:p>
        </w:tc>
      </w:tr>
    </w:tbl>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b/>
          <w:sz w:val="20"/>
          <w:szCs w:val="20"/>
        </w:rPr>
      </w:pPr>
      <w:r w:rsidRPr="001D6433">
        <w:rPr>
          <w:b/>
          <w:sz w:val="20"/>
          <w:szCs w:val="20"/>
        </w:rPr>
        <w:t>DISMISSED / REJETÉE</w:t>
      </w:r>
    </w:p>
    <w:p w:rsidR="00F147E3" w:rsidRPr="001D6433" w:rsidRDefault="00F147E3" w:rsidP="00F147E3">
      <w:pPr>
        <w:tabs>
          <w:tab w:val="left" w:pos="-1440"/>
          <w:tab w:val="left" w:pos="-720"/>
        </w:tabs>
        <w:jc w:val="both"/>
        <w:rPr>
          <w:sz w:val="20"/>
          <w:szCs w:val="20"/>
        </w:rPr>
      </w:pPr>
    </w:p>
    <w:p w:rsidR="00F147E3" w:rsidRPr="001D6433" w:rsidRDefault="00FD28BB" w:rsidP="00F147E3">
      <w:pPr>
        <w:tabs>
          <w:tab w:val="left" w:pos="-1440"/>
          <w:tab w:val="left" w:pos="-720"/>
        </w:tabs>
        <w:jc w:val="both"/>
        <w:rPr>
          <w:sz w:val="20"/>
          <w:szCs w:val="20"/>
        </w:rPr>
      </w:pPr>
      <w:r w:rsidRPr="00FD28BB">
        <w:rPr>
          <w:sz w:val="20"/>
          <w:szCs w:val="20"/>
          <w:lang w:val="fr-CA"/>
        </w:rPr>
        <w:pict>
          <v:rect id="_x0000_i1064" style="width:2in;height:1pt" o:hrpct="0" o:hralign="center" o:hrstd="t" o:hrnoshade="t" o:hr="t" fillcolor="black [3213]" stroked="f"/>
        </w:pict>
      </w:r>
    </w:p>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lang w:val="fr-CA"/>
        </w:rPr>
      </w:pPr>
      <w:r w:rsidRPr="001D6433">
        <w:rPr>
          <w:sz w:val="20"/>
          <w:szCs w:val="20"/>
          <w:lang w:val="fr-CA"/>
        </w:rPr>
        <w:t>30.01.2012</w: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jc w:val="both"/>
        <w:rPr>
          <w:sz w:val="20"/>
          <w:szCs w:val="20"/>
          <w:lang w:val="fr-CA"/>
        </w:rPr>
      </w:pPr>
      <w:proofErr w:type="spellStart"/>
      <w:r w:rsidRPr="001D6433">
        <w:rPr>
          <w:sz w:val="20"/>
          <w:szCs w:val="20"/>
          <w:lang w:val="fr-CA"/>
        </w:rPr>
        <w:t>Before</w:t>
      </w:r>
      <w:proofErr w:type="spellEnd"/>
      <w:r w:rsidRPr="001D6433">
        <w:rPr>
          <w:sz w:val="20"/>
          <w:szCs w:val="20"/>
          <w:lang w:val="fr-CA"/>
        </w:rPr>
        <w:t xml:space="preserve"> / Devant:   KARAKATSANIS J. / LA JUGE KARAKATSANIS</w:t>
      </w:r>
    </w:p>
    <w:p w:rsidR="00F147E3" w:rsidRPr="001D6433" w:rsidRDefault="00F147E3" w:rsidP="00F147E3">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F147E3" w:rsidRPr="001D6433" w:rsidTr="0053579F">
        <w:tc>
          <w:tcPr>
            <w:tcW w:w="4338" w:type="dxa"/>
            <w:gridSpan w:val="2"/>
          </w:tcPr>
          <w:p w:rsidR="00F147E3" w:rsidRPr="001D6433" w:rsidRDefault="00F147E3" w:rsidP="0053579F">
            <w:pPr>
              <w:rPr>
                <w:b/>
                <w:sz w:val="20"/>
                <w:szCs w:val="20"/>
              </w:rPr>
            </w:pPr>
            <w:r w:rsidRPr="001D6433">
              <w:rPr>
                <w:b/>
                <w:sz w:val="20"/>
                <w:szCs w:val="20"/>
              </w:rPr>
              <w:t>Motions for leave to intervene</w:t>
            </w:r>
            <w:r w:rsidRPr="001D6433">
              <w:rPr>
                <w:sz w:val="20"/>
                <w:szCs w:val="20"/>
              </w:rPr>
              <w:t xml:space="preserve"> </w:t>
            </w:r>
            <w:r w:rsidR="00FD28BB" w:rsidRPr="001D6433">
              <w:rPr>
                <w:sz w:val="20"/>
                <w:szCs w:val="20"/>
              </w:rPr>
              <w:fldChar w:fldCharType="begin"/>
            </w:r>
            <w:r w:rsidRPr="001D6433">
              <w:rPr>
                <w:sz w:val="20"/>
                <w:szCs w:val="20"/>
              </w:rPr>
              <w:instrText xml:space="preserve"> SEQ CHAPTER \h \r 1</w:instrText>
            </w:r>
            <w:r w:rsidR="00FD28BB" w:rsidRPr="001D6433">
              <w:rPr>
                <w:sz w:val="20"/>
                <w:szCs w:val="20"/>
              </w:rPr>
              <w:fldChar w:fldCharType="end"/>
            </w:r>
          </w:p>
        </w:tc>
        <w:tc>
          <w:tcPr>
            <w:tcW w:w="1170" w:type="dxa"/>
          </w:tcPr>
          <w:p w:rsidR="00F147E3" w:rsidRPr="001D6433" w:rsidRDefault="00F147E3" w:rsidP="0053579F">
            <w:pPr>
              <w:rPr>
                <w:sz w:val="20"/>
                <w:szCs w:val="20"/>
              </w:rPr>
            </w:pPr>
          </w:p>
          <w:p w:rsidR="00F147E3" w:rsidRPr="001D6433" w:rsidRDefault="00F147E3" w:rsidP="0053579F">
            <w:pPr>
              <w:rPr>
                <w:sz w:val="20"/>
                <w:szCs w:val="20"/>
              </w:rPr>
            </w:pPr>
          </w:p>
        </w:tc>
        <w:tc>
          <w:tcPr>
            <w:tcW w:w="4327" w:type="dxa"/>
          </w:tcPr>
          <w:p w:rsidR="00F147E3" w:rsidRPr="001D6433" w:rsidRDefault="00F147E3" w:rsidP="0053579F">
            <w:pPr>
              <w:rPr>
                <w:b/>
                <w:sz w:val="20"/>
                <w:szCs w:val="20"/>
              </w:rPr>
            </w:pPr>
            <w:r w:rsidRPr="001D6433">
              <w:rPr>
                <w:b/>
                <w:bCs/>
                <w:sz w:val="20"/>
                <w:szCs w:val="20"/>
                <w:lang w:val="fr-CA"/>
              </w:rPr>
              <w:t>Requêtes en autorisation d’intervenir</w:t>
            </w:r>
            <w:r w:rsidRPr="001D6433">
              <w:rPr>
                <w:sz w:val="20"/>
                <w:szCs w:val="20"/>
              </w:rPr>
              <w:t xml:space="preserve"> </w:t>
            </w:r>
            <w:r w:rsidR="00FD28BB" w:rsidRPr="001D6433">
              <w:rPr>
                <w:sz w:val="20"/>
                <w:szCs w:val="20"/>
              </w:rPr>
              <w:fldChar w:fldCharType="begin"/>
            </w:r>
            <w:r w:rsidRPr="001D6433">
              <w:rPr>
                <w:sz w:val="20"/>
                <w:szCs w:val="20"/>
              </w:rPr>
              <w:instrText xml:space="preserve"> SEQ CHAPTER \h \r 1</w:instrText>
            </w:r>
            <w:r w:rsidR="00FD28BB" w:rsidRPr="001D6433">
              <w:rPr>
                <w:sz w:val="20"/>
                <w:szCs w:val="20"/>
              </w:rPr>
              <w:fldChar w:fldCharType="end"/>
            </w:r>
          </w:p>
        </w:tc>
      </w:tr>
      <w:tr w:rsidR="00F147E3" w:rsidRPr="001D6433" w:rsidTr="0053579F">
        <w:tc>
          <w:tcPr>
            <w:tcW w:w="1368" w:type="dxa"/>
          </w:tcPr>
          <w:p w:rsidR="00F147E3" w:rsidRPr="001D6433" w:rsidRDefault="00F147E3" w:rsidP="0053579F">
            <w:pPr>
              <w:rPr>
                <w:sz w:val="20"/>
                <w:szCs w:val="20"/>
              </w:rPr>
            </w:pPr>
            <w:r w:rsidRPr="001D6433">
              <w:rPr>
                <w:sz w:val="20"/>
                <w:szCs w:val="20"/>
              </w:rPr>
              <w:t>BY / PAR</w:t>
            </w:r>
          </w:p>
        </w:tc>
        <w:tc>
          <w:tcPr>
            <w:tcW w:w="2970" w:type="dxa"/>
          </w:tcPr>
          <w:p w:rsidR="00F147E3" w:rsidRPr="001D6433" w:rsidRDefault="00F147E3" w:rsidP="0053579F">
            <w:pPr>
              <w:rPr>
                <w:sz w:val="20"/>
                <w:szCs w:val="20"/>
              </w:rPr>
            </w:pPr>
            <w:r w:rsidRPr="001D6433">
              <w:rPr>
                <w:sz w:val="20"/>
                <w:szCs w:val="20"/>
              </w:rPr>
              <w:t>Attorney General of Ontario;</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Justice for Children and Youth;</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British Columbia Teachers’ Federation;</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Council of Canadians with Disabilities;</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Ontario Human Rights Commission, Saskatchewan Human Rights Commission and Alberta Human Rights Commission;</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International Dyslexia Association, Ontario Branch;</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lang w:val="fr-CA"/>
              </w:rPr>
            </w:pPr>
          </w:p>
        </w:tc>
        <w:tc>
          <w:tcPr>
            <w:tcW w:w="2970" w:type="dxa"/>
          </w:tcPr>
          <w:p w:rsidR="00F147E3" w:rsidRPr="001D6433" w:rsidRDefault="00F147E3" w:rsidP="0053579F">
            <w:pPr>
              <w:rPr>
                <w:sz w:val="20"/>
                <w:szCs w:val="20"/>
              </w:rPr>
            </w:pPr>
            <w:r w:rsidRPr="001D6433">
              <w:rPr>
                <w:sz w:val="20"/>
                <w:szCs w:val="20"/>
              </w:rPr>
              <w:t>Manitoba Human Rights Commission;</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Learning Disabilities Association of Canada;</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Canadian Constitution Foundation;</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Canadian Association for Community Living;</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Canadian Human Rights Commission;</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251B16"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lang w:val="fr-CA"/>
              </w:rPr>
            </w:pPr>
            <w:r w:rsidRPr="001D6433">
              <w:rPr>
                <w:sz w:val="20"/>
                <w:szCs w:val="20"/>
                <w:lang w:val="fr-CA"/>
              </w:rPr>
              <w:t>Commission des droits de la personne et des droits de la jeunesse;</w:t>
            </w:r>
          </w:p>
        </w:tc>
        <w:tc>
          <w:tcPr>
            <w:tcW w:w="1170" w:type="dxa"/>
          </w:tcPr>
          <w:p w:rsidR="00F147E3" w:rsidRPr="001D6433" w:rsidRDefault="00F147E3" w:rsidP="0053579F">
            <w:pPr>
              <w:rPr>
                <w:sz w:val="20"/>
                <w:szCs w:val="20"/>
                <w:lang w:val="fr-CA"/>
              </w:rPr>
            </w:pPr>
          </w:p>
        </w:tc>
        <w:tc>
          <w:tcPr>
            <w:tcW w:w="4327" w:type="dxa"/>
          </w:tcPr>
          <w:p w:rsidR="00F147E3" w:rsidRPr="001D6433" w:rsidRDefault="00F147E3" w:rsidP="0053579F">
            <w:pPr>
              <w:rPr>
                <w:sz w:val="20"/>
                <w:szCs w:val="20"/>
                <w:lang w:val="fr-CA"/>
              </w:rPr>
            </w:pPr>
          </w:p>
        </w:tc>
      </w:tr>
      <w:tr w:rsidR="00F147E3" w:rsidRPr="001D6433" w:rsidTr="0053579F">
        <w:tc>
          <w:tcPr>
            <w:tcW w:w="1368" w:type="dxa"/>
          </w:tcPr>
          <w:p w:rsidR="00F147E3" w:rsidRPr="001D6433" w:rsidRDefault="00F147E3" w:rsidP="0053579F">
            <w:pPr>
              <w:rPr>
                <w:sz w:val="20"/>
                <w:szCs w:val="20"/>
                <w:lang w:val="fr-CA"/>
              </w:rPr>
            </w:pPr>
          </w:p>
        </w:tc>
        <w:tc>
          <w:tcPr>
            <w:tcW w:w="2970" w:type="dxa"/>
          </w:tcPr>
          <w:p w:rsidR="00F147E3" w:rsidRPr="001D6433" w:rsidRDefault="00F147E3" w:rsidP="0053579F">
            <w:pPr>
              <w:rPr>
                <w:sz w:val="20"/>
                <w:szCs w:val="20"/>
              </w:rPr>
            </w:pPr>
            <w:r w:rsidRPr="001D6433">
              <w:rPr>
                <w:sz w:val="20"/>
                <w:szCs w:val="20"/>
              </w:rPr>
              <w:t>West Coast Women’s Legal Education and Action Fund;</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First Nations Child and Family Caring Society of Canada;</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British Columbia Human Rights Tribunal</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r w:rsidRPr="001D6433">
              <w:rPr>
                <w:sz w:val="20"/>
                <w:szCs w:val="20"/>
              </w:rPr>
              <w:t>IN / DANS :</w:t>
            </w:r>
          </w:p>
        </w:tc>
        <w:tc>
          <w:tcPr>
            <w:tcW w:w="2970" w:type="dxa"/>
          </w:tcPr>
          <w:p w:rsidR="00F147E3" w:rsidRPr="001D6433" w:rsidRDefault="00F147E3" w:rsidP="0053579F">
            <w:pPr>
              <w:rPr>
                <w:sz w:val="20"/>
                <w:szCs w:val="20"/>
              </w:rPr>
            </w:pPr>
            <w:r w:rsidRPr="001D6433">
              <w:rPr>
                <w:sz w:val="20"/>
                <w:szCs w:val="20"/>
              </w:rPr>
              <w:t>Frederick Moore on behalf of Jeffrey P. Moore</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ab/>
              <w:t>v. (34040)</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Her Majesty the Queen in Right of the Province of British Columbia as represented by the Ministry of Education et al. (B.C.)</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r w:rsidRPr="001D6433">
              <w:rPr>
                <w:sz w:val="20"/>
                <w:szCs w:val="20"/>
              </w:rPr>
              <w:t>- and between -</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Frederick Moore on behalf of Jeffrey P. Moore</w:t>
            </w:r>
          </w:p>
          <w:p w:rsidR="00F147E3" w:rsidRPr="001D6433" w:rsidRDefault="00F147E3" w:rsidP="0053579F">
            <w:pPr>
              <w:jc w:val="both"/>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r w:rsidRPr="001D6433">
              <w:rPr>
                <w:sz w:val="20"/>
                <w:szCs w:val="20"/>
              </w:rPr>
              <w:tab/>
              <w:t>v (34040)</w:t>
            </w:r>
          </w:p>
          <w:p w:rsidR="00F147E3" w:rsidRPr="001D6433" w:rsidRDefault="00F147E3" w:rsidP="0053579F">
            <w:pPr>
              <w:jc w:val="both"/>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r w:rsidRPr="001D6433">
              <w:rPr>
                <w:sz w:val="20"/>
                <w:szCs w:val="20"/>
              </w:rPr>
              <w:t>Her Majesty the Queen in Right of the Province of British Columbia as represented by the Ministry of Education et al. (B.C.)</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bl>
    <w:p w:rsidR="00F147E3" w:rsidRPr="001D6433" w:rsidRDefault="00F147E3" w:rsidP="00F147E3">
      <w:pPr>
        <w:jc w:val="both"/>
        <w:rPr>
          <w:sz w:val="20"/>
          <w:szCs w:val="20"/>
        </w:rPr>
      </w:pPr>
    </w:p>
    <w:p w:rsidR="00F147E3" w:rsidRPr="001D6433" w:rsidRDefault="00F147E3" w:rsidP="00F147E3">
      <w:pPr>
        <w:tabs>
          <w:tab w:val="left" w:pos="-1440"/>
          <w:tab w:val="left" w:pos="-720"/>
        </w:tabs>
        <w:jc w:val="both"/>
        <w:rPr>
          <w:sz w:val="20"/>
          <w:szCs w:val="20"/>
        </w:rPr>
      </w:pPr>
      <w:r w:rsidRPr="001D6433">
        <w:rPr>
          <w:b/>
          <w:sz w:val="20"/>
          <w:szCs w:val="20"/>
        </w:rPr>
        <w:t>GRANTED / ACCORDÉES</w:t>
      </w:r>
    </w:p>
    <w:p w:rsidR="00F147E3" w:rsidRPr="001D6433" w:rsidRDefault="00F147E3" w:rsidP="00F147E3">
      <w:pPr>
        <w:tabs>
          <w:tab w:val="left" w:pos="-1440"/>
          <w:tab w:val="left" w:pos="-720"/>
        </w:tabs>
        <w:jc w:val="both"/>
        <w:rPr>
          <w:sz w:val="20"/>
          <w:szCs w:val="20"/>
        </w:rPr>
      </w:pPr>
    </w:p>
    <w:p w:rsidR="00F147E3" w:rsidRPr="001D6433" w:rsidRDefault="00F147E3" w:rsidP="00F147E3">
      <w:pPr>
        <w:spacing w:line="233" w:lineRule="auto"/>
        <w:jc w:val="both"/>
        <w:rPr>
          <w:sz w:val="20"/>
          <w:szCs w:val="20"/>
        </w:rPr>
      </w:pPr>
      <w:r w:rsidRPr="001D6433">
        <w:rPr>
          <w:b/>
          <w:bCs/>
          <w:sz w:val="20"/>
          <w:szCs w:val="20"/>
        </w:rPr>
        <w:t xml:space="preserve">UPON APPLICATIONS </w:t>
      </w:r>
      <w:r w:rsidRPr="001D6433">
        <w:rPr>
          <w:sz w:val="20"/>
          <w:szCs w:val="20"/>
        </w:rPr>
        <w:t xml:space="preserve">by the Attorney General of Ontario, Justice for Children and Youth, the British Columbia Teachers’ Federation, the Council of Canadians with Disabilities, the Ontario Human Rights Commission, Saskatchewan Human Rights Commission and Alberta Human Rights Commission, the International Dyslexia Association, Ontario Branch, the Manitoba Human Rights Commission, the Learning Disabilities Association of Canada, the Canadian Constitution Foundation, the Canadian Association for Community Living, the Canadian Human Rights Commission, the Commission des </w:t>
      </w:r>
      <w:proofErr w:type="spellStart"/>
      <w:r w:rsidRPr="001D6433">
        <w:rPr>
          <w:sz w:val="20"/>
          <w:szCs w:val="20"/>
        </w:rPr>
        <w:t>droits</w:t>
      </w:r>
      <w:proofErr w:type="spellEnd"/>
      <w:r w:rsidRPr="001D6433">
        <w:rPr>
          <w:sz w:val="20"/>
          <w:szCs w:val="20"/>
        </w:rPr>
        <w:t xml:space="preserve"> de la </w:t>
      </w:r>
      <w:proofErr w:type="spellStart"/>
      <w:r w:rsidRPr="001D6433">
        <w:rPr>
          <w:sz w:val="20"/>
          <w:szCs w:val="20"/>
        </w:rPr>
        <w:t>personne</w:t>
      </w:r>
      <w:proofErr w:type="spellEnd"/>
      <w:r w:rsidRPr="001D6433">
        <w:rPr>
          <w:sz w:val="20"/>
          <w:szCs w:val="20"/>
        </w:rPr>
        <w:t xml:space="preserve"> et des </w:t>
      </w:r>
      <w:proofErr w:type="spellStart"/>
      <w:r w:rsidRPr="001D6433">
        <w:rPr>
          <w:sz w:val="20"/>
          <w:szCs w:val="20"/>
        </w:rPr>
        <w:t>droits</w:t>
      </w:r>
      <w:proofErr w:type="spellEnd"/>
      <w:r w:rsidRPr="001D6433">
        <w:rPr>
          <w:sz w:val="20"/>
          <w:szCs w:val="20"/>
        </w:rPr>
        <w:t xml:space="preserve"> de la </w:t>
      </w:r>
      <w:proofErr w:type="spellStart"/>
      <w:r w:rsidRPr="001D6433">
        <w:rPr>
          <w:sz w:val="20"/>
          <w:szCs w:val="20"/>
        </w:rPr>
        <w:t>jeunesse</w:t>
      </w:r>
      <w:proofErr w:type="spellEnd"/>
      <w:r w:rsidRPr="001D6433">
        <w:rPr>
          <w:sz w:val="20"/>
          <w:szCs w:val="20"/>
        </w:rPr>
        <w:t>, the West Coast Women’s Legal Education and Action Fund, the First Nations Child and Family Caring Society and the British Columbia Human Rights Tribunal for leave to intervene in the appeals;</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b/>
          <w:bCs/>
          <w:sz w:val="20"/>
          <w:szCs w:val="20"/>
        </w:rPr>
        <w:t>AND THE MATERIAL FILED</w:t>
      </w:r>
      <w:r w:rsidRPr="001D6433">
        <w:rPr>
          <w:sz w:val="20"/>
          <w:szCs w:val="20"/>
        </w:rPr>
        <w:t xml:space="preserve"> having been read;</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b/>
          <w:bCs/>
          <w:sz w:val="20"/>
          <w:szCs w:val="20"/>
        </w:rPr>
        <w:t>IT IS HEREBY ORDERED THAT:</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 xml:space="preserve">The motions for leave to intervene of the Attorney General of Ontario, Justice for Children and Youth, the British Columbia Teachers’ Federation, the Council of Canadians with Disabilities, the Ontario Human Rights Commission, Saskatchewan Human Rights Commission and Alberta Human Rights Commission, the International Dyslexia Association, Ontario Branch, the Manitoba Human Rights Commission, the Learning Disabilities Association of Canada, the Canadian Constitution Foundation, the Canadian Association for Community Living, the Canadian Human Rights Commission, the Commission des </w:t>
      </w:r>
      <w:proofErr w:type="spellStart"/>
      <w:r w:rsidRPr="001D6433">
        <w:rPr>
          <w:sz w:val="20"/>
          <w:szCs w:val="20"/>
        </w:rPr>
        <w:t>droits</w:t>
      </w:r>
      <w:proofErr w:type="spellEnd"/>
      <w:r w:rsidRPr="001D6433">
        <w:rPr>
          <w:sz w:val="20"/>
          <w:szCs w:val="20"/>
        </w:rPr>
        <w:t xml:space="preserve"> de la </w:t>
      </w:r>
      <w:proofErr w:type="spellStart"/>
      <w:r w:rsidRPr="001D6433">
        <w:rPr>
          <w:sz w:val="20"/>
          <w:szCs w:val="20"/>
        </w:rPr>
        <w:t>personne</w:t>
      </w:r>
      <w:proofErr w:type="spellEnd"/>
      <w:r w:rsidRPr="001D6433">
        <w:rPr>
          <w:sz w:val="20"/>
          <w:szCs w:val="20"/>
        </w:rPr>
        <w:t xml:space="preserve"> et des </w:t>
      </w:r>
      <w:proofErr w:type="spellStart"/>
      <w:r w:rsidRPr="001D6433">
        <w:rPr>
          <w:sz w:val="20"/>
          <w:szCs w:val="20"/>
        </w:rPr>
        <w:t>droits</w:t>
      </w:r>
      <w:proofErr w:type="spellEnd"/>
      <w:r w:rsidRPr="001D6433">
        <w:rPr>
          <w:sz w:val="20"/>
          <w:szCs w:val="20"/>
        </w:rPr>
        <w:t xml:space="preserve"> de la </w:t>
      </w:r>
      <w:proofErr w:type="spellStart"/>
      <w:r w:rsidRPr="001D6433">
        <w:rPr>
          <w:sz w:val="20"/>
          <w:szCs w:val="20"/>
        </w:rPr>
        <w:t>jeunesse</w:t>
      </w:r>
      <w:proofErr w:type="spellEnd"/>
      <w:r w:rsidRPr="001D6433">
        <w:rPr>
          <w:sz w:val="20"/>
          <w:szCs w:val="20"/>
        </w:rPr>
        <w:t>, the West Coast Women’s Legal Education and Action Fund, the First Nations Child and Family Caring Society and the British Columbia Human Rights Tribunal are granted and the said interveners shall be entitled to serve and file a single factum not to exceed 10 pages in length on or before March 8, 2012.</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The requests to present oral argument are deferred to a date following receipt and consideration of the written arguments of the parties and the interveners.</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The interveners shall not be entitled to raise new issues or to adduce further evidence or otherwise to supplement the record of the parties.</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Pursuant to Rule 59(1</w:t>
      </w:r>
      <w:proofErr w:type="gramStart"/>
      <w:r w:rsidRPr="001D6433">
        <w:rPr>
          <w:sz w:val="20"/>
          <w:szCs w:val="20"/>
        </w:rPr>
        <w:t>)(</w:t>
      </w:r>
      <w:proofErr w:type="gramEnd"/>
      <w:r w:rsidRPr="001D6433">
        <w:rPr>
          <w:i/>
          <w:iCs/>
          <w:sz w:val="20"/>
          <w:szCs w:val="20"/>
        </w:rPr>
        <w:t>a</w:t>
      </w:r>
      <w:r w:rsidRPr="001D6433">
        <w:rPr>
          <w:sz w:val="20"/>
          <w:szCs w:val="20"/>
        </w:rPr>
        <w:t xml:space="preserve">) of the </w:t>
      </w:r>
      <w:r w:rsidRPr="001D6433">
        <w:rPr>
          <w:i/>
          <w:iCs/>
          <w:sz w:val="20"/>
          <w:szCs w:val="20"/>
        </w:rPr>
        <w:t>Rules of the Supreme Court of Canada</w:t>
      </w:r>
      <w:r w:rsidRPr="001D6433">
        <w:rPr>
          <w:sz w:val="20"/>
          <w:szCs w:val="20"/>
        </w:rPr>
        <w:t>, the interveners shall pay to the appellants and respondents any additional disbursements occasioned to the appellants and respondents by their interventions.</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p>
    <w:p w:rsidR="00F147E3" w:rsidRPr="001D6433" w:rsidRDefault="00F147E3" w:rsidP="00F147E3">
      <w:pPr>
        <w:jc w:val="both"/>
        <w:rPr>
          <w:b/>
          <w:bCs/>
          <w:sz w:val="20"/>
          <w:szCs w:val="20"/>
        </w:rPr>
      </w:pPr>
    </w:p>
    <w:p w:rsidR="00F147E3" w:rsidRPr="001D6433" w:rsidRDefault="00F147E3" w:rsidP="00F147E3">
      <w:pPr>
        <w:jc w:val="both"/>
        <w:rPr>
          <w:sz w:val="20"/>
          <w:szCs w:val="20"/>
          <w:lang w:val="fr-FR"/>
        </w:rPr>
      </w:pPr>
      <w:r w:rsidRPr="001D6433">
        <w:rPr>
          <w:b/>
          <w:bCs/>
          <w:sz w:val="20"/>
          <w:szCs w:val="20"/>
          <w:lang w:val="fr-CA"/>
        </w:rPr>
        <w:t>À LA SUITE DES DEMANDES</w:t>
      </w:r>
      <w:r w:rsidRPr="001D6433">
        <w:rPr>
          <w:sz w:val="20"/>
          <w:szCs w:val="20"/>
          <w:lang w:val="fr-CA"/>
        </w:rPr>
        <w:t xml:space="preserve"> présentées par le Procureur général de l'Ontario,</w:t>
      </w:r>
      <w:r w:rsidRPr="001D6433">
        <w:rPr>
          <w:sz w:val="20"/>
          <w:szCs w:val="20"/>
          <w:lang w:val="fr-FR"/>
        </w:rPr>
        <w:t xml:space="preserve"> Justice for </w:t>
      </w:r>
      <w:proofErr w:type="spellStart"/>
      <w:r w:rsidRPr="001D6433">
        <w:rPr>
          <w:sz w:val="20"/>
          <w:szCs w:val="20"/>
          <w:lang w:val="fr-FR"/>
        </w:rPr>
        <w:t>Children</w:t>
      </w:r>
      <w:proofErr w:type="spellEnd"/>
      <w:r w:rsidRPr="001D6433">
        <w:rPr>
          <w:sz w:val="20"/>
          <w:szCs w:val="20"/>
          <w:lang w:val="fr-FR"/>
        </w:rPr>
        <w:t xml:space="preserve"> and </w:t>
      </w:r>
      <w:proofErr w:type="spellStart"/>
      <w:r w:rsidRPr="001D6433">
        <w:rPr>
          <w:sz w:val="20"/>
          <w:szCs w:val="20"/>
          <w:lang w:val="fr-FR"/>
        </w:rPr>
        <w:t>Youth</w:t>
      </w:r>
      <w:proofErr w:type="spellEnd"/>
      <w:r w:rsidRPr="001D6433">
        <w:rPr>
          <w:sz w:val="20"/>
          <w:szCs w:val="20"/>
          <w:lang w:val="fr-FR"/>
        </w:rPr>
        <w:t>,</w:t>
      </w:r>
      <w:r w:rsidRPr="001D6433">
        <w:rPr>
          <w:sz w:val="20"/>
          <w:szCs w:val="20"/>
          <w:lang w:val="fr-CA"/>
        </w:rPr>
        <w:t xml:space="preserve"> la British Columbia </w:t>
      </w:r>
      <w:proofErr w:type="spellStart"/>
      <w:r w:rsidRPr="001D6433">
        <w:rPr>
          <w:sz w:val="20"/>
          <w:szCs w:val="20"/>
          <w:lang w:val="fr-CA"/>
        </w:rPr>
        <w:t>Teachers</w:t>
      </w:r>
      <w:proofErr w:type="spellEnd"/>
      <w:r w:rsidRPr="001D6433">
        <w:rPr>
          <w:sz w:val="20"/>
          <w:szCs w:val="20"/>
          <w:lang w:val="fr-CA"/>
        </w:rPr>
        <w:t xml:space="preserve">’ </w:t>
      </w:r>
      <w:proofErr w:type="spellStart"/>
      <w:r w:rsidRPr="001D6433">
        <w:rPr>
          <w:sz w:val="20"/>
          <w:szCs w:val="20"/>
          <w:lang w:val="fr-CA"/>
        </w:rPr>
        <w:t>Federation</w:t>
      </w:r>
      <w:proofErr w:type="spellEnd"/>
      <w:r w:rsidRPr="001D6433">
        <w:rPr>
          <w:sz w:val="20"/>
          <w:szCs w:val="20"/>
          <w:lang w:val="fr-CA"/>
        </w:rPr>
        <w:t xml:space="preserve">, le </w:t>
      </w:r>
      <w:r w:rsidRPr="001D6433">
        <w:rPr>
          <w:bCs/>
          <w:sz w:val="20"/>
          <w:szCs w:val="20"/>
          <w:lang w:val="fr-CA"/>
        </w:rPr>
        <w:t>Conseil des Canadiens avec déficiences</w:t>
      </w:r>
      <w:r w:rsidRPr="001D6433">
        <w:rPr>
          <w:sz w:val="20"/>
          <w:szCs w:val="20"/>
          <w:lang w:val="fr-CA"/>
        </w:rPr>
        <w:t xml:space="preserve">, la </w:t>
      </w:r>
      <w:r w:rsidRPr="001D6433">
        <w:rPr>
          <w:bCs/>
          <w:sz w:val="20"/>
          <w:szCs w:val="20"/>
          <w:lang w:val="fr-CA"/>
        </w:rPr>
        <w:t>Commission ontarienne des droits de la personne</w:t>
      </w:r>
      <w:r w:rsidRPr="001D6433">
        <w:rPr>
          <w:sz w:val="20"/>
          <w:szCs w:val="20"/>
          <w:lang w:val="fr-CA"/>
        </w:rPr>
        <w:t xml:space="preserve">, Saskatchewan </w:t>
      </w:r>
      <w:proofErr w:type="spellStart"/>
      <w:r w:rsidRPr="001D6433">
        <w:rPr>
          <w:sz w:val="20"/>
          <w:szCs w:val="20"/>
          <w:lang w:val="fr-CA"/>
        </w:rPr>
        <w:t>Human</w:t>
      </w:r>
      <w:proofErr w:type="spellEnd"/>
      <w:r w:rsidRPr="001D6433">
        <w:rPr>
          <w:sz w:val="20"/>
          <w:szCs w:val="20"/>
          <w:lang w:val="fr-CA"/>
        </w:rPr>
        <w:t xml:space="preserve"> </w:t>
      </w:r>
      <w:proofErr w:type="spellStart"/>
      <w:r w:rsidRPr="001D6433">
        <w:rPr>
          <w:sz w:val="20"/>
          <w:szCs w:val="20"/>
          <w:lang w:val="fr-CA"/>
        </w:rPr>
        <w:t>Rights</w:t>
      </w:r>
      <w:proofErr w:type="spellEnd"/>
      <w:r w:rsidRPr="001D6433">
        <w:rPr>
          <w:sz w:val="20"/>
          <w:szCs w:val="20"/>
          <w:lang w:val="fr-CA"/>
        </w:rPr>
        <w:t xml:space="preserve"> Commission et Alberta </w:t>
      </w:r>
      <w:proofErr w:type="spellStart"/>
      <w:r w:rsidRPr="001D6433">
        <w:rPr>
          <w:sz w:val="20"/>
          <w:szCs w:val="20"/>
          <w:lang w:val="fr-CA"/>
        </w:rPr>
        <w:t>Human</w:t>
      </w:r>
      <w:proofErr w:type="spellEnd"/>
      <w:r w:rsidRPr="001D6433">
        <w:rPr>
          <w:sz w:val="20"/>
          <w:szCs w:val="20"/>
          <w:lang w:val="fr-CA"/>
        </w:rPr>
        <w:t xml:space="preserve"> </w:t>
      </w:r>
      <w:proofErr w:type="spellStart"/>
      <w:r w:rsidRPr="001D6433">
        <w:rPr>
          <w:sz w:val="20"/>
          <w:szCs w:val="20"/>
          <w:lang w:val="fr-CA"/>
        </w:rPr>
        <w:t>Rights</w:t>
      </w:r>
      <w:proofErr w:type="spellEnd"/>
      <w:r w:rsidRPr="001D6433">
        <w:rPr>
          <w:sz w:val="20"/>
          <w:szCs w:val="20"/>
          <w:lang w:val="fr-CA"/>
        </w:rPr>
        <w:t xml:space="preserve"> Commission, l’International </w:t>
      </w:r>
      <w:proofErr w:type="spellStart"/>
      <w:r w:rsidRPr="001D6433">
        <w:rPr>
          <w:sz w:val="20"/>
          <w:szCs w:val="20"/>
          <w:lang w:val="fr-CA"/>
        </w:rPr>
        <w:t>Dyslexia</w:t>
      </w:r>
      <w:proofErr w:type="spellEnd"/>
      <w:r w:rsidRPr="001D6433">
        <w:rPr>
          <w:sz w:val="20"/>
          <w:szCs w:val="20"/>
          <w:lang w:val="fr-CA"/>
        </w:rPr>
        <w:t xml:space="preserve"> Association, Ontario Branch, la </w:t>
      </w:r>
      <w:r w:rsidRPr="001D6433">
        <w:rPr>
          <w:bCs/>
          <w:sz w:val="20"/>
          <w:szCs w:val="20"/>
          <w:lang w:val="fr-FR"/>
        </w:rPr>
        <w:t>Commission des droits de la personne du Manitoba</w:t>
      </w:r>
      <w:r w:rsidRPr="001D6433">
        <w:rPr>
          <w:sz w:val="20"/>
          <w:szCs w:val="20"/>
          <w:lang w:val="fr-CA"/>
        </w:rPr>
        <w:t xml:space="preserve">, les </w:t>
      </w:r>
      <w:r w:rsidRPr="001D6433">
        <w:rPr>
          <w:bCs/>
          <w:sz w:val="20"/>
          <w:szCs w:val="20"/>
          <w:lang w:val="fr-FR"/>
        </w:rPr>
        <w:t>Troubles d'Apprentissage - Association canadienne</w:t>
      </w:r>
      <w:r w:rsidRPr="001D6433">
        <w:rPr>
          <w:sz w:val="20"/>
          <w:szCs w:val="20"/>
          <w:lang w:val="fr-CA"/>
        </w:rPr>
        <w:t xml:space="preserve">, la Canadian Constitution </w:t>
      </w:r>
      <w:proofErr w:type="spellStart"/>
      <w:r w:rsidRPr="001D6433">
        <w:rPr>
          <w:sz w:val="20"/>
          <w:szCs w:val="20"/>
          <w:lang w:val="fr-CA"/>
        </w:rPr>
        <w:t>Foundation</w:t>
      </w:r>
      <w:proofErr w:type="spellEnd"/>
      <w:r w:rsidRPr="001D6433">
        <w:rPr>
          <w:sz w:val="20"/>
          <w:szCs w:val="20"/>
          <w:lang w:val="fr-CA"/>
        </w:rPr>
        <w:t>, l’</w:t>
      </w:r>
      <w:r w:rsidRPr="001D6433">
        <w:rPr>
          <w:bCs/>
          <w:sz w:val="20"/>
          <w:szCs w:val="20"/>
          <w:lang w:val="fr-FR"/>
        </w:rPr>
        <w:t>Association canadienne pour l'intégration communautaire</w:t>
      </w:r>
      <w:r w:rsidRPr="001D6433">
        <w:rPr>
          <w:sz w:val="20"/>
          <w:szCs w:val="20"/>
          <w:lang w:val="fr-CA"/>
        </w:rPr>
        <w:t xml:space="preserve">,  la </w:t>
      </w:r>
      <w:r w:rsidRPr="001D6433">
        <w:rPr>
          <w:bCs/>
          <w:sz w:val="20"/>
          <w:szCs w:val="20"/>
          <w:lang w:val="fr-FR"/>
        </w:rPr>
        <w:t>Commission canadienne des droits de la personne</w:t>
      </w:r>
      <w:r w:rsidRPr="001D6433">
        <w:rPr>
          <w:sz w:val="20"/>
          <w:szCs w:val="20"/>
          <w:lang w:val="fr-CA"/>
        </w:rPr>
        <w:t xml:space="preserve">, la Commission des droits de la personne et des droits de la jeunesse, le West </w:t>
      </w:r>
      <w:proofErr w:type="spellStart"/>
      <w:r w:rsidRPr="001D6433">
        <w:rPr>
          <w:sz w:val="20"/>
          <w:szCs w:val="20"/>
          <w:lang w:val="fr-CA"/>
        </w:rPr>
        <w:t>Coast</w:t>
      </w:r>
      <w:proofErr w:type="spellEnd"/>
      <w:r w:rsidRPr="001D6433">
        <w:rPr>
          <w:sz w:val="20"/>
          <w:szCs w:val="20"/>
          <w:lang w:val="fr-CA"/>
        </w:rPr>
        <w:t xml:space="preserve"> </w:t>
      </w:r>
      <w:proofErr w:type="spellStart"/>
      <w:r w:rsidRPr="001D6433">
        <w:rPr>
          <w:sz w:val="20"/>
          <w:szCs w:val="20"/>
          <w:lang w:val="fr-CA"/>
        </w:rPr>
        <w:t>Women’s</w:t>
      </w:r>
      <w:proofErr w:type="spellEnd"/>
      <w:r w:rsidRPr="001D6433">
        <w:rPr>
          <w:sz w:val="20"/>
          <w:szCs w:val="20"/>
          <w:lang w:val="fr-CA"/>
        </w:rPr>
        <w:t xml:space="preserve"> </w:t>
      </w:r>
      <w:proofErr w:type="spellStart"/>
      <w:r w:rsidRPr="001D6433">
        <w:rPr>
          <w:sz w:val="20"/>
          <w:szCs w:val="20"/>
          <w:lang w:val="fr-CA"/>
        </w:rPr>
        <w:t>Legal</w:t>
      </w:r>
      <w:proofErr w:type="spellEnd"/>
      <w:r w:rsidRPr="001D6433">
        <w:rPr>
          <w:sz w:val="20"/>
          <w:szCs w:val="20"/>
          <w:lang w:val="fr-CA"/>
        </w:rPr>
        <w:t xml:space="preserve"> </w:t>
      </w:r>
      <w:proofErr w:type="spellStart"/>
      <w:r w:rsidRPr="001D6433">
        <w:rPr>
          <w:sz w:val="20"/>
          <w:szCs w:val="20"/>
          <w:lang w:val="fr-CA"/>
        </w:rPr>
        <w:t>Education</w:t>
      </w:r>
      <w:proofErr w:type="spellEnd"/>
      <w:r w:rsidRPr="001D6433">
        <w:rPr>
          <w:sz w:val="20"/>
          <w:szCs w:val="20"/>
          <w:lang w:val="fr-CA"/>
        </w:rPr>
        <w:t xml:space="preserve"> and Action </w:t>
      </w:r>
      <w:proofErr w:type="spellStart"/>
      <w:r w:rsidRPr="001D6433">
        <w:rPr>
          <w:sz w:val="20"/>
          <w:szCs w:val="20"/>
          <w:lang w:val="fr-CA"/>
        </w:rPr>
        <w:t>Fund</w:t>
      </w:r>
      <w:proofErr w:type="spellEnd"/>
      <w:r w:rsidRPr="001D6433">
        <w:rPr>
          <w:sz w:val="20"/>
          <w:szCs w:val="20"/>
          <w:lang w:val="fr-CA"/>
        </w:rPr>
        <w:t xml:space="preserve">, la First </w:t>
      </w:r>
      <w:r w:rsidRPr="001D6433">
        <w:rPr>
          <w:sz w:val="20"/>
          <w:szCs w:val="20"/>
          <w:lang w:val="fr-FR"/>
        </w:rPr>
        <w:t xml:space="preserve">Nations Child and </w:t>
      </w:r>
      <w:proofErr w:type="spellStart"/>
      <w:r w:rsidRPr="001D6433">
        <w:rPr>
          <w:sz w:val="20"/>
          <w:szCs w:val="20"/>
          <w:lang w:val="fr-FR"/>
        </w:rPr>
        <w:t>Family</w:t>
      </w:r>
      <w:proofErr w:type="spellEnd"/>
      <w:r w:rsidRPr="001D6433">
        <w:rPr>
          <w:sz w:val="20"/>
          <w:szCs w:val="20"/>
          <w:lang w:val="fr-FR"/>
        </w:rPr>
        <w:t xml:space="preserve"> </w:t>
      </w:r>
      <w:proofErr w:type="spellStart"/>
      <w:r w:rsidRPr="001D6433">
        <w:rPr>
          <w:sz w:val="20"/>
          <w:szCs w:val="20"/>
          <w:lang w:val="fr-FR"/>
        </w:rPr>
        <w:t>Caring</w:t>
      </w:r>
      <w:proofErr w:type="spellEnd"/>
      <w:r w:rsidRPr="001D6433">
        <w:rPr>
          <w:sz w:val="20"/>
          <w:szCs w:val="20"/>
          <w:lang w:val="fr-FR"/>
        </w:rPr>
        <w:t xml:space="preserve"> Society et le British Columbia </w:t>
      </w:r>
      <w:proofErr w:type="spellStart"/>
      <w:r w:rsidRPr="001D6433">
        <w:rPr>
          <w:sz w:val="20"/>
          <w:szCs w:val="20"/>
          <w:lang w:val="fr-FR"/>
        </w:rPr>
        <w:t>Human</w:t>
      </w:r>
      <w:proofErr w:type="spellEnd"/>
      <w:r w:rsidRPr="001D6433">
        <w:rPr>
          <w:sz w:val="20"/>
          <w:szCs w:val="20"/>
          <w:lang w:val="fr-FR"/>
        </w:rPr>
        <w:t xml:space="preserve"> </w:t>
      </w:r>
      <w:proofErr w:type="spellStart"/>
      <w:r w:rsidRPr="001D6433">
        <w:rPr>
          <w:sz w:val="20"/>
          <w:szCs w:val="20"/>
          <w:lang w:val="fr-FR"/>
        </w:rPr>
        <w:t>Rights</w:t>
      </w:r>
      <w:proofErr w:type="spellEnd"/>
      <w:r w:rsidRPr="001D6433">
        <w:rPr>
          <w:sz w:val="20"/>
          <w:szCs w:val="20"/>
          <w:lang w:val="fr-FR"/>
        </w:rPr>
        <w:t xml:space="preserve"> Tribunal </w:t>
      </w:r>
      <w:r w:rsidRPr="001D6433">
        <w:rPr>
          <w:sz w:val="20"/>
          <w:szCs w:val="20"/>
          <w:lang w:val="fr-CA"/>
        </w:rPr>
        <w:t>en vue d'intervenir dans les appels;</w:t>
      </w:r>
    </w:p>
    <w:p w:rsidR="00F147E3" w:rsidRPr="001D6433" w:rsidRDefault="00F147E3" w:rsidP="00F147E3">
      <w:pPr>
        <w:jc w:val="both"/>
        <w:rPr>
          <w:sz w:val="20"/>
          <w:szCs w:val="20"/>
          <w:lang w:val="fr-CA"/>
        </w:rPr>
      </w:pPr>
    </w:p>
    <w:p w:rsidR="00F147E3" w:rsidRPr="001D6433" w:rsidRDefault="00F147E3" w:rsidP="00F147E3">
      <w:pPr>
        <w:rPr>
          <w:sz w:val="20"/>
          <w:szCs w:val="20"/>
          <w:lang w:val="fr-CA"/>
        </w:rPr>
      </w:pPr>
      <w:r w:rsidRPr="001D6433">
        <w:rPr>
          <w:b/>
          <w:bCs/>
          <w:sz w:val="20"/>
          <w:szCs w:val="20"/>
          <w:lang w:val="fr-CA"/>
        </w:rPr>
        <w:t>ET APRÈS EXAMEN</w:t>
      </w:r>
      <w:r w:rsidRPr="001D6433">
        <w:rPr>
          <w:sz w:val="20"/>
          <w:szCs w:val="20"/>
          <w:lang w:val="fr-CA"/>
        </w:rPr>
        <w:t xml:space="preserve"> des documents déposés;</w:t>
      </w:r>
    </w:p>
    <w:p w:rsidR="00F147E3" w:rsidRPr="001D6433" w:rsidRDefault="00F147E3" w:rsidP="00F147E3">
      <w:pPr>
        <w:rPr>
          <w:sz w:val="20"/>
          <w:szCs w:val="20"/>
          <w:lang w:val="fr-CA"/>
        </w:rPr>
      </w:pPr>
    </w:p>
    <w:p w:rsidR="00F147E3" w:rsidRPr="001D6433" w:rsidRDefault="00F147E3" w:rsidP="00F147E3">
      <w:pPr>
        <w:rPr>
          <w:sz w:val="20"/>
          <w:szCs w:val="20"/>
          <w:lang w:val="fr-CA"/>
        </w:rPr>
      </w:pPr>
      <w:r w:rsidRPr="001D6433">
        <w:rPr>
          <w:b/>
          <w:bCs/>
          <w:sz w:val="20"/>
          <w:szCs w:val="20"/>
          <w:lang w:val="fr-CA"/>
        </w:rPr>
        <w:t xml:space="preserve">IL EST ORDONNÉ CE QUI SUIT : </w:t>
      </w:r>
    </w:p>
    <w:p w:rsidR="00F147E3" w:rsidRPr="001D6433" w:rsidRDefault="00F147E3" w:rsidP="00F147E3">
      <w:pPr>
        <w:rPr>
          <w:sz w:val="20"/>
          <w:szCs w:val="20"/>
          <w:lang w:val="fr-CA"/>
        </w:rPr>
      </w:pPr>
    </w:p>
    <w:p w:rsidR="00F147E3" w:rsidRPr="001D6433" w:rsidRDefault="00F147E3" w:rsidP="00F147E3">
      <w:pPr>
        <w:jc w:val="both"/>
        <w:rPr>
          <w:sz w:val="20"/>
          <w:szCs w:val="20"/>
          <w:lang w:val="fr-CA"/>
        </w:rPr>
      </w:pPr>
      <w:r w:rsidRPr="001D6433">
        <w:rPr>
          <w:sz w:val="20"/>
          <w:szCs w:val="20"/>
          <w:lang w:val="fr-CA"/>
        </w:rPr>
        <w:t xml:space="preserve">Les requêtes en autorisation d’intervenir présentées par le Procureur général de l'Ontario, </w:t>
      </w:r>
      <w:r w:rsidRPr="001D6433">
        <w:rPr>
          <w:sz w:val="20"/>
          <w:szCs w:val="20"/>
          <w:lang w:val="fr-FR"/>
        </w:rPr>
        <w:t xml:space="preserve">Justice for </w:t>
      </w:r>
      <w:proofErr w:type="spellStart"/>
      <w:r w:rsidRPr="001D6433">
        <w:rPr>
          <w:sz w:val="20"/>
          <w:szCs w:val="20"/>
          <w:lang w:val="fr-FR"/>
        </w:rPr>
        <w:t>Children</w:t>
      </w:r>
      <w:proofErr w:type="spellEnd"/>
      <w:r w:rsidRPr="001D6433">
        <w:rPr>
          <w:sz w:val="20"/>
          <w:szCs w:val="20"/>
          <w:lang w:val="fr-FR"/>
        </w:rPr>
        <w:t xml:space="preserve"> and </w:t>
      </w:r>
      <w:proofErr w:type="spellStart"/>
      <w:r w:rsidRPr="001D6433">
        <w:rPr>
          <w:sz w:val="20"/>
          <w:szCs w:val="20"/>
          <w:lang w:val="fr-FR"/>
        </w:rPr>
        <w:t>Youth</w:t>
      </w:r>
      <w:proofErr w:type="spellEnd"/>
      <w:r w:rsidRPr="001D6433">
        <w:rPr>
          <w:sz w:val="20"/>
          <w:szCs w:val="20"/>
          <w:lang w:val="fr-FR"/>
        </w:rPr>
        <w:t>,</w:t>
      </w:r>
      <w:r w:rsidRPr="001D6433">
        <w:rPr>
          <w:sz w:val="20"/>
          <w:szCs w:val="20"/>
          <w:lang w:val="fr-CA"/>
        </w:rPr>
        <w:t xml:space="preserve"> la British Columbia </w:t>
      </w:r>
      <w:proofErr w:type="spellStart"/>
      <w:r w:rsidRPr="001D6433">
        <w:rPr>
          <w:sz w:val="20"/>
          <w:szCs w:val="20"/>
          <w:lang w:val="fr-CA"/>
        </w:rPr>
        <w:t>Teachers</w:t>
      </w:r>
      <w:proofErr w:type="spellEnd"/>
      <w:r w:rsidRPr="001D6433">
        <w:rPr>
          <w:sz w:val="20"/>
          <w:szCs w:val="20"/>
          <w:lang w:val="fr-CA"/>
        </w:rPr>
        <w:t xml:space="preserve">’ </w:t>
      </w:r>
      <w:proofErr w:type="spellStart"/>
      <w:r w:rsidRPr="001D6433">
        <w:rPr>
          <w:sz w:val="20"/>
          <w:szCs w:val="20"/>
          <w:lang w:val="fr-CA"/>
        </w:rPr>
        <w:t>Federation</w:t>
      </w:r>
      <w:proofErr w:type="spellEnd"/>
      <w:r w:rsidRPr="001D6433">
        <w:rPr>
          <w:sz w:val="20"/>
          <w:szCs w:val="20"/>
          <w:lang w:val="fr-CA"/>
        </w:rPr>
        <w:t xml:space="preserve">, le </w:t>
      </w:r>
      <w:r w:rsidRPr="001D6433">
        <w:rPr>
          <w:bCs/>
          <w:sz w:val="20"/>
          <w:szCs w:val="20"/>
          <w:lang w:val="fr-CA"/>
        </w:rPr>
        <w:t>Conseil des Canadiens avec déficiences</w:t>
      </w:r>
      <w:r w:rsidRPr="001D6433">
        <w:rPr>
          <w:sz w:val="20"/>
          <w:szCs w:val="20"/>
          <w:lang w:val="fr-CA"/>
        </w:rPr>
        <w:t xml:space="preserve">, la </w:t>
      </w:r>
      <w:r w:rsidRPr="001D6433">
        <w:rPr>
          <w:bCs/>
          <w:sz w:val="20"/>
          <w:szCs w:val="20"/>
          <w:lang w:val="fr-CA"/>
        </w:rPr>
        <w:t>Commission ontarienne des droits de la personne</w:t>
      </w:r>
      <w:r w:rsidRPr="001D6433">
        <w:rPr>
          <w:sz w:val="20"/>
          <w:szCs w:val="20"/>
          <w:lang w:val="fr-CA"/>
        </w:rPr>
        <w:t xml:space="preserve">, Saskatchewan </w:t>
      </w:r>
      <w:proofErr w:type="spellStart"/>
      <w:r w:rsidRPr="001D6433">
        <w:rPr>
          <w:sz w:val="20"/>
          <w:szCs w:val="20"/>
          <w:lang w:val="fr-CA"/>
        </w:rPr>
        <w:t>Human</w:t>
      </w:r>
      <w:proofErr w:type="spellEnd"/>
      <w:r w:rsidRPr="001D6433">
        <w:rPr>
          <w:sz w:val="20"/>
          <w:szCs w:val="20"/>
          <w:lang w:val="fr-CA"/>
        </w:rPr>
        <w:t xml:space="preserve"> </w:t>
      </w:r>
      <w:proofErr w:type="spellStart"/>
      <w:r w:rsidRPr="001D6433">
        <w:rPr>
          <w:sz w:val="20"/>
          <w:szCs w:val="20"/>
          <w:lang w:val="fr-CA"/>
        </w:rPr>
        <w:t>Rights</w:t>
      </w:r>
      <w:proofErr w:type="spellEnd"/>
      <w:r w:rsidRPr="001D6433">
        <w:rPr>
          <w:sz w:val="20"/>
          <w:szCs w:val="20"/>
          <w:lang w:val="fr-CA"/>
        </w:rPr>
        <w:t xml:space="preserve"> Commission et Alberta </w:t>
      </w:r>
      <w:proofErr w:type="spellStart"/>
      <w:r w:rsidRPr="001D6433">
        <w:rPr>
          <w:sz w:val="20"/>
          <w:szCs w:val="20"/>
          <w:lang w:val="fr-CA"/>
        </w:rPr>
        <w:t>Human</w:t>
      </w:r>
      <w:proofErr w:type="spellEnd"/>
      <w:r w:rsidRPr="001D6433">
        <w:rPr>
          <w:sz w:val="20"/>
          <w:szCs w:val="20"/>
          <w:lang w:val="fr-CA"/>
        </w:rPr>
        <w:t xml:space="preserve"> </w:t>
      </w:r>
      <w:proofErr w:type="spellStart"/>
      <w:r w:rsidRPr="001D6433">
        <w:rPr>
          <w:sz w:val="20"/>
          <w:szCs w:val="20"/>
          <w:lang w:val="fr-CA"/>
        </w:rPr>
        <w:t>Rights</w:t>
      </w:r>
      <w:proofErr w:type="spellEnd"/>
      <w:r w:rsidRPr="001D6433">
        <w:rPr>
          <w:sz w:val="20"/>
          <w:szCs w:val="20"/>
          <w:lang w:val="fr-CA"/>
        </w:rPr>
        <w:t xml:space="preserve"> Commission, l’International </w:t>
      </w:r>
      <w:proofErr w:type="spellStart"/>
      <w:r w:rsidRPr="001D6433">
        <w:rPr>
          <w:sz w:val="20"/>
          <w:szCs w:val="20"/>
          <w:lang w:val="fr-CA"/>
        </w:rPr>
        <w:t>Dyslexia</w:t>
      </w:r>
      <w:proofErr w:type="spellEnd"/>
      <w:r w:rsidRPr="001D6433">
        <w:rPr>
          <w:sz w:val="20"/>
          <w:szCs w:val="20"/>
          <w:lang w:val="fr-CA"/>
        </w:rPr>
        <w:t xml:space="preserve"> Association, Ontario Branch, la </w:t>
      </w:r>
      <w:r w:rsidRPr="001D6433">
        <w:rPr>
          <w:bCs/>
          <w:sz w:val="20"/>
          <w:szCs w:val="20"/>
          <w:lang w:val="fr-FR"/>
        </w:rPr>
        <w:t>Commission des droits de la personne du Manitoba</w:t>
      </w:r>
      <w:r w:rsidRPr="001D6433">
        <w:rPr>
          <w:sz w:val="20"/>
          <w:szCs w:val="20"/>
          <w:lang w:val="fr-CA"/>
        </w:rPr>
        <w:t xml:space="preserve">, les </w:t>
      </w:r>
      <w:r w:rsidRPr="001D6433">
        <w:rPr>
          <w:bCs/>
          <w:sz w:val="20"/>
          <w:szCs w:val="20"/>
          <w:lang w:val="fr-FR"/>
        </w:rPr>
        <w:t>Troubles d'Apprentissage - Association canadienne</w:t>
      </w:r>
      <w:r w:rsidRPr="001D6433">
        <w:rPr>
          <w:sz w:val="20"/>
          <w:szCs w:val="20"/>
          <w:lang w:val="fr-CA"/>
        </w:rPr>
        <w:t xml:space="preserve">, la Canadian Constitution </w:t>
      </w:r>
      <w:proofErr w:type="spellStart"/>
      <w:r w:rsidRPr="001D6433">
        <w:rPr>
          <w:sz w:val="20"/>
          <w:szCs w:val="20"/>
          <w:lang w:val="fr-CA"/>
        </w:rPr>
        <w:t>Foundation</w:t>
      </w:r>
      <w:proofErr w:type="spellEnd"/>
      <w:r w:rsidRPr="001D6433">
        <w:rPr>
          <w:sz w:val="20"/>
          <w:szCs w:val="20"/>
          <w:lang w:val="fr-CA"/>
        </w:rPr>
        <w:t>, l’</w:t>
      </w:r>
      <w:r w:rsidRPr="001D6433">
        <w:rPr>
          <w:bCs/>
          <w:sz w:val="20"/>
          <w:szCs w:val="20"/>
          <w:lang w:val="fr-FR"/>
        </w:rPr>
        <w:t>Association canadienne pour l'intégration communautaire</w:t>
      </w:r>
      <w:r w:rsidRPr="001D6433">
        <w:rPr>
          <w:sz w:val="20"/>
          <w:szCs w:val="20"/>
          <w:lang w:val="fr-CA"/>
        </w:rPr>
        <w:t xml:space="preserve">,  la </w:t>
      </w:r>
      <w:r w:rsidRPr="001D6433">
        <w:rPr>
          <w:bCs/>
          <w:sz w:val="20"/>
          <w:szCs w:val="20"/>
          <w:lang w:val="fr-FR"/>
        </w:rPr>
        <w:t>Commission canadienne des droits de la personne</w:t>
      </w:r>
      <w:r w:rsidRPr="001D6433">
        <w:rPr>
          <w:sz w:val="20"/>
          <w:szCs w:val="20"/>
          <w:lang w:val="fr-CA"/>
        </w:rPr>
        <w:t xml:space="preserve">, la Commission des droits de la personne et des droits de la jeunesse, le West </w:t>
      </w:r>
      <w:proofErr w:type="spellStart"/>
      <w:r w:rsidRPr="001D6433">
        <w:rPr>
          <w:sz w:val="20"/>
          <w:szCs w:val="20"/>
          <w:lang w:val="fr-CA"/>
        </w:rPr>
        <w:t>Coast</w:t>
      </w:r>
      <w:proofErr w:type="spellEnd"/>
      <w:r w:rsidRPr="001D6433">
        <w:rPr>
          <w:sz w:val="20"/>
          <w:szCs w:val="20"/>
          <w:lang w:val="fr-CA"/>
        </w:rPr>
        <w:t xml:space="preserve"> </w:t>
      </w:r>
      <w:proofErr w:type="spellStart"/>
      <w:r w:rsidRPr="001D6433">
        <w:rPr>
          <w:sz w:val="20"/>
          <w:szCs w:val="20"/>
          <w:lang w:val="fr-CA"/>
        </w:rPr>
        <w:t>Women’s</w:t>
      </w:r>
      <w:proofErr w:type="spellEnd"/>
      <w:r w:rsidRPr="001D6433">
        <w:rPr>
          <w:sz w:val="20"/>
          <w:szCs w:val="20"/>
          <w:lang w:val="fr-CA"/>
        </w:rPr>
        <w:t xml:space="preserve"> </w:t>
      </w:r>
      <w:proofErr w:type="spellStart"/>
      <w:r w:rsidRPr="001D6433">
        <w:rPr>
          <w:sz w:val="20"/>
          <w:szCs w:val="20"/>
          <w:lang w:val="fr-CA"/>
        </w:rPr>
        <w:t>Legal</w:t>
      </w:r>
      <w:proofErr w:type="spellEnd"/>
      <w:r w:rsidRPr="001D6433">
        <w:rPr>
          <w:sz w:val="20"/>
          <w:szCs w:val="20"/>
          <w:lang w:val="fr-CA"/>
        </w:rPr>
        <w:t xml:space="preserve"> </w:t>
      </w:r>
      <w:proofErr w:type="spellStart"/>
      <w:r w:rsidRPr="001D6433">
        <w:rPr>
          <w:sz w:val="20"/>
          <w:szCs w:val="20"/>
          <w:lang w:val="fr-CA"/>
        </w:rPr>
        <w:t>Education</w:t>
      </w:r>
      <w:proofErr w:type="spellEnd"/>
      <w:r w:rsidRPr="001D6433">
        <w:rPr>
          <w:sz w:val="20"/>
          <w:szCs w:val="20"/>
          <w:lang w:val="fr-CA"/>
        </w:rPr>
        <w:t xml:space="preserve"> and Action </w:t>
      </w:r>
      <w:proofErr w:type="spellStart"/>
      <w:r w:rsidRPr="001D6433">
        <w:rPr>
          <w:sz w:val="20"/>
          <w:szCs w:val="20"/>
          <w:lang w:val="fr-CA"/>
        </w:rPr>
        <w:t>Fund</w:t>
      </w:r>
      <w:proofErr w:type="spellEnd"/>
      <w:r w:rsidRPr="001D6433">
        <w:rPr>
          <w:sz w:val="20"/>
          <w:szCs w:val="20"/>
          <w:lang w:val="fr-CA"/>
        </w:rPr>
        <w:t xml:space="preserve">, la First </w:t>
      </w:r>
      <w:r w:rsidRPr="001D6433">
        <w:rPr>
          <w:sz w:val="20"/>
          <w:szCs w:val="20"/>
          <w:lang w:val="fr-FR"/>
        </w:rPr>
        <w:t xml:space="preserve">Nations Child and </w:t>
      </w:r>
      <w:proofErr w:type="spellStart"/>
      <w:r w:rsidRPr="001D6433">
        <w:rPr>
          <w:sz w:val="20"/>
          <w:szCs w:val="20"/>
          <w:lang w:val="fr-FR"/>
        </w:rPr>
        <w:t>Family</w:t>
      </w:r>
      <w:proofErr w:type="spellEnd"/>
      <w:r w:rsidRPr="001D6433">
        <w:rPr>
          <w:sz w:val="20"/>
          <w:szCs w:val="20"/>
          <w:lang w:val="fr-FR"/>
        </w:rPr>
        <w:t xml:space="preserve"> </w:t>
      </w:r>
      <w:proofErr w:type="spellStart"/>
      <w:r w:rsidRPr="001D6433">
        <w:rPr>
          <w:sz w:val="20"/>
          <w:szCs w:val="20"/>
          <w:lang w:val="fr-FR"/>
        </w:rPr>
        <w:t>Caring</w:t>
      </w:r>
      <w:proofErr w:type="spellEnd"/>
      <w:r w:rsidRPr="001D6433">
        <w:rPr>
          <w:sz w:val="20"/>
          <w:szCs w:val="20"/>
          <w:lang w:val="fr-FR"/>
        </w:rPr>
        <w:t xml:space="preserve"> Society et le British Columbia </w:t>
      </w:r>
      <w:proofErr w:type="spellStart"/>
      <w:r w:rsidRPr="001D6433">
        <w:rPr>
          <w:sz w:val="20"/>
          <w:szCs w:val="20"/>
          <w:lang w:val="fr-FR"/>
        </w:rPr>
        <w:t>Human</w:t>
      </w:r>
      <w:proofErr w:type="spellEnd"/>
      <w:r w:rsidRPr="001D6433">
        <w:rPr>
          <w:sz w:val="20"/>
          <w:szCs w:val="20"/>
          <w:lang w:val="fr-FR"/>
        </w:rPr>
        <w:t xml:space="preserve"> </w:t>
      </w:r>
      <w:proofErr w:type="spellStart"/>
      <w:r w:rsidRPr="001D6433">
        <w:rPr>
          <w:sz w:val="20"/>
          <w:szCs w:val="20"/>
          <w:lang w:val="fr-FR"/>
        </w:rPr>
        <w:t>Rights</w:t>
      </w:r>
      <w:proofErr w:type="spellEnd"/>
      <w:r w:rsidRPr="001D6433">
        <w:rPr>
          <w:sz w:val="20"/>
          <w:szCs w:val="20"/>
          <w:lang w:val="fr-FR"/>
        </w:rPr>
        <w:t xml:space="preserve"> Tribunal sont</w:t>
      </w:r>
      <w:r w:rsidRPr="001D6433">
        <w:rPr>
          <w:sz w:val="20"/>
          <w:szCs w:val="20"/>
          <w:lang w:val="fr-CA"/>
        </w:rPr>
        <w:t xml:space="preserve"> accueillies. Les intervenants auront le droit de signifier et déposer un seul mémoire d'au plus 10 pages le ou avant le 8 mars 2012.</w:t>
      </w:r>
    </w:p>
    <w:p w:rsidR="00F147E3" w:rsidRPr="001D6433" w:rsidRDefault="00F147E3" w:rsidP="00F147E3">
      <w:pPr>
        <w:rPr>
          <w:i/>
          <w:iCs/>
          <w:sz w:val="20"/>
          <w:szCs w:val="20"/>
          <w:lang w:val="fr-CA"/>
        </w:rPr>
      </w:pPr>
    </w:p>
    <w:p w:rsidR="00F147E3" w:rsidRPr="001D6433" w:rsidRDefault="00F147E3" w:rsidP="00F147E3">
      <w:pPr>
        <w:jc w:val="both"/>
        <w:rPr>
          <w:sz w:val="20"/>
          <w:szCs w:val="20"/>
          <w:lang w:val="fr-CA"/>
        </w:rPr>
      </w:pPr>
      <w:r w:rsidRPr="001D6433">
        <w:rPr>
          <w:sz w:val="20"/>
          <w:szCs w:val="20"/>
          <w:lang w:val="fr-CA"/>
        </w:rPr>
        <w:t>La décision sur les demandes en vue de présenter une plaidoirie orale sera rendue après réception et examen des arguments écrits des parties et des intervenants.</w:t>
      </w:r>
    </w:p>
    <w:p w:rsidR="00F147E3" w:rsidRPr="001D6433" w:rsidRDefault="00F147E3" w:rsidP="00F147E3">
      <w:pPr>
        <w:rPr>
          <w:sz w:val="20"/>
          <w:szCs w:val="20"/>
          <w:lang w:val="fr-CA"/>
        </w:rPr>
      </w:pPr>
    </w:p>
    <w:p w:rsidR="00F147E3" w:rsidRPr="001D6433" w:rsidRDefault="00F147E3" w:rsidP="00F147E3">
      <w:pPr>
        <w:jc w:val="both"/>
        <w:rPr>
          <w:sz w:val="20"/>
          <w:szCs w:val="20"/>
          <w:lang w:val="fr-CA"/>
        </w:rPr>
      </w:pPr>
      <w:r w:rsidRPr="001D6433">
        <w:rPr>
          <w:sz w:val="20"/>
          <w:szCs w:val="20"/>
          <w:lang w:val="fr-CA"/>
        </w:rPr>
        <w:t>Les intervenants n'ont pas le droit de soulever de nouvelles questions, de produire d'autres éléments de preuve ni de compléter de quelque autre façon le dossier des parties.</w:t>
      </w:r>
    </w:p>
    <w:p w:rsidR="00F147E3" w:rsidRPr="001D6433" w:rsidRDefault="00F147E3" w:rsidP="00F147E3">
      <w:pPr>
        <w:rPr>
          <w:sz w:val="20"/>
          <w:szCs w:val="20"/>
          <w:lang w:val="fr-CA"/>
        </w:rPr>
      </w:pPr>
    </w:p>
    <w:p w:rsidR="00F147E3" w:rsidRPr="001D6433" w:rsidRDefault="00F147E3" w:rsidP="00F147E3">
      <w:pPr>
        <w:jc w:val="both"/>
        <w:rPr>
          <w:sz w:val="20"/>
          <w:szCs w:val="20"/>
          <w:lang w:val="fr-CA"/>
        </w:rPr>
      </w:pPr>
      <w:r w:rsidRPr="001D6433">
        <w:rPr>
          <w:sz w:val="20"/>
          <w:szCs w:val="20"/>
          <w:lang w:val="fr-CA"/>
        </w:rPr>
        <w:t>Conformément à l'alinéa 59(1)</w:t>
      </w:r>
      <w:r w:rsidRPr="001D6433">
        <w:rPr>
          <w:i/>
          <w:iCs/>
          <w:sz w:val="20"/>
          <w:szCs w:val="20"/>
          <w:lang w:val="fr-CA"/>
        </w:rPr>
        <w:t>a</w:t>
      </w:r>
      <w:r w:rsidRPr="001D6433">
        <w:rPr>
          <w:sz w:val="20"/>
          <w:szCs w:val="20"/>
          <w:lang w:val="fr-CA"/>
        </w:rPr>
        <w:t xml:space="preserve">) des </w:t>
      </w:r>
      <w:r w:rsidRPr="001D6433">
        <w:rPr>
          <w:i/>
          <w:iCs/>
          <w:sz w:val="20"/>
          <w:szCs w:val="20"/>
          <w:lang w:val="fr-CA"/>
        </w:rPr>
        <w:t>Règles de la Cour suprême du Canada</w:t>
      </w:r>
      <w:r w:rsidRPr="001D6433">
        <w:rPr>
          <w:sz w:val="20"/>
          <w:szCs w:val="20"/>
          <w:lang w:val="fr-CA"/>
        </w:rPr>
        <w:t>, les intervenants paieront aux appelants et aux intimés tous débours supplémentaires résultant de leur intervention.</w:t>
      </w:r>
    </w:p>
    <w:p w:rsidR="00F147E3" w:rsidRPr="001D6433" w:rsidRDefault="00F147E3" w:rsidP="00F147E3">
      <w:pPr>
        <w:tabs>
          <w:tab w:val="left" w:pos="-1440"/>
          <w:tab w:val="left" w:pos="-720"/>
        </w:tabs>
        <w:jc w:val="both"/>
        <w:rPr>
          <w:sz w:val="20"/>
          <w:szCs w:val="20"/>
          <w:lang w:val="fr-CA"/>
        </w:rPr>
      </w:pPr>
    </w:p>
    <w:p w:rsidR="00F147E3" w:rsidRPr="001D6433" w:rsidRDefault="00FD28BB" w:rsidP="00F147E3">
      <w:pPr>
        <w:tabs>
          <w:tab w:val="left" w:pos="-1440"/>
          <w:tab w:val="left" w:pos="-720"/>
        </w:tabs>
        <w:jc w:val="both"/>
        <w:rPr>
          <w:sz w:val="20"/>
          <w:szCs w:val="20"/>
        </w:rPr>
      </w:pPr>
      <w:r w:rsidRPr="00FD28BB">
        <w:rPr>
          <w:sz w:val="20"/>
          <w:szCs w:val="20"/>
          <w:lang w:val="fr-CA"/>
        </w:rPr>
        <w:pict>
          <v:rect id="_x0000_i1065" style="width:2in;height:1pt" o:hrpct="0" o:hralign="center" o:hrstd="t" o:hrnoshade="t" o:hr="t" fillcolor="black [3213]" stroked="f"/>
        </w:pict>
      </w:r>
    </w:p>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lang w:val="fr-CA"/>
        </w:rPr>
      </w:pPr>
      <w:r w:rsidRPr="001D6433">
        <w:rPr>
          <w:sz w:val="20"/>
          <w:szCs w:val="20"/>
          <w:lang w:val="fr-CA"/>
        </w:rPr>
        <w:t>22.11.2011</w: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sz w:val="20"/>
          <w:szCs w:val="20"/>
          <w:lang w:val="fr-CA"/>
        </w:rPr>
      </w:pPr>
      <w:proofErr w:type="spellStart"/>
      <w:r w:rsidRPr="001D6433">
        <w:rPr>
          <w:sz w:val="20"/>
          <w:szCs w:val="20"/>
          <w:lang w:val="fr-CA"/>
        </w:rPr>
        <w:t>Before</w:t>
      </w:r>
      <w:proofErr w:type="spellEnd"/>
      <w:r w:rsidRPr="001D6433">
        <w:rPr>
          <w:sz w:val="20"/>
          <w:szCs w:val="20"/>
          <w:lang w:val="fr-CA"/>
        </w:rPr>
        <w:t xml:space="preserve"> / Devant:   CROMWELL J. / LE JUGE CROMWELL</w:t>
      </w:r>
    </w:p>
    <w:p w:rsidR="00F147E3" w:rsidRPr="001D6433" w:rsidRDefault="00F147E3" w:rsidP="00F147E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F147E3" w:rsidRPr="00251B16" w:rsidTr="0053579F">
        <w:tc>
          <w:tcPr>
            <w:tcW w:w="4338" w:type="dxa"/>
            <w:gridSpan w:val="2"/>
          </w:tcPr>
          <w:p w:rsidR="00F147E3" w:rsidRPr="001D6433" w:rsidRDefault="00F147E3" w:rsidP="0053579F">
            <w:pPr>
              <w:jc w:val="both"/>
              <w:rPr>
                <w:b/>
                <w:sz w:val="20"/>
                <w:szCs w:val="20"/>
              </w:rPr>
            </w:pPr>
            <w:r w:rsidRPr="001D6433">
              <w:rPr>
                <w:b/>
                <w:sz w:val="20"/>
                <w:szCs w:val="20"/>
              </w:rPr>
              <w:t>Order on interventions with respect to oral argument and misc</w:t>
            </w:r>
            <w:r w:rsidR="00FD28BB" w:rsidRPr="001D6433">
              <w:rPr>
                <w:sz w:val="20"/>
                <w:szCs w:val="20"/>
              </w:rPr>
              <w:fldChar w:fldCharType="begin"/>
            </w:r>
            <w:r w:rsidRPr="001D6433">
              <w:rPr>
                <w:sz w:val="20"/>
                <w:szCs w:val="20"/>
              </w:rPr>
              <w:instrText xml:space="preserve"> SEQ CHAPTER \h \r 1</w:instrText>
            </w:r>
            <w:r w:rsidR="00FD28BB" w:rsidRPr="001D6433">
              <w:rPr>
                <w:sz w:val="20"/>
                <w:szCs w:val="20"/>
              </w:rPr>
              <w:fldChar w:fldCharType="end"/>
            </w:r>
            <w:r w:rsidRPr="001D6433">
              <w:rPr>
                <w:b/>
                <w:bCs/>
                <w:sz w:val="20"/>
                <w:szCs w:val="20"/>
              </w:rPr>
              <w:t>ellaneous motion</w:t>
            </w:r>
            <w:r w:rsidRPr="001D6433">
              <w:rPr>
                <w:b/>
                <w:sz w:val="20"/>
                <w:szCs w:val="20"/>
              </w:rPr>
              <w:t xml:space="preserve"> </w:t>
            </w:r>
            <w:r w:rsidR="00FD28BB" w:rsidRPr="001D6433">
              <w:rPr>
                <w:sz w:val="20"/>
                <w:szCs w:val="20"/>
              </w:rPr>
              <w:fldChar w:fldCharType="begin"/>
            </w:r>
            <w:r w:rsidRPr="001D6433">
              <w:rPr>
                <w:sz w:val="20"/>
                <w:szCs w:val="20"/>
              </w:rPr>
              <w:instrText xml:space="preserve"> SEQ CHAPTER \h \r 1</w:instrText>
            </w:r>
            <w:r w:rsidR="00FD28BB" w:rsidRPr="001D6433">
              <w:rPr>
                <w:sz w:val="20"/>
                <w:szCs w:val="20"/>
              </w:rPr>
              <w:fldChar w:fldCharType="end"/>
            </w:r>
          </w:p>
        </w:tc>
        <w:tc>
          <w:tcPr>
            <w:tcW w:w="1170" w:type="dxa"/>
          </w:tcPr>
          <w:p w:rsidR="00F147E3" w:rsidRPr="001D6433" w:rsidRDefault="00F147E3" w:rsidP="0053579F">
            <w:pPr>
              <w:rPr>
                <w:sz w:val="20"/>
                <w:szCs w:val="20"/>
              </w:rPr>
            </w:pPr>
          </w:p>
          <w:p w:rsidR="00F147E3" w:rsidRPr="001D6433" w:rsidRDefault="00F147E3" w:rsidP="0053579F">
            <w:pPr>
              <w:rPr>
                <w:sz w:val="20"/>
                <w:szCs w:val="20"/>
              </w:rPr>
            </w:pPr>
          </w:p>
          <w:p w:rsidR="00F147E3" w:rsidRPr="001D6433" w:rsidRDefault="00F147E3" w:rsidP="0053579F">
            <w:pPr>
              <w:rPr>
                <w:sz w:val="20"/>
                <w:szCs w:val="20"/>
              </w:rPr>
            </w:pPr>
          </w:p>
          <w:p w:rsidR="00F147E3" w:rsidRPr="001D6433" w:rsidRDefault="00F147E3" w:rsidP="0053579F">
            <w:pPr>
              <w:rPr>
                <w:sz w:val="20"/>
                <w:szCs w:val="20"/>
              </w:rPr>
            </w:pPr>
          </w:p>
        </w:tc>
        <w:tc>
          <w:tcPr>
            <w:tcW w:w="4327" w:type="dxa"/>
          </w:tcPr>
          <w:p w:rsidR="00F147E3" w:rsidRPr="001D6433" w:rsidRDefault="00F147E3" w:rsidP="0053579F">
            <w:pPr>
              <w:jc w:val="both"/>
              <w:rPr>
                <w:b/>
                <w:sz w:val="20"/>
                <w:szCs w:val="20"/>
                <w:lang w:val="fr-CA"/>
              </w:rPr>
            </w:pPr>
            <w:r w:rsidRPr="001D6433">
              <w:rPr>
                <w:b/>
                <w:sz w:val="20"/>
                <w:szCs w:val="20"/>
                <w:lang w:val="fr-CA"/>
              </w:rPr>
              <w:t>Ordonnance relative à la présentation d’une plaidoirie orale par les intervenants et r</w:t>
            </w:r>
            <w:r w:rsidR="00FD28BB" w:rsidRPr="001D6433">
              <w:rPr>
                <w:sz w:val="20"/>
                <w:szCs w:val="20"/>
              </w:rPr>
              <w:fldChar w:fldCharType="begin"/>
            </w:r>
            <w:r w:rsidRPr="001D6433">
              <w:rPr>
                <w:sz w:val="20"/>
                <w:szCs w:val="20"/>
                <w:lang w:val="fr-CA"/>
              </w:rPr>
              <w:instrText xml:space="preserve"> SEQ CHAPTER \h \r 1</w:instrText>
            </w:r>
            <w:r w:rsidR="00FD28BB" w:rsidRPr="001D6433">
              <w:rPr>
                <w:sz w:val="20"/>
                <w:szCs w:val="20"/>
              </w:rPr>
              <w:fldChar w:fldCharType="end"/>
            </w:r>
            <w:r w:rsidRPr="001D6433">
              <w:rPr>
                <w:b/>
                <w:bCs/>
                <w:sz w:val="20"/>
                <w:szCs w:val="20"/>
                <w:lang w:val="fr-CA"/>
              </w:rPr>
              <w:t>equête diverse</w:t>
            </w:r>
            <w:r w:rsidRPr="001D6433">
              <w:rPr>
                <w:sz w:val="20"/>
                <w:szCs w:val="20"/>
                <w:lang w:val="fr-CA"/>
              </w:rPr>
              <w:t xml:space="preserve"> </w:t>
            </w:r>
            <w:r w:rsidR="00FD28BB" w:rsidRPr="001D6433">
              <w:rPr>
                <w:sz w:val="20"/>
                <w:szCs w:val="20"/>
              </w:rPr>
              <w:fldChar w:fldCharType="begin"/>
            </w:r>
            <w:r w:rsidRPr="001D6433">
              <w:rPr>
                <w:sz w:val="20"/>
                <w:szCs w:val="20"/>
                <w:lang w:val="fr-CA"/>
              </w:rPr>
              <w:instrText xml:space="preserve"> SEQ CHAPTER \h \r 1</w:instrText>
            </w:r>
            <w:r w:rsidR="00FD28BB" w:rsidRPr="001D6433">
              <w:rPr>
                <w:sz w:val="20"/>
                <w:szCs w:val="20"/>
              </w:rPr>
              <w:fldChar w:fldCharType="end"/>
            </w:r>
          </w:p>
        </w:tc>
      </w:tr>
      <w:tr w:rsidR="00F147E3" w:rsidRPr="001D6433" w:rsidTr="0053579F">
        <w:tc>
          <w:tcPr>
            <w:tcW w:w="1368" w:type="dxa"/>
          </w:tcPr>
          <w:p w:rsidR="00F147E3" w:rsidRPr="001D6433" w:rsidRDefault="00F147E3" w:rsidP="0053579F">
            <w:pPr>
              <w:rPr>
                <w:sz w:val="20"/>
                <w:szCs w:val="20"/>
              </w:rPr>
            </w:pPr>
            <w:r w:rsidRPr="001D6433">
              <w:rPr>
                <w:sz w:val="20"/>
                <w:szCs w:val="20"/>
              </w:rPr>
              <w:t>RE:</w:t>
            </w:r>
          </w:p>
        </w:tc>
        <w:tc>
          <w:tcPr>
            <w:tcW w:w="2970" w:type="dxa"/>
          </w:tcPr>
          <w:p w:rsidR="00F147E3" w:rsidRPr="001D6433" w:rsidRDefault="00F147E3" w:rsidP="0053579F">
            <w:pPr>
              <w:rPr>
                <w:sz w:val="20"/>
                <w:szCs w:val="20"/>
              </w:rPr>
            </w:pPr>
            <w:r w:rsidRPr="001D6433">
              <w:rPr>
                <w:sz w:val="20"/>
                <w:szCs w:val="20"/>
              </w:rPr>
              <w:t xml:space="preserve">Canadian HIV/AIDS Legal Network, HIV &amp; AIDS Legal Clinic Ontario, Coalition des </w:t>
            </w:r>
            <w:proofErr w:type="spellStart"/>
            <w:r w:rsidRPr="001D6433">
              <w:rPr>
                <w:sz w:val="20"/>
                <w:szCs w:val="20"/>
              </w:rPr>
              <w:t>organismes</w:t>
            </w:r>
            <w:proofErr w:type="spellEnd"/>
            <w:r w:rsidRPr="001D6433">
              <w:rPr>
                <w:sz w:val="20"/>
                <w:szCs w:val="20"/>
              </w:rPr>
              <w:t xml:space="preserve"> </w:t>
            </w:r>
            <w:proofErr w:type="spellStart"/>
            <w:r w:rsidRPr="001D6433">
              <w:rPr>
                <w:sz w:val="20"/>
                <w:szCs w:val="20"/>
              </w:rPr>
              <w:t>communautaires</w:t>
            </w:r>
            <w:proofErr w:type="spellEnd"/>
            <w:r w:rsidRPr="001D6433">
              <w:rPr>
                <w:sz w:val="20"/>
                <w:szCs w:val="20"/>
              </w:rPr>
              <w:t xml:space="preserve"> </w:t>
            </w:r>
            <w:proofErr w:type="spellStart"/>
            <w:r w:rsidRPr="001D6433">
              <w:rPr>
                <w:sz w:val="20"/>
                <w:szCs w:val="20"/>
              </w:rPr>
              <w:t>québécois</w:t>
            </w:r>
            <w:proofErr w:type="spellEnd"/>
            <w:r w:rsidRPr="001D6433">
              <w:rPr>
                <w:sz w:val="20"/>
                <w:szCs w:val="20"/>
              </w:rPr>
              <w:t xml:space="preserve"> de </w:t>
            </w:r>
            <w:proofErr w:type="spellStart"/>
            <w:r w:rsidRPr="001D6433">
              <w:rPr>
                <w:sz w:val="20"/>
                <w:szCs w:val="20"/>
              </w:rPr>
              <w:t>lutte</w:t>
            </w:r>
            <w:proofErr w:type="spellEnd"/>
            <w:r w:rsidRPr="001D6433">
              <w:rPr>
                <w:sz w:val="20"/>
                <w:szCs w:val="20"/>
              </w:rPr>
              <w:t xml:space="preserve"> </w:t>
            </w:r>
            <w:proofErr w:type="spellStart"/>
            <w:r w:rsidRPr="001D6433">
              <w:rPr>
                <w:sz w:val="20"/>
                <w:szCs w:val="20"/>
              </w:rPr>
              <w:t>contre</w:t>
            </w:r>
            <w:proofErr w:type="spellEnd"/>
            <w:r w:rsidRPr="001D6433">
              <w:rPr>
                <w:sz w:val="20"/>
                <w:szCs w:val="20"/>
              </w:rPr>
              <w:t xml:space="preserve"> le </w:t>
            </w:r>
            <w:proofErr w:type="spellStart"/>
            <w:r w:rsidRPr="001D6433">
              <w:rPr>
                <w:sz w:val="20"/>
                <w:szCs w:val="20"/>
              </w:rPr>
              <w:t>sida</w:t>
            </w:r>
            <w:proofErr w:type="spellEnd"/>
            <w:r w:rsidRPr="001D6433">
              <w:rPr>
                <w:sz w:val="20"/>
                <w:szCs w:val="20"/>
              </w:rPr>
              <w:t>, Positive Living Society of British Columbia, Canadian AIDS Society, Toronto People With AIDS Foundation, Black Coalition for AIDS Prevention and Canadian Aboriginal AIDS Network</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Criminal Lawyers' Association of Ontario;</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British Columbia Civil Liberties Association;</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Attorney General of Alberta;</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251B16"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lang w:val="fr-CA"/>
              </w:rPr>
            </w:pPr>
            <w:r w:rsidRPr="001D6433">
              <w:rPr>
                <w:sz w:val="20"/>
                <w:szCs w:val="20"/>
                <w:lang w:val="fr-CA"/>
              </w:rPr>
              <w:t>Institut National de santé publique du Québec;</w:t>
            </w:r>
          </w:p>
          <w:p w:rsidR="00F147E3" w:rsidRPr="001D6433" w:rsidRDefault="00F147E3" w:rsidP="0053579F">
            <w:pPr>
              <w:rPr>
                <w:sz w:val="20"/>
                <w:szCs w:val="20"/>
                <w:lang w:val="fr-CA"/>
              </w:rPr>
            </w:pPr>
          </w:p>
        </w:tc>
        <w:tc>
          <w:tcPr>
            <w:tcW w:w="1170" w:type="dxa"/>
          </w:tcPr>
          <w:p w:rsidR="00F147E3" w:rsidRPr="001D6433" w:rsidRDefault="00F147E3" w:rsidP="0053579F">
            <w:pPr>
              <w:rPr>
                <w:sz w:val="20"/>
                <w:szCs w:val="20"/>
                <w:lang w:val="fr-CA"/>
              </w:rPr>
            </w:pPr>
          </w:p>
        </w:tc>
        <w:tc>
          <w:tcPr>
            <w:tcW w:w="4327" w:type="dxa"/>
          </w:tcPr>
          <w:p w:rsidR="00F147E3" w:rsidRPr="001D6433" w:rsidRDefault="00F147E3" w:rsidP="0053579F">
            <w:pPr>
              <w:rPr>
                <w:sz w:val="20"/>
                <w:szCs w:val="20"/>
                <w:lang w:val="fr-CA"/>
              </w:rPr>
            </w:pPr>
          </w:p>
        </w:tc>
      </w:tr>
      <w:tr w:rsidR="00F147E3" w:rsidRPr="00251B16" w:rsidTr="0053579F">
        <w:tc>
          <w:tcPr>
            <w:tcW w:w="1368" w:type="dxa"/>
          </w:tcPr>
          <w:p w:rsidR="00F147E3" w:rsidRPr="001D6433" w:rsidRDefault="00F147E3" w:rsidP="0053579F">
            <w:pPr>
              <w:rPr>
                <w:sz w:val="20"/>
                <w:szCs w:val="20"/>
                <w:lang w:val="fr-CA"/>
              </w:rPr>
            </w:pPr>
          </w:p>
        </w:tc>
        <w:tc>
          <w:tcPr>
            <w:tcW w:w="2970" w:type="dxa"/>
          </w:tcPr>
          <w:p w:rsidR="00F147E3" w:rsidRPr="001D6433" w:rsidRDefault="00F147E3" w:rsidP="0053579F">
            <w:pPr>
              <w:rPr>
                <w:sz w:val="20"/>
                <w:szCs w:val="20"/>
                <w:lang w:val="fr-CA"/>
              </w:rPr>
            </w:pPr>
            <w:r w:rsidRPr="001D6433">
              <w:rPr>
                <w:sz w:val="20"/>
                <w:szCs w:val="20"/>
                <w:lang w:val="fr-CA"/>
              </w:rPr>
              <w:t>Association des Avocats de la Défense de Montréal</w:t>
            </w:r>
          </w:p>
          <w:p w:rsidR="00F147E3" w:rsidRPr="001D6433" w:rsidRDefault="00F147E3" w:rsidP="0053579F">
            <w:pPr>
              <w:rPr>
                <w:sz w:val="20"/>
                <w:szCs w:val="20"/>
                <w:lang w:val="fr-CA"/>
              </w:rPr>
            </w:pPr>
          </w:p>
        </w:tc>
        <w:tc>
          <w:tcPr>
            <w:tcW w:w="1170" w:type="dxa"/>
          </w:tcPr>
          <w:p w:rsidR="00F147E3" w:rsidRPr="001D6433" w:rsidRDefault="00F147E3" w:rsidP="0053579F">
            <w:pPr>
              <w:rPr>
                <w:sz w:val="20"/>
                <w:szCs w:val="20"/>
                <w:lang w:val="fr-CA"/>
              </w:rPr>
            </w:pPr>
          </w:p>
        </w:tc>
        <w:tc>
          <w:tcPr>
            <w:tcW w:w="4327" w:type="dxa"/>
          </w:tcPr>
          <w:p w:rsidR="00F147E3" w:rsidRPr="001D6433" w:rsidRDefault="00F147E3" w:rsidP="0053579F">
            <w:pPr>
              <w:rPr>
                <w:sz w:val="20"/>
                <w:szCs w:val="20"/>
                <w:lang w:val="fr-CA"/>
              </w:rPr>
            </w:pPr>
          </w:p>
        </w:tc>
      </w:tr>
      <w:tr w:rsidR="00F147E3" w:rsidRPr="001D6433" w:rsidTr="0053579F">
        <w:tc>
          <w:tcPr>
            <w:tcW w:w="1368" w:type="dxa"/>
          </w:tcPr>
          <w:p w:rsidR="00F147E3" w:rsidRPr="001D6433" w:rsidRDefault="00F147E3" w:rsidP="0053579F">
            <w:pPr>
              <w:rPr>
                <w:sz w:val="20"/>
                <w:szCs w:val="20"/>
              </w:rPr>
            </w:pPr>
            <w:r w:rsidRPr="001D6433">
              <w:rPr>
                <w:sz w:val="20"/>
                <w:szCs w:val="20"/>
              </w:rPr>
              <w:t>IN / DANS :</w:t>
            </w:r>
          </w:p>
        </w:tc>
        <w:tc>
          <w:tcPr>
            <w:tcW w:w="2970" w:type="dxa"/>
          </w:tcPr>
          <w:p w:rsidR="00F147E3" w:rsidRPr="001D6433" w:rsidRDefault="00F147E3" w:rsidP="0053579F">
            <w:pPr>
              <w:rPr>
                <w:sz w:val="20"/>
                <w:szCs w:val="20"/>
              </w:rPr>
            </w:pPr>
            <w:r w:rsidRPr="001D6433">
              <w:rPr>
                <w:sz w:val="20"/>
                <w:szCs w:val="20"/>
              </w:rPr>
              <w:t xml:space="preserve">Her Majesty the Queen </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ab/>
              <w:t>v. (33976)</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proofErr w:type="spellStart"/>
            <w:r w:rsidRPr="001D6433">
              <w:rPr>
                <w:sz w:val="20"/>
                <w:szCs w:val="20"/>
              </w:rPr>
              <w:t>Clato</w:t>
            </w:r>
            <w:proofErr w:type="spellEnd"/>
            <w:r w:rsidRPr="001D6433">
              <w:rPr>
                <w:sz w:val="20"/>
                <w:szCs w:val="20"/>
              </w:rPr>
              <w:t xml:space="preserve"> </w:t>
            </w:r>
            <w:proofErr w:type="spellStart"/>
            <w:r w:rsidRPr="001D6433">
              <w:rPr>
                <w:sz w:val="20"/>
                <w:szCs w:val="20"/>
              </w:rPr>
              <w:t>Lual</w:t>
            </w:r>
            <w:proofErr w:type="spellEnd"/>
            <w:r w:rsidRPr="001D6433">
              <w:rPr>
                <w:sz w:val="20"/>
                <w:szCs w:val="20"/>
              </w:rPr>
              <w:t xml:space="preserve"> </w:t>
            </w:r>
            <w:proofErr w:type="spellStart"/>
            <w:r w:rsidRPr="001D6433">
              <w:rPr>
                <w:sz w:val="20"/>
                <w:szCs w:val="20"/>
              </w:rPr>
              <w:t>Mabior</w:t>
            </w:r>
            <w:proofErr w:type="spellEnd"/>
            <w:r w:rsidRPr="001D6433">
              <w:rPr>
                <w:sz w:val="20"/>
                <w:szCs w:val="20"/>
              </w:rPr>
              <w:t xml:space="preserve"> (Crim.) (Man.)</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r w:rsidRPr="001D6433">
              <w:rPr>
                <w:sz w:val="20"/>
                <w:szCs w:val="20"/>
              </w:rPr>
              <w:t>- and between -</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 xml:space="preserve">Sa </w:t>
            </w:r>
            <w:proofErr w:type="spellStart"/>
            <w:r w:rsidRPr="001D6433">
              <w:rPr>
                <w:sz w:val="20"/>
                <w:szCs w:val="20"/>
              </w:rPr>
              <w:t>Majesté</w:t>
            </w:r>
            <w:proofErr w:type="spellEnd"/>
            <w:r w:rsidRPr="001D6433">
              <w:rPr>
                <w:sz w:val="20"/>
                <w:szCs w:val="20"/>
              </w:rPr>
              <w:t xml:space="preserve"> la </w:t>
            </w:r>
            <w:proofErr w:type="spellStart"/>
            <w:r w:rsidRPr="001D6433">
              <w:rPr>
                <w:sz w:val="20"/>
                <w:szCs w:val="20"/>
              </w:rPr>
              <w:t>Reine</w:t>
            </w:r>
            <w:proofErr w:type="spellEnd"/>
          </w:p>
          <w:p w:rsidR="00F147E3" w:rsidRPr="001D6433" w:rsidRDefault="00F147E3" w:rsidP="0053579F">
            <w:pPr>
              <w:rPr>
                <w:sz w:val="20"/>
                <w:szCs w:val="20"/>
                <w:lang w:val="fr-CA"/>
              </w:rPr>
            </w:pPr>
          </w:p>
        </w:tc>
        <w:tc>
          <w:tcPr>
            <w:tcW w:w="1170" w:type="dxa"/>
          </w:tcPr>
          <w:p w:rsidR="00F147E3" w:rsidRPr="001D6433" w:rsidRDefault="00F147E3" w:rsidP="0053579F">
            <w:pPr>
              <w:rPr>
                <w:sz w:val="20"/>
                <w:szCs w:val="20"/>
                <w:lang w:val="fr-CA"/>
              </w:rPr>
            </w:pPr>
          </w:p>
        </w:tc>
        <w:tc>
          <w:tcPr>
            <w:tcW w:w="4327" w:type="dxa"/>
          </w:tcPr>
          <w:p w:rsidR="00F147E3" w:rsidRPr="001D6433" w:rsidRDefault="00F147E3" w:rsidP="0053579F">
            <w:pPr>
              <w:rPr>
                <w:sz w:val="20"/>
                <w:szCs w:val="20"/>
                <w:lang w:val="fr-CA"/>
              </w:rPr>
            </w:pPr>
          </w:p>
        </w:tc>
      </w:tr>
      <w:tr w:rsidR="00F147E3" w:rsidRPr="001D6433" w:rsidTr="0053579F">
        <w:tc>
          <w:tcPr>
            <w:tcW w:w="1368" w:type="dxa"/>
          </w:tcPr>
          <w:p w:rsidR="00F147E3" w:rsidRPr="001D6433" w:rsidRDefault="00F147E3" w:rsidP="0053579F">
            <w:pPr>
              <w:rPr>
                <w:sz w:val="20"/>
                <w:szCs w:val="20"/>
                <w:lang w:val="fr-CA"/>
              </w:rPr>
            </w:pPr>
          </w:p>
        </w:tc>
        <w:tc>
          <w:tcPr>
            <w:tcW w:w="2970" w:type="dxa"/>
          </w:tcPr>
          <w:p w:rsidR="00F147E3" w:rsidRPr="001D6433" w:rsidRDefault="00F147E3" w:rsidP="0053579F">
            <w:pPr>
              <w:jc w:val="both"/>
              <w:rPr>
                <w:sz w:val="20"/>
                <w:szCs w:val="20"/>
              </w:rPr>
            </w:pPr>
            <w:r w:rsidRPr="001D6433">
              <w:rPr>
                <w:sz w:val="20"/>
                <w:szCs w:val="20"/>
                <w:lang w:val="fr-CA"/>
              </w:rPr>
              <w:tab/>
              <w:t>c</w:t>
            </w:r>
            <w:r w:rsidRPr="001D6433">
              <w:rPr>
                <w:sz w:val="20"/>
                <w:szCs w:val="20"/>
              </w:rPr>
              <w:t>. (34094)</w:t>
            </w:r>
          </w:p>
          <w:p w:rsidR="00F147E3" w:rsidRPr="001D6433" w:rsidRDefault="00F147E3" w:rsidP="0053579F">
            <w:pPr>
              <w:jc w:val="both"/>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r w:rsidRPr="001D6433">
              <w:rPr>
                <w:sz w:val="20"/>
                <w:szCs w:val="20"/>
              </w:rPr>
              <w:t>D.C. (Crim.) (Qc)</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bl>
    <w:p w:rsidR="00F147E3" w:rsidRPr="001D6433" w:rsidRDefault="00F147E3" w:rsidP="00F147E3">
      <w:pPr>
        <w:jc w:val="both"/>
        <w:rPr>
          <w:sz w:val="20"/>
          <w:szCs w:val="20"/>
        </w:rPr>
      </w:pPr>
    </w:p>
    <w:p w:rsidR="00F147E3" w:rsidRPr="001D6433" w:rsidRDefault="00F147E3" w:rsidP="00F147E3">
      <w:pPr>
        <w:spacing w:line="232" w:lineRule="auto"/>
        <w:jc w:val="both"/>
        <w:rPr>
          <w:sz w:val="20"/>
          <w:szCs w:val="20"/>
        </w:rPr>
      </w:pPr>
      <w:r w:rsidRPr="001D6433">
        <w:rPr>
          <w:b/>
          <w:bCs/>
          <w:sz w:val="20"/>
          <w:szCs w:val="20"/>
        </w:rPr>
        <w:t>FURTHER TO THE ORDERS</w:t>
      </w:r>
      <w:r w:rsidRPr="001D6433">
        <w:rPr>
          <w:sz w:val="20"/>
          <w:szCs w:val="20"/>
        </w:rPr>
        <w:t xml:space="preserve"> dated October 25, 2011 and January 12, 2012, granting leave to intervene to the Canadian HIV/AIDS Legal Network, HIV &amp; AIDS Legal Clinic Ontario, Coalition des </w:t>
      </w:r>
      <w:proofErr w:type="spellStart"/>
      <w:r w:rsidRPr="001D6433">
        <w:rPr>
          <w:sz w:val="20"/>
          <w:szCs w:val="20"/>
        </w:rPr>
        <w:t>organismes</w:t>
      </w:r>
      <w:proofErr w:type="spellEnd"/>
      <w:r w:rsidRPr="001D6433">
        <w:rPr>
          <w:sz w:val="20"/>
          <w:szCs w:val="20"/>
        </w:rPr>
        <w:t xml:space="preserve"> </w:t>
      </w:r>
      <w:proofErr w:type="spellStart"/>
      <w:r w:rsidRPr="001D6433">
        <w:rPr>
          <w:sz w:val="20"/>
          <w:szCs w:val="20"/>
        </w:rPr>
        <w:t>communautaires</w:t>
      </w:r>
      <w:proofErr w:type="spellEnd"/>
      <w:r w:rsidRPr="001D6433">
        <w:rPr>
          <w:sz w:val="20"/>
          <w:szCs w:val="20"/>
        </w:rPr>
        <w:t xml:space="preserve"> </w:t>
      </w:r>
      <w:proofErr w:type="spellStart"/>
      <w:r w:rsidRPr="001D6433">
        <w:rPr>
          <w:sz w:val="20"/>
          <w:szCs w:val="20"/>
        </w:rPr>
        <w:t>québécois</w:t>
      </w:r>
      <w:proofErr w:type="spellEnd"/>
      <w:r w:rsidRPr="001D6433">
        <w:rPr>
          <w:sz w:val="20"/>
          <w:szCs w:val="20"/>
        </w:rPr>
        <w:t xml:space="preserve"> de </w:t>
      </w:r>
      <w:proofErr w:type="spellStart"/>
      <w:r w:rsidRPr="001D6433">
        <w:rPr>
          <w:sz w:val="20"/>
          <w:szCs w:val="20"/>
        </w:rPr>
        <w:t>lutte</w:t>
      </w:r>
      <w:proofErr w:type="spellEnd"/>
      <w:r w:rsidRPr="001D6433">
        <w:rPr>
          <w:sz w:val="20"/>
          <w:szCs w:val="20"/>
        </w:rPr>
        <w:t xml:space="preserve"> </w:t>
      </w:r>
      <w:proofErr w:type="spellStart"/>
      <w:r w:rsidRPr="001D6433">
        <w:rPr>
          <w:sz w:val="20"/>
          <w:szCs w:val="20"/>
        </w:rPr>
        <w:t>contre</w:t>
      </w:r>
      <w:proofErr w:type="spellEnd"/>
      <w:r w:rsidRPr="001D6433">
        <w:rPr>
          <w:sz w:val="20"/>
          <w:szCs w:val="20"/>
        </w:rPr>
        <w:t xml:space="preserve"> le </w:t>
      </w:r>
      <w:proofErr w:type="spellStart"/>
      <w:r w:rsidRPr="001D6433">
        <w:rPr>
          <w:sz w:val="20"/>
          <w:szCs w:val="20"/>
        </w:rPr>
        <w:t>sida</w:t>
      </w:r>
      <w:proofErr w:type="spellEnd"/>
      <w:r w:rsidRPr="001D6433">
        <w:rPr>
          <w:sz w:val="20"/>
          <w:szCs w:val="20"/>
        </w:rPr>
        <w:t xml:space="preserve">, Positive Living Society of British Columbia, Canadian AIDS Society, Toronto People With AIDS Foundation, Black Coalition for AIDS Prevention and Canadian Aboriginal AIDS Network, the Criminal Lawyers' Association of Ontario, the British Columbia Civil Liberties Association, the Attorney General of Alberta, the </w:t>
      </w:r>
      <w:proofErr w:type="spellStart"/>
      <w:r w:rsidRPr="001D6433">
        <w:rPr>
          <w:sz w:val="20"/>
          <w:szCs w:val="20"/>
        </w:rPr>
        <w:t>Institut</w:t>
      </w:r>
      <w:proofErr w:type="spellEnd"/>
      <w:r w:rsidRPr="001D6433">
        <w:rPr>
          <w:sz w:val="20"/>
          <w:szCs w:val="20"/>
        </w:rPr>
        <w:t xml:space="preserve"> national de santé </w:t>
      </w:r>
      <w:proofErr w:type="spellStart"/>
      <w:r w:rsidRPr="001D6433">
        <w:rPr>
          <w:sz w:val="20"/>
          <w:szCs w:val="20"/>
        </w:rPr>
        <w:t>publique</w:t>
      </w:r>
      <w:proofErr w:type="spellEnd"/>
      <w:r w:rsidRPr="001D6433">
        <w:rPr>
          <w:sz w:val="20"/>
          <w:szCs w:val="20"/>
        </w:rPr>
        <w:t xml:space="preserve"> du Québec and the Association des </w:t>
      </w:r>
      <w:proofErr w:type="spellStart"/>
      <w:r w:rsidRPr="001D6433">
        <w:rPr>
          <w:sz w:val="20"/>
          <w:szCs w:val="20"/>
        </w:rPr>
        <w:t>Avocats</w:t>
      </w:r>
      <w:proofErr w:type="spellEnd"/>
      <w:r w:rsidRPr="001D6433">
        <w:rPr>
          <w:sz w:val="20"/>
          <w:szCs w:val="20"/>
        </w:rPr>
        <w:t xml:space="preserve"> de la </w:t>
      </w:r>
      <w:proofErr w:type="spellStart"/>
      <w:r w:rsidRPr="001D6433">
        <w:rPr>
          <w:sz w:val="20"/>
          <w:szCs w:val="20"/>
        </w:rPr>
        <w:t>Défense</w:t>
      </w:r>
      <w:proofErr w:type="spellEnd"/>
      <w:r w:rsidRPr="001D6433">
        <w:rPr>
          <w:sz w:val="20"/>
          <w:szCs w:val="20"/>
        </w:rPr>
        <w:t xml:space="preserve"> de Montréal;</w:t>
      </w:r>
    </w:p>
    <w:p w:rsidR="00F147E3" w:rsidRPr="001D6433" w:rsidRDefault="00F147E3" w:rsidP="00F147E3">
      <w:pPr>
        <w:spacing w:line="232" w:lineRule="auto"/>
        <w:jc w:val="both"/>
        <w:rPr>
          <w:sz w:val="20"/>
          <w:szCs w:val="20"/>
        </w:rPr>
      </w:pPr>
    </w:p>
    <w:p w:rsidR="00F147E3" w:rsidRPr="001D6433" w:rsidRDefault="00F147E3" w:rsidP="00F147E3">
      <w:pPr>
        <w:spacing w:line="232" w:lineRule="auto"/>
        <w:jc w:val="both"/>
        <w:rPr>
          <w:sz w:val="20"/>
          <w:szCs w:val="20"/>
        </w:rPr>
      </w:pPr>
      <w:r w:rsidRPr="001D6433">
        <w:rPr>
          <w:b/>
          <w:sz w:val="20"/>
          <w:szCs w:val="20"/>
        </w:rPr>
        <w:t xml:space="preserve">AND UPON </w:t>
      </w:r>
      <w:r w:rsidRPr="001D6433">
        <w:rPr>
          <w:b/>
          <w:bCs/>
          <w:sz w:val="20"/>
          <w:szCs w:val="20"/>
        </w:rPr>
        <w:t xml:space="preserve">APPLICATION </w:t>
      </w:r>
      <w:r w:rsidRPr="001D6433">
        <w:rPr>
          <w:bCs/>
          <w:sz w:val="20"/>
          <w:szCs w:val="20"/>
        </w:rPr>
        <w:t xml:space="preserve">by </w:t>
      </w:r>
      <w:r w:rsidRPr="001D6433">
        <w:rPr>
          <w:sz w:val="20"/>
          <w:szCs w:val="20"/>
        </w:rPr>
        <w:t>the British Columbia Civil Liberties Association for an extension of time to serve and file its factum and book of authorities to January 5, 2012 and to make oral argument at the hearing of these appeals;</w:t>
      </w:r>
    </w:p>
    <w:p w:rsidR="00F147E3" w:rsidRPr="001D6433" w:rsidRDefault="00F147E3" w:rsidP="00F147E3">
      <w:pPr>
        <w:spacing w:line="232" w:lineRule="auto"/>
        <w:jc w:val="both"/>
        <w:rPr>
          <w:sz w:val="20"/>
          <w:szCs w:val="20"/>
        </w:rPr>
      </w:pPr>
    </w:p>
    <w:p w:rsidR="00F147E3" w:rsidRPr="001D6433" w:rsidRDefault="00F147E3" w:rsidP="00F147E3">
      <w:pPr>
        <w:spacing w:line="232" w:lineRule="auto"/>
        <w:jc w:val="both"/>
        <w:rPr>
          <w:sz w:val="20"/>
          <w:szCs w:val="20"/>
        </w:rPr>
      </w:pPr>
      <w:r w:rsidRPr="001D6433">
        <w:rPr>
          <w:b/>
          <w:sz w:val="20"/>
          <w:szCs w:val="20"/>
        </w:rPr>
        <w:t>IT IS HEREBY FURTHER ORDERED THAT</w:t>
      </w:r>
      <w:r w:rsidRPr="001D6433">
        <w:rPr>
          <w:sz w:val="20"/>
          <w:szCs w:val="20"/>
        </w:rPr>
        <w:t xml:space="preserve"> the extension of time to serve and file the factum and book of authorities of the British Columbia Civil Liberties Association to January 5, 2012, is granted.</w:t>
      </w:r>
    </w:p>
    <w:p w:rsidR="00F147E3" w:rsidRPr="001D6433" w:rsidRDefault="00F147E3" w:rsidP="00F147E3">
      <w:pPr>
        <w:spacing w:line="232" w:lineRule="auto"/>
        <w:jc w:val="both"/>
        <w:rPr>
          <w:sz w:val="20"/>
          <w:szCs w:val="20"/>
        </w:rPr>
      </w:pPr>
    </w:p>
    <w:p w:rsidR="00F147E3" w:rsidRPr="001D6433" w:rsidRDefault="00F147E3" w:rsidP="00F147E3">
      <w:pPr>
        <w:spacing w:line="230" w:lineRule="auto"/>
        <w:jc w:val="both"/>
        <w:rPr>
          <w:sz w:val="20"/>
          <w:szCs w:val="20"/>
        </w:rPr>
      </w:pPr>
      <w:r w:rsidRPr="001D6433">
        <w:rPr>
          <w:b/>
          <w:sz w:val="20"/>
          <w:szCs w:val="20"/>
        </w:rPr>
        <w:t>IT IS HEREBY FURTHER ORDERED THAT</w:t>
      </w:r>
      <w:r w:rsidRPr="001D6433">
        <w:rPr>
          <w:sz w:val="20"/>
          <w:szCs w:val="20"/>
        </w:rPr>
        <w:t xml:space="preserve"> the six groups of interveners are </w:t>
      </w:r>
      <w:proofErr w:type="gramStart"/>
      <w:r w:rsidRPr="001D6433">
        <w:rPr>
          <w:sz w:val="20"/>
          <w:szCs w:val="20"/>
        </w:rPr>
        <w:t>each granted permission</w:t>
      </w:r>
      <w:proofErr w:type="gramEnd"/>
      <w:r w:rsidRPr="001D6433">
        <w:rPr>
          <w:sz w:val="20"/>
          <w:szCs w:val="20"/>
        </w:rPr>
        <w:t xml:space="preserve"> to present oral argument not exceeding ten (10) minutes at the hearing of these appeals.</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p>
    <w:p w:rsidR="00F147E3" w:rsidRPr="001D6433" w:rsidRDefault="00F147E3" w:rsidP="00F147E3">
      <w:pPr>
        <w:spacing w:line="230" w:lineRule="auto"/>
        <w:jc w:val="both"/>
        <w:rPr>
          <w:sz w:val="20"/>
          <w:szCs w:val="20"/>
          <w:lang w:val="fr-CA"/>
        </w:rPr>
      </w:pPr>
      <w:r w:rsidRPr="001D6433">
        <w:rPr>
          <w:b/>
          <w:sz w:val="20"/>
          <w:szCs w:val="20"/>
          <w:lang w:val="fr-CA"/>
        </w:rPr>
        <w:t>À LA SUITE DES ORDONNANCES</w:t>
      </w:r>
      <w:r w:rsidRPr="001D6433">
        <w:rPr>
          <w:sz w:val="20"/>
          <w:szCs w:val="20"/>
          <w:lang w:val="fr-CA"/>
        </w:rPr>
        <w:t xml:space="preserve"> datées du 25 octobre 2011 et du 12 janvier 2012 accordant l'autorisation d'intervenir au </w:t>
      </w:r>
      <w:r w:rsidRPr="001D6433">
        <w:rPr>
          <w:bCs/>
          <w:sz w:val="20"/>
          <w:szCs w:val="20"/>
          <w:lang w:val="fr-FR"/>
        </w:rPr>
        <w:t>Réseau juridique canadien VIH/sida</w:t>
      </w:r>
      <w:r w:rsidRPr="001D6433">
        <w:rPr>
          <w:sz w:val="20"/>
          <w:szCs w:val="20"/>
          <w:lang w:val="fr-CA"/>
        </w:rPr>
        <w:t xml:space="preserve">, HIV &amp; AIDS </w:t>
      </w:r>
      <w:proofErr w:type="spellStart"/>
      <w:r w:rsidRPr="001D6433">
        <w:rPr>
          <w:sz w:val="20"/>
          <w:szCs w:val="20"/>
          <w:lang w:val="fr-CA"/>
        </w:rPr>
        <w:t>Legal</w:t>
      </w:r>
      <w:proofErr w:type="spellEnd"/>
      <w:r w:rsidRPr="001D6433">
        <w:rPr>
          <w:sz w:val="20"/>
          <w:szCs w:val="20"/>
          <w:lang w:val="fr-CA"/>
        </w:rPr>
        <w:t xml:space="preserve"> </w:t>
      </w:r>
      <w:proofErr w:type="spellStart"/>
      <w:r w:rsidRPr="001D6433">
        <w:rPr>
          <w:sz w:val="20"/>
          <w:szCs w:val="20"/>
          <w:lang w:val="fr-CA"/>
        </w:rPr>
        <w:t>Clinic</w:t>
      </w:r>
      <w:proofErr w:type="spellEnd"/>
      <w:r w:rsidRPr="001D6433">
        <w:rPr>
          <w:sz w:val="20"/>
          <w:szCs w:val="20"/>
          <w:lang w:val="fr-CA"/>
        </w:rPr>
        <w:t xml:space="preserve"> Ontario, Coalition des organismes communautaires québécois de lutte contre le sida, Positive Living Society of British Columbia, Société canadienne du sida, Toronto People </w:t>
      </w:r>
      <w:proofErr w:type="spellStart"/>
      <w:r w:rsidRPr="001D6433">
        <w:rPr>
          <w:sz w:val="20"/>
          <w:szCs w:val="20"/>
          <w:lang w:val="fr-CA"/>
        </w:rPr>
        <w:t>With</w:t>
      </w:r>
      <w:proofErr w:type="spellEnd"/>
      <w:r w:rsidRPr="001D6433">
        <w:rPr>
          <w:sz w:val="20"/>
          <w:szCs w:val="20"/>
          <w:lang w:val="fr-CA"/>
        </w:rPr>
        <w:t xml:space="preserve"> AIDS </w:t>
      </w:r>
      <w:proofErr w:type="spellStart"/>
      <w:r w:rsidRPr="001D6433">
        <w:rPr>
          <w:sz w:val="20"/>
          <w:szCs w:val="20"/>
          <w:lang w:val="fr-CA"/>
        </w:rPr>
        <w:t>Foundation</w:t>
      </w:r>
      <w:proofErr w:type="spellEnd"/>
      <w:r w:rsidRPr="001D6433">
        <w:rPr>
          <w:sz w:val="20"/>
          <w:szCs w:val="20"/>
          <w:lang w:val="fr-CA"/>
        </w:rPr>
        <w:t xml:space="preserve">, Black Coalition for AIDS </w:t>
      </w:r>
      <w:proofErr w:type="spellStart"/>
      <w:r w:rsidRPr="001D6433">
        <w:rPr>
          <w:sz w:val="20"/>
          <w:szCs w:val="20"/>
          <w:lang w:val="fr-CA"/>
        </w:rPr>
        <w:t>Prevention</w:t>
      </w:r>
      <w:proofErr w:type="spellEnd"/>
      <w:r w:rsidRPr="001D6433">
        <w:rPr>
          <w:sz w:val="20"/>
          <w:szCs w:val="20"/>
          <w:lang w:val="fr-CA"/>
        </w:rPr>
        <w:t xml:space="preserve"> et Canadian </w:t>
      </w:r>
      <w:proofErr w:type="spellStart"/>
      <w:r w:rsidRPr="001D6433">
        <w:rPr>
          <w:sz w:val="20"/>
          <w:szCs w:val="20"/>
          <w:lang w:val="fr-CA"/>
        </w:rPr>
        <w:t>Aboriginal</w:t>
      </w:r>
      <w:proofErr w:type="spellEnd"/>
      <w:r w:rsidRPr="001D6433">
        <w:rPr>
          <w:sz w:val="20"/>
          <w:szCs w:val="20"/>
          <w:lang w:val="fr-CA"/>
        </w:rPr>
        <w:t xml:space="preserve"> AIDS Network, la </w:t>
      </w:r>
      <w:proofErr w:type="spellStart"/>
      <w:r w:rsidRPr="001D6433">
        <w:rPr>
          <w:sz w:val="20"/>
          <w:szCs w:val="20"/>
          <w:lang w:val="fr-FR"/>
        </w:rPr>
        <w:t>Criminal</w:t>
      </w:r>
      <w:proofErr w:type="spellEnd"/>
      <w:r w:rsidRPr="001D6433">
        <w:rPr>
          <w:sz w:val="20"/>
          <w:szCs w:val="20"/>
          <w:lang w:val="fr-FR"/>
        </w:rPr>
        <w:t xml:space="preserve"> </w:t>
      </w:r>
      <w:proofErr w:type="spellStart"/>
      <w:r w:rsidRPr="001D6433">
        <w:rPr>
          <w:sz w:val="20"/>
          <w:szCs w:val="20"/>
          <w:lang w:val="fr-FR"/>
        </w:rPr>
        <w:t>Lawyers</w:t>
      </w:r>
      <w:proofErr w:type="spellEnd"/>
      <w:r w:rsidRPr="001D6433">
        <w:rPr>
          <w:sz w:val="20"/>
          <w:szCs w:val="20"/>
          <w:lang w:val="fr-FR"/>
        </w:rPr>
        <w:t xml:space="preserve">' Association of Ontario, la British Columbia Civil </w:t>
      </w:r>
      <w:proofErr w:type="spellStart"/>
      <w:r w:rsidRPr="001D6433">
        <w:rPr>
          <w:sz w:val="20"/>
          <w:szCs w:val="20"/>
          <w:lang w:val="fr-FR"/>
        </w:rPr>
        <w:t>Liberties</w:t>
      </w:r>
      <w:proofErr w:type="spellEnd"/>
      <w:r w:rsidRPr="001D6433">
        <w:rPr>
          <w:sz w:val="20"/>
          <w:szCs w:val="20"/>
          <w:lang w:val="fr-FR"/>
        </w:rPr>
        <w:t xml:space="preserve"> Association, le Procureur général de l’Alberta, l’</w:t>
      </w:r>
      <w:r w:rsidRPr="001D6433">
        <w:rPr>
          <w:sz w:val="20"/>
          <w:szCs w:val="20"/>
          <w:lang w:val="fr-CA"/>
        </w:rPr>
        <w:t>Institut national de santé publique du Québec et l’Association des Avocats de la Défense de Montréal;</w:t>
      </w:r>
    </w:p>
    <w:p w:rsidR="00F147E3" w:rsidRPr="001D6433" w:rsidRDefault="00F147E3" w:rsidP="00F147E3">
      <w:pPr>
        <w:spacing w:line="230"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b/>
          <w:sz w:val="20"/>
          <w:szCs w:val="20"/>
          <w:lang w:val="fr-CA"/>
        </w:rPr>
        <w:t>ET À LA SUITE DE LA DEMANDE</w:t>
      </w:r>
      <w:r w:rsidRPr="001D6433">
        <w:rPr>
          <w:sz w:val="20"/>
          <w:szCs w:val="20"/>
          <w:lang w:val="fr-CA"/>
        </w:rPr>
        <w:t xml:space="preserve"> présentée par British Columbia Civil </w:t>
      </w:r>
      <w:proofErr w:type="spellStart"/>
      <w:r w:rsidRPr="001D6433">
        <w:rPr>
          <w:sz w:val="20"/>
          <w:szCs w:val="20"/>
          <w:lang w:val="fr-CA"/>
        </w:rPr>
        <w:t>Liberties</w:t>
      </w:r>
      <w:proofErr w:type="spellEnd"/>
      <w:r w:rsidRPr="001D6433">
        <w:rPr>
          <w:sz w:val="20"/>
          <w:szCs w:val="20"/>
          <w:lang w:val="fr-CA"/>
        </w:rPr>
        <w:t xml:space="preserve"> Association en vue d'obtenir la prorogation du délai de signification et de dépôt de son mémoire et recueil de sources jusqu’au 5 janvier 2012 et d’être autorisée à présenter une plaidoirie orale lors de l’audition des appels;</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2" w:lineRule="auto"/>
        <w:jc w:val="both"/>
        <w:rPr>
          <w:sz w:val="20"/>
          <w:szCs w:val="20"/>
          <w:lang w:val="fr-CA"/>
        </w:rPr>
      </w:pPr>
      <w:r w:rsidRPr="001D6433">
        <w:rPr>
          <w:b/>
          <w:sz w:val="20"/>
          <w:szCs w:val="20"/>
          <w:lang w:val="fr-CA"/>
        </w:rPr>
        <w:t>IL EST EN OUTRE ORDONNÉ QUE</w:t>
      </w:r>
      <w:r w:rsidRPr="001D6433">
        <w:rPr>
          <w:sz w:val="20"/>
          <w:szCs w:val="20"/>
          <w:lang w:val="fr-CA"/>
        </w:rPr>
        <w:t xml:space="preserve"> la prorogation du délai de la signification et de dépôt du mémoire et du recueil de sources au 5 janvier 2012 et l’autorisation à présenter une plaidoirie orale lors de l’audition des appels par British Columbia Civil </w:t>
      </w:r>
      <w:proofErr w:type="spellStart"/>
      <w:r w:rsidRPr="001D6433">
        <w:rPr>
          <w:sz w:val="20"/>
          <w:szCs w:val="20"/>
          <w:lang w:val="fr-CA"/>
        </w:rPr>
        <w:t>Liberties</w:t>
      </w:r>
      <w:proofErr w:type="spellEnd"/>
      <w:r w:rsidRPr="001D6433">
        <w:rPr>
          <w:sz w:val="20"/>
          <w:szCs w:val="20"/>
          <w:lang w:val="fr-CA"/>
        </w:rPr>
        <w:t xml:space="preserve"> Association </w:t>
      </w:r>
      <w:proofErr w:type="gramStart"/>
      <w:r w:rsidRPr="001D6433">
        <w:rPr>
          <w:sz w:val="20"/>
          <w:szCs w:val="20"/>
          <w:lang w:val="fr-CA"/>
        </w:rPr>
        <w:t>sont</w:t>
      </w:r>
      <w:proofErr w:type="gramEnd"/>
      <w:r w:rsidRPr="001D6433">
        <w:rPr>
          <w:sz w:val="20"/>
          <w:szCs w:val="20"/>
          <w:lang w:val="fr-CA"/>
        </w:rPr>
        <w:t xml:space="preserve"> accordées.</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0" w:lineRule="auto"/>
        <w:jc w:val="both"/>
        <w:rPr>
          <w:sz w:val="20"/>
          <w:szCs w:val="20"/>
          <w:lang w:val="fr-CA"/>
        </w:rPr>
      </w:pPr>
      <w:r w:rsidRPr="001D6433">
        <w:rPr>
          <w:b/>
          <w:sz w:val="20"/>
          <w:szCs w:val="20"/>
          <w:lang w:val="fr-CA"/>
        </w:rPr>
        <w:t>IL EST EN OUTRE ORDONNÉ QUE</w:t>
      </w:r>
      <w:r w:rsidRPr="001D6433">
        <w:rPr>
          <w:sz w:val="20"/>
          <w:szCs w:val="20"/>
          <w:lang w:val="fr-CA"/>
        </w:rPr>
        <w:t xml:space="preserve"> les six groupes d'intervenants pourront présenter chacun une plaidoirie orale d'au plus dix (10) minutes lors de l'audition des appels.</w:t>
      </w:r>
    </w:p>
    <w:p w:rsidR="00F147E3" w:rsidRPr="001D6433" w:rsidRDefault="00F147E3" w:rsidP="00F147E3">
      <w:pPr>
        <w:rPr>
          <w:sz w:val="20"/>
          <w:szCs w:val="20"/>
          <w:lang w:val="fr-CA"/>
        </w:rPr>
      </w:pPr>
    </w:p>
    <w:p w:rsidR="00F147E3" w:rsidRPr="001D6433" w:rsidRDefault="00FD28BB" w:rsidP="00F147E3">
      <w:pPr>
        <w:rPr>
          <w:sz w:val="20"/>
          <w:szCs w:val="20"/>
        </w:rPr>
      </w:pPr>
      <w:r w:rsidRPr="00FD28BB">
        <w:rPr>
          <w:sz w:val="20"/>
          <w:szCs w:val="20"/>
          <w:lang w:val="fr-CA"/>
        </w:rPr>
        <w:pict>
          <v:rect id="_x0000_i1066" style="width:2in;height:1pt" o:hrpct="0" o:hralign="center" o:hrstd="t" o:hrnoshade="t" o:hr="t" fillcolor="black [3213]" stroked="f"/>
        </w:pic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sz w:val="20"/>
          <w:szCs w:val="20"/>
        </w:rPr>
      </w:pPr>
      <w:r w:rsidRPr="001D6433">
        <w:rPr>
          <w:sz w:val="20"/>
          <w:szCs w:val="20"/>
        </w:rPr>
        <w:t>31.01.2012</w:t>
      </w:r>
    </w:p>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rPr>
      </w:pPr>
      <w:r w:rsidRPr="001D6433">
        <w:rPr>
          <w:sz w:val="20"/>
          <w:szCs w:val="20"/>
        </w:rPr>
        <w:t xml:space="preserve">Before / </w:t>
      </w:r>
      <w:proofErr w:type="spellStart"/>
      <w:proofErr w:type="gramStart"/>
      <w:r w:rsidRPr="001D6433">
        <w:rPr>
          <w:sz w:val="20"/>
          <w:szCs w:val="20"/>
        </w:rPr>
        <w:t>Devant</w:t>
      </w:r>
      <w:proofErr w:type="spellEnd"/>
      <w:r w:rsidRPr="001D6433">
        <w:rPr>
          <w:sz w:val="20"/>
          <w:szCs w:val="20"/>
        </w:rPr>
        <w:t xml:space="preserve"> :</w:t>
      </w:r>
      <w:proofErr w:type="gramEnd"/>
      <w:r w:rsidRPr="001D6433">
        <w:rPr>
          <w:sz w:val="20"/>
          <w:szCs w:val="20"/>
        </w:rPr>
        <w:t xml:space="preserve">   THE DEPUTY REGISTRAR / LA REGISTRAIRE ADJOINTE</w:t>
      </w:r>
    </w:p>
    <w:p w:rsidR="00F147E3" w:rsidRPr="001D6433" w:rsidRDefault="00F147E3" w:rsidP="00F147E3">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F147E3" w:rsidRPr="00251B16" w:rsidTr="0053579F">
        <w:tc>
          <w:tcPr>
            <w:tcW w:w="4338" w:type="dxa"/>
          </w:tcPr>
          <w:p w:rsidR="00F147E3" w:rsidRPr="001D6433" w:rsidRDefault="00FD28BB" w:rsidP="0053579F">
            <w:pPr>
              <w:tabs>
                <w:tab w:val="left" w:pos="-1440"/>
                <w:tab w:val="left" w:pos="-720"/>
              </w:tabs>
              <w:jc w:val="both"/>
              <w:rPr>
                <w:b/>
                <w:sz w:val="20"/>
                <w:szCs w:val="20"/>
              </w:rPr>
            </w:pPr>
            <w:r w:rsidRPr="001D6433">
              <w:rPr>
                <w:sz w:val="20"/>
                <w:szCs w:val="20"/>
              </w:rPr>
              <w:fldChar w:fldCharType="begin"/>
            </w:r>
            <w:r w:rsidR="00F147E3" w:rsidRPr="001D6433">
              <w:rPr>
                <w:sz w:val="20"/>
                <w:szCs w:val="20"/>
              </w:rPr>
              <w:instrText xml:space="preserve"> SEQ CHAPTER \h \r 1</w:instrText>
            </w:r>
            <w:r w:rsidRPr="001D6433">
              <w:rPr>
                <w:sz w:val="20"/>
                <w:szCs w:val="20"/>
              </w:rPr>
              <w:fldChar w:fldCharType="end"/>
            </w:r>
            <w:r w:rsidRPr="001D6433">
              <w:rPr>
                <w:sz w:val="20"/>
                <w:szCs w:val="20"/>
              </w:rPr>
              <w:fldChar w:fldCharType="begin"/>
            </w:r>
            <w:r w:rsidR="00F147E3" w:rsidRPr="001D6433">
              <w:rPr>
                <w:sz w:val="20"/>
                <w:szCs w:val="20"/>
              </w:rPr>
              <w:instrText xml:space="preserve"> SEQ CHAPTER \h \r 1</w:instrText>
            </w:r>
            <w:r w:rsidRPr="001D6433">
              <w:rPr>
                <w:sz w:val="20"/>
                <w:szCs w:val="20"/>
              </w:rPr>
              <w:fldChar w:fldCharType="end"/>
            </w:r>
            <w:r w:rsidR="00F147E3" w:rsidRPr="001D6433">
              <w:rPr>
                <w:b/>
                <w:bCs/>
                <w:sz w:val="20"/>
                <w:szCs w:val="20"/>
              </w:rPr>
              <w:t xml:space="preserve">Motion to extend the time to serve and file the respondent Canadian Human Rights Commission’s response to January 11, 2012 </w:t>
            </w:r>
          </w:p>
        </w:tc>
        <w:tc>
          <w:tcPr>
            <w:tcW w:w="1170" w:type="dxa"/>
          </w:tcPr>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p>
        </w:tc>
        <w:tc>
          <w:tcPr>
            <w:tcW w:w="4327" w:type="dxa"/>
          </w:tcPr>
          <w:p w:rsidR="00F147E3" w:rsidRPr="001D6433" w:rsidRDefault="00FD28BB" w:rsidP="0053579F">
            <w:pPr>
              <w:tabs>
                <w:tab w:val="left" w:pos="-1440"/>
                <w:tab w:val="left" w:pos="-720"/>
              </w:tabs>
              <w:jc w:val="both"/>
              <w:rPr>
                <w:sz w:val="20"/>
                <w:szCs w:val="20"/>
                <w:lang w:val="fr-CA"/>
              </w:rPr>
            </w:pP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00F147E3" w:rsidRPr="001D6433">
              <w:rPr>
                <w:b/>
                <w:bCs/>
                <w:sz w:val="20"/>
                <w:szCs w:val="20"/>
                <w:lang w:val="fr-CA"/>
              </w:rPr>
              <w:t xml:space="preserve">Requête en prorogation du délai de signification et de dépôt de la réponse de l’intimée la Commission canadienne des droits de la personne jusqu’au 11 janvier 2012 </w:t>
            </w:r>
            <w:r w:rsidR="00F147E3" w:rsidRPr="001D6433">
              <w:rPr>
                <w:sz w:val="20"/>
                <w:szCs w:val="20"/>
                <w:lang w:val="fr-CA"/>
              </w:rPr>
              <w:t xml:space="preserve"> </w:t>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r w:rsidRPr="001D6433">
              <w:rPr>
                <w:sz w:val="20"/>
                <w:szCs w:val="20"/>
              </w:rPr>
              <w:fldChar w:fldCharType="begin"/>
            </w:r>
            <w:r w:rsidR="00F147E3" w:rsidRPr="001D6433">
              <w:rPr>
                <w:sz w:val="20"/>
                <w:szCs w:val="20"/>
                <w:lang w:val="fr-CA"/>
              </w:rPr>
              <w:instrText xml:space="preserve"> SEQ CHAPTER \h \r 1</w:instrText>
            </w:r>
            <w:r w:rsidRPr="001D6433">
              <w:rPr>
                <w:sz w:val="20"/>
                <w:szCs w:val="20"/>
              </w:rPr>
              <w:fldChar w:fldCharType="end"/>
            </w:r>
          </w:p>
        </w:tc>
      </w:tr>
      <w:tr w:rsidR="00F147E3" w:rsidRPr="001D6433" w:rsidTr="0053579F">
        <w:tc>
          <w:tcPr>
            <w:tcW w:w="4338" w:type="dxa"/>
          </w:tcPr>
          <w:p w:rsidR="00F147E3" w:rsidRPr="001D6433" w:rsidRDefault="00F147E3" w:rsidP="0053579F">
            <w:pPr>
              <w:tabs>
                <w:tab w:val="left" w:pos="-1440"/>
                <w:tab w:val="left" w:pos="-720"/>
              </w:tabs>
              <w:jc w:val="both"/>
              <w:rPr>
                <w:sz w:val="20"/>
                <w:szCs w:val="20"/>
              </w:rPr>
            </w:pPr>
            <w:r w:rsidRPr="001D6433">
              <w:rPr>
                <w:sz w:val="20"/>
                <w:szCs w:val="20"/>
              </w:rPr>
              <w:t xml:space="preserve">Terry </w:t>
            </w:r>
            <w:proofErr w:type="spellStart"/>
            <w:r w:rsidRPr="001D6433">
              <w:rPr>
                <w:sz w:val="20"/>
                <w:szCs w:val="20"/>
              </w:rPr>
              <w:t>Tremaine</w:t>
            </w:r>
            <w:proofErr w:type="spellEnd"/>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ab/>
              <w:t>v. (34542)</w:t>
            </w:r>
          </w:p>
          <w:p w:rsidR="00F147E3" w:rsidRPr="001D6433" w:rsidRDefault="00F147E3" w:rsidP="0053579F">
            <w:pPr>
              <w:tabs>
                <w:tab w:val="left" w:pos="-1440"/>
                <w:tab w:val="left" w:pos="-720"/>
              </w:tabs>
              <w:jc w:val="both"/>
              <w:rPr>
                <w:sz w:val="20"/>
                <w:szCs w:val="20"/>
              </w:rPr>
            </w:pPr>
          </w:p>
          <w:p w:rsidR="00F147E3" w:rsidRPr="001D6433" w:rsidRDefault="00F147E3" w:rsidP="0053579F">
            <w:pPr>
              <w:tabs>
                <w:tab w:val="left" w:pos="-1440"/>
                <w:tab w:val="left" w:pos="-720"/>
              </w:tabs>
              <w:jc w:val="both"/>
              <w:rPr>
                <w:sz w:val="20"/>
                <w:szCs w:val="20"/>
              </w:rPr>
            </w:pPr>
            <w:r w:rsidRPr="001D6433">
              <w:rPr>
                <w:sz w:val="20"/>
                <w:szCs w:val="20"/>
              </w:rPr>
              <w:t>Canadian Human Rights Commission et al. (F.C.)</w:t>
            </w:r>
          </w:p>
        </w:tc>
        <w:tc>
          <w:tcPr>
            <w:tcW w:w="1170" w:type="dxa"/>
          </w:tcPr>
          <w:p w:rsidR="00F147E3" w:rsidRPr="001D6433" w:rsidRDefault="00F147E3" w:rsidP="0053579F">
            <w:pPr>
              <w:tabs>
                <w:tab w:val="left" w:pos="-1440"/>
                <w:tab w:val="left" w:pos="-720"/>
              </w:tabs>
              <w:jc w:val="both"/>
              <w:rPr>
                <w:sz w:val="20"/>
                <w:szCs w:val="20"/>
              </w:rPr>
            </w:pPr>
          </w:p>
        </w:tc>
        <w:tc>
          <w:tcPr>
            <w:tcW w:w="4327" w:type="dxa"/>
          </w:tcPr>
          <w:p w:rsidR="00F147E3" w:rsidRPr="001D6433" w:rsidRDefault="00F147E3" w:rsidP="0053579F">
            <w:pPr>
              <w:tabs>
                <w:tab w:val="left" w:pos="-1440"/>
                <w:tab w:val="left" w:pos="-720"/>
              </w:tabs>
              <w:jc w:val="both"/>
              <w:rPr>
                <w:sz w:val="20"/>
                <w:szCs w:val="20"/>
              </w:rPr>
            </w:pPr>
          </w:p>
        </w:tc>
      </w:tr>
    </w:tbl>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b/>
          <w:sz w:val="20"/>
          <w:szCs w:val="20"/>
          <w:lang w:val="fr-CA"/>
        </w:rPr>
      </w:pPr>
      <w:r w:rsidRPr="001D6433">
        <w:rPr>
          <w:b/>
          <w:sz w:val="20"/>
          <w:szCs w:val="20"/>
          <w:lang w:val="fr-CA"/>
        </w:rPr>
        <w:t>GRANTED / ACCORDÉE</w:t>
      </w:r>
    </w:p>
    <w:p w:rsidR="00F147E3" w:rsidRPr="001D6433" w:rsidRDefault="00F147E3" w:rsidP="00F147E3">
      <w:pPr>
        <w:tabs>
          <w:tab w:val="left" w:pos="-1440"/>
          <w:tab w:val="left" w:pos="-720"/>
        </w:tabs>
        <w:jc w:val="both"/>
        <w:rPr>
          <w:sz w:val="20"/>
          <w:szCs w:val="20"/>
          <w:lang w:val="fr-CA"/>
        </w:rPr>
      </w:pPr>
    </w:p>
    <w:p w:rsidR="00F147E3" w:rsidRPr="001D6433" w:rsidRDefault="00FD28BB" w:rsidP="00F147E3">
      <w:pPr>
        <w:tabs>
          <w:tab w:val="left" w:pos="-1440"/>
          <w:tab w:val="left" w:pos="-720"/>
        </w:tabs>
        <w:jc w:val="both"/>
        <w:rPr>
          <w:sz w:val="20"/>
          <w:szCs w:val="20"/>
          <w:lang w:val="fr-CA"/>
        </w:rPr>
      </w:pPr>
      <w:r w:rsidRPr="00FD28BB">
        <w:rPr>
          <w:sz w:val="20"/>
          <w:szCs w:val="20"/>
          <w:lang w:val="fr-CA"/>
        </w:rPr>
        <w:pict>
          <v:rect id="_x0000_i1067" style="width:2in;height:1pt" o:hrpct="0" o:hralign="center" o:hrstd="t" o:hrnoshade="t" o:hr="t" fillcolor="black [3213]" stroked="f"/>
        </w:pic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sz w:val="20"/>
          <w:szCs w:val="20"/>
          <w:lang w:val="fr-CA"/>
        </w:rPr>
      </w:pPr>
      <w:r w:rsidRPr="001D6433">
        <w:rPr>
          <w:sz w:val="20"/>
          <w:szCs w:val="20"/>
          <w:lang w:val="fr-CA"/>
        </w:rPr>
        <w:t>31.01.2012</w:t>
      </w:r>
    </w:p>
    <w:p w:rsidR="00F147E3" w:rsidRPr="001D6433" w:rsidRDefault="00F147E3" w:rsidP="00F147E3">
      <w:pPr>
        <w:tabs>
          <w:tab w:val="left" w:pos="-1440"/>
          <w:tab w:val="left" w:pos="-720"/>
        </w:tabs>
        <w:jc w:val="both"/>
        <w:rPr>
          <w:sz w:val="20"/>
          <w:szCs w:val="20"/>
          <w:lang w:val="fr-CA"/>
        </w:rPr>
      </w:pPr>
    </w:p>
    <w:p w:rsidR="00F147E3" w:rsidRPr="001D6433" w:rsidRDefault="00F147E3" w:rsidP="00F147E3">
      <w:pPr>
        <w:tabs>
          <w:tab w:val="left" w:pos="-1440"/>
          <w:tab w:val="left" w:pos="-720"/>
        </w:tabs>
        <w:jc w:val="both"/>
        <w:rPr>
          <w:sz w:val="20"/>
          <w:szCs w:val="20"/>
          <w:lang w:val="fr-CA"/>
        </w:rPr>
      </w:pPr>
      <w:proofErr w:type="spellStart"/>
      <w:r w:rsidRPr="001D6433">
        <w:rPr>
          <w:sz w:val="20"/>
          <w:szCs w:val="20"/>
          <w:lang w:val="fr-CA"/>
        </w:rPr>
        <w:t>Before</w:t>
      </w:r>
      <w:proofErr w:type="spellEnd"/>
      <w:r w:rsidRPr="001D6433">
        <w:rPr>
          <w:sz w:val="20"/>
          <w:szCs w:val="20"/>
          <w:lang w:val="fr-CA"/>
        </w:rPr>
        <w:t xml:space="preserve"> / Devant :   CROMWELL J. / LE JUGE CROMWELL</w:t>
      </w:r>
    </w:p>
    <w:p w:rsidR="00F147E3" w:rsidRPr="001D6433" w:rsidRDefault="00F147E3" w:rsidP="00F147E3">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F147E3" w:rsidRPr="001D6433" w:rsidTr="0053579F">
        <w:tc>
          <w:tcPr>
            <w:tcW w:w="4338" w:type="dxa"/>
            <w:gridSpan w:val="2"/>
          </w:tcPr>
          <w:p w:rsidR="00F147E3" w:rsidRPr="001D6433" w:rsidRDefault="00F147E3" w:rsidP="0053579F">
            <w:pPr>
              <w:rPr>
                <w:b/>
                <w:sz w:val="20"/>
                <w:szCs w:val="20"/>
              </w:rPr>
            </w:pPr>
            <w:r w:rsidRPr="001D6433">
              <w:rPr>
                <w:b/>
                <w:sz w:val="20"/>
                <w:szCs w:val="20"/>
              </w:rPr>
              <w:t>Motions for leave to intervene</w:t>
            </w:r>
            <w:r w:rsidRPr="001D6433">
              <w:rPr>
                <w:sz w:val="20"/>
                <w:szCs w:val="20"/>
              </w:rPr>
              <w:t xml:space="preserve"> </w:t>
            </w:r>
            <w:r w:rsidR="00FD28BB" w:rsidRPr="001D6433">
              <w:rPr>
                <w:sz w:val="20"/>
                <w:szCs w:val="20"/>
              </w:rPr>
              <w:fldChar w:fldCharType="begin"/>
            </w:r>
            <w:r w:rsidRPr="001D6433">
              <w:rPr>
                <w:sz w:val="20"/>
                <w:szCs w:val="20"/>
              </w:rPr>
              <w:instrText xml:space="preserve"> SEQ CHAPTER \h \r 1</w:instrText>
            </w:r>
            <w:r w:rsidR="00FD28BB" w:rsidRPr="001D6433">
              <w:rPr>
                <w:sz w:val="20"/>
                <w:szCs w:val="20"/>
              </w:rPr>
              <w:fldChar w:fldCharType="end"/>
            </w:r>
          </w:p>
        </w:tc>
        <w:tc>
          <w:tcPr>
            <w:tcW w:w="1170" w:type="dxa"/>
          </w:tcPr>
          <w:p w:rsidR="00F147E3" w:rsidRPr="001D6433" w:rsidRDefault="00F147E3" w:rsidP="0053579F">
            <w:pPr>
              <w:rPr>
                <w:sz w:val="20"/>
                <w:szCs w:val="20"/>
              </w:rPr>
            </w:pPr>
          </w:p>
          <w:p w:rsidR="00F147E3" w:rsidRPr="001D6433" w:rsidRDefault="00F147E3" w:rsidP="0053579F">
            <w:pPr>
              <w:rPr>
                <w:sz w:val="20"/>
                <w:szCs w:val="20"/>
              </w:rPr>
            </w:pPr>
          </w:p>
        </w:tc>
        <w:tc>
          <w:tcPr>
            <w:tcW w:w="4327" w:type="dxa"/>
          </w:tcPr>
          <w:p w:rsidR="00F147E3" w:rsidRPr="001D6433" w:rsidRDefault="00F147E3" w:rsidP="0053579F">
            <w:pPr>
              <w:rPr>
                <w:b/>
                <w:sz w:val="20"/>
                <w:szCs w:val="20"/>
              </w:rPr>
            </w:pPr>
            <w:r w:rsidRPr="001D6433">
              <w:rPr>
                <w:b/>
                <w:bCs/>
                <w:sz w:val="20"/>
                <w:szCs w:val="20"/>
                <w:lang w:val="fr-CA"/>
              </w:rPr>
              <w:t>Requêtes en autorisation d’intervenir</w:t>
            </w:r>
            <w:r w:rsidRPr="001D6433">
              <w:rPr>
                <w:sz w:val="20"/>
                <w:szCs w:val="20"/>
              </w:rPr>
              <w:t xml:space="preserve"> </w:t>
            </w:r>
            <w:r w:rsidR="00FD28BB" w:rsidRPr="001D6433">
              <w:rPr>
                <w:sz w:val="20"/>
                <w:szCs w:val="20"/>
              </w:rPr>
              <w:fldChar w:fldCharType="begin"/>
            </w:r>
            <w:r w:rsidRPr="001D6433">
              <w:rPr>
                <w:sz w:val="20"/>
                <w:szCs w:val="20"/>
              </w:rPr>
              <w:instrText xml:space="preserve"> SEQ CHAPTER \h \r 1</w:instrText>
            </w:r>
            <w:r w:rsidR="00FD28BB" w:rsidRPr="001D6433">
              <w:rPr>
                <w:sz w:val="20"/>
                <w:szCs w:val="20"/>
              </w:rPr>
              <w:fldChar w:fldCharType="end"/>
            </w:r>
          </w:p>
        </w:tc>
      </w:tr>
      <w:tr w:rsidR="00F147E3" w:rsidRPr="001D6433" w:rsidTr="0053579F">
        <w:tc>
          <w:tcPr>
            <w:tcW w:w="1368" w:type="dxa"/>
          </w:tcPr>
          <w:p w:rsidR="00F147E3" w:rsidRPr="001D6433" w:rsidRDefault="00F147E3" w:rsidP="0053579F">
            <w:pPr>
              <w:rPr>
                <w:sz w:val="20"/>
                <w:szCs w:val="20"/>
              </w:rPr>
            </w:pPr>
            <w:r w:rsidRPr="001D6433">
              <w:rPr>
                <w:sz w:val="20"/>
                <w:szCs w:val="20"/>
              </w:rPr>
              <w:t>BY / PAR</w:t>
            </w:r>
          </w:p>
        </w:tc>
        <w:tc>
          <w:tcPr>
            <w:tcW w:w="2970" w:type="dxa"/>
          </w:tcPr>
          <w:p w:rsidR="00F147E3" w:rsidRPr="001D6433" w:rsidRDefault="00F147E3" w:rsidP="0053579F">
            <w:pPr>
              <w:rPr>
                <w:sz w:val="20"/>
                <w:szCs w:val="20"/>
              </w:rPr>
            </w:pPr>
            <w:r w:rsidRPr="001D6433">
              <w:rPr>
                <w:sz w:val="20"/>
                <w:szCs w:val="20"/>
              </w:rPr>
              <w:t>Criminal Lawyers’ Association of (Ontario);</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Advocates’ Society;</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Attorney General of Quebec</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r w:rsidRPr="001D6433">
              <w:rPr>
                <w:sz w:val="20"/>
                <w:szCs w:val="20"/>
              </w:rPr>
              <w:t>IN / DANS :</w:t>
            </w:r>
          </w:p>
        </w:tc>
        <w:tc>
          <w:tcPr>
            <w:tcW w:w="2970" w:type="dxa"/>
          </w:tcPr>
          <w:p w:rsidR="00F147E3" w:rsidRPr="001D6433" w:rsidRDefault="00F147E3" w:rsidP="0053579F">
            <w:pPr>
              <w:rPr>
                <w:sz w:val="20"/>
                <w:szCs w:val="20"/>
              </w:rPr>
            </w:pPr>
            <w:r w:rsidRPr="001D6433">
              <w:rPr>
                <w:sz w:val="20"/>
                <w:szCs w:val="20"/>
              </w:rPr>
              <w:t>Her Majesty the Queen</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rPr>
                <w:sz w:val="20"/>
                <w:szCs w:val="20"/>
              </w:rPr>
            </w:pPr>
            <w:r w:rsidRPr="001D6433">
              <w:rPr>
                <w:sz w:val="20"/>
                <w:szCs w:val="20"/>
              </w:rPr>
              <w:tab/>
              <w:t>v. (34228)</w:t>
            </w:r>
          </w:p>
          <w:p w:rsidR="00F147E3" w:rsidRPr="001D6433" w:rsidRDefault="00F147E3" w:rsidP="0053579F">
            <w:pPr>
              <w:rPr>
                <w:sz w:val="20"/>
                <w:szCs w:val="20"/>
              </w:rPr>
            </w:pP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r w:rsidR="00F147E3" w:rsidRPr="001D6433" w:rsidTr="0053579F">
        <w:tc>
          <w:tcPr>
            <w:tcW w:w="1368" w:type="dxa"/>
          </w:tcPr>
          <w:p w:rsidR="00F147E3" w:rsidRPr="001D6433" w:rsidRDefault="00F147E3" w:rsidP="0053579F">
            <w:pPr>
              <w:rPr>
                <w:sz w:val="20"/>
                <w:szCs w:val="20"/>
              </w:rPr>
            </w:pPr>
          </w:p>
        </w:tc>
        <w:tc>
          <w:tcPr>
            <w:tcW w:w="2970" w:type="dxa"/>
          </w:tcPr>
          <w:p w:rsidR="00F147E3" w:rsidRPr="001D6433" w:rsidRDefault="00F147E3" w:rsidP="0053579F">
            <w:pPr>
              <w:jc w:val="both"/>
              <w:rPr>
                <w:sz w:val="20"/>
                <w:szCs w:val="20"/>
              </w:rPr>
            </w:pPr>
            <w:r w:rsidRPr="001D6433">
              <w:rPr>
                <w:sz w:val="20"/>
                <w:szCs w:val="20"/>
                <w:lang w:val="fr-CA"/>
              </w:rPr>
              <w:t xml:space="preserve">Marius </w:t>
            </w:r>
            <w:proofErr w:type="spellStart"/>
            <w:r w:rsidRPr="001D6433">
              <w:rPr>
                <w:sz w:val="20"/>
                <w:szCs w:val="20"/>
                <w:lang w:val="fr-CA"/>
              </w:rPr>
              <w:t>Nedelcu</w:t>
            </w:r>
            <w:proofErr w:type="spellEnd"/>
            <w:r w:rsidRPr="001D6433">
              <w:rPr>
                <w:sz w:val="20"/>
                <w:szCs w:val="20"/>
                <w:lang w:val="fr-CA"/>
              </w:rPr>
              <w:t xml:space="preserve"> </w:t>
            </w:r>
            <w:r w:rsidRPr="001D6433">
              <w:rPr>
                <w:sz w:val="20"/>
                <w:szCs w:val="20"/>
              </w:rPr>
              <w:t>(Ont.)</w:t>
            </w:r>
          </w:p>
        </w:tc>
        <w:tc>
          <w:tcPr>
            <w:tcW w:w="1170" w:type="dxa"/>
          </w:tcPr>
          <w:p w:rsidR="00F147E3" w:rsidRPr="001D6433" w:rsidRDefault="00F147E3" w:rsidP="0053579F">
            <w:pPr>
              <w:rPr>
                <w:sz w:val="20"/>
                <w:szCs w:val="20"/>
              </w:rPr>
            </w:pPr>
          </w:p>
        </w:tc>
        <w:tc>
          <w:tcPr>
            <w:tcW w:w="4327" w:type="dxa"/>
          </w:tcPr>
          <w:p w:rsidR="00F147E3" w:rsidRPr="001D6433" w:rsidRDefault="00F147E3" w:rsidP="0053579F">
            <w:pPr>
              <w:rPr>
                <w:sz w:val="20"/>
                <w:szCs w:val="20"/>
              </w:rPr>
            </w:pPr>
          </w:p>
        </w:tc>
      </w:tr>
    </w:tbl>
    <w:p w:rsidR="00F147E3" w:rsidRPr="001D6433" w:rsidRDefault="00F147E3" w:rsidP="00F147E3">
      <w:pPr>
        <w:tabs>
          <w:tab w:val="left" w:pos="-1440"/>
          <w:tab w:val="left" w:pos="-720"/>
        </w:tabs>
        <w:jc w:val="both"/>
        <w:rPr>
          <w:sz w:val="20"/>
          <w:szCs w:val="20"/>
        </w:rPr>
      </w:pPr>
    </w:p>
    <w:p w:rsidR="00F147E3" w:rsidRPr="001D6433" w:rsidRDefault="00F147E3" w:rsidP="00F147E3">
      <w:pPr>
        <w:tabs>
          <w:tab w:val="left" w:pos="-1440"/>
          <w:tab w:val="left" w:pos="-720"/>
        </w:tabs>
        <w:jc w:val="both"/>
        <w:rPr>
          <w:sz w:val="20"/>
          <w:szCs w:val="20"/>
        </w:rPr>
      </w:pPr>
      <w:r w:rsidRPr="001D6433">
        <w:rPr>
          <w:b/>
          <w:sz w:val="20"/>
          <w:szCs w:val="20"/>
        </w:rPr>
        <w:t>GRANTED / ACCORDÉES</w:t>
      </w:r>
    </w:p>
    <w:p w:rsidR="00F147E3" w:rsidRPr="001D6433" w:rsidRDefault="00F147E3" w:rsidP="00F147E3">
      <w:pPr>
        <w:tabs>
          <w:tab w:val="left" w:pos="-1440"/>
          <w:tab w:val="left" w:pos="-720"/>
        </w:tabs>
        <w:jc w:val="both"/>
        <w:rPr>
          <w:sz w:val="20"/>
          <w:szCs w:val="20"/>
        </w:rPr>
      </w:pPr>
    </w:p>
    <w:p w:rsidR="00F147E3" w:rsidRDefault="00F147E3">
      <w:pPr>
        <w:rPr>
          <w:b/>
          <w:bCs/>
          <w:sz w:val="20"/>
          <w:szCs w:val="20"/>
        </w:rPr>
      </w:pPr>
      <w:r>
        <w:rPr>
          <w:b/>
          <w:bCs/>
          <w:sz w:val="20"/>
          <w:szCs w:val="20"/>
        </w:rPr>
        <w:br w:type="page"/>
      </w:r>
    </w:p>
    <w:p w:rsidR="00F147E3" w:rsidRPr="001D6433" w:rsidRDefault="00F147E3" w:rsidP="00F147E3">
      <w:pPr>
        <w:spacing w:line="233" w:lineRule="auto"/>
        <w:jc w:val="both"/>
        <w:rPr>
          <w:sz w:val="20"/>
          <w:szCs w:val="20"/>
        </w:rPr>
      </w:pPr>
      <w:r w:rsidRPr="001D6433">
        <w:rPr>
          <w:b/>
          <w:bCs/>
          <w:sz w:val="20"/>
          <w:szCs w:val="20"/>
        </w:rPr>
        <w:t xml:space="preserve">UPON APPLICATIONS </w:t>
      </w:r>
      <w:r w:rsidRPr="001D6433">
        <w:rPr>
          <w:sz w:val="20"/>
          <w:szCs w:val="20"/>
        </w:rPr>
        <w:t>by the Criminal Lawyers’ Association of Ontario, the Advocates’ Society and the Attorney General of Quebec for leave to intervene in the above appeal;</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b/>
          <w:bCs/>
          <w:sz w:val="20"/>
          <w:szCs w:val="20"/>
        </w:rPr>
        <w:t>AND THE MATERIAL FILED</w:t>
      </w:r>
      <w:r w:rsidRPr="001D6433">
        <w:rPr>
          <w:sz w:val="20"/>
          <w:szCs w:val="20"/>
        </w:rPr>
        <w:t xml:space="preserve"> having been read;</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b/>
          <w:bCs/>
          <w:sz w:val="20"/>
          <w:szCs w:val="20"/>
        </w:rPr>
        <w:t>IT IS HEREBY ORDERED THAT:</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The motion for leave to intervene by the Criminal Lawyers’ Association of Ontario, the Advocates’ Society and the Attorney General of Quebec are granted and the said interveners shall each be entitled to serve and file a factum not to exceed 10 pages in length on or before February 29, 2012.</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The requests to present oral argument are deferred to a date following receipt and consideration of the written arguments of the parties and the interveners.</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The interveners shall not be entitled to raise new issues or to adduce further evidence or otherwise to supplement the record of the parties.</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r w:rsidRPr="001D6433">
        <w:rPr>
          <w:sz w:val="20"/>
          <w:szCs w:val="20"/>
        </w:rPr>
        <w:t>Pursuant to Rule 59(1</w:t>
      </w:r>
      <w:proofErr w:type="gramStart"/>
      <w:r w:rsidRPr="001D6433">
        <w:rPr>
          <w:sz w:val="20"/>
          <w:szCs w:val="20"/>
        </w:rPr>
        <w:t>)(</w:t>
      </w:r>
      <w:proofErr w:type="gramEnd"/>
      <w:r w:rsidRPr="001D6433">
        <w:rPr>
          <w:i/>
          <w:iCs/>
          <w:sz w:val="20"/>
          <w:szCs w:val="20"/>
        </w:rPr>
        <w:t>a</w:t>
      </w:r>
      <w:r w:rsidRPr="001D6433">
        <w:rPr>
          <w:sz w:val="20"/>
          <w:szCs w:val="20"/>
        </w:rPr>
        <w:t xml:space="preserve">) of the </w:t>
      </w:r>
      <w:r w:rsidRPr="001D6433">
        <w:rPr>
          <w:i/>
          <w:iCs/>
          <w:sz w:val="20"/>
          <w:szCs w:val="20"/>
        </w:rPr>
        <w:t>Rules of the Supreme Court of Canada</w:t>
      </w:r>
      <w:r w:rsidRPr="001D6433">
        <w:rPr>
          <w:sz w:val="20"/>
          <w:szCs w:val="20"/>
        </w:rPr>
        <w:t>, the intervener shall pay to the appellant and respondent any additional disbursements occasioned to the appellant and respondent by their intervention.</w:t>
      </w: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rPr>
      </w:pPr>
    </w:p>
    <w:p w:rsidR="00F147E3" w:rsidRPr="001D6433" w:rsidRDefault="00F147E3" w:rsidP="00F147E3">
      <w:pPr>
        <w:spacing w:line="233" w:lineRule="auto"/>
        <w:jc w:val="both"/>
        <w:rPr>
          <w:sz w:val="20"/>
          <w:szCs w:val="20"/>
          <w:lang w:val="fr-CA"/>
        </w:rPr>
      </w:pPr>
      <w:r w:rsidRPr="001D6433">
        <w:rPr>
          <w:b/>
          <w:bCs/>
          <w:sz w:val="20"/>
          <w:szCs w:val="20"/>
          <w:lang w:val="fr-CA"/>
        </w:rPr>
        <w:t xml:space="preserve">À LA SUITE DES REQUÊTES </w:t>
      </w:r>
      <w:r w:rsidRPr="001D6433">
        <w:rPr>
          <w:sz w:val="20"/>
          <w:szCs w:val="20"/>
          <w:lang w:val="fr-CA"/>
        </w:rPr>
        <w:t xml:space="preserve">présentées par la </w:t>
      </w:r>
      <w:proofErr w:type="spellStart"/>
      <w:r w:rsidRPr="001D6433">
        <w:rPr>
          <w:sz w:val="20"/>
          <w:szCs w:val="20"/>
          <w:lang w:val="fr-CA"/>
        </w:rPr>
        <w:t>Criminal</w:t>
      </w:r>
      <w:proofErr w:type="spellEnd"/>
      <w:r w:rsidRPr="001D6433">
        <w:rPr>
          <w:sz w:val="20"/>
          <w:szCs w:val="20"/>
          <w:lang w:val="fr-CA"/>
        </w:rPr>
        <w:t xml:space="preserve"> </w:t>
      </w:r>
      <w:proofErr w:type="spellStart"/>
      <w:r w:rsidRPr="001D6433">
        <w:rPr>
          <w:sz w:val="20"/>
          <w:szCs w:val="20"/>
          <w:lang w:val="fr-CA"/>
        </w:rPr>
        <w:t>Lawyers</w:t>
      </w:r>
      <w:proofErr w:type="spellEnd"/>
      <w:r w:rsidRPr="001D6433">
        <w:rPr>
          <w:sz w:val="20"/>
          <w:szCs w:val="20"/>
          <w:lang w:val="fr-CA"/>
        </w:rPr>
        <w:t xml:space="preserve">’ Association of Ontario, la </w:t>
      </w:r>
      <w:proofErr w:type="spellStart"/>
      <w:r w:rsidRPr="001D6433">
        <w:rPr>
          <w:sz w:val="20"/>
          <w:szCs w:val="20"/>
          <w:lang w:val="fr-CA"/>
        </w:rPr>
        <w:t>Advocates</w:t>
      </w:r>
      <w:proofErr w:type="spellEnd"/>
      <w:r w:rsidRPr="001D6433">
        <w:rPr>
          <w:sz w:val="20"/>
          <w:szCs w:val="20"/>
          <w:lang w:val="fr-CA"/>
        </w:rPr>
        <w:t>’ Society et le Procureur général du Québec</w:t>
      </w:r>
      <w:r w:rsidRPr="001D6433">
        <w:rPr>
          <w:bCs/>
          <w:sz w:val="20"/>
          <w:szCs w:val="20"/>
          <w:lang w:val="fr-CA"/>
        </w:rPr>
        <w:t xml:space="preserve"> en vue d’intervenir dans l’appel</w:t>
      </w:r>
      <w:r w:rsidRPr="001D6433">
        <w:rPr>
          <w:sz w:val="20"/>
          <w:szCs w:val="20"/>
          <w:lang w:val="fr-CA"/>
        </w:rPr>
        <w:t>;</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b/>
          <w:bCs/>
          <w:sz w:val="20"/>
          <w:szCs w:val="20"/>
          <w:lang w:val="fr-CA"/>
        </w:rPr>
        <w:t>ET APRÈS EXAMEN</w:t>
      </w:r>
      <w:r w:rsidRPr="001D6433">
        <w:rPr>
          <w:sz w:val="20"/>
          <w:szCs w:val="20"/>
          <w:lang w:val="fr-CA"/>
        </w:rPr>
        <w:t xml:space="preserve"> des documents déposés;</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b/>
          <w:bCs/>
          <w:sz w:val="20"/>
          <w:szCs w:val="20"/>
          <w:lang w:val="fr-CA"/>
        </w:rPr>
        <w:t>IL EST ORDONNÉ CE QUI SUIT :</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sz w:val="20"/>
          <w:szCs w:val="20"/>
          <w:lang w:val="fr-CA"/>
        </w:rPr>
        <w:t xml:space="preserve">Les requêtes en autorisation d’intervenir de la </w:t>
      </w:r>
      <w:proofErr w:type="spellStart"/>
      <w:r w:rsidRPr="001D6433">
        <w:rPr>
          <w:sz w:val="20"/>
          <w:szCs w:val="20"/>
          <w:lang w:val="fr-CA"/>
        </w:rPr>
        <w:t>Criminal</w:t>
      </w:r>
      <w:proofErr w:type="spellEnd"/>
      <w:r w:rsidRPr="001D6433">
        <w:rPr>
          <w:sz w:val="20"/>
          <w:szCs w:val="20"/>
          <w:lang w:val="fr-CA"/>
        </w:rPr>
        <w:t xml:space="preserve"> </w:t>
      </w:r>
      <w:proofErr w:type="spellStart"/>
      <w:r w:rsidRPr="001D6433">
        <w:rPr>
          <w:sz w:val="20"/>
          <w:szCs w:val="20"/>
          <w:lang w:val="fr-CA"/>
        </w:rPr>
        <w:t>Lawyers</w:t>
      </w:r>
      <w:proofErr w:type="spellEnd"/>
      <w:r w:rsidRPr="001D6433">
        <w:rPr>
          <w:sz w:val="20"/>
          <w:szCs w:val="20"/>
          <w:lang w:val="fr-CA"/>
        </w:rPr>
        <w:t xml:space="preserve">’ Association of Ontario, la </w:t>
      </w:r>
      <w:proofErr w:type="spellStart"/>
      <w:r w:rsidRPr="001D6433">
        <w:rPr>
          <w:sz w:val="20"/>
          <w:szCs w:val="20"/>
          <w:lang w:val="fr-CA"/>
        </w:rPr>
        <w:t>Advocates</w:t>
      </w:r>
      <w:proofErr w:type="spellEnd"/>
      <w:r w:rsidRPr="001D6433">
        <w:rPr>
          <w:sz w:val="20"/>
          <w:szCs w:val="20"/>
          <w:lang w:val="fr-CA"/>
        </w:rPr>
        <w:t>’ Society et le Procureur général du Québec</w:t>
      </w:r>
      <w:r w:rsidRPr="001D6433">
        <w:rPr>
          <w:bCs/>
          <w:sz w:val="20"/>
          <w:szCs w:val="20"/>
          <w:lang w:val="fr-CA"/>
        </w:rPr>
        <w:t xml:space="preserve"> </w:t>
      </w:r>
      <w:r w:rsidRPr="001D6433">
        <w:rPr>
          <w:sz w:val="20"/>
          <w:szCs w:val="20"/>
          <w:lang w:val="fr-CA"/>
        </w:rPr>
        <w:t>sont accordées et ces intervenants sont autorisés à signifier et déposer chacun un mémoire d’au plus 10 pages au plus tard le 29 février 2012.</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sz w:val="20"/>
          <w:szCs w:val="20"/>
          <w:lang w:val="fr-CA"/>
        </w:rPr>
        <w:t>La décision sur les demandes en vue de présenter une plaidoirie orale sera rendue après réception et examen des arguments écrits des parties et des intervenants.</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sz w:val="20"/>
          <w:szCs w:val="20"/>
          <w:lang w:val="fr-CA"/>
        </w:rPr>
        <w:t>Les intervenants n’ont pas le droit de soulever de nouvelles questions, de produire d’autres éléments de preuve ni de compléter de quelque autre façon le dossier des parties.</w:t>
      </w:r>
    </w:p>
    <w:p w:rsidR="00F147E3" w:rsidRPr="001D6433" w:rsidRDefault="00F147E3" w:rsidP="00F147E3">
      <w:pPr>
        <w:spacing w:line="233" w:lineRule="auto"/>
        <w:jc w:val="both"/>
        <w:rPr>
          <w:sz w:val="20"/>
          <w:szCs w:val="20"/>
          <w:lang w:val="fr-CA"/>
        </w:rPr>
      </w:pPr>
    </w:p>
    <w:p w:rsidR="00F147E3" w:rsidRPr="001D6433" w:rsidRDefault="00F147E3" w:rsidP="00F147E3">
      <w:pPr>
        <w:spacing w:line="233" w:lineRule="auto"/>
        <w:jc w:val="both"/>
        <w:rPr>
          <w:sz w:val="20"/>
          <w:szCs w:val="20"/>
          <w:lang w:val="fr-CA"/>
        </w:rPr>
      </w:pPr>
      <w:r w:rsidRPr="001D6433">
        <w:rPr>
          <w:sz w:val="20"/>
          <w:szCs w:val="20"/>
          <w:lang w:val="fr-CA"/>
        </w:rPr>
        <w:t>Conformément à l’al. 59(1)</w:t>
      </w:r>
      <w:r w:rsidRPr="001D6433">
        <w:rPr>
          <w:i/>
          <w:iCs/>
          <w:sz w:val="20"/>
          <w:szCs w:val="20"/>
          <w:lang w:val="fr-CA"/>
        </w:rPr>
        <w:t>a</w:t>
      </w:r>
      <w:r w:rsidRPr="001D6433">
        <w:rPr>
          <w:sz w:val="20"/>
          <w:szCs w:val="20"/>
          <w:lang w:val="fr-CA"/>
        </w:rPr>
        <w:t xml:space="preserve">) des </w:t>
      </w:r>
      <w:r w:rsidRPr="001D6433">
        <w:rPr>
          <w:i/>
          <w:iCs/>
          <w:sz w:val="20"/>
          <w:szCs w:val="20"/>
          <w:lang w:val="fr-CA"/>
        </w:rPr>
        <w:t>Règles de la Cour suprême du Canada</w:t>
      </w:r>
      <w:r w:rsidRPr="001D6433">
        <w:rPr>
          <w:sz w:val="20"/>
          <w:szCs w:val="20"/>
          <w:lang w:val="fr-CA"/>
        </w:rPr>
        <w:t>, les intervenants paieront à l’appelante et à l’intimé tous les débours supplémentaires résultant de leur intervention.</w:t>
      </w:r>
    </w:p>
    <w:p w:rsidR="00F147E3" w:rsidRPr="001D6433" w:rsidRDefault="00F147E3" w:rsidP="00F147E3">
      <w:pPr>
        <w:tabs>
          <w:tab w:val="left" w:pos="-1440"/>
          <w:tab w:val="left" w:pos="-720"/>
        </w:tabs>
        <w:jc w:val="both"/>
        <w:rPr>
          <w:sz w:val="20"/>
          <w:szCs w:val="20"/>
          <w:lang w:val="fr-CA"/>
        </w:rPr>
      </w:pPr>
    </w:p>
    <w:p w:rsidR="00F147E3" w:rsidRPr="001D6433" w:rsidRDefault="00FD28BB" w:rsidP="00F147E3">
      <w:pPr>
        <w:tabs>
          <w:tab w:val="left" w:pos="-1440"/>
          <w:tab w:val="left" w:pos="-720"/>
        </w:tabs>
        <w:jc w:val="both"/>
        <w:rPr>
          <w:sz w:val="20"/>
          <w:szCs w:val="20"/>
          <w:lang w:val="fr-CA"/>
        </w:rPr>
      </w:pPr>
      <w:r w:rsidRPr="00FD28BB">
        <w:rPr>
          <w:sz w:val="20"/>
          <w:szCs w:val="20"/>
          <w:lang w:val="fr-CA"/>
        </w:rPr>
        <w:pict>
          <v:rect id="_x0000_i1068" style="width:2in;height:1pt" o:hrpct="0" o:hralign="center" o:hrstd="t" o:hrnoshade="t" o:hr="t" fillcolor="black [3213]" stroked="f"/>
        </w:pict>
      </w:r>
    </w:p>
    <w:p w:rsidR="00F9104A" w:rsidRDefault="00F9104A" w:rsidP="0010587F">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251B16"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F147E3" w:rsidRDefault="0010587F" w:rsidP="003B3977">
            <w:pPr>
              <w:rPr>
                <w:sz w:val="20"/>
                <w:szCs w:val="20"/>
                <w:lang w:val="fr-CA"/>
              </w:rPr>
            </w:pPr>
            <w:r w:rsidRPr="00F147E3">
              <w:rPr>
                <w:sz w:val="20"/>
                <w:szCs w:val="20"/>
                <w:lang w:val="fr-CA"/>
              </w:rPr>
              <w:t>0</w:t>
            </w:r>
            <w:r w:rsidR="00F147E3" w:rsidRPr="00F147E3">
              <w:rPr>
                <w:sz w:val="20"/>
                <w:szCs w:val="20"/>
                <w:lang w:val="fr-CA"/>
              </w:rPr>
              <w:t>3</w:t>
            </w:r>
            <w:r w:rsidRPr="00F147E3">
              <w:rPr>
                <w:sz w:val="20"/>
                <w:szCs w:val="20"/>
                <w:lang w:val="fr-CA"/>
              </w:rPr>
              <w:t>.1</w:t>
            </w:r>
            <w:r w:rsidR="00F147E3" w:rsidRPr="00F147E3">
              <w:rPr>
                <w:sz w:val="20"/>
                <w:szCs w:val="20"/>
                <w:lang w:val="fr-CA"/>
              </w:rPr>
              <w:t>1</w:t>
            </w:r>
            <w:r w:rsidRPr="00F147E3">
              <w:rPr>
                <w:sz w:val="20"/>
                <w:szCs w:val="20"/>
                <w:lang w:val="fr-CA"/>
              </w:rPr>
              <w:t>.201</w:t>
            </w:r>
            <w:r w:rsidR="00F147E3" w:rsidRPr="00F147E3">
              <w:rPr>
                <w:sz w:val="20"/>
                <w:szCs w:val="20"/>
                <w:lang w:val="fr-CA"/>
              </w:rPr>
              <w:t>1</w:t>
            </w:r>
          </w:p>
          <w:p w:rsidR="0010587F" w:rsidRPr="00F147E3" w:rsidRDefault="0010587F" w:rsidP="003B3977">
            <w:pPr>
              <w:rPr>
                <w:sz w:val="20"/>
                <w:szCs w:val="20"/>
                <w:lang w:val="fr-CA"/>
              </w:rPr>
            </w:pPr>
          </w:p>
          <w:p w:rsidR="0010587F" w:rsidRPr="00F147E3" w:rsidRDefault="00F147E3" w:rsidP="003B3977">
            <w:pPr>
              <w:rPr>
                <w:b/>
                <w:sz w:val="20"/>
                <w:szCs w:val="20"/>
                <w:lang w:val="fr-CA"/>
              </w:rPr>
            </w:pPr>
            <w:r w:rsidRPr="00F147E3">
              <w:rPr>
                <w:b/>
                <w:sz w:val="20"/>
                <w:szCs w:val="20"/>
                <w:lang w:val="fr-CA"/>
              </w:rPr>
              <w:t>Sa Majesté la Reine</w:t>
            </w:r>
          </w:p>
          <w:p w:rsidR="0010587F" w:rsidRPr="00F147E3" w:rsidRDefault="0010587F" w:rsidP="003B3977">
            <w:pPr>
              <w:rPr>
                <w:b/>
                <w:sz w:val="20"/>
                <w:szCs w:val="20"/>
                <w:lang w:val="fr-CA"/>
              </w:rPr>
            </w:pPr>
          </w:p>
          <w:p w:rsidR="0010587F" w:rsidRPr="00F147E3" w:rsidRDefault="0010587F" w:rsidP="003B3977">
            <w:pPr>
              <w:rPr>
                <w:b/>
                <w:sz w:val="20"/>
                <w:szCs w:val="20"/>
                <w:lang w:val="fr-CA"/>
              </w:rPr>
            </w:pPr>
            <w:r w:rsidRPr="00F147E3">
              <w:rPr>
                <w:b/>
                <w:sz w:val="20"/>
                <w:szCs w:val="20"/>
                <w:lang w:val="fr-CA"/>
              </w:rPr>
              <w:tab/>
            </w:r>
            <w:r w:rsidR="00F147E3" w:rsidRPr="00F147E3">
              <w:rPr>
                <w:b/>
                <w:sz w:val="20"/>
                <w:szCs w:val="20"/>
                <w:lang w:val="fr-CA"/>
              </w:rPr>
              <w:t>c</w:t>
            </w:r>
            <w:r w:rsidRPr="00F147E3">
              <w:rPr>
                <w:b/>
                <w:sz w:val="20"/>
                <w:szCs w:val="20"/>
                <w:lang w:val="fr-CA"/>
              </w:rPr>
              <w:t>. (34</w:t>
            </w:r>
            <w:r w:rsidR="00F147E3">
              <w:rPr>
                <w:b/>
                <w:sz w:val="20"/>
                <w:szCs w:val="20"/>
                <w:lang w:val="fr-CA"/>
              </w:rPr>
              <w:t>526</w:t>
            </w:r>
            <w:r w:rsidRPr="00F147E3">
              <w:rPr>
                <w:b/>
                <w:sz w:val="20"/>
                <w:szCs w:val="20"/>
                <w:lang w:val="fr-CA"/>
              </w:rPr>
              <w:t>)</w:t>
            </w:r>
          </w:p>
          <w:p w:rsidR="0010587F" w:rsidRPr="00F147E3" w:rsidRDefault="0010587F" w:rsidP="003B3977">
            <w:pPr>
              <w:rPr>
                <w:b/>
                <w:sz w:val="20"/>
                <w:szCs w:val="20"/>
                <w:lang w:val="fr-CA"/>
              </w:rPr>
            </w:pPr>
          </w:p>
          <w:p w:rsidR="0010587F" w:rsidRPr="00F147E3" w:rsidRDefault="00F147E3" w:rsidP="003B3977">
            <w:pPr>
              <w:rPr>
                <w:b/>
                <w:sz w:val="20"/>
                <w:szCs w:val="20"/>
                <w:lang w:val="fr-CA"/>
              </w:rPr>
            </w:pPr>
            <w:proofErr w:type="spellStart"/>
            <w:r w:rsidRPr="00F147E3">
              <w:rPr>
                <w:b/>
                <w:sz w:val="20"/>
                <w:szCs w:val="20"/>
                <w:lang w:val="fr-CA"/>
              </w:rPr>
              <w:t>Suganthini</w:t>
            </w:r>
            <w:proofErr w:type="spellEnd"/>
            <w:r w:rsidRPr="00F147E3">
              <w:rPr>
                <w:b/>
                <w:sz w:val="20"/>
                <w:szCs w:val="20"/>
                <w:lang w:val="fr-CA"/>
              </w:rPr>
              <w:t xml:space="preserve"> </w:t>
            </w:r>
            <w:proofErr w:type="spellStart"/>
            <w:r w:rsidRPr="00F147E3">
              <w:rPr>
                <w:b/>
                <w:sz w:val="20"/>
                <w:szCs w:val="20"/>
                <w:lang w:val="fr-CA"/>
              </w:rPr>
              <w:t>Mayuran</w:t>
            </w:r>
            <w:proofErr w:type="spellEnd"/>
            <w:r w:rsidR="0010587F" w:rsidRPr="00F147E3">
              <w:rPr>
                <w:b/>
                <w:sz w:val="20"/>
                <w:szCs w:val="20"/>
                <w:lang w:val="fr-CA"/>
              </w:rPr>
              <w:t xml:space="preserve"> (</w:t>
            </w:r>
            <w:proofErr w:type="spellStart"/>
            <w:r w:rsidRPr="00F147E3">
              <w:rPr>
                <w:b/>
                <w:sz w:val="20"/>
                <w:szCs w:val="20"/>
                <w:lang w:val="fr-CA"/>
              </w:rPr>
              <w:t>Qc</w:t>
            </w:r>
            <w:proofErr w:type="spellEnd"/>
            <w:r w:rsidR="0010587F" w:rsidRPr="00F147E3">
              <w:rPr>
                <w:b/>
                <w:sz w:val="20"/>
                <w:szCs w:val="20"/>
                <w:lang w:val="fr-CA"/>
              </w:rPr>
              <w:t>)</w:t>
            </w:r>
          </w:p>
          <w:p w:rsidR="0010587F" w:rsidRPr="00F147E3" w:rsidRDefault="0010587F" w:rsidP="003B3977">
            <w:pPr>
              <w:rPr>
                <w:sz w:val="20"/>
                <w:szCs w:val="20"/>
                <w:lang w:val="fr-CA"/>
              </w:rPr>
            </w:pPr>
          </w:p>
          <w:p w:rsidR="0010587F" w:rsidRPr="00F147E3" w:rsidRDefault="0010587F" w:rsidP="003B3977">
            <w:pPr>
              <w:rPr>
                <w:sz w:val="20"/>
                <w:szCs w:val="20"/>
                <w:lang w:val="fr-CA"/>
              </w:rPr>
            </w:pPr>
            <w:r w:rsidRPr="00F147E3">
              <w:rPr>
                <w:sz w:val="20"/>
                <w:szCs w:val="20"/>
                <w:lang w:val="fr-CA"/>
              </w:rPr>
              <w:t>(</w:t>
            </w:r>
            <w:r w:rsidR="00F147E3" w:rsidRPr="00F147E3">
              <w:rPr>
                <w:sz w:val="20"/>
                <w:szCs w:val="20"/>
                <w:lang w:val="fr-CA"/>
              </w:rPr>
              <w:t>De plein droit</w:t>
            </w:r>
            <w:r w:rsidRPr="00F147E3">
              <w:rPr>
                <w:sz w:val="20"/>
                <w:szCs w:val="20"/>
                <w:lang w:val="fr-CA"/>
              </w:rPr>
              <w:t>)</w:t>
            </w:r>
          </w:p>
          <w:p w:rsidR="0010587F" w:rsidRPr="00F147E3" w:rsidRDefault="0010587F" w:rsidP="003B3977">
            <w:pPr>
              <w:rPr>
                <w:sz w:val="20"/>
                <w:szCs w:val="20"/>
                <w:lang w:val="fr-CA"/>
              </w:rPr>
            </w:pPr>
          </w:p>
          <w:p w:rsidR="0010587F" w:rsidRPr="003B3977" w:rsidRDefault="00FD28BB" w:rsidP="003B3977">
            <w:pPr>
              <w:rPr>
                <w:sz w:val="20"/>
                <w:szCs w:val="20"/>
                <w:lang w:val="fr-CA"/>
              </w:rPr>
            </w:pPr>
            <w:r w:rsidRPr="00FD28BB">
              <w:rPr>
                <w:sz w:val="20"/>
                <w:szCs w:val="20"/>
                <w:lang w:val="fr-CA"/>
              </w:rPr>
              <w:pict>
                <v:rect id="_x0000_i1071"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251B16"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F9104A" w:rsidRDefault="00F9104A" w:rsidP="00732DB7">
      <w:pPr>
        <w:widowControl w:val="0"/>
        <w:rPr>
          <w:sz w:val="20"/>
          <w:szCs w:val="20"/>
        </w:rPr>
      </w:pPr>
      <w:r>
        <w:rPr>
          <w:sz w:val="20"/>
          <w:szCs w:val="20"/>
        </w:rPr>
        <w:t>08.02.2012</w:t>
      </w:r>
    </w:p>
    <w:p w:rsidR="00F9104A" w:rsidRDefault="00F9104A" w:rsidP="00732DB7">
      <w:pPr>
        <w:widowControl w:val="0"/>
        <w:rPr>
          <w:sz w:val="20"/>
          <w:szCs w:val="20"/>
        </w:rPr>
      </w:pPr>
    </w:p>
    <w:p w:rsidR="00204A6F" w:rsidRPr="00B1328C" w:rsidRDefault="00204A6F" w:rsidP="00204A6F">
      <w:pPr>
        <w:widowControl w:val="0"/>
        <w:ind w:left="720" w:hanging="720"/>
        <w:rPr>
          <w:rFonts w:eastAsia="Calibri" w:cs="Times New Roman"/>
          <w:sz w:val="20"/>
          <w:szCs w:val="20"/>
          <w:u w:val="single"/>
        </w:rPr>
      </w:pPr>
      <w:r w:rsidRPr="00B1328C">
        <w:rPr>
          <w:rFonts w:eastAsia="Calibri" w:cs="Times New Roman"/>
          <w:sz w:val="20"/>
          <w:szCs w:val="20"/>
        </w:rPr>
        <w:t xml:space="preserve">Coram: </w:t>
      </w:r>
      <w:r w:rsidRPr="00B1328C">
        <w:rPr>
          <w:rFonts w:eastAsia="Calibri" w:cs="Times New Roman"/>
          <w:sz w:val="20"/>
          <w:szCs w:val="20"/>
        </w:rPr>
        <w:tab/>
      </w:r>
      <w:proofErr w:type="spellStart"/>
      <w:r w:rsidRPr="00B1328C">
        <w:rPr>
          <w:rFonts w:eastAsia="Calibri" w:cs="Times New Roman"/>
          <w:sz w:val="20"/>
          <w:szCs w:val="20"/>
          <w:u w:val="single"/>
        </w:rPr>
        <w:t>McLachlin</w:t>
      </w:r>
      <w:proofErr w:type="spellEnd"/>
      <w:r w:rsidRPr="00B1328C">
        <w:rPr>
          <w:rFonts w:eastAsia="Calibri" w:cs="Times New Roman"/>
          <w:sz w:val="20"/>
          <w:szCs w:val="20"/>
          <w:u w:val="single"/>
        </w:rPr>
        <w:t xml:space="preserve"> C.J. and </w:t>
      </w:r>
      <w:proofErr w:type="spellStart"/>
      <w:r w:rsidRPr="00B1328C">
        <w:rPr>
          <w:rFonts w:eastAsia="Calibri" w:cs="Times New Roman"/>
          <w:sz w:val="20"/>
          <w:szCs w:val="20"/>
          <w:u w:val="single"/>
        </w:rPr>
        <w:t>LeBel</w:t>
      </w:r>
      <w:proofErr w:type="spellEnd"/>
      <w:r w:rsidRPr="00B1328C">
        <w:rPr>
          <w:rFonts w:eastAsia="Calibri" w:cs="Times New Roman"/>
          <w:sz w:val="20"/>
          <w:szCs w:val="20"/>
          <w:u w:val="single"/>
        </w:rPr>
        <w:t xml:space="preserve">, </w:t>
      </w:r>
      <w:proofErr w:type="spellStart"/>
      <w:r w:rsidRPr="00B1328C">
        <w:rPr>
          <w:rFonts w:eastAsia="Calibri" w:cs="Times New Roman"/>
          <w:sz w:val="20"/>
          <w:szCs w:val="20"/>
          <w:u w:val="single"/>
        </w:rPr>
        <w:t>Deschamps</w:t>
      </w:r>
      <w:proofErr w:type="spellEnd"/>
      <w:r w:rsidRPr="00B1328C">
        <w:rPr>
          <w:rFonts w:eastAsia="Calibri" w:cs="Times New Roman"/>
          <w:sz w:val="20"/>
          <w:szCs w:val="20"/>
          <w:u w:val="single"/>
        </w:rPr>
        <w:t xml:space="preserve">, Fish, </w:t>
      </w:r>
      <w:proofErr w:type="spellStart"/>
      <w:r w:rsidRPr="00B1328C">
        <w:rPr>
          <w:rFonts w:eastAsia="Calibri" w:cs="Times New Roman"/>
          <w:sz w:val="20"/>
          <w:szCs w:val="20"/>
          <w:u w:val="single"/>
        </w:rPr>
        <w:t>Abella</w:t>
      </w:r>
      <w:proofErr w:type="spellEnd"/>
      <w:r w:rsidRPr="00B1328C">
        <w:rPr>
          <w:rFonts w:eastAsia="Calibri" w:cs="Times New Roman"/>
          <w:sz w:val="20"/>
          <w:szCs w:val="20"/>
          <w:u w:val="single"/>
        </w:rPr>
        <w:t xml:space="preserve">, Rothstein, Cromwell, </w:t>
      </w:r>
      <w:proofErr w:type="spellStart"/>
      <w:r w:rsidRPr="00B1328C">
        <w:rPr>
          <w:rFonts w:eastAsia="Calibri" w:cs="Times New Roman"/>
          <w:sz w:val="20"/>
          <w:szCs w:val="20"/>
          <w:u w:val="single"/>
        </w:rPr>
        <w:t>Moldaver</w:t>
      </w:r>
      <w:proofErr w:type="spellEnd"/>
      <w:r w:rsidRPr="00B1328C">
        <w:rPr>
          <w:rFonts w:eastAsia="Calibri" w:cs="Times New Roman"/>
          <w:sz w:val="20"/>
          <w:szCs w:val="20"/>
          <w:u w:val="single"/>
        </w:rPr>
        <w:t xml:space="preserve"> and </w:t>
      </w:r>
      <w:proofErr w:type="spellStart"/>
      <w:r w:rsidRPr="00B1328C">
        <w:rPr>
          <w:rFonts w:eastAsia="Calibri" w:cs="Times New Roman"/>
          <w:sz w:val="20"/>
          <w:szCs w:val="20"/>
          <w:u w:val="single"/>
        </w:rPr>
        <w:t>Karakatsanis</w:t>
      </w:r>
      <w:proofErr w:type="spellEnd"/>
      <w:r w:rsidRPr="00B1328C">
        <w:rPr>
          <w:rFonts w:eastAsia="Calibri" w:cs="Times New Roman"/>
          <w:sz w:val="20"/>
          <w:szCs w:val="20"/>
          <w:u w:val="single"/>
        </w:rPr>
        <w:t xml:space="preserve"> JJ.</w:t>
      </w:r>
    </w:p>
    <w:p w:rsidR="00204A6F" w:rsidRDefault="00204A6F"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F9104A" w:rsidRPr="00251B16" w:rsidTr="00F9104A">
        <w:tc>
          <w:tcPr>
            <w:tcW w:w="4380" w:type="dxa"/>
            <w:tcMar>
              <w:left w:w="0" w:type="dxa"/>
              <w:right w:w="0" w:type="dxa"/>
            </w:tcMar>
          </w:tcPr>
          <w:p w:rsidR="00F9104A" w:rsidRPr="00C50A5C" w:rsidRDefault="00F21648" w:rsidP="00F9104A">
            <w:pPr>
              <w:widowControl w:val="0"/>
              <w:jc w:val="both"/>
              <w:rPr>
                <w:b/>
                <w:sz w:val="20"/>
                <w:szCs w:val="20"/>
              </w:rPr>
            </w:pPr>
            <w:r>
              <w:rPr>
                <w:b/>
                <w:sz w:val="20"/>
                <w:szCs w:val="20"/>
              </w:rPr>
              <w:t>Her Majesty the Queen</w:t>
            </w:r>
          </w:p>
          <w:p w:rsidR="00F9104A" w:rsidRPr="00C50A5C" w:rsidRDefault="00F9104A" w:rsidP="00F9104A">
            <w:pPr>
              <w:widowControl w:val="0"/>
              <w:jc w:val="both"/>
              <w:rPr>
                <w:b/>
                <w:sz w:val="20"/>
                <w:szCs w:val="20"/>
              </w:rPr>
            </w:pPr>
          </w:p>
          <w:p w:rsidR="00F9104A" w:rsidRPr="00C50A5C" w:rsidRDefault="00F9104A" w:rsidP="00F9104A">
            <w:pPr>
              <w:widowControl w:val="0"/>
              <w:tabs>
                <w:tab w:val="left" w:pos="736"/>
              </w:tabs>
              <w:jc w:val="both"/>
              <w:rPr>
                <w:b/>
                <w:sz w:val="20"/>
                <w:szCs w:val="20"/>
              </w:rPr>
            </w:pPr>
            <w:r w:rsidRPr="00C50A5C">
              <w:rPr>
                <w:b/>
                <w:sz w:val="20"/>
                <w:szCs w:val="20"/>
              </w:rPr>
              <w:tab/>
              <w:t>v. (3</w:t>
            </w:r>
            <w:r w:rsidR="00F21648">
              <w:rPr>
                <w:b/>
                <w:sz w:val="20"/>
                <w:szCs w:val="20"/>
              </w:rPr>
              <w:t>3976</w:t>
            </w:r>
            <w:r w:rsidRPr="00C50A5C">
              <w:rPr>
                <w:b/>
                <w:sz w:val="20"/>
                <w:szCs w:val="20"/>
              </w:rPr>
              <w:t>)</w:t>
            </w:r>
          </w:p>
          <w:p w:rsidR="00F9104A" w:rsidRPr="00C50A5C" w:rsidRDefault="00F9104A" w:rsidP="00F9104A">
            <w:pPr>
              <w:widowControl w:val="0"/>
              <w:jc w:val="both"/>
              <w:rPr>
                <w:b/>
                <w:sz w:val="20"/>
                <w:szCs w:val="20"/>
              </w:rPr>
            </w:pPr>
          </w:p>
          <w:p w:rsidR="00F9104A" w:rsidRDefault="00204A6F" w:rsidP="00204A6F">
            <w:pPr>
              <w:widowControl w:val="0"/>
              <w:jc w:val="both"/>
              <w:rPr>
                <w:b/>
                <w:sz w:val="20"/>
                <w:szCs w:val="20"/>
              </w:rPr>
            </w:pPr>
            <w:proofErr w:type="spellStart"/>
            <w:r>
              <w:rPr>
                <w:b/>
                <w:sz w:val="20"/>
                <w:szCs w:val="20"/>
              </w:rPr>
              <w:t>Clato</w:t>
            </w:r>
            <w:proofErr w:type="spellEnd"/>
            <w:r>
              <w:rPr>
                <w:b/>
                <w:sz w:val="20"/>
                <w:szCs w:val="20"/>
              </w:rPr>
              <w:t xml:space="preserve"> </w:t>
            </w:r>
            <w:proofErr w:type="spellStart"/>
            <w:r>
              <w:rPr>
                <w:b/>
                <w:sz w:val="20"/>
                <w:szCs w:val="20"/>
              </w:rPr>
              <w:t>Lual</w:t>
            </w:r>
            <w:proofErr w:type="spellEnd"/>
            <w:r>
              <w:rPr>
                <w:b/>
                <w:sz w:val="20"/>
                <w:szCs w:val="20"/>
              </w:rPr>
              <w:t xml:space="preserve"> </w:t>
            </w:r>
            <w:proofErr w:type="spellStart"/>
            <w:r>
              <w:rPr>
                <w:b/>
                <w:sz w:val="20"/>
                <w:szCs w:val="20"/>
              </w:rPr>
              <w:t>Mabior</w:t>
            </w:r>
            <w:proofErr w:type="spellEnd"/>
            <w:r>
              <w:rPr>
                <w:b/>
                <w:sz w:val="20"/>
                <w:szCs w:val="20"/>
              </w:rPr>
              <w:t xml:space="preserve"> </w:t>
            </w:r>
            <w:r w:rsidR="00F9104A" w:rsidRPr="00C50A5C">
              <w:rPr>
                <w:b/>
                <w:sz w:val="20"/>
                <w:szCs w:val="20"/>
              </w:rPr>
              <w:t>(</w:t>
            </w:r>
            <w:r w:rsidR="00F21648">
              <w:rPr>
                <w:b/>
                <w:sz w:val="20"/>
                <w:szCs w:val="20"/>
              </w:rPr>
              <w:t>Man</w:t>
            </w:r>
            <w:r w:rsidR="00F9104A" w:rsidRPr="00C50A5C">
              <w:rPr>
                <w:b/>
                <w:sz w:val="20"/>
                <w:szCs w:val="20"/>
              </w:rPr>
              <w:t>.) (C</w:t>
            </w:r>
            <w:r w:rsidR="00F21648">
              <w:rPr>
                <w:b/>
                <w:sz w:val="20"/>
                <w:szCs w:val="20"/>
              </w:rPr>
              <w:t>r</w:t>
            </w:r>
            <w:r w:rsidR="00F9104A" w:rsidRPr="00C50A5C">
              <w:rPr>
                <w:b/>
                <w:sz w:val="20"/>
                <w:szCs w:val="20"/>
              </w:rPr>
              <w:t>i</w:t>
            </w:r>
            <w:r w:rsidR="00F21648">
              <w:rPr>
                <w:b/>
                <w:sz w:val="20"/>
                <w:szCs w:val="20"/>
              </w:rPr>
              <w:t>m</w:t>
            </w:r>
            <w:r w:rsidR="00F9104A" w:rsidRPr="00C50A5C">
              <w:rPr>
                <w:b/>
                <w:sz w:val="20"/>
                <w:szCs w:val="20"/>
              </w:rPr>
              <w:t>i</w:t>
            </w:r>
            <w:r w:rsidR="00F21648">
              <w:rPr>
                <w:b/>
                <w:sz w:val="20"/>
                <w:szCs w:val="20"/>
              </w:rPr>
              <w:t>na</w:t>
            </w:r>
            <w:r w:rsidR="00F9104A" w:rsidRPr="00C50A5C">
              <w:rPr>
                <w:b/>
                <w:sz w:val="20"/>
                <w:szCs w:val="20"/>
              </w:rPr>
              <w:t>l) (By Leave)</w:t>
            </w:r>
          </w:p>
          <w:p w:rsidR="00D64236" w:rsidRDefault="00D64236" w:rsidP="00204A6F">
            <w:pPr>
              <w:widowControl w:val="0"/>
              <w:jc w:val="both"/>
              <w:rPr>
                <w:b/>
                <w:sz w:val="20"/>
                <w:szCs w:val="20"/>
              </w:rPr>
            </w:pPr>
          </w:p>
          <w:p w:rsidR="00D64236" w:rsidRPr="00EE7E07" w:rsidRDefault="00D64236" w:rsidP="00204A6F">
            <w:pPr>
              <w:widowControl w:val="0"/>
              <w:jc w:val="both"/>
              <w:rPr>
                <w:b/>
                <w:sz w:val="20"/>
                <w:szCs w:val="20"/>
                <w:lang w:val="fr-CA"/>
              </w:rPr>
            </w:pPr>
            <w:r w:rsidRPr="00EE7E07">
              <w:rPr>
                <w:b/>
                <w:sz w:val="20"/>
                <w:szCs w:val="20"/>
                <w:lang w:val="fr-CA"/>
              </w:rPr>
              <w:t xml:space="preserve">- and </w:t>
            </w:r>
            <w:proofErr w:type="spellStart"/>
            <w:r w:rsidRPr="00EE7E07">
              <w:rPr>
                <w:b/>
                <w:sz w:val="20"/>
                <w:szCs w:val="20"/>
                <w:lang w:val="fr-CA"/>
              </w:rPr>
              <w:t>between</w:t>
            </w:r>
            <w:proofErr w:type="spellEnd"/>
            <w:r w:rsidRPr="00EE7E07">
              <w:rPr>
                <w:b/>
                <w:sz w:val="20"/>
                <w:szCs w:val="20"/>
                <w:lang w:val="fr-CA"/>
              </w:rPr>
              <w:t xml:space="preserve"> – </w:t>
            </w:r>
          </w:p>
          <w:p w:rsidR="00D64236" w:rsidRPr="00EE7E07" w:rsidRDefault="00D64236" w:rsidP="00204A6F">
            <w:pPr>
              <w:widowControl w:val="0"/>
              <w:jc w:val="both"/>
              <w:rPr>
                <w:b/>
                <w:sz w:val="20"/>
                <w:szCs w:val="20"/>
                <w:lang w:val="fr-CA"/>
              </w:rPr>
            </w:pPr>
            <w:r w:rsidRPr="00EE7E07">
              <w:rPr>
                <w:b/>
                <w:sz w:val="20"/>
                <w:szCs w:val="20"/>
                <w:lang w:val="fr-CA"/>
              </w:rPr>
              <w:t>- et entre -</w:t>
            </w:r>
          </w:p>
          <w:p w:rsidR="00D64236" w:rsidRPr="00EE7E07" w:rsidRDefault="00D64236" w:rsidP="00204A6F">
            <w:pPr>
              <w:widowControl w:val="0"/>
              <w:jc w:val="both"/>
              <w:rPr>
                <w:b/>
                <w:sz w:val="20"/>
                <w:szCs w:val="20"/>
                <w:lang w:val="fr-CA"/>
              </w:rPr>
            </w:pPr>
          </w:p>
          <w:p w:rsidR="00D64236" w:rsidRPr="00F21648" w:rsidRDefault="00D64236" w:rsidP="00D64236">
            <w:pPr>
              <w:widowControl w:val="0"/>
              <w:jc w:val="both"/>
              <w:rPr>
                <w:b/>
                <w:sz w:val="20"/>
                <w:szCs w:val="20"/>
                <w:lang w:val="fr-CA"/>
              </w:rPr>
            </w:pPr>
            <w:r w:rsidRPr="00F21648">
              <w:rPr>
                <w:b/>
                <w:sz w:val="20"/>
                <w:szCs w:val="20"/>
                <w:lang w:val="fr-CA"/>
              </w:rPr>
              <w:t>Sa Majesté la Reine</w:t>
            </w:r>
          </w:p>
          <w:p w:rsidR="00D64236" w:rsidRPr="00F21648" w:rsidRDefault="00D64236" w:rsidP="00D64236">
            <w:pPr>
              <w:widowControl w:val="0"/>
              <w:jc w:val="both"/>
              <w:rPr>
                <w:b/>
                <w:sz w:val="20"/>
                <w:szCs w:val="20"/>
                <w:lang w:val="fr-CA"/>
              </w:rPr>
            </w:pPr>
          </w:p>
          <w:p w:rsidR="00D64236" w:rsidRPr="00F21648" w:rsidRDefault="00D64236" w:rsidP="00D64236">
            <w:pPr>
              <w:widowControl w:val="0"/>
              <w:tabs>
                <w:tab w:val="left" w:pos="736"/>
              </w:tabs>
              <w:jc w:val="both"/>
              <w:rPr>
                <w:b/>
                <w:sz w:val="20"/>
                <w:szCs w:val="20"/>
                <w:lang w:val="fr-CA"/>
              </w:rPr>
            </w:pPr>
            <w:r w:rsidRPr="00F21648">
              <w:rPr>
                <w:b/>
                <w:sz w:val="20"/>
                <w:szCs w:val="20"/>
                <w:lang w:val="fr-CA"/>
              </w:rPr>
              <w:tab/>
              <w:t>c. (3</w:t>
            </w:r>
            <w:r>
              <w:rPr>
                <w:b/>
                <w:sz w:val="20"/>
                <w:szCs w:val="20"/>
                <w:lang w:val="fr-CA"/>
              </w:rPr>
              <w:t>4094</w:t>
            </w:r>
            <w:r w:rsidRPr="00F21648">
              <w:rPr>
                <w:b/>
                <w:sz w:val="20"/>
                <w:szCs w:val="20"/>
                <w:lang w:val="fr-CA"/>
              </w:rPr>
              <w:t>)</w:t>
            </w:r>
          </w:p>
          <w:p w:rsidR="00D64236" w:rsidRPr="00F21648" w:rsidRDefault="00D64236" w:rsidP="00D64236">
            <w:pPr>
              <w:widowControl w:val="0"/>
              <w:jc w:val="both"/>
              <w:rPr>
                <w:b/>
                <w:sz w:val="20"/>
                <w:szCs w:val="20"/>
                <w:lang w:val="fr-CA"/>
              </w:rPr>
            </w:pPr>
          </w:p>
          <w:p w:rsidR="00D64236" w:rsidRPr="00D64236" w:rsidRDefault="00D64236" w:rsidP="00D64236">
            <w:pPr>
              <w:widowControl w:val="0"/>
              <w:jc w:val="both"/>
              <w:rPr>
                <w:sz w:val="20"/>
                <w:szCs w:val="20"/>
                <w:lang w:val="fr-CA"/>
              </w:rPr>
            </w:pPr>
            <w:r w:rsidRPr="00F21648">
              <w:rPr>
                <w:b/>
                <w:sz w:val="20"/>
                <w:szCs w:val="20"/>
                <w:lang w:val="fr-CA"/>
              </w:rPr>
              <w:t>D.C. (</w:t>
            </w:r>
            <w:proofErr w:type="spellStart"/>
            <w:r w:rsidRPr="00F21648">
              <w:rPr>
                <w:b/>
                <w:sz w:val="20"/>
                <w:szCs w:val="20"/>
                <w:lang w:val="fr-CA"/>
              </w:rPr>
              <w:t>Qc</w:t>
            </w:r>
            <w:proofErr w:type="spellEnd"/>
            <w:r w:rsidRPr="00F21648">
              <w:rPr>
                <w:b/>
                <w:sz w:val="20"/>
                <w:szCs w:val="20"/>
                <w:lang w:val="fr-CA"/>
              </w:rPr>
              <w:t>) (Criminelle) (Autorisation)</w:t>
            </w:r>
          </w:p>
        </w:tc>
        <w:tc>
          <w:tcPr>
            <w:tcW w:w="720" w:type="dxa"/>
            <w:tcMar>
              <w:left w:w="0" w:type="dxa"/>
              <w:right w:w="0" w:type="dxa"/>
            </w:tcMar>
          </w:tcPr>
          <w:p w:rsidR="00F9104A" w:rsidRPr="00D64236" w:rsidRDefault="00F9104A" w:rsidP="00F9104A">
            <w:pPr>
              <w:widowControl w:val="0"/>
              <w:jc w:val="center"/>
              <w:rPr>
                <w:sz w:val="20"/>
                <w:szCs w:val="20"/>
                <w:lang w:val="fr-CA"/>
              </w:rPr>
            </w:pPr>
          </w:p>
        </w:tc>
        <w:tc>
          <w:tcPr>
            <w:tcW w:w="4380" w:type="dxa"/>
            <w:tcMar>
              <w:left w:w="0" w:type="dxa"/>
              <w:right w:w="0" w:type="dxa"/>
            </w:tcMar>
          </w:tcPr>
          <w:p w:rsidR="00D64236" w:rsidRPr="00B500D6" w:rsidRDefault="00D64236" w:rsidP="00D64236">
            <w:pPr>
              <w:jc w:val="both"/>
              <w:rPr>
                <w:sz w:val="20"/>
                <w:szCs w:val="20"/>
              </w:rPr>
            </w:pPr>
            <w:r w:rsidRPr="00B500D6">
              <w:rPr>
                <w:sz w:val="20"/>
                <w:szCs w:val="20"/>
              </w:rPr>
              <w:t>Elizabeth Thomson</w:t>
            </w:r>
            <w:r>
              <w:rPr>
                <w:sz w:val="20"/>
                <w:szCs w:val="20"/>
              </w:rPr>
              <w:t xml:space="preserve"> and </w:t>
            </w:r>
            <w:r w:rsidRPr="00B500D6">
              <w:rPr>
                <w:sz w:val="20"/>
                <w:szCs w:val="20"/>
              </w:rPr>
              <w:t xml:space="preserve">Ami </w:t>
            </w:r>
            <w:proofErr w:type="spellStart"/>
            <w:r w:rsidRPr="00B500D6">
              <w:rPr>
                <w:sz w:val="20"/>
                <w:szCs w:val="20"/>
              </w:rPr>
              <w:t>Kotler</w:t>
            </w:r>
            <w:proofErr w:type="spellEnd"/>
            <w:r>
              <w:rPr>
                <w:sz w:val="20"/>
                <w:szCs w:val="20"/>
              </w:rPr>
              <w:t xml:space="preserve"> f</w:t>
            </w:r>
            <w:r w:rsidRPr="00B500D6">
              <w:rPr>
                <w:sz w:val="20"/>
                <w:szCs w:val="20"/>
              </w:rPr>
              <w:t xml:space="preserve">or the </w:t>
            </w:r>
            <w:r>
              <w:rPr>
                <w:sz w:val="20"/>
                <w:szCs w:val="20"/>
              </w:rPr>
              <w:t>a</w:t>
            </w:r>
            <w:r w:rsidRPr="00B500D6">
              <w:rPr>
                <w:sz w:val="20"/>
                <w:szCs w:val="20"/>
              </w:rPr>
              <w:t>ppellant (33976).</w:t>
            </w:r>
          </w:p>
          <w:p w:rsidR="00D64236" w:rsidRPr="00B500D6" w:rsidRDefault="00D64236" w:rsidP="00D64236">
            <w:pPr>
              <w:jc w:val="both"/>
              <w:rPr>
                <w:sz w:val="20"/>
                <w:szCs w:val="20"/>
              </w:rPr>
            </w:pPr>
          </w:p>
          <w:p w:rsidR="00D64236" w:rsidRPr="00B500D6" w:rsidRDefault="00D64236" w:rsidP="00D64236">
            <w:pPr>
              <w:jc w:val="both"/>
              <w:rPr>
                <w:sz w:val="20"/>
                <w:szCs w:val="20"/>
                <w:lang w:val="fr-CA"/>
              </w:rPr>
            </w:pPr>
            <w:r w:rsidRPr="00B500D6">
              <w:rPr>
                <w:sz w:val="20"/>
                <w:szCs w:val="20"/>
                <w:lang w:val="fr-CA"/>
              </w:rPr>
              <w:t>Caroline Fontaine</w:t>
            </w:r>
            <w:r w:rsidRPr="00B500D6">
              <w:rPr>
                <w:sz w:val="20"/>
                <w:szCs w:val="20"/>
                <w:lang w:val="fr-CA"/>
              </w:rPr>
              <w:tab/>
            </w:r>
            <w:r>
              <w:rPr>
                <w:sz w:val="20"/>
                <w:szCs w:val="20"/>
                <w:lang w:val="fr-CA"/>
              </w:rPr>
              <w:t xml:space="preserve"> et </w:t>
            </w:r>
            <w:r w:rsidRPr="00B500D6">
              <w:rPr>
                <w:sz w:val="20"/>
                <w:szCs w:val="20"/>
                <w:lang w:val="fr-CA"/>
              </w:rPr>
              <w:t>Magalie Cimon</w:t>
            </w:r>
            <w:r>
              <w:rPr>
                <w:sz w:val="20"/>
                <w:szCs w:val="20"/>
                <w:lang w:val="fr-CA"/>
              </w:rPr>
              <w:t xml:space="preserve"> p</w:t>
            </w:r>
            <w:r w:rsidRPr="00B500D6">
              <w:rPr>
                <w:sz w:val="20"/>
                <w:szCs w:val="20"/>
                <w:lang w:val="fr-CA"/>
              </w:rPr>
              <w:t>our l’appelante (34094).</w:t>
            </w:r>
          </w:p>
          <w:p w:rsidR="00D64236" w:rsidRPr="00B500D6" w:rsidRDefault="00D64236" w:rsidP="00D64236">
            <w:pPr>
              <w:jc w:val="both"/>
              <w:rPr>
                <w:sz w:val="20"/>
                <w:szCs w:val="20"/>
                <w:lang w:val="fr-CA"/>
              </w:rPr>
            </w:pPr>
          </w:p>
          <w:p w:rsidR="00D64236" w:rsidRPr="00B500D6" w:rsidRDefault="00D64236" w:rsidP="00D64236">
            <w:pPr>
              <w:jc w:val="both"/>
              <w:rPr>
                <w:sz w:val="20"/>
                <w:szCs w:val="20"/>
              </w:rPr>
            </w:pPr>
            <w:r w:rsidRPr="00B500D6">
              <w:rPr>
                <w:sz w:val="20"/>
                <w:szCs w:val="20"/>
              </w:rPr>
              <w:t xml:space="preserve">Christine </w:t>
            </w:r>
            <w:proofErr w:type="spellStart"/>
            <w:r w:rsidRPr="00B500D6">
              <w:rPr>
                <w:sz w:val="20"/>
                <w:szCs w:val="20"/>
              </w:rPr>
              <w:t>Rideout</w:t>
            </w:r>
            <w:proofErr w:type="spellEnd"/>
            <w:r>
              <w:rPr>
                <w:sz w:val="20"/>
                <w:szCs w:val="20"/>
              </w:rPr>
              <w:t xml:space="preserve"> f</w:t>
            </w:r>
            <w:r w:rsidRPr="00B500D6">
              <w:rPr>
                <w:sz w:val="20"/>
                <w:szCs w:val="20"/>
              </w:rPr>
              <w:t>or the intervener Attorney General of Alberta (34094).</w:t>
            </w:r>
          </w:p>
          <w:p w:rsidR="00D64236" w:rsidRPr="00B500D6" w:rsidRDefault="00D64236" w:rsidP="00D64236">
            <w:pPr>
              <w:jc w:val="both"/>
              <w:rPr>
                <w:sz w:val="20"/>
                <w:szCs w:val="20"/>
              </w:rPr>
            </w:pPr>
          </w:p>
          <w:p w:rsidR="00D64236" w:rsidRPr="00B500D6" w:rsidRDefault="00D64236" w:rsidP="00D64236">
            <w:pPr>
              <w:jc w:val="both"/>
              <w:rPr>
                <w:sz w:val="20"/>
                <w:szCs w:val="20"/>
              </w:rPr>
            </w:pPr>
            <w:r w:rsidRPr="00B500D6">
              <w:rPr>
                <w:sz w:val="20"/>
                <w:szCs w:val="20"/>
              </w:rPr>
              <w:t xml:space="preserve">Amanda </w:t>
            </w:r>
            <w:proofErr w:type="spellStart"/>
            <w:r w:rsidRPr="00B500D6">
              <w:rPr>
                <w:sz w:val="20"/>
                <w:szCs w:val="20"/>
              </w:rPr>
              <w:t>Sansregret</w:t>
            </w:r>
            <w:proofErr w:type="spellEnd"/>
            <w:r>
              <w:rPr>
                <w:sz w:val="20"/>
                <w:szCs w:val="20"/>
              </w:rPr>
              <w:t xml:space="preserve"> and </w:t>
            </w:r>
            <w:r w:rsidRPr="00B500D6">
              <w:rPr>
                <w:sz w:val="20"/>
                <w:szCs w:val="20"/>
              </w:rPr>
              <w:t xml:space="preserve">Corey La Berge for the </w:t>
            </w:r>
            <w:r>
              <w:rPr>
                <w:sz w:val="20"/>
                <w:szCs w:val="20"/>
              </w:rPr>
              <w:t>r</w:t>
            </w:r>
            <w:r w:rsidRPr="00B500D6">
              <w:rPr>
                <w:sz w:val="20"/>
                <w:szCs w:val="20"/>
              </w:rPr>
              <w:t xml:space="preserve">espondent C. L. </w:t>
            </w:r>
            <w:proofErr w:type="spellStart"/>
            <w:r w:rsidRPr="00B500D6">
              <w:rPr>
                <w:sz w:val="20"/>
                <w:szCs w:val="20"/>
              </w:rPr>
              <w:t>Mabior</w:t>
            </w:r>
            <w:proofErr w:type="spellEnd"/>
            <w:r w:rsidRPr="00B500D6">
              <w:rPr>
                <w:sz w:val="20"/>
                <w:szCs w:val="20"/>
              </w:rPr>
              <w:t xml:space="preserve"> (33976).</w:t>
            </w:r>
          </w:p>
          <w:p w:rsidR="00D64236" w:rsidRPr="00B500D6" w:rsidRDefault="00D64236" w:rsidP="00D64236">
            <w:pPr>
              <w:jc w:val="both"/>
              <w:rPr>
                <w:sz w:val="20"/>
                <w:szCs w:val="20"/>
              </w:rPr>
            </w:pPr>
          </w:p>
          <w:p w:rsidR="00D64236" w:rsidRPr="00B500D6" w:rsidRDefault="00D64236" w:rsidP="00D64236">
            <w:pPr>
              <w:jc w:val="both"/>
              <w:rPr>
                <w:sz w:val="20"/>
                <w:szCs w:val="20"/>
                <w:lang w:val="fr-CA"/>
              </w:rPr>
            </w:pPr>
            <w:r w:rsidRPr="00B500D6">
              <w:rPr>
                <w:sz w:val="20"/>
                <w:szCs w:val="20"/>
                <w:lang w:val="fr-CA"/>
              </w:rPr>
              <w:t>Christian Desrosiers</w:t>
            </w:r>
            <w:r>
              <w:rPr>
                <w:sz w:val="20"/>
                <w:szCs w:val="20"/>
                <w:lang w:val="fr-CA"/>
              </w:rPr>
              <w:t xml:space="preserve"> p</w:t>
            </w:r>
            <w:r w:rsidRPr="00B500D6">
              <w:rPr>
                <w:sz w:val="20"/>
                <w:szCs w:val="20"/>
                <w:lang w:val="fr-CA"/>
              </w:rPr>
              <w:t>our l’intimé D. C. (34094).</w:t>
            </w:r>
          </w:p>
          <w:p w:rsidR="00D64236" w:rsidRPr="00B500D6" w:rsidRDefault="00D64236" w:rsidP="00D64236">
            <w:pPr>
              <w:jc w:val="both"/>
              <w:rPr>
                <w:sz w:val="20"/>
                <w:szCs w:val="20"/>
                <w:lang w:val="fr-CA"/>
              </w:rPr>
            </w:pPr>
          </w:p>
          <w:p w:rsidR="00D64236" w:rsidRPr="00B500D6" w:rsidRDefault="00D64236" w:rsidP="00D64236">
            <w:pPr>
              <w:jc w:val="both"/>
              <w:rPr>
                <w:sz w:val="20"/>
                <w:szCs w:val="20"/>
                <w:lang w:val="en-US"/>
              </w:rPr>
            </w:pPr>
            <w:r w:rsidRPr="00B500D6">
              <w:rPr>
                <w:sz w:val="20"/>
                <w:szCs w:val="20"/>
                <w:lang w:val="en-US"/>
              </w:rPr>
              <w:t xml:space="preserve">Jonathan </w:t>
            </w:r>
            <w:proofErr w:type="spellStart"/>
            <w:r w:rsidRPr="00B500D6">
              <w:rPr>
                <w:sz w:val="20"/>
                <w:szCs w:val="20"/>
                <w:lang w:val="en-US"/>
              </w:rPr>
              <w:t>Shime</w:t>
            </w:r>
            <w:proofErr w:type="spellEnd"/>
            <w:r>
              <w:rPr>
                <w:sz w:val="20"/>
                <w:szCs w:val="20"/>
                <w:lang w:val="en-US"/>
              </w:rPr>
              <w:t xml:space="preserve">, </w:t>
            </w:r>
            <w:proofErr w:type="spellStart"/>
            <w:r w:rsidRPr="00B500D6">
              <w:rPr>
                <w:sz w:val="20"/>
                <w:szCs w:val="20"/>
                <w:lang w:val="en-US"/>
              </w:rPr>
              <w:t>Corie</w:t>
            </w:r>
            <w:proofErr w:type="spellEnd"/>
            <w:r w:rsidRPr="00B500D6">
              <w:rPr>
                <w:sz w:val="20"/>
                <w:szCs w:val="20"/>
                <w:lang w:val="en-US"/>
              </w:rPr>
              <w:t xml:space="preserve"> Langdon</w:t>
            </w:r>
            <w:r>
              <w:rPr>
                <w:sz w:val="20"/>
                <w:szCs w:val="20"/>
                <w:lang w:val="en-US"/>
              </w:rPr>
              <w:t xml:space="preserve">, </w:t>
            </w:r>
            <w:r w:rsidRPr="00B500D6">
              <w:rPr>
                <w:sz w:val="20"/>
                <w:szCs w:val="20"/>
                <w:lang w:val="en-US"/>
              </w:rPr>
              <w:t>Richard Elliott</w:t>
            </w:r>
            <w:r>
              <w:rPr>
                <w:sz w:val="20"/>
                <w:szCs w:val="20"/>
                <w:lang w:val="en-US"/>
              </w:rPr>
              <w:t xml:space="preserve"> and </w:t>
            </w:r>
            <w:r w:rsidRPr="00B500D6">
              <w:rPr>
                <w:sz w:val="20"/>
                <w:szCs w:val="20"/>
                <w:lang w:val="en-US"/>
              </w:rPr>
              <w:t>Ryan Peck</w:t>
            </w:r>
            <w:r>
              <w:rPr>
                <w:sz w:val="20"/>
                <w:szCs w:val="20"/>
                <w:lang w:val="en-US"/>
              </w:rPr>
              <w:t xml:space="preserve"> f</w:t>
            </w:r>
            <w:r w:rsidRPr="00B500D6">
              <w:rPr>
                <w:sz w:val="20"/>
                <w:szCs w:val="20"/>
                <w:lang w:val="en-US"/>
              </w:rPr>
              <w:t>or the interveners Canadian HIV/AIDS Legal Network et al. (33976 / 34094)</w:t>
            </w:r>
            <w:r>
              <w:rPr>
                <w:sz w:val="20"/>
                <w:szCs w:val="20"/>
                <w:lang w:val="en-US"/>
              </w:rPr>
              <w:t>.</w:t>
            </w:r>
          </w:p>
          <w:p w:rsidR="00D64236" w:rsidRPr="00B500D6" w:rsidRDefault="00D64236" w:rsidP="00D64236">
            <w:pPr>
              <w:jc w:val="both"/>
              <w:rPr>
                <w:sz w:val="20"/>
                <w:szCs w:val="20"/>
                <w:lang w:val="en-US"/>
              </w:rPr>
            </w:pPr>
          </w:p>
          <w:p w:rsidR="00D64236" w:rsidRPr="00B500D6" w:rsidRDefault="00D64236" w:rsidP="00D64236">
            <w:pPr>
              <w:jc w:val="both"/>
              <w:rPr>
                <w:sz w:val="20"/>
                <w:szCs w:val="20"/>
                <w:lang w:val="en-US"/>
              </w:rPr>
            </w:pPr>
            <w:proofErr w:type="spellStart"/>
            <w:r w:rsidRPr="00B500D6">
              <w:rPr>
                <w:sz w:val="20"/>
                <w:szCs w:val="20"/>
                <w:lang w:val="en-US"/>
              </w:rPr>
              <w:t>Andras</w:t>
            </w:r>
            <w:proofErr w:type="spellEnd"/>
            <w:r w:rsidRPr="00B500D6">
              <w:rPr>
                <w:sz w:val="20"/>
                <w:szCs w:val="20"/>
                <w:lang w:val="en-US"/>
              </w:rPr>
              <w:t xml:space="preserve"> </w:t>
            </w:r>
            <w:proofErr w:type="spellStart"/>
            <w:r w:rsidRPr="00B500D6">
              <w:rPr>
                <w:sz w:val="20"/>
                <w:szCs w:val="20"/>
                <w:lang w:val="en-US"/>
              </w:rPr>
              <w:t>Schreck</w:t>
            </w:r>
            <w:proofErr w:type="spellEnd"/>
            <w:r>
              <w:rPr>
                <w:sz w:val="20"/>
                <w:szCs w:val="20"/>
                <w:lang w:val="en-US"/>
              </w:rPr>
              <w:t xml:space="preserve"> and </w:t>
            </w:r>
            <w:r w:rsidRPr="00B500D6">
              <w:rPr>
                <w:sz w:val="20"/>
                <w:szCs w:val="20"/>
                <w:lang w:val="en-US"/>
              </w:rPr>
              <w:t xml:space="preserve">Candace </w:t>
            </w:r>
            <w:proofErr w:type="spellStart"/>
            <w:r w:rsidRPr="00B500D6">
              <w:rPr>
                <w:sz w:val="20"/>
                <w:szCs w:val="20"/>
                <w:lang w:val="en-US"/>
              </w:rPr>
              <w:t>Suter</w:t>
            </w:r>
            <w:proofErr w:type="spellEnd"/>
            <w:r>
              <w:rPr>
                <w:sz w:val="20"/>
                <w:szCs w:val="20"/>
                <w:lang w:val="en-US"/>
              </w:rPr>
              <w:t xml:space="preserve"> f</w:t>
            </w:r>
            <w:r w:rsidRPr="00B500D6">
              <w:rPr>
                <w:sz w:val="20"/>
                <w:szCs w:val="20"/>
                <w:lang w:val="en-US"/>
              </w:rPr>
              <w:t xml:space="preserve">or the </w:t>
            </w:r>
            <w:r>
              <w:rPr>
                <w:sz w:val="20"/>
                <w:szCs w:val="20"/>
                <w:lang w:val="en-US"/>
              </w:rPr>
              <w:t>i</w:t>
            </w:r>
            <w:r w:rsidRPr="00B500D6">
              <w:rPr>
                <w:sz w:val="20"/>
                <w:szCs w:val="20"/>
                <w:lang w:val="en-US"/>
              </w:rPr>
              <w:t>ntervener Criminal Lawyers' Association of Ontario (33976 / 34094)</w:t>
            </w:r>
            <w:r>
              <w:rPr>
                <w:sz w:val="20"/>
                <w:szCs w:val="20"/>
                <w:lang w:val="en-US"/>
              </w:rPr>
              <w:t>.</w:t>
            </w:r>
          </w:p>
          <w:p w:rsidR="00D64236" w:rsidRPr="00B500D6" w:rsidRDefault="00D64236" w:rsidP="00D64236">
            <w:pPr>
              <w:jc w:val="both"/>
              <w:rPr>
                <w:sz w:val="20"/>
                <w:szCs w:val="20"/>
                <w:lang w:val="en-US"/>
              </w:rPr>
            </w:pPr>
          </w:p>
          <w:p w:rsidR="00D64236" w:rsidRPr="00B500D6" w:rsidRDefault="00D64236" w:rsidP="00D64236">
            <w:pPr>
              <w:jc w:val="both"/>
              <w:rPr>
                <w:sz w:val="20"/>
                <w:szCs w:val="20"/>
                <w:lang w:val="en-US"/>
              </w:rPr>
            </w:pPr>
            <w:r w:rsidRPr="00B500D6">
              <w:rPr>
                <w:sz w:val="20"/>
                <w:szCs w:val="20"/>
                <w:lang w:val="en-US"/>
              </w:rPr>
              <w:t xml:space="preserve">Michael A. </w:t>
            </w:r>
            <w:proofErr w:type="spellStart"/>
            <w:r w:rsidRPr="00B500D6">
              <w:rPr>
                <w:sz w:val="20"/>
                <w:szCs w:val="20"/>
                <w:lang w:val="en-US"/>
              </w:rPr>
              <w:t>Feder</w:t>
            </w:r>
            <w:proofErr w:type="spellEnd"/>
            <w:r>
              <w:rPr>
                <w:sz w:val="20"/>
                <w:szCs w:val="20"/>
                <w:lang w:val="en-US"/>
              </w:rPr>
              <w:t xml:space="preserve"> and </w:t>
            </w:r>
            <w:r w:rsidRPr="00B500D6">
              <w:rPr>
                <w:sz w:val="20"/>
                <w:szCs w:val="20"/>
                <w:lang w:val="en-US"/>
              </w:rPr>
              <w:t>Angela M. Juba</w:t>
            </w:r>
            <w:r>
              <w:rPr>
                <w:sz w:val="20"/>
                <w:szCs w:val="20"/>
                <w:lang w:val="en-US"/>
              </w:rPr>
              <w:t xml:space="preserve"> f</w:t>
            </w:r>
            <w:r w:rsidRPr="00B500D6">
              <w:rPr>
                <w:sz w:val="20"/>
                <w:szCs w:val="20"/>
                <w:lang w:val="en-US"/>
              </w:rPr>
              <w:t>or the Intervener British Columbia Civil Liberties Association (33976 / 34094).</w:t>
            </w:r>
          </w:p>
          <w:p w:rsidR="00D64236" w:rsidRPr="00B500D6" w:rsidRDefault="00D64236" w:rsidP="00D64236">
            <w:pPr>
              <w:jc w:val="both"/>
              <w:rPr>
                <w:sz w:val="20"/>
                <w:szCs w:val="20"/>
                <w:lang w:val="en-US"/>
              </w:rPr>
            </w:pPr>
          </w:p>
          <w:p w:rsidR="00D64236" w:rsidRPr="00B500D6" w:rsidRDefault="00D64236" w:rsidP="00D64236">
            <w:pPr>
              <w:jc w:val="both"/>
              <w:rPr>
                <w:sz w:val="20"/>
                <w:szCs w:val="20"/>
                <w:lang w:val="fr-CA"/>
              </w:rPr>
            </w:pPr>
            <w:r w:rsidRPr="00B500D6">
              <w:rPr>
                <w:sz w:val="20"/>
                <w:szCs w:val="20"/>
                <w:lang w:val="fr-CA"/>
              </w:rPr>
              <w:t xml:space="preserve">François </w:t>
            </w:r>
            <w:proofErr w:type="spellStart"/>
            <w:r w:rsidRPr="00B500D6">
              <w:rPr>
                <w:sz w:val="20"/>
                <w:szCs w:val="20"/>
                <w:lang w:val="fr-CA"/>
              </w:rPr>
              <w:t>Dadour</w:t>
            </w:r>
            <w:proofErr w:type="spellEnd"/>
            <w:r>
              <w:rPr>
                <w:sz w:val="20"/>
                <w:szCs w:val="20"/>
                <w:lang w:val="fr-CA"/>
              </w:rPr>
              <w:t xml:space="preserve"> p</w:t>
            </w:r>
            <w:r w:rsidRPr="00B500D6">
              <w:rPr>
                <w:sz w:val="20"/>
                <w:szCs w:val="20"/>
                <w:lang w:val="fr-CA"/>
              </w:rPr>
              <w:t>our l’intervenant Association des Avocats de la Défense de Montréal (33976 / 34094).</w:t>
            </w:r>
          </w:p>
          <w:p w:rsidR="00D64236" w:rsidRPr="00B500D6" w:rsidRDefault="00D64236" w:rsidP="00D64236">
            <w:pPr>
              <w:jc w:val="both"/>
              <w:rPr>
                <w:sz w:val="20"/>
                <w:szCs w:val="20"/>
                <w:lang w:val="fr-CA"/>
              </w:rPr>
            </w:pPr>
          </w:p>
          <w:p w:rsidR="00F9104A" w:rsidRPr="00D64236" w:rsidRDefault="00D64236" w:rsidP="00D64236">
            <w:pPr>
              <w:jc w:val="both"/>
              <w:rPr>
                <w:sz w:val="20"/>
                <w:szCs w:val="20"/>
                <w:lang w:val="fr-CA"/>
              </w:rPr>
            </w:pPr>
            <w:r w:rsidRPr="00B500D6">
              <w:rPr>
                <w:sz w:val="20"/>
                <w:szCs w:val="20"/>
                <w:lang w:val="fr-CA"/>
              </w:rPr>
              <w:t xml:space="preserve">Lucie </w:t>
            </w:r>
            <w:proofErr w:type="spellStart"/>
            <w:r w:rsidRPr="00B500D6">
              <w:rPr>
                <w:sz w:val="20"/>
                <w:szCs w:val="20"/>
                <w:lang w:val="fr-CA"/>
              </w:rPr>
              <w:t>Joncas</w:t>
            </w:r>
            <w:proofErr w:type="spellEnd"/>
            <w:r>
              <w:rPr>
                <w:sz w:val="20"/>
                <w:szCs w:val="20"/>
                <w:lang w:val="fr-CA"/>
              </w:rPr>
              <w:t xml:space="preserve"> et </w:t>
            </w:r>
            <w:r w:rsidRPr="00B500D6">
              <w:rPr>
                <w:sz w:val="20"/>
                <w:szCs w:val="20"/>
                <w:lang w:val="fr-CA"/>
              </w:rPr>
              <w:t>François Côté</w:t>
            </w:r>
            <w:r>
              <w:rPr>
                <w:sz w:val="20"/>
                <w:szCs w:val="20"/>
                <w:lang w:val="fr-CA"/>
              </w:rPr>
              <w:t xml:space="preserve"> p</w:t>
            </w:r>
            <w:r w:rsidRPr="00B500D6">
              <w:rPr>
                <w:sz w:val="20"/>
                <w:szCs w:val="20"/>
                <w:lang w:val="fr-CA"/>
              </w:rPr>
              <w:t xml:space="preserve">our l’intervenant </w:t>
            </w:r>
            <w:r>
              <w:rPr>
                <w:sz w:val="20"/>
                <w:szCs w:val="20"/>
                <w:lang w:val="fr-CA"/>
              </w:rPr>
              <w:t>L</w:t>
            </w:r>
            <w:r w:rsidRPr="00B500D6">
              <w:rPr>
                <w:sz w:val="20"/>
                <w:szCs w:val="20"/>
                <w:lang w:val="fr-CA"/>
              </w:rPr>
              <w:t>'institut national de santé publique du Québec (33976 / 34094).</w:t>
            </w:r>
          </w:p>
        </w:tc>
      </w:tr>
    </w:tbl>
    <w:p w:rsidR="00F9104A" w:rsidRPr="00D64236" w:rsidRDefault="00F9104A" w:rsidP="00732DB7">
      <w:pPr>
        <w:widowControl w:val="0"/>
        <w:rPr>
          <w:sz w:val="20"/>
          <w:szCs w:val="20"/>
          <w:lang w:val="fr-CA"/>
        </w:rPr>
      </w:pPr>
    </w:p>
    <w:p w:rsidR="00F9104A" w:rsidRPr="0085476B" w:rsidRDefault="00F9104A" w:rsidP="00F9104A">
      <w:pPr>
        <w:widowControl w:val="0"/>
        <w:rPr>
          <w:sz w:val="20"/>
          <w:szCs w:val="20"/>
        </w:rPr>
      </w:pPr>
      <w:r w:rsidRPr="0085476B">
        <w:rPr>
          <w:b/>
          <w:sz w:val="20"/>
          <w:szCs w:val="20"/>
        </w:rPr>
        <w:t xml:space="preserve">RESERVED / </w:t>
      </w:r>
      <w:r w:rsidRPr="0085476B">
        <w:rPr>
          <w:b/>
          <w:sz w:val="20"/>
          <w:szCs w:val="20"/>
          <w:lang w:val="fr-CA"/>
        </w:rPr>
        <w:t>EN DÉLIBÉRÉ</w:t>
      </w:r>
    </w:p>
    <w:p w:rsidR="00F9104A" w:rsidRDefault="00F9104A" w:rsidP="00F9104A"/>
    <w:tbl>
      <w:tblPr>
        <w:tblW w:w="0" w:type="auto"/>
        <w:tblLayout w:type="fixed"/>
        <w:tblCellMar>
          <w:left w:w="0" w:type="dxa"/>
          <w:right w:w="0" w:type="dxa"/>
        </w:tblCellMar>
        <w:tblLook w:val="0000"/>
      </w:tblPr>
      <w:tblGrid>
        <w:gridCol w:w="4380"/>
        <w:gridCol w:w="720"/>
        <w:gridCol w:w="4380"/>
      </w:tblGrid>
      <w:tr w:rsidR="00F9104A" w:rsidRPr="00251B16" w:rsidTr="00F9104A">
        <w:tc>
          <w:tcPr>
            <w:tcW w:w="4380" w:type="dxa"/>
            <w:tcMar>
              <w:left w:w="0" w:type="dxa"/>
              <w:right w:w="0" w:type="dxa"/>
            </w:tcMar>
          </w:tcPr>
          <w:p w:rsidR="00F9104A" w:rsidRPr="00CC4D84" w:rsidRDefault="00F9104A" w:rsidP="00F9104A">
            <w:pPr>
              <w:widowControl w:val="0"/>
              <w:jc w:val="both"/>
              <w:rPr>
                <w:b/>
                <w:sz w:val="20"/>
                <w:szCs w:val="20"/>
                <w:u w:val="single"/>
              </w:rPr>
            </w:pPr>
            <w:r w:rsidRPr="00CC4D84">
              <w:rPr>
                <w:b/>
                <w:sz w:val="20"/>
                <w:szCs w:val="20"/>
                <w:u w:val="single"/>
              </w:rPr>
              <w:t>Nature of the case</w:t>
            </w:r>
            <w:r w:rsidR="00D64236">
              <w:rPr>
                <w:b/>
                <w:sz w:val="20"/>
                <w:szCs w:val="20"/>
                <w:u w:val="single"/>
              </w:rPr>
              <w:t xml:space="preserve"> - 33976</w:t>
            </w:r>
            <w:r w:rsidRPr="00CC4D84">
              <w:rPr>
                <w:b/>
                <w:sz w:val="20"/>
                <w:szCs w:val="20"/>
                <w:u w:val="single"/>
              </w:rPr>
              <w:t>:</w:t>
            </w:r>
          </w:p>
          <w:p w:rsidR="00F9104A" w:rsidRDefault="00F9104A" w:rsidP="00F9104A">
            <w:pPr>
              <w:widowControl w:val="0"/>
              <w:jc w:val="both"/>
              <w:rPr>
                <w:b/>
                <w:sz w:val="20"/>
                <w:szCs w:val="20"/>
              </w:rPr>
            </w:pPr>
          </w:p>
          <w:p w:rsidR="00251B16" w:rsidRDefault="00251B16" w:rsidP="00F9104A">
            <w:pPr>
              <w:widowControl w:val="0"/>
              <w:jc w:val="both"/>
              <w:rPr>
                <w:smallCaps/>
                <w:sz w:val="20"/>
                <w:szCs w:val="20"/>
              </w:rPr>
            </w:pPr>
            <w:r w:rsidRPr="009F2B65">
              <w:rPr>
                <w:smallCaps/>
                <w:sz w:val="20"/>
                <w:szCs w:val="20"/>
              </w:rPr>
              <w:t>(Publication Ban in Case)</w:t>
            </w:r>
          </w:p>
          <w:p w:rsidR="00251B16" w:rsidRPr="00C1697B" w:rsidRDefault="00251B16" w:rsidP="00F9104A">
            <w:pPr>
              <w:widowControl w:val="0"/>
              <w:jc w:val="both"/>
              <w:rPr>
                <w:b/>
                <w:sz w:val="20"/>
                <w:szCs w:val="20"/>
              </w:rPr>
            </w:pPr>
          </w:p>
          <w:p w:rsidR="00251B16" w:rsidRDefault="00251B16" w:rsidP="00FD67A4">
            <w:pPr>
              <w:jc w:val="both"/>
              <w:rPr>
                <w:sz w:val="20"/>
                <w:szCs w:val="20"/>
              </w:rPr>
            </w:pPr>
          </w:p>
          <w:p w:rsidR="00F9104A" w:rsidRPr="00C1697B" w:rsidRDefault="00FD67A4" w:rsidP="00FD67A4">
            <w:pPr>
              <w:jc w:val="both"/>
              <w:rPr>
                <w:b/>
                <w:sz w:val="20"/>
                <w:szCs w:val="20"/>
              </w:rPr>
            </w:pPr>
            <w:r w:rsidRPr="006B625C">
              <w:rPr>
                <w:sz w:val="20"/>
                <w:szCs w:val="20"/>
              </w:rPr>
              <w:t xml:space="preserve">Criminal Law </w:t>
            </w:r>
            <w:r w:rsidRPr="006B625C">
              <w:rPr>
                <w:sz w:val="20"/>
                <w:szCs w:val="20"/>
              </w:rPr>
              <w:noBreakHyphen/>
              <w:t xml:space="preserve"> Offences </w:t>
            </w:r>
            <w:r w:rsidRPr="006B625C">
              <w:rPr>
                <w:sz w:val="20"/>
                <w:szCs w:val="20"/>
              </w:rPr>
              <w:noBreakHyphen/>
              <w:t xml:space="preserve"> Elements of offence </w:t>
            </w:r>
            <w:r w:rsidRPr="006B625C">
              <w:rPr>
                <w:sz w:val="20"/>
                <w:szCs w:val="20"/>
              </w:rPr>
              <w:noBreakHyphen/>
              <w:t xml:space="preserve"> Sexual assault </w:t>
            </w:r>
            <w:r w:rsidRPr="006B625C">
              <w:rPr>
                <w:sz w:val="20"/>
                <w:szCs w:val="20"/>
              </w:rPr>
              <w:noBreakHyphen/>
              <w:t xml:space="preserve"> Whether the Court of Appeal erred in concluding that the respondent’s low viral count or use of condoms meant that his failure to disclose his </w:t>
            </w:r>
            <w:proofErr w:type="spellStart"/>
            <w:r w:rsidRPr="006B625C">
              <w:rPr>
                <w:sz w:val="20"/>
                <w:szCs w:val="20"/>
              </w:rPr>
              <w:t>HIV</w:t>
            </w:r>
            <w:r w:rsidRPr="006B625C">
              <w:rPr>
                <w:sz w:val="20"/>
                <w:szCs w:val="20"/>
              </w:rPr>
              <w:noBreakHyphen/>
              <w:t>positive</w:t>
            </w:r>
            <w:proofErr w:type="spellEnd"/>
            <w:r w:rsidRPr="006B625C">
              <w:rPr>
                <w:sz w:val="20"/>
                <w:szCs w:val="20"/>
              </w:rPr>
              <w:t xml:space="preserve"> status before sexual intercourse did not place the complainants at a significant risk of serious bodily harm.</w:t>
            </w:r>
          </w:p>
        </w:tc>
        <w:tc>
          <w:tcPr>
            <w:tcW w:w="720" w:type="dxa"/>
            <w:tcMar>
              <w:left w:w="0" w:type="dxa"/>
              <w:right w:w="0" w:type="dxa"/>
            </w:tcMar>
          </w:tcPr>
          <w:p w:rsidR="00F9104A" w:rsidRPr="00C1697B" w:rsidRDefault="00F9104A" w:rsidP="00F9104A">
            <w:pPr>
              <w:widowControl w:val="0"/>
              <w:jc w:val="center"/>
              <w:rPr>
                <w:sz w:val="20"/>
                <w:szCs w:val="20"/>
              </w:rPr>
            </w:pPr>
          </w:p>
        </w:tc>
        <w:tc>
          <w:tcPr>
            <w:tcW w:w="4380" w:type="dxa"/>
            <w:tcMar>
              <w:left w:w="0" w:type="dxa"/>
              <w:right w:w="0" w:type="dxa"/>
            </w:tcMar>
          </w:tcPr>
          <w:p w:rsidR="00F9104A" w:rsidRPr="00251B16" w:rsidRDefault="00F9104A" w:rsidP="00F9104A">
            <w:pPr>
              <w:widowControl w:val="0"/>
              <w:jc w:val="both"/>
              <w:rPr>
                <w:b/>
                <w:sz w:val="20"/>
                <w:szCs w:val="20"/>
                <w:u w:val="single"/>
              </w:rPr>
            </w:pPr>
            <w:r w:rsidRPr="00251B16">
              <w:rPr>
                <w:b/>
                <w:sz w:val="20"/>
                <w:szCs w:val="20"/>
                <w:u w:val="single"/>
              </w:rPr>
              <w:t xml:space="preserve">Nature de la cause </w:t>
            </w:r>
            <w:r w:rsidR="00D64236" w:rsidRPr="00251B16">
              <w:rPr>
                <w:b/>
                <w:sz w:val="20"/>
                <w:szCs w:val="20"/>
                <w:u w:val="single"/>
              </w:rPr>
              <w:t>-</w:t>
            </w:r>
            <w:r w:rsidR="001714A0" w:rsidRPr="00251B16">
              <w:rPr>
                <w:b/>
                <w:sz w:val="20"/>
                <w:szCs w:val="20"/>
                <w:u w:val="single"/>
              </w:rPr>
              <w:t xml:space="preserve"> </w:t>
            </w:r>
            <w:r w:rsidR="00D64236" w:rsidRPr="00251B16">
              <w:rPr>
                <w:b/>
                <w:sz w:val="20"/>
                <w:szCs w:val="20"/>
                <w:u w:val="single"/>
              </w:rPr>
              <w:t xml:space="preserve">33976 </w:t>
            </w:r>
            <w:r w:rsidRPr="00251B16">
              <w:rPr>
                <w:b/>
                <w:sz w:val="20"/>
                <w:szCs w:val="20"/>
                <w:u w:val="single"/>
              </w:rPr>
              <w:t>:</w:t>
            </w:r>
          </w:p>
          <w:p w:rsidR="00F9104A" w:rsidRPr="00251B16" w:rsidRDefault="00F9104A" w:rsidP="00F9104A">
            <w:pPr>
              <w:widowControl w:val="0"/>
              <w:jc w:val="both"/>
              <w:rPr>
                <w:sz w:val="20"/>
                <w:szCs w:val="20"/>
              </w:rPr>
            </w:pPr>
          </w:p>
          <w:p w:rsidR="00251B16" w:rsidRPr="002014B7" w:rsidRDefault="00251B16" w:rsidP="00251B16">
            <w:pPr>
              <w:pStyle w:val="SCCBanSummary"/>
              <w:rPr>
                <w:sz w:val="20"/>
                <w:szCs w:val="20"/>
                <w:lang w:val="fr-CA"/>
              </w:rPr>
            </w:pPr>
            <w:r w:rsidRPr="002014B7">
              <w:rPr>
                <w:sz w:val="20"/>
                <w:szCs w:val="20"/>
                <w:lang w:val="fr-CA"/>
              </w:rPr>
              <w:t xml:space="preserve">(Ordonnance de </w:t>
            </w:r>
            <w:proofErr w:type="spellStart"/>
            <w:r w:rsidRPr="002014B7">
              <w:rPr>
                <w:sz w:val="20"/>
                <w:szCs w:val="20"/>
                <w:lang w:val="fr-CA"/>
              </w:rPr>
              <w:t>non</w:t>
            </w:r>
            <w:r w:rsidRPr="002014B7">
              <w:rPr>
                <w:sz w:val="20"/>
                <w:szCs w:val="20"/>
                <w:lang w:val="fr-CA"/>
              </w:rPr>
              <w:noBreakHyphen/>
              <w:t>publication</w:t>
            </w:r>
            <w:proofErr w:type="spellEnd"/>
            <w:r w:rsidRPr="002014B7">
              <w:rPr>
                <w:sz w:val="20"/>
                <w:szCs w:val="20"/>
                <w:lang w:val="fr-CA"/>
              </w:rPr>
              <w:t xml:space="preserve"> visant une partie) </w:t>
            </w:r>
          </w:p>
          <w:p w:rsidR="00251B16" w:rsidRDefault="00251B16" w:rsidP="00F9104A">
            <w:pPr>
              <w:widowControl w:val="0"/>
              <w:jc w:val="both"/>
              <w:rPr>
                <w:rFonts w:eastAsia="Calibri" w:cs="Times New Roman"/>
                <w:sz w:val="20"/>
                <w:szCs w:val="20"/>
                <w:lang w:val="fr-CA"/>
              </w:rPr>
            </w:pPr>
          </w:p>
          <w:p w:rsidR="00F9104A" w:rsidRPr="00C1697B" w:rsidRDefault="00FD67A4" w:rsidP="00F9104A">
            <w:pPr>
              <w:widowControl w:val="0"/>
              <w:jc w:val="both"/>
              <w:rPr>
                <w:sz w:val="20"/>
                <w:szCs w:val="20"/>
                <w:lang w:val="fr-CA"/>
              </w:rPr>
            </w:pPr>
            <w:r w:rsidRPr="00251B16">
              <w:rPr>
                <w:rFonts w:eastAsia="Calibri" w:cs="Times New Roman"/>
                <w:sz w:val="20"/>
                <w:szCs w:val="20"/>
                <w:lang w:val="fr-CA"/>
              </w:rPr>
              <w:t xml:space="preserve">Droit criminel </w:t>
            </w:r>
            <w:r w:rsidRPr="00251B16">
              <w:rPr>
                <w:rFonts w:eastAsia="Calibri" w:cs="Times New Roman"/>
                <w:sz w:val="20"/>
                <w:szCs w:val="20"/>
                <w:lang w:val="fr-CA"/>
              </w:rPr>
              <w:noBreakHyphen/>
              <w:t xml:space="preserve"> Infractions </w:t>
            </w:r>
            <w:r w:rsidRPr="00251B16">
              <w:rPr>
                <w:rFonts w:eastAsia="Calibri" w:cs="Times New Roman"/>
                <w:sz w:val="20"/>
                <w:szCs w:val="20"/>
                <w:lang w:val="fr-CA"/>
              </w:rPr>
              <w:noBreakHyphen/>
              <w:t xml:space="preserve"> Éléments de l’infraction </w:t>
            </w:r>
            <w:r w:rsidRPr="00251B16">
              <w:rPr>
                <w:rFonts w:eastAsia="Calibri" w:cs="Times New Roman"/>
                <w:sz w:val="20"/>
                <w:szCs w:val="20"/>
                <w:lang w:val="fr-CA"/>
              </w:rPr>
              <w:noBreakHyphen/>
              <w:t xml:space="preserve"> Agression sexuelle </w:t>
            </w:r>
            <w:r w:rsidRPr="00251B16">
              <w:rPr>
                <w:rFonts w:eastAsia="Calibri" w:cs="Times New Roman"/>
                <w:sz w:val="20"/>
                <w:szCs w:val="20"/>
                <w:lang w:val="fr-CA"/>
              </w:rPr>
              <w:noBreakHyphen/>
              <w:t xml:space="preserve"> La Cour d’appel </w:t>
            </w:r>
            <w:proofErr w:type="spellStart"/>
            <w:r w:rsidRPr="00251B16">
              <w:rPr>
                <w:rFonts w:eastAsia="Calibri" w:cs="Times New Roman"/>
                <w:sz w:val="20"/>
                <w:szCs w:val="20"/>
                <w:lang w:val="fr-CA"/>
              </w:rPr>
              <w:t>a</w:t>
            </w:r>
            <w:r w:rsidRPr="00251B16">
              <w:rPr>
                <w:rFonts w:eastAsia="Calibri" w:cs="Times New Roman"/>
                <w:sz w:val="20"/>
                <w:szCs w:val="20"/>
                <w:lang w:val="fr-CA"/>
              </w:rPr>
              <w:noBreakHyphen/>
            </w:r>
            <w:r w:rsidRPr="00DC1A29">
              <w:rPr>
                <w:rFonts w:eastAsia="Calibri" w:cs="Times New Roman"/>
                <w:sz w:val="20"/>
                <w:szCs w:val="20"/>
                <w:lang w:val="fr-CA"/>
              </w:rPr>
              <w:t>t</w:t>
            </w:r>
            <w:r w:rsidRPr="00DC1A29">
              <w:rPr>
                <w:rFonts w:eastAsia="Calibri" w:cs="Times New Roman"/>
                <w:sz w:val="20"/>
                <w:szCs w:val="20"/>
                <w:lang w:val="fr-CA"/>
              </w:rPr>
              <w:noBreakHyphen/>
              <w:t>elle</w:t>
            </w:r>
            <w:proofErr w:type="spellEnd"/>
            <w:r w:rsidRPr="00DC1A29">
              <w:rPr>
                <w:rFonts w:eastAsia="Calibri" w:cs="Times New Roman"/>
                <w:sz w:val="20"/>
                <w:szCs w:val="20"/>
                <w:lang w:val="fr-CA"/>
              </w:rPr>
              <w:t xml:space="preserve"> commis une erreur en concluant que, vu les faibles charges virales de l’intimé ou l’utilisation de condoms, son omission de déclarer qu’il était séropositif pour le HIV avant d’avoir des rapports sexuels n’a pas eu pour effet d’exposer les plaignantes à un risque élevé de préjudice corporel grave?</w:t>
            </w:r>
          </w:p>
        </w:tc>
      </w:tr>
    </w:tbl>
    <w:p w:rsidR="00CB7A3B" w:rsidRDefault="00CB7A3B">
      <w:pPr>
        <w:rPr>
          <w:lang w:val="fr-CA"/>
        </w:rPr>
      </w:pPr>
    </w:p>
    <w:tbl>
      <w:tblPr>
        <w:tblW w:w="0" w:type="auto"/>
        <w:tblLayout w:type="fixed"/>
        <w:tblCellMar>
          <w:left w:w="0" w:type="dxa"/>
          <w:right w:w="0" w:type="dxa"/>
        </w:tblCellMar>
        <w:tblLook w:val="0000"/>
      </w:tblPr>
      <w:tblGrid>
        <w:gridCol w:w="4380"/>
        <w:gridCol w:w="720"/>
        <w:gridCol w:w="4380"/>
      </w:tblGrid>
      <w:tr w:rsidR="00F9104A" w:rsidRPr="00BF29D3" w:rsidTr="00F9104A">
        <w:tc>
          <w:tcPr>
            <w:tcW w:w="4380" w:type="dxa"/>
            <w:tcMar>
              <w:left w:w="0" w:type="dxa"/>
              <w:right w:w="0" w:type="dxa"/>
            </w:tcMar>
          </w:tcPr>
          <w:p w:rsidR="00F9104A" w:rsidRPr="00D751C8" w:rsidRDefault="00F9104A" w:rsidP="00F9104A">
            <w:pPr>
              <w:widowControl w:val="0"/>
              <w:jc w:val="both"/>
              <w:rPr>
                <w:b/>
                <w:sz w:val="20"/>
                <w:szCs w:val="20"/>
                <w:u w:val="single"/>
              </w:rPr>
            </w:pPr>
            <w:r w:rsidRPr="00D751C8">
              <w:rPr>
                <w:b/>
                <w:sz w:val="20"/>
                <w:szCs w:val="20"/>
                <w:u w:val="single"/>
              </w:rPr>
              <w:t>Nature of the case</w:t>
            </w:r>
            <w:r w:rsidR="00D64236">
              <w:rPr>
                <w:b/>
                <w:sz w:val="20"/>
                <w:szCs w:val="20"/>
                <w:u w:val="single"/>
              </w:rPr>
              <w:t xml:space="preserve"> - 34094</w:t>
            </w:r>
            <w:r w:rsidRPr="00D751C8">
              <w:rPr>
                <w:b/>
                <w:sz w:val="20"/>
                <w:szCs w:val="20"/>
                <w:u w:val="single"/>
              </w:rPr>
              <w:t>:</w:t>
            </w:r>
          </w:p>
          <w:p w:rsidR="00F9104A" w:rsidRDefault="00F9104A" w:rsidP="00F9104A">
            <w:pPr>
              <w:widowControl w:val="0"/>
              <w:jc w:val="both"/>
              <w:rPr>
                <w:b/>
                <w:sz w:val="20"/>
                <w:szCs w:val="20"/>
              </w:rPr>
            </w:pPr>
          </w:p>
          <w:p w:rsidR="00251B16" w:rsidRPr="00F2734E" w:rsidRDefault="00251B16" w:rsidP="00251B16">
            <w:pPr>
              <w:pStyle w:val="SCCBanSummary"/>
              <w:rPr>
                <w:sz w:val="20"/>
                <w:szCs w:val="20"/>
              </w:rPr>
            </w:pPr>
            <w:r w:rsidRPr="00F2734E">
              <w:rPr>
                <w:sz w:val="20"/>
                <w:szCs w:val="20"/>
              </w:rPr>
              <w:t>(Publication ban in case) (Publication ban on party)</w:t>
            </w:r>
          </w:p>
          <w:p w:rsidR="00251B16" w:rsidRDefault="00251B16" w:rsidP="00F9104A">
            <w:pPr>
              <w:widowControl w:val="0"/>
              <w:jc w:val="both"/>
              <w:rPr>
                <w:b/>
                <w:sz w:val="20"/>
                <w:szCs w:val="20"/>
              </w:rPr>
            </w:pPr>
          </w:p>
          <w:p w:rsidR="00251B16" w:rsidRPr="00D751C8" w:rsidRDefault="00251B16" w:rsidP="00F9104A">
            <w:pPr>
              <w:widowControl w:val="0"/>
              <w:jc w:val="both"/>
              <w:rPr>
                <w:b/>
                <w:sz w:val="20"/>
                <w:szCs w:val="20"/>
              </w:rPr>
            </w:pPr>
          </w:p>
          <w:p w:rsidR="00F9104A" w:rsidRPr="00D751C8" w:rsidRDefault="00D751C8" w:rsidP="00D751C8">
            <w:pPr>
              <w:widowControl w:val="0"/>
              <w:jc w:val="both"/>
              <w:rPr>
                <w:b/>
                <w:sz w:val="20"/>
                <w:szCs w:val="20"/>
              </w:rPr>
            </w:pPr>
            <w:r w:rsidRPr="0029229F">
              <w:rPr>
                <w:sz w:val="20"/>
                <w:szCs w:val="20"/>
              </w:rPr>
              <w:t xml:space="preserve">Criminal law </w:t>
            </w:r>
            <w:r w:rsidRPr="0029229F">
              <w:rPr>
                <w:sz w:val="20"/>
                <w:szCs w:val="20"/>
              </w:rPr>
              <w:noBreakHyphen/>
              <w:t xml:space="preserve"> Offences </w:t>
            </w:r>
            <w:r w:rsidRPr="0029229F">
              <w:rPr>
                <w:sz w:val="20"/>
                <w:szCs w:val="20"/>
              </w:rPr>
              <w:noBreakHyphen/>
              <w:t xml:space="preserve"> Elements of offence </w:t>
            </w:r>
            <w:r w:rsidRPr="0029229F">
              <w:rPr>
                <w:sz w:val="20"/>
                <w:szCs w:val="20"/>
              </w:rPr>
              <w:noBreakHyphen/>
              <w:t xml:space="preserve"> Sexual assault </w:t>
            </w:r>
            <w:r w:rsidRPr="0029229F">
              <w:rPr>
                <w:sz w:val="20"/>
                <w:szCs w:val="20"/>
              </w:rPr>
              <w:noBreakHyphen/>
              <w:t xml:space="preserve"> Aggravated assault </w:t>
            </w:r>
            <w:r w:rsidRPr="0029229F">
              <w:rPr>
                <w:sz w:val="20"/>
                <w:szCs w:val="20"/>
              </w:rPr>
              <w:noBreakHyphen/>
              <w:t xml:space="preserve"> Whether consent vitiated where person with HIV does not disclose medical condition before having unprotected sex if person’s viral load, which can vary over time, is undetectable </w:t>
            </w:r>
            <w:r w:rsidRPr="0029229F">
              <w:rPr>
                <w:sz w:val="20"/>
                <w:szCs w:val="20"/>
              </w:rPr>
              <w:noBreakHyphen/>
              <w:t xml:space="preserve"> Point at which risk becomes “significant” enough and harm becomes “serious” enough for conduct to be considered criminal </w:t>
            </w:r>
            <w:r w:rsidRPr="0029229F">
              <w:rPr>
                <w:sz w:val="20"/>
                <w:szCs w:val="20"/>
              </w:rPr>
              <w:noBreakHyphen/>
              <w:t xml:space="preserve"> Application of </w:t>
            </w:r>
            <w:r w:rsidRPr="0029229F">
              <w:rPr>
                <w:i/>
                <w:sz w:val="20"/>
                <w:szCs w:val="20"/>
              </w:rPr>
              <w:t xml:space="preserve">R. v. </w:t>
            </w:r>
            <w:proofErr w:type="spellStart"/>
            <w:r w:rsidRPr="0029229F">
              <w:rPr>
                <w:i/>
                <w:sz w:val="20"/>
                <w:szCs w:val="20"/>
              </w:rPr>
              <w:t>Cuerrier</w:t>
            </w:r>
            <w:proofErr w:type="spellEnd"/>
            <w:r w:rsidRPr="0029229F">
              <w:rPr>
                <w:sz w:val="20"/>
                <w:szCs w:val="20"/>
              </w:rPr>
              <w:t>, [1998] 2 S.C.R. 371.</w:t>
            </w:r>
          </w:p>
        </w:tc>
        <w:tc>
          <w:tcPr>
            <w:tcW w:w="720" w:type="dxa"/>
            <w:tcMar>
              <w:left w:w="0" w:type="dxa"/>
              <w:right w:w="0" w:type="dxa"/>
            </w:tcMar>
          </w:tcPr>
          <w:p w:rsidR="00F9104A" w:rsidRPr="00D751C8" w:rsidRDefault="00F9104A" w:rsidP="00F9104A">
            <w:pPr>
              <w:widowControl w:val="0"/>
              <w:jc w:val="center"/>
              <w:rPr>
                <w:sz w:val="20"/>
                <w:szCs w:val="20"/>
              </w:rPr>
            </w:pPr>
          </w:p>
        </w:tc>
        <w:tc>
          <w:tcPr>
            <w:tcW w:w="4380" w:type="dxa"/>
            <w:tcMar>
              <w:left w:w="0" w:type="dxa"/>
              <w:right w:w="0" w:type="dxa"/>
            </w:tcMar>
          </w:tcPr>
          <w:p w:rsidR="00F9104A" w:rsidRPr="00CC4D84" w:rsidRDefault="00F9104A" w:rsidP="00F9104A">
            <w:pPr>
              <w:widowControl w:val="0"/>
              <w:jc w:val="both"/>
              <w:rPr>
                <w:b/>
                <w:sz w:val="20"/>
                <w:szCs w:val="20"/>
                <w:u w:val="single"/>
                <w:lang w:val="fr-CA"/>
              </w:rPr>
            </w:pPr>
            <w:r w:rsidRPr="00CC4D84">
              <w:rPr>
                <w:b/>
                <w:sz w:val="20"/>
                <w:szCs w:val="20"/>
                <w:u w:val="single"/>
                <w:lang w:val="fr-CA"/>
              </w:rPr>
              <w:t>Nature de la cause</w:t>
            </w:r>
            <w:r w:rsidR="00762132">
              <w:rPr>
                <w:b/>
                <w:sz w:val="20"/>
                <w:szCs w:val="20"/>
                <w:u w:val="single"/>
                <w:lang w:val="fr-CA"/>
              </w:rPr>
              <w:t xml:space="preserve"> -</w:t>
            </w:r>
            <w:r w:rsidRPr="00CC4D84">
              <w:rPr>
                <w:b/>
                <w:sz w:val="20"/>
                <w:szCs w:val="20"/>
                <w:u w:val="single"/>
                <w:lang w:val="fr-CA"/>
              </w:rPr>
              <w:t xml:space="preserve"> </w:t>
            </w:r>
            <w:r w:rsidR="00D64236">
              <w:rPr>
                <w:b/>
                <w:sz w:val="20"/>
                <w:szCs w:val="20"/>
                <w:u w:val="single"/>
                <w:lang w:val="fr-CA"/>
              </w:rPr>
              <w:t xml:space="preserve">34094 </w:t>
            </w:r>
            <w:r w:rsidRPr="00CC4D84">
              <w:rPr>
                <w:b/>
                <w:sz w:val="20"/>
                <w:szCs w:val="20"/>
                <w:u w:val="single"/>
                <w:lang w:val="fr-CA"/>
              </w:rPr>
              <w:t>:</w:t>
            </w:r>
          </w:p>
          <w:p w:rsidR="00F9104A" w:rsidRDefault="00F9104A" w:rsidP="00F9104A">
            <w:pPr>
              <w:widowControl w:val="0"/>
              <w:jc w:val="both"/>
              <w:rPr>
                <w:sz w:val="20"/>
                <w:szCs w:val="20"/>
                <w:lang w:val="fr-CA"/>
              </w:rPr>
            </w:pPr>
          </w:p>
          <w:p w:rsidR="00251B16" w:rsidRPr="00251B16" w:rsidRDefault="00251B16" w:rsidP="00251B16">
            <w:pPr>
              <w:pStyle w:val="SCCBanSummary"/>
              <w:rPr>
                <w:sz w:val="20"/>
                <w:szCs w:val="20"/>
                <w:lang w:val="fr-CA"/>
              </w:rPr>
            </w:pPr>
            <w:r w:rsidRPr="00251B16">
              <w:rPr>
                <w:sz w:val="20"/>
                <w:szCs w:val="20"/>
                <w:lang w:val="fr-CA"/>
              </w:rPr>
              <w:t xml:space="preserve">(Ordonnance de </w:t>
            </w:r>
            <w:proofErr w:type="spellStart"/>
            <w:r w:rsidRPr="00251B16">
              <w:rPr>
                <w:sz w:val="20"/>
                <w:szCs w:val="20"/>
                <w:lang w:val="fr-CA"/>
              </w:rPr>
              <w:t>non</w:t>
            </w:r>
            <w:r w:rsidRPr="00251B16">
              <w:rPr>
                <w:sz w:val="20"/>
                <w:szCs w:val="20"/>
                <w:lang w:val="fr-CA"/>
              </w:rPr>
              <w:noBreakHyphen/>
              <w:t>publication</w:t>
            </w:r>
            <w:proofErr w:type="spellEnd"/>
            <w:r w:rsidRPr="00251B16">
              <w:rPr>
                <w:sz w:val="20"/>
                <w:szCs w:val="20"/>
                <w:lang w:val="fr-CA"/>
              </w:rPr>
              <w:t xml:space="preserve"> dans le dossier) (Ordonnance de </w:t>
            </w:r>
            <w:proofErr w:type="spellStart"/>
            <w:r w:rsidRPr="00251B16">
              <w:rPr>
                <w:sz w:val="20"/>
                <w:szCs w:val="20"/>
                <w:lang w:val="fr-CA"/>
              </w:rPr>
              <w:t>non</w:t>
            </w:r>
            <w:r w:rsidRPr="00251B16">
              <w:rPr>
                <w:sz w:val="20"/>
                <w:szCs w:val="20"/>
                <w:lang w:val="fr-CA"/>
              </w:rPr>
              <w:noBreakHyphen/>
              <w:t>publication</w:t>
            </w:r>
            <w:proofErr w:type="spellEnd"/>
            <w:r w:rsidRPr="00251B16">
              <w:rPr>
                <w:sz w:val="20"/>
                <w:szCs w:val="20"/>
                <w:lang w:val="fr-CA"/>
              </w:rPr>
              <w:t xml:space="preserve"> visant une partie)</w:t>
            </w:r>
          </w:p>
          <w:p w:rsidR="00251B16" w:rsidRPr="00C1697B" w:rsidRDefault="00251B16" w:rsidP="00F9104A">
            <w:pPr>
              <w:widowControl w:val="0"/>
              <w:jc w:val="both"/>
              <w:rPr>
                <w:sz w:val="20"/>
                <w:szCs w:val="20"/>
                <w:lang w:val="fr-CA"/>
              </w:rPr>
            </w:pPr>
          </w:p>
          <w:p w:rsidR="00F9104A" w:rsidRPr="00C1697B" w:rsidRDefault="00D751C8" w:rsidP="00D751C8">
            <w:pPr>
              <w:widowControl w:val="0"/>
              <w:jc w:val="both"/>
              <w:rPr>
                <w:sz w:val="20"/>
                <w:szCs w:val="20"/>
                <w:lang w:val="fr-CA"/>
              </w:rPr>
            </w:pPr>
            <w:r w:rsidRPr="00450639">
              <w:rPr>
                <w:sz w:val="20"/>
                <w:szCs w:val="20"/>
                <w:lang w:val="fr-CA"/>
              </w:rPr>
              <w:t xml:space="preserve">Droit criminel </w:t>
            </w:r>
            <w:r w:rsidRPr="00450639">
              <w:rPr>
                <w:sz w:val="20"/>
                <w:szCs w:val="20"/>
                <w:lang w:val="fr-CA"/>
              </w:rPr>
              <w:noBreakHyphen/>
              <w:t xml:space="preserve"> Infractions </w:t>
            </w:r>
            <w:r w:rsidRPr="00450639">
              <w:rPr>
                <w:sz w:val="20"/>
                <w:szCs w:val="20"/>
                <w:lang w:val="fr-CA"/>
              </w:rPr>
              <w:noBreakHyphen/>
              <w:t xml:space="preserve"> Éléments de l’infraction </w:t>
            </w:r>
            <w:r w:rsidRPr="00450639">
              <w:rPr>
                <w:sz w:val="20"/>
                <w:szCs w:val="20"/>
                <w:lang w:val="fr-CA"/>
              </w:rPr>
              <w:noBreakHyphen/>
              <w:t xml:space="preserve"> Agression sexuelle </w:t>
            </w:r>
            <w:r w:rsidRPr="00450639">
              <w:rPr>
                <w:sz w:val="20"/>
                <w:szCs w:val="20"/>
                <w:lang w:val="fr-CA"/>
              </w:rPr>
              <w:noBreakHyphen/>
              <w:t xml:space="preserve"> Voies de fait graves </w:t>
            </w:r>
            <w:r w:rsidRPr="00450639">
              <w:rPr>
                <w:sz w:val="20"/>
                <w:szCs w:val="20"/>
                <w:lang w:val="fr-CA"/>
              </w:rPr>
              <w:noBreakHyphen/>
              <w:t xml:space="preserve"> Y </w:t>
            </w:r>
            <w:proofErr w:type="spellStart"/>
            <w:r w:rsidRPr="00450639">
              <w:rPr>
                <w:sz w:val="20"/>
                <w:szCs w:val="20"/>
                <w:lang w:val="fr-CA"/>
              </w:rPr>
              <w:t>a</w:t>
            </w:r>
            <w:r w:rsidRPr="00450639">
              <w:rPr>
                <w:sz w:val="20"/>
                <w:szCs w:val="20"/>
                <w:lang w:val="fr-CA"/>
              </w:rPr>
              <w:noBreakHyphen/>
              <w:t>t</w:t>
            </w:r>
            <w:r w:rsidRPr="00450639">
              <w:rPr>
                <w:sz w:val="20"/>
                <w:szCs w:val="20"/>
                <w:lang w:val="fr-CA"/>
              </w:rPr>
              <w:noBreakHyphen/>
              <w:t>il</w:t>
            </w:r>
            <w:proofErr w:type="spellEnd"/>
            <w:r w:rsidRPr="00450639">
              <w:rPr>
                <w:sz w:val="20"/>
                <w:szCs w:val="20"/>
                <w:lang w:val="fr-CA"/>
              </w:rPr>
              <w:t xml:space="preserve"> vice de consentement lorsqu’une personne atteinte du VIH ne dévoile pas son état de santé avant d’avoir une relation sexuelle non protégée lorsque sa charge virale, qui peut varier dans le temps, est indétectable? </w:t>
            </w:r>
            <w:r w:rsidRPr="00450639">
              <w:rPr>
                <w:sz w:val="20"/>
                <w:szCs w:val="20"/>
                <w:lang w:val="fr-CA"/>
              </w:rPr>
              <w:noBreakHyphen/>
              <w:t xml:space="preserve"> À partir de quel niveau le risque </w:t>
            </w:r>
            <w:proofErr w:type="spellStart"/>
            <w:r w:rsidRPr="00450639">
              <w:rPr>
                <w:sz w:val="20"/>
                <w:szCs w:val="20"/>
                <w:lang w:val="fr-CA"/>
              </w:rPr>
              <w:t>est</w:t>
            </w:r>
            <w:r w:rsidRPr="00450639">
              <w:rPr>
                <w:sz w:val="20"/>
                <w:szCs w:val="20"/>
                <w:lang w:val="fr-CA"/>
              </w:rPr>
              <w:noBreakHyphen/>
              <w:t>il</w:t>
            </w:r>
            <w:proofErr w:type="spellEnd"/>
            <w:r w:rsidRPr="00450639">
              <w:rPr>
                <w:sz w:val="20"/>
                <w:szCs w:val="20"/>
                <w:lang w:val="fr-CA"/>
              </w:rPr>
              <w:t xml:space="preserve"> assez « important » et le préjudice assez « grave » pour qu’une conduite soit qualifiée de criminelle? </w:t>
            </w:r>
            <w:r w:rsidRPr="00450639">
              <w:rPr>
                <w:sz w:val="20"/>
                <w:szCs w:val="20"/>
                <w:lang w:val="fr-CA"/>
              </w:rPr>
              <w:noBreakHyphen/>
              <w:t xml:space="preserve"> Application de l’arrêt </w:t>
            </w:r>
            <w:r w:rsidRPr="00450639">
              <w:rPr>
                <w:i/>
                <w:sz w:val="20"/>
                <w:szCs w:val="20"/>
                <w:lang w:val="fr-CA"/>
              </w:rPr>
              <w:t xml:space="preserve">R. </w:t>
            </w:r>
            <w:r w:rsidRPr="00450639">
              <w:rPr>
                <w:i/>
                <w:iCs/>
                <w:sz w:val="20"/>
                <w:szCs w:val="20"/>
                <w:lang w:val="fr-CA"/>
              </w:rPr>
              <w:t>c</w:t>
            </w:r>
            <w:r w:rsidRPr="00450639">
              <w:rPr>
                <w:i/>
                <w:sz w:val="20"/>
                <w:szCs w:val="20"/>
                <w:lang w:val="fr-CA"/>
              </w:rPr>
              <w:t xml:space="preserve">. </w:t>
            </w:r>
            <w:proofErr w:type="spellStart"/>
            <w:r w:rsidRPr="00450639">
              <w:rPr>
                <w:i/>
                <w:sz w:val="20"/>
                <w:szCs w:val="20"/>
                <w:lang w:val="fr-CA"/>
              </w:rPr>
              <w:t>Cuerrier</w:t>
            </w:r>
            <w:proofErr w:type="spellEnd"/>
            <w:r w:rsidRPr="00450639">
              <w:rPr>
                <w:sz w:val="20"/>
                <w:szCs w:val="20"/>
                <w:lang w:val="fr-CA"/>
              </w:rPr>
              <w:t>, [1998] 2 R.C.S. 371.</w:t>
            </w:r>
          </w:p>
        </w:tc>
      </w:tr>
    </w:tbl>
    <w:p w:rsidR="00F9104A" w:rsidRDefault="00F9104A" w:rsidP="00F9104A">
      <w:pPr>
        <w:widowControl w:val="0"/>
        <w:rPr>
          <w:sz w:val="20"/>
          <w:szCs w:val="20"/>
          <w:lang w:val="fr-CA"/>
        </w:rPr>
      </w:pPr>
    </w:p>
    <w:p w:rsidR="00F9104A" w:rsidRPr="00F21648" w:rsidRDefault="00FD28BB" w:rsidP="00F9104A">
      <w:pPr>
        <w:widowControl w:val="0"/>
        <w:rPr>
          <w:sz w:val="20"/>
          <w:szCs w:val="20"/>
          <w:lang w:val="fr-CA"/>
        </w:rPr>
      </w:pPr>
      <w:r w:rsidRPr="00FD28BB">
        <w:rPr>
          <w:sz w:val="20"/>
          <w:szCs w:val="20"/>
          <w:lang w:val="fr-CA"/>
        </w:rPr>
        <w:pict>
          <v:rect id="_x0000_i1074" style="width:2in;height:1pt" o:hrpct="0" o:hralign="center" o:hrstd="t" o:hrnoshade="t" o:hr="t" fillcolor="black [3213]" stroked="f"/>
        </w:pict>
      </w:r>
    </w:p>
    <w:p w:rsidR="00F9104A" w:rsidRPr="00F21648" w:rsidRDefault="00F9104A" w:rsidP="00F9104A">
      <w:pPr>
        <w:widowControl w:val="0"/>
        <w:rPr>
          <w:sz w:val="20"/>
          <w:szCs w:val="20"/>
          <w:lang w:val="fr-CA"/>
        </w:rPr>
      </w:pPr>
    </w:p>
    <w:p w:rsidR="00F9104A" w:rsidRPr="00EE7E07" w:rsidRDefault="00F9104A" w:rsidP="00F9104A">
      <w:pPr>
        <w:widowControl w:val="0"/>
        <w:rPr>
          <w:sz w:val="20"/>
          <w:szCs w:val="20"/>
        </w:rPr>
      </w:pPr>
      <w:r w:rsidRPr="00EE7E07">
        <w:rPr>
          <w:sz w:val="20"/>
          <w:szCs w:val="20"/>
        </w:rPr>
        <w:t>0</w:t>
      </w:r>
      <w:r w:rsidR="00F21648" w:rsidRPr="00EE7E07">
        <w:rPr>
          <w:sz w:val="20"/>
          <w:szCs w:val="20"/>
        </w:rPr>
        <w:t>9</w:t>
      </w:r>
      <w:r w:rsidRPr="00EE7E07">
        <w:rPr>
          <w:sz w:val="20"/>
          <w:szCs w:val="20"/>
        </w:rPr>
        <w:t>.02.2012</w:t>
      </w:r>
    </w:p>
    <w:p w:rsidR="00F9104A" w:rsidRPr="00EE7E07" w:rsidRDefault="00F9104A" w:rsidP="00F9104A">
      <w:pPr>
        <w:widowControl w:val="0"/>
        <w:rPr>
          <w:sz w:val="20"/>
          <w:szCs w:val="20"/>
        </w:rPr>
      </w:pPr>
    </w:p>
    <w:p w:rsidR="0071133E" w:rsidRPr="00D23EB5" w:rsidRDefault="0071133E" w:rsidP="00756BBE">
      <w:pPr>
        <w:widowControl w:val="0"/>
        <w:ind w:left="720" w:hanging="720"/>
        <w:rPr>
          <w:sz w:val="20"/>
          <w:szCs w:val="20"/>
          <w:u w:val="single"/>
        </w:rPr>
      </w:pPr>
      <w:r w:rsidRPr="00D23EB5">
        <w:rPr>
          <w:sz w:val="20"/>
          <w:szCs w:val="20"/>
        </w:rPr>
        <w:t xml:space="preserve">Coram: </w:t>
      </w:r>
      <w:r w:rsidRPr="00D23EB5">
        <w:rPr>
          <w:sz w:val="20"/>
          <w:szCs w:val="20"/>
        </w:rPr>
        <w:tab/>
      </w:r>
      <w:proofErr w:type="spellStart"/>
      <w:r w:rsidRPr="00D23EB5">
        <w:rPr>
          <w:sz w:val="20"/>
          <w:szCs w:val="20"/>
          <w:u w:val="single"/>
        </w:rPr>
        <w:t>McLachlin</w:t>
      </w:r>
      <w:proofErr w:type="spellEnd"/>
      <w:r w:rsidRPr="00D23EB5">
        <w:rPr>
          <w:sz w:val="20"/>
          <w:szCs w:val="20"/>
          <w:u w:val="single"/>
        </w:rPr>
        <w:t xml:space="preserve"> C.J. and </w:t>
      </w:r>
      <w:proofErr w:type="spellStart"/>
      <w:r w:rsidRPr="00D23EB5">
        <w:rPr>
          <w:sz w:val="20"/>
          <w:szCs w:val="20"/>
          <w:u w:val="single"/>
        </w:rPr>
        <w:t>LeBel</w:t>
      </w:r>
      <w:proofErr w:type="spellEnd"/>
      <w:r w:rsidRPr="00D23EB5">
        <w:rPr>
          <w:sz w:val="20"/>
          <w:szCs w:val="20"/>
          <w:u w:val="single"/>
        </w:rPr>
        <w:t xml:space="preserve">, </w:t>
      </w:r>
      <w:proofErr w:type="spellStart"/>
      <w:r w:rsidRPr="00D23EB5">
        <w:rPr>
          <w:sz w:val="20"/>
          <w:szCs w:val="20"/>
          <w:u w:val="single"/>
        </w:rPr>
        <w:t>Deschamps</w:t>
      </w:r>
      <w:proofErr w:type="spellEnd"/>
      <w:r w:rsidRPr="00D23EB5">
        <w:rPr>
          <w:sz w:val="20"/>
          <w:szCs w:val="20"/>
          <w:u w:val="single"/>
        </w:rPr>
        <w:t xml:space="preserve">, Fish, </w:t>
      </w:r>
      <w:proofErr w:type="spellStart"/>
      <w:r w:rsidRPr="00D23EB5">
        <w:rPr>
          <w:sz w:val="20"/>
          <w:szCs w:val="20"/>
          <w:u w:val="single"/>
        </w:rPr>
        <w:t>Abella</w:t>
      </w:r>
      <w:proofErr w:type="spellEnd"/>
      <w:r w:rsidRPr="00D23EB5">
        <w:rPr>
          <w:sz w:val="20"/>
          <w:szCs w:val="20"/>
          <w:u w:val="single"/>
        </w:rPr>
        <w:t xml:space="preserve">, Rothstein, Cromwell, </w:t>
      </w:r>
      <w:proofErr w:type="spellStart"/>
      <w:r w:rsidRPr="00D23EB5">
        <w:rPr>
          <w:sz w:val="20"/>
          <w:szCs w:val="20"/>
          <w:u w:val="single"/>
        </w:rPr>
        <w:t>Moldaver</w:t>
      </w:r>
      <w:proofErr w:type="spellEnd"/>
      <w:r w:rsidRPr="00D23EB5">
        <w:rPr>
          <w:sz w:val="20"/>
          <w:szCs w:val="20"/>
          <w:u w:val="single"/>
        </w:rPr>
        <w:t xml:space="preserve"> and </w:t>
      </w:r>
      <w:proofErr w:type="spellStart"/>
      <w:r w:rsidRPr="00D23EB5">
        <w:rPr>
          <w:sz w:val="20"/>
          <w:szCs w:val="20"/>
          <w:u w:val="single"/>
        </w:rPr>
        <w:t>Karakatsanis</w:t>
      </w:r>
      <w:proofErr w:type="spellEnd"/>
      <w:r w:rsidRPr="00D23EB5">
        <w:rPr>
          <w:sz w:val="20"/>
          <w:szCs w:val="20"/>
          <w:u w:val="single"/>
        </w:rPr>
        <w:t xml:space="preserve"> JJ.</w:t>
      </w:r>
    </w:p>
    <w:p w:rsidR="00E556B4" w:rsidRPr="0071133E" w:rsidRDefault="00E556B4" w:rsidP="00F9104A">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F9104A" w:rsidRPr="00C50A5C" w:rsidTr="00F9104A">
        <w:tc>
          <w:tcPr>
            <w:tcW w:w="4380" w:type="dxa"/>
            <w:tcMar>
              <w:left w:w="0" w:type="dxa"/>
              <w:right w:w="0" w:type="dxa"/>
            </w:tcMar>
          </w:tcPr>
          <w:p w:rsidR="00F9104A" w:rsidRPr="00F21648" w:rsidRDefault="00F21648" w:rsidP="00F9104A">
            <w:pPr>
              <w:widowControl w:val="0"/>
              <w:jc w:val="both"/>
              <w:rPr>
                <w:b/>
                <w:sz w:val="20"/>
                <w:szCs w:val="20"/>
              </w:rPr>
            </w:pPr>
            <w:r w:rsidRPr="00F21648">
              <w:rPr>
                <w:b/>
                <w:sz w:val="20"/>
                <w:szCs w:val="20"/>
              </w:rPr>
              <w:t>Professional Institute of the Public Service of Canada et</w:t>
            </w:r>
            <w:r w:rsidR="00F9104A" w:rsidRPr="00F21648">
              <w:rPr>
                <w:b/>
                <w:sz w:val="20"/>
                <w:szCs w:val="20"/>
              </w:rPr>
              <w:t xml:space="preserve"> al.</w:t>
            </w:r>
          </w:p>
          <w:p w:rsidR="00F9104A" w:rsidRPr="00F21648" w:rsidRDefault="00F9104A" w:rsidP="00F9104A">
            <w:pPr>
              <w:widowControl w:val="0"/>
              <w:jc w:val="both"/>
              <w:rPr>
                <w:b/>
                <w:sz w:val="20"/>
                <w:szCs w:val="20"/>
              </w:rPr>
            </w:pPr>
          </w:p>
          <w:p w:rsidR="00F9104A" w:rsidRPr="00F21648" w:rsidRDefault="00F9104A" w:rsidP="00F9104A">
            <w:pPr>
              <w:widowControl w:val="0"/>
              <w:tabs>
                <w:tab w:val="left" w:pos="736"/>
              </w:tabs>
              <w:jc w:val="both"/>
              <w:rPr>
                <w:b/>
                <w:sz w:val="20"/>
                <w:szCs w:val="20"/>
              </w:rPr>
            </w:pPr>
            <w:r w:rsidRPr="00F21648">
              <w:rPr>
                <w:b/>
                <w:sz w:val="20"/>
                <w:szCs w:val="20"/>
              </w:rPr>
              <w:tab/>
              <w:t>v. (3</w:t>
            </w:r>
            <w:r w:rsidR="00F21648" w:rsidRPr="00F21648">
              <w:rPr>
                <w:b/>
                <w:sz w:val="20"/>
                <w:szCs w:val="20"/>
              </w:rPr>
              <w:t>3968</w:t>
            </w:r>
            <w:r w:rsidRPr="00F21648">
              <w:rPr>
                <w:b/>
                <w:sz w:val="20"/>
                <w:szCs w:val="20"/>
              </w:rPr>
              <w:t>)</w:t>
            </w:r>
          </w:p>
          <w:p w:rsidR="00F9104A" w:rsidRPr="00F21648" w:rsidRDefault="00F9104A" w:rsidP="00F9104A">
            <w:pPr>
              <w:widowControl w:val="0"/>
              <w:jc w:val="both"/>
              <w:rPr>
                <w:b/>
                <w:sz w:val="20"/>
                <w:szCs w:val="20"/>
              </w:rPr>
            </w:pPr>
          </w:p>
          <w:p w:rsidR="00F9104A" w:rsidRPr="00F9104A" w:rsidRDefault="00F21648" w:rsidP="00CB7A3B">
            <w:pPr>
              <w:widowControl w:val="0"/>
              <w:jc w:val="both"/>
              <w:rPr>
                <w:sz w:val="20"/>
                <w:szCs w:val="20"/>
              </w:rPr>
            </w:pPr>
            <w:r w:rsidRPr="00F21648">
              <w:rPr>
                <w:b/>
                <w:sz w:val="20"/>
                <w:szCs w:val="20"/>
              </w:rPr>
              <w:t>Attorney General of Canada et al.</w:t>
            </w:r>
            <w:r>
              <w:rPr>
                <w:b/>
                <w:sz w:val="20"/>
                <w:szCs w:val="20"/>
              </w:rPr>
              <w:t xml:space="preserve"> </w:t>
            </w:r>
            <w:r w:rsidR="00F9104A" w:rsidRPr="00F21648">
              <w:rPr>
                <w:b/>
                <w:sz w:val="20"/>
                <w:szCs w:val="20"/>
              </w:rPr>
              <w:t>(</w:t>
            </w:r>
            <w:r w:rsidR="00852029">
              <w:rPr>
                <w:b/>
                <w:sz w:val="20"/>
                <w:szCs w:val="20"/>
              </w:rPr>
              <w:t>Ont</w:t>
            </w:r>
            <w:r w:rsidR="00F9104A" w:rsidRPr="00F21648">
              <w:rPr>
                <w:b/>
                <w:sz w:val="20"/>
                <w:szCs w:val="20"/>
              </w:rPr>
              <w:t xml:space="preserve">.) (Civil) </w:t>
            </w:r>
            <w:r w:rsidR="00F9104A" w:rsidRPr="00C50A5C">
              <w:rPr>
                <w:b/>
                <w:sz w:val="20"/>
                <w:szCs w:val="20"/>
              </w:rPr>
              <w:t>(By Leave)</w:t>
            </w:r>
          </w:p>
        </w:tc>
        <w:tc>
          <w:tcPr>
            <w:tcW w:w="720" w:type="dxa"/>
            <w:tcMar>
              <w:left w:w="0" w:type="dxa"/>
              <w:right w:w="0" w:type="dxa"/>
            </w:tcMar>
          </w:tcPr>
          <w:p w:rsidR="00F9104A" w:rsidRPr="00F9104A" w:rsidRDefault="00F9104A" w:rsidP="00F9104A">
            <w:pPr>
              <w:widowControl w:val="0"/>
              <w:jc w:val="center"/>
              <w:rPr>
                <w:sz w:val="20"/>
                <w:szCs w:val="20"/>
              </w:rPr>
            </w:pPr>
          </w:p>
        </w:tc>
        <w:tc>
          <w:tcPr>
            <w:tcW w:w="4380" w:type="dxa"/>
            <w:tcMar>
              <w:left w:w="0" w:type="dxa"/>
              <w:right w:w="0" w:type="dxa"/>
            </w:tcMar>
          </w:tcPr>
          <w:p w:rsidR="005A0560" w:rsidRPr="00CE2B66" w:rsidRDefault="005A0560" w:rsidP="005A0560">
            <w:pPr>
              <w:jc w:val="both"/>
              <w:rPr>
                <w:sz w:val="20"/>
                <w:szCs w:val="20"/>
              </w:rPr>
            </w:pPr>
            <w:r w:rsidRPr="00CE2B66">
              <w:rPr>
                <w:sz w:val="20"/>
                <w:szCs w:val="20"/>
              </w:rPr>
              <w:t>James Cameron</w:t>
            </w:r>
            <w:r>
              <w:rPr>
                <w:sz w:val="20"/>
                <w:szCs w:val="20"/>
              </w:rPr>
              <w:t xml:space="preserve">, </w:t>
            </w:r>
            <w:r w:rsidRPr="00CE2B66">
              <w:rPr>
                <w:sz w:val="20"/>
                <w:szCs w:val="20"/>
              </w:rPr>
              <w:t>Andrew Raven</w:t>
            </w:r>
            <w:r>
              <w:rPr>
                <w:sz w:val="20"/>
                <w:szCs w:val="20"/>
              </w:rPr>
              <w:t xml:space="preserve"> and </w:t>
            </w:r>
            <w:r w:rsidRPr="00CE2B66">
              <w:rPr>
                <w:sz w:val="20"/>
                <w:szCs w:val="20"/>
              </w:rPr>
              <w:t xml:space="preserve">Andrew </w:t>
            </w:r>
            <w:proofErr w:type="spellStart"/>
            <w:r w:rsidRPr="00CE2B66">
              <w:rPr>
                <w:sz w:val="20"/>
                <w:szCs w:val="20"/>
              </w:rPr>
              <w:t>Astritis</w:t>
            </w:r>
            <w:proofErr w:type="spellEnd"/>
            <w:r>
              <w:rPr>
                <w:sz w:val="20"/>
                <w:szCs w:val="20"/>
              </w:rPr>
              <w:t xml:space="preserve"> f</w:t>
            </w:r>
            <w:r w:rsidRPr="00CE2B66">
              <w:rPr>
                <w:sz w:val="20"/>
                <w:szCs w:val="20"/>
              </w:rPr>
              <w:t xml:space="preserve">or the </w:t>
            </w:r>
            <w:r>
              <w:rPr>
                <w:sz w:val="20"/>
                <w:szCs w:val="20"/>
              </w:rPr>
              <w:t>a</w:t>
            </w:r>
            <w:r w:rsidRPr="00CE2B66">
              <w:rPr>
                <w:sz w:val="20"/>
                <w:szCs w:val="20"/>
              </w:rPr>
              <w:t>ppellants</w:t>
            </w:r>
            <w:r>
              <w:rPr>
                <w:sz w:val="20"/>
                <w:szCs w:val="20"/>
              </w:rPr>
              <w:t xml:space="preserve"> </w:t>
            </w:r>
            <w:r w:rsidRPr="00CE2B66">
              <w:rPr>
                <w:sz w:val="20"/>
                <w:szCs w:val="20"/>
              </w:rPr>
              <w:t>Public Service Alliance of Canada et al.</w:t>
            </w:r>
          </w:p>
          <w:p w:rsidR="005A0560" w:rsidRPr="00CE2B66" w:rsidRDefault="005A0560" w:rsidP="005A0560">
            <w:pPr>
              <w:jc w:val="both"/>
              <w:rPr>
                <w:sz w:val="20"/>
                <w:szCs w:val="20"/>
              </w:rPr>
            </w:pPr>
          </w:p>
          <w:p w:rsidR="005A0560" w:rsidRPr="00CE2B66" w:rsidRDefault="005A0560" w:rsidP="005A0560">
            <w:pPr>
              <w:jc w:val="both"/>
              <w:rPr>
                <w:sz w:val="20"/>
                <w:szCs w:val="20"/>
              </w:rPr>
            </w:pPr>
            <w:r w:rsidRPr="00CE2B66">
              <w:rPr>
                <w:sz w:val="20"/>
                <w:szCs w:val="20"/>
              </w:rPr>
              <w:t xml:space="preserve">Paul J.J. </w:t>
            </w:r>
            <w:proofErr w:type="spellStart"/>
            <w:r w:rsidRPr="00CE2B66">
              <w:rPr>
                <w:sz w:val="20"/>
                <w:szCs w:val="20"/>
              </w:rPr>
              <w:t>Cavalluzzo</w:t>
            </w:r>
            <w:proofErr w:type="spellEnd"/>
            <w:r>
              <w:rPr>
                <w:sz w:val="20"/>
                <w:szCs w:val="20"/>
              </w:rPr>
              <w:t xml:space="preserve">, </w:t>
            </w:r>
            <w:r w:rsidRPr="00CE2B66">
              <w:rPr>
                <w:sz w:val="20"/>
                <w:szCs w:val="20"/>
              </w:rPr>
              <w:t>Hugh O’Reilly</w:t>
            </w:r>
            <w:r>
              <w:rPr>
                <w:sz w:val="20"/>
                <w:szCs w:val="20"/>
              </w:rPr>
              <w:t xml:space="preserve"> and </w:t>
            </w:r>
            <w:r w:rsidRPr="00CE2B66">
              <w:rPr>
                <w:sz w:val="20"/>
                <w:szCs w:val="20"/>
              </w:rPr>
              <w:t xml:space="preserve">Amanda </w:t>
            </w:r>
            <w:proofErr w:type="spellStart"/>
            <w:r w:rsidRPr="00CE2B66">
              <w:rPr>
                <w:sz w:val="20"/>
                <w:szCs w:val="20"/>
              </w:rPr>
              <w:t>Darrach</w:t>
            </w:r>
            <w:proofErr w:type="spellEnd"/>
            <w:r>
              <w:rPr>
                <w:sz w:val="20"/>
                <w:szCs w:val="20"/>
              </w:rPr>
              <w:t xml:space="preserve"> f</w:t>
            </w:r>
            <w:r w:rsidRPr="00CE2B66">
              <w:rPr>
                <w:sz w:val="20"/>
                <w:szCs w:val="20"/>
              </w:rPr>
              <w:t xml:space="preserve">or the </w:t>
            </w:r>
            <w:r>
              <w:rPr>
                <w:sz w:val="20"/>
                <w:szCs w:val="20"/>
              </w:rPr>
              <w:t>a</w:t>
            </w:r>
            <w:r w:rsidRPr="00CE2B66">
              <w:rPr>
                <w:sz w:val="20"/>
                <w:szCs w:val="20"/>
              </w:rPr>
              <w:t>ppellants</w:t>
            </w:r>
            <w:r>
              <w:rPr>
                <w:sz w:val="20"/>
                <w:szCs w:val="20"/>
              </w:rPr>
              <w:t xml:space="preserve"> </w:t>
            </w:r>
            <w:r w:rsidRPr="00CE2B66">
              <w:rPr>
                <w:sz w:val="20"/>
                <w:szCs w:val="20"/>
              </w:rPr>
              <w:t>Professional Institute of the Public Service of Canada et al.</w:t>
            </w:r>
          </w:p>
          <w:p w:rsidR="005A0560" w:rsidRPr="00CE2B66" w:rsidRDefault="005A0560" w:rsidP="005A0560">
            <w:pPr>
              <w:jc w:val="both"/>
              <w:rPr>
                <w:sz w:val="20"/>
                <w:szCs w:val="20"/>
              </w:rPr>
            </w:pPr>
          </w:p>
          <w:p w:rsidR="00F9104A" w:rsidRPr="00C50A5C" w:rsidRDefault="005A0560" w:rsidP="005A0560">
            <w:pPr>
              <w:jc w:val="both"/>
              <w:rPr>
                <w:sz w:val="20"/>
                <w:szCs w:val="20"/>
              </w:rPr>
            </w:pPr>
            <w:r w:rsidRPr="00CE2B66">
              <w:rPr>
                <w:sz w:val="20"/>
                <w:szCs w:val="20"/>
              </w:rPr>
              <w:t>Peter Southey</w:t>
            </w:r>
            <w:r>
              <w:rPr>
                <w:sz w:val="20"/>
                <w:szCs w:val="20"/>
              </w:rPr>
              <w:t xml:space="preserve">, </w:t>
            </w:r>
            <w:r w:rsidRPr="00CE2B66">
              <w:rPr>
                <w:sz w:val="20"/>
                <w:szCs w:val="20"/>
              </w:rPr>
              <w:t xml:space="preserve">Dale </w:t>
            </w:r>
            <w:proofErr w:type="spellStart"/>
            <w:r w:rsidRPr="00CE2B66">
              <w:rPr>
                <w:sz w:val="20"/>
                <w:szCs w:val="20"/>
              </w:rPr>
              <w:t>Yurka</w:t>
            </w:r>
            <w:proofErr w:type="spellEnd"/>
            <w:r>
              <w:rPr>
                <w:sz w:val="20"/>
                <w:szCs w:val="20"/>
              </w:rPr>
              <w:t xml:space="preserve"> and </w:t>
            </w:r>
            <w:r w:rsidRPr="00CE2B66">
              <w:rPr>
                <w:sz w:val="20"/>
                <w:szCs w:val="20"/>
              </w:rPr>
              <w:t>Christine Mohr</w:t>
            </w:r>
            <w:r>
              <w:rPr>
                <w:sz w:val="20"/>
                <w:szCs w:val="20"/>
              </w:rPr>
              <w:t xml:space="preserve"> f</w:t>
            </w:r>
            <w:r w:rsidRPr="00CE2B66">
              <w:rPr>
                <w:sz w:val="20"/>
                <w:szCs w:val="20"/>
              </w:rPr>
              <w:t xml:space="preserve">or the </w:t>
            </w:r>
            <w:r>
              <w:rPr>
                <w:sz w:val="20"/>
                <w:szCs w:val="20"/>
              </w:rPr>
              <w:t>r</w:t>
            </w:r>
            <w:r w:rsidRPr="00CE2B66">
              <w:rPr>
                <w:sz w:val="20"/>
                <w:szCs w:val="20"/>
              </w:rPr>
              <w:t>espondent.</w:t>
            </w:r>
          </w:p>
        </w:tc>
      </w:tr>
    </w:tbl>
    <w:p w:rsidR="00F9104A" w:rsidRDefault="00F9104A" w:rsidP="00F9104A">
      <w:pPr>
        <w:widowControl w:val="0"/>
        <w:rPr>
          <w:sz w:val="20"/>
          <w:szCs w:val="20"/>
        </w:rPr>
      </w:pPr>
    </w:p>
    <w:p w:rsidR="00F9104A" w:rsidRPr="0085476B" w:rsidRDefault="00F9104A" w:rsidP="00F9104A">
      <w:pPr>
        <w:widowControl w:val="0"/>
        <w:rPr>
          <w:sz w:val="20"/>
          <w:szCs w:val="20"/>
        </w:rPr>
      </w:pPr>
      <w:r w:rsidRPr="0085476B">
        <w:rPr>
          <w:b/>
          <w:sz w:val="20"/>
          <w:szCs w:val="20"/>
        </w:rPr>
        <w:t xml:space="preserve">RESERVED / </w:t>
      </w:r>
      <w:r w:rsidRPr="00F21648">
        <w:rPr>
          <w:b/>
          <w:sz w:val="20"/>
          <w:szCs w:val="20"/>
        </w:rPr>
        <w:t>EN DÉLIBÉRÉ</w:t>
      </w:r>
    </w:p>
    <w:p w:rsidR="00F9104A" w:rsidRDefault="00F9104A" w:rsidP="00F9104A"/>
    <w:tbl>
      <w:tblPr>
        <w:tblW w:w="0" w:type="auto"/>
        <w:tblLayout w:type="fixed"/>
        <w:tblCellMar>
          <w:left w:w="0" w:type="dxa"/>
          <w:right w:w="0" w:type="dxa"/>
        </w:tblCellMar>
        <w:tblLook w:val="0000"/>
      </w:tblPr>
      <w:tblGrid>
        <w:gridCol w:w="4380"/>
        <w:gridCol w:w="720"/>
        <w:gridCol w:w="4380"/>
      </w:tblGrid>
      <w:tr w:rsidR="00F9104A" w:rsidRPr="00251B16" w:rsidTr="00F9104A">
        <w:tc>
          <w:tcPr>
            <w:tcW w:w="4380" w:type="dxa"/>
            <w:tcMar>
              <w:left w:w="0" w:type="dxa"/>
              <w:right w:w="0" w:type="dxa"/>
            </w:tcMar>
          </w:tcPr>
          <w:p w:rsidR="00F9104A" w:rsidRPr="00CC4D84" w:rsidRDefault="00F9104A" w:rsidP="00F9104A">
            <w:pPr>
              <w:widowControl w:val="0"/>
              <w:jc w:val="both"/>
              <w:rPr>
                <w:b/>
                <w:sz w:val="20"/>
                <w:szCs w:val="20"/>
                <w:u w:val="single"/>
              </w:rPr>
            </w:pPr>
            <w:r w:rsidRPr="00CC4D84">
              <w:rPr>
                <w:b/>
                <w:sz w:val="20"/>
                <w:szCs w:val="20"/>
                <w:u w:val="single"/>
              </w:rPr>
              <w:t>Nature of the case:</w:t>
            </w:r>
          </w:p>
          <w:p w:rsidR="00F9104A" w:rsidRPr="00C1697B" w:rsidRDefault="00F9104A" w:rsidP="00F9104A">
            <w:pPr>
              <w:widowControl w:val="0"/>
              <w:jc w:val="both"/>
              <w:rPr>
                <w:b/>
                <w:sz w:val="20"/>
                <w:szCs w:val="20"/>
              </w:rPr>
            </w:pPr>
          </w:p>
          <w:p w:rsidR="00F9104A" w:rsidRPr="00C1697B" w:rsidRDefault="00E556B4" w:rsidP="00F9104A">
            <w:pPr>
              <w:widowControl w:val="0"/>
              <w:jc w:val="both"/>
              <w:rPr>
                <w:b/>
                <w:sz w:val="20"/>
                <w:szCs w:val="20"/>
              </w:rPr>
            </w:pPr>
            <w:r w:rsidRPr="00632898">
              <w:rPr>
                <w:sz w:val="20"/>
                <w:szCs w:val="20"/>
              </w:rPr>
              <w:t xml:space="preserve">Pensions </w:t>
            </w:r>
            <w:r w:rsidRPr="00632898">
              <w:rPr>
                <w:sz w:val="20"/>
                <w:szCs w:val="20"/>
              </w:rPr>
              <w:noBreakHyphen/>
              <w:t xml:space="preserve"> Surplus </w:t>
            </w:r>
            <w:r w:rsidRPr="00632898">
              <w:rPr>
                <w:sz w:val="20"/>
                <w:szCs w:val="20"/>
              </w:rPr>
              <w:noBreakHyphen/>
              <w:t xml:space="preserve"> Public service pensions </w:t>
            </w:r>
            <w:r w:rsidRPr="00632898">
              <w:rPr>
                <w:sz w:val="20"/>
                <w:szCs w:val="20"/>
              </w:rPr>
              <w:noBreakHyphen/>
              <w:t xml:space="preserve"> Government employer either declaring contribution holiday or directing surplus funds to Consolidated Revenue Fund </w:t>
            </w:r>
            <w:r w:rsidRPr="00632898">
              <w:rPr>
                <w:sz w:val="20"/>
                <w:szCs w:val="20"/>
              </w:rPr>
              <w:noBreakHyphen/>
              <w:t xml:space="preserve"> Whether the courts below erred in concluding that there were no assets in the Superannuation Accounts </w:t>
            </w:r>
            <w:r w:rsidRPr="00632898">
              <w:rPr>
                <w:sz w:val="20"/>
                <w:szCs w:val="20"/>
              </w:rPr>
              <w:noBreakHyphen/>
              <w:t xml:space="preserve"> Whether the courts below erred in concluding that the Plan Members’ interest in the Superannuation Accounts was not protected by a fiduciary duty </w:t>
            </w:r>
            <w:r w:rsidRPr="00632898">
              <w:rPr>
                <w:sz w:val="20"/>
                <w:szCs w:val="20"/>
              </w:rPr>
              <w:noBreakHyphen/>
              <w:t xml:space="preserve"> Whether the courts below erred in concluding that the Plan Members’ interest in the Superannuation Accounts was not protected by a constructive trust </w:t>
            </w:r>
            <w:r w:rsidRPr="00632898">
              <w:rPr>
                <w:sz w:val="20"/>
                <w:szCs w:val="20"/>
              </w:rPr>
              <w:noBreakHyphen/>
              <w:t xml:space="preserve"> Whether the courts below erred in concluding that Bill C</w:t>
            </w:r>
            <w:r w:rsidRPr="00632898">
              <w:rPr>
                <w:sz w:val="20"/>
                <w:szCs w:val="20"/>
              </w:rPr>
              <w:noBreakHyphen/>
              <w:t>78 extinguished the Plan Members’ interest in the surplus.</w:t>
            </w:r>
          </w:p>
        </w:tc>
        <w:tc>
          <w:tcPr>
            <w:tcW w:w="720" w:type="dxa"/>
            <w:tcMar>
              <w:left w:w="0" w:type="dxa"/>
              <w:right w:w="0" w:type="dxa"/>
            </w:tcMar>
          </w:tcPr>
          <w:p w:rsidR="00F9104A" w:rsidRPr="00C1697B" w:rsidRDefault="00F9104A" w:rsidP="00F9104A">
            <w:pPr>
              <w:widowControl w:val="0"/>
              <w:jc w:val="center"/>
              <w:rPr>
                <w:sz w:val="20"/>
                <w:szCs w:val="20"/>
              </w:rPr>
            </w:pPr>
          </w:p>
        </w:tc>
        <w:tc>
          <w:tcPr>
            <w:tcW w:w="4380" w:type="dxa"/>
            <w:tcMar>
              <w:left w:w="0" w:type="dxa"/>
              <w:right w:w="0" w:type="dxa"/>
            </w:tcMar>
          </w:tcPr>
          <w:p w:rsidR="00F9104A" w:rsidRPr="00E556B4" w:rsidRDefault="00F9104A" w:rsidP="00F9104A">
            <w:pPr>
              <w:widowControl w:val="0"/>
              <w:jc w:val="both"/>
              <w:rPr>
                <w:b/>
                <w:sz w:val="20"/>
                <w:szCs w:val="20"/>
                <w:u w:val="single"/>
                <w:lang w:val="fr-CA"/>
              </w:rPr>
            </w:pPr>
            <w:r w:rsidRPr="00E556B4">
              <w:rPr>
                <w:b/>
                <w:sz w:val="20"/>
                <w:szCs w:val="20"/>
                <w:u w:val="single"/>
                <w:lang w:val="fr-CA"/>
              </w:rPr>
              <w:t>Nature de la cause :</w:t>
            </w:r>
          </w:p>
          <w:p w:rsidR="00F9104A" w:rsidRPr="00E556B4" w:rsidRDefault="00F9104A" w:rsidP="00F9104A">
            <w:pPr>
              <w:widowControl w:val="0"/>
              <w:jc w:val="both"/>
              <w:rPr>
                <w:sz w:val="20"/>
                <w:szCs w:val="20"/>
                <w:lang w:val="fr-CA"/>
              </w:rPr>
            </w:pPr>
          </w:p>
          <w:p w:rsidR="00F9104A" w:rsidRPr="00E556B4" w:rsidRDefault="00E556B4" w:rsidP="00F9104A">
            <w:pPr>
              <w:widowControl w:val="0"/>
              <w:jc w:val="both"/>
              <w:rPr>
                <w:sz w:val="20"/>
                <w:szCs w:val="20"/>
                <w:lang w:val="fr-CA"/>
              </w:rPr>
            </w:pPr>
            <w:r w:rsidRPr="0033663C">
              <w:rPr>
                <w:sz w:val="20"/>
                <w:szCs w:val="20"/>
                <w:lang w:val="fr-CA"/>
              </w:rPr>
              <w:t xml:space="preserve">Pensions </w:t>
            </w:r>
            <w:r w:rsidRPr="0033663C">
              <w:rPr>
                <w:sz w:val="20"/>
                <w:szCs w:val="20"/>
                <w:lang w:val="fr-CA"/>
              </w:rPr>
              <w:noBreakHyphen/>
              <w:t xml:space="preserve"> Surplus </w:t>
            </w:r>
            <w:r w:rsidRPr="0033663C">
              <w:rPr>
                <w:sz w:val="20"/>
                <w:szCs w:val="20"/>
                <w:lang w:val="fr-CA"/>
              </w:rPr>
              <w:noBreakHyphen/>
              <w:t xml:space="preserve"> Pensions de la fonction publique </w:t>
            </w:r>
            <w:r w:rsidRPr="0033663C">
              <w:rPr>
                <w:sz w:val="20"/>
                <w:szCs w:val="20"/>
                <w:lang w:val="fr-CA"/>
              </w:rPr>
              <w:noBreakHyphen/>
              <w:t xml:space="preserve"> Gouvernement employeur s’accordant des périodes d’exonération de cotisations ou versant les surplus au Trésor </w:t>
            </w:r>
            <w:r w:rsidRPr="0033663C">
              <w:rPr>
                <w:sz w:val="20"/>
                <w:szCs w:val="20"/>
                <w:lang w:val="fr-CA"/>
              </w:rPr>
              <w:noBreakHyphen/>
              <w:t xml:space="preserve"> Les tribunaux d’instance inférieure </w:t>
            </w:r>
            <w:proofErr w:type="spellStart"/>
            <w:r w:rsidRPr="0033663C">
              <w:rPr>
                <w:sz w:val="20"/>
                <w:szCs w:val="20"/>
                <w:lang w:val="fr-CA"/>
              </w:rPr>
              <w:t>ont</w:t>
            </w:r>
            <w:r w:rsidRPr="0033663C">
              <w:rPr>
                <w:sz w:val="20"/>
                <w:szCs w:val="20"/>
                <w:lang w:val="fr-CA"/>
              </w:rPr>
              <w:noBreakHyphen/>
              <w:t>elles</w:t>
            </w:r>
            <w:proofErr w:type="spellEnd"/>
            <w:r w:rsidRPr="0033663C">
              <w:rPr>
                <w:sz w:val="20"/>
                <w:szCs w:val="20"/>
                <w:lang w:val="fr-CA"/>
              </w:rPr>
              <w:t xml:space="preserve"> eu tort de conclure qu’il n’y avait pas d’actifs dans les comptes de pension de retraite? </w:t>
            </w:r>
            <w:r w:rsidRPr="0033663C">
              <w:rPr>
                <w:sz w:val="20"/>
                <w:szCs w:val="20"/>
                <w:lang w:val="fr-CA"/>
              </w:rPr>
              <w:noBreakHyphen/>
              <w:t xml:space="preserve"> Les tribunaux d’instance inférieure </w:t>
            </w:r>
            <w:proofErr w:type="spellStart"/>
            <w:r w:rsidRPr="0033663C">
              <w:rPr>
                <w:sz w:val="20"/>
                <w:szCs w:val="20"/>
                <w:lang w:val="fr-CA"/>
              </w:rPr>
              <w:t>ont</w:t>
            </w:r>
            <w:r w:rsidRPr="0033663C">
              <w:rPr>
                <w:sz w:val="20"/>
                <w:szCs w:val="20"/>
                <w:lang w:val="fr-CA"/>
              </w:rPr>
              <w:noBreakHyphen/>
              <w:t>elles</w:t>
            </w:r>
            <w:proofErr w:type="spellEnd"/>
            <w:r w:rsidRPr="0033663C">
              <w:rPr>
                <w:sz w:val="20"/>
                <w:szCs w:val="20"/>
                <w:lang w:val="fr-CA"/>
              </w:rPr>
              <w:t xml:space="preserve"> eu tort de conclure que l’intérêt des participants au régime à l’égard des comptes de pension de retraite n’était pas protégé par une obligation </w:t>
            </w:r>
            <w:proofErr w:type="spellStart"/>
            <w:r w:rsidRPr="0033663C">
              <w:rPr>
                <w:sz w:val="20"/>
                <w:szCs w:val="20"/>
                <w:lang w:val="fr-CA"/>
              </w:rPr>
              <w:t>fiduciale</w:t>
            </w:r>
            <w:proofErr w:type="spellEnd"/>
            <w:r w:rsidRPr="0033663C">
              <w:rPr>
                <w:sz w:val="20"/>
                <w:szCs w:val="20"/>
                <w:lang w:val="fr-CA"/>
              </w:rPr>
              <w:t xml:space="preserve">? </w:t>
            </w:r>
            <w:r w:rsidRPr="0033663C">
              <w:rPr>
                <w:sz w:val="20"/>
                <w:szCs w:val="20"/>
                <w:lang w:val="fr-CA"/>
              </w:rPr>
              <w:noBreakHyphen/>
              <w:t xml:space="preserve"> Les tribunaux d’instance inférieure </w:t>
            </w:r>
            <w:proofErr w:type="spellStart"/>
            <w:r w:rsidRPr="0033663C">
              <w:rPr>
                <w:sz w:val="20"/>
                <w:szCs w:val="20"/>
                <w:lang w:val="fr-CA"/>
              </w:rPr>
              <w:t>ont</w:t>
            </w:r>
            <w:r w:rsidRPr="0033663C">
              <w:rPr>
                <w:sz w:val="20"/>
                <w:szCs w:val="20"/>
                <w:lang w:val="fr-CA"/>
              </w:rPr>
              <w:noBreakHyphen/>
              <w:t>elles</w:t>
            </w:r>
            <w:proofErr w:type="spellEnd"/>
            <w:r w:rsidRPr="0033663C">
              <w:rPr>
                <w:sz w:val="20"/>
                <w:szCs w:val="20"/>
                <w:lang w:val="fr-CA"/>
              </w:rPr>
              <w:t xml:space="preserve"> eu tort de conclure que l’intérêt des participants au régime à l’égard des comptes de pension de retraite n’était pas protégé par une fiducie par interprétation? </w:t>
            </w:r>
            <w:r w:rsidRPr="0033663C">
              <w:rPr>
                <w:sz w:val="20"/>
                <w:szCs w:val="20"/>
                <w:lang w:val="fr-CA"/>
              </w:rPr>
              <w:noBreakHyphen/>
              <w:t xml:space="preserve"> Les tribunaux d’instance inférieure </w:t>
            </w:r>
            <w:proofErr w:type="spellStart"/>
            <w:r w:rsidRPr="0033663C">
              <w:rPr>
                <w:sz w:val="20"/>
                <w:szCs w:val="20"/>
                <w:lang w:val="fr-CA"/>
              </w:rPr>
              <w:t>ont</w:t>
            </w:r>
            <w:r w:rsidRPr="0033663C">
              <w:rPr>
                <w:sz w:val="20"/>
                <w:szCs w:val="20"/>
                <w:lang w:val="fr-CA"/>
              </w:rPr>
              <w:noBreakHyphen/>
              <w:t>elles</w:t>
            </w:r>
            <w:proofErr w:type="spellEnd"/>
            <w:r w:rsidRPr="0033663C">
              <w:rPr>
                <w:sz w:val="20"/>
                <w:szCs w:val="20"/>
                <w:lang w:val="fr-CA"/>
              </w:rPr>
              <w:t xml:space="preserve"> eu tort de conclure que le projet de loi C</w:t>
            </w:r>
            <w:r w:rsidRPr="0033663C">
              <w:rPr>
                <w:sz w:val="20"/>
                <w:szCs w:val="20"/>
                <w:lang w:val="fr-CA"/>
              </w:rPr>
              <w:noBreakHyphen/>
              <w:t>78 avait pour effet d’éteindre l’intérêt des participants au régime à l’égard du surplus?</w:t>
            </w:r>
          </w:p>
        </w:tc>
      </w:tr>
    </w:tbl>
    <w:p w:rsidR="00F9104A" w:rsidRPr="00E556B4" w:rsidRDefault="00F9104A" w:rsidP="00F9104A">
      <w:pPr>
        <w:widowControl w:val="0"/>
        <w:rPr>
          <w:sz w:val="20"/>
          <w:szCs w:val="20"/>
          <w:lang w:val="fr-CA"/>
        </w:rPr>
      </w:pPr>
    </w:p>
    <w:p w:rsidR="00732DB7" w:rsidRPr="00C1697B" w:rsidRDefault="00FD28BB" w:rsidP="00732DB7">
      <w:pPr>
        <w:widowControl w:val="0"/>
        <w:rPr>
          <w:sz w:val="20"/>
          <w:szCs w:val="20"/>
          <w:lang w:val="fr-CA"/>
        </w:rPr>
      </w:pPr>
      <w:r w:rsidRPr="00FD28BB">
        <w:rPr>
          <w:sz w:val="20"/>
          <w:szCs w:val="20"/>
          <w:lang w:val="fr-CA"/>
        </w:rPr>
        <w:pict>
          <v:rect id="_x0000_i1075" style="width:2in;height:1pt" o:hrpct="0" o:hralign="center" o:hrstd="t" o:hrnoshade="t" o:hr="t" fillcolor="black [3213]" stroked="f"/>
        </w:pict>
      </w:r>
    </w:p>
    <w:p w:rsidR="00732DB7" w:rsidRPr="00C1697B" w:rsidRDefault="00732DB7" w:rsidP="00732DB7">
      <w:pPr>
        <w:widowControl w:val="0"/>
        <w:rPr>
          <w:sz w:val="20"/>
          <w:szCs w:val="20"/>
          <w:lang w:val="fr-CA"/>
        </w:rPr>
        <w:sectPr w:rsidR="00732DB7" w:rsidRPr="00C1697B" w:rsidSect="00732DB7">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251B1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852029" w:rsidP="00AF1715">
      <w:pPr>
        <w:rPr>
          <w:b/>
          <w:sz w:val="20"/>
          <w:szCs w:val="20"/>
        </w:rPr>
      </w:pPr>
      <w:r>
        <w:rPr>
          <w:b/>
          <w:sz w:val="20"/>
          <w:szCs w:val="20"/>
        </w:rPr>
        <w:t>FEBRUARY</w:t>
      </w:r>
      <w:r w:rsidR="00AF1715" w:rsidRPr="003B3977">
        <w:rPr>
          <w:b/>
          <w:sz w:val="20"/>
          <w:szCs w:val="20"/>
        </w:rPr>
        <w:t xml:space="preserve"> </w:t>
      </w:r>
      <w:r>
        <w:rPr>
          <w:b/>
          <w:sz w:val="20"/>
          <w:szCs w:val="20"/>
        </w:rPr>
        <w:t>9</w:t>
      </w:r>
      <w:r w:rsidR="00AF1715" w:rsidRPr="003B3977">
        <w:rPr>
          <w:b/>
          <w:sz w:val="20"/>
          <w:szCs w:val="20"/>
        </w:rPr>
        <w:t>, 201</w:t>
      </w:r>
      <w:r>
        <w:rPr>
          <w:b/>
          <w:sz w:val="20"/>
          <w:szCs w:val="20"/>
        </w:rPr>
        <w:t>2</w:t>
      </w:r>
      <w:r w:rsidR="00AF1715" w:rsidRPr="003B3977">
        <w:rPr>
          <w:b/>
          <w:sz w:val="20"/>
          <w:szCs w:val="20"/>
        </w:rPr>
        <w:t xml:space="preserve"> / LE </w:t>
      </w:r>
      <w:r>
        <w:rPr>
          <w:b/>
          <w:sz w:val="20"/>
          <w:szCs w:val="20"/>
        </w:rPr>
        <w:t>9 FÉV</w:t>
      </w:r>
      <w:r w:rsidR="00AF1715" w:rsidRPr="003B3977">
        <w:rPr>
          <w:b/>
          <w:sz w:val="20"/>
          <w:szCs w:val="20"/>
        </w:rPr>
        <w:t>R</w:t>
      </w:r>
      <w:r>
        <w:rPr>
          <w:b/>
          <w:sz w:val="20"/>
          <w:szCs w:val="20"/>
        </w:rPr>
        <w:t>I</w:t>
      </w:r>
      <w:r w:rsidR="00AF1715" w:rsidRPr="003B3977">
        <w:rPr>
          <w:b/>
          <w:sz w:val="20"/>
          <w:szCs w:val="20"/>
        </w:rPr>
        <w:t>E</w:t>
      </w:r>
      <w:r>
        <w:rPr>
          <w:b/>
          <w:sz w:val="20"/>
          <w:szCs w:val="20"/>
        </w:rPr>
        <w:t>R</w:t>
      </w:r>
      <w:r w:rsidR="00AF1715" w:rsidRPr="003B3977">
        <w:rPr>
          <w:b/>
          <w:sz w:val="20"/>
          <w:szCs w:val="20"/>
        </w:rPr>
        <w:t xml:space="preserve"> 201</w:t>
      </w:r>
      <w:r>
        <w:rPr>
          <w:b/>
          <w:sz w:val="20"/>
          <w:szCs w:val="20"/>
        </w:rPr>
        <w:t>2</w:t>
      </w:r>
    </w:p>
    <w:p w:rsidR="00AF1715" w:rsidRDefault="00AF1715" w:rsidP="00AF1715">
      <w:pPr>
        <w:rPr>
          <w:sz w:val="20"/>
          <w:szCs w:val="20"/>
        </w:rPr>
      </w:pPr>
    </w:p>
    <w:p w:rsidR="00E776A4" w:rsidRPr="00E776A4" w:rsidRDefault="00E776A4" w:rsidP="00E776A4">
      <w:pPr>
        <w:ind w:left="1440" w:hanging="1440"/>
        <w:jc w:val="both"/>
        <w:rPr>
          <w:rStyle w:val="Hyperlink"/>
          <w:rFonts w:eastAsia="Calibri" w:cs="Times New Roman"/>
          <w:color w:val="auto"/>
          <w:sz w:val="20"/>
          <w:szCs w:val="20"/>
        </w:rPr>
      </w:pPr>
      <w:r w:rsidRPr="0013071A">
        <w:rPr>
          <w:rFonts w:eastAsia="Calibri" w:cs="Times New Roman"/>
          <w:b/>
          <w:sz w:val="20"/>
          <w:szCs w:val="20"/>
        </w:rPr>
        <w:t>33884</w:t>
      </w:r>
      <w:r w:rsidRPr="0013071A">
        <w:rPr>
          <w:rFonts w:eastAsia="Calibri" w:cs="Times New Roman"/>
          <w:b/>
          <w:sz w:val="20"/>
          <w:szCs w:val="20"/>
        </w:rPr>
        <w:tab/>
      </w:r>
      <w:r w:rsidRPr="0013071A">
        <w:rPr>
          <w:rFonts w:eastAsia="Calibri" w:cs="Times New Roman"/>
          <w:b/>
          <w:iCs/>
          <w:sz w:val="20"/>
          <w:szCs w:val="20"/>
          <w:u w:val="single"/>
        </w:rPr>
        <w:t xml:space="preserve">Alliance of Canadian Cinema, Television and Radio Artists, Canadian Media Production Association, Directors Guild of Canada and Writers Guild of Canada v. Bell </w:t>
      </w:r>
      <w:proofErr w:type="spellStart"/>
      <w:r w:rsidRPr="0013071A">
        <w:rPr>
          <w:rFonts w:eastAsia="Calibri" w:cs="Times New Roman"/>
          <w:b/>
          <w:iCs/>
          <w:sz w:val="20"/>
          <w:szCs w:val="20"/>
          <w:u w:val="single"/>
        </w:rPr>
        <w:t>Aliant</w:t>
      </w:r>
      <w:proofErr w:type="spellEnd"/>
      <w:r w:rsidRPr="0013071A">
        <w:rPr>
          <w:rFonts w:eastAsia="Calibri" w:cs="Times New Roman"/>
          <w:b/>
          <w:iCs/>
          <w:sz w:val="20"/>
          <w:szCs w:val="20"/>
          <w:u w:val="single"/>
        </w:rPr>
        <w:t xml:space="preserve"> Regional Communications, LP, Bell Canada, </w:t>
      </w:r>
      <w:proofErr w:type="spellStart"/>
      <w:r w:rsidRPr="0013071A">
        <w:rPr>
          <w:rFonts w:eastAsia="Calibri" w:cs="Times New Roman"/>
          <w:b/>
          <w:iCs/>
          <w:sz w:val="20"/>
          <w:szCs w:val="20"/>
          <w:u w:val="single"/>
        </w:rPr>
        <w:t>Cogeco</w:t>
      </w:r>
      <w:proofErr w:type="spellEnd"/>
      <w:r w:rsidRPr="0013071A">
        <w:rPr>
          <w:rFonts w:eastAsia="Calibri" w:cs="Times New Roman"/>
          <w:b/>
          <w:iCs/>
          <w:sz w:val="20"/>
          <w:szCs w:val="20"/>
          <w:u w:val="single"/>
        </w:rPr>
        <w:t xml:space="preserve"> Cable Inc., MTS </w:t>
      </w:r>
      <w:proofErr w:type="spellStart"/>
      <w:r w:rsidRPr="0013071A">
        <w:rPr>
          <w:rFonts w:eastAsia="Calibri" w:cs="Times New Roman"/>
          <w:b/>
          <w:iCs/>
          <w:sz w:val="20"/>
          <w:szCs w:val="20"/>
          <w:u w:val="single"/>
        </w:rPr>
        <w:t>Allstream</w:t>
      </w:r>
      <w:proofErr w:type="spellEnd"/>
      <w:r w:rsidRPr="0013071A">
        <w:rPr>
          <w:rFonts w:eastAsia="Calibri" w:cs="Times New Roman"/>
          <w:b/>
          <w:iCs/>
          <w:sz w:val="20"/>
          <w:szCs w:val="20"/>
          <w:u w:val="single"/>
        </w:rPr>
        <w:t xml:space="preserve"> Inc., Rogers Communications Inc., TELUS Communications Company, Videotron Ltd. and Shaw Communications Inc. – and – Canadian Radio-Television and Telecommunications Commission</w:t>
      </w:r>
      <w:r w:rsidRPr="0013071A">
        <w:rPr>
          <w:rFonts w:eastAsia="Calibri" w:cs="Times New Roman"/>
          <w:i/>
          <w:iCs/>
          <w:sz w:val="20"/>
          <w:szCs w:val="20"/>
        </w:rPr>
        <w:t xml:space="preserve"> </w:t>
      </w:r>
      <w:r w:rsidRPr="0013071A">
        <w:rPr>
          <w:rFonts w:eastAsia="Calibri" w:cs="Times New Roman"/>
          <w:sz w:val="20"/>
          <w:szCs w:val="20"/>
        </w:rPr>
        <w:t>(F.C.)</w:t>
      </w:r>
    </w:p>
    <w:p w:rsidR="00E776A4" w:rsidRPr="0013071A" w:rsidRDefault="00E776A4" w:rsidP="00E776A4">
      <w:pPr>
        <w:ind w:left="1440"/>
        <w:jc w:val="both"/>
        <w:rPr>
          <w:rFonts w:eastAsia="Calibri" w:cs="Times New Roman"/>
          <w:b/>
          <w:sz w:val="20"/>
          <w:szCs w:val="20"/>
        </w:rPr>
      </w:pPr>
      <w:r w:rsidRPr="0013071A">
        <w:rPr>
          <w:rFonts w:eastAsia="Calibri" w:cs="Times New Roman"/>
          <w:b/>
          <w:sz w:val="20"/>
          <w:szCs w:val="20"/>
        </w:rPr>
        <w:t>2012 SCC 4 / 2012 CSC 4</w:t>
      </w:r>
    </w:p>
    <w:p w:rsidR="00E776A4" w:rsidRPr="0013071A" w:rsidRDefault="00E776A4" w:rsidP="00E776A4">
      <w:pPr>
        <w:ind w:left="1440" w:hanging="1440"/>
        <w:jc w:val="both"/>
        <w:rPr>
          <w:rFonts w:eastAsia="Calibri" w:cs="Times New Roman"/>
          <w:b/>
          <w:sz w:val="20"/>
          <w:szCs w:val="20"/>
        </w:rPr>
      </w:pPr>
    </w:p>
    <w:p w:rsidR="00E776A4" w:rsidRPr="0013071A" w:rsidRDefault="00E776A4" w:rsidP="00E43C1B">
      <w:pPr>
        <w:ind w:left="1440" w:hanging="1440"/>
        <w:jc w:val="both"/>
        <w:rPr>
          <w:rFonts w:eastAsia="Calibri" w:cs="Times New Roman"/>
          <w:sz w:val="20"/>
          <w:szCs w:val="20"/>
          <w:u w:val="single"/>
        </w:rPr>
      </w:pPr>
      <w:r w:rsidRPr="0013071A">
        <w:rPr>
          <w:rFonts w:eastAsia="Calibri" w:cs="Times New Roman"/>
          <w:sz w:val="20"/>
          <w:szCs w:val="20"/>
        </w:rPr>
        <w:t>Coram:</w:t>
      </w:r>
      <w:r w:rsidR="00E43C1B">
        <w:rPr>
          <w:sz w:val="20"/>
          <w:szCs w:val="20"/>
        </w:rPr>
        <w:tab/>
      </w:r>
      <w:proofErr w:type="spellStart"/>
      <w:r w:rsidRPr="0013071A">
        <w:rPr>
          <w:rFonts w:eastAsia="Calibri" w:cs="Times New Roman"/>
          <w:sz w:val="20"/>
          <w:szCs w:val="20"/>
          <w:u w:val="single"/>
        </w:rPr>
        <w:t>McLachlin</w:t>
      </w:r>
      <w:proofErr w:type="spellEnd"/>
      <w:r w:rsidRPr="0013071A">
        <w:rPr>
          <w:rFonts w:eastAsia="Calibri" w:cs="Times New Roman"/>
          <w:sz w:val="20"/>
          <w:szCs w:val="20"/>
          <w:u w:val="single"/>
        </w:rPr>
        <w:t xml:space="preserve"> C.J. and </w:t>
      </w:r>
      <w:proofErr w:type="spellStart"/>
      <w:r w:rsidRPr="0013071A">
        <w:rPr>
          <w:rFonts w:eastAsia="Calibri" w:cs="Times New Roman"/>
          <w:sz w:val="20"/>
          <w:szCs w:val="20"/>
          <w:u w:val="single"/>
        </w:rPr>
        <w:t>LeBel</w:t>
      </w:r>
      <w:proofErr w:type="spellEnd"/>
      <w:r w:rsidRPr="0013071A">
        <w:rPr>
          <w:rFonts w:eastAsia="Calibri" w:cs="Times New Roman"/>
          <w:sz w:val="20"/>
          <w:szCs w:val="20"/>
          <w:u w:val="single"/>
        </w:rPr>
        <w:t xml:space="preserve">, </w:t>
      </w:r>
      <w:proofErr w:type="spellStart"/>
      <w:r w:rsidRPr="0013071A">
        <w:rPr>
          <w:rFonts w:eastAsia="Calibri" w:cs="Times New Roman"/>
          <w:sz w:val="20"/>
          <w:szCs w:val="20"/>
          <w:u w:val="single"/>
        </w:rPr>
        <w:t>Deschamps</w:t>
      </w:r>
      <w:proofErr w:type="spellEnd"/>
      <w:r w:rsidRPr="0013071A">
        <w:rPr>
          <w:rFonts w:eastAsia="Calibri" w:cs="Times New Roman"/>
          <w:sz w:val="20"/>
          <w:szCs w:val="20"/>
          <w:u w:val="single"/>
        </w:rPr>
        <w:t xml:space="preserve">, Fish, </w:t>
      </w:r>
      <w:proofErr w:type="spellStart"/>
      <w:r w:rsidRPr="0013071A">
        <w:rPr>
          <w:rFonts w:eastAsia="Calibri" w:cs="Times New Roman"/>
          <w:sz w:val="20"/>
          <w:szCs w:val="20"/>
          <w:u w:val="single"/>
        </w:rPr>
        <w:t>Abella</w:t>
      </w:r>
      <w:proofErr w:type="spellEnd"/>
      <w:r w:rsidRPr="0013071A">
        <w:rPr>
          <w:rFonts w:eastAsia="Calibri" w:cs="Times New Roman"/>
          <w:sz w:val="20"/>
          <w:szCs w:val="20"/>
          <w:u w:val="single"/>
        </w:rPr>
        <w:t xml:space="preserve">, Rothstein, Cromwell, </w:t>
      </w:r>
      <w:proofErr w:type="spellStart"/>
      <w:r w:rsidRPr="0013071A">
        <w:rPr>
          <w:rFonts w:eastAsia="Calibri" w:cs="Times New Roman"/>
          <w:sz w:val="20"/>
          <w:szCs w:val="20"/>
          <w:u w:val="single"/>
        </w:rPr>
        <w:t>Moldaver</w:t>
      </w:r>
      <w:proofErr w:type="spellEnd"/>
      <w:r w:rsidRPr="0013071A">
        <w:rPr>
          <w:rFonts w:eastAsia="Calibri" w:cs="Times New Roman"/>
          <w:sz w:val="20"/>
          <w:szCs w:val="20"/>
          <w:u w:val="single"/>
        </w:rPr>
        <w:t xml:space="preserve"> and </w:t>
      </w:r>
      <w:proofErr w:type="spellStart"/>
      <w:r w:rsidRPr="0013071A">
        <w:rPr>
          <w:rFonts w:eastAsia="Calibri" w:cs="Times New Roman"/>
          <w:sz w:val="20"/>
          <w:szCs w:val="20"/>
          <w:u w:val="single"/>
        </w:rPr>
        <w:t>Karakatsanis</w:t>
      </w:r>
      <w:proofErr w:type="spellEnd"/>
      <w:r w:rsidRPr="0013071A">
        <w:rPr>
          <w:rFonts w:eastAsia="Calibri" w:cs="Times New Roman"/>
          <w:sz w:val="20"/>
          <w:szCs w:val="20"/>
          <w:u w:val="single"/>
        </w:rPr>
        <w:t xml:space="preserve"> JJ.</w:t>
      </w:r>
    </w:p>
    <w:p w:rsidR="00E776A4" w:rsidRPr="0013071A" w:rsidRDefault="00E776A4" w:rsidP="00E776A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E776A4" w:rsidRPr="0013071A" w:rsidRDefault="00E776A4" w:rsidP="00E776A4">
      <w:pPr>
        <w:jc w:val="both"/>
        <w:rPr>
          <w:rFonts w:eastAsia="Calibri" w:cs="Times New Roman"/>
          <w:sz w:val="20"/>
          <w:szCs w:val="20"/>
        </w:rPr>
      </w:pPr>
      <w:r w:rsidRPr="0013071A">
        <w:rPr>
          <w:rFonts w:eastAsia="Calibri" w:cs="Times New Roman"/>
          <w:sz w:val="20"/>
          <w:szCs w:val="20"/>
        </w:rPr>
        <w:t>The appeal from the judgment of the Federal Court of Appeal, Number A-303-09, 2010 FCA 178, dated July 7, 2010, heard on January 16, 2012, is dismissed with costs.</w:t>
      </w:r>
    </w:p>
    <w:p w:rsidR="00E776A4" w:rsidRPr="0013071A" w:rsidRDefault="00E776A4" w:rsidP="00E776A4">
      <w:pPr>
        <w:jc w:val="both"/>
        <w:rPr>
          <w:rFonts w:eastAsia="Calibri" w:cs="Times New Roman"/>
          <w:sz w:val="20"/>
          <w:szCs w:val="20"/>
        </w:rPr>
      </w:pPr>
    </w:p>
    <w:p w:rsidR="00E776A4" w:rsidRPr="0013071A" w:rsidRDefault="00E776A4" w:rsidP="00E776A4">
      <w:pPr>
        <w:jc w:val="both"/>
        <w:rPr>
          <w:rFonts w:eastAsia="Calibri" w:cs="Times New Roman"/>
          <w:sz w:val="20"/>
          <w:szCs w:val="20"/>
          <w:lang w:val="fr-CA"/>
        </w:rPr>
      </w:pPr>
      <w:r w:rsidRPr="0013071A">
        <w:rPr>
          <w:rFonts w:eastAsia="Calibri" w:cs="Times New Roman"/>
          <w:sz w:val="20"/>
          <w:szCs w:val="20"/>
          <w:lang w:val="fr-CA"/>
        </w:rPr>
        <w:t>L’appel interjeté contre l’arrêt de la Cour d’appel fédérale, numéro A-303-09, 2010 CAF 178, en date du 7 juillet 2010, entendu le 16 janvier 2012, est rejeté avec dépens.</w:t>
      </w:r>
    </w:p>
    <w:p w:rsidR="00852029" w:rsidRPr="00E776A4" w:rsidRDefault="00852029" w:rsidP="00AF1715">
      <w:pPr>
        <w:rPr>
          <w:sz w:val="20"/>
          <w:szCs w:val="20"/>
          <w:lang w:val="fr-CA"/>
        </w:rPr>
      </w:pPr>
    </w:p>
    <w:p w:rsidR="00852029" w:rsidRDefault="00FD28BB" w:rsidP="00AF1715">
      <w:pPr>
        <w:rPr>
          <w:sz w:val="20"/>
          <w:szCs w:val="20"/>
        </w:rPr>
      </w:pPr>
      <w:r w:rsidRPr="00FD28BB">
        <w:rPr>
          <w:b/>
          <w:sz w:val="20"/>
          <w:szCs w:val="20"/>
        </w:rPr>
        <w:pict>
          <v:rect id="_x0000_i1078" style="width:144.3pt;height:1pt" o:hrpct="300" o:hralign="center" o:hrstd="t" o:hrnoshade="t" o:hr="t" fillcolor="black [3213]" stroked="f"/>
        </w:pict>
      </w:r>
    </w:p>
    <w:p w:rsidR="00852029" w:rsidRDefault="00852029" w:rsidP="00AF1715">
      <w:pPr>
        <w:rPr>
          <w:sz w:val="20"/>
          <w:szCs w:val="20"/>
        </w:rPr>
      </w:pPr>
    </w:p>
    <w:p w:rsidR="005A0560" w:rsidRPr="005A0560" w:rsidRDefault="005A0560" w:rsidP="00AF1715">
      <w:pPr>
        <w:rPr>
          <w:b/>
          <w:sz w:val="20"/>
          <w:szCs w:val="20"/>
        </w:rPr>
      </w:pPr>
      <w:r>
        <w:rPr>
          <w:b/>
          <w:sz w:val="20"/>
          <w:szCs w:val="20"/>
        </w:rPr>
        <w:t>FEBRUARY 10, 2012 / LE 10 FÉVRIER 2012</w:t>
      </w:r>
    </w:p>
    <w:p w:rsidR="005A0560" w:rsidRDefault="005A0560" w:rsidP="00AF1715">
      <w:pPr>
        <w:rPr>
          <w:sz w:val="20"/>
          <w:szCs w:val="20"/>
        </w:rPr>
      </w:pPr>
    </w:p>
    <w:p w:rsidR="004F13B6" w:rsidRPr="00A90D24" w:rsidRDefault="004F13B6" w:rsidP="004F13B6">
      <w:pPr>
        <w:ind w:left="1440" w:hanging="1440"/>
        <w:jc w:val="both"/>
        <w:rPr>
          <w:sz w:val="20"/>
          <w:szCs w:val="20"/>
        </w:rPr>
      </w:pPr>
      <w:r w:rsidRPr="00A90D24">
        <w:rPr>
          <w:b/>
          <w:sz w:val="20"/>
          <w:szCs w:val="20"/>
        </w:rPr>
        <w:t>33657</w:t>
      </w:r>
      <w:r w:rsidRPr="00A90D24">
        <w:rPr>
          <w:b/>
          <w:sz w:val="20"/>
          <w:szCs w:val="20"/>
        </w:rPr>
        <w:tab/>
      </w:r>
      <w:r w:rsidRPr="00A90D24">
        <w:rPr>
          <w:b/>
          <w:sz w:val="20"/>
          <w:szCs w:val="20"/>
          <w:u w:val="single"/>
        </w:rPr>
        <w:t xml:space="preserve">Her Majesty the Queen v. D.A.I. – and – Women’s Legal Education and Action Fund, </w:t>
      </w:r>
      <w:proofErr w:type="spellStart"/>
      <w:r w:rsidRPr="00A90D24">
        <w:rPr>
          <w:b/>
          <w:sz w:val="20"/>
          <w:szCs w:val="20"/>
          <w:u w:val="single"/>
        </w:rPr>
        <w:t>DisAbled</w:t>
      </w:r>
      <w:proofErr w:type="spellEnd"/>
      <w:r w:rsidRPr="00A90D24">
        <w:rPr>
          <w:b/>
          <w:sz w:val="20"/>
          <w:szCs w:val="20"/>
          <w:u w:val="single"/>
        </w:rPr>
        <w:t xml:space="preserve"> Women’s Network Canada, Criminal Lawyers’ Association (Ontario) and Council of Canadians with Disabilities</w:t>
      </w:r>
      <w:r w:rsidRPr="00A90D24">
        <w:rPr>
          <w:sz w:val="20"/>
          <w:szCs w:val="20"/>
        </w:rPr>
        <w:t xml:space="preserve"> (Ont.) </w:t>
      </w:r>
    </w:p>
    <w:p w:rsidR="004F13B6" w:rsidRPr="00A90D24" w:rsidRDefault="004F13B6" w:rsidP="004F13B6">
      <w:pPr>
        <w:ind w:left="1440" w:hanging="1440"/>
        <w:jc w:val="both"/>
        <w:rPr>
          <w:b/>
          <w:sz w:val="20"/>
          <w:szCs w:val="20"/>
        </w:rPr>
      </w:pPr>
      <w:r>
        <w:rPr>
          <w:b/>
          <w:sz w:val="20"/>
          <w:szCs w:val="20"/>
        </w:rPr>
        <w:tab/>
      </w:r>
      <w:r w:rsidRPr="00A90D24">
        <w:rPr>
          <w:b/>
          <w:sz w:val="20"/>
          <w:szCs w:val="20"/>
        </w:rPr>
        <w:t>2012 SCC 5 / 2012 CSC 5</w:t>
      </w:r>
    </w:p>
    <w:p w:rsidR="004F13B6" w:rsidRPr="00A90D24" w:rsidRDefault="004F13B6" w:rsidP="004F13B6">
      <w:pPr>
        <w:ind w:left="1440" w:hanging="1440"/>
        <w:jc w:val="both"/>
        <w:rPr>
          <w:b/>
          <w:sz w:val="20"/>
          <w:szCs w:val="20"/>
        </w:rPr>
      </w:pPr>
    </w:p>
    <w:p w:rsidR="004F13B6" w:rsidRPr="00A90D24" w:rsidRDefault="004F13B6" w:rsidP="004F13B6">
      <w:pPr>
        <w:ind w:left="1440" w:hanging="1440"/>
        <w:jc w:val="both"/>
        <w:rPr>
          <w:sz w:val="20"/>
          <w:szCs w:val="20"/>
          <w:u w:val="single"/>
        </w:rPr>
      </w:pPr>
      <w:r w:rsidRPr="00A90D24">
        <w:rPr>
          <w:sz w:val="20"/>
          <w:szCs w:val="20"/>
        </w:rPr>
        <w:t xml:space="preserve">Coram: </w:t>
      </w:r>
      <w:r>
        <w:rPr>
          <w:sz w:val="20"/>
          <w:szCs w:val="20"/>
        </w:rPr>
        <w:tab/>
      </w:r>
      <w:proofErr w:type="spellStart"/>
      <w:r w:rsidRPr="00A90D24">
        <w:rPr>
          <w:sz w:val="20"/>
          <w:szCs w:val="20"/>
          <w:u w:val="single"/>
        </w:rPr>
        <w:t>McLachlin</w:t>
      </w:r>
      <w:proofErr w:type="spellEnd"/>
      <w:r w:rsidRPr="00A90D24">
        <w:rPr>
          <w:sz w:val="20"/>
          <w:szCs w:val="20"/>
          <w:u w:val="single"/>
        </w:rPr>
        <w:t xml:space="preserve"> C.J. and </w:t>
      </w:r>
      <w:proofErr w:type="spellStart"/>
      <w:r w:rsidRPr="00A90D24">
        <w:rPr>
          <w:sz w:val="20"/>
          <w:szCs w:val="20"/>
          <w:u w:val="single"/>
        </w:rPr>
        <w:t>Binnie</w:t>
      </w:r>
      <w:proofErr w:type="spellEnd"/>
      <w:r w:rsidRPr="00A90D24">
        <w:rPr>
          <w:sz w:val="20"/>
          <w:szCs w:val="20"/>
          <w:u w:val="single"/>
        </w:rPr>
        <w:t xml:space="preserve">, </w:t>
      </w:r>
      <w:proofErr w:type="spellStart"/>
      <w:r w:rsidRPr="00A90D24">
        <w:rPr>
          <w:sz w:val="20"/>
          <w:szCs w:val="20"/>
          <w:u w:val="single"/>
        </w:rPr>
        <w:t>LeBel</w:t>
      </w:r>
      <w:proofErr w:type="spellEnd"/>
      <w:r w:rsidRPr="00A90D24">
        <w:rPr>
          <w:sz w:val="20"/>
          <w:szCs w:val="20"/>
          <w:u w:val="single"/>
        </w:rPr>
        <w:t xml:space="preserve">, </w:t>
      </w:r>
      <w:proofErr w:type="spellStart"/>
      <w:r w:rsidRPr="00A90D24">
        <w:rPr>
          <w:sz w:val="20"/>
          <w:szCs w:val="20"/>
          <w:u w:val="single"/>
        </w:rPr>
        <w:t>Deschamps</w:t>
      </w:r>
      <w:proofErr w:type="spellEnd"/>
      <w:r w:rsidRPr="00A90D24">
        <w:rPr>
          <w:sz w:val="20"/>
          <w:szCs w:val="20"/>
          <w:u w:val="single"/>
        </w:rPr>
        <w:t xml:space="preserve">, Fish, </w:t>
      </w:r>
      <w:proofErr w:type="spellStart"/>
      <w:r w:rsidRPr="00A90D24">
        <w:rPr>
          <w:sz w:val="20"/>
          <w:szCs w:val="20"/>
          <w:u w:val="single"/>
        </w:rPr>
        <w:t>Abella</w:t>
      </w:r>
      <w:proofErr w:type="spellEnd"/>
      <w:r w:rsidRPr="00A90D24">
        <w:rPr>
          <w:sz w:val="20"/>
          <w:szCs w:val="20"/>
          <w:u w:val="single"/>
        </w:rPr>
        <w:t xml:space="preserve">, </w:t>
      </w:r>
      <w:proofErr w:type="spellStart"/>
      <w:r w:rsidRPr="00A90D24">
        <w:rPr>
          <w:sz w:val="20"/>
          <w:szCs w:val="20"/>
          <w:u w:val="single"/>
        </w:rPr>
        <w:t>Charron</w:t>
      </w:r>
      <w:proofErr w:type="spellEnd"/>
      <w:r w:rsidRPr="00A90D24">
        <w:rPr>
          <w:sz w:val="20"/>
          <w:szCs w:val="20"/>
          <w:u w:val="single"/>
        </w:rPr>
        <w:t>, Rothstein and Cromwell JJ.</w:t>
      </w:r>
    </w:p>
    <w:p w:rsidR="004F13B6" w:rsidRPr="00A90D24" w:rsidRDefault="004F13B6" w:rsidP="004F13B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4F13B6" w:rsidRPr="00A90D24" w:rsidRDefault="004F13B6" w:rsidP="004F13B6">
      <w:pPr>
        <w:jc w:val="both"/>
        <w:rPr>
          <w:sz w:val="20"/>
          <w:szCs w:val="20"/>
          <w:lang w:val="fr-CA"/>
        </w:rPr>
      </w:pPr>
      <w:r w:rsidRPr="00A90D24">
        <w:rPr>
          <w:sz w:val="20"/>
          <w:szCs w:val="20"/>
        </w:rPr>
        <w:t xml:space="preserve">The appeal from the judgment </w:t>
      </w:r>
      <w:bookmarkStart w:id="1" w:name="BM_1_"/>
      <w:bookmarkEnd w:id="1"/>
      <w:r w:rsidRPr="00A90D24">
        <w:rPr>
          <w:sz w:val="20"/>
          <w:szCs w:val="20"/>
        </w:rPr>
        <w:t xml:space="preserve">of the Court of Appeal for Ontario, Number C48807, 2010 ONCA 133, dated February 19, 2010, heard on May 17, 2011, is allowed, the acquittal is set aside and a new trial is ordered.  </w:t>
      </w:r>
      <w:proofErr w:type="spellStart"/>
      <w:r w:rsidRPr="00A90D24">
        <w:rPr>
          <w:sz w:val="20"/>
          <w:szCs w:val="20"/>
          <w:lang w:val="fr-CA"/>
        </w:rPr>
        <w:t>Binnie</w:t>
      </w:r>
      <w:proofErr w:type="spellEnd"/>
      <w:r w:rsidRPr="00A90D24">
        <w:rPr>
          <w:sz w:val="20"/>
          <w:szCs w:val="20"/>
          <w:lang w:val="fr-CA"/>
        </w:rPr>
        <w:t xml:space="preserve">, </w:t>
      </w:r>
      <w:proofErr w:type="spellStart"/>
      <w:r w:rsidRPr="00A90D24">
        <w:rPr>
          <w:sz w:val="20"/>
          <w:szCs w:val="20"/>
          <w:lang w:val="fr-CA"/>
        </w:rPr>
        <w:t>LeBel</w:t>
      </w:r>
      <w:proofErr w:type="spellEnd"/>
      <w:r w:rsidRPr="00A90D24">
        <w:rPr>
          <w:sz w:val="20"/>
          <w:szCs w:val="20"/>
          <w:lang w:val="fr-CA"/>
        </w:rPr>
        <w:t xml:space="preserve"> and Fish JJ. </w:t>
      </w:r>
      <w:proofErr w:type="gramStart"/>
      <w:r w:rsidRPr="00A90D24">
        <w:rPr>
          <w:sz w:val="20"/>
          <w:szCs w:val="20"/>
          <w:lang w:val="fr-CA"/>
        </w:rPr>
        <w:t>are</w:t>
      </w:r>
      <w:proofErr w:type="gramEnd"/>
      <w:r w:rsidRPr="00A90D24">
        <w:rPr>
          <w:sz w:val="20"/>
          <w:szCs w:val="20"/>
          <w:lang w:val="fr-CA"/>
        </w:rPr>
        <w:t xml:space="preserve"> </w:t>
      </w:r>
      <w:proofErr w:type="spellStart"/>
      <w:r w:rsidRPr="00A90D24">
        <w:rPr>
          <w:sz w:val="20"/>
          <w:szCs w:val="20"/>
          <w:lang w:val="fr-CA"/>
        </w:rPr>
        <w:t>dissenting</w:t>
      </w:r>
      <w:proofErr w:type="spellEnd"/>
      <w:r w:rsidRPr="00A90D24">
        <w:rPr>
          <w:sz w:val="20"/>
          <w:szCs w:val="20"/>
          <w:lang w:val="fr-CA"/>
        </w:rPr>
        <w:t>.</w:t>
      </w:r>
    </w:p>
    <w:p w:rsidR="004F13B6" w:rsidRPr="00A90D24" w:rsidRDefault="004F13B6" w:rsidP="004F13B6">
      <w:pPr>
        <w:jc w:val="both"/>
        <w:rPr>
          <w:sz w:val="20"/>
          <w:szCs w:val="20"/>
          <w:lang w:val="fr-CA"/>
        </w:rPr>
      </w:pPr>
    </w:p>
    <w:p w:rsidR="004F13B6" w:rsidRPr="00A90D24" w:rsidRDefault="004F13B6" w:rsidP="004F13B6">
      <w:pPr>
        <w:jc w:val="both"/>
        <w:rPr>
          <w:sz w:val="20"/>
          <w:szCs w:val="20"/>
          <w:lang w:val="fr-CA"/>
        </w:rPr>
      </w:pPr>
      <w:r w:rsidRPr="00A90D24">
        <w:rPr>
          <w:sz w:val="20"/>
          <w:szCs w:val="20"/>
          <w:lang w:val="fr-CA"/>
        </w:rPr>
        <w:t xml:space="preserve">L’appel interjeté contre l’arrêt de la Cour d’appel de l’Ontario, numéro C48807, 2010 ONCA 133, en date du 19 février 2010, entendu le 17 mai 2011, est accueilli, l’acquittement est annulé et la tenue d’un nouveau procès est ordonnée.  Les juges </w:t>
      </w:r>
      <w:proofErr w:type="spellStart"/>
      <w:r w:rsidRPr="00A90D24">
        <w:rPr>
          <w:sz w:val="20"/>
          <w:szCs w:val="20"/>
          <w:lang w:val="fr-CA"/>
        </w:rPr>
        <w:t>Binnie</w:t>
      </w:r>
      <w:proofErr w:type="spellEnd"/>
      <w:r w:rsidRPr="00A90D24">
        <w:rPr>
          <w:sz w:val="20"/>
          <w:szCs w:val="20"/>
          <w:lang w:val="fr-CA"/>
        </w:rPr>
        <w:t xml:space="preserve">, </w:t>
      </w:r>
      <w:proofErr w:type="spellStart"/>
      <w:r w:rsidRPr="00A90D24">
        <w:rPr>
          <w:sz w:val="20"/>
          <w:szCs w:val="20"/>
          <w:lang w:val="fr-CA"/>
        </w:rPr>
        <w:t>LeBel</w:t>
      </w:r>
      <w:proofErr w:type="spellEnd"/>
      <w:r w:rsidRPr="00A90D24">
        <w:rPr>
          <w:sz w:val="20"/>
          <w:szCs w:val="20"/>
          <w:lang w:val="fr-CA"/>
        </w:rPr>
        <w:t xml:space="preserve"> et Fish sont dissidents. </w:t>
      </w:r>
    </w:p>
    <w:p w:rsidR="005A0560" w:rsidRDefault="005A0560" w:rsidP="00AF1715">
      <w:pPr>
        <w:rPr>
          <w:sz w:val="20"/>
          <w:szCs w:val="20"/>
        </w:rPr>
      </w:pPr>
    </w:p>
    <w:p w:rsidR="005A0560" w:rsidRDefault="00FD28BB" w:rsidP="00AF1715">
      <w:pPr>
        <w:rPr>
          <w:sz w:val="20"/>
          <w:szCs w:val="20"/>
        </w:rPr>
      </w:pPr>
      <w:r w:rsidRPr="00FD28BB">
        <w:rPr>
          <w:b/>
          <w:sz w:val="20"/>
          <w:szCs w:val="20"/>
        </w:rPr>
        <w:pict>
          <v:rect id="_x0000_i1079" style="width:144.3pt;height:1pt" o:hrpct="300" o:hralign="center" o:hrstd="t" o:hrnoshade="t" o:hr="t" fillcolor="black [3213]" stroked="f"/>
        </w:pict>
      </w:r>
    </w:p>
    <w:p w:rsidR="005A0560" w:rsidRPr="003B3977" w:rsidRDefault="005A0560" w:rsidP="00AF1715">
      <w:pPr>
        <w:rPr>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904C5" w:rsidRPr="00716359" w:rsidRDefault="006904C5" w:rsidP="006904C5">
      <w:pPr>
        <w:rPr>
          <w:rFonts w:eastAsia="Calibri" w:cs="Times New Roman"/>
          <w:sz w:val="20"/>
          <w:szCs w:val="20"/>
          <w:lang w:val="fr-CA"/>
        </w:rPr>
      </w:pPr>
      <w:r w:rsidRPr="00EE595E">
        <w:rPr>
          <w:rFonts w:eastAsia="Calibri" w:cs="Times New Roman"/>
          <w:i/>
          <w:sz w:val="20"/>
          <w:szCs w:val="20"/>
        </w:rPr>
        <w:t xml:space="preserve">Alliance of Canadian Cinema, Television and Radio Artists et al. v. Bell </w:t>
      </w:r>
      <w:proofErr w:type="spellStart"/>
      <w:r w:rsidRPr="00EE595E">
        <w:rPr>
          <w:rFonts w:eastAsia="Calibri" w:cs="Times New Roman"/>
          <w:i/>
          <w:sz w:val="20"/>
          <w:szCs w:val="20"/>
        </w:rPr>
        <w:t>Aliant</w:t>
      </w:r>
      <w:proofErr w:type="spellEnd"/>
      <w:r w:rsidRPr="00EE595E">
        <w:rPr>
          <w:rFonts w:eastAsia="Calibri" w:cs="Times New Roman"/>
          <w:i/>
          <w:sz w:val="20"/>
          <w:szCs w:val="20"/>
        </w:rPr>
        <w:t xml:space="preserve"> Regional Communications, LP et al. </w:t>
      </w:r>
      <w:r w:rsidRPr="00716359">
        <w:rPr>
          <w:rFonts w:eastAsia="Calibri" w:cs="Times New Roman"/>
          <w:sz w:val="20"/>
          <w:szCs w:val="20"/>
          <w:lang w:val="fr-CA"/>
        </w:rPr>
        <w:t>(F.C.) (33884)</w:t>
      </w:r>
    </w:p>
    <w:p w:rsidR="00716359" w:rsidRPr="00716359" w:rsidRDefault="00716359" w:rsidP="00716359">
      <w:pPr>
        <w:jc w:val="both"/>
        <w:rPr>
          <w:b/>
          <w:sz w:val="20"/>
          <w:lang w:val="fr-CA"/>
        </w:rPr>
      </w:pPr>
      <w:proofErr w:type="spellStart"/>
      <w:r w:rsidRPr="00716359">
        <w:rPr>
          <w:b/>
          <w:sz w:val="20"/>
          <w:szCs w:val="20"/>
          <w:lang w:val="fr-CA"/>
        </w:rPr>
        <w:t>Indexed</w:t>
      </w:r>
      <w:proofErr w:type="spellEnd"/>
      <w:r w:rsidRPr="00716359">
        <w:rPr>
          <w:b/>
          <w:sz w:val="20"/>
          <w:szCs w:val="20"/>
          <w:lang w:val="fr-CA"/>
        </w:rPr>
        <w:t xml:space="preserve"> as</w:t>
      </w:r>
      <w:proofErr w:type="gramStart"/>
      <w:r w:rsidRPr="00716359">
        <w:rPr>
          <w:b/>
          <w:sz w:val="20"/>
          <w:szCs w:val="20"/>
          <w:lang w:val="fr-CA"/>
        </w:rPr>
        <w:t xml:space="preserve">:  </w:t>
      </w:r>
      <w:proofErr w:type="spellStart"/>
      <w:r w:rsidRPr="00716359">
        <w:rPr>
          <w:b/>
          <w:sz w:val="20"/>
          <w:szCs w:val="20"/>
          <w:lang w:val="fr-CA"/>
        </w:rPr>
        <w:t>Reference</w:t>
      </w:r>
      <w:proofErr w:type="spellEnd"/>
      <w:proofErr w:type="gramEnd"/>
      <w:r w:rsidRPr="00716359">
        <w:rPr>
          <w:b/>
          <w:sz w:val="20"/>
          <w:szCs w:val="20"/>
          <w:lang w:val="fr-CA"/>
        </w:rPr>
        <w:t xml:space="preserve"> </w:t>
      </w:r>
      <w:proofErr w:type="spellStart"/>
      <w:r w:rsidRPr="00716359">
        <w:rPr>
          <w:b/>
          <w:sz w:val="20"/>
          <w:szCs w:val="20"/>
          <w:lang w:val="fr-CA"/>
        </w:rPr>
        <w:t>re</w:t>
      </w:r>
      <w:proofErr w:type="spellEnd"/>
      <w:r w:rsidRPr="00716359">
        <w:rPr>
          <w:b/>
          <w:sz w:val="20"/>
          <w:szCs w:val="20"/>
          <w:lang w:val="fr-CA"/>
        </w:rPr>
        <w:t xml:space="preserve"> </w:t>
      </w:r>
      <w:proofErr w:type="spellStart"/>
      <w:r w:rsidRPr="00716359">
        <w:rPr>
          <w:b/>
          <w:i/>
          <w:sz w:val="20"/>
          <w:szCs w:val="20"/>
          <w:lang w:val="fr-CA"/>
        </w:rPr>
        <w:t>Broadcasting</w:t>
      </w:r>
      <w:proofErr w:type="spellEnd"/>
      <w:r w:rsidRPr="00716359">
        <w:rPr>
          <w:b/>
          <w:i/>
          <w:sz w:val="20"/>
          <w:szCs w:val="20"/>
          <w:lang w:val="fr-CA"/>
        </w:rPr>
        <w:t xml:space="preserve"> </w:t>
      </w:r>
      <w:proofErr w:type="spellStart"/>
      <w:r w:rsidRPr="00716359">
        <w:rPr>
          <w:b/>
          <w:i/>
          <w:sz w:val="20"/>
          <w:szCs w:val="20"/>
          <w:lang w:val="fr-CA"/>
        </w:rPr>
        <w:t>Act</w:t>
      </w:r>
      <w:proofErr w:type="spellEnd"/>
      <w:r w:rsidRPr="00716359">
        <w:rPr>
          <w:b/>
          <w:i/>
          <w:sz w:val="20"/>
          <w:szCs w:val="20"/>
          <w:lang w:val="fr-CA"/>
        </w:rPr>
        <w:t xml:space="preserve"> / </w:t>
      </w:r>
      <w:r w:rsidRPr="00716359">
        <w:rPr>
          <w:b/>
          <w:sz w:val="20"/>
          <w:lang w:val="fr-CA"/>
        </w:rPr>
        <w:t xml:space="preserve">Répertorié : Renvoi relatif à la </w:t>
      </w:r>
      <w:r w:rsidRPr="00716359">
        <w:rPr>
          <w:b/>
          <w:i/>
          <w:sz w:val="20"/>
          <w:lang w:val="fr-CA"/>
        </w:rPr>
        <w:t>Loi sur la radiodiffusion</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5A0560">
        <w:rPr>
          <w:sz w:val="20"/>
        </w:rPr>
        <w:t>2</w:t>
      </w:r>
      <w:proofErr w:type="gramEnd"/>
      <w:r w:rsidRPr="003B3977">
        <w:rPr>
          <w:sz w:val="20"/>
        </w:rPr>
        <w:t xml:space="preserve"> SCC </w:t>
      </w:r>
      <w:r w:rsidR="006904C5">
        <w:rPr>
          <w:sz w:val="20"/>
        </w:rPr>
        <w:t>4</w:t>
      </w:r>
      <w:r w:rsidRPr="003B3977">
        <w:rPr>
          <w:sz w:val="20"/>
        </w:rPr>
        <w:t xml:space="preserve"> / Référence neutre : 201</w:t>
      </w:r>
      <w:r w:rsidR="005A0560">
        <w:rPr>
          <w:sz w:val="20"/>
        </w:rPr>
        <w:t>2</w:t>
      </w:r>
      <w:r w:rsidRPr="003B3977">
        <w:rPr>
          <w:sz w:val="20"/>
        </w:rPr>
        <w:t xml:space="preserve"> CSC </w:t>
      </w:r>
      <w:r w:rsidR="006904C5">
        <w:rPr>
          <w:sz w:val="20"/>
        </w:rPr>
        <w:t>4</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proofErr w:type="spellStart"/>
      <w:r w:rsidR="006904C5">
        <w:rPr>
          <w:rFonts w:cs="Times New Roman"/>
          <w:sz w:val="20"/>
          <w:szCs w:val="20"/>
          <w:lang w:val="fr-CA"/>
        </w:rPr>
        <w:t>January</w:t>
      </w:r>
      <w:proofErr w:type="spellEnd"/>
      <w:proofErr w:type="gramEnd"/>
      <w:r w:rsidRPr="003B3977">
        <w:rPr>
          <w:rFonts w:cs="Times New Roman"/>
          <w:sz w:val="20"/>
          <w:szCs w:val="20"/>
          <w:lang w:val="fr-CA"/>
        </w:rPr>
        <w:t xml:space="preserve"> </w:t>
      </w:r>
      <w:r w:rsidR="006904C5">
        <w:rPr>
          <w:rFonts w:cs="Times New Roman"/>
          <w:sz w:val="20"/>
          <w:szCs w:val="20"/>
          <w:lang w:val="fr-CA"/>
        </w:rPr>
        <w:t>16</w:t>
      </w:r>
      <w:r w:rsidRPr="003B3977">
        <w:rPr>
          <w:rFonts w:cs="Times New Roman"/>
          <w:sz w:val="20"/>
          <w:szCs w:val="20"/>
          <w:lang w:val="fr-CA"/>
        </w:rPr>
        <w:t>, 201</w:t>
      </w:r>
      <w:r w:rsidR="006904C5">
        <w:rPr>
          <w:rFonts w:cs="Times New Roman"/>
          <w:sz w:val="20"/>
          <w:szCs w:val="20"/>
          <w:lang w:val="fr-CA"/>
        </w:rPr>
        <w:t>2</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sidR="00852029">
        <w:rPr>
          <w:rFonts w:cs="Times New Roman"/>
          <w:sz w:val="20"/>
          <w:szCs w:val="20"/>
          <w:lang w:val="fr-CA"/>
        </w:rPr>
        <w:t>February</w:t>
      </w:r>
      <w:proofErr w:type="spellEnd"/>
      <w:r w:rsidR="00852029">
        <w:rPr>
          <w:rFonts w:cs="Times New Roman"/>
          <w:sz w:val="20"/>
          <w:szCs w:val="20"/>
          <w:lang w:val="fr-CA"/>
        </w:rPr>
        <w:t xml:space="preserve"> 9</w:t>
      </w:r>
      <w:r w:rsidRPr="003B3977">
        <w:rPr>
          <w:rFonts w:cs="Times New Roman"/>
          <w:sz w:val="20"/>
          <w:szCs w:val="20"/>
          <w:lang w:val="fr-CA"/>
        </w:rPr>
        <w:t>, 201</w:t>
      </w:r>
      <w:r w:rsidR="00852029">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904C5">
        <w:rPr>
          <w:rFonts w:cs="Times New Roman"/>
          <w:sz w:val="20"/>
          <w:szCs w:val="20"/>
          <w:lang w:val="fr-CA"/>
        </w:rPr>
        <w:t>16 janvie</w:t>
      </w:r>
      <w:r w:rsidRPr="003B3977">
        <w:rPr>
          <w:rFonts w:cs="Times New Roman"/>
          <w:sz w:val="20"/>
          <w:szCs w:val="20"/>
          <w:lang w:val="fr-CA"/>
        </w:rPr>
        <w:t>r 201</w:t>
      </w:r>
      <w:r w:rsidR="006904C5">
        <w:rPr>
          <w:rFonts w:cs="Times New Roman"/>
          <w:sz w:val="20"/>
          <w:szCs w:val="20"/>
          <w:lang w:val="fr-CA"/>
        </w:rPr>
        <w:t>2</w:t>
      </w:r>
      <w:r w:rsidRPr="003B3977">
        <w:rPr>
          <w:rFonts w:cs="Times New Roman"/>
          <w:sz w:val="20"/>
          <w:szCs w:val="20"/>
          <w:lang w:val="fr-CA"/>
        </w:rPr>
        <w:t xml:space="preserve"> / Jugement : Le </w:t>
      </w:r>
      <w:r w:rsidR="00852029">
        <w:rPr>
          <w:rFonts w:cs="Times New Roman"/>
          <w:sz w:val="20"/>
          <w:szCs w:val="20"/>
          <w:lang w:val="fr-CA"/>
        </w:rPr>
        <w:t>9 février</w:t>
      </w:r>
      <w:r w:rsidRPr="003B3977">
        <w:rPr>
          <w:rFonts w:cs="Times New Roman"/>
          <w:sz w:val="20"/>
          <w:szCs w:val="20"/>
          <w:lang w:val="fr-CA"/>
        </w:rPr>
        <w:t xml:space="preserve"> 201</w:t>
      </w:r>
      <w:r w:rsidR="00852029">
        <w:rPr>
          <w:rFonts w:cs="Times New Roman"/>
          <w:sz w:val="20"/>
          <w:szCs w:val="20"/>
          <w:lang w:val="fr-CA"/>
        </w:rPr>
        <w:t>2</w:t>
      </w:r>
    </w:p>
    <w:p w:rsidR="005C6840" w:rsidRPr="003B3977" w:rsidRDefault="00FD28BB" w:rsidP="005C6840">
      <w:pPr>
        <w:rPr>
          <w:rFonts w:cs="Times New Roman"/>
          <w:sz w:val="20"/>
          <w:szCs w:val="20"/>
          <w:lang w:val="fr-CA"/>
        </w:rPr>
      </w:pPr>
      <w:r w:rsidRPr="00FD28BB">
        <w:rPr>
          <w:rFonts w:cs="Times New Roman"/>
          <w:i/>
          <w:sz w:val="20"/>
          <w:szCs w:val="20"/>
        </w:rPr>
        <w:pict>
          <v:rect id="_x0000_i1082" style="width:480.95pt;height:1pt" o:hralign="center" o:hrstd="t" o:hrnoshade="t" o:hr="t" fillcolor="black [3213]" stroked="f"/>
        </w:pict>
      </w:r>
    </w:p>
    <w:p w:rsidR="005C6840" w:rsidRDefault="005C6840" w:rsidP="005C6840">
      <w:pPr>
        <w:rPr>
          <w:rFonts w:cs="Times New Roman"/>
          <w:sz w:val="20"/>
          <w:szCs w:val="20"/>
          <w:lang w:val="fr-CA"/>
        </w:rPr>
      </w:pPr>
    </w:p>
    <w:p w:rsidR="00716359" w:rsidRPr="00325710" w:rsidRDefault="00716359" w:rsidP="00716359">
      <w:pPr>
        <w:jc w:val="both"/>
        <w:rPr>
          <w:sz w:val="20"/>
          <w:szCs w:val="20"/>
        </w:rPr>
      </w:pPr>
      <w:r w:rsidRPr="00325710">
        <w:rPr>
          <w:sz w:val="20"/>
          <w:szCs w:val="20"/>
        </w:rPr>
        <w:t xml:space="preserve">Present:  </w:t>
      </w:r>
      <w:proofErr w:type="spellStart"/>
      <w:r w:rsidRPr="00325710">
        <w:rPr>
          <w:sz w:val="20"/>
          <w:szCs w:val="20"/>
        </w:rPr>
        <w:t>McLachlin</w:t>
      </w:r>
      <w:proofErr w:type="spellEnd"/>
      <w:r w:rsidRPr="00325710">
        <w:rPr>
          <w:sz w:val="20"/>
          <w:szCs w:val="20"/>
        </w:rPr>
        <w:t xml:space="preserve"> C.J. and </w:t>
      </w:r>
      <w:proofErr w:type="spellStart"/>
      <w:r w:rsidRPr="00325710">
        <w:rPr>
          <w:sz w:val="20"/>
          <w:szCs w:val="20"/>
        </w:rPr>
        <w:t>LeBel</w:t>
      </w:r>
      <w:proofErr w:type="spellEnd"/>
      <w:r w:rsidRPr="00325710">
        <w:rPr>
          <w:sz w:val="20"/>
          <w:szCs w:val="20"/>
        </w:rPr>
        <w:t xml:space="preserve">, </w:t>
      </w:r>
      <w:proofErr w:type="spellStart"/>
      <w:r w:rsidRPr="00325710">
        <w:rPr>
          <w:sz w:val="20"/>
          <w:szCs w:val="20"/>
        </w:rPr>
        <w:t>Deschamps</w:t>
      </w:r>
      <w:proofErr w:type="spellEnd"/>
      <w:r w:rsidRPr="00325710">
        <w:rPr>
          <w:sz w:val="20"/>
          <w:szCs w:val="20"/>
        </w:rPr>
        <w:t xml:space="preserve">, Fish, </w:t>
      </w:r>
      <w:proofErr w:type="spellStart"/>
      <w:r w:rsidRPr="00325710">
        <w:rPr>
          <w:sz w:val="20"/>
          <w:szCs w:val="20"/>
        </w:rPr>
        <w:t>Abella</w:t>
      </w:r>
      <w:proofErr w:type="spellEnd"/>
      <w:r w:rsidRPr="00325710">
        <w:rPr>
          <w:sz w:val="20"/>
          <w:szCs w:val="20"/>
        </w:rPr>
        <w:t xml:space="preserve">, Rothstein, Cromwell, </w:t>
      </w:r>
      <w:proofErr w:type="spellStart"/>
      <w:r w:rsidRPr="00325710">
        <w:rPr>
          <w:sz w:val="20"/>
          <w:szCs w:val="20"/>
        </w:rPr>
        <w:t>Moldaver</w:t>
      </w:r>
      <w:proofErr w:type="spellEnd"/>
      <w:r w:rsidRPr="00325710">
        <w:rPr>
          <w:sz w:val="20"/>
          <w:szCs w:val="20"/>
        </w:rPr>
        <w:t xml:space="preserve"> and </w:t>
      </w:r>
      <w:proofErr w:type="spellStart"/>
      <w:r w:rsidRPr="00325710">
        <w:rPr>
          <w:sz w:val="20"/>
          <w:szCs w:val="20"/>
        </w:rPr>
        <w:t>Karakatsanis</w:t>
      </w:r>
      <w:proofErr w:type="spellEnd"/>
      <w:r w:rsidRPr="00325710">
        <w:rPr>
          <w:sz w:val="20"/>
          <w:szCs w:val="20"/>
        </w:rPr>
        <w:t> JJ.</w:t>
      </w:r>
    </w:p>
    <w:p w:rsidR="00716359" w:rsidRDefault="00716359" w:rsidP="00716359">
      <w:pPr>
        <w:pStyle w:val="SCCLowerCourtNameLowercase"/>
        <w:spacing w:line="240" w:lineRule="auto"/>
        <w:rPr>
          <w:sz w:val="20"/>
        </w:rPr>
      </w:pPr>
    </w:p>
    <w:p w:rsidR="00716359" w:rsidRPr="00325710" w:rsidRDefault="00716359" w:rsidP="00716359">
      <w:pPr>
        <w:pStyle w:val="SCCNormalDoubleSpacing"/>
        <w:spacing w:line="240" w:lineRule="auto"/>
        <w:rPr>
          <w:i/>
          <w:sz w:val="20"/>
        </w:rPr>
      </w:pPr>
      <w:r w:rsidRPr="00325710">
        <w:rPr>
          <w:i/>
          <w:sz w:val="20"/>
        </w:rPr>
        <w:tab/>
      </w:r>
      <w:r w:rsidRPr="00325710">
        <w:rPr>
          <w:rFonts w:eastAsiaTheme="minorHAnsi"/>
          <w:i/>
          <w:sz w:val="20"/>
        </w:rPr>
        <w:t>Communications</w:t>
      </w:r>
      <w:r w:rsidRPr="00325710">
        <w:rPr>
          <w:i/>
          <w:sz w:val="20"/>
        </w:rPr>
        <w:t xml:space="preserve"> law — Broadcasting — Internet — Internet service providers providing </w:t>
      </w:r>
      <w:proofErr w:type="spellStart"/>
      <w:r w:rsidRPr="00325710">
        <w:rPr>
          <w:i/>
          <w:sz w:val="20"/>
        </w:rPr>
        <w:t>end</w:t>
      </w:r>
      <w:r w:rsidRPr="00325710">
        <w:rPr>
          <w:i/>
          <w:sz w:val="20"/>
        </w:rPr>
        <w:noBreakHyphen/>
        <w:t>users</w:t>
      </w:r>
      <w:proofErr w:type="spellEnd"/>
      <w:r w:rsidRPr="00325710">
        <w:rPr>
          <w:i/>
          <w:sz w:val="20"/>
        </w:rPr>
        <w:t xml:space="preserve"> with access to broadcasting over the Internet — Whether Internet service providers are broadcasters when they provide </w:t>
      </w:r>
      <w:proofErr w:type="spellStart"/>
      <w:r w:rsidRPr="00325710">
        <w:rPr>
          <w:i/>
          <w:sz w:val="20"/>
        </w:rPr>
        <w:t>end</w:t>
      </w:r>
      <w:r w:rsidRPr="00325710">
        <w:rPr>
          <w:i/>
          <w:sz w:val="20"/>
        </w:rPr>
        <w:noBreakHyphen/>
        <w:t>users</w:t>
      </w:r>
      <w:proofErr w:type="spellEnd"/>
      <w:r w:rsidRPr="00325710">
        <w:rPr>
          <w:i/>
          <w:sz w:val="20"/>
        </w:rPr>
        <w:t xml:space="preserve"> with access to broadcasting through the Internet — Broadcasting Act, S.C. 1991, c. 11, ss. 2, 3.</w:t>
      </w:r>
    </w:p>
    <w:p w:rsidR="00716359" w:rsidRDefault="00716359" w:rsidP="00716359">
      <w:pPr>
        <w:pStyle w:val="SCCNormalDoubleSpacing"/>
        <w:spacing w:line="240" w:lineRule="auto"/>
        <w:rPr>
          <w:sz w:val="20"/>
        </w:rPr>
      </w:pPr>
    </w:p>
    <w:p w:rsidR="00716359" w:rsidRPr="00325710" w:rsidRDefault="00716359" w:rsidP="00716359">
      <w:pPr>
        <w:pStyle w:val="SCCNormalDoubleSpacing"/>
        <w:spacing w:line="240" w:lineRule="auto"/>
        <w:rPr>
          <w:sz w:val="20"/>
        </w:rPr>
      </w:pPr>
      <w:r w:rsidRPr="00325710">
        <w:rPr>
          <w:sz w:val="20"/>
        </w:rPr>
        <w:tab/>
        <w:t xml:space="preserve">The Canadian </w:t>
      </w:r>
      <w:proofErr w:type="spellStart"/>
      <w:r w:rsidRPr="00325710">
        <w:rPr>
          <w:sz w:val="20"/>
        </w:rPr>
        <w:t>Radio</w:t>
      </w:r>
      <w:r w:rsidRPr="00325710">
        <w:rPr>
          <w:sz w:val="20"/>
        </w:rPr>
        <w:noBreakHyphen/>
        <w:t>television</w:t>
      </w:r>
      <w:proofErr w:type="spellEnd"/>
      <w:r w:rsidRPr="00325710">
        <w:rPr>
          <w:sz w:val="20"/>
        </w:rPr>
        <w:t xml:space="preserve"> and Telecommunications Commission referred to the Federal Court of Appeal the question of whether retail Internet Service Providers (“ISPs”) carry on, in whole or in part, “broadcasting undertakings” subject to the </w:t>
      </w:r>
      <w:r w:rsidRPr="00325710">
        <w:rPr>
          <w:i/>
          <w:sz w:val="20"/>
        </w:rPr>
        <w:t>Broadcasting Act</w:t>
      </w:r>
      <w:r w:rsidRPr="00325710">
        <w:rPr>
          <w:sz w:val="20"/>
        </w:rPr>
        <w:t xml:space="preserve"> when, in their role as ISPs, they provide access through the Internet to “broadcasting” requested by </w:t>
      </w:r>
      <w:proofErr w:type="spellStart"/>
      <w:r w:rsidRPr="00325710">
        <w:rPr>
          <w:sz w:val="20"/>
        </w:rPr>
        <w:t>end</w:t>
      </w:r>
      <w:r w:rsidRPr="00325710">
        <w:rPr>
          <w:sz w:val="20"/>
        </w:rPr>
        <w:noBreakHyphen/>
        <w:t>users</w:t>
      </w:r>
      <w:proofErr w:type="spellEnd"/>
      <w:r w:rsidRPr="00325710">
        <w:rPr>
          <w:sz w:val="20"/>
        </w:rPr>
        <w:t xml:space="preserve">.  The court held that they do not.  </w:t>
      </w:r>
    </w:p>
    <w:p w:rsidR="00716359" w:rsidRDefault="00716359" w:rsidP="00716359">
      <w:pPr>
        <w:pStyle w:val="SCCNormalDoubleSpacing"/>
        <w:spacing w:line="240" w:lineRule="auto"/>
        <w:rPr>
          <w:i/>
          <w:sz w:val="20"/>
        </w:rPr>
      </w:pPr>
    </w:p>
    <w:p w:rsidR="00716359" w:rsidRPr="00325710" w:rsidRDefault="00716359" w:rsidP="00716359">
      <w:pPr>
        <w:pStyle w:val="SCCNormalDoubleSpacing"/>
        <w:spacing w:line="240" w:lineRule="auto"/>
        <w:rPr>
          <w:sz w:val="20"/>
        </w:rPr>
      </w:pPr>
      <w:r w:rsidRPr="00325710">
        <w:rPr>
          <w:i/>
          <w:sz w:val="20"/>
        </w:rPr>
        <w:tab/>
        <w:t xml:space="preserve">Held:  </w:t>
      </w:r>
      <w:r w:rsidRPr="00325710">
        <w:rPr>
          <w:sz w:val="20"/>
        </w:rPr>
        <w:t>The appeal should be dismissed.</w:t>
      </w:r>
    </w:p>
    <w:p w:rsidR="00716359" w:rsidRDefault="00716359" w:rsidP="00716359">
      <w:pPr>
        <w:pStyle w:val="SCCNormalDoubleSpacing"/>
        <w:spacing w:line="240" w:lineRule="auto"/>
        <w:rPr>
          <w:sz w:val="20"/>
        </w:rPr>
      </w:pPr>
    </w:p>
    <w:p w:rsidR="00716359" w:rsidRDefault="00716359" w:rsidP="00716359">
      <w:pPr>
        <w:pStyle w:val="SCCNormalDoubleSpacing"/>
        <w:spacing w:line="240" w:lineRule="auto"/>
        <w:rPr>
          <w:sz w:val="20"/>
        </w:rPr>
      </w:pPr>
      <w:r w:rsidRPr="00325710">
        <w:rPr>
          <w:sz w:val="20"/>
        </w:rPr>
        <w:tab/>
        <w:t xml:space="preserve">The terms “broadcasting” and “broadcasting undertaking”, interpreted in the context of the language and purposes of the </w:t>
      </w:r>
      <w:r w:rsidRPr="00325710">
        <w:rPr>
          <w:i/>
          <w:sz w:val="20"/>
        </w:rPr>
        <w:t>Broadcasting Act</w:t>
      </w:r>
      <w:r w:rsidRPr="00325710">
        <w:rPr>
          <w:sz w:val="20"/>
        </w:rPr>
        <w:t xml:space="preserve">, are not meant to capture entities which merely provide the mode of transmission.  The </w:t>
      </w:r>
      <w:r w:rsidRPr="00325710">
        <w:rPr>
          <w:i/>
          <w:sz w:val="20"/>
        </w:rPr>
        <w:t>Broadcasting Act</w:t>
      </w:r>
      <w:r w:rsidRPr="00325710">
        <w:rPr>
          <w:sz w:val="20"/>
        </w:rPr>
        <w:t xml:space="preserve"> makes it clear that “broadcasting undertakings” are assumed to have some measure of control over programming.  The policy objectives listed under s. 3(1) of the Act focus on content.  When providing access to the Internet, which is the only function of </w:t>
      </w:r>
      <w:proofErr w:type="gramStart"/>
      <w:r w:rsidRPr="00325710">
        <w:rPr>
          <w:sz w:val="20"/>
        </w:rPr>
        <w:t>ISPs</w:t>
      </w:r>
      <w:proofErr w:type="gramEnd"/>
      <w:r w:rsidRPr="00325710">
        <w:rPr>
          <w:sz w:val="20"/>
        </w:rPr>
        <w:t xml:space="preserve"> placed in issue by the reference question, they take no part in the selection, origination, or packaging of content.  The term “broadcasting undertaking” does not contemplate an entity with no role to play in contributing to the </w:t>
      </w:r>
      <w:r w:rsidRPr="00325710">
        <w:rPr>
          <w:i/>
          <w:sz w:val="20"/>
        </w:rPr>
        <w:t>Act</w:t>
      </w:r>
      <w:r w:rsidRPr="00325710">
        <w:rPr>
          <w:sz w:val="20"/>
        </w:rPr>
        <w:t xml:space="preserve">’s policy objectives.  Accordingly, ISPs do not carry on “broadcasting undertakings” under the </w:t>
      </w:r>
      <w:r w:rsidRPr="00325710">
        <w:rPr>
          <w:i/>
          <w:sz w:val="20"/>
        </w:rPr>
        <w:t>Broadcasting Act</w:t>
      </w:r>
      <w:r w:rsidRPr="00325710">
        <w:rPr>
          <w:sz w:val="20"/>
        </w:rPr>
        <w:t xml:space="preserve"> when they provide access through the Internet to “broadcasting” requested by </w:t>
      </w:r>
      <w:proofErr w:type="spellStart"/>
      <w:r w:rsidRPr="00325710">
        <w:rPr>
          <w:sz w:val="20"/>
        </w:rPr>
        <w:t>end</w:t>
      </w:r>
      <w:r w:rsidRPr="00325710">
        <w:rPr>
          <w:sz w:val="20"/>
        </w:rPr>
        <w:noBreakHyphen/>
        <w:t>users</w:t>
      </w:r>
      <w:proofErr w:type="spellEnd"/>
      <w:r w:rsidRPr="00325710">
        <w:rPr>
          <w:sz w:val="20"/>
        </w:rPr>
        <w:t xml:space="preserve">.  </w:t>
      </w:r>
    </w:p>
    <w:p w:rsidR="00716359" w:rsidRDefault="00716359" w:rsidP="00716359">
      <w:pPr>
        <w:pStyle w:val="SCCNormalDoubleSpacing"/>
        <w:spacing w:line="240" w:lineRule="auto"/>
        <w:rPr>
          <w:sz w:val="20"/>
        </w:rPr>
      </w:pPr>
    </w:p>
    <w:p w:rsidR="00716359" w:rsidRDefault="00716359" w:rsidP="00716359">
      <w:pPr>
        <w:pStyle w:val="SCCNormalDoubleSpacing"/>
        <w:spacing w:line="240" w:lineRule="auto"/>
        <w:rPr>
          <w:sz w:val="20"/>
        </w:rPr>
      </w:pPr>
      <w:r w:rsidRPr="00325710">
        <w:rPr>
          <w:sz w:val="20"/>
        </w:rPr>
        <w:tab/>
        <w:t xml:space="preserve">APPEAL from a judgment of the Federal Court of Appeal (Noël, </w:t>
      </w:r>
      <w:proofErr w:type="spellStart"/>
      <w:r w:rsidRPr="00325710">
        <w:rPr>
          <w:sz w:val="20"/>
        </w:rPr>
        <w:t>Nadon</w:t>
      </w:r>
      <w:proofErr w:type="spellEnd"/>
      <w:r w:rsidRPr="00325710">
        <w:rPr>
          <w:sz w:val="20"/>
        </w:rPr>
        <w:t xml:space="preserve"> and Dawson JJ.A.), 2010 FCA 178, 322 D.L.R. (4th) 337, 404 N.R. 305, [2010] F.C.J. No. 849 (QL), 2010 </w:t>
      </w:r>
      <w:proofErr w:type="spellStart"/>
      <w:r w:rsidRPr="00325710">
        <w:rPr>
          <w:sz w:val="20"/>
        </w:rPr>
        <w:t>CarswellNat</w:t>
      </w:r>
      <w:proofErr w:type="spellEnd"/>
      <w:r w:rsidRPr="00325710">
        <w:rPr>
          <w:sz w:val="20"/>
        </w:rPr>
        <w:t xml:space="preserve"> 2092, in the matter of a reference brought by the Canadian </w:t>
      </w:r>
      <w:proofErr w:type="spellStart"/>
      <w:r w:rsidRPr="00325710">
        <w:rPr>
          <w:sz w:val="20"/>
        </w:rPr>
        <w:t>Radio</w:t>
      </w:r>
      <w:r w:rsidRPr="00325710">
        <w:rPr>
          <w:sz w:val="20"/>
        </w:rPr>
        <w:noBreakHyphen/>
        <w:t>Television</w:t>
      </w:r>
      <w:proofErr w:type="spellEnd"/>
      <w:r w:rsidRPr="00325710">
        <w:rPr>
          <w:sz w:val="20"/>
        </w:rPr>
        <w:t xml:space="preserve"> and Telecommunications Commission regarding the </w:t>
      </w:r>
      <w:r w:rsidRPr="00325710">
        <w:rPr>
          <w:i/>
          <w:sz w:val="20"/>
        </w:rPr>
        <w:t>Broadcasting Act</w:t>
      </w:r>
      <w:r w:rsidRPr="00325710">
        <w:rPr>
          <w:sz w:val="20"/>
        </w:rPr>
        <w:t>.  Appeal dismissed.</w:t>
      </w:r>
    </w:p>
    <w:p w:rsidR="00716359" w:rsidRPr="00325710" w:rsidRDefault="00716359" w:rsidP="00716359">
      <w:pPr>
        <w:pStyle w:val="SCCNormalDoubleSpacing"/>
        <w:spacing w:line="240" w:lineRule="auto"/>
        <w:rPr>
          <w:sz w:val="20"/>
        </w:rPr>
      </w:pPr>
    </w:p>
    <w:p w:rsidR="00716359" w:rsidRPr="00325710" w:rsidRDefault="00716359" w:rsidP="00716359">
      <w:pPr>
        <w:pStyle w:val="SCCNormalDoubleSpacing"/>
        <w:spacing w:line="240" w:lineRule="auto"/>
        <w:rPr>
          <w:sz w:val="20"/>
        </w:rPr>
      </w:pPr>
      <w:r w:rsidRPr="00325710">
        <w:rPr>
          <w:i/>
          <w:sz w:val="20"/>
        </w:rPr>
        <w:tab/>
      </w:r>
      <w:proofErr w:type="gramStart"/>
      <w:r w:rsidRPr="00325710">
        <w:rPr>
          <w:i/>
          <w:sz w:val="20"/>
        </w:rPr>
        <w:t xml:space="preserve">Thomas G. </w:t>
      </w:r>
      <w:proofErr w:type="spellStart"/>
      <w:r w:rsidRPr="00325710">
        <w:rPr>
          <w:i/>
          <w:sz w:val="20"/>
        </w:rPr>
        <w:t>Heintzman</w:t>
      </w:r>
      <w:proofErr w:type="spellEnd"/>
      <w:r w:rsidRPr="00325710">
        <w:rPr>
          <w:i/>
          <w:sz w:val="20"/>
        </w:rPr>
        <w:t>, Q.C.,</w:t>
      </w:r>
      <w:r w:rsidRPr="00325710">
        <w:rPr>
          <w:sz w:val="20"/>
        </w:rPr>
        <w:t xml:space="preserve"> and </w:t>
      </w:r>
      <w:r w:rsidRPr="00325710">
        <w:rPr>
          <w:i/>
          <w:sz w:val="20"/>
        </w:rPr>
        <w:t>Bram Abramson</w:t>
      </w:r>
      <w:r w:rsidRPr="00325710">
        <w:rPr>
          <w:sz w:val="20"/>
        </w:rPr>
        <w:t>, for the appellants.</w:t>
      </w:r>
      <w:proofErr w:type="gramEnd"/>
    </w:p>
    <w:p w:rsidR="00716359" w:rsidRDefault="00716359" w:rsidP="00716359">
      <w:pPr>
        <w:pStyle w:val="SCCNormalDoubleSpacing"/>
        <w:spacing w:line="240" w:lineRule="auto"/>
        <w:rPr>
          <w:i/>
          <w:sz w:val="20"/>
        </w:rPr>
      </w:pPr>
    </w:p>
    <w:p w:rsidR="00716359" w:rsidRDefault="00716359" w:rsidP="00716359">
      <w:pPr>
        <w:pStyle w:val="SCCNormalDoubleSpacing"/>
        <w:spacing w:line="240" w:lineRule="auto"/>
        <w:rPr>
          <w:sz w:val="20"/>
        </w:rPr>
      </w:pPr>
      <w:r w:rsidRPr="00325710">
        <w:rPr>
          <w:i/>
          <w:sz w:val="20"/>
        </w:rPr>
        <w:tab/>
        <w:t xml:space="preserve">John B. </w:t>
      </w:r>
      <w:proofErr w:type="spellStart"/>
      <w:r w:rsidRPr="00325710">
        <w:rPr>
          <w:i/>
          <w:sz w:val="20"/>
        </w:rPr>
        <w:t>Laskin</w:t>
      </w:r>
      <w:proofErr w:type="spellEnd"/>
      <w:r w:rsidRPr="00325710">
        <w:rPr>
          <w:sz w:val="20"/>
        </w:rPr>
        <w:t xml:space="preserve">, </w:t>
      </w:r>
      <w:proofErr w:type="spellStart"/>
      <w:r w:rsidRPr="00325710">
        <w:rPr>
          <w:i/>
          <w:sz w:val="20"/>
        </w:rPr>
        <w:t>Yousuf</w:t>
      </w:r>
      <w:proofErr w:type="spellEnd"/>
      <w:r w:rsidRPr="00325710">
        <w:rPr>
          <w:i/>
          <w:sz w:val="20"/>
        </w:rPr>
        <w:t xml:space="preserve"> </w:t>
      </w:r>
      <w:proofErr w:type="spellStart"/>
      <w:r w:rsidRPr="00325710">
        <w:rPr>
          <w:i/>
          <w:sz w:val="20"/>
        </w:rPr>
        <w:t>Aftab</w:t>
      </w:r>
      <w:proofErr w:type="spellEnd"/>
      <w:r w:rsidRPr="00325710">
        <w:rPr>
          <w:sz w:val="20"/>
        </w:rPr>
        <w:t xml:space="preserve"> and </w:t>
      </w:r>
      <w:r w:rsidRPr="00325710">
        <w:rPr>
          <w:i/>
          <w:sz w:val="20"/>
        </w:rPr>
        <w:t xml:space="preserve">Nicole </w:t>
      </w:r>
      <w:proofErr w:type="spellStart"/>
      <w:r w:rsidRPr="00325710">
        <w:rPr>
          <w:i/>
          <w:sz w:val="20"/>
        </w:rPr>
        <w:t>Mantini</w:t>
      </w:r>
      <w:proofErr w:type="spellEnd"/>
      <w:r w:rsidRPr="00325710">
        <w:rPr>
          <w:sz w:val="20"/>
        </w:rPr>
        <w:t xml:space="preserve">, for the respondents Bell </w:t>
      </w:r>
      <w:proofErr w:type="spellStart"/>
      <w:r w:rsidRPr="00325710">
        <w:rPr>
          <w:sz w:val="20"/>
        </w:rPr>
        <w:t>Aliant</w:t>
      </w:r>
      <w:proofErr w:type="spellEnd"/>
      <w:r w:rsidRPr="00325710">
        <w:rPr>
          <w:sz w:val="20"/>
        </w:rPr>
        <w:t xml:space="preserve"> Regional </w:t>
      </w:r>
    </w:p>
    <w:p w:rsidR="00716359" w:rsidRPr="00325710" w:rsidRDefault="00716359" w:rsidP="00716359">
      <w:pPr>
        <w:pStyle w:val="SCCNormalDoubleSpacing"/>
        <w:spacing w:line="240" w:lineRule="auto"/>
        <w:rPr>
          <w:sz w:val="20"/>
        </w:rPr>
      </w:pPr>
      <w:proofErr w:type="gramStart"/>
      <w:r w:rsidRPr="00325710">
        <w:rPr>
          <w:sz w:val="20"/>
        </w:rPr>
        <w:t>Communications</w:t>
      </w:r>
      <w:r>
        <w:rPr>
          <w:sz w:val="20"/>
        </w:rPr>
        <w:t xml:space="preserve"> </w:t>
      </w:r>
      <w:r w:rsidRPr="00325710">
        <w:rPr>
          <w:i/>
          <w:sz w:val="20"/>
        </w:rPr>
        <w:t>et</w:t>
      </w:r>
      <w:r>
        <w:rPr>
          <w:i/>
          <w:sz w:val="20"/>
        </w:rPr>
        <w:t> </w:t>
      </w:r>
      <w:r w:rsidRPr="00325710">
        <w:rPr>
          <w:i/>
          <w:sz w:val="20"/>
        </w:rPr>
        <w:t>al</w:t>
      </w:r>
      <w:r w:rsidRPr="00325710">
        <w:rPr>
          <w:sz w:val="20"/>
        </w:rPr>
        <w:t>.</w:t>
      </w:r>
      <w:proofErr w:type="gramEnd"/>
    </w:p>
    <w:p w:rsidR="00716359" w:rsidRDefault="00716359" w:rsidP="00716359">
      <w:pPr>
        <w:pStyle w:val="SCCNormalDoubleSpacing"/>
        <w:spacing w:line="240" w:lineRule="auto"/>
        <w:rPr>
          <w:i/>
          <w:sz w:val="20"/>
        </w:rPr>
      </w:pPr>
    </w:p>
    <w:p w:rsidR="00716359" w:rsidRPr="00325710" w:rsidRDefault="00716359" w:rsidP="00716359">
      <w:pPr>
        <w:pStyle w:val="SCCNormalDoubleSpacing"/>
        <w:spacing w:line="240" w:lineRule="auto"/>
        <w:rPr>
          <w:sz w:val="20"/>
        </w:rPr>
      </w:pPr>
      <w:r w:rsidRPr="00325710">
        <w:rPr>
          <w:i/>
          <w:sz w:val="20"/>
        </w:rPr>
        <w:tab/>
      </w:r>
      <w:proofErr w:type="gramStart"/>
      <w:r w:rsidRPr="00325710">
        <w:rPr>
          <w:i/>
          <w:sz w:val="20"/>
        </w:rPr>
        <w:t xml:space="preserve">Nicholas </w:t>
      </w:r>
      <w:proofErr w:type="spellStart"/>
      <w:r w:rsidRPr="00325710">
        <w:rPr>
          <w:i/>
          <w:sz w:val="20"/>
        </w:rPr>
        <w:t>McHaffie</w:t>
      </w:r>
      <w:proofErr w:type="spellEnd"/>
      <w:r w:rsidRPr="00325710">
        <w:rPr>
          <w:sz w:val="20"/>
        </w:rPr>
        <w:t xml:space="preserve"> and </w:t>
      </w:r>
      <w:r w:rsidRPr="00325710">
        <w:rPr>
          <w:i/>
          <w:sz w:val="20"/>
        </w:rPr>
        <w:t xml:space="preserve">Dean </w:t>
      </w:r>
      <w:proofErr w:type="spellStart"/>
      <w:r w:rsidRPr="00325710">
        <w:rPr>
          <w:i/>
          <w:sz w:val="20"/>
        </w:rPr>
        <w:t>Shaikh</w:t>
      </w:r>
      <w:proofErr w:type="spellEnd"/>
      <w:r w:rsidRPr="00325710">
        <w:rPr>
          <w:sz w:val="20"/>
        </w:rPr>
        <w:t>, for the respondent Shaw Communications Inc.</w:t>
      </w:r>
      <w:proofErr w:type="gramEnd"/>
    </w:p>
    <w:p w:rsidR="00716359" w:rsidRDefault="00716359" w:rsidP="00716359">
      <w:pPr>
        <w:pStyle w:val="SCCNormalDoubleSpacing"/>
        <w:spacing w:line="240" w:lineRule="auto"/>
        <w:rPr>
          <w:i/>
          <w:sz w:val="20"/>
        </w:rPr>
      </w:pPr>
    </w:p>
    <w:p w:rsidR="00716359" w:rsidRPr="00325710" w:rsidRDefault="00716359" w:rsidP="00716359">
      <w:pPr>
        <w:pStyle w:val="SCCNormalDoubleSpacing"/>
        <w:spacing w:line="240" w:lineRule="auto"/>
        <w:rPr>
          <w:sz w:val="20"/>
          <w:lang w:val="en-US"/>
        </w:rPr>
      </w:pPr>
      <w:r w:rsidRPr="00325710">
        <w:rPr>
          <w:i/>
          <w:sz w:val="20"/>
        </w:rPr>
        <w:tab/>
        <w:t>No one appeared for</w:t>
      </w:r>
      <w:r w:rsidRPr="00325710">
        <w:rPr>
          <w:sz w:val="20"/>
        </w:rPr>
        <w:t xml:space="preserve"> the intervener</w:t>
      </w:r>
      <w:r w:rsidRPr="00325710">
        <w:rPr>
          <w:sz w:val="20"/>
          <w:lang w:val="en-US"/>
        </w:rPr>
        <w:t>.</w:t>
      </w:r>
    </w:p>
    <w:p w:rsidR="00716359" w:rsidRDefault="00716359" w:rsidP="00716359">
      <w:pPr>
        <w:pStyle w:val="SCCLawFirm"/>
        <w:spacing w:line="240" w:lineRule="auto"/>
        <w:rPr>
          <w:sz w:val="20"/>
          <w:lang w:val="en-US"/>
        </w:rPr>
      </w:pPr>
    </w:p>
    <w:p w:rsidR="00716359" w:rsidRPr="00325710" w:rsidRDefault="00716359" w:rsidP="00716359">
      <w:pPr>
        <w:pStyle w:val="SCCLawFirm"/>
        <w:spacing w:line="240" w:lineRule="auto"/>
        <w:rPr>
          <w:sz w:val="20"/>
        </w:rPr>
      </w:pPr>
      <w:r w:rsidRPr="00325710">
        <w:rPr>
          <w:sz w:val="20"/>
          <w:lang w:val="en-US"/>
        </w:rPr>
        <w:tab/>
      </w:r>
      <w:r w:rsidRPr="00325710">
        <w:rPr>
          <w:sz w:val="20"/>
        </w:rPr>
        <w:t xml:space="preserve">Solicitors for the appellants:  McCarthy </w:t>
      </w:r>
      <w:proofErr w:type="spellStart"/>
      <w:r w:rsidRPr="00325710">
        <w:rPr>
          <w:sz w:val="20"/>
        </w:rPr>
        <w:t>Tétrault</w:t>
      </w:r>
      <w:proofErr w:type="spellEnd"/>
      <w:r w:rsidRPr="00325710">
        <w:rPr>
          <w:sz w:val="20"/>
        </w:rPr>
        <w:t>, Toronto.</w:t>
      </w:r>
    </w:p>
    <w:p w:rsidR="00716359" w:rsidRDefault="00716359" w:rsidP="00716359">
      <w:pPr>
        <w:pStyle w:val="SCCLawFirm"/>
        <w:spacing w:line="240" w:lineRule="auto"/>
        <w:rPr>
          <w:sz w:val="20"/>
        </w:rPr>
      </w:pPr>
    </w:p>
    <w:p w:rsidR="00716359" w:rsidRPr="00325710" w:rsidRDefault="00716359" w:rsidP="00716359">
      <w:pPr>
        <w:pStyle w:val="SCCLawFirm"/>
        <w:spacing w:line="240" w:lineRule="auto"/>
        <w:rPr>
          <w:sz w:val="20"/>
        </w:rPr>
      </w:pPr>
      <w:r w:rsidRPr="00325710">
        <w:rPr>
          <w:sz w:val="20"/>
        </w:rPr>
        <w:tab/>
        <w:t xml:space="preserve">Solicitors for the respondents Bell </w:t>
      </w:r>
      <w:proofErr w:type="spellStart"/>
      <w:r w:rsidRPr="00325710">
        <w:rPr>
          <w:sz w:val="20"/>
        </w:rPr>
        <w:t>Aliant</w:t>
      </w:r>
      <w:proofErr w:type="spellEnd"/>
      <w:r w:rsidRPr="00325710">
        <w:rPr>
          <w:sz w:val="20"/>
        </w:rPr>
        <w:t xml:space="preserve"> Regional Communications et al.:  </w:t>
      </w:r>
      <w:proofErr w:type="spellStart"/>
      <w:r w:rsidRPr="00325710">
        <w:rPr>
          <w:sz w:val="20"/>
        </w:rPr>
        <w:t>Torys</w:t>
      </w:r>
      <w:proofErr w:type="spellEnd"/>
      <w:r w:rsidRPr="00325710">
        <w:rPr>
          <w:sz w:val="20"/>
        </w:rPr>
        <w:t>, Toronto.</w:t>
      </w:r>
    </w:p>
    <w:p w:rsidR="00716359" w:rsidRDefault="00716359" w:rsidP="00716359">
      <w:pPr>
        <w:pStyle w:val="SCCNormalDoubleSpacing"/>
        <w:spacing w:line="240" w:lineRule="auto"/>
        <w:rPr>
          <w:sz w:val="20"/>
        </w:rPr>
      </w:pPr>
    </w:p>
    <w:p w:rsidR="00716359" w:rsidRDefault="00716359" w:rsidP="00716359">
      <w:pPr>
        <w:pStyle w:val="SCCNormalDoubleSpacing"/>
        <w:spacing w:line="240" w:lineRule="auto"/>
        <w:rPr>
          <w:i/>
          <w:sz w:val="20"/>
        </w:rPr>
      </w:pPr>
      <w:r w:rsidRPr="00325710">
        <w:rPr>
          <w:sz w:val="20"/>
        </w:rPr>
        <w:tab/>
      </w:r>
      <w:r w:rsidRPr="00325710">
        <w:rPr>
          <w:i/>
          <w:sz w:val="20"/>
        </w:rPr>
        <w:t>Solicitors for the respondent Shaw Communications Inc.:  </w:t>
      </w:r>
      <w:proofErr w:type="spellStart"/>
      <w:r w:rsidRPr="00325710">
        <w:rPr>
          <w:i/>
          <w:sz w:val="20"/>
        </w:rPr>
        <w:t>Stikeman</w:t>
      </w:r>
      <w:proofErr w:type="spellEnd"/>
      <w:r w:rsidRPr="00325710">
        <w:rPr>
          <w:i/>
          <w:sz w:val="20"/>
        </w:rPr>
        <w:t xml:space="preserve"> Elliott,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716359" w:rsidRPr="00716359" w:rsidRDefault="00716359" w:rsidP="00716359">
      <w:pPr>
        <w:jc w:val="both"/>
        <w:rPr>
          <w:sz w:val="20"/>
          <w:lang w:val="fr-CA"/>
        </w:rPr>
      </w:pPr>
      <w:r w:rsidRPr="00716359">
        <w:rPr>
          <w:sz w:val="20"/>
          <w:lang w:val="fr-CA"/>
        </w:rPr>
        <w:t xml:space="preserve">Présents : La juge en chef </w:t>
      </w:r>
      <w:proofErr w:type="spellStart"/>
      <w:r w:rsidRPr="00716359">
        <w:rPr>
          <w:sz w:val="20"/>
          <w:lang w:val="fr-CA"/>
        </w:rPr>
        <w:t>McLachlin</w:t>
      </w:r>
      <w:proofErr w:type="spellEnd"/>
      <w:r w:rsidRPr="00716359">
        <w:rPr>
          <w:sz w:val="20"/>
          <w:lang w:val="fr-CA"/>
        </w:rPr>
        <w:t xml:space="preserve"> et les juges </w:t>
      </w:r>
      <w:proofErr w:type="spellStart"/>
      <w:r w:rsidRPr="00716359">
        <w:rPr>
          <w:sz w:val="20"/>
          <w:lang w:val="fr-CA"/>
        </w:rPr>
        <w:t>LeBel</w:t>
      </w:r>
      <w:proofErr w:type="spellEnd"/>
      <w:r w:rsidRPr="00716359">
        <w:rPr>
          <w:sz w:val="20"/>
          <w:lang w:val="fr-CA"/>
        </w:rPr>
        <w:t xml:space="preserve">, Deschamps, Fish, Abella, </w:t>
      </w:r>
      <w:proofErr w:type="spellStart"/>
      <w:r w:rsidRPr="00716359">
        <w:rPr>
          <w:sz w:val="20"/>
          <w:lang w:val="fr-CA"/>
        </w:rPr>
        <w:t>Rothstein</w:t>
      </w:r>
      <w:proofErr w:type="spellEnd"/>
      <w:r w:rsidRPr="00716359">
        <w:rPr>
          <w:sz w:val="20"/>
          <w:lang w:val="fr-CA"/>
        </w:rPr>
        <w:t xml:space="preserve">, Cromwell, </w:t>
      </w:r>
      <w:proofErr w:type="spellStart"/>
      <w:r w:rsidRPr="00716359">
        <w:rPr>
          <w:sz w:val="20"/>
          <w:lang w:val="fr-CA"/>
        </w:rPr>
        <w:t>Moldaver</w:t>
      </w:r>
      <w:proofErr w:type="spellEnd"/>
      <w:r w:rsidRPr="00716359">
        <w:rPr>
          <w:sz w:val="20"/>
          <w:lang w:val="fr-CA"/>
        </w:rPr>
        <w:t xml:space="preserve"> et </w:t>
      </w:r>
      <w:proofErr w:type="spellStart"/>
      <w:r w:rsidRPr="00716359">
        <w:rPr>
          <w:sz w:val="20"/>
          <w:lang w:val="fr-CA"/>
        </w:rPr>
        <w:t>Karakatsanis</w:t>
      </w:r>
      <w:proofErr w:type="spellEnd"/>
      <w:r w:rsidRPr="00716359">
        <w:rPr>
          <w:sz w:val="20"/>
          <w:lang w:val="fr-CA"/>
        </w:rPr>
        <w:t>.</w:t>
      </w:r>
    </w:p>
    <w:p w:rsidR="00716359" w:rsidRPr="00716359" w:rsidRDefault="00716359" w:rsidP="00716359">
      <w:pPr>
        <w:pStyle w:val="SCCLowerCourtNameLowercase"/>
        <w:spacing w:line="240" w:lineRule="auto"/>
        <w:rPr>
          <w:sz w:val="20"/>
          <w:lang w:val="fr-CA"/>
        </w:rPr>
      </w:pPr>
    </w:p>
    <w:p w:rsidR="00716359" w:rsidRPr="00716359" w:rsidRDefault="00716359" w:rsidP="00716359">
      <w:pPr>
        <w:pStyle w:val="SCCNormalDoubleSpacing"/>
        <w:spacing w:line="240" w:lineRule="auto"/>
        <w:rPr>
          <w:i/>
          <w:sz w:val="20"/>
          <w:lang w:val="fr-CA"/>
        </w:rPr>
      </w:pPr>
      <w:r w:rsidRPr="00716359">
        <w:rPr>
          <w:sz w:val="20"/>
          <w:lang w:val="fr-CA"/>
        </w:rPr>
        <w:tab/>
      </w:r>
      <w:r w:rsidRPr="00716359">
        <w:rPr>
          <w:i/>
          <w:sz w:val="20"/>
          <w:lang w:val="fr-CA"/>
        </w:rPr>
        <w:t xml:space="preserve">Droit des communications — Radiodiffusion — Internet — Fournisseurs de services Internet permettant aux utilisateurs finaux d’avoir accès à la radiodiffusion grâce à Internet — Ces fournisseurs </w:t>
      </w:r>
      <w:proofErr w:type="spellStart"/>
      <w:r w:rsidRPr="00716359">
        <w:rPr>
          <w:i/>
          <w:sz w:val="20"/>
          <w:lang w:val="fr-CA"/>
        </w:rPr>
        <w:t>sont</w:t>
      </w:r>
      <w:r w:rsidRPr="00716359">
        <w:rPr>
          <w:i/>
          <w:sz w:val="20"/>
          <w:lang w:val="fr-CA"/>
        </w:rPr>
        <w:noBreakHyphen/>
        <w:t>ils</w:t>
      </w:r>
      <w:proofErr w:type="spellEnd"/>
      <w:r w:rsidRPr="00716359">
        <w:rPr>
          <w:i/>
          <w:sz w:val="20"/>
          <w:lang w:val="fr-CA"/>
        </w:rPr>
        <w:t xml:space="preserve"> des radiodiffuseurs lorsqu’ils permettent ainsi cet accès? — Loi sur la radiodiffusion, L.C. 1991, ch. 11, art. 2, 3.</w:t>
      </w:r>
    </w:p>
    <w:p w:rsidR="00716359" w:rsidRPr="00716359" w:rsidRDefault="00716359" w:rsidP="00716359">
      <w:pPr>
        <w:pStyle w:val="SCCNormalDoubleSpacing"/>
        <w:spacing w:line="240" w:lineRule="auto"/>
        <w:rPr>
          <w:sz w:val="20"/>
          <w:lang w:val="fr-CA"/>
        </w:rPr>
      </w:pPr>
    </w:p>
    <w:p w:rsidR="00716359" w:rsidRPr="00716359" w:rsidRDefault="00716359" w:rsidP="00716359">
      <w:pPr>
        <w:pStyle w:val="SCCNormalDoubleSpacing"/>
        <w:spacing w:line="240" w:lineRule="auto"/>
        <w:rPr>
          <w:sz w:val="20"/>
          <w:lang w:val="fr-CA"/>
        </w:rPr>
      </w:pPr>
      <w:r w:rsidRPr="00716359">
        <w:rPr>
          <w:sz w:val="20"/>
          <w:lang w:val="fr-CA"/>
        </w:rPr>
        <w:tab/>
        <w:t xml:space="preserve">Le Conseil de la radiodiffusion et des télécommunications canadiennes a saisi la Cour d’appel fédérale d’un renvoi sur la question de savoir si les fournisseurs de services Internet (« FSI ») de détail exploitent, en tout ou en partie, des « entreprises de radiodiffusion » assujetties à la </w:t>
      </w:r>
      <w:r w:rsidRPr="00716359">
        <w:rPr>
          <w:i/>
          <w:iCs/>
          <w:sz w:val="20"/>
          <w:lang w:val="fr-CA"/>
        </w:rPr>
        <w:t>Loi sur la radiodiffusion</w:t>
      </w:r>
      <w:r w:rsidRPr="00716359">
        <w:rPr>
          <w:iCs/>
          <w:sz w:val="20"/>
          <w:lang w:val="fr-CA"/>
        </w:rPr>
        <w:t xml:space="preserve"> </w:t>
      </w:r>
      <w:r w:rsidRPr="00716359">
        <w:rPr>
          <w:sz w:val="20"/>
          <w:lang w:val="fr-CA"/>
        </w:rPr>
        <w:t>lorsque, conformément à leur rôle comme FSI, ils fournissent l’accès par Internet à la « radiodiffusion » demandée par les utilisateurs finaux. La cour a statué que ce n’est pas le cas.</w:t>
      </w:r>
    </w:p>
    <w:p w:rsidR="00716359" w:rsidRPr="00716359" w:rsidRDefault="00716359" w:rsidP="00716359">
      <w:pPr>
        <w:pStyle w:val="SCCNormalDoubleSpacing"/>
        <w:spacing w:line="240" w:lineRule="auto"/>
        <w:rPr>
          <w:sz w:val="20"/>
          <w:lang w:val="fr-CA"/>
        </w:rPr>
      </w:pPr>
    </w:p>
    <w:p w:rsidR="00716359" w:rsidRPr="00716359" w:rsidRDefault="00716359" w:rsidP="00716359">
      <w:pPr>
        <w:pStyle w:val="SCCNormalDoubleSpacing"/>
        <w:spacing w:line="240" w:lineRule="auto"/>
        <w:rPr>
          <w:sz w:val="20"/>
          <w:lang w:val="fr-CA"/>
        </w:rPr>
      </w:pPr>
      <w:r w:rsidRPr="00716359">
        <w:rPr>
          <w:sz w:val="20"/>
          <w:lang w:val="fr-CA"/>
        </w:rPr>
        <w:tab/>
      </w:r>
      <w:r w:rsidRPr="00716359">
        <w:rPr>
          <w:i/>
          <w:sz w:val="20"/>
          <w:lang w:val="fr-CA"/>
        </w:rPr>
        <w:t>Arrêt</w:t>
      </w:r>
      <w:r w:rsidRPr="00716359">
        <w:rPr>
          <w:sz w:val="20"/>
          <w:lang w:val="fr-CA"/>
        </w:rPr>
        <w:t> : Le pourvoi est rejeté.</w:t>
      </w:r>
    </w:p>
    <w:p w:rsidR="00716359" w:rsidRPr="00716359" w:rsidRDefault="00716359" w:rsidP="00716359">
      <w:pPr>
        <w:pStyle w:val="SCCNormalDoubleSpacing"/>
        <w:spacing w:line="240" w:lineRule="auto"/>
        <w:rPr>
          <w:sz w:val="20"/>
          <w:lang w:val="fr-CA"/>
        </w:rPr>
      </w:pPr>
    </w:p>
    <w:p w:rsidR="00716359" w:rsidRPr="00716359" w:rsidRDefault="00716359" w:rsidP="00716359">
      <w:pPr>
        <w:pStyle w:val="SCCNormalDoubleSpacing"/>
        <w:spacing w:line="240" w:lineRule="auto"/>
        <w:rPr>
          <w:sz w:val="20"/>
          <w:lang w:val="fr-CA"/>
        </w:rPr>
      </w:pPr>
      <w:r w:rsidRPr="00716359">
        <w:rPr>
          <w:sz w:val="20"/>
          <w:lang w:val="fr-CA"/>
        </w:rPr>
        <w:tab/>
        <w:t xml:space="preserve">Eu égard au contexte du libellé de la </w:t>
      </w:r>
      <w:r w:rsidRPr="00716359">
        <w:rPr>
          <w:i/>
          <w:sz w:val="20"/>
          <w:lang w:val="fr-CA"/>
        </w:rPr>
        <w:t>Loi sur la radiodiffusion</w:t>
      </w:r>
      <w:r w:rsidRPr="00716359">
        <w:rPr>
          <w:sz w:val="20"/>
          <w:lang w:val="fr-CA"/>
        </w:rPr>
        <w:t xml:space="preserve"> et vu l’objet de </w:t>
      </w:r>
      <w:proofErr w:type="spellStart"/>
      <w:r w:rsidRPr="00716359">
        <w:rPr>
          <w:sz w:val="20"/>
          <w:lang w:val="fr-CA"/>
        </w:rPr>
        <w:t>celle</w:t>
      </w:r>
      <w:r w:rsidRPr="00716359">
        <w:rPr>
          <w:sz w:val="20"/>
          <w:lang w:val="fr-CA"/>
        </w:rPr>
        <w:noBreakHyphen/>
        <w:t>ci</w:t>
      </w:r>
      <w:proofErr w:type="spellEnd"/>
      <w:r w:rsidRPr="00716359">
        <w:rPr>
          <w:sz w:val="20"/>
          <w:lang w:val="fr-CA"/>
        </w:rPr>
        <w:t xml:space="preserve">, les termes « radiodiffusion » et « entreprise de radiodiffusion » ne sont pas censés assujettir l’entité qui ne fournit que le moyen de transmission.  Il appert clairement de </w:t>
      </w:r>
      <w:r w:rsidRPr="00716359">
        <w:rPr>
          <w:i/>
          <w:sz w:val="20"/>
          <w:lang w:val="fr-CA"/>
        </w:rPr>
        <w:t>Loi sur la radiodiffusion</w:t>
      </w:r>
      <w:r w:rsidRPr="00716359">
        <w:rPr>
          <w:sz w:val="20"/>
          <w:lang w:val="fr-CA"/>
        </w:rPr>
        <w:t xml:space="preserve"> que les « entreprises de radiodiffusion » peuvent jusqu’à un certain point décider du contenu de leurs émissions.  Les objectifs énoncés au par. 3(1) de la Loi s’attachent au contenu.  Lorsque le FSI fournit l’accès à Internet, ce qui constitue sa seule fonction visée par la question soumise dans le renvoi, il ne participe aucunement à la sélection et à la création de contenu et à sa mise à disposition sous forme de forfaits.  Le terme « entreprise de radiodiffusion » ne vise pas l’entité qui ne joue aucun rôle dans la réalisation des objectifs de la politique énoncée dans la </w:t>
      </w:r>
      <w:r w:rsidRPr="00716359">
        <w:rPr>
          <w:i/>
          <w:sz w:val="20"/>
          <w:lang w:val="fr-CA"/>
        </w:rPr>
        <w:t>Loi sur radiodiffusion</w:t>
      </w:r>
      <w:r w:rsidRPr="00716359">
        <w:rPr>
          <w:sz w:val="20"/>
          <w:lang w:val="fr-CA"/>
        </w:rPr>
        <w:t xml:space="preserve">.  Les FSI n’exploitent donc pas d’« entreprises de radiodiffusion » assujetties à </w:t>
      </w:r>
      <w:r w:rsidRPr="00716359">
        <w:rPr>
          <w:rFonts w:eastAsiaTheme="minorHAnsi"/>
          <w:sz w:val="20"/>
          <w:lang w:val="fr-CA"/>
        </w:rPr>
        <w:t xml:space="preserve">la </w:t>
      </w:r>
      <w:r w:rsidRPr="00716359">
        <w:rPr>
          <w:i/>
          <w:sz w:val="20"/>
          <w:lang w:val="fr-CA"/>
        </w:rPr>
        <w:t>Loi sur la radiodiffusion</w:t>
      </w:r>
      <w:r w:rsidRPr="00716359">
        <w:rPr>
          <w:sz w:val="20"/>
          <w:lang w:val="fr-CA"/>
        </w:rPr>
        <w:t xml:space="preserve"> lorsqu’ils fournissent l’accès par Internet à la « radiodiffusion » demandée par les utilisateurs finaux.</w:t>
      </w:r>
    </w:p>
    <w:p w:rsidR="00716359" w:rsidRPr="00716359" w:rsidRDefault="00716359" w:rsidP="00716359">
      <w:pPr>
        <w:pStyle w:val="SCCNormalDoubleSpacing"/>
        <w:spacing w:line="240" w:lineRule="auto"/>
        <w:rPr>
          <w:sz w:val="20"/>
          <w:lang w:val="fr-CA"/>
        </w:rPr>
      </w:pPr>
    </w:p>
    <w:p w:rsidR="00716359" w:rsidRPr="00716359" w:rsidRDefault="00716359" w:rsidP="00716359">
      <w:pPr>
        <w:pStyle w:val="SCCNormalDoubleSpacing"/>
        <w:spacing w:line="240" w:lineRule="auto"/>
        <w:rPr>
          <w:sz w:val="20"/>
          <w:lang w:val="fr-CA"/>
        </w:rPr>
      </w:pPr>
      <w:r w:rsidRPr="00716359">
        <w:rPr>
          <w:sz w:val="20"/>
          <w:lang w:val="fr-CA"/>
        </w:rPr>
        <w:tab/>
        <w:t>POURVOI contre un arrêt de la Cour d’appel fédérale (les juges Noël, Nadon et Dawson), 2010 CAF 178, 322 D.L.R. (4th) 337,404 N.R. 305, [2010] A.C.F. n</w:t>
      </w:r>
      <w:r w:rsidRPr="00716359">
        <w:rPr>
          <w:sz w:val="20"/>
          <w:vertAlign w:val="superscript"/>
          <w:lang w:val="fr-CA"/>
        </w:rPr>
        <w:t>o</w:t>
      </w:r>
      <w:r w:rsidRPr="00716359">
        <w:rPr>
          <w:sz w:val="20"/>
          <w:lang w:val="fr-CA"/>
        </w:rPr>
        <w:t xml:space="preserve"> 849 (QL), 2010 </w:t>
      </w:r>
      <w:proofErr w:type="spellStart"/>
      <w:r w:rsidRPr="00716359">
        <w:rPr>
          <w:sz w:val="20"/>
          <w:lang w:val="fr-CA"/>
        </w:rPr>
        <w:t>CarswellNat</w:t>
      </w:r>
      <w:proofErr w:type="spellEnd"/>
      <w:r w:rsidRPr="00716359">
        <w:rPr>
          <w:sz w:val="20"/>
          <w:lang w:val="fr-CA"/>
        </w:rPr>
        <w:t xml:space="preserve"> 3295, dans l’affaire d’un renvoi par le Conseil de la radiodiffusion et des télécommunications canadiennes relativement à la </w:t>
      </w:r>
      <w:r w:rsidRPr="00716359">
        <w:rPr>
          <w:i/>
          <w:sz w:val="20"/>
          <w:lang w:val="fr-CA"/>
        </w:rPr>
        <w:t>Loi sur la radiodiffusion</w:t>
      </w:r>
      <w:r w:rsidRPr="00716359">
        <w:rPr>
          <w:sz w:val="20"/>
          <w:lang w:val="fr-CA"/>
        </w:rPr>
        <w:t>. Pourvoi rejeté.</w:t>
      </w:r>
    </w:p>
    <w:p w:rsidR="00716359" w:rsidRPr="00716359" w:rsidRDefault="00716359" w:rsidP="00716359">
      <w:pPr>
        <w:pStyle w:val="SCCNormalDoubleSpacing"/>
        <w:spacing w:line="240" w:lineRule="auto"/>
        <w:rPr>
          <w:i/>
          <w:sz w:val="20"/>
          <w:lang w:val="fr-CA"/>
        </w:rPr>
      </w:pPr>
    </w:p>
    <w:p w:rsidR="00716359" w:rsidRPr="00716359" w:rsidRDefault="00716359" w:rsidP="00716359">
      <w:pPr>
        <w:pStyle w:val="SCCNormalDoubleSpacing"/>
        <w:spacing w:line="240" w:lineRule="auto"/>
        <w:rPr>
          <w:sz w:val="20"/>
          <w:lang w:val="fr-CA"/>
        </w:rPr>
      </w:pPr>
      <w:r w:rsidRPr="00716359">
        <w:rPr>
          <w:i/>
          <w:sz w:val="20"/>
          <w:lang w:val="fr-CA"/>
        </w:rPr>
        <w:tab/>
        <w:t xml:space="preserve">Thomas G. </w:t>
      </w:r>
      <w:proofErr w:type="spellStart"/>
      <w:r w:rsidRPr="00716359">
        <w:rPr>
          <w:i/>
          <w:sz w:val="20"/>
          <w:lang w:val="fr-CA"/>
        </w:rPr>
        <w:t>Heintzman</w:t>
      </w:r>
      <w:proofErr w:type="spellEnd"/>
      <w:r w:rsidRPr="00716359">
        <w:rPr>
          <w:i/>
          <w:sz w:val="20"/>
          <w:lang w:val="fr-CA"/>
        </w:rPr>
        <w:t>, c.r.,</w:t>
      </w:r>
      <w:r w:rsidRPr="00716359">
        <w:rPr>
          <w:sz w:val="20"/>
          <w:lang w:val="fr-CA"/>
        </w:rPr>
        <w:t xml:space="preserve"> et </w:t>
      </w:r>
      <w:r w:rsidRPr="00716359">
        <w:rPr>
          <w:i/>
          <w:sz w:val="20"/>
          <w:lang w:val="fr-CA"/>
        </w:rPr>
        <w:t xml:space="preserve">Bram </w:t>
      </w:r>
      <w:proofErr w:type="spellStart"/>
      <w:r w:rsidRPr="00716359">
        <w:rPr>
          <w:i/>
          <w:sz w:val="20"/>
          <w:lang w:val="fr-CA"/>
        </w:rPr>
        <w:t>Abramson</w:t>
      </w:r>
      <w:proofErr w:type="spellEnd"/>
      <w:r w:rsidRPr="00716359">
        <w:rPr>
          <w:sz w:val="20"/>
          <w:lang w:val="fr-CA"/>
        </w:rPr>
        <w:t>, pour les appelantes.</w:t>
      </w:r>
    </w:p>
    <w:p w:rsidR="00716359" w:rsidRPr="00716359" w:rsidRDefault="00716359" w:rsidP="00716359">
      <w:pPr>
        <w:pStyle w:val="SCCNormalDoubleSpacing"/>
        <w:spacing w:line="240" w:lineRule="auto"/>
        <w:rPr>
          <w:i/>
          <w:sz w:val="20"/>
          <w:lang w:val="fr-CA"/>
        </w:rPr>
      </w:pPr>
    </w:p>
    <w:p w:rsidR="00716359" w:rsidRDefault="00716359" w:rsidP="00716359">
      <w:pPr>
        <w:pStyle w:val="SCCNormalDoubleSpacing"/>
        <w:spacing w:line="240" w:lineRule="auto"/>
        <w:rPr>
          <w:sz w:val="20"/>
          <w:lang w:val="fr-CA"/>
        </w:rPr>
      </w:pPr>
      <w:r w:rsidRPr="00716359">
        <w:rPr>
          <w:i/>
          <w:sz w:val="20"/>
          <w:lang w:val="fr-CA"/>
        </w:rPr>
        <w:tab/>
        <w:t xml:space="preserve">John B. </w:t>
      </w:r>
      <w:proofErr w:type="spellStart"/>
      <w:r w:rsidRPr="00716359">
        <w:rPr>
          <w:i/>
          <w:sz w:val="20"/>
          <w:lang w:val="fr-CA"/>
        </w:rPr>
        <w:t>Laskin</w:t>
      </w:r>
      <w:proofErr w:type="spellEnd"/>
      <w:r w:rsidRPr="00716359">
        <w:rPr>
          <w:sz w:val="20"/>
          <w:lang w:val="fr-CA"/>
        </w:rPr>
        <w:t xml:space="preserve">, </w:t>
      </w:r>
      <w:proofErr w:type="spellStart"/>
      <w:r w:rsidRPr="00716359">
        <w:rPr>
          <w:i/>
          <w:sz w:val="20"/>
          <w:lang w:val="fr-CA"/>
        </w:rPr>
        <w:t>Yousuf</w:t>
      </w:r>
      <w:proofErr w:type="spellEnd"/>
      <w:r w:rsidRPr="00716359">
        <w:rPr>
          <w:i/>
          <w:sz w:val="20"/>
          <w:lang w:val="fr-CA"/>
        </w:rPr>
        <w:t xml:space="preserve"> </w:t>
      </w:r>
      <w:proofErr w:type="spellStart"/>
      <w:r w:rsidRPr="00716359">
        <w:rPr>
          <w:i/>
          <w:sz w:val="20"/>
          <w:lang w:val="fr-CA"/>
        </w:rPr>
        <w:t>Aftab</w:t>
      </w:r>
      <w:proofErr w:type="spellEnd"/>
      <w:r w:rsidRPr="00716359">
        <w:rPr>
          <w:sz w:val="20"/>
          <w:lang w:val="fr-CA"/>
        </w:rPr>
        <w:t xml:space="preserve"> et </w:t>
      </w:r>
      <w:r w:rsidRPr="00716359">
        <w:rPr>
          <w:i/>
          <w:sz w:val="20"/>
          <w:lang w:val="fr-CA"/>
        </w:rPr>
        <w:t>Nicole Mantini</w:t>
      </w:r>
      <w:r w:rsidRPr="00716359">
        <w:rPr>
          <w:sz w:val="20"/>
          <w:lang w:val="fr-CA"/>
        </w:rPr>
        <w:t xml:space="preserve">, pour les intimées Bell </w:t>
      </w:r>
      <w:proofErr w:type="spellStart"/>
      <w:r w:rsidRPr="00716359">
        <w:rPr>
          <w:sz w:val="20"/>
          <w:lang w:val="fr-CA"/>
        </w:rPr>
        <w:t>Aliant</w:t>
      </w:r>
      <w:proofErr w:type="spellEnd"/>
      <w:r w:rsidRPr="00716359">
        <w:rPr>
          <w:sz w:val="20"/>
          <w:lang w:val="fr-CA"/>
        </w:rPr>
        <w:t xml:space="preserve"> Communications </w:t>
      </w:r>
    </w:p>
    <w:p w:rsidR="00716359" w:rsidRPr="00716359" w:rsidRDefault="00716359" w:rsidP="00716359">
      <w:pPr>
        <w:pStyle w:val="SCCNormalDoubleSpacing"/>
        <w:spacing w:line="240" w:lineRule="auto"/>
        <w:rPr>
          <w:sz w:val="20"/>
          <w:lang w:val="fr-CA"/>
        </w:rPr>
      </w:pPr>
      <w:proofErr w:type="gramStart"/>
      <w:r w:rsidRPr="00716359">
        <w:rPr>
          <w:sz w:val="20"/>
          <w:lang w:val="fr-CA"/>
        </w:rPr>
        <w:t>régionales</w:t>
      </w:r>
      <w:proofErr w:type="gramEnd"/>
      <w:r w:rsidRPr="00716359">
        <w:rPr>
          <w:sz w:val="20"/>
          <w:lang w:val="fr-CA"/>
        </w:rPr>
        <w:t xml:space="preserve"> et</w:t>
      </w:r>
      <w:r>
        <w:rPr>
          <w:sz w:val="20"/>
          <w:lang w:val="fr-CA"/>
        </w:rPr>
        <w:t> </w:t>
      </w:r>
      <w:r w:rsidRPr="00716359">
        <w:rPr>
          <w:sz w:val="20"/>
          <w:lang w:val="fr-CA"/>
        </w:rPr>
        <w:t>autres.</w:t>
      </w:r>
    </w:p>
    <w:p w:rsidR="00716359" w:rsidRPr="00716359" w:rsidRDefault="00716359" w:rsidP="00716359">
      <w:pPr>
        <w:pStyle w:val="SCCNormalDoubleSpacing"/>
        <w:spacing w:line="240" w:lineRule="auto"/>
        <w:rPr>
          <w:i/>
          <w:sz w:val="20"/>
          <w:lang w:val="fr-CA"/>
        </w:rPr>
      </w:pPr>
    </w:p>
    <w:p w:rsidR="00716359" w:rsidRPr="00716359" w:rsidRDefault="00716359" w:rsidP="00716359">
      <w:pPr>
        <w:pStyle w:val="SCCNormalDoubleSpacing"/>
        <w:spacing w:line="240" w:lineRule="auto"/>
        <w:rPr>
          <w:sz w:val="20"/>
          <w:lang w:val="fr-CA"/>
        </w:rPr>
      </w:pPr>
      <w:r w:rsidRPr="00716359">
        <w:rPr>
          <w:i/>
          <w:sz w:val="20"/>
          <w:lang w:val="fr-CA"/>
        </w:rPr>
        <w:tab/>
        <w:t xml:space="preserve">Nicholas </w:t>
      </w:r>
      <w:proofErr w:type="spellStart"/>
      <w:r w:rsidRPr="00716359">
        <w:rPr>
          <w:i/>
          <w:sz w:val="20"/>
          <w:lang w:val="fr-CA"/>
        </w:rPr>
        <w:t>McHaffie</w:t>
      </w:r>
      <w:proofErr w:type="spellEnd"/>
      <w:r w:rsidRPr="00716359">
        <w:rPr>
          <w:sz w:val="20"/>
          <w:lang w:val="fr-CA"/>
        </w:rPr>
        <w:t xml:space="preserve"> et </w:t>
      </w:r>
      <w:r w:rsidRPr="00716359">
        <w:rPr>
          <w:i/>
          <w:sz w:val="20"/>
          <w:lang w:val="fr-CA"/>
        </w:rPr>
        <w:t>Dean Shaikh</w:t>
      </w:r>
      <w:r w:rsidRPr="00716359">
        <w:rPr>
          <w:sz w:val="20"/>
          <w:lang w:val="fr-CA"/>
        </w:rPr>
        <w:t>, pour l'intimée Shaw Communications Inc.</w:t>
      </w:r>
    </w:p>
    <w:p w:rsidR="00716359" w:rsidRPr="00716359" w:rsidRDefault="00716359" w:rsidP="00716359">
      <w:pPr>
        <w:pStyle w:val="SCCNormalDoubleSpacing"/>
        <w:spacing w:line="240" w:lineRule="auto"/>
        <w:rPr>
          <w:i/>
          <w:sz w:val="20"/>
          <w:lang w:val="fr-CA"/>
        </w:rPr>
      </w:pPr>
    </w:p>
    <w:p w:rsidR="00716359" w:rsidRPr="00716359" w:rsidRDefault="00716359" w:rsidP="00716359">
      <w:pPr>
        <w:pStyle w:val="SCCNormalDoubleSpacing"/>
        <w:spacing w:line="240" w:lineRule="auto"/>
        <w:rPr>
          <w:sz w:val="20"/>
          <w:lang w:val="fr-CA"/>
        </w:rPr>
      </w:pPr>
      <w:r w:rsidRPr="00716359">
        <w:rPr>
          <w:i/>
          <w:sz w:val="20"/>
          <w:lang w:val="fr-CA"/>
        </w:rPr>
        <w:tab/>
        <w:t>Personne n’a comparu pour l’intervenant</w:t>
      </w:r>
      <w:r w:rsidRPr="00716359">
        <w:rPr>
          <w:sz w:val="20"/>
          <w:lang w:val="fr-CA"/>
        </w:rPr>
        <w:t>.</w:t>
      </w:r>
    </w:p>
    <w:p w:rsidR="00716359" w:rsidRPr="00716359" w:rsidRDefault="00716359" w:rsidP="00716359">
      <w:pPr>
        <w:pStyle w:val="SCCLawFirm"/>
        <w:spacing w:line="240" w:lineRule="auto"/>
        <w:rPr>
          <w:sz w:val="20"/>
          <w:lang w:val="fr-CA"/>
        </w:rPr>
      </w:pPr>
    </w:p>
    <w:p w:rsidR="00716359" w:rsidRPr="00716359" w:rsidRDefault="00716359" w:rsidP="00716359">
      <w:pPr>
        <w:pStyle w:val="SCCLawFirm"/>
        <w:spacing w:line="240" w:lineRule="auto"/>
        <w:rPr>
          <w:sz w:val="20"/>
          <w:lang w:val="fr-CA"/>
        </w:rPr>
      </w:pPr>
      <w:r w:rsidRPr="00716359">
        <w:rPr>
          <w:sz w:val="20"/>
          <w:lang w:val="fr-CA"/>
        </w:rPr>
        <w:tab/>
        <w:t xml:space="preserve">Procureurs des appelantes : McCarthy </w:t>
      </w:r>
      <w:proofErr w:type="spellStart"/>
      <w:r w:rsidRPr="00716359">
        <w:rPr>
          <w:sz w:val="20"/>
          <w:lang w:val="fr-CA"/>
        </w:rPr>
        <w:t>Tétrault</w:t>
      </w:r>
      <w:proofErr w:type="spellEnd"/>
      <w:r w:rsidRPr="00716359">
        <w:rPr>
          <w:sz w:val="20"/>
          <w:lang w:val="fr-CA"/>
        </w:rPr>
        <w:t>, Toronto.</w:t>
      </w:r>
    </w:p>
    <w:p w:rsidR="00716359" w:rsidRPr="00716359" w:rsidRDefault="00716359" w:rsidP="00716359">
      <w:pPr>
        <w:pStyle w:val="SCCLawFirm"/>
        <w:spacing w:line="240" w:lineRule="auto"/>
        <w:rPr>
          <w:sz w:val="20"/>
          <w:lang w:val="fr-CA"/>
        </w:rPr>
      </w:pPr>
    </w:p>
    <w:p w:rsidR="00716359" w:rsidRPr="00716359" w:rsidRDefault="00716359" w:rsidP="00716359">
      <w:pPr>
        <w:pStyle w:val="SCCLawFirm"/>
        <w:spacing w:line="240" w:lineRule="auto"/>
        <w:rPr>
          <w:sz w:val="20"/>
          <w:lang w:val="fr-CA"/>
        </w:rPr>
      </w:pPr>
      <w:r w:rsidRPr="00716359">
        <w:rPr>
          <w:sz w:val="20"/>
          <w:lang w:val="fr-CA"/>
        </w:rPr>
        <w:tab/>
        <w:t xml:space="preserve">Procureurs des intimées Bell </w:t>
      </w:r>
      <w:proofErr w:type="spellStart"/>
      <w:r w:rsidRPr="00716359">
        <w:rPr>
          <w:sz w:val="20"/>
          <w:lang w:val="fr-CA"/>
        </w:rPr>
        <w:t>Aliant</w:t>
      </w:r>
      <w:proofErr w:type="spellEnd"/>
      <w:r w:rsidRPr="00716359">
        <w:rPr>
          <w:sz w:val="20"/>
          <w:lang w:val="fr-CA"/>
        </w:rPr>
        <w:t xml:space="preserve"> Communications régionales et autres : Torys, Toronto.</w:t>
      </w:r>
    </w:p>
    <w:p w:rsidR="00716359" w:rsidRPr="00716359" w:rsidRDefault="00716359" w:rsidP="00716359">
      <w:pPr>
        <w:pStyle w:val="SCCLawFirm"/>
        <w:spacing w:line="240" w:lineRule="auto"/>
        <w:rPr>
          <w:sz w:val="20"/>
          <w:lang w:val="fr-CA"/>
        </w:rPr>
      </w:pPr>
    </w:p>
    <w:p w:rsidR="00716359" w:rsidRPr="00716359" w:rsidRDefault="00716359" w:rsidP="00716359">
      <w:pPr>
        <w:pStyle w:val="SCCLawFirm"/>
        <w:spacing w:line="240" w:lineRule="auto"/>
        <w:rPr>
          <w:sz w:val="20"/>
          <w:lang w:val="fr-CA"/>
        </w:rPr>
      </w:pPr>
      <w:r w:rsidRPr="00716359">
        <w:rPr>
          <w:sz w:val="20"/>
          <w:lang w:val="fr-CA"/>
        </w:rPr>
        <w:tab/>
        <w:t>Procureurs de l’intimée Shaw Communications Inc. : </w:t>
      </w:r>
      <w:proofErr w:type="spellStart"/>
      <w:r w:rsidRPr="00716359">
        <w:rPr>
          <w:sz w:val="20"/>
          <w:lang w:val="fr-CA"/>
        </w:rPr>
        <w:t>Stikeman</w:t>
      </w:r>
      <w:proofErr w:type="spellEnd"/>
      <w:r w:rsidRPr="00716359">
        <w:rPr>
          <w:sz w:val="20"/>
          <w:lang w:val="fr-CA"/>
        </w:rPr>
        <w:t xml:space="preserve"> Elliott, Ottawa.</w:t>
      </w:r>
    </w:p>
    <w:p w:rsidR="003B3977" w:rsidRDefault="003B3977" w:rsidP="005C6840">
      <w:pPr>
        <w:rPr>
          <w:rFonts w:cs="Times New Roman"/>
          <w:sz w:val="20"/>
          <w:szCs w:val="20"/>
          <w:lang w:val="fr-CA"/>
        </w:rPr>
      </w:pPr>
    </w:p>
    <w:p w:rsidR="003B3977" w:rsidRDefault="00FD28BB" w:rsidP="00716359">
      <w:pPr>
        <w:rPr>
          <w:sz w:val="20"/>
          <w:szCs w:val="20"/>
        </w:rPr>
      </w:pPr>
      <w:r w:rsidRPr="00FD28BB">
        <w:rPr>
          <w:rFonts w:cs="Times New Roman"/>
          <w:sz w:val="20"/>
          <w:szCs w:val="20"/>
          <w:lang w:val="fr-CA"/>
        </w:rPr>
        <w:pict>
          <v:rect id="_x0000_i1083" style="width:144.3pt;height:1pt" o:hrpct="300" o:hralign="center" o:hrstd="t" o:hrnoshade="t" o:hr="t" fillcolor="black [3213]" stroked="f"/>
        </w:pict>
      </w:r>
    </w:p>
    <w:p w:rsidR="00A22BFB" w:rsidRDefault="00A22BFB">
      <w:pPr>
        <w:rPr>
          <w:sz w:val="20"/>
          <w:szCs w:val="20"/>
        </w:rPr>
      </w:pPr>
      <w:r>
        <w:rPr>
          <w:sz w:val="20"/>
          <w:szCs w:val="20"/>
        </w:rPr>
        <w:br w:type="page"/>
      </w:r>
    </w:p>
    <w:p w:rsidR="005A0560" w:rsidRPr="00EE7E07" w:rsidRDefault="005A0560" w:rsidP="005A0560">
      <w:pPr>
        <w:rPr>
          <w:sz w:val="20"/>
          <w:szCs w:val="20"/>
        </w:rPr>
      </w:pPr>
      <w:r w:rsidRPr="00CB678B">
        <w:rPr>
          <w:i/>
          <w:sz w:val="20"/>
          <w:szCs w:val="20"/>
        </w:rPr>
        <w:t>Her Majesty the Queen v. D.A.I.</w:t>
      </w:r>
      <w:r w:rsidRPr="00CB678B">
        <w:rPr>
          <w:sz w:val="20"/>
          <w:szCs w:val="20"/>
        </w:rPr>
        <w:t xml:space="preserve"> (Ont.) </w:t>
      </w:r>
      <w:r w:rsidRPr="00EE7E07">
        <w:rPr>
          <w:sz w:val="20"/>
          <w:szCs w:val="20"/>
        </w:rPr>
        <w:t>(33657)</w:t>
      </w:r>
    </w:p>
    <w:p w:rsidR="00EE7E07" w:rsidRPr="00C03629" w:rsidRDefault="00EE7E07" w:rsidP="00EE7E07">
      <w:pPr>
        <w:jc w:val="both"/>
        <w:rPr>
          <w:b/>
          <w:sz w:val="20"/>
          <w:szCs w:val="20"/>
        </w:rPr>
      </w:pPr>
      <w:r w:rsidRPr="00991F96">
        <w:rPr>
          <w:b/>
          <w:sz w:val="20"/>
          <w:szCs w:val="20"/>
        </w:rPr>
        <w:t xml:space="preserve">Indexed as: R. </w:t>
      </w:r>
      <w:r w:rsidRPr="00991F96">
        <w:rPr>
          <w:b/>
          <w:i/>
          <w:sz w:val="20"/>
          <w:szCs w:val="20"/>
        </w:rPr>
        <w:t>v.</w:t>
      </w:r>
      <w:r w:rsidRPr="00991F96">
        <w:rPr>
          <w:b/>
          <w:sz w:val="20"/>
          <w:szCs w:val="20"/>
        </w:rPr>
        <w:t xml:space="preserve"> D.A.I.</w:t>
      </w:r>
      <w:r>
        <w:rPr>
          <w:b/>
          <w:sz w:val="20"/>
          <w:szCs w:val="20"/>
        </w:rPr>
        <w:t xml:space="preserve"> / </w:t>
      </w:r>
      <w:proofErr w:type="spellStart"/>
      <w:proofErr w:type="gramStart"/>
      <w:r w:rsidRPr="00C03629">
        <w:rPr>
          <w:b/>
          <w:sz w:val="20"/>
          <w:szCs w:val="20"/>
        </w:rPr>
        <w:t>Répertorié</w:t>
      </w:r>
      <w:proofErr w:type="spellEnd"/>
      <w:r w:rsidRPr="00C03629">
        <w:rPr>
          <w:b/>
          <w:sz w:val="20"/>
          <w:szCs w:val="20"/>
        </w:rPr>
        <w:t> :</w:t>
      </w:r>
      <w:proofErr w:type="gramEnd"/>
      <w:r w:rsidRPr="00C03629">
        <w:rPr>
          <w:b/>
          <w:sz w:val="20"/>
          <w:szCs w:val="20"/>
        </w:rPr>
        <w:t xml:space="preserve"> R. </w:t>
      </w:r>
      <w:r w:rsidRPr="00C03629">
        <w:rPr>
          <w:b/>
          <w:i/>
          <w:sz w:val="20"/>
          <w:szCs w:val="20"/>
        </w:rPr>
        <w:t>c.</w:t>
      </w:r>
      <w:r w:rsidRPr="00C03629">
        <w:rPr>
          <w:b/>
          <w:sz w:val="20"/>
          <w:szCs w:val="20"/>
        </w:rPr>
        <w:t xml:space="preserve"> D.A.I.</w:t>
      </w:r>
    </w:p>
    <w:p w:rsidR="00A22BFB" w:rsidRPr="003B3977" w:rsidRDefault="00A22BFB" w:rsidP="00A22BFB">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5A0560">
        <w:rPr>
          <w:sz w:val="20"/>
        </w:rPr>
        <w:t>2</w:t>
      </w:r>
      <w:proofErr w:type="gramEnd"/>
      <w:r w:rsidRPr="003B3977">
        <w:rPr>
          <w:sz w:val="20"/>
        </w:rPr>
        <w:t xml:space="preserve"> SCC </w:t>
      </w:r>
      <w:r>
        <w:rPr>
          <w:sz w:val="20"/>
        </w:rPr>
        <w:t>5</w:t>
      </w:r>
      <w:r w:rsidRPr="003B3977">
        <w:rPr>
          <w:sz w:val="20"/>
        </w:rPr>
        <w:t xml:space="preserve"> / Référence neutre : 201</w:t>
      </w:r>
      <w:r w:rsidR="005A0560">
        <w:rPr>
          <w:sz w:val="20"/>
        </w:rPr>
        <w:t>2</w:t>
      </w:r>
      <w:r w:rsidRPr="003B3977">
        <w:rPr>
          <w:sz w:val="20"/>
        </w:rPr>
        <w:t xml:space="preserve"> CSC </w:t>
      </w:r>
      <w:r>
        <w:rPr>
          <w:sz w:val="20"/>
        </w:rPr>
        <w:t>5</w:t>
      </w:r>
    </w:p>
    <w:p w:rsidR="00A22BFB" w:rsidRPr="003B3977" w:rsidRDefault="00A22BFB" w:rsidP="00A22BFB">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r w:rsidR="00EE7E07">
        <w:rPr>
          <w:rFonts w:cs="Times New Roman"/>
          <w:sz w:val="20"/>
          <w:szCs w:val="20"/>
          <w:lang w:val="fr-CA"/>
        </w:rPr>
        <w:t>M</w:t>
      </w:r>
      <w:r>
        <w:rPr>
          <w:rFonts w:cs="Times New Roman"/>
          <w:sz w:val="20"/>
          <w:szCs w:val="20"/>
          <w:lang w:val="fr-CA"/>
        </w:rPr>
        <w:t>ay</w:t>
      </w:r>
      <w:proofErr w:type="gramEnd"/>
      <w:r w:rsidRPr="003B3977">
        <w:rPr>
          <w:rFonts w:cs="Times New Roman"/>
          <w:sz w:val="20"/>
          <w:szCs w:val="20"/>
          <w:lang w:val="fr-CA"/>
        </w:rPr>
        <w:t xml:space="preserve"> </w:t>
      </w:r>
      <w:r>
        <w:rPr>
          <w:rFonts w:cs="Times New Roman"/>
          <w:sz w:val="20"/>
          <w:szCs w:val="20"/>
          <w:lang w:val="fr-CA"/>
        </w:rPr>
        <w:t>1</w:t>
      </w:r>
      <w:r w:rsidR="00EE7E07">
        <w:rPr>
          <w:rFonts w:cs="Times New Roman"/>
          <w:sz w:val="20"/>
          <w:szCs w:val="20"/>
          <w:lang w:val="fr-CA"/>
        </w:rPr>
        <w:t>7</w:t>
      </w:r>
      <w:r w:rsidRPr="003B3977">
        <w:rPr>
          <w:rFonts w:cs="Times New Roman"/>
          <w:sz w:val="20"/>
          <w:szCs w:val="20"/>
          <w:lang w:val="fr-CA"/>
        </w:rPr>
        <w:t>, 201</w:t>
      </w:r>
      <w:r w:rsidR="00EE7E07">
        <w:rPr>
          <w:rFonts w:cs="Times New Roman"/>
          <w:sz w:val="20"/>
          <w:szCs w:val="20"/>
          <w:lang w:val="fr-CA"/>
        </w:rPr>
        <w:t>1</w:t>
      </w:r>
      <w:r w:rsidRPr="003B3977">
        <w:rPr>
          <w:rFonts w:cs="Times New Roman"/>
          <w:sz w:val="20"/>
          <w:szCs w:val="20"/>
          <w:lang w:val="fr-CA"/>
        </w:rPr>
        <w:t xml:space="preserve">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proofErr w:type="spellStart"/>
      <w:r>
        <w:rPr>
          <w:rFonts w:cs="Times New Roman"/>
          <w:sz w:val="20"/>
          <w:szCs w:val="20"/>
          <w:lang w:val="fr-CA"/>
        </w:rPr>
        <w:t>February</w:t>
      </w:r>
      <w:proofErr w:type="spellEnd"/>
      <w:r>
        <w:rPr>
          <w:rFonts w:cs="Times New Roman"/>
          <w:sz w:val="20"/>
          <w:szCs w:val="20"/>
          <w:lang w:val="fr-CA"/>
        </w:rPr>
        <w:t xml:space="preserve"> 10</w:t>
      </w:r>
      <w:r w:rsidRPr="003B3977">
        <w:rPr>
          <w:rFonts w:cs="Times New Roman"/>
          <w:sz w:val="20"/>
          <w:szCs w:val="20"/>
          <w:lang w:val="fr-CA"/>
        </w:rPr>
        <w:t>, 201</w:t>
      </w:r>
      <w:r>
        <w:rPr>
          <w:rFonts w:cs="Times New Roman"/>
          <w:sz w:val="20"/>
          <w:szCs w:val="20"/>
          <w:lang w:val="fr-CA"/>
        </w:rPr>
        <w:t>2</w:t>
      </w:r>
    </w:p>
    <w:p w:rsidR="00A22BFB" w:rsidRPr="003B3977" w:rsidRDefault="00A22BFB" w:rsidP="00A22BFB">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w:t>
      </w:r>
      <w:r w:rsidR="00EE7E07">
        <w:rPr>
          <w:rFonts w:cs="Times New Roman"/>
          <w:sz w:val="20"/>
          <w:szCs w:val="20"/>
          <w:lang w:val="fr-CA"/>
        </w:rPr>
        <w:t>7 m</w:t>
      </w:r>
      <w:r>
        <w:rPr>
          <w:rFonts w:cs="Times New Roman"/>
          <w:sz w:val="20"/>
          <w:szCs w:val="20"/>
          <w:lang w:val="fr-CA"/>
        </w:rPr>
        <w:t>ai</w:t>
      </w:r>
      <w:r w:rsidRPr="003B3977">
        <w:rPr>
          <w:rFonts w:cs="Times New Roman"/>
          <w:sz w:val="20"/>
          <w:szCs w:val="20"/>
          <w:lang w:val="fr-CA"/>
        </w:rPr>
        <w:t xml:space="preserve"> 201</w:t>
      </w:r>
      <w:r w:rsidR="00EE7E07">
        <w:rPr>
          <w:rFonts w:cs="Times New Roman"/>
          <w:sz w:val="20"/>
          <w:szCs w:val="20"/>
          <w:lang w:val="fr-CA"/>
        </w:rPr>
        <w:t>1</w:t>
      </w:r>
      <w:r w:rsidRPr="003B3977">
        <w:rPr>
          <w:rFonts w:cs="Times New Roman"/>
          <w:sz w:val="20"/>
          <w:szCs w:val="20"/>
          <w:lang w:val="fr-CA"/>
        </w:rPr>
        <w:t xml:space="preserve"> / Jugement : Le </w:t>
      </w:r>
      <w:r>
        <w:rPr>
          <w:rFonts w:cs="Times New Roman"/>
          <w:sz w:val="20"/>
          <w:szCs w:val="20"/>
          <w:lang w:val="fr-CA"/>
        </w:rPr>
        <w:t>10 février</w:t>
      </w:r>
      <w:r w:rsidRPr="003B3977">
        <w:rPr>
          <w:rFonts w:cs="Times New Roman"/>
          <w:sz w:val="20"/>
          <w:szCs w:val="20"/>
          <w:lang w:val="fr-CA"/>
        </w:rPr>
        <w:t xml:space="preserve"> 201</w:t>
      </w:r>
      <w:r>
        <w:rPr>
          <w:rFonts w:cs="Times New Roman"/>
          <w:sz w:val="20"/>
          <w:szCs w:val="20"/>
          <w:lang w:val="fr-CA"/>
        </w:rPr>
        <w:t>2</w:t>
      </w:r>
    </w:p>
    <w:p w:rsidR="00A22BFB" w:rsidRPr="003B3977" w:rsidRDefault="00FD28BB" w:rsidP="00A22BFB">
      <w:pPr>
        <w:rPr>
          <w:rFonts w:cs="Times New Roman"/>
          <w:sz w:val="20"/>
          <w:szCs w:val="20"/>
          <w:lang w:val="fr-CA"/>
        </w:rPr>
      </w:pPr>
      <w:r w:rsidRPr="00FD28BB">
        <w:rPr>
          <w:rFonts w:cs="Times New Roman"/>
          <w:i/>
          <w:sz w:val="20"/>
          <w:szCs w:val="20"/>
        </w:rPr>
        <w:pict>
          <v:rect id="_x0000_i1084" style="width:480.95pt;height:1pt" o:hralign="center" o:hrstd="t" o:hrnoshade="t" o:hr="t" fillcolor="black [3213]" stroked="f"/>
        </w:pict>
      </w:r>
    </w:p>
    <w:p w:rsidR="00A22BFB" w:rsidRDefault="00A22BFB" w:rsidP="00A22BFB">
      <w:pPr>
        <w:rPr>
          <w:rFonts w:cs="Times New Roman"/>
          <w:sz w:val="20"/>
          <w:szCs w:val="20"/>
          <w:lang w:val="fr-CA"/>
        </w:rPr>
      </w:pPr>
    </w:p>
    <w:p w:rsidR="00EE7E07" w:rsidRPr="00991F96" w:rsidRDefault="00EE7E07" w:rsidP="00EE7E07">
      <w:pPr>
        <w:jc w:val="both"/>
        <w:rPr>
          <w:sz w:val="20"/>
          <w:szCs w:val="20"/>
        </w:rPr>
      </w:pPr>
      <w:r w:rsidRPr="00991F96">
        <w:rPr>
          <w:sz w:val="20"/>
          <w:szCs w:val="20"/>
        </w:rPr>
        <w:t>Present:  </w:t>
      </w:r>
      <w:proofErr w:type="spellStart"/>
      <w:r w:rsidRPr="00991F96">
        <w:rPr>
          <w:sz w:val="20"/>
          <w:szCs w:val="20"/>
        </w:rPr>
        <w:t>McLachlin</w:t>
      </w:r>
      <w:proofErr w:type="spellEnd"/>
      <w:r w:rsidRPr="00991F96">
        <w:rPr>
          <w:sz w:val="20"/>
          <w:szCs w:val="20"/>
        </w:rPr>
        <w:t xml:space="preserve"> C.J. and </w:t>
      </w:r>
      <w:proofErr w:type="spellStart"/>
      <w:r w:rsidRPr="00991F96">
        <w:rPr>
          <w:sz w:val="20"/>
          <w:szCs w:val="20"/>
        </w:rPr>
        <w:t>Binnie</w:t>
      </w:r>
      <w:proofErr w:type="spellEnd"/>
      <w:r w:rsidRPr="00991F96">
        <w:rPr>
          <w:sz w:val="20"/>
          <w:szCs w:val="20"/>
        </w:rPr>
        <w:t xml:space="preserve">, </w:t>
      </w:r>
      <w:proofErr w:type="spellStart"/>
      <w:r w:rsidRPr="00991F96">
        <w:rPr>
          <w:sz w:val="20"/>
          <w:szCs w:val="20"/>
        </w:rPr>
        <w:t>LeBel</w:t>
      </w:r>
      <w:proofErr w:type="spellEnd"/>
      <w:r w:rsidRPr="00991F96">
        <w:rPr>
          <w:sz w:val="20"/>
          <w:szCs w:val="20"/>
        </w:rPr>
        <w:t xml:space="preserve">, </w:t>
      </w:r>
      <w:proofErr w:type="spellStart"/>
      <w:r w:rsidRPr="00991F96">
        <w:rPr>
          <w:sz w:val="20"/>
          <w:szCs w:val="20"/>
        </w:rPr>
        <w:t>Deschamps</w:t>
      </w:r>
      <w:proofErr w:type="spellEnd"/>
      <w:r w:rsidRPr="00991F96">
        <w:rPr>
          <w:sz w:val="20"/>
          <w:szCs w:val="20"/>
        </w:rPr>
        <w:t xml:space="preserve">, Fish, </w:t>
      </w:r>
      <w:proofErr w:type="spellStart"/>
      <w:r w:rsidRPr="00991F96">
        <w:rPr>
          <w:sz w:val="20"/>
          <w:szCs w:val="20"/>
        </w:rPr>
        <w:t>Abella</w:t>
      </w:r>
      <w:proofErr w:type="spellEnd"/>
      <w:r w:rsidRPr="00991F96">
        <w:rPr>
          <w:sz w:val="20"/>
          <w:szCs w:val="20"/>
        </w:rPr>
        <w:t xml:space="preserve">, </w:t>
      </w:r>
      <w:proofErr w:type="spellStart"/>
      <w:r w:rsidRPr="00991F96">
        <w:rPr>
          <w:sz w:val="20"/>
          <w:szCs w:val="20"/>
        </w:rPr>
        <w:t>Charron</w:t>
      </w:r>
      <w:proofErr w:type="spellEnd"/>
      <w:r w:rsidRPr="00991F96">
        <w:rPr>
          <w:sz w:val="20"/>
          <w:szCs w:val="20"/>
        </w:rPr>
        <w:t>, Rothstein and Cromwell JJ.</w:t>
      </w:r>
    </w:p>
    <w:p w:rsidR="00EE7E07" w:rsidRDefault="00EE7E07" w:rsidP="00EE7E07">
      <w:pPr>
        <w:pStyle w:val="SCCLowerCourtNameLowercase"/>
        <w:spacing w:line="240" w:lineRule="auto"/>
        <w:jc w:val="left"/>
        <w:rPr>
          <w:sz w:val="20"/>
        </w:rPr>
      </w:pPr>
    </w:p>
    <w:p w:rsidR="00EE7E07" w:rsidRDefault="00EE7E07" w:rsidP="00EE7E07">
      <w:pPr>
        <w:pStyle w:val="SCCNormalDoubleSpacing"/>
        <w:spacing w:line="240" w:lineRule="auto"/>
        <w:rPr>
          <w:i/>
          <w:sz w:val="20"/>
        </w:rPr>
      </w:pPr>
      <w:r w:rsidRPr="00991F96">
        <w:rPr>
          <w:i/>
          <w:sz w:val="20"/>
        </w:rPr>
        <w:tab/>
        <w:t xml:space="preserve">Criminal law — Evidence — Testimonial competence — Adults with mental disabilities — Whether adult witnesses with mental disabilities must demonstrate understanding of nature of obligation to tell truth in order to be deemed competent to testify — Whether finding of testimonial competence without demonstration of understanding of obligation to tell truth breaches </w:t>
      </w:r>
      <w:proofErr w:type="spellStart"/>
      <w:r w:rsidRPr="00991F96">
        <w:rPr>
          <w:i/>
          <w:sz w:val="20"/>
        </w:rPr>
        <w:t>accused’s</w:t>
      </w:r>
      <w:proofErr w:type="spellEnd"/>
      <w:r w:rsidRPr="00991F96">
        <w:rPr>
          <w:i/>
          <w:sz w:val="20"/>
        </w:rPr>
        <w:t xml:space="preserve"> right to fair trial — Canada Evidence Act, R.S.C. 1985, c. C</w:t>
      </w:r>
      <w:r w:rsidRPr="00991F96">
        <w:rPr>
          <w:i/>
          <w:sz w:val="20"/>
        </w:rPr>
        <w:noBreakHyphen/>
        <w:t>5, s. 16.</w:t>
      </w:r>
    </w:p>
    <w:p w:rsidR="00EE7E07" w:rsidRPr="00991F96" w:rsidRDefault="00EE7E07" w:rsidP="00EE7E07">
      <w:pPr>
        <w:pStyle w:val="SCCNormalDoubleSpacing"/>
        <w:spacing w:line="240" w:lineRule="auto"/>
        <w:rPr>
          <w:i/>
          <w:sz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The Crown alleges that the complainant, a 23</w:t>
      </w:r>
      <w:r w:rsidRPr="00991F96">
        <w:rPr>
          <w:rFonts w:cs="Times New Roman"/>
          <w:sz w:val="20"/>
          <w:szCs w:val="20"/>
        </w:rPr>
        <w:noBreakHyphen/>
        <w:t>year</w:t>
      </w:r>
      <w:r w:rsidRPr="00991F96">
        <w:rPr>
          <w:rFonts w:cs="Times New Roman"/>
          <w:sz w:val="20"/>
          <w:szCs w:val="20"/>
        </w:rPr>
        <w:noBreakHyphen/>
        <w:t>old woman with the mental age of a three</w:t>
      </w:r>
      <w:r w:rsidRPr="00991F96">
        <w:rPr>
          <w:rFonts w:cs="Times New Roman"/>
          <w:sz w:val="20"/>
          <w:szCs w:val="20"/>
        </w:rPr>
        <w:noBreakHyphen/>
        <w:t xml:space="preserve"> to </w:t>
      </w:r>
      <w:proofErr w:type="spellStart"/>
      <w:r w:rsidRPr="00991F96">
        <w:rPr>
          <w:rFonts w:cs="Times New Roman"/>
          <w:sz w:val="20"/>
          <w:szCs w:val="20"/>
        </w:rPr>
        <w:t>six</w:t>
      </w:r>
      <w:r w:rsidRPr="00991F96">
        <w:rPr>
          <w:rFonts w:cs="Times New Roman"/>
          <w:sz w:val="20"/>
          <w:szCs w:val="20"/>
        </w:rPr>
        <w:noBreakHyphen/>
        <w:t>year</w:t>
      </w:r>
      <w:r w:rsidRPr="00991F96">
        <w:rPr>
          <w:rFonts w:cs="Times New Roman"/>
          <w:sz w:val="20"/>
          <w:szCs w:val="20"/>
        </w:rPr>
        <w:noBreakHyphen/>
        <w:t>old</w:t>
      </w:r>
      <w:proofErr w:type="spellEnd"/>
      <w:r w:rsidRPr="00991F96">
        <w:rPr>
          <w:rFonts w:cs="Times New Roman"/>
          <w:sz w:val="20"/>
          <w:szCs w:val="20"/>
        </w:rPr>
        <w:t xml:space="preserve">, was repeatedly sexually assaulted by her mother’s partner during the four years that he lived in the home.  It sought to call the complainant to testify about the alleged assaults.  After a </w:t>
      </w:r>
      <w:proofErr w:type="spellStart"/>
      <w:r w:rsidRPr="00991F96">
        <w:rPr>
          <w:rFonts w:cs="Times New Roman"/>
          <w:i/>
          <w:sz w:val="20"/>
          <w:szCs w:val="20"/>
        </w:rPr>
        <w:t>voir</w:t>
      </w:r>
      <w:proofErr w:type="spellEnd"/>
      <w:r w:rsidRPr="00991F96">
        <w:rPr>
          <w:rFonts w:cs="Times New Roman"/>
          <w:i/>
          <w:sz w:val="20"/>
          <w:szCs w:val="20"/>
        </w:rPr>
        <w:t xml:space="preserve"> dire</w:t>
      </w:r>
      <w:r w:rsidRPr="00991F96">
        <w:rPr>
          <w:rFonts w:cs="Times New Roman"/>
          <w:sz w:val="20"/>
          <w:szCs w:val="20"/>
        </w:rPr>
        <w:t xml:space="preserve"> to determine the complainant’s capacity to testify, the trial judge found that she had failed to show that she understood the duty to speak the truth.  In a separate </w:t>
      </w:r>
      <w:proofErr w:type="spellStart"/>
      <w:r w:rsidRPr="00991F96">
        <w:rPr>
          <w:rFonts w:cs="Times New Roman"/>
          <w:i/>
          <w:sz w:val="20"/>
          <w:szCs w:val="20"/>
        </w:rPr>
        <w:t>voir</w:t>
      </w:r>
      <w:proofErr w:type="spellEnd"/>
      <w:r w:rsidRPr="00991F96">
        <w:rPr>
          <w:rFonts w:cs="Times New Roman"/>
          <w:i/>
          <w:sz w:val="20"/>
          <w:szCs w:val="20"/>
        </w:rPr>
        <w:t xml:space="preserve"> dire</w:t>
      </w:r>
      <w:r w:rsidRPr="00991F96">
        <w:rPr>
          <w:rFonts w:cs="Times New Roman"/>
          <w:sz w:val="20"/>
          <w:szCs w:val="20"/>
        </w:rPr>
        <w:t xml:space="preserve">, the trial judge also excluded </w:t>
      </w:r>
      <w:proofErr w:type="spellStart"/>
      <w:r w:rsidRPr="00991F96">
        <w:rPr>
          <w:rFonts w:cs="Times New Roman"/>
          <w:sz w:val="20"/>
          <w:szCs w:val="20"/>
        </w:rPr>
        <w:t>out</w:t>
      </w:r>
      <w:r w:rsidRPr="00991F96">
        <w:rPr>
          <w:rFonts w:cs="Times New Roman"/>
          <w:sz w:val="20"/>
          <w:szCs w:val="20"/>
        </w:rPr>
        <w:noBreakHyphen/>
        <w:t>of</w:t>
      </w:r>
      <w:r w:rsidRPr="00991F96">
        <w:rPr>
          <w:rFonts w:cs="Times New Roman"/>
          <w:sz w:val="20"/>
          <w:szCs w:val="20"/>
        </w:rPr>
        <w:noBreakHyphen/>
        <w:t>court</w:t>
      </w:r>
      <w:proofErr w:type="spellEnd"/>
      <w:r w:rsidRPr="00991F96">
        <w:rPr>
          <w:rFonts w:cs="Times New Roman"/>
          <w:sz w:val="20"/>
          <w:szCs w:val="20"/>
        </w:rPr>
        <w:t xml:space="preserve"> statements made by the complainant to the police and her teacher on the grounds that the statements were unreliable and would compromise the </w:t>
      </w:r>
      <w:proofErr w:type="spellStart"/>
      <w:r w:rsidRPr="00991F96">
        <w:rPr>
          <w:rFonts w:cs="Times New Roman"/>
          <w:sz w:val="20"/>
          <w:szCs w:val="20"/>
        </w:rPr>
        <w:t>accused’s</w:t>
      </w:r>
      <w:proofErr w:type="spellEnd"/>
      <w:r w:rsidRPr="00991F96">
        <w:rPr>
          <w:rFonts w:cs="Times New Roman"/>
          <w:sz w:val="20"/>
          <w:szCs w:val="20"/>
        </w:rPr>
        <w:t xml:space="preserve"> right to a fair trial.  While the remainder of the evidence raised some serious suspicions about the </w:t>
      </w:r>
      <w:proofErr w:type="spellStart"/>
      <w:r w:rsidRPr="00991F96">
        <w:rPr>
          <w:rFonts w:cs="Times New Roman"/>
          <w:sz w:val="20"/>
          <w:szCs w:val="20"/>
        </w:rPr>
        <w:t>accused’s</w:t>
      </w:r>
      <w:proofErr w:type="spellEnd"/>
      <w:r w:rsidRPr="00991F96">
        <w:rPr>
          <w:rFonts w:cs="Times New Roman"/>
          <w:sz w:val="20"/>
          <w:szCs w:val="20"/>
        </w:rPr>
        <w:t xml:space="preserve"> conduct, the case collapsed and the accused was acquitted.  The Ontario Court of Appeal affirmed this result.</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i/>
          <w:sz w:val="20"/>
          <w:szCs w:val="20"/>
        </w:rPr>
      </w:pPr>
      <w:r w:rsidRPr="00991F96">
        <w:rPr>
          <w:rFonts w:cs="Times New Roman"/>
          <w:sz w:val="20"/>
          <w:szCs w:val="20"/>
        </w:rPr>
        <w:tab/>
      </w:r>
      <w:r w:rsidRPr="00991F96">
        <w:rPr>
          <w:rFonts w:cs="Times New Roman"/>
          <w:i/>
          <w:sz w:val="20"/>
          <w:szCs w:val="20"/>
        </w:rPr>
        <w:t xml:space="preserve">Held </w:t>
      </w:r>
      <w:r w:rsidRPr="00991F96">
        <w:rPr>
          <w:rFonts w:cs="Times New Roman"/>
          <w:sz w:val="20"/>
          <w:szCs w:val="20"/>
        </w:rPr>
        <w:t>(</w:t>
      </w:r>
      <w:proofErr w:type="spellStart"/>
      <w:r w:rsidRPr="00991F96">
        <w:rPr>
          <w:rFonts w:cs="Times New Roman"/>
          <w:sz w:val="20"/>
          <w:szCs w:val="20"/>
        </w:rPr>
        <w:t>Binnie</w:t>
      </w:r>
      <w:proofErr w:type="spellEnd"/>
      <w:r w:rsidRPr="00991F96">
        <w:rPr>
          <w:rFonts w:cs="Times New Roman"/>
          <w:sz w:val="20"/>
          <w:szCs w:val="20"/>
        </w:rPr>
        <w:t xml:space="preserve">, </w:t>
      </w:r>
      <w:proofErr w:type="spellStart"/>
      <w:r w:rsidRPr="00991F96">
        <w:rPr>
          <w:rFonts w:cs="Times New Roman"/>
          <w:sz w:val="20"/>
          <w:szCs w:val="20"/>
        </w:rPr>
        <w:t>LeBel</w:t>
      </w:r>
      <w:proofErr w:type="spellEnd"/>
      <w:r w:rsidRPr="00991F96">
        <w:rPr>
          <w:rFonts w:cs="Times New Roman"/>
          <w:sz w:val="20"/>
          <w:szCs w:val="20"/>
        </w:rPr>
        <w:t xml:space="preserve"> and Fish JJ. </w:t>
      </w:r>
      <w:proofErr w:type="gramStart"/>
      <w:r w:rsidRPr="00991F96">
        <w:rPr>
          <w:rFonts w:cs="Times New Roman"/>
          <w:sz w:val="20"/>
          <w:szCs w:val="20"/>
        </w:rPr>
        <w:t>dissenting)</w:t>
      </w:r>
      <w:proofErr w:type="gramEnd"/>
      <w:r w:rsidRPr="00991F96">
        <w:rPr>
          <w:rFonts w:cs="Times New Roman"/>
          <w:sz w:val="20"/>
          <w:szCs w:val="20"/>
        </w:rPr>
        <w:t>:  The appeal should be allowed, the acquittal set aside and a new trial ordered.</w:t>
      </w:r>
    </w:p>
    <w:p w:rsidR="00EE7E07" w:rsidRDefault="00EE7E07" w:rsidP="00EE7E07">
      <w:pPr>
        <w:rPr>
          <w:i/>
          <w:sz w:val="20"/>
        </w:rPr>
      </w:pPr>
    </w:p>
    <w:p w:rsidR="00EE7E07" w:rsidRPr="00991F96" w:rsidRDefault="00EE7E07" w:rsidP="00EE7E07">
      <w:pPr>
        <w:rPr>
          <w:sz w:val="20"/>
          <w:szCs w:val="20"/>
        </w:rPr>
      </w:pPr>
      <w:r>
        <w:rPr>
          <w:i/>
          <w:sz w:val="20"/>
          <w:szCs w:val="20"/>
        </w:rPr>
        <w:tab/>
      </w:r>
      <w:r w:rsidRPr="00991F96">
        <w:rPr>
          <w:i/>
          <w:sz w:val="20"/>
          <w:szCs w:val="20"/>
        </w:rPr>
        <w:t>Per</w:t>
      </w:r>
      <w:r w:rsidRPr="00991F96">
        <w:rPr>
          <w:sz w:val="20"/>
          <w:szCs w:val="20"/>
        </w:rPr>
        <w:t xml:space="preserve"> </w:t>
      </w:r>
      <w:proofErr w:type="spellStart"/>
      <w:r w:rsidRPr="00991F96">
        <w:rPr>
          <w:b/>
          <w:sz w:val="20"/>
          <w:szCs w:val="20"/>
        </w:rPr>
        <w:t>McLachlin</w:t>
      </w:r>
      <w:proofErr w:type="spellEnd"/>
      <w:r w:rsidRPr="00991F96">
        <w:rPr>
          <w:b/>
          <w:sz w:val="20"/>
          <w:szCs w:val="20"/>
        </w:rPr>
        <w:t> C.J.</w:t>
      </w:r>
      <w:r w:rsidRPr="00991F96">
        <w:rPr>
          <w:sz w:val="20"/>
          <w:szCs w:val="20"/>
        </w:rPr>
        <w:t xml:space="preserve"> and </w:t>
      </w:r>
      <w:proofErr w:type="spellStart"/>
      <w:r w:rsidRPr="00991F96">
        <w:rPr>
          <w:sz w:val="20"/>
          <w:szCs w:val="20"/>
        </w:rPr>
        <w:t>Deschamps</w:t>
      </w:r>
      <w:proofErr w:type="spellEnd"/>
      <w:r w:rsidRPr="00991F96">
        <w:rPr>
          <w:sz w:val="20"/>
          <w:szCs w:val="20"/>
        </w:rPr>
        <w:t xml:space="preserve">, </w:t>
      </w:r>
      <w:proofErr w:type="spellStart"/>
      <w:r w:rsidRPr="00991F96">
        <w:rPr>
          <w:sz w:val="20"/>
          <w:szCs w:val="20"/>
        </w:rPr>
        <w:t>Abella</w:t>
      </w:r>
      <w:proofErr w:type="spellEnd"/>
      <w:r w:rsidRPr="00991F96">
        <w:rPr>
          <w:sz w:val="20"/>
          <w:szCs w:val="20"/>
        </w:rPr>
        <w:t xml:space="preserve">, </w:t>
      </w:r>
      <w:proofErr w:type="spellStart"/>
      <w:r w:rsidRPr="00991F96">
        <w:rPr>
          <w:sz w:val="20"/>
          <w:szCs w:val="20"/>
        </w:rPr>
        <w:t>Charron</w:t>
      </w:r>
      <w:proofErr w:type="spellEnd"/>
      <w:r w:rsidRPr="00991F96">
        <w:rPr>
          <w:sz w:val="20"/>
          <w:szCs w:val="20"/>
        </w:rPr>
        <w:t>, Rothstein and Cromwell </w:t>
      </w:r>
      <w:proofErr w:type="gramStart"/>
      <w:r w:rsidRPr="00991F96">
        <w:rPr>
          <w:sz w:val="20"/>
          <w:szCs w:val="20"/>
        </w:rPr>
        <w:t>JJ.:</w:t>
      </w:r>
      <w:proofErr w:type="gramEnd"/>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 xml:space="preserve">The question in issue is whether the trial judge correctly interpreted the requirements of s. 16 of the </w:t>
      </w:r>
      <w:r w:rsidRPr="00991F96">
        <w:rPr>
          <w:rFonts w:cs="Times New Roman"/>
          <w:i/>
          <w:sz w:val="20"/>
          <w:szCs w:val="20"/>
        </w:rPr>
        <w:t xml:space="preserve">Canada Evidence Act </w:t>
      </w:r>
      <w:r w:rsidRPr="00991F96">
        <w:rPr>
          <w:rFonts w:cs="Times New Roman"/>
          <w:sz w:val="20"/>
          <w:szCs w:val="20"/>
        </w:rPr>
        <w:t>for the testimonial competence of persons of 14 years of age or older (adults) with mental disabilities.  Section 16(3) imposes two requirements for the testimonial competence of an adult with mental disabilities:  (1) the ability to communicate the evidence; and (2) a promise to tell the truth.  It is unnecessary and indeed undesirable to conduct abstract inquiries into whether the witness understands the difference between truth and falsity, the obligation to give true evidence in court, and what makes a promise binding.  The plain words of s. 16(3) focus on the concrete acts of communicating and promising.  Judges should not add other elements to the dual requirements imposed by s. 16(3).  This approach does not transform the promise into an empty gesture.  Adults with mental disabilities may have a practical understanding of the difference between the truth and a lie and know they should tell the truth without being able to explain what telling the truth means in abstract terms.  When such a witness promises to tell the truth, the seriousness of the occasion and the need to say what really happened is reinforced.</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 xml:space="preserve">Insofar as the authorities suggest that s. 16(3) requires an abstract understanding of the obligation to tell the truth, they should be rejected.  That requirement was based on a version of s. 16 that explicitly required that the witness “understands the duty of speaking the truth”.  Although Parliament deleted that requirement in 1987, courts continued to require proof that child witnesses understood the duty to tell the truth.  Parliament responded by enacting s. 16.1(7), which expressly forbade such inquiries of child witnesses.  However, the existence of the s. 16.1(7) ban does not require us to infer that mentally disabled adults are to be questioned on the obligation to tell the truth.  First, because s. 16(3) only required a promise to tell the truth, Parliament had no need to ban such questioning of adult witnesses with mental disabilities.  Second, s. 16(3) required only a promise to tell the truth, so there was no need for Parliament to enact a similar provision with respect to s. 16(3).  Third, the enactment of s. 16.1(7) did not imply that the earlier judicial interpretation of s. 16(3) as it applied to children had been endorsed for adult witnesses.  </w:t>
      </w:r>
      <w:proofErr w:type="gramStart"/>
      <w:r w:rsidRPr="00991F96">
        <w:rPr>
          <w:rFonts w:cs="Times New Roman"/>
          <w:sz w:val="20"/>
          <w:szCs w:val="20"/>
        </w:rPr>
        <w:t xml:space="preserve">No inference as to the meaning of s. 16(3) flows from the mere adoption of s. 16.1(7) with respect to children, and the </w:t>
      </w:r>
      <w:proofErr w:type="spellStart"/>
      <w:r w:rsidRPr="00991F96">
        <w:rPr>
          <w:rFonts w:cs="Times New Roman"/>
          <w:sz w:val="20"/>
          <w:szCs w:val="20"/>
        </w:rPr>
        <w:t>re</w:t>
      </w:r>
      <w:r w:rsidRPr="00991F96">
        <w:rPr>
          <w:rFonts w:cs="Times New Roman"/>
          <w:sz w:val="20"/>
          <w:szCs w:val="20"/>
        </w:rPr>
        <w:noBreakHyphen/>
        <w:t>enactment</w:t>
      </w:r>
      <w:proofErr w:type="spellEnd"/>
      <w:r w:rsidRPr="00991F96">
        <w:rPr>
          <w:rFonts w:cs="Times New Roman"/>
          <w:sz w:val="20"/>
          <w:szCs w:val="20"/>
        </w:rPr>
        <w:t xml:space="preserve"> of s. 16(3) does not imply that Parliament accepted the judicial interpretation that prevailed at the time of the </w:t>
      </w:r>
      <w:proofErr w:type="spellStart"/>
      <w:r w:rsidRPr="00991F96">
        <w:rPr>
          <w:rFonts w:cs="Times New Roman"/>
          <w:sz w:val="20"/>
          <w:szCs w:val="20"/>
        </w:rPr>
        <w:t>re</w:t>
      </w:r>
      <w:r w:rsidRPr="00991F96">
        <w:rPr>
          <w:rFonts w:cs="Times New Roman"/>
          <w:sz w:val="20"/>
          <w:szCs w:val="20"/>
        </w:rPr>
        <w:noBreakHyphen/>
        <w:t>enactment</w:t>
      </w:r>
      <w:proofErr w:type="spellEnd"/>
      <w:r w:rsidRPr="00991F96">
        <w:rPr>
          <w:rFonts w:cs="Times New Roman"/>
          <w:sz w:val="20"/>
          <w:szCs w:val="20"/>
        </w:rPr>
        <w:t>.</w:t>
      </w:r>
      <w:proofErr w:type="gramEnd"/>
      <w:r w:rsidRPr="00991F96">
        <w:rPr>
          <w:rFonts w:cs="Times New Roman"/>
          <w:sz w:val="20"/>
          <w:szCs w:val="20"/>
        </w:rPr>
        <w:t xml:space="preserve">  Fourth, the fact that s. 16 does not have a provision equivalent to s. 16.1(7) does not mean that adult witnesses with mental disabilities must demonstrate an understanding of the nature of the duty to speak the truth — s. 16(3) sets two requirements for the competence of adults with mental disabilities, and nothing further need be imported.  Fifth, there is no need to prove that, unless it can be shown that adult witnesses with mental disabilities are the same as, or like, child witnesses, they must be subjected to an inquiry into their understanding of the nature of the obligation to tell the truth before they can be held competent to testify.</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r>
      <w:proofErr w:type="gramStart"/>
      <w:r w:rsidRPr="00991F96">
        <w:rPr>
          <w:rFonts w:cs="Times New Roman"/>
          <w:sz w:val="20"/>
          <w:szCs w:val="20"/>
        </w:rPr>
        <w:t>The underlying policy concerns — bringing the abusers to justice, ensuring fair trials and preventing wrongful convictions — also support allowing adults with mental disabilities to testify.</w:t>
      </w:r>
      <w:proofErr w:type="gramEnd"/>
      <w:r w:rsidRPr="00991F96">
        <w:rPr>
          <w:rFonts w:cs="Times New Roman"/>
          <w:sz w:val="20"/>
          <w:szCs w:val="20"/>
        </w:rPr>
        <w:t xml:space="preserve">  With respect to the first concern, rejecting the evidence of alleged victims on the ground that they cannot explain the nature of the obligation to tell the truth in philosophical terms would exclude reliable and relevant evidence, immunize an entire category of offenders from criminal responsibility for their acts, and further marginalize the already vulnerable victims of sexual predators.  With respect to the second, allowing an adult witness with mental disabilities to testify when the witness can communicate the evidence and promises to tell the truth does not render a trial unfair.  Generally, the reliability threshold is met by establishing that the witness has the capacity to understand and answer the questions put to her and by bringing home the need to tell the truth by securing an oath, affirmation or promise.  There is no guarantee that any witness will tell the truth — the trial process seeks a basic indication of reliability.  That, along with the rules governing admissibility and weight of the evidence work to ensure that a verdict of guilty is based on accurate and credible evidence and that the accused has a fair trial.</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 xml:space="preserve">When applying s. 16(3) in the context of the </w:t>
      </w:r>
      <w:r w:rsidRPr="00991F96">
        <w:rPr>
          <w:rFonts w:cs="Times New Roman"/>
          <w:i/>
          <w:sz w:val="20"/>
          <w:szCs w:val="20"/>
        </w:rPr>
        <w:t>Canada Evidence Act</w:t>
      </w:r>
      <w:r w:rsidRPr="00991F96">
        <w:rPr>
          <w:rFonts w:cs="Times New Roman"/>
          <w:sz w:val="20"/>
          <w:szCs w:val="20"/>
        </w:rPr>
        <w:t xml:space="preserve">, eight considerations are appropriate.  First, the </w:t>
      </w:r>
      <w:proofErr w:type="spellStart"/>
      <w:r w:rsidRPr="00991F96">
        <w:rPr>
          <w:rFonts w:cs="Times New Roman"/>
          <w:i/>
          <w:sz w:val="20"/>
          <w:szCs w:val="20"/>
        </w:rPr>
        <w:t>voir</w:t>
      </w:r>
      <w:proofErr w:type="spellEnd"/>
      <w:r w:rsidRPr="00991F96">
        <w:rPr>
          <w:rFonts w:cs="Times New Roman"/>
          <w:i/>
          <w:sz w:val="20"/>
          <w:szCs w:val="20"/>
        </w:rPr>
        <w:t xml:space="preserve"> dire </w:t>
      </w:r>
      <w:r w:rsidRPr="00991F96">
        <w:rPr>
          <w:rFonts w:cs="Times New Roman"/>
          <w:sz w:val="20"/>
          <w:szCs w:val="20"/>
        </w:rPr>
        <w:t xml:space="preserve">on the competence of a proposed witness is an independent inquiry: it may not be combined with a </w:t>
      </w:r>
      <w:proofErr w:type="spellStart"/>
      <w:r w:rsidRPr="00991F96">
        <w:rPr>
          <w:rFonts w:cs="Times New Roman"/>
          <w:i/>
          <w:sz w:val="20"/>
          <w:szCs w:val="20"/>
        </w:rPr>
        <w:t>voir</w:t>
      </w:r>
      <w:proofErr w:type="spellEnd"/>
      <w:r w:rsidRPr="00991F96">
        <w:rPr>
          <w:rFonts w:cs="Times New Roman"/>
          <w:i/>
          <w:sz w:val="20"/>
          <w:szCs w:val="20"/>
        </w:rPr>
        <w:t xml:space="preserve"> dire </w:t>
      </w:r>
      <w:r w:rsidRPr="00991F96">
        <w:rPr>
          <w:rFonts w:cs="Times New Roman"/>
          <w:sz w:val="20"/>
          <w:szCs w:val="20"/>
        </w:rPr>
        <w:t xml:space="preserve">on other issues.  Second, the </w:t>
      </w:r>
      <w:proofErr w:type="spellStart"/>
      <w:r w:rsidRPr="00991F96">
        <w:rPr>
          <w:rFonts w:cs="Times New Roman"/>
          <w:i/>
          <w:sz w:val="20"/>
          <w:szCs w:val="20"/>
        </w:rPr>
        <w:t>voir</w:t>
      </w:r>
      <w:proofErr w:type="spellEnd"/>
      <w:r w:rsidRPr="00991F96">
        <w:rPr>
          <w:rFonts w:cs="Times New Roman"/>
          <w:i/>
          <w:sz w:val="20"/>
          <w:szCs w:val="20"/>
        </w:rPr>
        <w:t xml:space="preserve"> dire </w:t>
      </w:r>
      <w:r w:rsidRPr="00991F96">
        <w:rPr>
          <w:rFonts w:cs="Times New Roman"/>
          <w:sz w:val="20"/>
          <w:szCs w:val="20"/>
        </w:rPr>
        <w:t xml:space="preserve">should be brief, but not hasty.  It is preferable to hear all available relevant evidence that can be reasonably considered before preventing a witness to testify.  Third, the primary source of evidence for a witness’s competence is the witness herself.  Her examination should be permitted.  Questioning an adult with mental disabilities requires consideration and accommodation for her particular needs; questions should be phrased patiently in a clear, simple manner.  Fourth, persons familiar with the proposed witness in her everyday situation understand her best.  They may be called as fact witnesses to provide evidence on her development.  Fifth, expert evidence may be adduced if it meets the criteria for admissibility, but preference should always be given to expert witnesses who have had personal and regular contact with the proposed witness.  Sixth, the trial judge must make two inquiries during the </w:t>
      </w:r>
      <w:proofErr w:type="spellStart"/>
      <w:r w:rsidRPr="00991F96">
        <w:rPr>
          <w:rFonts w:cs="Times New Roman"/>
          <w:i/>
          <w:sz w:val="20"/>
          <w:szCs w:val="20"/>
        </w:rPr>
        <w:t>voir</w:t>
      </w:r>
      <w:proofErr w:type="spellEnd"/>
      <w:r w:rsidRPr="00991F96">
        <w:rPr>
          <w:rFonts w:cs="Times New Roman"/>
          <w:i/>
          <w:sz w:val="20"/>
          <w:szCs w:val="20"/>
        </w:rPr>
        <w:t xml:space="preserve"> dire </w:t>
      </w:r>
      <w:r w:rsidRPr="00991F96">
        <w:rPr>
          <w:rFonts w:cs="Times New Roman"/>
          <w:sz w:val="20"/>
          <w:szCs w:val="20"/>
        </w:rPr>
        <w:t>on competence: (a) does the proposed witness understand the nature of an oath or affirmation, and (b) can she communicate the evidence?  Seventh, the second inquiry into the witness’s ability to communicate the evidence requires the trial judge to explore in a general way whether she can relate concrete events by understanding and responding to questions.  It may be useful to ask if she can differentiate between true and false everyday factual statements.  Finally, the witness testifies under oath or affirmation if she passes both parts of the test, and on promising to tell the truth if she passes the second part only.</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In the instant case, the trial judge erred in failing to consider the second part of the test under s. 16.  This error of law led him to rule the complainant incompetent.  This error cannot be rectified by comments made by the trial judge at other points in the trial or by the doctrine of deference.</w:t>
      </w:r>
    </w:p>
    <w:p w:rsidR="00215FFA" w:rsidRDefault="00215FFA" w:rsidP="00EE7E07">
      <w:pPr>
        <w:pStyle w:val="SCCNormalDoubleSpacing"/>
        <w:spacing w:line="240" w:lineRule="auto"/>
        <w:jc w:val="left"/>
        <w:rPr>
          <w:i/>
          <w:sz w:val="20"/>
        </w:rPr>
      </w:pPr>
    </w:p>
    <w:p w:rsidR="00EE7E07" w:rsidRDefault="00215FFA" w:rsidP="00EE7E07">
      <w:pPr>
        <w:pStyle w:val="SCCNormalDoubleSpacing"/>
        <w:spacing w:line="240" w:lineRule="auto"/>
        <w:jc w:val="left"/>
        <w:rPr>
          <w:sz w:val="20"/>
        </w:rPr>
      </w:pPr>
      <w:r>
        <w:rPr>
          <w:i/>
          <w:sz w:val="20"/>
        </w:rPr>
        <w:tab/>
      </w:r>
      <w:r w:rsidR="00EE7E07" w:rsidRPr="00991F96">
        <w:rPr>
          <w:i/>
          <w:sz w:val="20"/>
        </w:rPr>
        <w:t>Per</w:t>
      </w:r>
      <w:r w:rsidR="00EE7E07" w:rsidRPr="00991F96">
        <w:rPr>
          <w:sz w:val="20"/>
        </w:rPr>
        <w:t xml:space="preserve"> </w:t>
      </w:r>
      <w:proofErr w:type="spellStart"/>
      <w:r w:rsidR="00EE7E07" w:rsidRPr="00991F96">
        <w:rPr>
          <w:b/>
          <w:sz w:val="20"/>
        </w:rPr>
        <w:t>Binnie</w:t>
      </w:r>
      <w:proofErr w:type="spellEnd"/>
      <w:r w:rsidR="00EE7E07" w:rsidRPr="00991F96">
        <w:rPr>
          <w:sz w:val="20"/>
        </w:rPr>
        <w:t xml:space="preserve">, </w:t>
      </w:r>
      <w:proofErr w:type="spellStart"/>
      <w:r w:rsidR="00EE7E07" w:rsidRPr="00991F96">
        <w:rPr>
          <w:sz w:val="20"/>
        </w:rPr>
        <w:t>LeBel</w:t>
      </w:r>
      <w:proofErr w:type="spellEnd"/>
      <w:r w:rsidR="00EE7E07" w:rsidRPr="00991F96">
        <w:rPr>
          <w:sz w:val="20"/>
        </w:rPr>
        <w:t xml:space="preserve"> and Fish JJ. (</w:t>
      </w:r>
      <w:proofErr w:type="gramStart"/>
      <w:r w:rsidR="00EE7E07" w:rsidRPr="00991F96">
        <w:rPr>
          <w:sz w:val="20"/>
        </w:rPr>
        <w:t>dissenting</w:t>
      </w:r>
      <w:proofErr w:type="gramEnd"/>
      <w:r w:rsidR="00EE7E07" w:rsidRPr="00991F96">
        <w:rPr>
          <w:sz w:val="20"/>
        </w:rPr>
        <w:t>):</w:t>
      </w:r>
    </w:p>
    <w:p w:rsidR="00EE7E07" w:rsidRPr="00991F96" w:rsidRDefault="00EE7E07" w:rsidP="00EE7E07">
      <w:pPr>
        <w:pStyle w:val="SCCNormalDoubleSpacing"/>
        <w:spacing w:line="240" w:lineRule="auto"/>
        <w:jc w:val="left"/>
        <w:rPr>
          <w:sz w:val="20"/>
        </w:rPr>
      </w:pPr>
    </w:p>
    <w:p w:rsidR="00EE7E07"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 xml:space="preserve">The majority judgment unacceptably dilutes the protection Parliament intended to provide to accused persons by turning Parliament’s direction permitting a person “whose mental capacity is challenged” to testify only “on promising to tell the truth” into an empty formality — a mere mouthing of the words “I promise” without any inquiry as to whether the promise has any significance to the potential witness </w:t>
      </w:r>
    </w:p>
    <w:p w:rsidR="00EE7E07" w:rsidRPr="00991F96"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ind w:firstLine="720"/>
        <w:rPr>
          <w:rFonts w:cs="Times New Roman"/>
          <w:sz w:val="20"/>
          <w:szCs w:val="20"/>
        </w:rPr>
      </w:pPr>
      <w:r w:rsidRPr="00991F96">
        <w:rPr>
          <w:rFonts w:cs="Times New Roman"/>
          <w:sz w:val="20"/>
          <w:szCs w:val="20"/>
        </w:rPr>
        <w:t>Section 16 mandates a single inquiry which presents the trial judge dealing with a witness whose mental capacity is challenged with three options.  Section 16(2) provides that, if the challenged witness is able to communicate the evidence and understands the nature of an oath or a solemn declaration</w:t>
      </w:r>
      <w:r w:rsidRPr="00991F96">
        <w:rPr>
          <w:rFonts w:cs="Times New Roman"/>
          <w:sz w:val="20"/>
          <w:szCs w:val="20"/>
          <w:lang w:val="en-US"/>
        </w:rPr>
        <w:t xml:space="preserve"> in terms of ordinary, everyday social conduct,</w:t>
      </w:r>
      <w:r w:rsidRPr="00991F96">
        <w:rPr>
          <w:rFonts w:cs="Times New Roman"/>
          <w:sz w:val="20"/>
          <w:szCs w:val="20"/>
        </w:rPr>
        <w:t xml:space="preserve"> he or she shall testify under oath or solemn affirmation.  If the challenged witness is able to communicate the evidence but does not understand the nature of an oath or a solemn affirmation, s. 16(3) provides that he or she may provide unsworn testimony on promising to tell the truth.  If the challenged witness does not satisfy either </w:t>
      </w:r>
      <w:proofErr w:type="gramStart"/>
      <w:r w:rsidRPr="00991F96">
        <w:rPr>
          <w:rFonts w:cs="Times New Roman"/>
          <w:sz w:val="20"/>
          <w:szCs w:val="20"/>
        </w:rPr>
        <w:t>criteria</w:t>
      </w:r>
      <w:proofErr w:type="gramEnd"/>
      <w:r w:rsidRPr="00991F96">
        <w:rPr>
          <w:rFonts w:cs="Times New Roman"/>
          <w:sz w:val="20"/>
          <w:szCs w:val="20"/>
        </w:rPr>
        <w:t>, s. 16(4) provides that the individual with a mental disability shall not testify.</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lang w:val="en-US"/>
        </w:rPr>
      </w:pPr>
      <w:r w:rsidRPr="00991F96">
        <w:rPr>
          <w:rFonts w:cs="Times New Roman"/>
          <w:sz w:val="20"/>
          <w:szCs w:val="20"/>
        </w:rPr>
        <w:tab/>
      </w:r>
      <w:r w:rsidRPr="00991F96">
        <w:rPr>
          <w:rFonts w:cs="Times New Roman"/>
          <w:sz w:val="20"/>
          <w:szCs w:val="20"/>
          <w:lang w:val="en-US"/>
        </w:rPr>
        <w:t>There is agreement with the majority that promising is an act aimed at bringing home to the witness the seriousness of the situation and the importance of being careful and correct.  The promise thus serves a practical, prophylactic purpose.  It cannot be correct, however, that it is out of bounds for a trial judge to try to determine — in concrete everyday terms — whether there is in reality such a prophylactic effect in the case of a particular witness whose mental capacity has been challenged.  If such a witness is so disabled as not to understand the seriousness of the situation and the importance of being careful and correct, there is no prophylactic effect, and the fair trial interests of the accused under s. 16, as enacted in 1987, are unfairly prejudiced.</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 xml:space="preserve">In 2005, when Parliament amended the </w:t>
      </w:r>
      <w:r w:rsidRPr="00991F96">
        <w:rPr>
          <w:rFonts w:cs="Times New Roman"/>
          <w:i/>
          <w:sz w:val="20"/>
          <w:szCs w:val="20"/>
        </w:rPr>
        <w:t>Canada Evidence Act</w:t>
      </w:r>
      <w:r w:rsidRPr="00991F96">
        <w:rPr>
          <w:rFonts w:cs="Times New Roman"/>
          <w:sz w:val="20"/>
          <w:szCs w:val="20"/>
        </w:rPr>
        <w:t xml:space="preserve"> to prohibit asking child witnesses “any questions regarding their understanding of the nature of the promise to tell the truth” (s. 16.1(7)), the empirical evidence before Parliament related exclusively to children.  No such empirical studies were carried out with respect to adults with mental disabilities.  In their case, no “don’t ask” provision was proposed, let alone adopted.</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There is agreement with the majority that the words “on promising to tell the truth” in s. 16(3) must bear the same meaning as “to promise to tell the truth” in s. 16.1(6).  That being the case, the majority must read the s. 16.1(7) “don’t ask” rule applicable only to children into s. 16(3) applicable only to mentally challenged adults in order to read down the words “promising to tell the truth” in s. 16(3), and thus treat adults with mental disabilities as equivalent for the purposes of s. 16 to children without mental disabilities.</w:t>
      </w:r>
      <w:r w:rsidRPr="00991F96">
        <w:rPr>
          <w:rFonts w:cs="Times New Roman"/>
          <w:sz w:val="20"/>
          <w:szCs w:val="20"/>
        </w:rPr>
        <w:tab/>
        <w:t xml:space="preserve"> The fact that psychiatrists speak of persons with mental disabilities in terms of mental ages does not mean that an adult with mental age of six is on the same footing as a </w:t>
      </w:r>
      <w:proofErr w:type="spellStart"/>
      <w:r w:rsidRPr="00991F96">
        <w:rPr>
          <w:rFonts w:cs="Times New Roman"/>
          <w:sz w:val="20"/>
          <w:szCs w:val="20"/>
        </w:rPr>
        <w:t>six</w:t>
      </w:r>
      <w:r w:rsidRPr="00991F96">
        <w:rPr>
          <w:rFonts w:cs="Times New Roman"/>
          <w:sz w:val="20"/>
          <w:szCs w:val="20"/>
        </w:rPr>
        <w:noBreakHyphen/>
        <w:t>year</w:t>
      </w:r>
      <w:r w:rsidRPr="00991F96">
        <w:rPr>
          <w:rFonts w:cs="Times New Roman"/>
          <w:sz w:val="20"/>
          <w:szCs w:val="20"/>
        </w:rPr>
        <w:noBreakHyphen/>
        <w:t>old</w:t>
      </w:r>
      <w:proofErr w:type="spellEnd"/>
      <w:r w:rsidRPr="00991F96">
        <w:rPr>
          <w:rFonts w:cs="Times New Roman"/>
          <w:sz w:val="20"/>
          <w:szCs w:val="20"/>
        </w:rPr>
        <w:t xml:space="preserve"> child with no mental disability whatsoever — a </w:t>
      </w:r>
      <w:proofErr w:type="spellStart"/>
      <w:r w:rsidRPr="00991F96">
        <w:rPr>
          <w:rFonts w:cs="Times New Roman"/>
          <w:sz w:val="20"/>
          <w:szCs w:val="20"/>
        </w:rPr>
        <w:t>six</w:t>
      </w:r>
      <w:r w:rsidRPr="00991F96">
        <w:rPr>
          <w:rFonts w:cs="Times New Roman"/>
          <w:sz w:val="20"/>
          <w:szCs w:val="20"/>
        </w:rPr>
        <w:noBreakHyphen/>
        <w:t>year</w:t>
      </w:r>
      <w:r w:rsidRPr="00991F96">
        <w:rPr>
          <w:rFonts w:cs="Times New Roman"/>
          <w:sz w:val="20"/>
          <w:szCs w:val="20"/>
        </w:rPr>
        <w:noBreakHyphen/>
        <w:t>old</w:t>
      </w:r>
      <w:proofErr w:type="spellEnd"/>
      <w:r w:rsidRPr="00991F96">
        <w:rPr>
          <w:rFonts w:cs="Times New Roman"/>
          <w:sz w:val="20"/>
          <w:szCs w:val="20"/>
        </w:rPr>
        <w:t xml:space="preserve"> with the mental capacity of a </w:t>
      </w:r>
      <w:proofErr w:type="spellStart"/>
      <w:r w:rsidRPr="00991F96">
        <w:rPr>
          <w:rFonts w:cs="Times New Roman"/>
          <w:sz w:val="20"/>
          <w:szCs w:val="20"/>
        </w:rPr>
        <w:t>six</w:t>
      </w:r>
      <w:r w:rsidRPr="00991F96">
        <w:rPr>
          <w:rFonts w:cs="Times New Roman"/>
          <w:sz w:val="20"/>
          <w:szCs w:val="20"/>
        </w:rPr>
        <w:noBreakHyphen/>
        <w:t>year</w:t>
      </w:r>
      <w:r w:rsidRPr="00991F96">
        <w:rPr>
          <w:rFonts w:cs="Times New Roman"/>
          <w:sz w:val="20"/>
          <w:szCs w:val="20"/>
        </w:rPr>
        <w:noBreakHyphen/>
        <w:t>old</w:t>
      </w:r>
      <w:proofErr w:type="spellEnd"/>
      <w:r w:rsidRPr="00991F96">
        <w:rPr>
          <w:rFonts w:cs="Times New Roman"/>
          <w:sz w:val="20"/>
          <w:szCs w:val="20"/>
        </w:rPr>
        <w:t xml:space="preserve"> does not suffer from a mental disability.  No evidence was led to suggest equivalence and judicial notice cannot be taken of alleged “facts” that are neither notorious nor easily verifiable from undisputed sources.</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 xml:space="preserve">On a competency </w:t>
      </w:r>
      <w:proofErr w:type="spellStart"/>
      <w:r w:rsidRPr="00991F96">
        <w:rPr>
          <w:rFonts w:cs="Times New Roman"/>
          <w:i/>
          <w:sz w:val="20"/>
          <w:szCs w:val="20"/>
        </w:rPr>
        <w:t>voir</w:t>
      </w:r>
      <w:proofErr w:type="spellEnd"/>
      <w:r w:rsidRPr="00991F96">
        <w:rPr>
          <w:rFonts w:cs="Times New Roman"/>
          <w:i/>
          <w:sz w:val="20"/>
          <w:szCs w:val="20"/>
        </w:rPr>
        <w:t xml:space="preserve"> dire </w:t>
      </w:r>
      <w:r w:rsidRPr="00991F96">
        <w:rPr>
          <w:rFonts w:cs="Times New Roman"/>
          <w:sz w:val="20"/>
          <w:szCs w:val="20"/>
        </w:rPr>
        <w:t xml:space="preserve">where the mental capacity of an adult is challenged, and the adult is herself called as a proposed witness, the court may admit evidence from fact witnesses personally familiar with the complainant’s verbal and cognitive abilities and limitations to help the court gain a better understanding of the person’s capacity.  These witnesses would not be in a position to express an expert opinion, but could testify about their direct personal observations of the proposed witness.  Such evidence might, if the trial judge considered it helpful, better enable the judge or jury to appreciate her responses (or </w:t>
      </w:r>
      <w:proofErr w:type="spellStart"/>
      <w:r w:rsidRPr="00991F96">
        <w:rPr>
          <w:rFonts w:cs="Times New Roman"/>
          <w:sz w:val="20"/>
          <w:szCs w:val="20"/>
        </w:rPr>
        <w:t>non</w:t>
      </w:r>
      <w:r w:rsidRPr="00991F96">
        <w:rPr>
          <w:rFonts w:cs="Times New Roman"/>
          <w:sz w:val="20"/>
          <w:szCs w:val="20"/>
        </w:rPr>
        <w:noBreakHyphen/>
        <w:t>responses</w:t>
      </w:r>
      <w:proofErr w:type="spellEnd"/>
      <w:r w:rsidRPr="00991F96">
        <w:rPr>
          <w:rFonts w:cs="Times New Roman"/>
          <w:sz w:val="20"/>
          <w:szCs w:val="20"/>
        </w:rPr>
        <w:t>) in the witness box.  However, ultimately, the judge must reach his or her own considered opinion about the mental capacity of the proposed witness prior to admitting the testimony.</w:t>
      </w:r>
    </w:p>
    <w:p w:rsidR="00EE7E07" w:rsidRDefault="00EE7E07" w:rsidP="00EE7E07">
      <w:pPr>
        <w:pStyle w:val="ParaNoNdepar-AltN"/>
        <w:numPr>
          <w:ilvl w:val="0"/>
          <w:numId w:val="0"/>
        </w:numPr>
        <w:spacing w:before="0" w:after="0" w:line="240" w:lineRule="auto"/>
        <w:rPr>
          <w:rFonts w:cs="Times New Roman"/>
          <w:sz w:val="20"/>
          <w:szCs w:val="20"/>
        </w:rPr>
      </w:pPr>
    </w:p>
    <w:p w:rsidR="00EE7E07" w:rsidRPr="00991F96"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 xml:space="preserve">In this case, the trial judge had serious concerns about the complainant’s ability to communicate the evidence.  The complainant’s answers to a series of simple and concrete questions left him fully satisfied that she did not understand what a promise to tell the truth involves.  Much turned on the significance of the complainant’s repeated “I don’t know” answers.  Clearly, it was an important advantage for the trial judge to watch the questions and answers unfold and to assess whether the complainant was actually able to “compute” her responses to what she was being asked.  </w:t>
      </w:r>
      <w:r w:rsidRPr="00991F96">
        <w:rPr>
          <w:rFonts w:cs="Times New Roman"/>
          <w:sz w:val="20"/>
          <w:szCs w:val="20"/>
          <w:lang w:val="en-US"/>
        </w:rPr>
        <w:t xml:space="preserve">There was no allegation of bad faith, but she may nevertheless have been mistaken in her perception or recollection of events and the crucible of </w:t>
      </w:r>
      <w:proofErr w:type="spellStart"/>
      <w:r w:rsidRPr="00991F96">
        <w:rPr>
          <w:rFonts w:cs="Times New Roman"/>
          <w:sz w:val="20"/>
          <w:szCs w:val="20"/>
          <w:lang w:val="en-US"/>
        </w:rPr>
        <w:t>cross</w:t>
      </w:r>
      <w:r w:rsidRPr="00991F96">
        <w:rPr>
          <w:rFonts w:cs="Times New Roman"/>
          <w:sz w:val="20"/>
          <w:szCs w:val="20"/>
          <w:lang w:val="en-US"/>
        </w:rPr>
        <w:noBreakHyphen/>
        <w:t>examination</w:t>
      </w:r>
      <w:proofErr w:type="spellEnd"/>
      <w:r w:rsidRPr="00991F96">
        <w:rPr>
          <w:rFonts w:cs="Times New Roman"/>
          <w:sz w:val="20"/>
          <w:szCs w:val="20"/>
          <w:lang w:val="en-US"/>
        </w:rPr>
        <w:t xml:space="preserve"> </w:t>
      </w:r>
      <w:proofErr w:type="gramStart"/>
      <w:r w:rsidRPr="00991F96">
        <w:rPr>
          <w:rFonts w:cs="Times New Roman"/>
          <w:sz w:val="20"/>
          <w:szCs w:val="20"/>
          <w:lang w:val="en-US"/>
        </w:rPr>
        <w:t>was</w:t>
      </w:r>
      <w:proofErr w:type="gramEnd"/>
      <w:r w:rsidRPr="00991F96">
        <w:rPr>
          <w:rFonts w:cs="Times New Roman"/>
          <w:sz w:val="20"/>
          <w:szCs w:val="20"/>
          <w:lang w:val="en-US"/>
        </w:rPr>
        <w:t xml:space="preserve"> useless because there was no secure method of testing her credibility.</w:t>
      </w:r>
      <w:r w:rsidRPr="00991F96">
        <w:rPr>
          <w:rFonts w:cs="Times New Roman"/>
          <w:sz w:val="20"/>
          <w:szCs w:val="20"/>
        </w:rPr>
        <w:t xml:space="preserve">  Her inability to deal with simple questions would mean her evidence would be effectively immune to challenge by the defence, thereby prejudicing the interest in a fair trial of society as well as the accused.  Sitting on appeal from this determination, and not having had the advantage of observing and questioning the complainant, there is no valid basis for this Court to reverse the trial judge’s assessment of her mental capacity.</w:t>
      </w:r>
    </w:p>
    <w:p w:rsidR="00EE7E07" w:rsidRDefault="00EE7E07" w:rsidP="00EE7E07">
      <w:pPr>
        <w:pStyle w:val="ParaNoNdepar-AltN"/>
        <w:numPr>
          <w:ilvl w:val="0"/>
          <w:numId w:val="0"/>
        </w:numPr>
        <w:spacing w:before="0" w:after="0" w:line="240" w:lineRule="auto"/>
        <w:rPr>
          <w:rFonts w:cs="Times New Roman"/>
          <w:sz w:val="20"/>
          <w:szCs w:val="20"/>
        </w:rPr>
      </w:pPr>
    </w:p>
    <w:p w:rsidR="00EE7E07" w:rsidRDefault="00EE7E07" w:rsidP="00EE7E07">
      <w:pPr>
        <w:pStyle w:val="ParaNoNdepar-AltN"/>
        <w:numPr>
          <w:ilvl w:val="0"/>
          <w:numId w:val="0"/>
        </w:numPr>
        <w:spacing w:before="0" w:after="0" w:line="240" w:lineRule="auto"/>
        <w:rPr>
          <w:rFonts w:cs="Times New Roman"/>
          <w:sz w:val="20"/>
          <w:szCs w:val="20"/>
        </w:rPr>
      </w:pPr>
      <w:r w:rsidRPr="00991F96">
        <w:rPr>
          <w:rFonts w:cs="Times New Roman"/>
          <w:sz w:val="20"/>
          <w:szCs w:val="20"/>
        </w:rPr>
        <w:tab/>
        <w:t xml:space="preserve">The trial judge’s conclusion that the complainant lacked the ability to perceive, recall and communicate events and to understand the difference between truth and falsehood set up, but did not predetermine, his conclusion that her testimony lacked sufficient reliability.  It was neither surprising nor an error however that the trial judge’s reasoning on the threshold reliability in his hearsay ruling was quite similar to his reasoning on the s. 16 </w:t>
      </w:r>
      <w:proofErr w:type="spellStart"/>
      <w:r w:rsidRPr="00991F96">
        <w:rPr>
          <w:rFonts w:cs="Times New Roman"/>
          <w:i/>
          <w:sz w:val="20"/>
          <w:szCs w:val="20"/>
        </w:rPr>
        <w:t>voir</w:t>
      </w:r>
      <w:proofErr w:type="spellEnd"/>
      <w:r w:rsidRPr="00991F96">
        <w:rPr>
          <w:rFonts w:cs="Times New Roman"/>
          <w:i/>
          <w:sz w:val="20"/>
          <w:szCs w:val="20"/>
        </w:rPr>
        <w:t xml:space="preserve"> dire</w:t>
      </w:r>
      <w:r w:rsidRPr="00991F96">
        <w:rPr>
          <w:rFonts w:cs="Times New Roman"/>
          <w:sz w:val="20"/>
          <w:szCs w:val="20"/>
        </w:rPr>
        <w:t xml:space="preserve">, and given his advantage in seeing and hearing the complainant, his exclusion of her </w:t>
      </w:r>
      <w:proofErr w:type="spellStart"/>
      <w:r w:rsidRPr="00991F96">
        <w:rPr>
          <w:rFonts w:cs="Times New Roman"/>
          <w:sz w:val="20"/>
          <w:szCs w:val="20"/>
        </w:rPr>
        <w:t>out</w:t>
      </w:r>
      <w:r w:rsidRPr="00991F96">
        <w:rPr>
          <w:rFonts w:cs="Times New Roman"/>
          <w:sz w:val="20"/>
          <w:szCs w:val="20"/>
        </w:rPr>
        <w:noBreakHyphen/>
        <w:t>of</w:t>
      </w:r>
      <w:r w:rsidRPr="00991F96">
        <w:rPr>
          <w:rFonts w:cs="Times New Roman"/>
          <w:sz w:val="20"/>
          <w:szCs w:val="20"/>
        </w:rPr>
        <w:noBreakHyphen/>
        <w:t>court</w:t>
      </w:r>
      <w:proofErr w:type="spellEnd"/>
      <w:r w:rsidRPr="00991F96">
        <w:rPr>
          <w:rFonts w:cs="Times New Roman"/>
          <w:sz w:val="20"/>
          <w:szCs w:val="20"/>
        </w:rPr>
        <w:t xml:space="preserve"> statements should equally be upheld by this Court.</w:t>
      </w:r>
    </w:p>
    <w:p w:rsidR="00EE7E07" w:rsidRDefault="00EE7E07" w:rsidP="00EE7E07">
      <w:pPr>
        <w:pStyle w:val="SCCNormalDoubleSpacing"/>
        <w:spacing w:line="240" w:lineRule="auto"/>
        <w:rPr>
          <w:sz w:val="20"/>
          <w:lang w:val="en-US"/>
        </w:rPr>
      </w:pPr>
    </w:p>
    <w:p w:rsidR="00EE7E07" w:rsidRPr="00991F96" w:rsidRDefault="00EE7E07" w:rsidP="00EE7E07">
      <w:pPr>
        <w:pStyle w:val="SCCNormalDoubleSpacing"/>
        <w:spacing w:line="240" w:lineRule="auto"/>
        <w:rPr>
          <w:sz w:val="20"/>
        </w:rPr>
      </w:pPr>
      <w:r w:rsidRPr="00991F96">
        <w:rPr>
          <w:sz w:val="20"/>
          <w:lang w:val="en-US"/>
        </w:rPr>
        <w:tab/>
      </w:r>
      <w:r w:rsidRPr="00991F96">
        <w:rPr>
          <w:sz w:val="20"/>
        </w:rPr>
        <w:t xml:space="preserve">APPEAL from a judgment of the Ontario Court of Appeal (Doherty, </w:t>
      </w:r>
      <w:proofErr w:type="spellStart"/>
      <w:r w:rsidRPr="00991F96">
        <w:rPr>
          <w:sz w:val="20"/>
        </w:rPr>
        <w:t>MacPherson</w:t>
      </w:r>
      <w:proofErr w:type="spellEnd"/>
      <w:r w:rsidRPr="00991F96">
        <w:rPr>
          <w:sz w:val="20"/>
        </w:rPr>
        <w:t xml:space="preserve"> and Armstrong JJ.A.), 2010 ONCA 133, 260 O.A.C. 96, 252 C.C.C. (3d) 178, 73 C.R. (6th) 50, [2010] O.J. No. 665 (QL), 2010 </w:t>
      </w:r>
      <w:proofErr w:type="spellStart"/>
      <w:r w:rsidRPr="00991F96">
        <w:rPr>
          <w:sz w:val="20"/>
        </w:rPr>
        <w:t>CarswellOnt</w:t>
      </w:r>
      <w:proofErr w:type="spellEnd"/>
      <w:r w:rsidRPr="00991F96">
        <w:rPr>
          <w:sz w:val="20"/>
        </w:rPr>
        <w:t xml:space="preserve"> 880, affirming a decision of McKinnon J., 2008 </w:t>
      </w:r>
      <w:proofErr w:type="spellStart"/>
      <w:r w:rsidRPr="00991F96">
        <w:rPr>
          <w:sz w:val="20"/>
        </w:rPr>
        <w:t>CarswellOnt</w:t>
      </w:r>
      <w:proofErr w:type="spellEnd"/>
      <w:r w:rsidRPr="00991F96">
        <w:rPr>
          <w:sz w:val="20"/>
        </w:rPr>
        <w:t xml:space="preserve"> 2637.  Appeal allowed, </w:t>
      </w:r>
      <w:proofErr w:type="spellStart"/>
      <w:r w:rsidRPr="00991F96">
        <w:rPr>
          <w:sz w:val="20"/>
        </w:rPr>
        <w:t>Binnie</w:t>
      </w:r>
      <w:proofErr w:type="spellEnd"/>
      <w:r w:rsidRPr="00991F96">
        <w:rPr>
          <w:sz w:val="20"/>
        </w:rPr>
        <w:t xml:space="preserve">, </w:t>
      </w:r>
      <w:proofErr w:type="spellStart"/>
      <w:r w:rsidRPr="00991F96">
        <w:rPr>
          <w:sz w:val="20"/>
        </w:rPr>
        <w:t>LeBel</w:t>
      </w:r>
      <w:proofErr w:type="spellEnd"/>
      <w:r w:rsidRPr="00991F96">
        <w:rPr>
          <w:sz w:val="20"/>
        </w:rPr>
        <w:t xml:space="preserve"> and Fish JJ., dissenting.</w:t>
      </w:r>
    </w:p>
    <w:p w:rsidR="00EE7E07" w:rsidRDefault="00EE7E07" w:rsidP="00EE7E07">
      <w:pPr>
        <w:pStyle w:val="SCCNormalDoubleSpacing"/>
        <w:spacing w:line="240" w:lineRule="auto"/>
        <w:rPr>
          <w:i/>
          <w:sz w:val="20"/>
        </w:rPr>
      </w:pPr>
    </w:p>
    <w:p w:rsidR="00EE7E07" w:rsidRPr="00991F96" w:rsidRDefault="00EE7E07" w:rsidP="00EE7E07">
      <w:pPr>
        <w:pStyle w:val="SCCNormalDoubleSpacing"/>
        <w:spacing w:line="240" w:lineRule="auto"/>
        <w:rPr>
          <w:sz w:val="20"/>
        </w:rPr>
      </w:pPr>
      <w:r w:rsidRPr="00991F96">
        <w:rPr>
          <w:i/>
          <w:sz w:val="20"/>
        </w:rPr>
        <w:tab/>
      </w:r>
      <w:proofErr w:type="gramStart"/>
      <w:r w:rsidRPr="00991F96">
        <w:rPr>
          <w:i/>
          <w:sz w:val="20"/>
        </w:rPr>
        <w:t xml:space="preserve">Jamie C. </w:t>
      </w:r>
      <w:proofErr w:type="spellStart"/>
      <w:r w:rsidRPr="00991F96">
        <w:rPr>
          <w:i/>
          <w:sz w:val="20"/>
        </w:rPr>
        <w:t>Klukach</w:t>
      </w:r>
      <w:proofErr w:type="spellEnd"/>
      <w:r w:rsidRPr="00991F96">
        <w:rPr>
          <w:sz w:val="20"/>
        </w:rPr>
        <w:t xml:space="preserve"> and </w:t>
      </w:r>
      <w:r w:rsidRPr="00991F96">
        <w:rPr>
          <w:i/>
          <w:sz w:val="20"/>
        </w:rPr>
        <w:t xml:space="preserve">John </w:t>
      </w:r>
      <w:proofErr w:type="spellStart"/>
      <w:r w:rsidRPr="00991F96">
        <w:rPr>
          <w:i/>
          <w:sz w:val="20"/>
        </w:rPr>
        <w:t>Semenoff</w:t>
      </w:r>
      <w:proofErr w:type="spellEnd"/>
      <w:r w:rsidRPr="00991F96">
        <w:rPr>
          <w:sz w:val="20"/>
        </w:rPr>
        <w:t>, for the appellant.</w:t>
      </w:r>
      <w:proofErr w:type="gramEnd"/>
    </w:p>
    <w:p w:rsidR="00EE7E07" w:rsidRDefault="00EE7E07" w:rsidP="00EE7E07">
      <w:pPr>
        <w:pStyle w:val="SCCNormalDoubleSpacing"/>
        <w:spacing w:line="240" w:lineRule="auto"/>
        <w:rPr>
          <w:i/>
          <w:sz w:val="20"/>
        </w:rPr>
      </w:pPr>
    </w:p>
    <w:p w:rsidR="00EE7E07" w:rsidRPr="00991F96" w:rsidRDefault="00EE7E07" w:rsidP="00EE7E07">
      <w:pPr>
        <w:pStyle w:val="SCCNormalDoubleSpacing"/>
        <w:spacing w:line="240" w:lineRule="auto"/>
        <w:rPr>
          <w:sz w:val="20"/>
        </w:rPr>
      </w:pPr>
      <w:r w:rsidRPr="00991F96">
        <w:rPr>
          <w:i/>
          <w:sz w:val="20"/>
        </w:rPr>
        <w:tab/>
      </w:r>
      <w:proofErr w:type="gramStart"/>
      <w:r w:rsidRPr="00991F96">
        <w:rPr>
          <w:i/>
          <w:sz w:val="20"/>
        </w:rPr>
        <w:t xml:space="preserve">Howard L. </w:t>
      </w:r>
      <w:proofErr w:type="spellStart"/>
      <w:r w:rsidRPr="00991F96">
        <w:rPr>
          <w:i/>
          <w:sz w:val="20"/>
        </w:rPr>
        <w:t>Krongold</w:t>
      </w:r>
      <w:proofErr w:type="spellEnd"/>
      <w:r w:rsidRPr="00991F96">
        <w:rPr>
          <w:sz w:val="20"/>
        </w:rPr>
        <w:t xml:space="preserve"> and </w:t>
      </w:r>
      <w:r w:rsidRPr="00991F96">
        <w:rPr>
          <w:i/>
          <w:sz w:val="20"/>
        </w:rPr>
        <w:t xml:space="preserve">Leonardo </w:t>
      </w:r>
      <w:proofErr w:type="spellStart"/>
      <w:r w:rsidRPr="00991F96">
        <w:rPr>
          <w:i/>
          <w:sz w:val="20"/>
        </w:rPr>
        <w:t>Russomanno</w:t>
      </w:r>
      <w:proofErr w:type="spellEnd"/>
      <w:r w:rsidRPr="00991F96">
        <w:rPr>
          <w:sz w:val="20"/>
        </w:rPr>
        <w:t>, for the respondent.</w:t>
      </w:r>
      <w:proofErr w:type="gramEnd"/>
    </w:p>
    <w:p w:rsidR="00EE7E07" w:rsidRDefault="00EE7E07" w:rsidP="00EE7E07">
      <w:pPr>
        <w:pStyle w:val="SCCNormalDoubleSpacing"/>
        <w:spacing w:line="240" w:lineRule="auto"/>
        <w:rPr>
          <w:i/>
          <w:sz w:val="20"/>
        </w:rPr>
      </w:pPr>
    </w:p>
    <w:p w:rsidR="00EE7E07" w:rsidRPr="00991F96" w:rsidRDefault="00EE7E07" w:rsidP="00EE7E07">
      <w:pPr>
        <w:pStyle w:val="SCCNormalDoubleSpacing"/>
        <w:spacing w:line="240" w:lineRule="auto"/>
        <w:rPr>
          <w:sz w:val="20"/>
        </w:rPr>
      </w:pPr>
      <w:r w:rsidRPr="00991F96">
        <w:rPr>
          <w:i/>
          <w:sz w:val="20"/>
        </w:rPr>
        <w:tab/>
        <w:t xml:space="preserve">Joanna L. </w:t>
      </w:r>
      <w:proofErr w:type="spellStart"/>
      <w:r w:rsidRPr="00991F96">
        <w:rPr>
          <w:i/>
          <w:sz w:val="20"/>
        </w:rPr>
        <w:t>Birenbaum</w:t>
      </w:r>
      <w:proofErr w:type="spellEnd"/>
      <w:r w:rsidRPr="00991F96">
        <w:rPr>
          <w:sz w:val="20"/>
        </w:rPr>
        <w:t xml:space="preserve">, for the interveners the Women’s Legal Education and Action Fund and the </w:t>
      </w:r>
      <w:proofErr w:type="spellStart"/>
      <w:r w:rsidRPr="00991F96">
        <w:rPr>
          <w:sz w:val="20"/>
        </w:rPr>
        <w:t>DisAbled</w:t>
      </w:r>
      <w:proofErr w:type="spellEnd"/>
      <w:r w:rsidRPr="00991F96">
        <w:rPr>
          <w:sz w:val="20"/>
        </w:rPr>
        <w:t xml:space="preserve"> Women’s Network Canada.</w:t>
      </w:r>
    </w:p>
    <w:p w:rsidR="00EE7E07" w:rsidRDefault="00EE7E07" w:rsidP="00EE7E07">
      <w:pPr>
        <w:pStyle w:val="SCCNormalDoubleSpacing"/>
        <w:spacing w:line="240" w:lineRule="auto"/>
        <w:rPr>
          <w:i/>
          <w:sz w:val="20"/>
        </w:rPr>
      </w:pPr>
    </w:p>
    <w:p w:rsidR="00EE7E07" w:rsidRPr="00991F96" w:rsidRDefault="00EE7E07" w:rsidP="00EE7E07">
      <w:pPr>
        <w:pStyle w:val="SCCNormalDoubleSpacing"/>
        <w:spacing w:line="240" w:lineRule="auto"/>
        <w:rPr>
          <w:sz w:val="20"/>
        </w:rPr>
      </w:pPr>
      <w:r w:rsidRPr="00991F96">
        <w:rPr>
          <w:i/>
          <w:sz w:val="20"/>
        </w:rPr>
        <w:tab/>
      </w:r>
      <w:proofErr w:type="gramStart"/>
      <w:r w:rsidRPr="00991F96">
        <w:rPr>
          <w:i/>
          <w:sz w:val="20"/>
        </w:rPr>
        <w:t>Joseph Di Luca</w:t>
      </w:r>
      <w:r w:rsidRPr="00991F96">
        <w:rPr>
          <w:sz w:val="20"/>
        </w:rPr>
        <w:t xml:space="preserve"> and </w:t>
      </w:r>
      <w:r w:rsidRPr="00991F96">
        <w:rPr>
          <w:i/>
          <w:sz w:val="20"/>
        </w:rPr>
        <w:t xml:space="preserve">Erin </w:t>
      </w:r>
      <w:proofErr w:type="spellStart"/>
      <w:r w:rsidRPr="00991F96">
        <w:rPr>
          <w:i/>
          <w:sz w:val="20"/>
        </w:rPr>
        <w:t>Dann</w:t>
      </w:r>
      <w:proofErr w:type="spellEnd"/>
      <w:r w:rsidRPr="00991F96">
        <w:rPr>
          <w:sz w:val="20"/>
        </w:rPr>
        <w:t>, for the intervener the Criminal Lawyers’ Association (Ontario).</w:t>
      </w:r>
      <w:proofErr w:type="gramEnd"/>
    </w:p>
    <w:p w:rsidR="00EE7E07" w:rsidRDefault="00EE7E07" w:rsidP="00EE7E07">
      <w:pPr>
        <w:pStyle w:val="SCCNormalDoubleSpacing"/>
        <w:spacing w:line="240" w:lineRule="auto"/>
        <w:rPr>
          <w:i/>
          <w:sz w:val="20"/>
        </w:rPr>
      </w:pPr>
    </w:p>
    <w:p w:rsidR="00EE7E07" w:rsidRPr="00991F96" w:rsidRDefault="00EE7E07" w:rsidP="00EE7E07">
      <w:pPr>
        <w:pStyle w:val="SCCNormalDoubleSpacing"/>
        <w:spacing w:line="240" w:lineRule="auto"/>
        <w:rPr>
          <w:sz w:val="20"/>
        </w:rPr>
      </w:pPr>
      <w:r w:rsidRPr="00991F96">
        <w:rPr>
          <w:i/>
          <w:sz w:val="20"/>
        </w:rPr>
        <w:tab/>
      </w:r>
      <w:proofErr w:type="gramStart"/>
      <w:r w:rsidRPr="00991F96">
        <w:rPr>
          <w:i/>
          <w:sz w:val="20"/>
        </w:rPr>
        <w:t>David M. Wright</w:t>
      </w:r>
      <w:r w:rsidRPr="00991F96">
        <w:rPr>
          <w:sz w:val="20"/>
        </w:rPr>
        <w:t xml:space="preserve"> and </w:t>
      </w:r>
      <w:r w:rsidRPr="00991F96">
        <w:rPr>
          <w:i/>
          <w:sz w:val="20"/>
        </w:rPr>
        <w:t xml:space="preserve">Helga D. Van </w:t>
      </w:r>
      <w:proofErr w:type="spellStart"/>
      <w:r w:rsidRPr="00991F96">
        <w:rPr>
          <w:i/>
          <w:sz w:val="20"/>
        </w:rPr>
        <w:t>Iderstine</w:t>
      </w:r>
      <w:proofErr w:type="spellEnd"/>
      <w:r w:rsidRPr="00991F96">
        <w:rPr>
          <w:sz w:val="20"/>
        </w:rPr>
        <w:t>, for the intervener the Council of Canadians with Disabilities.</w:t>
      </w:r>
      <w:proofErr w:type="gramEnd"/>
    </w:p>
    <w:p w:rsidR="00EE7E07" w:rsidRDefault="00EE7E07" w:rsidP="00EE7E07">
      <w:pPr>
        <w:pStyle w:val="SCCLawFirm"/>
        <w:spacing w:line="240" w:lineRule="auto"/>
        <w:rPr>
          <w:sz w:val="20"/>
        </w:rPr>
      </w:pPr>
    </w:p>
    <w:p w:rsidR="00EE7E07" w:rsidRPr="00991F96" w:rsidRDefault="00EE7E07" w:rsidP="00EE7E07">
      <w:pPr>
        <w:pStyle w:val="SCCLawFirm"/>
        <w:spacing w:line="240" w:lineRule="auto"/>
        <w:rPr>
          <w:sz w:val="20"/>
        </w:rPr>
      </w:pPr>
      <w:r w:rsidRPr="00991F96">
        <w:rPr>
          <w:sz w:val="20"/>
        </w:rPr>
        <w:tab/>
        <w:t>Solicitor for the appellant:  Attorney General of Ontario, Toronto.</w:t>
      </w:r>
    </w:p>
    <w:p w:rsidR="00EE7E07" w:rsidRDefault="00EE7E07" w:rsidP="00EE7E07">
      <w:pPr>
        <w:pStyle w:val="SCCLawFirm"/>
        <w:spacing w:line="240" w:lineRule="auto"/>
        <w:rPr>
          <w:sz w:val="20"/>
        </w:rPr>
      </w:pPr>
    </w:p>
    <w:p w:rsidR="00EE7E07" w:rsidRPr="00991F96" w:rsidRDefault="00EE7E07" w:rsidP="00EE7E07">
      <w:pPr>
        <w:pStyle w:val="SCCLawFirm"/>
        <w:spacing w:line="240" w:lineRule="auto"/>
        <w:rPr>
          <w:sz w:val="20"/>
        </w:rPr>
      </w:pPr>
      <w:r w:rsidRPr="00991F96">
        <w:rPr>
          <w:sz w:val="20"/>
        </w:rPr>
        <w:tab/>
        <w:t xml:space="preserve">Solicitors for the respondent:  Webber Schroeder Goldstein </w:t>
      </w:r>
      <w:proofErr w:type="spellStart"/>
      <w:r w:rsidRPr="00991F96">
        <w:rPr>
          <w:sz w:val="20"/>
        </w:rPr>
        <w:t>Abergel</w:t>
      </w:r>
      <w:proofErr w:type="spellEnd"/>
      <w:r w:rsidRPr="00991F96">
        <w:rPr>
          <w:sz w:val="20"/>
        </w:rPr>
        <w:t>, Ottawa.</w:t>
      </w:r>
    </w:p>
    <w:p w:rsidR="00EE7E07" w:rsidRDefault="00EE7E07" w:rsidP="00EE7E07">
      <w:pPr>
        <w:pStyle w:val="SCCLawFirm"/>
        <w:spacing w:line="240" w:lineRule="auto"/>
        <w:rPr>
          <w:sz w:val="20"/>
        </w:rPr>
      </w:pPr>
    </w:p>
    <w:p w:rsidR="00EE7E07" w:rsidRPr="00991F96" w:rsidRDefault="00EE7E07" w:rsidP="00EE7E07">
      <w:pPr>
        <w:pStyle w:val="SCCLawFirm"/>
        <w:spacing w:line="240" w:lineRule="auto"/>
        <w:rPr>
          <w:sz w:val="20"/>
        </w:rPr>
      </w:pPr>
      <w:r w:rsidRPr="00991F96">
        <w:rPr>
          <w:sz w:val="20"/>
        </w:rPr>
        <w:tab/>
        <w:t xml:space="preserve">Solicitor for the interveners the Women’s Legal Education and Action Fund and the </w:t>
      </w:r>
      <w:proofErr w:type="spellStart"/>
      <w:r w:rsidRPr="00991F96">
        <w:rPr>
          <w:sz w:val="20"/>
        </w:rPr>
        <w:t>DisAbled</w:t>
      </w:r>
      <w:proofErr w:type="spellEnd"/>
      <w:r w:rsidRPr="00991F96">
        <w:rPr>
          <w:sz w:val="20"/>
        </w:rPr>
        <w:t xml:space="preserve"> Women’s Network Canada:  Women’s Legal Education and Action Fund, Toronto.</w:t>
      </w:r>
    </w:p>
    <w:p w:rsidR="00EE7E07" w:rsidRDefault="00EE7E07" w:rsidP="00EE7E07">
      <w:pPr>
        <w:pStyle w:val="SCCLawFirm"/>
        <w:spacing w:line="240" w:lineRule="auto"/>
        <w:rPr>
          <w:sz w:val="20"/>
        </w:rPr>
      </w:pPr>
    </w:p>
    <w:p w:rsidR="00EE7E07" w:rsidRPr="00991F96" w:rsidRDefault="00EE7E07" w:rsidP="00EE7E07">
      <w:pPr>
        <w:pStyle w:val="SCCLawFirm"/>
        <w:spacing w:line="240" w:lineRule="auto"/>
        <w:rPr>
          <w:sz w:val="20"/>
        </w:rPr>
      </w:pPr>
      <w:r w:rsidRPr="00991F96">
        <w:rPr>
          <w:sz w:val="20"/>
        </w:rPr>
        <w:tab/>
        <w:t>Solicitors for the intervener the Criminal Lawyers’ Association (Ontario):  Di Luca Copeland Davies, Toronto.</w:t>
      </w:r>
    </w:p>
    <w:p w:rsidR="00EE7E07" w:rsidRDefault="00EE7E07" w:rsidP="00EE7E07">
      <w:pPr>
        <w:pStyle w:val="SCCLawFirm"/>
        <w:spacing w:line="240" w:lineRule="auto"/>
        <w:rPr>
          <w:sz w:val="20"/>
        </w:rPr>
      </w:pPr>
    </w:p>
    <w:p w:rsidR="00EE7E07" w:rsidRDefault="00EE7E07" w:rsidP="00EE7E07">
      <w:pPr>
        <w:pStyle w:val="SCCLawFirm"/>
        <w:spacing w:line="240" w:lineRule="auto"/>
        <w:rPr>
          <w:sz w:val="20"/>
        </w:rPr>
      </w:pPr>
      <w:r w:rsidRPr="00991F96">
        <w:rPr>
          <w:sz w:val="20"/>
        </w:rPr>
        <w:tab/>
        <w:t>Solicitors for the intervener the Council of Canadians with Disabilities:  </w:t>
      </w:r>
      <w:proofErr w:type="spellStart"/>
      <w:r w:rsidRPr="00991F96">
        <w:rPr>
          <w:sz w:val="20"/>
        </w:rPr>
        <w:t>Aikins</w:t>
      </w:r>
      <w:proofErr w:type="spellEnd"/>
      <w:r w:rsidRPr="00991F96">
        <w:rPr>
          <w:sz w:val="20"/>
        </w:rPr>
        <w:t xml:space="preserve">, MacAulay &amp; </w:t>
      </w:r>
      <w:proofErr w:type="spellStart"/>
      <w:r w:rsidRPr="00991F96">
        <w:rPr>
          <w:sz w:val="20"/>
        </w:rPr>
        <w:t>Thorvaldson</w:t>
      </w:r>
      <w:proofErr w:type="spellEnd"/>
      <w:r w:rsidRPr="00991F96">
        <w:rPr>
          <w:sz w:val="20"/>
        </w:rPr>
        <w:t>, Winnipeg.</w:t>
      </w:r>
    </w:p>
    <w:p w:rsidR="00A22BFB" w:rsidRPr="003B3977" w:rsidRDefault="00A22BFB" w:rsidP="00A22BFB">
      <w:pPr>
        <w:rPr>
          <w:rFonts w:cs="Times New Roman"/>
          <w:sz w:val="20"/>
          <w:szCs w:val="20"/>
          <w:lang w:val="fr-CA"/>
        </w:rPr>
      </w:pPr>
      <w:r w:rsidRPr="003B3977">
        <w:rPr>
          <w:rFonts w:cs="Times New Roman"/>
          <w:sz w:val="20"/>
          <w:szCs w:val="20"/>
          <w:lang w:val="fr-CA"/>
        </w:rPr>
        <w:t>________________________</w:t>
      </w:r>
    </w:p>
    <w:p w:rsidR="00A22BFB" w:rsidRPr="003B3977" w:rsidRDefault="00A22BFB" w:rsidP="00A22BFB">
      <w:pPr>
        <w:rPr>
          <w:rFonts w:cs="Times New Roman"/>
          <w:sz w:val="20"/>
          <w:szCs w:val="20"/>
          <w:lang w:val="fr-CA"/>
        </w:rPr>
      </w:pPr>
    </w:p>
    <w:p w:rsidR="00EE7E07" w:rsidRPr="00EE7E07" w:rsidRDefault="00EE7E07" w:rsidP="00EE7E07">
      <w:pPr>
        <w:jc w:val="both"/>
        <w:rPr>
          <w:sz w:val="20"/>
          <w:szCs w:val="20"/>
          <w:lang w:val="fr-CA"/>
        </w:rPr>
      </w:pPr>
      <w:r w:rsidRPr="00EE7E07">
        <w:rPr>
          <w:sz w:val="20"/>
          <w:szCs w:val="20"/>
          <w:lang w:val="fr-CA"/>
        </w:rPr>
        <w:t xml:space="preserve">Présents : La juge en chef </w:t>
      </w:r>
      <w:proofErr w:type="spellStart"/>
      <w:r w:rsidRPr="00EE7E07">
        <w:rPr>
          <w:sz w:val="20"/>
          <w:szCs w:val="20"/>
          <w:lang w:val="fr-CA"/>
        </w:rPr>
        <w:t>McLachlin</w:t>
      </w:r>
      <w:proofErr w:type="spellEnd"/>
      <w:r w:rsidRPr="00EE7E07">
        <w:rPr>
          <w:sz w:val="20"/>
          <w:szCs w:val="20"/>
          <w:lang w:val="fr-CA"/>
        </w:rPr>
        <w:t xml:space="preserve"> et les juges </w:t>
      </w:r>
      <w:proofErr w:type="spellStart"/>
      <w:r w:rsidRPr="00EE7E07">
        <w:rPr>
          <w:sz w:val="20"/>
          <w:szCs w:val="20"/>
          <w:lang w:val="fr-CA"/>
        </w:rPr>
        <w:t>Binnie</w:t>
      </w:r>
      <w:proofErr w:type="spellEnd"/>
      <w:r w:rsidRPr="00EE7E07">
        <w:rPr>
          <w:sz w:val="20"/>
          <w:szCs w:val="20"/>
          <w:lang w:val="fr-CA"/>
        </w:rPr>
        <w:t xml:space="preserve">, </w:t>
      </w:r>
      <w:proofErr w:type="spellStart"/>
      <w:r w:rsidRPr="00EE7E07">
        <w:rPr>
          <w:sz w:val="20"/>
          <w:szCs w:val="20"/>
          <w:lang w:val="fr-CA"/>
        </w:rPr>
        <w:t>LeBel</w:t>
      </w:r>
      <w:proofErr w:type="spellEnd"/>
      <w:r w:rsidRPr="00EE7E07">
        <w:rPr>
          <w:sz w:val="20"/>
          <w:szCs w:val="20"/>
          <w:lang w:val="fr-CA"/>
        </w:rPr>
        <w:t xml:space="preserve">, Deschamps, Fish, Abella, Charron, </w:t>
      </w:r>
      <w:proofErr w:type="spellStart"/>
      <w:r w:rsidRPr="00EE7E07">
        <w:rPr>
          <w:sz w:val="20"/>
          <w:szCs w:val="20"/>
          <w:lang w:val="fr-CA"/>
        </w:rPr>
        <w:t>Rothstein</w:t>
      </w:r>
      <w:proofErr w:type="spellEnd"/>
      <w:r w:rsidRPr="00EE7E07">
        <w:rPr>
          <w:sz w:val="20"/>
          <w:szCs w:val="20"/>
          <w:lang w:val="fr-CA"/>
        </w:rPr>
        <w:t xml:space="preserve"> et Cromwell.</w:t>
      </w:r>
    </w:p>
    <w:p w:rsidR="00EE7E07" w:rsidRPr="00EE7E07" w:rsidRDefault="00EE7E07" w:rsidP="00EE7E07">
      <w:pPr>
        <w:pStyle w:val="SCCLowerCourtNameLowercase"/>
        <w:spacing w:line="240" w:lineRule="auto"/>
        <w:rPr>
          <w:sz w:val="20"/>
          <w:lang w:val="fr-CA"/>
        </w:rPr>
      </w:pPr>
    </w:p>
    <w:p w:rsidR="00EE7E07" w:rsidRPr="00EE7E07" w:rsidRDefault="00EE7E07" w:rsidP="00EE7E07">
      <w:pPr>
        <w:pStyle w:val="SCCNormalDoubleSpacing"/>
        <w:spacing w:line="240" w:lineRule="auto"/>
        <w:rPr>
          <w:i/>
          <w:sz w:val="20"/>
          <w:lang w:val="fr-CA"/>
        </w:rPr>
      </w:pPr>
      <w:r w:rsidRPr="00EE7E07">
        <w:rPr>
          <w:sz w:val="20"/>
          <w:lang w:val="fr-CA"/>
        </w:rPr>
        <w:tab/>
      </w:r>
      <w:r w:rsidRPr="00EE7E07">
        <w:rPr>
          <w:i/>
          <w:sz w:val="20"/>
          <w:lang w:val="fr-CA"/>
        </w:rPr>
        <w:t xml:space="preserve">Droit criminel </w:t>
      </w:r>
      <w:r w:rsidRPr="00EE7E07">
        <w:rPr>
          <w:sz w:val="20"/>
          <w:lang w:val="fr-CA"/>
        </w:rPr>
        <w:t>―</w:t>
      </w:r>
      <w:r w:rsidRPr="00EE7E07">
        <w:rPr>
          <w:i/>
          <w:sz w:val="20"/>
          <w:lang w:val="fr-CA"/>
        </w:rPr>
        <w:t xml:space="preserve"> Preuve </w:t>
      </w:r>
      <w:r w:rsidRPr="00EE7E07">
        <w:rPr>
          <w:sz w:val="20"/>
          <w:lang w:val="fr-CA"/>
        </w:rPr>
        <w:t>―</w:t>
      </w:r>
      <w:r w:rsidRPr="00EE7E07">
        <w:rPr>
          <w:i/>
          <w:sz w:val="20"/>
          <w:lang w:val="fr-CA"/>
        </w:rPr>
        <w:t xml:space="preserve"> Habilité à témoigner </w:t>
      </w:r>
      <w:r w:rsidRPr="00EE7E07">
        <w:rPr>
          <w:sz w:val="20"/>
          <w:lang w:val="fr-CA"/>
        </w:rPr>
        <w:t>―</w:t>
      </w:r>
      <w:r w:rsidRPr="00EE7E07">
        <w:rPr>
          <w:i/>
          <w:sz w:val="20"/>
          <w:lang w:val="fr-CA"/>
        </w:rPr>
        <w:t xml:space="preserve"> Adultes ayant une déficience intellectuelle </w:t>
      </w:r>
      <w:r w:rsidRPr="00EE7E07">
        <w:rPr>
          <w:sz w:val="20"/>
          <w:lang w:val="fr-CA"/>
        </w:rPr>
        <w:t>―</w:t>
      </w:r>
      <w:r w:rsidRPr="00EE7E07">
        <w:rPr>
          <w:i/>
          <w:sz w:val="20"/>
          <w:lang w:val="fr-CA"/>
        </w:rPr>
        <w:t xml:space="preserve"> Les adultes ayant une déficience intellectuelle doivent-ils démontrer qu’ils comprennent la nature de l’obligation de dire la vérité pour être réputés habiles à témoigner? </w:t>
      </w:r>
      <w:r w:rsidRPr="00EE7E07">
        <w:rPr>
          <w:sz w:val="20"/>
          <w:lang w:val="fr-CA"/>
        </w:rPr>
        <w:t>―</w:t>
      </w:r>
      <w:r w:rsidRPr="00EE7E07">
        <w:rPr>
          <w:i/>
          <w:sz w:val="20"/>
          <w:lang w:val="fr-CA"/>
        </w:rPr>
        <w:t xml:space="preserve"> La conclusion que le témoin est habile à témoigner sans qu’il ne soit démontré qu’il comprend l’obligation de dire la vérité porte-t-elle atteinte au droit de l’accusé à un procès équitable? </w:t>
      </w:r>
      <w:r w:rsidRPr="00EE7E07">
        <w:rPr>
          <w:sz w:val="20"/>
          <w:lang w:val="fr-CA"/>
        </w:rPr>
        <w:t>―</w:t>
      </w:r>
      <w:r w:rsidRPr="00EE7E07">
        <w:rPr>
          <w:i/>
          <w:sz w:val="20"/>
          <w:lang w:val="fr-CA"/>
        </w:rPr>
        <w:t xml:space="preserve"> Loi sur la preuve au Canada, L.R.C. 1985, ch. C</w:t>
      </w:r>
      <w:r w:rsidRPr="00EE7E07">
        <w:rPr>
          <w:i/>
          <w:sz w:val="20"/>
          <w:lang w:val="fr-CA"/>
        </w:rPr>
        <w:noBreakHyphen/>
        <w:t>5, art. 16.</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Le ministère public prétend que la plaignante, une femme âgée de 23 ans ayant l’âge mental d’un enfant de trois à six ans, a été agressée sexuellement de façon répétée par le conjoint de sa mère au cours des quatre années où il a vécu avec elles.  La poursuite a tenté de faire témoigner la plaignante à propos des agressions alléguées.  À l’issue d’un </w:t>
      </w:r>
      <w:proofErr w:type="spellStart"/>
      <w:r w:rsidRPr="00EE7E07">
        <w:rPr>
          <w:sz w:val="20"/>
          <w:lang w:val="fr-CA"/>
        </w:rPr>
        <w:t>voir</w:t>
      </w:r>
      <w:r w:rsidRPr="00EE7E07">
        <w:rPr>
          <w:sz w:val="20"/>
          <w:lang w:val="fr-CA"/>
        </w:rPr>
        <w:noBreakHyphen/>
        <w:t>dire</w:t>
      </w:r>
      <w:proofErr w:type="spellEnd"/>
      <w:r w:rsidRPr="00EE7E07">
        <w:rPr>
          <w:sz w:val="20"/>
          <w:lang w:val="fr-CA"/>
        </w:rPr>
        <w:t xml:space="preserve"> afin de déterminer si la plaignante était habile à témoigner, le juge du procès a conclu qu’elle n’avait pas démontré qu’elle comprenait l’obligation de dire la vérité.  À l’issue d’un autre voir-dire, le juge du procès a également exclu les déclarations extrajudiciaires que la plaignante avait faites à la police et à son enseignante au motif que ces déclarations n’étaient pas dignes de foi et que leur admission en preuve compromettrait le droit de l’accusé à un procès équitable.  Les autres éléments de preuve soulevaient de graves soupçons quant à la conduite de l’accusé, mais la preuve de la poursuite s’est effondrée et l’accusé a été acquitté.  La Cour d’appel de l’Ontario a confirmé ce résultat.</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r>
      <w:r w:rsidRPr="00EE7E07">
        <w:rPr>
          <w:i/>
          <w:sz w:val="20"/>
          <w:lang w:val="fr-CA"/>
        </w:rPr>
        <w:t xml:space="preserve">Arrêt </w:t>
      </w:r>
      <w:r w:rsidRPr="00EE7E07">
        <w:rPr>
          <w:sz w:val="20"/>
          <w:lang w:val="fr-CA"/>
        </w:rPr>
        <w:t xml:space="preserve">(les juges </w:t>
      </w:r>
      <w:proofErr w:type="spellStart"/>
      <w:r w:rsidRPr="00EE7E07">
        <w:rPr>
          <w:sz w:val="20"/>
          <w:lang w:val="fr-CA"/>
        </w:rPr>
        <w:t>Binnie</w:t>
      </w:r>
      <w:proofErr w:type="spellEnd"/>
      <w:r w:rsidRPr="00EE7E07">
        <w:rPr>
          <w:sz w:val="20"/>
          <w:lang w:val="fr-CA"/>
        </w:rPr>
        <w:t xml:space="preserve">, </w:t>
      </w:r>
      <w:proofErr w:type="spellStart"/>
      <w:r w:rsidRPr="00EE7E07">
        <w:rPr>
          <w:sz w:val="20"/>
          <w:lang w:val="fr-CA"/>
        </w:rPr>
        <w:t>LeBel</w:t>
      </w:r>
      <w:proofErr w:type="spellEnd"/>
      <w:r w:rsidRPr="00EE7E07">
        <w:rPr>
          <w:sz w:val="20"/>
          <w:lang w:val="fr-CA"/>
        </w:rPr>
        <w:t xml:space="preserve"> et Fish sont dissidents) : Le pourvoi est accueilli, l’acquittement est annulé et la tenue d’un nouveau procès est ordonnée.</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r>
      <w:r w:rsidRPr="00EE7E07">
        <w:rPr>
          <w:i/>
          <w:sz w:val="20"/>
          <w:lang w:val="fr-CA"/>
        </w:rPr>
        <w:t>La</w:t>
      </w:r>
      <w:r w:rsidRPr="00EE7E07">
        <w:rPr>
          <w:sz w:val="20"/>
          <w:lang w:val="fr-CA"/>
        </w:rPr>
        <w:t xml:space="preserve"> </w:t>
      </w:r>
      <w:r w:rsidRPr="00EE7E07">
        <w:rPr>
          <w:b/>
          <w:sz w:val="20"/>
          <w:lang w:val="fr-CA"/>
        </w:rPr>
        <w:t xml:space="preserve">juge en chef </w:t>
      </w:r>
      <w:proofErr w:type="spellStart"/>
      <w:r w:rsidRPr="00EE7E07">
        <w:rPr>
          <w:b/>
          <w:sz w:val="20"/>
          <w:lang w:val="fr-CA"/>
        </w:rPr>
        <w:t>McLachlin</w:t>
      </w:r>
      <w:proofErr w:type="spellEnd"/>
      <w:r w:rsidRPr="00EE7E07">
        <w:rPr>
          <w:sz w:val="20"/>
          <w:lang w:val="fr-CA"/>
        </w:rPr>
        <w:t xml:space="preserve"> et les juges Deschamps, Abella, Charron, </w:t>
      </w:r>
      <w:proofErr w:type="spellStart"/>
      <w:r w:rsidRPr="00EE7E07">
        <w:rPr>
          <w:sz w:val="20"/>
          <w:lang w:val="fr-CA"/>
        </w:rPr>
        <w:t>Rothstein</w:t>
      </w:r>
      <w:proofErr w:type="spellEnd"/>
      <w:r w:rsidRPr="00EE7E07">
        <w:rPr>
          <w:sz w:val="20"/>
          <w:lang w:val="fr-CA"/>
        </w:rPr>
        <w:t xml:space="preserve"> et Cromwell :</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La question en litige est de savoir si le juge du procès a correctement interprété les prescriptions de l’art. 16 de la </w:t>
      </w:r>
      <w:r w:rsidRPr="00EE7E07">
        <w:rPr>
          <w:i/>
          <w:sz w:val="20"/>
          <w:lang w:val="fr-CA"/>
        </w:rPr>
        <w:t>Loi sur la preuve au Canada</w:t>
      </w:r>
      <w:r w:rsidRPr="00EE7E07">
        <w:rPr>
          <w:sz w:val="20"/>
          <w:lang w:val="fr-CA"/>
        </w:rPr>
        <w:t xml:space="preserve"> relativement à l’habilité à témoigner des personnes âgées de 14 ans ou plus (adultes) ayant une déficience intellectuelle.  Le paragraphe 16(3) impose deux conditions relativement à l’habilité à témoigner d’un adulte ayant une déficience intellectuelle : (1) la capacité de communiquer les faits dans son témoignage et (2) une promesse de dire la vérité.  Il n’est ni nécessaire, ni même souhaitable, de poser des questions de nature abstraite à la personne afin de voir si elle comprend la différence entre la vérité et la fausseté, l’obligation de dire la vérité devant le tribunal, et ce qui rend une promesse obligatoire.  Le libellé explicite du par. 16(3) met l’accent sur les actes concrets que sont la communication et la promesse.  Les juges ne devraient pas ajouter d’autres éléments aux deux conditions qu’impose le par. 16(3).  Une telle approche ne vide pas de son sens la promesse de dire la vérité.  Des adultes ayant une déficience intellectuelle peuvent concrètement faire la différence entre la vérité et le mensonge et savoir qu’ils doivent dire la vérité sans être capables d’expliquer en termes abstraits ce que signifie dire la vérité.  Lorsqu’un tel témoin promet de dire la vérité, cela confirme le caractère sérieux de la situation et la nécessité de dire ce qui s’est vraiment produit.</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Dans la mesure où les autorités prétendent que le par. 16(3) exige une compréhension, dans l’abstrait, de l’obligation de dire la vérité, elles doivent être rejetées.  Cette exigence découlait d’une version de l’art. 16 qui </w:t>
      </w:r>
      <w:proofErr w:type="gramStart"/>
      <w:r w:rsidRPr="00EE7E07">
        <w:rPr>
          <w:sz w:val="20"/>
          <w:lang w:val="fr-CA"/>
        </w:rPr>
        <w:t>prévoyait</w:t>
      </w:r>
      <w:proofErr w:type="gramEnd"/>
      <w:r w:rsidRPr="00EE7E07">
        <w:rPr>
          <w:sz w:val="20"/>
          <w:lang w:val="fr-CA"/>
        </w:rPr>
        <w:t xml:space="preserve"> explicitement que le témoin « </w:t>
      </w:r>
      <w:proofErr w:type="spellStart"/>
      <w:r w:rsidRPr="00EE7E07">
        <w:rPr>
          <w:sz w:val="20"/>
          <w:lang w:val="fr-CA"/>
        </w:rPr>
        <w:t>compren</w:t>
      </w:r>
      <w:proofErr w:type="spellEnd"/>
      <w:r w:rsidRPr="00EE7E07">
        <w:rPr>
          <w:sz w:val="20"/>
          <w:lang w:val="fr-CA"/>
        </w:rPr>
        <w:t>[ne] le devoir de dire la vérité ».  Bien que le législateur ait éliminé cette exigence en 1987, les tribunaux ont maintenu l’exigence d’établir que les enfants qui témoignent comprennent l’obligation de dire la vérité.  En réponse, le législateur a adopté le par. 16.1(7), qui interdit explicitement de tels interrogatoires lorsque des enfants sont en cause.  Toutefois, l’interdiction prévue au par. 16.1(7) ne nous oblige pas à déduire que les adultes ayant une déficience intellectuelle doivent être interrogés sur l’obligation de dire la vérité.  Premièrement, parce que le par. 16(3) exigeait simplement une promesse de dire la vérité, il n’était pas nécessaire que le législateur interdise de tels interrogatoires dans le cas d’adultes ayant une déficience intellectuelle.  Deuxièmement, étant donné que le par. 16(3) exigeait simplement une promesse de dire la vérité, il n’était pas nécessaire que le législateur adopte une disposition similaire en ce qui concerne le par. 16(3).  Troisièmement, l’adoption du par. 16.1(7) ne permettait pas d’inférer que l’interprétation judiciaire du par. 16(3) relativement aux enfants s’appliquait aux adultes.  Aucune inférence quant au sens du par. 16(3) ne découle de la simple adoption du par. 16.1(7) relativement aux enfants, et la nouvelle édiction du par. 16(3) ne permet pas d’inférer que le législateur a adopté l’interprétation judiciaire de la disposition qui prévalait à l’époque de la nouvelle édiction.  Quatrièmement, l’absence, à l’art. 16, d’une disposition équivalente au par. 16.1(7) ne signifie pas que les adultes ayant une déficience intellectuelle doivent démontrer qu’ils comprennent la nature de l’obligation de dire la vérité afin de pouvoir témoigner ― le par. 16(3) énonce deux conditions relatives à l’habilité à témoigner des adultes ayant une déficience intellectuelle, et il n’y a rien d’autre à y incorporer.  Cinquièmement, il n’est pas nécessaire d’établir, sauf s’il peut être démontré qu’ils sont comme les enfants, ou leur ressemblent, que les adultes ayant une déficience intellectuelle doivent subir un interrogatoire pour que l’on vérifie, avant de déterminer s’ils sont habiles à témoigner, qu’ils comprennent la nature de l’obligation de dire la vérité.</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Les considérations de politique générale qui </w:t>
      </w:r>
      <w:proofErr w:type="spellStart"/>
      <w:r w:rsidRPr="00EE7E07">
        <w:rPr>
          <w:sz w:val="20"/>
          <w:lang w:val="fr-CA"/>
        </w:rPr>
        <w:t>sous</w:t>
      </w:r>
      <w:r w:rsidRPr="00EE7E07">
        <w:rPr>
          <w:sz w:val="20"/>
          <w:lang w:val="fr-CA"/>
        </w:rPr>
        <w:noBreakHyphen/>
        <w:t>tendent</w:t>
      </w:r>
      <w:proofErr w:type="spellEnd"/>
      <w:r w:rsidRPr="00EE7E07">
        <w:rPr>
          <w:sz w:val="20"/>
          <w:lang w:val="fr-CA"/>
        </w:rPr>
        <w:t xml:space="preserve"> la question, à savoir traduire en justice les agresseurs et garantir la tenue d’un procès équitable pour l’accusé ainsi que prévenir les déclarations de culpabilité injustifiées, militent également en faveur de permettre aux adultes ayant une déficience intellectuelle de témoigner.  En ce qui concerne la première considération, rejeter le témoignage de victimes alléguées au motif qu’elles ne peuvent pas expliquer en termes philosophiques la nature de l’obligation de dire la vérité équivaudrait à écarter des témoignages fiables et pertinents, à dégager une catégorie entière de contrevenants de toute responsabilité criminelle relativement à leurs actes, et à marginaliser davantage les victimes déjà vulnérables des prédateurs sexuels.  Pour ce qui est de la deuxième considération, permettre à l’adulte ayant une déficience intellectuelle de témoigner dans le cas où il est capable de communiquer les faits dans son témoignage et de promettre de dire la vérité ne rend pas le procès inéquitable.  En règle générale, le seuil de fiabilité est satisfait s’il est établi que le témoin a la faculté de comprendre les questions qui lui sont posées et d’y répondre, et si le témoin comprend qu’après avoir prêté serment ou fait une promesse ou une affirmation solennelle, il doit dire la vérité.  Rien ne garantit qu’un témoin dira la vérité — on recherche simplement dans le cadre du procès un indice élémentaire de fiabilité.  Cela, combiné aux règles régissant l’admissibilité et le poids de la preuve, permet de garantir qu’un verdict de culpabilité soit étayé par des éléments de preuve exacts et crédibles et que le procès de l’accusé soit équitable.</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Lorsqu’il s’agit d’appliquer le par. 16(3) dans le contexte de la </w:t>
      </w:r>
      <w:r w:rsidRPr="00EE7E07">
        <w:rPr>
          <w:i/>
          <w:sz w:val="20"/>
          <w:lang w:val="fr-CA"/>
        </w:rPr>
        <w:t>Loi sur la preuve au Canada</w:t>
      </w:r>
      <w:r w:rsidRPr="00EE7E07">
        <w:rPr>
          <w:sz w:val="20"/>
          <w:lang w:val="fr-CA"/>
        </w:rPr>
        <w:t xml:space="preserve">, il faut tenir compte de huit considérations.  Premièrement, le </w:t>
      </w:r>
      <w:proofErr w:type="spellStart"/>
      <w:r w:rsidRPr="00EE7E07">
        <w:rPr>
          <w:sz w:val="20"/>
          <w:lang w:val="fr-CA"/>
        </w:rPr>
        <w:t>voir</w:t>
      </w:r>
      <w:r w:rsidRPr="00EE7E07">
        <w:rPr>
          <w:sz w:val="20"/>
          <w:lang w:val="fr-CA"/>
        </w:rPr>
        <w:noBreakHyphen/>
        <w:t>dire</w:t>
      </w:r>
      <w:proofErr w:type="spellEnd"/>
      <w:r w:rsidRPr="00EE7E07">
        <w:rPr>
          <w:sz w:val="20"/>
          <w:lang w:val="fr-CA"/>
        </w:rPr>
        <w:t xml:space="preserve"> relatif à l’habilité à témoigner d’un témoin éventuel constitue une enquête indépendante : il ne peut être combiné à un </w:t>
      </w:r>
      <w:proofErr w:type="spellStart"/>
      <w:r w:rsidRPr="00EE7E07">
        <w:rPr>
          <w:sz w:val="20"/>
          <w:lang w:val="fr-CA"/>
        </w:rPr>
        <w:t>voir</w:t>
      </w:r>
      <w:r w:rsidRPr="00EE7E07">
        <w:rPr>
          <w:sz w:val="20"/>
          <w:lang w:val="fr-CA"/>
        </w:rPr>
        <w:noBreakHyphen/>
        <w:t>dire</w:t>
      </w:r>
      <w:proofErr w:type="spellEnd"/>
      <w:r w:rsidRPr="00EE7E07">
        <w:rPr>
          <w:sz w:val="20"/>
          <w:lang w:val="fr-CA"/>
        </w:rPr>
        <w:t xml:space="preserve"> relatif à d’autres questions.  Deuxièmement, le </w:t>
      </w:r>
      <w:proofErr w:type="spellStart"/>
      <w:r w:rsidRPr="00EE7E07">
        <w:rPr>
          <w:sz w:val="20"/>
          <w:lang w:val="fr-CA"/>
        </w:rPr>
        <w:t>voir</w:t>
      </w:r>
      <w:r w:rsidRPr="00EE7E07">
        <w:rPr>
          <w:sz w:val="20"/>
          <w:lang w:val="fr-CA"/>
        </w:rPr>
        <w:noBreakHyphen/>
        <w:t>dire</w:t>
      </w:r>
      <w:proofErr w:type="spellEnd"/>
      <w:r w:rsidRPr="00EE7E07">
        <w:rPr>
          <w:sz w:val="20"/>
          <w:lang w:val="fr-CA"/>
        </w:rPr>
        <w:t xml:space="preserve"> devrait être bref, mais non précipité.  Il est préférable d’entendre toute la preuve pertinente disponible pouvant raisonnablement être prise en considération avant d’empêcher une personne de témoigner.  Troisièmement, la source principale de preuve lorsqu’il s’agit de déterminer si une personne est habile à témoigner est la personne </w:t>
      </w:r>
      <w:proofErr w:type="spellStart"/>
      <w:r w:rsidRPr="00EE7E07">
        <w:rPr>
          <w:sz w:val="20"/>
          <w:lang w:val="fr-CA"/>
        </w:rPr>
        <w:t>elle</w:t>
      </w:r>
      <w:r w:rsidRPr="00EE7E07">
        <w:rPr>
          <w:sz w:val="20"/>
          <w:lang w:val="fr-CA"/>
        </w:rPr>
        <w:noBreakHyphen/>
        <w:t>même</w:t>
      </w:r>
      <w:proofErr w:type="spellEnd"/>
      <w:r w:rsidRPr="00EE7E07">
        <w:rPr>
          <w:sz w:val="20"/>
          <w:lang w:val="fr-CA"/>
        </w:rPr>
        <w:t xml:space="preserve">.  Son interrogatoire devrait être autorisé.  Pour interroger un adulte ayant une déficience intellectuelle, il faut tenir compte de ses besoins particuliers et prendre les mesures d’adaptation qui s’imposent; les questions devraient être formulées patiemment, de façon claire et simple.  Quatrièmement, les personnes de l’entourage qui connaissent personnellement le témoin éventuel sont les mieux placées pour comprendre son état quotidien.  Elles peuvent être appelées, à titre de témoins des faits, à témoigner sur son développement.  Cinquièmement, une preuve d’expert peut être produite si elle satisfait aux critères d’admissibilité; on préfère cependant toujours le témoignage d’experts ayant eu un contact personnel et régulier avec le témoin éventuel.  Sixièmement, le juge du procès doit répondre à deux questions durant le </w:t>
      </w:r>
      <w:proofErr w:type="spellStart"/>
      <w:r w:rsidRPr="00EE7E07">
        <w:rPr>
          <w:sz w:val="20"/>
          <w:lang w:val="fr-CA"/>
        </w:rPr>
        <w:t>voir</w:t>
      </w:r>
      <w:r w:rsidRPr="00EE7E07">
        <w:rPr>
          <w:sz w:val="20"/>
          <w:lang w:val="fr-CA"/>
        </w:rPr>
        <w:noBreakHyphen/>
        <w:t>dire</w:t>
      </w:r>
      <w:proofErr w:type="spellEnd"/>
      <w:r w:rsidRPr="00EE7E07">
        <w:rPr>
          <w:sz w:val="20"/>
          <w:lang w:val="fr-CA"/>
        </w:rPr>
        <w:t xml:space="preserve"> relatif à l’habilité à témoigner : (a) le témoin éventuel </w:t>
      </w:r>
      <w:proofErr w:type="spellStart"/>
      <w:r w:rsidRPr="00EE7E07">
        <w:rPr>
          <w:sz w:val="20"/>
          <w:lang w:val="fr-CA"/>
        </w:rPr>
        <w:t>comprend</w:t>
      </w:r>
      <w:r w:rsidRPr="00EE7E07">
        <w:rPr>
          <w:sz w:val="20"/>
          <w:lang w:val="fr-CA"/>
        </w:rPr>
        <w:noBreakHyphen/>
        <w:t>t</w:t>
      </w:r>
      <w:r w:rsidRPr="00EE7E07">
        <w:rPr>
          <w:sz w:val="20"/>
          <w:lang w:val="fr-CA"/>
        </w:rPr>
        <w:noBreakHyphen/>
        <w:t>il</w:t>
      </w:r>
      <w:proofErr w:type="spellEnd"/>
      <w:r w:rsidRPr="00EE7E07">
        <w:rPr>
          <w:sz w:val="20"/>
          <w:lang w:val="fr-CA"/>
        </w:rPr>
        <w:t xml:space="preserve"> la nature du serment ou de l’affirmation solennelle, et (b) </w:t>
      </w:r>
      <w:proofErr w:type="spellStart"/>
      <w:r w:rsidRPr="00EE7E07">
        <w:rPr>
          <w:sz w:val="20"/>
          <w:lang w:val="fr-CA"/>
        </w:rPr>
        <w:t>est</w:t>
      </w:r>
      <w:r w:rsidRPr="00EE7E07">
        <w:rPr>
          <w:sz w:val="20"/>
          <w:lang w:val="fr-CA"/>
        </w:rPr>
        <w:noBreakHyphen/>
        <w:t>il</w:t>
      </w:r>
      <w:proofErr w:type="spellEnd"/>
      <w:r w:rsidRPr="00EE7E07">
        <w:rPr>
          <w:sz w:val="20"/>
          <w:lang w:val="fr-CA"/>
        </w:rPr>
        <w:t xml:space="preserve"> capable de communiquer les faits dans son témoignage?  Septièmement, pour répondre à la deuxième question relative à la capacité de la personne de communiquer les faits dans son témoignage, le juge du procès doit vérifier de façon générale si la personne est capable de relater des faits concrets en comprenant les questions qui lui sont posées et en y répondant.  Il peut être utile de se demander si la personne est en mesure de différencier entre de vraies et de fausses affirmations factuelles de tous les jours.  Finalement, la personne peut témoigner sous serment ou affirmation solennelle si elle satisfait aux deux volets du critère, ou, si elle satisfait uniquement au deuxième volet, en promettant de dire la vérité.</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En l’espèce, le juge du procès a commis une erreur en n’examinant pas le deuxième volet du critère établi à l’art. 16.  Cette erreur de droit l’a amené à conclure que la plaignante n’était pas habile à témoigner.  Des commentaires formulés par le juge du procès à d’autres étapes de l’instruction ou le principe de la déférence judiciaire ne peuvent corriger cette erreur.</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r>
      <w:r w:rsidRPr="00EE7E07">
        <w:rPr>
          <w:i/>
          <w:sz w:val="20"/>
          <w:lang w:val="fr-CA"/>
        </w:rPr>
        <w:t>Les</w:t>
      </w:r>
      <w:r w:rsidRPr="00EE7E07">
        <w:rPr>
          <w:sz w:val="20"/>
          <w:lang w:val="fr-CA"/>
        </w:rPr>
        <w:t xml:space="preserve"> juges </w:t>
      </w:r>
      <w:proofErr w:type="spellStart"/>
      <w:r w:rsidRPr="00EE7E07">
        <w:rPr>
          <w:b/>
          <w:sz w:val="20"/>
          <w:lang w:val="fr-CA"/>
        </w:rPr>
        <w:t>Binnie</w:t>
      </w:r>
      <w:proofErr w:type="spellEnd"/>
      <w:r w:rsidRPr="00EE7E07">
        <w:rPr>
          <w:sz w:val="20"/>
          <w:lang w:val="fr-CA"/>
        </w:rPr>
        <w:t xml:space="preserve">, </w:t>
      </w:r>
      <w:proofErr w:type="spellStart"/>
      <w:r w:rsidRPr="00EE7E07">
        <w:rPr>
          <w:sz w:val="20"/>
          <w:lang w:val="fr-CA"/>
        </w:rPr>
        <w:t>LeBel</w:t>
      </w:r>
      <w:proofErr w:type="spellEnd"/>
      <w:r w:rsidRPr="00EE7E07">
        <w:rPr>
          <w:sz w:val="20"/>
          <w:lang w:val="fr-CA"/>
        </w:rPr>
        <w:t xml:space="preserve"> et Fish (dissidents) :</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Les juges majoritaires diluent de façon inacceptable la protection que le législateur voulait accorder aux accusées en transformant la directive du législateur, qui permet à une personne « dont la capacité mentale est mise en question » de témoigner « en promettant de dire la vérité », en une formalité vide de sens — le témoin éventuel ne fait que prononcer les mots « je promets » sans que l’on vérifie s’il accorde de l’importance à sa promesse.</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L’art. 16 ne requiert qu’une seule enquête qui présente au juge du procès trois possibilités à l’égard d’une personne dont la capacité mentale est mise en question.  Selon le par. 16(2), si cette personne est capable de communiquer les faits dans son témoignage et comprend la nature du serment ou de l’affirmation solennelle au sens de la conduite sociale ordinaire de la vie quotidienne, elle témoignera sous serment ou affirmation solennelle.  Si la personne est capable de communiquer les faits dans son témoignage mais ne comprend pas la nature du serment ou de l’affirmation solennelle, le par. 16(3) prévoit qu’elle peut témoigner sans prêter serment en promettant de dire la vérité.  Si la personne dont la capacité mentale est mise en question ne satisfait à ni l’une ni l’autre de ces exigences, le par. 16(4) prévoit qu’elle ne peut témoigner.</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Il y a accord avec les juges de la majorité pour dire que </w:t>
      </w:r>
      <w:r w:rsidRPr="00EE7E07">
        <w:rPr>
          <w:rFonts w:eastAsiaTheme="minorHAnsi"/>
          <w:sz w:val="20"/>
          <w:lang w:val="fr-CA"/>
        </w:rPr>
        <w:t>la promesse est un acte visant à renforcer, dans l’esprit du témoin éventuel, le caractère sérieux de la situation et l’importance de répondre de façon prudente et correcte.  La promesse sert donc un objectif pratique et prophylactique</w:t>
      </w:r>
      <w:r w:rsidRPr="00EE7E07">
        <w:rPr>
          <w:sz w:val="20"/>
          <w:lang w:val="fr-CA"/>
        </w:rPr>
        <w:t xml:space="preserve">.  On ne saurait toutefois affirmer qu’un juge du procès ne peut pas tenter de déterminer — en termes concrets de la vie quotidienne — si un tel effet </w:t>
      </w:r>
      <w:r w:rsidRPr="00EE7E07">
        <w:rPr>
          <w:rFonts w:eastAsiaTheme="minorHAnsi"/>
          <w:sz w:val="20"/>
          <w:lang w:val="fr-CA"/>
        </w:rPr>
        <w:t>prophylactique</w:t>
      </w:r>
      <w:r w:rsidRPr="00EE7E07">
        <w:rPr>
          <w:sz w:val="20"/>
          <w:lang w:val="fr-CA"/>
        </w:rPr>
        <w:t xml:space="preserve"> existe effectivement dans le cas d’une personne dont la capacité mentale est mise en question.  Si cette personne est à ce point </w:t>
      </w:r>
      <w:proofErr w:type="gramStart"/>
      <w:r w:rsidRPr="00EE7E07">
        <w:rPr>
          <w:sz w:val="20"/>
          <w:lang w:val="fr-CA"/>
        </w:rPr>
        <w:t>déficiente</w:t>
      </w:r>
      <w:proofErr w:type="gramEnd"/>
      <w:r w:rsidRPr="00EE7E07">
        <w:rPr>
          <w:sz w:val="20"/>
          <w:lang w:val="fr-CA"/>
        </w:rPr>
        <w:t xml:space="preserve"> qu’elle ne comprend pas </w:t>
      </w:r>
      <w:r w:rsidRPr="00EE7E07">
        <w:rPr>
          <w:rFonts w:eastAsiaTheme="minorHAnsi"/>
          <w:sz w:val="20"/>
          <w:lang w:val="fr-CA"/>
        </w:rPr>
        <w:t>le caractère sérieux de la situation et l’importance de répondre de façon prudente et correcte</w:t>
      </w:r>
      <w:r w:rsidRPr="00EE7E07">
        <w:rPr>
          <w:sz w:val="20"/>
          <w:lang w:val="fr-CA"/>
        </w:rPr>
        <w:t xml:space="preserve">, il n’y a aucun effet </w:t>
      </w:r>
      <w:r w:rsidRPr="00EE7E07">
        <w:rPr>
          <w:rFonts w:eastAsiaTheme="minorHAnsi"/>
          <w:sz w:val="20"/>
          <w:lang w:val="fr-CA"/>
        </w:rPr>
        <w:t>prophylactique</w:t>
      </w:r>
      <w:r w:rsidRPr="00EE7E07">
        <w:rPr>
          <w:sz w:val="20"/>
          <w:lang w:val="fr-CA"/>
        </w:rPr>
        <w:t xml:space="preserve"> et le droit de l’accusé à un procès équitable aux termes de l’art. 16 </w:t>
      </w:r>
      <w:proofErr w:type="gramStart"/>
      <w:r w:rsidRPr="00EE7E07">
        <w:rPr>
          <w:sz w:val="20"/>
          <w:lang w:val="fr-CA"/>
        </w:rPr>
        <w:t>adopté</w:t>
      </w:r>
      <w:proofErr w:type="gramEnd"/>
      <w:r w:rsidRPr="00EE7E07">
        <w:rPr>
          <w:sz w:val="20"/>
          <w:lang w:val="fr-CA"/>
        </w:rPr>
        <w:t xml:space="preserve"> en 1987 subit une atteinte injustifiée.</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En 2005, lorsque le législateur a modifié la </w:t>
      </w:r>
      <w:r w:rsidRPr="00EE7E07">
        <w:rPr>
          <w:i/>
          <w:iCs/>
          <w:sz w:val="20"/>
          <w:lang w:val="fr-CA"/>
        </w:rPr>
        <w:t>Loi sur la preuve au Canada</w:t>
      </w:r>
      <w:r w:rsidRPr="00EE7E07">
        <w:rPr>
          <w:iCs/>
          <w:sz w:val="20"/>
          <w:lang w:val="fr-CA"/>
        </w:rPr>
        <w:t xml:space="preserve"> pour interdire que l’on pose aux enfants appelés à témoigner </w:t>
      </w:r>
      <w:r w:rsidRPr="00EE7E07">
        <w:rPr>
          <w:sz w:val="20"/>
          <w:lang w:val="fr-CA"/>
        </w:rPr>
        <w:t>« </w:t>
      </w:r>
      <w:r w:rsidRPr="00EE7E07">
        <w:rPr>
          <w:iCs/>
          <w:sz w:val="20"/>
          <w:lang w:val="fr-CA"/>
        </w:rPr>
        <w:t>a</w:t>
      </w:r>
      <w:r w:rsidRPr="00EE7E07">
        <w:rPr>
          <w:sz w:val="20"/>
          <w:lang w:val="fr-CA"/>
        </w:rPr>
        <w:t xml:space="preserve">ucune question sur la compréhension de la nature de la promesse » (par. 16.1(7), la preuve empirique soumise au législateur se rapportait exclusivement aux enfants.  Aucune étude empirique de ce genre n’a été effectuée relativement aux adultes ayant une déficience intellectuelle.  Dans le cas de ces adultes, aucune règle interdisant de poser des questions n’a été proposée, et encore moins adoptée.  </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Il y a accord avec les juge de la majorité pour dire que les mots « en promettant de dire la vérité » au par. 16(3) doivent avoir le même sens que les mots « promettre [. . .] de dire la vérité » au par. 16.1(6).  Cela étant, les juges majoritaires doivent incorporer, au par. 16(3) applicable uniquement aux adultes ayant une déficience intellectuelle, la règle du par. 16.1(7) interdisant de poser des questions, qui s’applique uniquement aux enfants, afin d’atténuer l’expression « en promettant de dire la vérité » au par. 16(3) et de traiter sur un pied d’égalité, pour le besoin de l’art. 16, les adultes ayant une déficience intellectuelle et les enfants n’ayant pas de déficience intellectuelle.  Le fait pour les psychiatres de classer en fonction de l’âge mental les personnes ayant une déficience intellectuelle ne signifie pas qu’un adulte ayant l’âge mental d’un enfant de six ans soit sur un pied d’égalité avec un enfant âgé de six ans n’ayant aucune déficience intellectuelle </w:t>
      </w:r>
      <w:r w:rsidRPr="00EE7E07">
        <w:rPr>
          <w:sz w:val="20"/>
          <w:lang w:val="fr-CA"/>
        </w:rPr>
        <w:noBreakHyphen/>
      </w:r>
      <w:r w:rsidRPr="00EE7E07">
        <w:rPr>
          <w:sz w:val="20"/>
          <w:lang w:val="fr-CA"/>
        </w:rPr>
        <w:noBreakHyphen/>
        <w:t xml:space="preserve"> un enfant de six ans ayant la capacité mentale d’un enfant de six ans n’a pas une déficience intellectuelle.  Aucun élément de preuve laissant croire que cette équivalence existe n’a été soumis et nous ne pouvons pas prendre connaissance d’office de « faits » allégués qui ne sont ni notoires, ni facilement vérifiables en ayant recours aux sources incontestées.</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Dans le cadre d’un </w:t>
      </w:r>
      <w:proofErr w:type="spellStart"/>
      <w:r w:rsidRPr="00EE7E07">
        <w:rPr>
          <w:sz w:val="20"/>
          <w:lang w:val="fr-CA"/>
        </w:rPr>
        <w:t>voir</w:t>
      </w:r>
      <w:r w:rsidRPr="00EE7E07">
        <w:rPr>
          <w:sz w:val="20"/>
          <w:lang w:val="fr-CA"/>
        </w:rPr>
        <w:noBreakHyphen/>
        <w:t>dire</w:t>
      </w:r>
      <w:proofErr w:type="spellEnd"/>
      <w:r w:rsidRPr="00EE7E07">
        <w:rPr>
          <w:i/>
          <w:sz w:val="20"/>
          <w:lang w:val="fr-CA"/>
        </w:rPr>
        <w:t xml:space="preserve"> </w:t>
      </w:r>
      <w:r w:rsidRPr="00EE7E07">
        <w:rPr>
          <w:sz w:val="20"/>
          <w:lang w:val="fr-CA"/>
        </w:rPr>
        <w:t xml:space="preserve">relatif à l’habileté à témoigner, où la capacité mentale d’une personne adulte est mise en question et cette personne est assignée à témoigner, le tribunal peut admettre les dépositions de témoins des faits qui connaissent bien les habiletés du témoin éventuel à s’exprimer et à comprendre, ainsi que ses limites, et ce, afin d’aider le tribunal à mieux saisir les capacités de la personne.  Ces témoins ne seraient pas en mesure d’exprimer une opinion d’expert, mais ils pourraient témoigner à propos de ce qu’ils ont eux-mêmes directement observé chez le témoin éventuel.  La preuve pourrait, si le juge du procès l’estime utile, aider le juge ou le jury à apprécier les réponses (ou l’absence de réponse) que lui donne la personne qui témoigne.  Cependant, c’est le juge qui, en fin de compte, doit former sa propre opinion éclairée au sujet de la capacité mentale du témoin éventuel.  </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En l’espèce, le juge du procès avait de sérieuses réserves quant à la capacité de la plaignante de communiquer les faits dans son témoignage.  Les réponses de la plaignante à une série de questions simples et concrètes ont entièrement convaincu le juge qu’elle ne comprenait pas ce que la promesse de dire la vérité signifie.  L’instance reposait en grande partie sur l’importance des réponses de la plaignante lorsqu’elle répétait « je ne sais pas ».  De toute évidence, il s’agissait d’un avantage important pour le juge du procès d’être témoin de l’enchaînement des questions et des réponses et de déterminer si la plaignante était réellement capable de computer les questions posées et d’y répondre.  La bonne foi de la plaignante n’était aucunement en cause, mais elle aurait quand même pu se tromper pour ce qui est de percevoir ou de se rappeler les faits, et l’épreuve du </w:t>
      </w:r>
      <w:proofErr w:type="spellStart"/>
      <w:r w:rsidRPr="00EE7E07">
        <w:rPr>
          <w:sz w:val="20"/>
          <w:lang w:val="fr-CA"/>
        </w:rPr>
        <w:t>contre</w:t>
      </w:r>
      <w:r w:rsidRPr="00EE7E07">
        <w:rPr>
          <w:sz w:val="20"/>
          <w:lang w:val="fr-CA"/>
        </w:rPr>
        <w:noBreakHyphen/>
        <w:t>interrogatoire</w:t>
      </w:r>
      <w:proofErr w:type="spellEnd"/>
      <w:r w:rsidRPr="00EE7E07">
        <w:rPr>
          <w:sz w:val="20"/>
          <w:lang w:val="fr-CA"/>
        </w:rPr>
        <w:t xml:space="preserve"> était inutile puisqu’il n’y avait aucun moyen sûr de vérifier sa crédibilité.  Son incapacité de comprendre des questions simples et y répondre signifiait que son témoignage ne pourrait effectivement être attaqué par la défense, ce qui porterait atteinte à l’intérêt de la société et au droit de l’accusé à un procès équitable.  Siégeant en appel de cette décision, et n’ayant pas eu l’avantage d’observer et d’interroger la plaignante, il n’y a aucune raison valable d’infirmer l’appréciation, par le juge, de sa capacité mentale.</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Le fait que le juge du procès ait conclu que la plaignante n’avait pas la capacité de percevoir, de se souvenir et de raconter ce qui s’est passé et de comprendre la différence entre la vérité et la fausseté l’a amené, mais pas de façon automatique, à conclure que le témoignage de la plaignante n’était pas suffisamment fiable.  Il n’était pas surprenant, et ce n’était pas une erreur, que le raisonnement du juge du procès sur la question du seuil de fiabilité dans sa décision relative </w:t>
      </w:r>
      <w:proofErr w:type="gramStart"/>
      <w:r w:rsidRPr="00EE7E07">
        <w:rPr>
          <w:sz w:val="20"/>
          <w:lang w:val="fr-CA"/>
        </w:rPr>
        <w:t xml:space="preserve">au </w:t>
      </w:r>
      <w:proofErr w:type="spellStart"/>
      <w:r w:rsidRPr="00EE7E07">
        <w:rPr>
          <w:sz w:val="20"/>
          <w:lang w:val="fr-CA"/>
        </w:rPr>
        <w:t>ouï</w:t>
      </w:r>
      <w:r w:rsidRPr="00EE7E07">
        <w:rPr>
          <w:sz w:val="20"/>
          <w:lang w:val="fr-CA"/>
        </w:rPr>
        <w:noBreakHyphen/>
        <w:t>dire</w:t>
      </w:r>
      <w:proofErr w:type="spellEnd"/>
      <w:proofErr w:type="gramEnd"/>
      <w:r w:rsidRPr="00EE7E07">
        <w:rPr>
          <w:sz w:val="20"/>
          <w:lang w:val="fr-CA"/>
        </w:rPr>
        <w:t xml:space="preserve"> ait été très semblable à son raisonnement sur le </w:t>
      </w:r>
      <w:proofErr w:type="spellStart"/>
      <w:r w:rsidRPr="00EE7E07">
        <w:rPr>
          <w:sz w:val="20"/>
          <w:lang w:val="fr-CA"/>
        </w:rPr>
        <w:t>voir</w:t>
      </w:r>
      <w:r w:rsidRPr="00EE7E07">
        <w:rPr>
          <w:sz w:val="20"/>
          <w:lang w:val="fr-CA"/>
        </w:rPr>
        <w:noBreakHyphen/>
        <w:t>dire</w:t>
      </w:r>
      <w:proofErr w:type="spellEnd"/>
      <w:r w:rsidRPr="00EE7E07">
        <w:rPr>
          <w:sz w:val="20"/>
          <w:lang w:val="fr-CA"/>
        </w:rPr>
        <w:t xml:space="preserve"> prévu à l’art. 16.  Comme il a eu l’avantage de voir et d’entendre la plaignante, la Cour devrait aussi maintenir la décision du juge du procès d’exclure ses déclarations extrajudiciaires.</w:t>
      </w:r>
    </w:p>
    <w:p w:rsidR="00EE7E07" w:rsidRPr="00EE7E07" w:rsidRDefault="00EE7E07" w:rsidP="00EE7E07">
      <w:pPr>
        <w:pStyle w:val="SCCNormalDoubleSpacing"/>
        <w:spacing w:line="240" w:lineRule="auto"/>
        <w:rPr>
          <w:sz w:val="20"/>
          <w:lang w:val="fr-CA"/>
        </w:rPr>
      </w:pPr>
    </w:p>
    <w:p w:rsidR="00EE7E07" w:rsidRPr="00EE7E07" w:rsidRDefault="00EE7E07" w:rsidP="00EE7E07">
      <w:pPr>
        <w:pStyle w:val="SCCNormalDoubleSpacing"/>
        <w:spacing w:line="240" w:lineRule="auto"/>
        <w:rPr>
          <w:sz w:val="20"/>
          <w:lang w:val="fr-CA"/>
        </w:rPr>
      </w:pPr>
      <w:r w:rsidRPr="00EE7E07">
        <w:rPr>
          <w:sz w:val="20"/>
          <w:lang w:val="fr-CA"/>
        </w:rPr>
        <w:tab/>
        <w:t xml:space="preserve">POURVOI contre un arrêt de la Cour d’appel de l’Ontario (les juges Doherty, </w:t>
      </w:r>
      <w:proofErr w:type="spellStart"/>
      <w:r w:rsidRPr="00EE7E07">
        <w:rPr>
          <w:sz w:val="20"/>
          <w:lang w:val="fr-CA"/>
        </w:rPr>
        <w:t>MacPherson</w:t>
      </w:r>
      <w:proofErr w:type="spellEnd"/>
      <w:r w:rsidRPr="00EE7E07">
        <w:rPr>
          <w:sz w:val="20"/>
          <w:lang w:val="fr-CA"/>
        </w:rPr>
        <w:t xml:space="preserve"> et Armstrong), 2010 ONCA 133, 260 O.A.C. 96, 252 C.C.C. (3d) 178, 73 C.R. (6th) 50, [2010] O.J. No. 665 (QL), 2010 </w:t>
      </w:r>
      <w:proofErr w:type="spellStart"/>
      <w:r w:rsidRPr="00EE7E07">
        <w:rPr>
          <w:sz w:val="20"/>
          <w:lang w:val="fr-CA"/>
        </w:rPr>
        <w:t>CarswellOnt</w:t>
      </w:r>
      <w:proofErr w:type="spellEnd"/>
      <w:r w:rsidRPr="00EE7E07">
        <w:rPr>
          <w:sz w:val="20"/>
          <w:lang w:val="fr-CA"/>
        </w:rPr>
        <w:t xml:space="preserve"> 880, qui a confirmé une décision du juge McKinnon, 2008 </w:t>
      </w:r>
      <w:proofErr w:type="spellStart"/>
      <w:r w:rsidRPr="00EE7E07">
        <w:rPr>
          <w:sz w:val="20"/>
          <w:lang w:val="fr-CA"/>
        </w:rPr>
        <w:t>CarswellOnt</w:t>
      </w:r>
      <w:proofErr w:type="spellEnd"/>
      <w:r w:rsidRPr="00EE7E07">
        <w:rPr>
          <w:sz w:val="20"/>
          <w:lang w:val="fr-CA"/>
        </w:rPr>
        <w:t xml:space="preserve"> 2637.  Pourvoi accueilli, les juges </w:t>
      </w:r>
      <w:proofErr w:type="spellStart"/>
      <w:r w:rsidRPr="00EE7E07">
        <w:rPr>
          <w:sz w:val="20"/>
          <w:lang w:val="fr-CA"/>
        </w:rPr>
        <w:t>Binnie</w:t>
      </w:r>
      <w:proofErr w:type="spellEnd"/>
      <w:r w:rsidRPr="00EE7E07">
        <w:rPr>
          <w:sz w:val="20"/>
          <w:lang w:val="fr-CA"/>
        </w:rPr>
        <w:t xml:space="preserve">, </w:t>
      </w:r>
      <w:proofErr w:type="spellStart"/>
      <w:r w:rsidRPr="00EE7E07">
        <w:rPr>
          <w:sz w:val="20"/>
          <w:lang w:val="fr-CA"/>
        </w:rPr>
        <w:t>LeBel</w:t>
      </w:r>
      <w:proofErr w:type="spellEnd"/>
      <w:r w:rsidRPr="00EE7E07">
        <w:rPr>
          <w:sz w:val="20"/>
          <w:lang w:val="fr-CA"/>
        </w:rPr>
        <w:t xml:space="preserve"> et Fish sont dissidents.</w:t>
      </w:r>
    </w:p>
    <w:p w:rsidR="00EE7E07" w:rsidRPr="00EE7E07" w:rsidRDefault="00EE7E07" w:rsidP="00EE7E07">
      <w:pPr>
        <w:pStyle w:val="SCCNormalDoubleSpacing"/>
        <w:spacing w:line="240" w:lineRule="auto"/>
        <w:rPr>
          <w:i/>
          <w:sz w:val="20"/>
          <w:lang w:val="fr-CA"/>
        </w:rPr>
      </w:pPr>
    </w:p>
    <w:p w:rsidR="00EE7E07" w:rsidRPr="00EE7E07" w:rsidRDefault="00EE7E07" w:rsidP="00EE7E07">
      <w:pPr>
        <w:pStyle w:val="SCCNormalDoubleSpacing"/>
        <w:spacing w:line="240" w:lineRule="auto"/>
        <w:rPr>
          <w:sz w:val="20"/>
          <w:lang w:val="fr-CA"/>
        </w:rPr>
      </w:pPr>
      <w:r w:rsidRPr="00EE7E07">
        <w:rPr>
          <w:i/>
          <w:sz w:val="20"/>
          <w:lang w:val="fr-CA"/>
        </w:rPr>
        <w:tab/>
        <w:t xml:space="preserve">Jamie C. </w:t>
      </w:r>
      <w:proofErr w:type="spellStart"/>
      <w:r w:rsidRPr="00EE7E07">
        <w:rPr>
          <w:i/>
          <w:sz w:val="20"/>
          <w:lang w:val="fr-CA"/>
        </w:rPr>
        <w:t>Klukach</w:t>
      </w:r>
      <w:proofErr w:type="spellEnd"/>
      <w:r w:rsidRPr="00EE7E07">
        <w:rPr>
          <w:sz w:val="20"/>
          <w:lang w:val="fr-CA"/>
        </w:rPr>
        <w:t xml:space="preserve"> et </w:t>
      </w:r>
      <w:r w:rsidRPr="00EE7E07">
        <w:rPr>
          <w:i/>
          <w:sz w:val="20"/>
          <w:lang w:val="fr-CA"/>
        </w:rPr>
        <w:t xml:space="preserve">John </w:t>
      </w:r>
      <w:proofErr w:type="spellStart"/>
      <w:r w:rsidRPr="00EE7E07">
        <w:rPr>
          <w:i/>
          <w:sz w:val="20"/>
          <w:lang w:val="fr-CA"/>
        </w:rPr>
        <w:t>Semenoff</w:t>
      </w:r>
      <w:proofErr w:type="spellEnd"/>
      <w:r w:rsidRPr="00EE7E07">
        <w:rPr>
          <w:sz w:val="20"/>
          <w:lang w:val="fr-CA"/>
        </w:rPr>
        <w:t>, pour l’appelante.</w:t>
      </w:r>
    </w:p>
    <w:p w:rsidR="00EE7E07" w:rsidRPr="00EE7E07" w:rsidRDefault="00EE7E07" w:rsidP="00EE7E07">
      <w:pPr>
        <w:pStyle w:val="SCCNormalDoubleSpacing"/>
        <w:spacing w:line="240" w:lineRule="auto"/>
        <w:rPr>
          <w:i/>
          <w:sz w:val="20"/>
          <w:lang w:val="fr-CA"/>
        </w:rPr>
      </w:pPr>
    </w:p>
    <w:p w:rsidR="00EE7E07" w:rsidRPr="00C03629" w:rsidRDefault="00EE7E07" w:rsidP="00EE7E07">
      <w:pPr>
        <w:pStyle w:val="SCCNormalDoubleSpacing"/>
        <w:spacing w:line="240" w:lineRule="auto"/>
        <w:rPr>
          <w:sz w:val="20"/>
          <w:lang w:val="en-US"/>
        </w:rPr>
      </w:pPr>
      <w:r w:rsidRPr="00EE7E07">
        <w:rPr>
          <w:i/>
          <w:sz w:val="20"/>
          <w:lang w:val="fr-CA"/>
        </w:rPr>
        <w:tab/>
      </w:r>
      <w:r w:rsidRPr="00C03629">
        <w:rPr>
          <w:i/>
          <w:sz w:val="20"/>
          <w:lang w:val="en-US"/>
        </w:rPr>
        <w:t xml:space="preserve">Howard L. </w:t>
      </w:r>
      <w:proofErr w:type="spellStart"/>
      <w:r w:rsidRPr="00C03629">
        <w:rPr>
          <w:i/>
          <w:sz w:val="20"/>
          <w:lang w:val="en-US"/>
        </w:rPr>
        <w:t>Krongold</w:t>
      </w:r>
      <w:proofErr w:type="spellEnd"/>
      <w:r w:rsidRPr="00C03629">
        <w:rPr>
          <w:i/>
          <w:sz w:val="20"/>
          <w:lang w:val="en-US"/>
        </w:rPr>
        <w:t xml:space="preserve"> </w:t>
      </w:r>
      <w:proofErr w:type="gramStart"/>
      <w:r w:rsidRPr="00C03629">
        <w:rPr>
          <w:i/>
          <w:sz w:val="20"/>
          <w:lang w:val="en-US"/>
        </w:rPr>
        <w:t>et</w:t>
      </w:r>
      <w:proofErr w:type="gramEnd"/>
      <w:r w:rsidRPr="00C03629">
        <w:rPr>
          <w:i/>
          <w:sz w:val="20"/>
          <w:lang w:val="en-US"/>
        </w:rPr>
        <w:t xml:space="preserve"> Leonardo </w:t>
      </w:r>
      <w:proofErr w:type="spellStart"/>
      <w:r w:rsidRPr="00C03629">
        <w:rPr>
          <w:i/>
          <w:sz w:val="20"/>
          <w:lang w:val="en-US"/>
        </w:rPr>
        <w:t>Russomanno</w:t>
      </w:r>
      <w:proofErr w:type="spellEnd"/>
      <w:r w:rsidRPr="00C03629">
        <w:rPr>
          <w:sz w:val="20"/>
          <w:lang w:val="en-US"/>
        </w:rPr>
        <w:t xml:space="preserve">, pour </w:t>
      </w:r>
      <w:proofErr w:type="spellStart"/>
      <w:r w:rsidRPr="00C03629">
        <w:rPr>
          <w:sz w:val="20"/>
          <w:lang w:val="en-US"/>
        </w:rPr>
        <w:t>l’intimé</w:t>
      </w:r>
      <w:proofErr w:type="spellEnd"/>
      <w:r w:rsidRPr="00C03629">
        <w:rPr>
          <w:sz w:val="20"/>
          <w:lang w:val="en-US"/>
        </w:rPr>
        <w:t>.</w:t>
      </w:r>
    </w:p>
    <w:p w:rsidR="00EE7E07" w:rsidRDefault="00EE7E07" w:rsidP="00EE7E07">
      <w:pPr>
        <w:pStyle w:val="SCCNormalDoubleSpacing"/>
        <w:spacing w:line="240" w:lineRule="auto"/>
        <w:rPr>
          <w:i/>
          <w:sz w:val="20"/>
          <w:lang w:val="en-US"/>
        </w:rPr>
      </w:pPr>
    </w:p>
    <w:p w:rsidR="00EE7E07" w:rsidRPr="00EE7E07" w:rsidRDefault="00EE7E07" w:rsidP="00EE7E07">
      <w:pPr>
        <w:pStyle w:val="SCCNormalDoubleSpacing"/>
        <w:spacing w:line="240" w:lineRule="auto"/>
        <w:rPr>
          <w:sz w:val="20"/>
          <w:lang w:val="fr-CA"/>
        </w:rPr>
      </w:pPr>
      <w:r w:rsidRPr="00C03629">
        <w:rPr>
          <w:i/>
          <w:sz w:val="20"/>
          <w:lang w:val="en-US"/>
        </w:rPr>
        <w:tab/>
      </w:r>
      <w:r w:rsidRPr="00EE7E07">
        <w:rPr>
          <w:i/>
          <w:sz w:val="20"/>
          <w:lang w:val="fr-CA"/>
        </w:rPr>
        <w:t xml:space="preserve">Joanna L. </w:t>
      </w:r>
      <w:proofErr w:type="spellStart"/>
      <w:r w:rsidRPr="00EE7E07">
        <w:rPr>
          <w:i/>
          <w:sz w:val="20"/>
          <w:lang w:val="fr-CA"/>
        </w:rPr>
        <w:t>Birenbaum</w:t>
      </w:r>
      <w:proofErr w:type="spellEnd"/>
      <w:r w:rsidRPr="00EE7E07">
        <w:rPr>
          <w:sz w:val="20"/>
          <w:lang w:val="fr-CA"/>
        </w:rPr>
        <w:t>, pour les intervenants le Fonds d’action et d’éducation juridiques pour les femmes et le Réseau d’action des femmes handicapées du Canada.</w:t>
      </w:r>
    </w:p>
    <w:p w:rsidR="00EE7E07" w:rsidRPr="00EE7E07" w:rsidRDefault="00EE7E07" w:rsidP="00EE7E07">
      <w:pPr>
        <w:pStyle w:val="SCCNormalDoubleSpacing"/>
        <w:spacing w:line="240" w:lineRule="auto"/>
        <w:rPr>
          <w:i/>
          <w:sz w:val="20"/>
          <w:lang w:val="fr-CA"/>
        </w:rPr>
      </w:pPr>
    </w:p>
    <w:p w:rsidR="00EE7E07" w:rsidRPr="00EE7E07" w:rsidRDefault="00EE7E07" w:rsidP="00EE7E07">
      <w:pPr>
        <w:pStyle w:val="SCCNormalDoubleSpacing"/>
        <w:spacing w:line="240" w:lineRule="auto"/>
        <w:rPr>
          <w:sz w:val="20"/>
          <w:lang w:val="fr-CA"/>
        </w:rPr>
      </w:pPr>
      <w:r w:rsidRPr="00EE7E07">
        <w:rPr>
          <w:i/>
          <w:sz w:val="20"/>
          <w:lang w:val="fr-CA"/>
        </w:rPr>
        <w:tab/>
        <w:t>Joseph Di Luca</w:t>
      </w:r>
      <w:r w:rsidRPr="00EE7E07">
        <w:rPr>
          <w:sz w:val="20"/>
          <w:lang w:val="fr-CA"/>
        </w:rPr>
        <w:t xml:space="preserve"> et </w:t>
      </w:r>
      <w:r w:rsidRPr="00EE7E07">
        <w:rPr>
          <w:i/>
          <w:sz w:val="20"/>
          <w:lang w:val="fr-CA"/>
        </w:rPr>
        <w:t xml:space="preserve">Erin </w:t>
      </w:r>
      <w:proofErr w:type="spellStart"/>
      <w:r w:rsidRPr="00EE7E07">
        <w:rPr>
          <w:i/>
          <w:sz w:val="20"/>
          <w:lang w:val="fr-CA"/>
        </w:rPr>
        <w:t>Dann</w:t>
      </w:r>
      <w:proofErr w:type="spellEnd"/>
      <w:r w:rsidRPr="00EE7E07">
        <w:rPr>
          <w:sz w:val="20"/>
          <w:lang w:val="fr-CA"/>
        </w:rPr>
        <w:t xml:space="preserve">, pour l’intervenante </w:t>
      </w:r>
      <w:proofErr w:type="spellStart"/>
      <w:r w:rsidRPr="00EE7E07">
        <w:rPr>
          <w:sz w:val="20"/>
          <w:lang w:val="fr-CA"/>
        </w:rPr>
        <w:t>Criminal</w:t>
      </w:r>
      <w:proofErr w:type="spellEnd"/>
      <w:r w:rsidRPr="00EE7E07">
        <w:rPr>
          <w:sz w:val="20"/>
          <w:lang w:val="fr-CA"/>
        </w:rPr>
        <w:t xml:space="preserve"> </w:t>
      </w:r>
      <w:proofErr w:type="spellStart"/>
      <w:r w:rsidRPr="00EE7E07">
        <w:rPr>
          <w:sz w:val="20"/>
          <w:lang w:val="fr-CA"/>
        </w:rPr>
        <w:t>Lawyers</w:t>
      </w:r>
      <w:proofErr w:type="spellEnd"/>
      <w:r w:rsidRPr="00EE7E07">
        <w:rPr>
          <w:sz w:val="20"/>
          <w:lang w:val="fr-CA"/>
        </w:rPr>
        <w:t>’ Association (Ontario).</w:t>
      </w:r>
    </w:p>
    <w:p w:rsidR="00EE7E07" w:rsidRPr="00EE7E07" w:rsidRDefault="00EE7E07" w:rsidP="00EE7E07">
      <w:pPr>
        <w:pStyle w:val="SCCNormalDoubleSpacing"/>
        <w:spacing w:line="240" w:lineRule="auto"/>
        <w:rPr>
          <w:i/>
          <w:sz w:val="20"/>
          <w:lang w:val="fr-CA"/>
        </w:rPr>
      </w:pPr>
    </w:p>
    <w:p w:rsidR="00EE7E07" w:rsidRPr="00EE7E07" w:rsidRDefault="00EE7E07" w:rsidP="00EE7E07">
      <w:pPr>
        <w:pStyle w:val="SCCNormalDoubleSpacing"/>
        <w:spacing w:line="240" w:lineRule="auto"/>
        <w:rPr>
          <w:sz w:val="20"/>
          <w:lang w:val="fr-CA"/>
        </w:rPr>
      </w:pPr>
      <w:r w:rsidRPr="00EE7E07">
        <w:rPr>
          <w:i/>
          <w:sz w:val="20"/>
          <w:lang w:val="fr-CA"/>
        </w:rPr>
        <w:tab/>
        <w:t>David M. Wright</w:t>
      </w:r>
      <w:r w:rsidRPr="00EE7E07">
        <w:rPr>
          <w:sz w:val="20"/>
          <w:lang w:val="fr-CA"/>
        </w:rPr>
        <w:t xml:space="preserve"> et </w:t>
      </w:r>
      <w:r w:rsidRPr="00EE7E07">
        <w:rPr>
          <w:i/>
          <w:sz w:val="20"/>
          <w:lang w:val="fr-CA"/>
        </w:rPr>
        <w:t xml:space="preserve">Helga D. Van </w:t>
      </w:r>
      <w:proofErr w:type="spellStart"/>
      <w:r w:rsidRPr="00EE7E07">
        <w:rPr>
          <w:i/>
          <w:sz w:val="20"/>
          <w:lang w:val="fr-CA"/>
        </w:rPr>
        <w:t>Iderstine</w:t>
      </w:r>
      <w:proofErr w:type="spellEnd"/>
      <w:r w:rsidRPr="00EE7E07">
        <w:rPr>
          <w:sz w:val="20"/>
          <w:lang w:val="fr-CA"/>
        </w:rPr>
        <w:t>, pour l’intervenant le Conseil des Canadiens avec déficiences.</w:t>
      </w:r>
    </w:p>
    <w:p w:rsidR="00EE7E07" w:rsidRPr="00EE7E07" w:rsidRDefault="00EE7E07" w:rsidP="00EE7E07">
      <w:pPr>
        <w:pStyle w:val="SCCLawFirm"/>
        <w:spacing w:line="240" w:lineRule="auto"/>
        <w:rPr>
          <w:sz w:val="20"/>
          <w:lang w:val="fr-CA"/>
        </w:rPr>
      </w:pPr>
    </w:p>
    <w:p w:rsidR="00EE7E07" w:rsidRPr="00EE7E07" w:rsidRDefault="00EE7E07" w:rsidP="00EE7E07">
      <w:pPr>
        <w:pStyle w:val="SCCLawFirm"/>
        <w:spacing w:line="240" w:lineRule="auto"/>
        <w:rPr>
          <w:sz w:val="20"/>
          <w:lang w:val="fr-CA"/>
        </w:rPr>
      </w:pPr>
      <w:r w:rsidRPr="00EE7E07">
        <w:rPr>
          <w:sz w:val="20"/>
          <w:lang w:val="fr-CA"/>
        </w:rPr>
        <w:tab/>
        <w:t>Procureur de l’appelante : Procureur général de l’Ontario, Toronto.</w:t>
      </w:r>
    </w:p>
    <w:p w:rsidR="00EE7E07" w:rsidRPr="00EE7E07" w:rsidRDefault="00EE7E07" w:rsidP="00EE7E07">
      <w:pPr>
        <w:pStyle w:val="SCCLawFirm"/>
        <w:spacing w:line="240" w:lineRule="auto"/>
        <w:rPr>
          <w:sz w:val="20"/>
          <w:lang w:val="fr-CA"/>
        </w:rPr>
      </w:pPr>
    </w:p>
    <w:p w:rsidR="00EE7E07" w:rsidRPr="00EE7E07" w:rsidRDefault="00EE7E07" w:rsidP="00EE7E07">
      <w:pPr>
        <w:pStyle w:val="SCCLawFirm"/>
        <w:spacing w:line="240" w:lineRule="auto"/>
        <w:rPr>
          <w:sz w:val="20"/>
          <w:lang w:val="fr-CA"/>
        </w:rPr>
      </w:pPr>
      <w:r w:rsidRPr="00EE7E07">
        <w:rPr>
          <w:sz w:val="20"/>
          <w:lang w:val="fr-CA"/>
        </w:rPr>
        <w:tab/>
        <w:t xml:space="preserve">Procureurs de l’intimé : Webber Schroeder Goldstein </w:t>
      </w:r>
      <w:proofErr w:type="spellStart"/>
      <w:r w:rsidRPr="00EE7E07">
        <w:rPr>
          <w:sz w:val="20"/>
          <w:lang w:val="fr-CA"/>
        </w:rPr>
        <w:t>Abergel</w:t>
      </w:r>
      <w:proofErr w:type="spellEnd"/>
      <w:r w:rsidRPr="00EE7E07">
        <w:rPr>
          <w:sz w:val="20"/>
          <w:lang w:val="fr-CA"/>
        </w:rPr>
        <w:t>, Ottawa.</w:t>
      </w:r>
    </w:p>
    <w:p w:rsidR="00EE7E07" w:rsidRPr="00EE7E07" w:rsidRDefault="00EE7E07" w:rsidP="00EE7E07">
      <w:pPr>
        <w:pStyle w:val="SCCLawFirm"/>
        <w:spacing w:line="240" w:lineRule="auto"/>
        <w:rPr>
          <w:sz w:val="20"/>
          <w:lang w:val="fr-CA"/>
        </w:rPr>
      </w:pPr>
    </w:p>
    <w:p w:rsidR="00EE7E07" w:rsidRPr="00EE7E07" w:rsidRDefault="00EE7E07" w:rsidP="00EE7E07">
      <w:pPr>
        <w:pStyle w:val="SCCLawFirm"/>
        <w:spacing w:line="240" w:lineRule="auto"/>
        <w:rPr>
          <w:sz w:val="20"/>
          <w:lang w:val="fr-CA"/>
        </w:rPr>
      </w:pPr>
      <w:r w:rsidRPr="00EE7E07">
        <w:rPr>
          <w:sz w:val="20"/>
          <w:lang w:val="fr-CA"/>
        </w:rPr>
        <w:tab/>
        <w:t>Procureur des intervenants le Fonds d’action et d’éducation juridiques pour les femmes et le Réseau d’action des femmes handicapées du Canada : Fonds d’action et d’éducation juridiques pour les femmes, Toronto.</w:t>
      </w:r>
    </w:p>
    <w:p w:rsidR="00EE7E07" w:rsidRPr="00EE7E07" w:rsidRDefault="00EE7E07" w:rsidP="00EE7E07">
      <w:pPr>
        <w:pStyle w:val="SCCLawFirm"/>
        <w:spacing w:line="240" w:lineRule="auto"/>
        <w:rPr>
          <w:sz w:val="20"/>
          <w:lang w:val="fr-CA"/>
        </w:rPr>
      </w:pPr>
    </w:p>
    <w:p w:rsidR="00EE7E07" w:rsidRPr="00EE7E07" w:rsidRDefault="00EE7E07" w:rsidP="00EE7E07">
      <w:pPr>
        <w:pStyle w:val="SCCLawFirm"/>
        <w:spacing w:line="240" w:lineRule="auto"/>
        <w:rPr>
          <w:sz w:val="20"/>
          <w:lang w:val="fr-CA"/>
        </w:rPr>
      </w:pPr>
      <w:r w:rsidRPr="00EE7E07">
        <w:rPr>
          <w:sz w:val="20"/>
          <w:lang w:val="fr-CA"/>
        </w:rPr>
        <w:tab/>
        <w:t xml:space="preserve">Procureurs de l’intervenante </w:t>
      </w:r>
      <w:proofErr w:type="spellStart"/>
      <w:r w:rsidRPr="00EE7E07">
        <w:rPr>
          <w:sz w:val="20"/>
          <w:lang w:val="fr-CA"/>
        </w:rPr>
        <w:t>Criminal</w:t>
      </w:r>
      <w:proofErr w:type="spellEnd"/>
      <w:r w:rsidRPr="00EE7E07">
        <w:rPr>
          <w:sz w:val="20"/>
          <w:lang w:val="fr-CA"/>
        </w:rPr>
        <w:t xml:space="preserve"> </w:t>
      </w:r>
      <w:proofErr w:type="spellStart"/>
      <w:r w:rsidRPr="00EE7E07">
        <w:rPr>
          <w:sz w:val="20"/>
          <w:lang w:val="fr-CA"/>
        </w:rPr>
        <w:t>Lawyers</w:t>
      </w:r>
      <w:proofErr w:type="spellEnd"/>
      <w:r w:rsidRPr="00EE7E07">
        <w:rPr>
          <w:sz w:val="20"/>
          <w:lang w:val="fr-CA"/>
        </w:rPr>
        <w:t xml:space="preserve">’ Association (Ontario) : Di Luca </w:t>
      </w:r>
      <w:proofErr w:type="spellStart"/>
      <w:r w:rsidRPr="00EE7E07">
        <w:rPr>
          <w:sz w:val="20"/>
          <w:lang w:val="fr-CA"/>
        </w:rPr>
        <w:t>Copeland</w:t>
      </w:r>
      <w:proofErr w:type="spellEnd"/>
      <w:r w:rsidRPr="00EE7E07">
        <w:rPr>
          <w:sz w:val="20"/>
          <w:lang w:val="fr-CA"/>
        </w:rPr>
        <w:t xml:space="preserve"> Davies, Toronto.</w:t>
      </w:r>
    </w:p>
    <w:p w:rsidR="00EE7E07" w:rsidRPr="00EE7E07" w:rsidRDefault="00EE7E07" w:rsidP="00EE7E07">
      <w:pPr>
        <w:pStyle w:val="SCCLawFirm"/>
        <w:spacing w:line="240" w:lineRule="auto"/>
        <w:rPr>
          <w:sz w:val="20"/>
          <w:lang w:val="fr-CA"/>
        </w:rPr>
      </w:pPr>
    </w:p>
    <w:p w:rsidR="00EE7E07" w:rsidRPr="00EE7E07" w:rsidRDefault="00EE7E07" w:rsidP="00EE7E07">
      <w:pPr>
        <w:pStyle w:val="SCCLawFirm"/>
        <w:spacing w:line="240" w:lineRule="auto"/>
        <w:rPr>
          <w:sz w:val="20"/>
          <w:lang w:val="fr-CA"/>
        </w:rPr>
      </w:pPr>
      <w:r w:rsidRPr="00EE7E07">
        <w:rPr>
          <w:sz w:val="20"/>
          <w:lang w:val="fr-CA"/>
        </w:rPr>
        <w:tab/>
        <w:t>Procureurs de l’intervenant le Conseil des Canadiens avec déficiences : </w:t>
      </w:r>
      <w:proofErr w:type="spellStart"/>
      <w:r w:rsidRPr="00EE7E07">
        <w:rPr>
          <w:sz w:val="20"/>
          <w:lang w:val="fr-CA"/>
        </w:rPr>
        <w:t>Aikins</w:t>
      </w:r>
      <w:proofErr w:type="spellEnd"/>
      <w:r w:rsidRPr="00EE7E07">
        <w:rPr>
          <w:sz w:val="20"/>
          <w:lang w:val="fr-CA"/>
        </w:rPr>
        <w:t xml:space="preserve">, </w:t>
      </w:r>
      <w:proofErr w:type="spellStart"/>
      <w:r w:rsidRPr="00EE7E07">
        <w:rPr>
          <w:sz w:val="20"/>
          <w:lang w:val="fr-CA"/>
        </w:rPr>
        <w:t>MacAulay</w:t>
      </w:r>
      <w:proofErr w:type="spellEnd"/>
      <w:r w:rsidRPr="00EE7E07">
        <w:rPr>
          <w:sz w:val="20"/>
          <w:lang w:val="fr-CA"/>
        </w:rPr>
        <w:t xml:space="preserve"> &amp; </w:t>
      </w:r>
      <w:proofErr w:type="spellStart"/>
      <w:r w:rsidRPr="00EE7E07">
        <w:rPr>
          <w:sz w:val="20"/>
          <w:lang w:val="fr-CA"/>
        </w:rPr>
        <w:t>Thorvaldson</w:t>
      </w:r>
      <w:proofErr w:type="spellEnd"/>
      <w:r w:rsidRPr="00EE7E07">
        <w:rPr>
          <w:sz w:val="20"/>
          <w:lang w:val="fr-CA"/>
        </w:rPr>
        <w:t>, Winnipeg.</w:t>
      </w:r>
    </w:p>
    <w:p w:rsidR="00A22BFB" w:rsidRPr="00EE7E07" w:rsidRDefault="00A22BFB" w:rsidP="003B3977">
      <w:pPr>
        <w:rPr>
          <w:sz w:val="20"/>
          <w:szCs w:val="20"/>
          <w:lang w:val="fr-CA"/>
        </w:rPr>
      </w:pPr>
    </w:p>
    <w:p w:rsidR="00A22BFB" w:rsidRDefault="00FD28BB" w:rsidP="003B3977">
      <w:pPr>
        <w:rPr>
          <w:sz w:val="20"/>
          <w:szCs w:val="20"/>
        </w:rPr>
      </w:pPr>
      <w:r w:rsidRPr="00FD28BB">
        <w:rPr>
          <w:rFonts w:cs="Times New Roman"/>
          <w:sz w:val="20"/>
          <w:szCs w:val="20"/>
          <w:lang w:val="fr-CA"/>
        </w:rPr>
        <w:pict>
          <v:rect id="_x0000_i1085" style="width:144.3pt;height:1pt" o:hrpct="300" o:hralign="center" o:hrstd="t" o:hrnoshade="t" o:hr="t" fillcolor="black [3213]" stroked="f"/>
        </w:pict>
      </w:r>
    </w:p>
    <w:p w:rsidR="00A22BFB" w:rsidRPr="003F4721" w:rsidRDefault="00A22BFB"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p w:rsidR="00E903A1" w:rsidRPr="002E0C7E" w:rsidRDefault="00FD28BB"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sidRPr="00B058C3">
              <w:rPr>
                <w:rFonts w:ascii="Arial" w:hAnsi="Arial"/>
                <w:b/>
                <w:sz w:val="16"/>
                <w:lang w:val="fr-CA"/>
              </w:rPr>
              <w:t>/semaines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sidRPr="00B058C3">
              <w:rPr>
                <w:rFonts w:ascii="Arial" w:hAnsi="Arial"/>
                <w:b/>
                <w:sz w:val="16"/>
                <w:lang w:val="fr-CA"/>
              </w:rPr>
              <w:t>/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 xml:space="preserve">3    holidays during sitting days/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1"/>
      <w:footerReference w:type="default" r:id="rId6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3E" w:rsidRDefault="00914D3E" w:rsidP="00A87207">
      <w:r>
        <w:separator/>
      </w:r>
    </w:p>
  </w:endnote>
  <w:endnote w:type="continuationSeparator" w:id="0">
    <w:p w:rsidR="00914D3E" w:rsidRDefault="00914D3E"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Footer"/>
      <w:rPr>
        <w:lang w:val="fr-CA"/>
      </w:rPr>
    </w:pPr>
    <w:r w:rsidRPr="00FD28BB">
      <w:rPr>
        <w:lang w:val="fr-CA"/>
      </w:rPr>
      <w:pict>
        <v:rect id="_x0000_i1060" style="width:480.95pt;height:1pt" o:hralign="center" o:hrstd="t" o:hrnoshade="t" o:hr="t" fillcolor="black [3213]" stroked="f"/>
      </w:pict>
    </w:r>
  </w:p>
  <w:p w:rsidR="00914D3E" w:rsidRDefault="00914D3E" w:rsidP="00245129">
    <w:pPr>
      <w:tabs>
        <w:tab w:val="center" w:pos="4680"/>
      </w:tabs>
    </w:pPr>
    <w:r>
      <w:tab/>
    </w:r>
    <w:r w:rsidRPr="0009648D">
      <w:t xml:space="preserve">- </w:t>
    </w:r>
    <w:fldSimple w:instr=" PAGE   \* MERGEFORMAT ">
      <w:r w:rsidR="004253AF">
        <w:rPr>
          <w:noProof/>
        </w:rPr>
        <w:t>165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4D3E" w:rsidRDefault="00914D3E">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rsidP="00755F22">
    <w:pPr>
      <w:tabs>
        <w:tab w:val="left" w:pos="-1440"/>
        <w:tab w:val="left" w:pos="-720"/>
      </w:tabs>
    </w:pPr>
    <w:r>
      <w:pict>
        <v:rect id="_x0000_i1069" style="width:480.95pt;height:1pt" o:hralign="center" o:hrstd="t" o:hrnoshade="t" o:hr="t" fillcolor="black [3213]" stroked="f"/>
      </w:pict>
    </w:r>
  </w:p>
  <w:p w:rsidR="00914D3E" w:rsidRDefault="00914D3E" w:rsidP="00EB2B90">
    <w:pPr>
      <w:tabs>
        <w:tab w:val="center" w:pos="4680"/>
      </w:tabs>
    </w:pPr>
    <w:r>
      <w:tab/>
      <w:t xml:space="preserve">- </w:t>
    </w:r>
    <w:fldSimple w:instr=" PAGE   \* MERGEFORMAT ">
      <w:r w:rsidR="004253AF">
        <w:rPr>
          <w:noProof/>
        </w:rPr>
        <w:t>190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rsidP="00EB2B90">
    <w:pPr>
      <w:tabs>
        <w:tab w:val="center" w:pos="4680"/>
      </w:tabs>
    </w:pPr>
    <w:r>
      <w:pict>
        <v:rect id="_x0000_i1070" style="width:480.95pt;height:1pt" o:hralign="center" o:hrstd="t" o:hrnoshade="t" o:hr="t" fillcolor="black [3213]" stroked="f"/>
      </w:pict>
    </w:r>
  </w:p>
  <w:p w:rsidR="00914D3E" w:rsidRPr="0031432F" w:rsidRDefault="00914D3E" w:rsidP="00EB2B90">
    <w:pPr>
      <w:tabs>
        <w:tab w:val="center" w:pos="4680"/>
      </w:tabs>
    </w:pPr>
    <w:r>
      <w:tab/>
      <w:t xml:space="preserve">- </w:t>
    </w:r>
    <w:fldSimple w:instr=" PAGE   \* MERGEFORMAT ">
      <w:r w:rsidR="004253AF">
        <w:rPr>
          <w:noProof/>
        </w:rPr>
        <w:t>181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4D3E" w:rsidRDefault="00914D3E">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8BB">
      <w:rPr>
        <w:lang w:val="fr-CA"/>
      </w:rPr>
      <w:pict>
        <v:rect id="_x0000_i1072" style="width:480.95pt;height:1pt" o:hralign="center" o:hrstd="t" o:hrnoshade="t" o:hr="t" fillcolor="black [3213]" stroked="f"/>
      </w:pict>
    </w:r>
  </w:p>
  <w:p w:rsidR="00914D3E" w:rsidRDefault="00914D3E"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Footer"/>
      <w:rPr>
        <w:lang w:val="fr-CA"/>
      </w:rPr>
    </w:pPr>
    <w:r w:rsidRPr="00FD28BB">
      <w:rPr>
        <w:lang w:val="fr-CA"/>
      </w:rPr>
      <w:pict>
        <v:rect id="_x0000_i1073" style="width:480.95pt;height:1pt" o:hralign="center" o:hrstd="t" o:hrnoshade="t" o:hr="t" fillcolor="black [3213]" stroked="f"/>
      </w:pict>
    </w:r>
  </w:p>
  <w:p w:rsidR="00914D3E" w:rsidRDefault="00914D3E" w:rsidP="00EB2B90">
    <w:pPr>
      <w:tabs>
        <w:tab w:val="center" w:pos="4680"/>
      </w:tabs>
    </w:pPr>
    <w:r>
      <w:tab/>
      <w:t xml:space="preserve">- </w:t>
    </w:r>
    <w:fldSimple w:instr=" PAGE   \* MERGEFORMAT ">
      <w:r w:rsidR="004253AF">
        <w:rPr>
          <w:noProof/>
        </w:rPr>
        <w:t>191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4D3E" w:rsidRDefault="00914D3E">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rsidP="00732DB7">
    <w:r>
      <w:pict>
        <v:rect id="_x0000_i1076" style="width:480.95pt;height:1pt" o:hralign="center" o:hrstd="t" o:hrnoshade="t" o:hr="t" fillcolor="black" stroked="f"/>
      </w:pict>
    </w:r>
  </w:p>
  <w:p w:rsidR="00914D3E" w:rsidRDefault="00914D3E">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Footer"/>
    </w:pPr>
    <w:r>
      <w:pict>
        <v:rect id="_x0000_i1077" style="width:480.95pt;height:1pt" o:hralign="center" o:hrstd="t" o:hrnoshade="t" o:hr="t" fillcolor="black" stroked="f"/>
      </w:pict>
    </w:r>
  </w:p>
  <w:p w:rsidR="00914D3E" w:rsidRPr="00283C52" w:rsidRDefault="00914D3E">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4D3E" w:rsidRDefault="00914D3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rsidP="00732DB7">
    <w:r>
      <w:pict>
        <v:rect id="_x0000_i1080" style="width:480.95pt;height:1pt" o:hralign="center" o:hrstd="t" o:hrnoshade="t" o:hr="t" fillcolor="black" stroked="f"/>
      </w:pict>
    </w:r>
  </w:p>
  <w:p w:rsidR="00914D3E" w:rsidRDefault="00914D3E">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Footer"/>
    </w:pPr>
    <w:r>
      <w:pict>
        <v:rect id="_x0000_i1081" style="width:480.95pt;height:1pt" o:hralign="center" o:hrstd="t" o:hrnoshade="t" o:hr="t" fillcolor="black [3213]" stroked="f"/>
      </w:pict>
    </w:r>
  </w:p>
  <w:p w:rsidR="00914D3E" w:rsidRPr="003C2C0F" w:rsidRDefault="00914D3E" w:rsidP="00697C62">
    <w:pPr>
      <w:tabs>
        <w:tab w:val="center" w:pos="4680"/>
      </w:tabs>
    </w:pPr>
    <w:r>
      <w:tab/>
      <w:t xml:space="preserve">- </w:t>
    </w:r>
    <w:fldSimple w:instr=" PAGE   \* MERGEFORMAT ">
      <w:r w:rsidR="004253AF">
        <w:rPr>
          <w:noProof/>
        </w:rPr>
        <w:t>195</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4D3E" w:rsidRDefault="00914D3E">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6" style="width:480.95pt;height:1pt" o:hralign="center" o:hrstd="t" o:hrnoshade="t" o:hr="t" fillcolor="black [3213]" stroked="f"/>
      </w:pict>
    </w:r>
  </w:p>
  <w:p w:rsidR="00914D3E" w:rsidRDefault="00914D3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253AF">
      <w:rPr>
        <w:noProof/>
        <w:szCs w:val="24"/>
      </w:rPr>
      <w:t>205</w:t>
    </w:r>
    <w:r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rsidP="00782AE4">
    <w:pPr>
      <w:tabs>
        <w:tab w:val="center" w:pos="4680"/>
      </w:tabs>
    </w:pPr>
    <w:r>
      <w:pict>
        <v:rect id="_x0000_i1087" style="width:480.95pt;height:1pt" o:hralign="center" o:hrstd="t" o:hrnoshade="t" o:hr="t" fillcolor="black [3213]" stroked="f"/>
      </w:pict>
    </w:r>
  </w:p>
  <w:p w:rsidR="00914D3E" w:rsidRDefault="00914D3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4253AF">
      <w:rPr>
        <w:noProof/>
        <w:szCs w:val="24"/>
      </w:rPr>
      <w:t>196</w:t>
    </w:r>
    <w:r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Pr="00924065" w:rsidRDefault="00914D3E"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rsidP="00A87207">
    <w:pPr>
      <w:pStyle w:val="Footer"/>
    </w:pPr>
    <w:r>
      <w:pict>
        <v:rect id="_x0000_i1035" style="width:480.95pt;height:1pt" o:hralign="center" o:hrstd="t" o:hrnoshade="t" o:hr="t" fillcolor="black [3213]" stroked="f"/>
      </w:pict>
    </w:r>
  </w:p>
  <w:p w:rsidR="00914D3E" w:rsidRPr="00B7374B" w:rsidRDefault="00914D3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253AF">
      <w:rPr>
        <w:noProof/>
        <w:szCs w:val="24"/>
      </w:rPr>
      <w:t>163</w:t>
    </w:r>
    <w:r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rsidP="00755F22">
    <w:pPr>
      <w:tabs>
        <w:tab w:val="left" w:pos="-1440"/>
        <w:tab w:val="left" w:pos="-720"/>
      </w:tabs>
    </w:pPr>
    <w:r>
      <w:pict>
        <v:rect id="_x0000_i1036" style="width:480.95pt;height:1pt" o:hralign="center" o:hrstd="t" o:hrnoshade="t" o:hr="t" fillcolor="black [3213]" stroked="f"/>
      </w:pict>
    </w:r>
  </w:p>
  <w:p w:rsidR="00914D3E" w:rsidRPr="00954D22" w:rsidRDefault="00914D3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253AF">
      <w:rPr>
        <w:noProof/>
        <w:szCs w:val="24"/>
      </w:rPr>
      <w:t>162</w:t>
    </w:r>
    <w:r>
      <w:rPr>
        <w:szCs w:val="24"/>
      </w:rPr>
      <w:fldChar w:fldCharType="end"/>
    </w:r>
    <w:r w:rsidRPr="00954D22">
      <w:rPr>
        <w:szCs w:val="24"/>
      </w:rPr>
      <w:t xml:space="preserve"> -</w:t>
    </w:r>
  </w:p>
  <w:p w:rsidR="00914D3E" w:rsidRDefault="00914D3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rsidP="00A87207">
    <w:pPr>
      <w:pStyle w:val="Footer"/>
    </w:pPr>
    <w:r>
      <w:pict>
        <v:rect id="_x0000_i1039" style="width:480.95pt;height:1pt" o:hralign="center" o:hrstd="t" o:hrnoshade="t" o:hr="t" fillcolor="black [3213]" stroked="f"/>
      </w:pict>
    </w:r>
  </w:p>
  <w:p w:rsidR="00914D3E" w:rsidRPr="00B7374B" w:rsidRDefault="00914D3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165</w:t>
    </w:r>
    <w:r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914D3E" w:rsidRPr="00954D22" w:rsidRDefault="00914D3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253AF">
      <w:rPr>
        <w:noProof/>
        <w:szCs w:val="24"/>
      </w:rPr>
      <w:t>164</w:t>
    </w:r>
    <w:r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4D3E" w:rsidRDefault="00914D3E">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D28BB">
      <w:rPr>
        <w:lang w:val="fr-CA"/>
      </w:rPr>
      <w:pict>
        <v:rect id="_x0000_i1059" style="width:480.95pt;height:1pt" o:hralign="center" o:hrstd="t" o:hrnoshade="t" o:hr="t" fillcolor="black [3213]" stroked="f"/>
      </w:pict>
    </w:r>
  </w:p>
  <w:p w:rsidR="00914D3E" w:rsidRPr="0009648D" w:rsidRDefault="00914D3E" w:rsidP="00ED7E83">
    <w:pPr>
      <w:tabs>
        <w:tab w:val="center" w:pos="4680"/>
      </w:tabs>
    </w:pPr>
    <w:r>
      <w:tab/>
    </w:r>
    <w:r w:rsidRPr="0009648D">
      <w:t xml:space="preserve">- </w:t>
    </w:r>
    <w:fldSimple w:instr=" PAGE   \* MERGEFORMAT ">
      <w:r w:rsidR="004253AF">
        <w:rPr>
          <w:noProof/>
        </w:rPr>
        <w:t>180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3E" w:rsidRDefault="00914D3E" w:rsidP="00A87207">
      <w:r>
        <w:separator/>
      </w:r>
    </w:p>
  </w:footnote>
  <w:footnote w:type="continuationSeparator" w:id="0">
    <w:p w:rsidR="00914D3E" w:rsidRDefault="00914D3E"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14D3E">
      <w:tc>
        <w:tcPr>
          <w:tcW w:w="423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14D3E" w:rsidRDefault="00914D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4D3E" w:rsidRDefault="00914D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14D3E">
      <w:trPr>
        <w:gridAfter w:val="2"/>
        <w:wAfter w:w="5250" w:type="dxa"/>
      </w:trPr>
      <w:tc>
        <w:tcPr>
          <w:tcW w:w="4230" w:type="dxa"/>
          <w:tcMar>
            <w:left w:w="0" w:type="dxa"/>
            <w:right w:w="0" w:type="dxa"/>
          </w:tcMar>
        </w:tcPr>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14D3E" w:rsidRPr="00755F22" w:rsidTr="00245129">
      <w:tc>
        <w:tcPr>
          <w:tcW w:w="4230" w:type="dxa"/>
          <w:tcMar>
            <w:left w:w="0" w:type="dxa"/>
            <w:right w:w="0" w:type="dxa"/>
          </w:tcMar>
        </w:tcPr>
        <w:p w:rsidR="00914D3E" w:rsidRPr="00755F22" w:rsidRDefault="00914D3E" w:rsidP="00831CA9">
          <w:pPr>
            <w:keepNext/>
            <w:keepLines/>
            <w:rPr>
              <w:sz w:val="20"/>
              <w:szCs w:val="20"/>
            </w:rPr>
          </w:pPr>
          <w:r w:rsidRPr="00755F22">
            <w:rPr>
              <w:sz w:val="20"/>
              <w:szCs w:val="20"/>
            </w:rPr>
            <w:t>MOTIONS</w:t>
          </w:r>
        </w:p>
      </w:tc>
      <w:tc>
        <w:tcPr>
          <w:tcW w:w="1170" w:type="dxa"/>
          <w:tcMar>
            <w:left w:w="0" w:type="dxa"/>
            <w:right w:w="0" w:type="dxa"/>
          </w:tcMar>
        </w:tcPr>
        <w:p w:rsidR="00914D3E" w:rsidRPr="00755F22" w:rsidRDefault="00914D3E" w:rsidP="00831CA9">
          <w:pPr>
            <w:keepLines/>
            <w:jc w:val="center"/>
            <w:rPr>
              <w:sz w:val="20"/>
              <w:szCs w:val="20"/>
            </w:rPr>
          </w:pPr>
        </w:p>
        <w:p w:rsidR="00914D3E" w:rsidRPr="00755F22" w:rsidRDefault="00914D3E" w:rsidP="00831CA9">
          <w:pPr>
            <w:keepLines/>
            <w:tabs>
              <w:tab w:val="left" w:pos="-1440"/>
              <w:tab w:val="left" w:pos="-720"/>
            </w:tabs>
            <w:jc w:val="center"/>
            <w:rPr>
              <w:sz w:val="20"/>
              <w:szCs w:val="20"/>
            </w:rPr>
          </w:pPr>
        </w:p>
      </w:tc>
      <w:tc>
        <w:tcPr>
          <w:tcW w:w="4080" w:type="dxa"/>
          <w:tcMar>
            <w:left w:w="0" w:type="dxa"/>
            <w:right w:w="0" w:type="dxa"/>
          </w:tcMar>
        </w:tcPr>
        <w:p w:rsidR="00914D3E" w:rsidRPr="00BA6468" w:rsidRDefault="00914D3E" w:rsidP="00BA6468">
          <w:pPr>
            <w:keepLines/>
            <w:rPr>
              <w:sz w:val="20"/>
              <w:szCs w:val="20"/>
              <w:lang w:val="fr-CA"/>
            </w:rPr>
          </w:pPr>
          <w:r w:rsidRPr="00BA6468">
            <w:rPr>
              <w:sz w:val="20"/>
              <w:szCs w:val="20"/>
              <w:lang w:val="fr-CA"/>
            </w:rPr>
            <w:t>REQUÊTES</w:t>
          </w:r>
        </w:p>
      </w:tc>
    </w:tr>
  </w:tbl>
  <w:p w:rsidR="00914D3E" w:rsidRDefault="00914D3E"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4D3E" w:rsidRPr="00251B16">
      <w:tc>
        <w:tcPr>
          <w:tcW w:w="420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4D3E" w:rsidRPr="00B01A03" w:rsidRDefault="00914D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14D3E" w:rsidRPr="00B01A03"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14D3E" w:rsidRPr="00B01A03"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14D3E" w:rsidRPr="00251B16" w:rsidTr="00245129">
      <w:tc>
        <w:tcPr>
          <w:tcW w:w="4200" w:type="dxa"/>
          <w:tcMar>
            <w:left w:w="0" w:type="dxa"/>
            <w:right w:w="0" w:type="dxa"/>
          </w:tcMar>
        </w:tcPr>
        <w:p w:rsidR="00914D3E" w:rsidRPr="00F40249" w:rsidRDefault="00914D3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14D3E" w:rsidRDefault="00914D3E" w:rsidP="00102926">
          <w:pPr>
            <w:keepNext/>
            <w:keepLines/>
            <w:tabs>
              <w:tab w:val="left" w:pos="-1440"/>
              <w:tab w:val="left" w:pos="-720"/>
            </w:tabs>
            <w:jc w:val="center"/>
            <w:rPr>
              <w:sz w:val="20"/>
              <w:szCs w:val="20"/>
            </w:rPr>
          </w:pPr>
        </w:p>
        <w:p w:rsidR="00914D3E" w:rsidRDefault="00914D3E" w:rsidP="00102926">
          <w:pPr>
            <w:keepNext/>
            <w:keepLines/>
            <w:tabs>
              <w:tab w:val="left" w:pos="-1440"/>
              <w:tab w:val="left" w:pos="-720"/>
            </w:tabs>
            <w:jc w:val="center"/>
            <w:rPr>
              <w:sz w:val="20"/>
              <w:szCs w:val="20"/>
            </w:rPr>
          </w:pPr>
        </w:p>
        <w:p w:rsidR="00914D3E" w:rsidRPr="00F40249" w:rsidRDefault="00914D3E" w:rsidP="00102926">
          <w:pPr>
            <w:keepNext/>
            <w:keepLines/>
            <w:tabs>
              <w:tab w:val="left" w:pos="-1440"/>
              <w:tab w:val="left" w:pos="-720"/>
            </w:tabs>
            <w:jc w:val="center"/>
            <w:rPr>
              <w:sz w:val="20"/>
              <w:szCs w:val="20"/>
            </w:rPr>
          </w:pPr>
        </w:p>
      </w:tc>
      <w:tc>
        <w:tcPr>
          <w:tcW w:w="4230" w:type="dxa"/>
          <w:tcMar>
            <w:left w:w="0" w:type="dxa"/>
            <w:right w:w="0" w:type="dxa"/>
          </w:tcMar>
        </w:tcPr>
        <w:p w:rsidR="00914D3E" w:rsidRPr="00F40249" w:rsidRDefault="00914D3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14D3E" w:rsidRPr="00B01A03" w:rsidRDefault="00914D3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4D3E" w:rsidRPr="00251B16">
      <w:tc>
        <w:tcPr>
          <w:tcW w:w="420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4D3E" w:rsidRPr="00283C52" w:rsidRDefault="00914D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14D3E" w:rsidRPr="00283C52"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14D3E" w:rsidRPr="00283C52"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4D3E" w:rsidRPr="00251B16" w:rsidTr="00245129">
      <w:tc>
        <w:tcPr>
          <w:tcW w:w="4200" w:type="dxa"/>
          <w:tcMar>
            <w:left w:w="0" w:type="dxa"/>
            <w:right w:w="0" w:type="dxa"/>
          </w:tcMar>
        </w:tcPr>
        <w:p w:rsidR="00914D3E" w:rsidRPr="00732DB7" w:rsidRDefault="00914D3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14D3E" w:rsidRPr="00732DB7" w:rsidRDefault="00914D3E" w:rsidP="00732DB7">
          <w:pPr>
            <w:keepNext/>
            <w:keepLines/>
            <w:tabs>
              <w:tab w:val="left" w:pos="-1440"/>
              <w:tab w:val="left" w:pos="-720"/>
            </w:tabs>
            <w:jc w:val="center"/>
            <w:rPr>
              <w:sz w:val="20"/>
              <w:szCs w:val="20"/>
            </w:rPr>
          </w:pPr>
        </w:p>
        <w:p w:rsidR="00914D3E" w:rsidRPr="00732DB7" w:rsidRDefault="00914D3E" w:rsidP="00732DB7">
          <w:pPr>
            <w:keepNext/>
            <w:keepLines/>
            <w:tabs>
              <w:tab w:val="left" w:pos="-1440"/>
              <w:tab w:val="left" w:pos="-720"/>
            </w:tabs>
            <w:jc w:val="center"/>
            <w:rPr>
              <w:sz w:val="20"/>
              <w:szCs w:val="20"/>
            </w:rPr>
          </w:pPr>
        </w:p>
        <w:p w:rsidR="00914D3E" w:rsidRPr="00732DB7" w:rsidRDefault="00914D3E" w:rsidP="00732DB7">
          <w:pPr>
            <w:keepNext/>
            <w:keepLines/>
            <w:tabs>
              <w:tab w:val="left" w:pos="-1440"/>
              <w:tab w:val="left" w:pos="-720"/>
            </w:tabs>
            <w:jc w:val="center"/>
            <w:rPr>
              <w:sz w:val="20"/>
              <w:szCs w:val="20"/>
            </w:rPr>
          </w:pPr>
        </w:p>
      </w:tc>
      <w:tc>
        <w:tcPr>
          <w:tcW w:w="4080" w:type="dxa"/>
          <w:tcMar>
            <w:left w:w="0" w:type="dxa"/>
            <w:right w:w="0" w:type="dxa"/>
          </w:tcMar>
        </w:tcPr>
        <w:p w:rsidR="00914D3E" w:rsidRPr="00732DB7" w:rsidRDefault="00914D3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14D3E" w:rsidRPr="00283C52" w:rsidRDefault="00914D3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4D3E" w:rsidRPr="00251B16">
      <w:tc>
        <w:tcPr>
          <w:tcW w:w="420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14D3E" w:rsidRPr="003C2C0F" w:rsidRDefault="00914D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14D3E" w:rsidRPr="003C2C0F"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14D3E" w:rsidRPr="003C2C0F"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4D3E" w:rsidRPr="00251B16" w:rsidTr="00245129">
      <w:tc>
        <w:tcPr>
          <w:tcW w:w="4200" w:type="dxa"/>
          <w:tcMar>
            <w:left w:w="0" w:type="dxa"/>
            <w:right w:w="0" w:type="dxa"/>
          </w:tcMar>
        </w:tcPr>
        <w:p w:rsidR="00914D3E" w:rsidRPr="00FF6EEC" w:rsidRDefault="00914D3E" w:rsidP="00FF6EEC">
          <w:pPr>
            <w:rPr>
              <w:sz w:val="20"/>
              <w:szCs w:val="20"/>
            </w:rPr>
          </w:pPr>
          <w:r w:rsidRPr="00FF6EEC">
            <w:rPr>
              <w:sz w:val="20"/>
              <w:szCs w:val="20"/>
            </w:rPr>
            <w:t>PRONOUNCEMENTS OF APPEALS RESERVED</w:t>
          </w:r>
        </w:p>
      </w:tc>
      <w:tc>
        <w:tcPr>
          <w:tcW w:w="1200" w:type="dxa"/>
          <w:tcMar>
            <w:left w:w="0" w:type="dxa"/>
            <w:right w:w="0" w:type="dxa"/>
          </w:tcMar>
        </w:tcPr>
        <w:p w:rsidR="00914D3E" w:rsidRPr="00FF6EEC" w:rsidRDefault="00914D3E" w:rsidP="00FF6EEC">
          <w:pPr>
            <w:jc w:val="center"/>
            <w:rPr>
              <w:sz w:val="20"/>
              <w:szCs w:val="20"/>
            </w:rPr>
          </w:pPr>
        </w:p>
        <w:p w:rsidR="00914D3E" w:rsidRPr="00FF6EEC" w:rsidRDefault="00914D3E" w:rsidP="00FF6EEC">
          <w:pPr>
            <w:jc w:val="center"/>
            <w:rPr>
              <w:sz w:val="20"/>
              <w:szCs w:val="20"/>
            </w:rPr>
          </w:pPr>
        </w:p>
        <w:p w:rsidR="00914D3E" w:rsidRPr="00FF6EEC" w:rsidRDefault="00914D3E" w:rsidP="00FF6EEC">
          <w:pPr>
            <w:jc w:val="center"/>
            <w:rPr>
              <w:sz w:val="20"/>
              <w:szCs w:val="20"/>
            </w:rPr>
          </w:pPr>
        </w:p>
      </w:tc>
      <w:tc>
        <w:tcPr>
          <w:tcW w:w="4080" w:type="dxa"/>
          <w:tcMar>
            <w:left w:w="0" w:type="dxa"/>
            <w:right w:w="0" w:type="dxa"/>
          </w:tcMar>
        </w:tcPr>
        <w:p w:rsidR="00914D3E" w:rsidRPr="00FF6EEC" w:rsidRDefault="00914D3E" w:rsidP="00FF6EEC">
          <w:pPr>
            <w:rPr>
              <w:sz w:val="20"/>
              <w:szCs w:val="20"/>
              <w:lang w:val="fr-CA"/>
            </w:rPr>
          </w:pPr>
          <w:r w:rsidRPr="00FF6EEC">
            <w:rPr>
              <w:sz w:val="20"/>
              <w:szCs w:val="20"/>
              <w:lang w:val="fr-CA"/>
            </w:rPr>
            <w:t>JUGEMENTS RENDUS SUR LES APPELS EN DÉLIBÉRÉ</w:t>
          </w:r>
        </w:p>
      </w:tc>
    </w:tr>
  </w:tbl>
  <w:p w:rsidR="00914D3E" w:rsidRPr="003C2C0F" w:rsidRDefault="00914D3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14D3E">
      <w:tc>
        <w:tcPr>
          <w:tcW w:w="423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14D3E" w:rsidRDefault="00914D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14D3E"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14D3E" w:rsidRPr="00782AE4" w:rsidTr="00245129">
      <w:tc>
        <w:tcPr>
          <w:tcW w:w="4230" w:type="dxa"/>
          <w:tcMar>
            <w:left w:w="0" w:type="dxa"/>
            <w:right w:w="0" w:type="dxa"/>
          </w:tcMar>
        </w:tcPr>
        <w:p w:rsidR="00914D3E" w:rsidRPr="00782AE4" w:rsidRDefault="00914D3E" w:rsidP="00102926">
          <w:pPr>
            <w:keepNext/>
            <w:keepLines/>
            <w:tabs>
              <w:tab w:val="left" w:pos="-1440"/>
              <w:tab w:val="left" w:pos="-720"/>
            </w:tabs>
            <w:rPr>
              <w:sz w:val="20"/>
              <w:szCs w:val="20"/>
            </w:rPr>
          </w:pPr>
          <w:r w:rsidRPr="00782AE4">
            <w:rPr>
              <w:sz w:val="20"/>
              <w:szCs w:val="20"/>
            </w:rPr>
            <w:t xml:space="preserve">HEADNOTES OF RECENT </w:t>
          </w:r>
        </w:p>
        <w:p w:rsidR="00914D3E" w:rsidRPr="00782AE4"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14D3E" w:rsidRDefault="00914D3E" w:rsidP="00102926">
          <w:pPr>
            <w:keepNext/>
            <w:keepLines/>
            <w:tabs>
              <w:tab w:val="left" w:pos="-1440"/>
              <w:tab w:val="left" w:pos="-720"/>
            </w:tabs>
            <w:jc w:val="center"/>
            <w:rPr>
              <w:sz w:val="20"/>
              <w:szCs w:val="20"/>
            </w:rPr>
          </w:pPr>
        </w:p>
        <w:p w:rsidR="00914D3E" w:rsidRDefault="00914D3E" w:rsidP="00102926">
          <w:pPr>
            <w:keepNext/>
            <w:keepLines/>
            <w:tabs>
              <w:tab w:val="left" w:pos="-1440"/>
              <w:tab w:val="left" w:pos="-720"/>
            </w:tabs>
            <w:jc w:val="center"/>
            <w:rPr>
              <w:sz w:val="20"/>
              <w:szCs w:val="20"/>
            </w:rPr>
          </w:pPr>
        </w:p>
        <w:p w:rsidR="00914D3E" w:rsidRPr="00782AE4" w:rsidRDefault="00914D3E" w:rsidP="00102926">
          <w:pPr>
            <w:keepNext/>
            <w:keepLines/>
            <w:tabs>
              <w:tab w:val="left" w:pos="-1440"/>
              <w:tab w:val="left" w:pos="-720"/>
            </w:tabs>
            <w:jc w:val="center"/>
            <w:rPr>
              <w:sz w:val="20"/>
              <w:szCs w:val="20"/>
            </w:rPr>
          </w:pPr>
        </w:p>
      </w:tc>
      <w:tc>
        <w:tcPr>
          <w:tcW w:w="4080" w:type="dxa"/>
          <w:tcMar>
            <w:left w:w="0" w:type="dxa"/>
            <w:right w:w="0" w:type="dxa"/>
          </w:tcMar>
        </w:tcPr>
        <w:p w:rsidR="00914D3E" w:rsidRPr="00102926"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14D3E" w:rsidRPr="00782AE4" w:rsidRDefault="00914D3E" w:rsidP="00102926">
          <w:pPr>
            <w:keepLines/>
            <w:tabs>
              <w:tab w:val="left" w:pos="-1440"/>
              <w:tab w:val="left" w:pos="-720"/>
            </w:tabs>
            <w:rPr>
              <w:sz w:val="20"/>
              <w:szCs w:val="20"/>
            </w:rPr>
          </w:pPr>
          <w:r w:rsidRPr="00102926">
            <w:rPr>
              <w:sz w:val="20"/>
              <w:szCs w:val="20"/>
              <w:lang w:val="fr-CA"/>
            </w:rPr>
            <w:t>RÉCENTS</w:t>
          </w:r>
        </w:p>
      </w:tc>
    </w:tr>
  </w:tbl>
  <w:p w:rsidR="00914D3E" w:rsidRDefault="00914D3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14D3E" w:rsidRPr="0044776A" w:rsidTr="00245129">
      <w:tc>
        <w:tcPr>
          <w:tcW w:w="4290" w:type="dxa"/>
          <w:tcMar>
            <w:left w:w="0" w:type="dxa"/>
            <w:right w:w="0" w:type="dxa"/>
          </w:tcMar>
        </w:tcPr>
        <w:p w:rsidR="00914D3E" w:rsidRPr="0044776A" w:rsidRDefault="00914D3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14D3E" w:rsidRPr="0044776A" w:rsidRDefault="00914D3E" w:rsidP="002E2327">
          <w:pPr>
            <w:keepNext/>
            <w:keepLines/>
            <w:tabs>
              <w:tab w:val="left" w:pos="-1440"/>
              <w:tab w:val="left" w:pos="-720"/>
            </w:tabs>
            <w:jc w:val="center"/>
            <w:rPr>
              <w:sz w:val="20"/>
              <w:szCs w:val="20"/>
            </w:rPr>
          </w:pPr>
        </w:p>
        <w:p w:rsidR="00914D3E" w:rsidRPr="0044776A" w:rsidRDefault="00914D3E" w:rsidP="002E2327">
          <w:pPr>
            <w:keepNext/>
            <w:keepLines/>
            <w:tabs>
              <w:tab w:val="left" w:pos="-1440"/>
              <w:tab w:val="left" w:pos="-720"/>
            </w:tabs>
            <w:jc w:val="center"/>
            <w:rPr>
              <w:sz w:val="20"/>
              <w:szCs w:val="20"/>
            </w:rPr>
          </w:pPr>
        </w:p>
        <w:p w:rsidR="00914D3E" w:rsidRPr="0044776A" w:rsidRDefault="00914D3E" w:rsidP="002E2327">
          <w:pPr>
            <w:keepNext/>
            <w:keepLines/>
            <w:tabs>
              <w:tab w:val="left" w:pos="-1440"/>
              <w:tab w:val="left" w:pos="-720"/>
            </w:tabs>
            <w:jc w:val="center"/>
            <w:rPr>
              <w:sz w:val="20"/>
              <w:szCs w:val="20"/>
            </w:rPr>
          </w:pPr>
        </w:p>
      </w:tc>
      <w:tc>
        <w:tcPr>
          <w:tcW w:w="4320" w:type="dxa"/>
          <w:tcMar>
            <w:left w:w="0" w:type="dxa"/>
            <w:right w:w="0" w:type="dxa"/>
          </w:tcMar>
        </w:tcPr>
        <w:p w:rsidR="00914D3E" w:rsidRPr="0044776A" w:rsidRDefault="00914D3E" w:rsidP="002E2327">
          <w:pPr>
            <w:keepLines/>
            <w:rPr>
              <w:sz w:val="20"/>
              <w:szCs w:val="20"/>
              <w:lang w:val="fr-CA"/>
            </w:rPr>
          </w:pPr>
          <w:r w:rsidRPr="0044776A">
            <w:rPr>
              <w:sz w:val="20"/>
              <w:szCs w:val="20"/>
              <w:lang w:val="fr-CA"/>
            </w:rPr>
            <w:t>DEMANDES D'AUTORISATION D'APPEL DÉPOSÉES</w:t>
          </w:r>
        </w:p>
      </w:tc>
    </w:tr>
  </w:tbl>
  <w:p w:rsidR="00914D3E" w:rsidRDefault="00914D3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4D3E" w:rsidRPr="00251B16" w:rsidTr="00245129">
      <w:tc>
        <w:tcPr>
          <w:tcW w:w="4200" w:type="dxa"/>
          <w:tcMar>
            <w:left w:w="0" w:type="dxa"/>
            <w:right w:w="0" w:type="dxa"/>
          </w:tcMar>
        </w:tcPr>
        <w:p w:rsidR="00914D3E" w:rsidRPr="0044776A" w:rsidRDefault="00914D3E" w:rsidP="0044776A">
          <w:pPr>
            <w:keepNext/>
            <w:keepLines/>
            <w:widowControl w:val="0"/>
            <w:rPr>
              <w:sz w:val="20"/>
              <w:szCs w:val="20"/>
            </w:rPr>
          </w:pPr>
          <w:r>
            <w:rPr>
              <w:sz w:val="20"/>
              <w:szCs w:val="20"/>
            </w:rPr>
            <w:t>APPLICATIONS FOR LEAVE</w:t>
          </w:r>
        </w:p>
        <w:p w:rsidR="00914D3E" w:rsidRPr="0044776A" w:rsidRDefault="00914D3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14D3E" w:rsidRPr="0044776A" w:rsidRDefault="00914D3E" w:rsidP="0044776A">
          <w:pPr>
            <w:keepNext/>
            <w:keepLines/>
            <w:widowControl w:val="0"/>
            <w:jc w:val="center"/>
            <w:rPr>
              <w:sz w:val="20"/>
              <w:szCs w:val="20"/>
            </w:rPr>
          </w:pPr>
        </w:p>
        <w:p w:rsidR="00914D3E" w:rsidRPr="0044776A" w:rsidRDefault="00914D3E" w:rsidP="0044776A">
          <w:pPr>
            <w:keepNext/>
            <w:keepLines/>
            <w:widowControl w:val="0"/>
            <w:jc w:val="center"/>
            <w:rPr>
              <w:sz w:val="20"/>
              <w:szCs w:val="20"/>
            </w:rPr>
          </w:pPr>
        </w:p>
        <w:p w:rsidR="00914D3E" w:rsidRPr="0044776A" w:rsidRDefault="00914D3E" w:rsidP="0044776A">
          <w:pPr>
            <w:keepNext/>
            <w:keepLines/>
            <w:widowControl w:val="0"/>
            <w:jc w:val="center"/>
            <w:rPr>
              <w:sz w:val="20"/>
              <w:szCs w:val="20"/>
            </w:rPr>
          </w:pPr>
        </w:p>
      </w:tc>
      <w:tc>
        <w:tcPr>
          <w:tcW w:w="4080" w:type="dxa"/>
          <w:tcMar>
            <w:left w:w="0" w:type="dxa"/>
            <w:right w:w="0" w:type="dxa"/>
          </w:tcMar>
        </w:tcPr>
        <w:p w:rsidR="00914D3E" w:rsidRPr="0044776A" w:rsidRDefault="00914D3E" w:rsidP="0044776A">
          <w:pPr>
            <w:keepLines/>
            <w:widowControl w:val="0"/>
            <w:rPr>
              <w:sz w:val="20"/>
              <w:szCs w:val="20"/>
              <w:lang w:val="fr-CA"/>
            </w:rPr>
          </w:pPr>
          <w:r w:rsidRPr="0044776A">
            <w:rPr>
              <w:sz w:val="20"/>
              <w:szCs w:val="20"/>
              <w:lang w:val="fr-CA"/>
            </w:rPr>
            <w:t>DEMANDES SOUMISES À LA COUR DEPUIS LA DERNIÈRE PARUTION</w:t>
          </w:r>
        </w:p>
        <w:p w:rsidR="00914D3E" w:rsidRPr="0044776A" w:rsidRDefault="00914D3E" w:rsidP="0044776A">
          <w:pPr>
            <w:widowControl w:val="0"/>
            <w:rPr>
              <w:sz w:val="20"/>
              <w:szCs w:val="20"/>
              <w:lang w:val="fr-CA"/>
            </w:rPr>
          </w:pPr>
        </w:p>
      </w:tc>
    </w:tr>
  </w:tbl>
  <w:p w:rsidR="00914D3E" w:rsidRPr="002E2327" w:rsidRDefault="00914D3E">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3E" w:rsidRDefault="00914D3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14D3E" w:rsidRPr="00251B16">
      <w:tc>
        <w:tcPr>
          <w:tcW w:w="4200" w:type="dxa"/>
          <w:tcMar>
            <w:left w:w="0" w:type="dxa"/>
            <w:right w:w="0" w:type="dxa"/>
          </w:tcMar>
        </w:tcPr>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14D3E"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14D3E" w:rsidRDefault="00914D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4D3E" w:rsidRPr="00FF6BA5" w:rsidRDefault="00914D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14D3E" w:rsidRPr="00FF6BA5"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14D3E" w:rsidRPr="00FF6BA5"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14D3E" w:rsidRPr="00FF6BA5" w:rsidRDefault="00914D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14D3E" w:rsidRPr="00251B16" w:rsidTr="00245129">
      <w:tc>
        <w:tcPr>
          <w:tcW w:w="4200" w:type="dxa"/>
          <w:tcMar>
            <w:left w:w="0" w:type="dxa"/>
            <w:right w:w="0" w:type="dxa"/>
          </w:tcMar>
        </w:tcPr>
        <w:p w:rsidR="00914D3E" w:rsidRPr="00755F22"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14D3E" w:rsidRPr="00755F22" w:rsidRDefault="00914D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14D3E" w:rsidRPr="00755F22" w:rsidRDefault="00914D3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14D3E" w:rsidRPr="00755F22" w:rsidRDefault="00914D3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14D3E" w:rsidRPr="00755F22" w:rsidRDefault="00914D3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14D3E" w:rsidRPr="00755F22" w:rsidRDefault="00914D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14D3E" w:rsidRPr="00FF6BA5" w:rsidRDefault="00914D3E"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0DC9"/>
    <w:multiLevelType w:val="hybridMultilevel"/>
    <w:tmpl w:val="13A030DA"/>
    <w:lvl w:ilvl="0" w:tplc="060A00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89483E"/>
    <w:multiLevelType w:val="hybridMultilevel"/>
    <w:tmpl w:val="C6262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440D4"/>
    <w:multiLevelType w:val="hybridMultilevel"/>
    <w:tmpl w:val="C6262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C772065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737"/>
  </w:hdrShapeDefaults>
  <w:footnotePr>
    <w:footnote w:id="-1"/>
    <w:footnote w:id="0"/>
  </w:footnotePr>
  <w:endnotePr>
    <w:endnote w:id="-1"/>
    <w:endnote w:id="0"/>
  </w:endnotePr>
  <w:compat/>
  <w:rsids>
    <w:rsidRoot w:val="00BF29D3"/>
    <w:rsid w:val="0003223B"/>
    <w:rsid w:val="000327B2"/>
    <w:rsid w:val="000423D8"/>
    <w:rsid w:val="00081C17"/>
    <w:rsid w:val="00096BD9"/>
    <w:rsid w:val="000B3C9A"/>
    <w:rsid w:val="000B40A2"/>
    <w:rsid w:val="000B4624"/>
    <w:rsid w:val="000C0ACD"/>
    <w:rsid w:val="00102926"/>
    <w:rsid w:val="0010587F"/>
    <w:rsid w:val="00111C6B"/>
    <w:rsid w:val="0012102B"/>
    <w:rsid w:val="0013369E"/>
    <w:rsid w:val="00140EBE"/>
    <w:rsid w:val="0014589B"/>
    <w:rsid w:val="00164E6D"/>
    <w:rsid w:val="00170350"/>
    <w:rsid w:val="001714A0"/>
    <w:rsid w:val="001B157C"/>
    <w:rsid w:val="001B5C23"/>
    <w:rsid w:val="001D0D5F"/>
    <w:rsid w:val="001D6B8C"/>
    <w:rsid w:val="001F1F83"/>
    <w:rsid w:val="001F488C"/>
    <w:rsid w:val="002021A9"/>
    <w:rsid w:val="00204A6F"/>
    <w:rsid w:val="002139A7"/>
    <w:rsid w:val="0021450C"/>
    <w:rsid w:val="00215F7C"/>
    <w:rsid w:val="00215FFA"/>
    <w:rsid w:val="0022323B"/>
    <w:rsid w:val="002410B8"/>
    <w:rsid w:val="00242AEE"/>
    <w:rsid w:val="00245129"/>
    <w:rsid w:val="00245879"/>
    <w:rsid w:val="00246DD6"/>
    <w:rsid w:val="00251B16"/>
    <w:rsid w:val="00256A1B"/>
    <w:rsid w:val="00267FD5"/>
    <w:rsid w:val="00271381"/>
    <w:rsid w:val="002868D0"/>
    <w:rsid w:val="002A07F3"/>
    <w:rsid w:val="002A27D1"/>
    <w:rsid w:val="002A4AFA"/>
    <w:rsid w:val="002A6864"/>
    <w:rsid w:val="002A70D8"/>
    <w:rsid w:val="002B516C"/>
    <w:rsid w:val="002D72EB"/>
    <w:rsid w:val="002E2327"/>
    <w:rsid w:val="002E3583"/>
    <w:rsid w:val="002E5576"/>
    <w:rsid w:val="00331B52"/>
    <w:rsid w:val="003359D3"/>
    <w:rsid w:val="00341F91"/>
    <w:rsid w:val="00355967"/>
    <w:rsid w:val="003709FE"/>
    <w:rsid w:val="00382C47"/>
    <w:rsid w:val="00384384"/>
    <w:rsid w:val="003866AE"/>
    <w:rsid w:val="003B3977"/>
    <w:rsid w:val="004253AF"/>
    <w:rsid w:val="00432989"/>
    <w:rsid w:val="00440E24"/>
    <w:rsid w:val="0044776A"/>
    <w:rsid w:val="00460AFC"/>
    <w:rsid w:val="0047471F"/>
    <w:rsid w:val="004B195E"/>
    <w:rsid w:val="004B5CF8"/>
    <w:rsid w:val="004B66B4"/>
    <w:rsid w:val="004B7F60"/>
    <w:rsid w:val="004C1AAC"/>
    <w:rsid w:val="004C5A4C"/>
    <w:rsid w:val="004F090E"/>
    <w:rsid w:val="004F13B6"/>
    <w:rsid w:val="005116FC"/>
    <w:rsid w:val="005214F5"/>
    <w:rsid w:val="00527CC7"/>
    <w:rsid w:val="0053579F"/>
    <w:rsid w:val="00565774"/>
    <w:rsid w:val="0057102D"/>
    <w:rsid w:val="00571CA4"/>
    <w:rsid w:val="005746E7"/>
    <w:rsid w:val="00582136"/>
    <w:rsid w:val="005A03A8"/>
    <w:rsid w:val="005A0560"/>
    <w:rsid w:val="005C6840"/>
    <w:rsid w:val="005E034F"/>
    <w:rsid w:val="005E05C9"/>
    <w:rsid w:val="005E4951"/>
    <w:rsid w:val="005F263E"/>
    <w:rsid w:val="00600252"/>
    <w:rsid w:val="00612A40"/>
    <w:rsid w:val="0062463E"/>
    <w:rsid w:val="00645810"/>
    <w:rsid w:val="00673FB4"/>
    <w:rsid w:val="00675479"/>
    <w:rsid w:val="006904C5"/>
    <w:rsid w:val="00696BF9"/>
    <w:rsid w:val="00697C62"/>
    <w:rsid w:val="006A329B"/>
    <w:rsid w:val="006A7EB8"/>
    <w:rsid w:val="006B6926"/>
    <w:rsid w:val="006C3F47"/>
    <w:rsid w:val="006C5F7A"/>
    <w:rsid w:val="006E06AF"/>
    <w:rsid w:val="006E7D3B"/>
    <w:rsid w:val="006F350F"/>
    <w:rsid w:val="0071133E"/>
    <w:rsid w:val="00716359"/>
    <w:rsid w:val="00732DB7"/>
    <w:rsid w:val="00740A2E"/>
    <w:rsid w:val="0074238B"/>
    <w:rsid w:val="00745EF7"/>
    <w:rsid w:val="00755F22"/>
    <w:rsid w:val="00756BBE"/>
    <w:rsid w:val="00762132"/>
    <w:rsid w:val="00766E4A"/>
    <w:rsid w:val="007731DD"/>
    <w:rsid w:val="007820CE"/>
    <w:rsid w:val="00782AE4"/>
    <w:rsid w:val="00796BC5"/>
    <w:rsid w:val="0079724F"/>
    <w:rsid w:val="007A3EAE"/>
    <w:rsid w:val="007C04FC"/>
    <w:rsid w:val="007C7AC5"/>
    <w:rsid w:val="007D3E0F"/>
    <w:rsid w:val="007F387B"/>
    <w:rsid w:val="00802863"/>
    <w:rsid w:val="00815B3C"/>
    <w:rsid w:val="0082783A"/>
    <w:rsid w:val="00831CA9"/>
    <w:rsid w:val="00850E1F"/>
    <w:rsid w:val="00852029"/>
    <w:rsid w:val="0085476B"/>
    <w:rsid w:val="00890FEB"/>
    <w:rsid w:val="008D292F"/>
    <w:rsid w:val="008E03DC"/>
    <w:rsid w:val="008E0973"/>
    <w:rsid w:val="00900446"/>
    <w:rsid w:val="00914D3E"/>
    <w:rsid w:val="00924065"/>
    <w:rsid w:val="00930A00"/>
    <w:rsid w:val="00930D68"/>
    <w:rsid w:val="00932DB4"/>
    <w:rsid w:val="009416BC"/>
    <w:rsid w:val="00941A4B"/>
    <w:rsid w:val="00946242"/>
    <w:rsid w:val="0095096B"/>
    <w:rsid w:val="00970CD3"/>
    <w:rsid w:val="009723FA"/>
    <w:rsid w:val="00984546"/>
    <w:rsid w:val="00986371"/>
    <w:rsid w:val="00996510"/>
    <w:rsid w:val="009A6280"/>
    <w:rsid w:val="009D1F15"/>
    <w:rsid w:val="009D555E"/>
    <w:rsid w:val="009F3024"/>
    <w:rsid w:val="00A0355E"/>
    <w:rsid w:val="00A15C82"/>
    <w:rsid w:val="00A22BFB"/>
    <w:rsid w:val="00A375D1"/>
    <w:rsid w:val="00A519EB"/>
    <w:rsid w:val="00A51D10"/>
    <w:rsid w:val="00A52A83"/>
    <w:rsid w:val="00A6552C"/>
    <w:rsid w:val="00A76E60"/>
    <w:rsid w:val="00A87207"/>
    <w:rsid w:val="00A935AA"/>
    <w:rsid w:val="00AB2201"/>
    <w:rsid w:val="00AD3259"/>
    <w:rsid w:val="00AF1715"/>
    <w:rsid w:val="00AF3904"/>
    <w:rsid w:val="00B010C0"/>
    <w:rsid w:val="00B4740D"/>
    <w:rsid w:val="00B61629"/>
    <w:rsid w:val="00B7374B"/>
    <w:rsid w:val="00B90DC0"/>
    <w:rsid w:val="00BA116A"/>
    <w:rsid w:val="00BA22AC"/>
    <w:rsid w:val="00BA5582"/>
    <w:rsid w:val="00BA6468"/>
    <w:rsid w:val="00BA65C9"/>
    <w:rsid w:val="00BB0A6E"/>
    <w:rsid w:val="00BD06DA"/>
    <w:rsid w:val="00BD4217"/>
    <w:rsid w:val="00BF25F3"/>
    <w:rsid w:val="00BF29D3"/>
    <w:rsid w:val="00BF7FFE"/>
    <w:rsid w:val="00C1697B"/>
    <w:rsid w:val="00C21CB5"/>
    <w:rsid w:val="00C27DBF"/>
    <w:rsid w:val="00C50A5C"/>
    <w:rsid w:val="00C50FDF"/>
    <w:rsid w:val="00C63381"/>
    <w:rsid w:val="00C73D06"/>
    <w:rsid w:val="00C73E1B"/>
    <w:rsid w:val="00C759B4"/>
    <w:rsid w:val="00C77713"/>
    <w:rsid w:val="00C91F49"/>
    <w:rsid w:val="00CA7234"/>
    <w:rsid w:val="00CB43D5"/>
    <w:rsid w:val="00CB7A3B"/>
    <w:rsid w:val="00CC4D84"/>
    <w:rsid w:val="00CE198A"/>
    <w:rsid w:val="00CF7274"/>
    <w:rsid w:val="00D64236"/>
    <w:rsid w:val="00D64901"/>
    <w:rsid w:val="00D66E4A"/>
    <w:rsid w:val="00D751C8"/>
    <w:rsid w:val="00D76BDF"/>
    <w:rsid w:val="00D77F64"/>
    <w:rsid w:val="00D862C1"/>
    <w:rsid w:val="00D93B50"/>
    <w:rsid w:val="00D94670"/>
    <w:rsid w:val="00DA46F6"/>
    <w:rsid w:val="00DD0B49"/>
    <w:rsid w:val="00DE5192"/>
    <w:rsid w:val="00E06DFA"/>
    <w:rsid w:val="00E1103F"/>
    <w:rsid w:val="00E17D1E"/>
    <w:rsid w:val="00E20A0A"/>
    <w:rsid w:val="00E356C7"/>
    <w:rsid w:val="00E43C1B"/>
    <w:rsid w:val="00E45FE4"/>
    <w:rsid w:val="00E556B4"/>
    <w:rsid w:val="00E56B51"/>
    <w:rsid w:val="00E64FA7"/>
    <w:rsid w:val="00E770CB"/>
    <w:rsid w:val="00E776A4"/>
    <w:rsid w:val="00E83FE5"/>
    <w:rsid w:val="00E903A1"/>
    <w:rsid w:val="00E940EB"/>
    <w:rsid w:val="00EB2B90"/>
    <w:rsid w:val="00EB591C"/>
    <w:rsid w:val="00ED1554"/>
    <w:rsid w:val="00ED7E83"/>
    <w:rsid w:val="00EE7E07"/>
    <w:rsid w:val="00EF4B63"/>
    <w:rsid w:val="00F0068D"/>
    <w:rsid w:val="00F0576D"/>
    <w:rsid w:val="00F147E3"/>
    <w:rsid w:val="00F14E6D"/>
    <w:rsid w:val="00F15EA8"/>
    <w:rsid w:val="00F16337"/>
    <w:rsid w:val="00F16C8D"/>
    <w:rsid w:val="00F21648"/>
    <w:rsid w:val="00F26C61"/>
    <w:rsid w:val="00F33CCE"/>
    <w:rsid w:val="00F40249"/>
    <w:rsid w:val="00F526C8"/>
    <w:rsid w:val="00F9104A"/>
    <w:rsid w:val="00F9272D"/>
    <w:rsid w:val="00F9518C"/>
    <w:rsid w:val="00FA316E"/>
    <w:rsid w:val="00FA59EF"/>
    <w:rsid w:val="00FB19A2"/>
    <w:rsid w:val="00FD120E"/>
    <w:rsid w:val="00FD28BB"/>
    <w:rsid w:val="00FD67A4"/>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owerCourtNameLowercase">
    <w:name w:val="SCC.LowerCourtNameLowercase"/>
    <w:basedOn w:val="SCCNormalDoubleSpacing"/>
    <w:next w:val="SCCNormalDoubleSpacing"/>
    <w:rsid w:val="00716359"/>
    <w:pPr>
      <w:tabs>
        <w:tab w:val="left" w:pos="1168"/>
      </w:tabs>
    </w:pPr>
    <w:rPr>
      <w:smallCaps/>
    </w:rPr>
  </w:style>
  <w:style w:type="paragraph" w:customStyle="1" w:styleId="ParaNoNdepar-AltN">
    <w:name w:val="Para. No. / Nº de par. - Alt N"/>
    <w:qFormat/>
    <w:rsid w:val="00EE7E07"/>
    <w:pPr>
      <w:numPr>
        <w:numId w:val="5"/>
      </w:numPr>
      <w:spacing w:before="480" w:after="480" w:line="480" w:lineRule="auto"/>
      <w:jc w:val="both"/>
    </w:pPr>
    <w:rPr>
      <w:rFonts w:eastAsiaTheme="minorEastAsia"/>
      <w:lang w:val="en-CA"/>
    </w:rPr>
  </w:style>
  <w:style w:type="paragraph" w:customStyle="1" w:styleId="SCCBanSummary">
    <w:name w:val="SCC.BanSummary"/>
    <w:basedOn w:val="Normal"/>
    <w:next w:val="Normal"/>
    <w:link w:val="SCCBanSummaryChar"/>
    <w:rsid w:val="00251B16"/>
    <w:pPr>
      <w:jc w:val="both"/>
    </w:pPr>
    <w:rPr>
      <w:rFonts w:eastAsia="Calibri" w:cs="Times New Roman"/>
      <w:smallCaps/>
    </w:rPr>
  </w:style>
  <w:style w:type="character" w:customStyle="1" w:styleId="SCCBanSummaryChar">
    <w:name w:val="SCC.BanSummary Char"/>
    <w:basedOn w:val="DefaultParagraphFont"/>
    <w:link w:val="SCCBanSummary"/>
    <w:rsid w:val="00251B16"/>
    <w:rPr>
      <w:rFonts w:eastAsia="Calibri" w:cs="Times New Roman"/>
      <w:smallCaps/>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6037-1387-4C9C-88D3-F773C77C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18714</Words>
  <Characters>106673</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2012-02-15T16:43:00Z</dcterms:created>
  <dcterms:modified xsi:type="dcterms:W3CDTF">2012-02-15T16:43:00Z</dcterms:modified>
</cp:coreProperties>
</file>