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A292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A292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A292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A292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A2926" w:rsidTr="002E5576">
        <w:tc>
          <w:tcPr>
            <w:tcW w:w="4518" w:type="dxa"/>
          </w:tcPr>
          <w:p w:rsidR="00BF25F3" w:rsidRPr="002E2327" w:rsidRDefault="00BA233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A233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A292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A292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66241"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2</w:t>
      </w:r>
      <w:r w:rsidR="003359D3">
        <w:rPr>
          <w:lang w:val="fr-CA"/>
        </w:rPr>
        <w:t>1</w:t>
      </w:r>
      <w:r w:rsidR="00440E24" w:rsidRPr="00675479">
        <w:rPr>
          <w:lang w:val="fr-CA"/>
        </w:rPr>
        <w:t>, 201</w:t>
      </w:r>
      <w:r w:rsidR="00C73D06">
        <w:rPr>
          <w:lang w:val="fr-CA"/>
        </w:rPr>
        <w:t>2</w:t>
      </w:r>
      <w:r w:rsidR="00F0068D" w:rsidRPr="00675479">
        <w:rPr>
          <w:lang w:val="fr-CA"/>
        </w:rPr>
        <w:tab/>
        <w:t>1</w:t>
      </w:r>
      <w:r>
        <w:rPr>
          <w:lang w:val="fr-CA"/>
        </w:rPr>
        <w:t>315</w:t>
      </w:r>
      <w:r w:rsidR="00F0068D" w:rsidRPr="00675479">
        <w:rPr>
          <w:lang w:val="fr-CA"/>
        </w:rPr>
        <w:t xml:space="preserve"> - </w:t>
      </w:r>
      <w:r w:rsidR="00F11377">
        <w:rPr>
          <w:lang w:val="fr-CA"/>
        </w:rPr>
        <w:t>13</w:t>
      </w:r>
      <w:r w:rsidR="001A2926">
        <w:rPr>
          <w:lang w:val="fr-CA"/>
        </w:rPr>
        <w:t>39</w:t>
      </w:r>
      <w:r w:rsidR="00440E24" w:rsidRPr="00675479">
        <w:rPr>
          <w:lang w:val="fr-CA"/>
        </w:rPr>
        <w:tab/>
      </w:r>
      <w:r w:rsidR="00440E24" w:rsidRPr="002E2327">
        <w:rPr>
          <w:lang w:val="fr-CA"/>
        </w:rPr>
        <w:t>Le</w:t>
      </w:r>
      <w:r w:rsidR="00C73D06">
        <w:rPr>
          <w:lang w:val="fr-CA"/>
        </w:rPr>
        <w:t xml:space="preserve"> </w:t>
      </w:r>
      <w:r>
        <w:rPr>
          <w:lang w:val="fr-CA"/>
        </w:rPr>
        <w:t>2</w:t>
      </w:r>
      <w:r w:rsidR="003359D3">
        <w:rPr>
          <w:lang w:val="fr-CA"/>
        </w:rPr>
        <w:t>1</w:t>
      </w:r>
      <w:r>
        <w:rPr>
          <w:lang w:val="fr-CA"/>
        </w:rPr>
        <w:t xml:space="preserve"> septemb</w:t>
      </w:r>
      <w:r w:rsidR="00C73D06">
        <w:rPr>
          <w:lang w:val="fr-CA"/>
        </w:rPr>
        <w:t>r</w:t>
      </w:r>
      <w:r>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FF4C29">
            <w:pPr>
              <w:tabs>
                <w:tab w:val="right" w:pos="9360"/>
              </w:tabs>
              <w:rPr>
                <w:rFonts w:cs="Times New Roman"/>
                <w:sz w:val="20"/>
                <w:szCs w:val="20"/>
              </w:rPr>
            </w:pPr>
          </w:p>
        </w:tc>
        <w:tc>
          <w:tcPr>
            <w:tcW w:w="1980" w:type="dxa"/>
          </w:tcPr>
          <w:p w:rsidR="0095096B" w:rsidRPr="002E2327" w:rsidRDefault="007204D9" w:rsidP="0095096B">
            <w:pPr>
              <w:jc w:val="center"/>
              <w:rPr>
                <w:rFonts w:cs="Times New Roman"/>
                <w:sz w:val="20"/>
                <w:szCs w:val="20"/>
              </w:rPr>
            </w:pPr>
            <w:r>
              <w:rPr>
                <w:rFonts w:cs="Times New Roman"/>
                <w:sz w:val="20"/>
                <w:szCs w:val="20"/>
              </w:rPr>
              <w:t xml:space="preserve">1315 </w:t>
            </w:r>
            <w:r w:rsidR="00BA233E" w:rsidRPr="002E2327">
              <w:rPr>
                <w:rFonts w:cs="Times New Roman"/>
                <w:sz w:val="20"/>
                <w:szCs w:val="20"/>
              </w:rPr>
              <w:fldChar w:fldCharType="begin"/>
            </w:r>
            <w:r w:rsidR="0095096B" w:rsidRPr="002E2327">
              <w:rPr>
                <w:rFonts w:cs="Times New Roman"/>
                <w:sz w:val="20"/>
                <w:szCs w:val="20"/>
              </w:rPr>
              <w:instrText xml:space="preserve"> SEQ CHAPTER \h \r 1</w:instrText>
            </w:r>
            <w:r w:rsidR="00BA233E"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1316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204D9" w:rsidP="0095096B">
            <w:pPr>
              <w:jc w:val="center"/>
              <w:rPr>
                <w:rFonts w:cs="Times New Roman"/>
                <w:sz w:val="20"/>
                <w:szCs w:val="20"/>
              </w:rPr>
            </w:pPr>
            <w:r>
              <w:rPr>
                <w:rFonts w:cs="Times New Roman"/>
                <w:sz w:val="20"/>
                <w:szCs w:val="20"/>
              </w:rPr>
              <w:t>1317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204D9" w:rsidP="0095096B">
            <w:pPr>
              <w:jc w:val="center"/>
              <w:rPr>
                <w:rFonts w:cs="Times New Roman"/>
                <w:sz w:val="20"/>
                <w:szCs w:val="20"/>
              </w:rPr>
            </w:pPr>
            <w:r>
              <w:rPr>
                <w:rFonts w:cs="Times New Roman"/>
                <w:sz w:val="20"/>
                <w:szCs w:val="20"/>
              </w:rPr>
              <w:t xml:space="preserve">1318 </w:t>
            </w:r>
            <w:r w:rsidR="0095096B" w:rsidRPr="002E2327">
              <w:rPr>
                <w:rFonts w:cs="Times New Roman"/>
                <w:sz w:val="20"/>
                <w:szCs w:val="20"/>
              </w:rPr>
              <w:t>-</w:t>
            </w:r>
            <w:r w:rsidR="00FF4C29">
              <w:rPr>
                <w:rFonts w:cs="Times New Roman"/>
                <w:sz w:val="20"/>
                <w:szCs w:val="20"/>
              </w:rPr>
              <w:t xml:space="preserve"> 1325</w:t>
            </w:r>
          </w:p>
          <w:p w:rsidR="0095096B" w:rsidRPr="002E2327" w:rsidRDefault="0095096B" w:rsidP="0095096B">
            <w:pPr>
              <w:jc w:val="center"/>
              <w:rPr>
                <w:rFonts w:cs="Times New Roman"/>
                <w:sz w:val="20"/>
                <w:szCs w:val="20"/>
              </w:rPr>
            </w:pPr>
          </w:p>
          <w:p w:rsidR="00FF4C29" w:rsidRDefault="00FF4C29" w:rsidP="0095096B">
            <w:pPr>
              <w:jc w:val="center"/>
              <w:rPr>
                <w:rFonts w:cs="Times New Roman"/>
                <w:sz w:val="20"/>
                <w:szCs w:val="20"/>
              </w:rPr>
            </w:pPr>
          </w:p>
          <w:p w:rsidR="0095096B" w:rsidRPr="002E2327" w:rsidRDefault="00FF4C29" w:rsidP="0095096B">
            <w:pPr>
              <w:jc w:val="center"/>
              <w:rPr>
                <w:rFonts w:cs="Times New Roman"/>
                <w:sz w:val="20"/>
                <w:szCs w:val="20"/>
              </w:rPr>
            </w:pPr>
            <w:r>
              <w:rPr>
                <w:rFonts w:cs="Times New Roman"/>
                <w:sz w:val="20"/>
                <w:szCs w:val="20"/>
              </w:rPr>
              <w:t xml:space="preserve">1326 </w:t>
            </w:r>
            <w:r w:rsidR="0095096B" w:rsidRPr="002E2327">
              <w:rPr>
                <w:rFonts w:cs="Times New Roman"/>
                <w:sz w:val="20"/>
                <w:szCs w:val="20"/>
              </w:rPr>
              <w:t>-</w:t>
            </w:r>
            <w:r>
              <w:rPr>
                <w:rFonts w:cs="Times New Roman"/>
                <w:sz w:val="20"/>
                <w:szCs w:val="20"/>
              </w:rPr>
              <w:t xml:space="preserve"> 1330</w:t>
            </w:r>
          </w:p>
          <w:p w:rsidR="0095096B" w:rsidRPr="002E2327" w:rsidRDefault="0095096B" w:rsidP="0095096B">
            <w:pPr>
              <w:jc w:val="center"/>
              <w:rPr>
                <w:rFonts w:cs="Times New Roman"/>
                <w:sz w:val="20"/>
                <w:szCs w:val="20"/>
              </w:rPr>
            </w:pPr>
          </w:p>
          <w:p w:rsidR="0095096B" w:rsidRPr="002E2327" w:rsidRDefault="00FF4C29" w:rsidP="0095096B">
            <w:pPr>
              <w:jc w:val="center"/>
              <w:rPr>
                <w:rFonts w:cs="Times New Roman"/>
                <w:sz w:val="20"/>
                <w:szCs w:val="20"/>
              </w:rPr>
            </w:pPr>
            <w:r>
              <w:rPr>
                <w:rFonts w:cs="Times New Roman"/>
                <w:sz w:val="20"/>
                <w:szCs w:val="20"/>
              </w:rPr>
              <w:t>1331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F4C29" w:rsidP="0095096B">
            <w:pPr>
              <w:jc w:val="center"/>
              <w:rPr>
                <w:rFonts w:cs="Times New Roman"/>
                <w:sz w:val="20"/>
                <w:szCs w:val="20"/>
              </w:rPr>
            </w:pPr>
            <w:r>
              <w:rPr>
                <w:rFonts w:cs="Times New Roman"/>
                <w:sz w:val="20"/>
                <w:szCs w:val="20"/>
              </w:rPr>
              <w:t>1332</w:t>
            </w:r>
          </w:p>
          <w:p w:rsidR="0095096B" w:rsidRDefault="0095096B" w:rsidP="0095096B">
            <w:pPr>
              <w:jc w:val="center"/>
              <w:rPr>
                <w:rFonts w:cs="Times New Roman"/>
                <w:sz w:val="20"/>
                <w:szCs w:val="20"/>
              </w:rPr>
            </w:pPr>
          </w:p>
          <w:p w:rsidR="00FF4C29" w:rsidRPr="002E2327" w:rsidRDefault="00FF4C29" w:rsidP="0095096B">
            <w:pPr>
              <w:jc w:val="center"/>
              <w:rPr>
                <w:rFonts w:cs="Times New Roman"/>
                <w:sz w:val="20"/>
                <w:szCs w:val="20"/>
              </w:rPr>
            </w:pPr>
          </w:p>
          <w:p w:rsidR="0095096B" w:rsidRPr="002E2327" w:rsidRDefault="00FF4C29" w:rsidP="0095096B">
            <w:pPr>
              <w:jc w:val="center"/>
              <w:rPr>
                <w:rFonts w:cs="Times New Roman"/>
                <w:sz w:val="20"/>
                <w:szCs w:val="20"/>
              </w:rPr>
            </w:pPr>
            <w:r>
              <w:rPr>
                <w:rFonts w:cs="Times New Roman"/>
                <w:sz w:val="20"/>
                <w:szCs w:val="20"/>
              </w:rPr>
              <w:t xml:space="preserve">1333 </w:t>
            </w:r>
            <w:r w:rsidR="0095096B" w:rsidRPr="002E2327">
              <w:rPr>
                <w:rFonts w:cs="Times New Roman"/>
                <w:sz w:val="20"/>
                <w:szCs w:val="20"/>
              </w:rPr>
              <w:t>-</w:t>
            </w:r>
            <w:r w:rsidR="00F11377">
              <w:rPr>
                <w:rFonts w:cs="Times New Roman"/>
                <w:sz w:val="20"/>
                <w:szCs w:val="20"/>
              </w:rPr>
              <w:t xml:space="preserve"> 13</w:t>
            </w:r>
            <w:r w:rsidR="001A2926">
              <w:rPr>
                <w:rFonts w:cs="Times New Roman"/>
                <w:sz w:val="20"/>
                <w:szCs w:val="20"/>
              </w:rPr>
              <w:t>39</w:t>
            </w:r>
          </w:p>
          <w:p w:rsidR="00A87207" w:rsidRPr="002E2327" w:rsidRDefault="00A87207" w:rsidP="00FF4C29">
            <w:pPr>
              <w:jc w:val="center"/>
              <w:rPr>
                <w:rFonts w:cs="Times New Roman"/>
                <w:sz w:val="20"/>
                <w:szCs w:val="20"/>
              </w:rPr>
            </w:pPr>
          </w:p>
        </w:tc>
        <w:tc>
          <w:tcPr>
            <w:tcW w:w="3888" w:type="dxa"/>
          </w:tcPr>
          <w:p w:rsidR="0095096B" w:rsidRPr="002E2327" w:rsidRDefault="00BA233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FF4C29">
            <w:pPr>
              <w:tabs>
                <w:tab w:val="right" w:pos="9360"/>
              </w:tabs>
              <w:rPr>
                <w:rFonts w:cs="Times New Roman"/>
                <w:sz w:val="20"/>
                <w:szCs w:val="20"/>
                <w:lang w:val="fr-CA"/>
              </w:rPr>
            </w:pPr>
          </w:p>
        </w:tc>
      </w:tr>
    </w:tbl>
    <w:p w:rsidR="0095096B" w:rsidRDefault="0095096B" w:rsidP="0095096B">
      <w:pPr>
        <w:tabs>
          <w:tab w:val="right" w:pos="9360"/>
        </w:tabs>
      </w:pPr>
    </w:p>
    <w:p w:rsidR="00F30742" w:rsidRDefault="00F30742" w:rsidP="0095096B">
      <w:pPr>
        <w:tabs>
          <w:tab w:val="right" w:pos="9360"/>
        </w:tabs>
      </w:pPr>
    </w:p>
    <w:p w:rsidR="00F30742" w:rsidRDefault="00F30742" w:rsidP="0095096B">
      <w:pPr>
        <w:tabs>
          <w:tab w:val="right" w:pos="9360"/>
        </w:tabs>
      </w:pPr>
    </w:p>
    <w:p w:rsidR="00FF4C29" w:rsidRDefault="00FF4C29" w:rsidP="0095096B">
      <w:pPr>
        <w:tabs>
          <w:tab w:val="right" w:pos="9360"/>
        </w:tabs>
      </w:pPr>
    </w:p>
    <w:p w:rsidR="00F30742" w:rsidRDefault="00F30742" w:rsidP="0095096B">
      <w:pPr>
        <w:tabs>
          <w:tab w:val="right" w:pos="9360"/>
        </w:tabs>
      </w:pPr>
    </w:p>
    <w:p w:rsidR="00F30742" w:rsidRPr="002E2327" w:rsidRDefault="00F30742" w:rsidP="0095096B">
      <w:pPr>
        <w:tabs>
          <w:tab w:val="right" w:pos="9360"/>
        </w:tabs>
      </w:pPr>
    </w:p>
    <w:tbl>
      <w:tblPr>
        <w:tblStyle w:val="TableGrid"/>
        <w:tblW w:w="0" w:type="auto"/>
        <w:tblLook w:val="04A0"/>
      </w:tblPr>
      <w:tblGrid>
        <w:gridCol w:w="9576"/>
      </w:tblGrid>
      <w:tr w:rsidR="0079724F" w:rsidRPr="001A292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B537EA" w:rsidP="003B3977">
            <w:pPr>
              <w:rPr>
                <w:b/>
                <w:sz w:val="20"/>
                <w:szCs w:val="20"/>
              </w:rPr>
            </w:pPr>
            <w:r>
              <w:rPr>
                <w:b/>
                <w:sz w:val="20"/>
                <w:szCs w:val="20"/>
              </w:rPr>
              <w:t>Mario Bouchard</w:t>
            </w:r>
          </w:p>
          <w:p w:rsidR="00242AEE" w:rsidRPr="00652D9C" w:rsidRDefault="00242AEE" w:rsidP="003B3977">
            <w:pPr>
              <w:tabs>
                <w:tab w:val="left" w:pos="-1440"/>
                <w:tab w:val="left" w:pos="-720"/>
              </w:tabs>
              <w:rPr>
                <w:sz w:val="20"/>
                <w:szCs w:val="20"/>
              </w:rPr>
            </w:pPr>
            <w:r w:rsidRPr="00A935AA">
              <w:rPr>
                <w:sz w:val="20"/>
                <w:szCs w:val="20"/>
              </w:rPr>
              <w:tab/>
            </w:r>
            <w:r w:rsidR="00B537EA" w:rsidRPr="00652D9C">
              <w:rPr>
                <w:sz w:val="20"/>
                <w:szCs w:val="20"/>
              </w:rPr>
              <w:t>Mario Bouchard</w:t>
            </w:r>
          </w:p>
          <w:p w:rsidR="00242AEE" w:rsidRPr="00652D9C" w:rsidRDefault="00242AEE" w:rsidP="003B3977">
            <w:pPr>
              <w:tabs>
                <w:tab w:val="left" w:pos="-1440"/>
                <w:tab w:val="left" w:pos="-720"/>
              </w:tabs>
              <w:rPr>
                <w:sz w:val="20"/>
                <w:szCs w:val="20"/>
              </w:rPr>
            </w:pPr>
          </w:p>
          <w:p w:rsidR="00242AEE" w:rsidRPr="00652D9C" w:rsidRDefault="00242AEE" w:rsidP="003B3977">
            <w:pPr>
              <w:tabs>
                <w:tab w:val="left" w:pos="-1440"/>
                <w:tab w:val="left" w:pos="-720"/>
              </w:tabs>
              <w:rPr>
                <w:sz w:val="20"/>
                <w:szCs w:val="20"/>
              </w:rPr>
            </w:pPr>
            <w:r w:rsidRPr="00652D9C">
              <w:rPr>
                <w:sz w:val="20"/>
                <w:szCs w:val="20"/>
              </w:rPr>
              <w:tab/>
            </w:r>
            <w:r w:rsidR="00B537EA" w:rsidRPr="00652D9C">
              <w:rPr>
                <w:sz w:val="20"/>
                <w:szCs w:val="20"/>
              </w:rPr>
              <w:t>c</w:t>
            </w:r>
            <w:r w:rsidRPr="00652D9C">
              <w:rPr>
                <w:sz w:val="20"/>
                <w:szCs w:val="20"/>
              </w:rPr>
              <w:t>. (3</w:t>
            </w:r>
            <w:r w:rsidR="00B537EA" w:rsidRPr="00652D9C">
              <w:rPr>
                <w:sz w:val="20"/>
                <w:szCs w:val="20"/>
              </w:rPr>
              <w:t>4942</w:t>
            </w:r>
            <w:r w:rsidRPr="00652D9C">
              <w:rPr>
                <w:sz w:val="20"/>
                <w:szCs w:val="20"/>
              </w:rPr>
              <w:t>)</w:t>
            </w:r>
          </w:p>
          <w:p w:rsidR="00242AEE" w:rsidRPr="00652D9C" w:rsidRDefault="00242AEE" w:rsidP="003B3977">
            <w:pPr>
              <w:tabs>
                <w:tab w:val="left" w:pos="-1440"/>
                <w:tab w:val="left" w:pos="-720"/>
              </w:tabs>
              <w:rPr>
                <w:sz w:val="20"/>
                <w:szCs w:val="20"/>
              </w:rPr>
            </w:pPr>
          </w:p>
          <w:p w:rsidR="00242AEE" w:rsidRPr="00B537EA" w:rsidRDefault="00B537EA" w:rsidP="003B3977">
            <w:pPr>
              <w:tabs>
                <w:tab w:val="left" w:pos="-1440"/>
                <w:tab w:val="left" w:pos="-720"/>
              </w:tabs>
              <w:rPr>
                <w:b/>
                <w:sz w:val="20"/>
                <w:szCs w:val="20"/>
                <w:lang w:val="fr-CA"/>
              </w:rPr>
            </w:pPr>
            <w:r w:rsidRPr="00B537EA">
              <w:rPr>
                <w:b/>
                <w:sz w:val="20"/>
                <w:szCs w:val="20"/>
                <w:lang w:val="fr-CA"/>
              </w:rPr>
              <w:t>Société d’a</w:t>
            </w:r>
            <w:r w:rsidR="00242AEE" w:rsidRPr="00B537EA">
              <w:rPr>
                <w:b/>
                <w:sz w:val="20"/>
                <w:szCs w:val="20"/>
                <w:lang w:val="fr-CA"/>
              </w:rPr>
              <w:t>s</w:t>
            </w:r>
            <w:r w:rsidRPr="00B537EA">
              <w:rPr>
                <w:b/>
                <w:sz w:val="20"/>
                <w:szCs w:val="20"/>
                <w:lang w:val="fr-CA"/>
              </w:rPr>
              <w:t>surance automobile du Q</w:t>
            </w:r>
            <w:r w:rsidR="00242AEE" w:rsidRPr="00B537EA">
              <w:rPr>
                <w:b/>
                <w:sz w:val="20"/>
                <w:szCs w:val="20"/>
                <w:lang w:val="fr-CA"/>
              </w:rPr>
              <w:t>u</w:t>
            </w:r>
            <w:r w:rsidRPr="00B537EA">
              <w:rPr>
                <w:b/>
                <w:sz w:val="20"/>
                <w:szCs w:val="20"/>
                <w:lang w:val="fr-CA"/>
              </w:rPr>
              <w:t>éb</w:t>
            </w:r>
            <w:r w:rsidR="00242AEE" w:rsidRPr="00B537EA">
              <w:rPr>
                <w:b/>
                <w:sz w:val="20"/>
                <w:szCs w:val="20"/>
                <w:lang w:val="fr-CA"/>
              </w:rPr>
              <w:t>e</w:t>
            </w:r>
            <w:r w:rsidRPr="00B537EA">
              <w:rPr>
                <w:b/>
                <w:sz w:val="20"/>
                <w:szCs w:val="20"/>
                <w:lang w:val="fr-CA"/>
              </w:rPr>
              <w:t>c</w:t>
            </w:r>
            <w:r w:rsidR="00242AEE" w:rsidRPr="00B537EA">
              <w:rPr>
                <w:b/>
                <w:sz w:val="20"/>
                <w:szCs w:val="20"/>
                <w:lang w:val="fr-CA"/>
              </w:rPr>
              <w:t xml:space="preserve"> (</w:t>
            </w:r>
            <w:r w:rsidRPr="00B537EA">
              <w:rPr>
                <w:b/>
                <w:sz w:val="20"/>
                <w:szCs w:val="20"/>
                <w:lang w:val="fr-CA"/>
              </w:rPr>
              <w:t>Qc</w:t>
            </w:r>
            <w:r w:rsidR="00242AEE" w:rsidRPr="00B537EA">
              <w:rPr>
                <w:b/>
                <w:sz w:val="20"/>
                <w:szCs w:val="20"/>
                <w:lang w:val="fr-CA"/>
              </w:rPr>
              <w:t>)</w:t>
            </w:r>
          </w:p>
          <w:p w:rsidR="00242AEE" w:rsidRPr="00B537EA" w:rsidRDefault="00242AEE" w:rsidP="003B3977">
            <w:pPr>
              <w:tabs>
                <w:tab w:val="left" w:pos="-1440"/>
                <w:tab w:val="left" w:pos="-720"/>
              </w:tabs>
              <w:rPr>
                <w:sz w:val="20"/>
                <w:szCs w:val="20"/>
                <w:lang w:val="fr-CA"/>
              </w:rPr>
            </w:pPr>
            <w:r w:rsidRPr="00B537EA">
              <w:rPr>
                <w:sz w:val="20"/>
                <w:szCs w:val="20"/>
                <w:lang w:val="fr-CA"/>
              </w:rPr>
              <w:tab/>
            </w:r>
            <w:r w:rsidR="00B537EA" w:rsidRPr="00B537EA">
              <w:rPr>
                <w:sz w:val="20"/>
                <w:szCs w:val="20"/>
                <w:lang w:val="fr-CA"/>
              </w:rPr>
              <w:t>Julien Gaudet-Lachapelle</w:t>
            </w:r>
          </w:p>
          <w:p w:rsidR="00242AEE" w:rsidRPr="00B537EA" w:rsidRDefault="00242AEE" w:rsidP="003B3977">
            <w:pPr>
              <w:tabs>
                <w:tab w:val="left" w:pos="-1440"/>
                <w:tab w:val="left" w:pos="-720"/>
              </w:tabs>
              <w:rPr>
                <w:sz w:val="20"/>
                <w:szCs w:val="20"/>
                <w:lang w:val="fr-CA"/>
              </w:rPr>
            </w:pPr>
            <w:r w:rsidRPr="00B537EA">
              <w:rPr>
                <w:sz w:val="20"/>
                <w:szCs w:val="20"/>
                <w:lang w:val="fr-CA"/>
              </w:rPr>
              <w:tab/>
            </w:r>
            <w:r w:rsidR="00B537EA" w:rsidRPr="00B537EA">
              <w:rPr>
                <w:sz w:val="20"/>
                <w:szCs w:val="20"/>
                <w:lang w:val="fr-CA"/>
              </w:rPr>
              <w:t>Raiche Pineault Touchette</w:t>
            </w:r>
          </w:p>
          <w:p w:rsidR="00242AEE" w:rsidRPr="00B537EA"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B537EA">
              <w:rPr>
                <w:sz w:val="20"/>
                <w:szCs w:val="20"/>
              </w:rPr>
              <w:t xml:space="preserve"> DE PRODUCTION </w:t>
            </w:r>
            <w:r w:rsidRPr="00A935AA">
              <w:rPr>
                <w:sz w:val="20"/>
                <w:szCs w:val="20"/>
              </w:rPr>
              <w:t>: 27.0</w:t>
            </w:r>
            <w:r w:rsidR="00B537EA">
              <w:rPr>
                <w:sz w:val="20"/>
                <w:szCs w:val="20"/>
              </w:rPr>
              <w:t>7</w:t>
            </w:r>
            <w:r w:rsidRPr="00A935AA">
              <w:rPr>
                <w:sz w:val="20"/>
                <w:szCs w:val="20"/>
              </w:rPr>
              <w:t>.201</w:t>
            </w:r>
            <w:r w:rsidR="00B537EA">
              <w:rPr>
                <w:sz w:val="20"/>
                <w:szCs w:val="20"/>
              </w:rPr>
              <w:t>2</w:t>
            </w:r>
          </w:p>
          <w:p w:rsidR="00242AEE" w:rsidRPr="00A935AA" w:rsidRDefault="00BA233E" w:rsidP="003B3977">
            <w:pPr>
              <w:rPr>
                <w:sz w:val="20"/>
                <w:szCs w:val="20"/>
              </w:rPr>
            </w:pPr>
            <w:r w:rsidRPr="00BA233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DB0F51" w:rsidP="003B3977">
            <w:pPr>
              <w:keepNext/>
              <w:keepLines/>
              <w:tabs>
                <w:tab w:val="left" w:pos="-1440"/>
                <w:tab w:val="left" w:pos="-720"/>
              </w:tabs>
              <w:rPr>
                <w:b/>
                <w:sz w:val="20"/>
                <w:szCs w:val="20"/>
              </w:rPr>
            </w:pPr>
            <w:r>
              <w:rPr>
                <w:b/>
                <w:sz w:val="20"/>
                <w:szCs w:val="20"/>
              </w:rPr>
              <w:t>Victor J. Buencamino</w:t>
            </w:r>
          </w:p>
          <w:p w:rsidR="00242AEE" w:rsidRPr="00A935AA" w:rsidRDefault="00242AEE" w:rsidP="003B3977">
            <w:pPr>
              <w:keepNext/>
              <w:keepLines/>
              <w:tabs>
                <w:tab w:val="left" w:pos="-1440"/>
                <w:tab w:val="left" w:pos="-720"/>
              </w:tabs>
              <w:rPr>
                <w:sz w:val="20"/>
                <w:szCs w:val="20"/>
              </w:rPr>
            </w:pPr>
            <w:r w:rsidRPr="00A935AA">
              <w:rPr>
                <w:sz w:val="20"/>
                <w:szCs w:val="20"/>
              </w:rPr>
              <w:tab/>
            </w:r>
            <w:r w:rsidR="00DB0F51">
              <w:rPr>
                <w:sz w:val="20"/>
                <w:szCs w:val="20"/>
              </w:rPr>
              <w:t>Victor J. Buencamino</w:t>
            </w:r>
          </w:p>
          <w:p w:rsidR="00242AEE" w:rsidRPr="00A935AA" w:rsidRDefault="00242AEE" w:rsidP="003B3977">
            <w:pPr>
              <w:keepNext/>
              <w:keepLines/>
              <w:tabs>
                <w:tab w:val="left" w:pos="-1440"/>
                <w:tab w:val="left" w:pos="-720"/>
              </w:tabs>
              <w:rPr>
                <w:sz w:val="20"/>
                <w:szCs w:val="20"/>
              </w:rPr>
            </w:pPr>
          </w:p>
          <w:p w:rsidR="00242AEE" w:rsidRPr="00DB0F51" w:rsidRDefault="00242AEE" w:rsidP="003B3977">
            <w:pPr>
              <w:keepNext/>
              <w:keepLines/>
              <w:tabs>
                <w:tab w:val="left" w:pos="-1440"/>
                <w:tab w:val="left" w:pos="-720"/>
              </w:tabs>
              <w:rPr>
                <w:sz w:val="20"/>
                <w:szCs w:val="20"/>
              </w:rPr>
            </w:pPr>
            <w:r w:rsidRPr="00A935AA">
              <w:rPr>
                <w:sz w:val="20"/>
                <w:szCs w:val="20"/>
              </w:rPr>
              <w:tab/>
            </w:r>
            <w:r w:rsidRPr="00DB0F51">
              <w:rPr>
                <w:sz w:val="20"/>
                <w:szCs w:val="20"/>
              </w:rPr>
              <w:t>v. (3</w:t>
            </w:r>
            <w:r w:rsidR="00DB0F51" w:rsidRPr="00DB0F51">
              <w:rPr>
                <w:sz w:val="20"/>
                <w:szCs w:val="20"/>
              </w:rPr>
              <w:t>4</w:t>
            </w:r>
            <w:r w:rsidRPr="00DB0F51">
              <w:rPr>
                <w:sz w:val="20"/>
                <w:szCs w:val="20"/>
              </w:rPr>
              <w:t>8</w:t>
            </w:r>
            <w:r w:rsidR="00DB0F51" w:rsidRPr="00DB0F51">
              <w:rPr>
                <w:sz w:val="20"/>
                <w:szCs w:val="20"/>
              </w:rPr>
              <w:t>9</w:t>
            </w:r>
            <w:r w:rsidRPr="00DB0F51">
              <w:rPr>
                <w:sz w:val="20"/>
                <w:szCs w:val="20"/>
              </w:rPr>
              <w:t>2)</w:t>
            </w:r>
          </w:p>
          <w:p w:rsidR="00242AEE" w:rsidRPr="00DB0F51" w:rsidRDefault="00242AEE" w:rsidP="003B3977">
            <w:pPr>
              <w:keepNext/>
              <w:keepLines/>
              <w:tabs>
                <w:tab w:val="left" w:pos="-1440"/>
                <w:tab w:val="left" w:pos="-720"/>
              </w:tabs>
              <w:rPr>
                <w:sz w:val="20"/>
                <w:szCs w:val="20"/>
              </w:rPr>
            </w:pPr>
          </w:p>
          <w:p w:rsidR="00242AEE" w:rsidRPr="00DB0F51" w:rsidRDefault="00DB0F51" w:rsidP="003B3977">
            <w:pPr>
              <w:keepNext/>
              <w:keepLines/>
              <w:tabs>
                <w:tab w:val="left" w:pos="-1440"/>
                <w:tab w:val="left" w:pos="-720"/>
              </w:tabs>
              <w:rPr>
                <w:b/>
                <w:sz w:val="20"/>
                <w:szCs w:val="20"/>
              </w:rPr>
            </w:pPr>
            <w:r>
              <w:rPr>
                <w:b/>
                <w:sz w:val="20"/>
                <w:szCs w:val="20"/>
              </w:rPr>
              <w:t>Canada Minister of Justice</w:t>
            </w:r>
            <w:r w:rsidR="00242AEE" w:rsidRPr="00DB0F51">
              <w:rPr>
                <w:b/>
                <w:sz w:val="20"/>
                <w:szCs w:val="20"/>
              </w:rPr>
              <w:t xml:space="preserve"> (</w:t>
            </w:r>
            <w:r>
              <w:rPr>
                <w:b/>
                <w:sz w:val="20"/>
                <w:szCs w:val="20"/>
              </w:rPr>
              <w:t>B.C</w:t>
            </w:r>
            <w:r w:rsidR="00242AEE" w:rsidRPr="00DB0F51">
              <w:rPr>
                <w:b/>
                <w:sz w:val="20"/>
                <w:szCs w:val="20"/>
              </w:rPr>
              <w:t>.)</w:t>
            </w:r>
          </w:p>
          <w:p w:rsidR="00242AEE" w:rsidRPr="00DB0F51" w:rsidRDefault="00242AEE" w:rsidP="003B3977">
            <w:pPr>
              <w:keepNext/>
              <w:keepLines/>
              <w:tabs>
                <w:tab w:val="left" w:pos="-1440"/>
                <w:tab w:val="left" w:pos="-720"/>
              </w:tabs>
              <w:rPr>
                <w:sz w:val="20"/>
                <w:szCs w:val="20"/>
              </w:rPr>
            </w:pPr>
            <w:r w:rsidRPr="00DB0F51">
              <w:rPr>
                <w:sz w:val="20"/>
                <w:szCs w:val="20"/>
              </w:rPr>
              <w:tab/>
            </w:r>
            <w:r w:rsidR="00DB0F51">
              <w:rPr>
                <w:sz w:val="20"/>
                <w:szCs w:val="20"/>
              </w:rPr>
              <w:t>Deborah J. Strachan</w:t>
            </w:r>
          </w:p>
          <w:p w:rsidR="00242AEE" w:rsidRPr="00DB0F51" w:rsidRDefault="00242AEE" w:rsidP="003B3977">
            <w:pPr>
              <w:keepNext/>
              <w:keepLines/>
              <w:tabs>
                <w:tab w:val="left" w:pos="-1440"/>
                <w:tab w:val="left" w:pos="-720"/>
              </w:tabs>
              <w:rPr>
                <w:sz w:val="20"/>
                <w:szCs w:val="20"/>
              </w:rPr>
            </w:pPr>
            <w:r w:rsidRPr="00DB0F51">
              <w:rPr>
                <w:sz w:val="20"/>
                <w:szCs w:val="20"/>
              </w:rPr>
              <w:tab/>
              <w:t>A</w:t>
            </w:r>
            <w:r w:rsidR="00DB0F51">
              <w:rPr>
                <w:sz w:val="20"/>
                <w:szCs w:val="20"/>
              </w:rPr>
              <w:t>.G. of Canada</w:t>
            </w:r>
          </w:p>
          <w:p w:rsidR="00242AEE" w:rsidRPr="00DB0F51" w:rsidRDefault="00242AEE" w:rsidP="003B3977">
            <w:pPr>
              <w:keepNext/>
              <w:keepLines/>
              <w:tabs>
                <w:tab w:val="left" w:pos="-1440"/>
                <w:tab w:val="left" w:pos="-720"/>
              </w:tabs>
              <w:rPr>
                <w:sz w:val="20"/>
                <w:szCs w:val="20"/>
              </w:rPr>
            </w:pPr>
          </w:p>
          <w:p w:rsidR="00242AEE" w:rsidRPr="00A935AA" w:rsidRDefault="00242AEE" w:rsidP="00DB0F51">
            <w:pPr>
              <w:rPr>
                <w:sz w:val="20"/>
                <w:szCs w:val="20"/>
              </w:rPr>
            </w:pPr>
            <w:r w:rsidRPr="00A935AA">
              <w:rPr>
                <w:sz w:val="20"/>
                <w:szCs w:val="20"/>
              </w:rPr>
              <w:t xml:space="preserve">FILING DATE: </w:t>
            </w:r>
            <w:r w:rsidR="00DB0F51">
              <w:rPr>
                <w:sz w:val="20"/>
                <w:szCs w:val="20"/>
              </w:rPr>
              <w:t>30</w:t>
            </w:r>
            <w:r w:rsidRPr="00A935AA">
              <w:rPr>
                <w:sz w:val="20"/>
                <w:szCs w:val="20"/>
              </w:rPr>
              <w:t>.0</w:t>
            </w:r>
            <w:r w:rsidR="00DB0F51">
              <w:rPr>
                <w:sz w:val="20"/>
                <w:szCs w:val="20"/>
              </w:rPr>
              <w:t>7</w:t>
            </w:r>
            <w:r w:rsidRPr="00A935AA">
              <w:rPr>
                <w:sz w:val="20"/>
                <w:szCs w:val="20"/>
              </w:rPr>
              <w:t>.201</w:t>
            </w:r>
            <w:r w:rsidR="00DB0F51">
              <w:rPr>
                <w:sz w:val="20"/>
                <w:szCs w:val="20"/>
              </w:rPr>
              <w:t>2</w:t>
            </w:r>
            <w:r w:rsidR="00BA233E" w:rsidRPr="00BA233E">
              <w:rPr>
                <w:sz w:val="20"/>
                <w:szCs w:val="20"/>
                <w:lang w:val="fr-CA"/>
              </w:rPr>
              <w:pict>
                <v:rect id="_x0000_i1026" style="width:108pt;height:1pt" o:hrpct="0" o:hralign="center" o:hrstd="t" o:hrnoshade="t" o:hr="t" fillcolor="black [3213]" stroked="f"/>
              </w:pict>
            </w:r>
          </w:p>
        </w:tc>
      </w:tr>
      <w:tr w:rsidR="00242AEE" w:rsidRPr="00A935AA" w:rsidTr="003B3977">
        <w:tc>
          <w:tcPr>
            <w:tcW w:w="4320" w:type="dxa"/>
            <w:shd w:val="clear" w:color="auto" w:fill="auto"/>
          </w:tcPr>
          <w:p w:rsidR="00242AEE" w:rsidRDefault="000A16B8" w:rsidP="003B3977">
            <w:pPr>
              <w:rPr>
                <w:b/>
                <w:sz w:val="20"/>
                <w:szCs w:val="20"/>
              </w:rPr>
            </w:pPr>
            <w:r>
              <w:rPr>
                <w:b/>
                <w:sz w:val="20"/>
                <w:szCs w:val="20"/>
              </w:rPr>
              <w:t>Wyeth LLC et al.</w:t>
            </w:r>
          </w:p>
          <w:p w:rsidR="00B537EA" w:rsidRDefault="00B537EA" w:rsidP="003B3977">
            <w:pPr>
              <w:rPr>
                <w:sz w:val="20"/>
                <w:szCs w:val="20"/>
              </w:rPr>
            </w:pPr>
            <w:r>
              <w:rPr>
                <w:sz w:val="20"/>
                <w:szCs w:val="20"/>
              </w:rPr>
              <w:tab/>
            </w:r>
            <w:r w:rsidR="000A16B8">
              <w:rPr>
                <w:sz w:val="20"/>
                <w:szCs w:val="20"/>
              </w:rPr>
              <w:t>William W. McNamara</w:t>
            </w:r>
          </w:p>
          <w:p w:rsidR="00B537EA" w:rsidRDefault="00B537EA" w:rsidP="003B3977">
            <w:pPr>
              <w:rPr>
                <w:sz w:val="20"/>
                <w:szCs w:val="20"/>
              </w:rPr>
            </w:pPr>
            <w:r>
              <w:rPr>
                <w:sz w:val="20"/>
                <w:szCs w:val="20"/>
              </w:rPr>
              <w:tab/>
            </w:r>
            <w:r w:rsidR="000A16B8">
              <w:rPr>
                <w:sz w:val="20"/>
                <w:szCs w:val="20"/>
              </w:rPr>
              <w:t>Norton Rose Canada LLP</w:t>
            </w:r>
          </w:p>
          <w:p w:rsidR="00B537EA" w:rsidRDefault="00B537EA" w:rsidP="003B3977">
            <w:pPr>
              <w:rPr>
                <w:sz w:val="20"/>
                <w:szCs w:val="20"/>
              </w:rPr>
            </w:pPr>
          </w:p>
          <w:p w:rsidR="00B537EA" w:rsidRDefault="00B537EA" w:rsidP="003B3977">
            <w:pPr>
              <w:rPr>
                <w:sz w:val="20"/>
                <w:szCs w:val="20"/>
              </w:rPr>
            </w:pPr>
            <w:r>
              <w:rPr>
                <w:sz w:val="20"/>
                <w:szCs w:val="20"/>
              </w:rPr>
              <w:tab/>
              <w:t>v. (34</w:t>
            </w:r>
            <w:r w:rsidR="000A16B8">
              <w:rPr>
                <w:sz w:val="20"/>
                <w:szCs w:val="20"/>
              </w:rPr>
              <w:t>918</w:t>
            </w:r>
            <w:r>
              <w:rPr>
                <w:sz w:val="20"/>
                <w:szCs w:val="20"/>
              </w:rPr>
              <w:t>)</w:t>
            </w:r>
          </w:p>
          <w:p w:rsidR="00B537EA" w:rsidRDefault="00B537EA" w:rsidP="003B3977">
            <w:pPr>
              <w:rPr>
                <w:sz w:val="20"/>
                <w:szCs w:val="20"/>
              </w:rPr>
            </w:pPr>
          </w:p>
          <w:p w:rsidR="00B537EA" w:rsidRDefault="000A16B8" w:rsidP="003B3977">
            <w:pPr>
              <w:rPr>
                <w:b/>
                <w:sz w:val="20"/>
                <w:szCs w:val="20"/>
              </w:rPr>
            </w:pPr>
            <w:r>
              <w:rPr>
                <w:b/>
                <w:sz w:val="20"/>
                <w:szCs w:val="20"/>
              </w:rPr>
              <w:t>Teva Canada Limited</w:t>
            </w:r>
            <w:r w:rsidR="00B537EA">
              <w:rPr>
                <w:b/>
                <w:sz w:val="20"/>
                <w:szCs w:val="20"/>
              </w:rPr>
              <w:t xml:space="preserve"> (</w:t>
            </w:r>
            <w:r>
              <w:rPr>
                <w:b/>
                <w:sz w:val="20"/>
                <w:szCs w:val="20"/>
              </w:rPr>
              <w:t>F.C.</w:t>
            </w:r>
            <w:r w:rsidR="00B537EA">
              <w:rPr>
                <w:b/>
                <w:sz w:val="20"/>
                <w:szCs w:val="20"/>
              </w:rPr>
              <w:t>)</w:t>
            </w:r>
          </w:p>
          <w:p w:rsidR="00B537EA" w:rsidRDefault="00B537EA" w:rsidP="003B3977">
            <w:pPr>
              <w:rPr>
                <w:sz w:val="20"/>
                <w:szCs w:val="20"/>
              </w:rPr>
            </w:pPr>
            <w:r>
              <w:rPr>
                <w:sz w:val="20"/>
                <w:szCs w:val="20"/>
              </w:rPr>
              <w:tab/>
            </w:r>
            <w:r w:rsidR="000A16B8">
              <w:rPr>
                <w:sz w:val="20"/>
                <w:szCs w:val="20"/>
              </w:rPr>
              <w:t>David W. Aitken</w:t>
            </w:r>
          </w:p>
          <w:p w:rsidR="00B537EA" w:rsidRDefault="00B537EA" w:rsidP="003B3977">
            <w:pPr>
              <w:rPr>
                <w:sz w:val="20"/>
                <w:szCs w:val="20"/>
              </w:rPr>
            </w:pPr>
            <w:r>
              <w:rPr>
                <w:sz w:val="20"/>
                <w:szCs w:val="20"/>
              </w:rPr>
              <w:tab/>
            </w:r>
            <w:r w:rsidR="000A16B8">
              <w:rPr>
                <w:sz w:val="20"/>
                <w:szCs w:val="20"/>
              </w:rPr>
              <w:t>Osler, Hoskin &amp; Harcourt LLP</w:t>
            </w:r>
          </w:p>
          <w:p w:rsidR="00B537EA" w:rsidRDefault="00B537EA" w:rsidP="003B3977">
            <w:pPr>
              <w:rPr>
                <w:sz w:val="20"/>
                <w:szCs w:val="20"/>
              </w:rPr>
            </w:pPr>
          </w:p>
          <w:p w:rsidR="00B537EA" w:rsidRDefault="00B537EA" w:rsidP="003B3977">
            <w:pPr>
              <w:rPr>
                <w:sz w:val="20"/>
                <w:szCs w:val="20"/>
              </w:rPr>
            </w:pPr>
            <w:r>
              <w:rPr>
                <w:sz w:val="20"/>
                <w:szCs w:val="20"/>
              </w:rPr>
              <w:t xml:space="preserve">FILING DATE: </w:t>
            </w:r>
            <w:r w:rsidR="000A16B8">
              <w:rPr>
                <w:sz w:val="20"/>
                <w:szCs w:val="20"/>
              </w:rPr>
              <w:t>07.08.2012</w:t>
            </w:r>
          </w:p>
          <w:p w:rsidR="00B537EA" w:rsidRPr="00B537EA" w:rsidRDefault="00BA233E" w:rsidP="003B3977">
            <w:pPr>
              <w:rPr>
                <w:sz w:val="20"/>
                <w:szCs w:val="20"/>
              </w:rPr>
            </w:pPr>
            <w:r w:rsidRPr="00BA233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Default="000A16B8" w:rsidP="003B3977">
            <w:pPr>
              <w:rPr>
                <w:b/>
                <w:sz w:val="20"/>
                <w:szCs w:val="20"/>
              </w:rPr>
            </w:pPr>
            <w:r>
              <w:rPr>
                <w:b/>
                <w:sz w:val="20"/>
                <w:szCs w:val="20"/>
              </w:rPr>
              <w:t>Jane Carlson</w:t>
            </w:r>
          </w:p>
          <w:p w:rsidR="00B537EA" w:rsidRDefault="00B537EA" w:rsidP="003B3977">
            <w:pPr>
              <w:rPr>
                <w:sz w:val="20"/>
                <w:szCs w:val="20"/>
              </w:rPr>
            </w:pPr>
            <w:r>
              <w:rPr>
                <w:sz w:val="20"/>
                <w:szCs w:val="20"/>
              </w:rPr>
              <w:tab/>
            </w:r>
            <w:r w:rsidR="000A16B8">
              <w:rPr>
                <w:sz w:val="20"/>
                <w:szCs w:val="20"/>
              </w:rPr>
              <w:t>Gerald N. Kent</w:t>
            </w:r>
          </w:p>
          <w:p w:rsidR="00B537EA" w:rsidRDefault="00B537EA" w:rsidP="003B3977">
            <w:pPr>
              <w:rPr>
                <w:sz w:val="20"/>
                <w:szCs w:val="20"/>
              </w:rPr>
            </w:pPr>
            <w:r>
              <w:rPr>
                <w:sz w:val="20"/>
                <w:szCs w:val="20"/>
              </w:rPr>
              <w:tab/>
            </w:r>
            <w:r w:rsidR="000A16B8">
              <w:rPr>
                <w:sz w:val="20"/>
                <w:szCs w:val="20"/>
              </w:rPr>
              <w:t>Kent Law Office</w:t>
            </w:r>
          </w:p>
          <w:p w:rsidR="00B537EA" w:rsidRDefault="00B537EA" w:rsidP="003B3977">
            <w:pPr>
              <w:rPr>
                <w:sz w:val="20"/>
                <w:szCs w:val="20"/>
              </w:rPr>
            </w:pPr>
          </w:p>
          <w:p w:rsidR="00B537EA" w:rsidRDefault="00B537EA" w:rsidP="003B3977">
            <w:pPr>
              <w:rPr>
                <w:sz w:val="20"/>
                <w:szCs w:val="20"/>
              </w:rPr>
            </w:pPr>
            <w:r>
              <w:rPr>
                <w:sz w:val="20"/>
                <w:szCs w:val="20"/>
              </w:rPr>
              <w:tab/>
              <w:t>v. (34</w:t>
            </w:r>
            <w:r w:rsidR="000A16B8">
              <w:rPr>
                <w:sz w:val="20"/>
                <w:szCs w:val="20"/>
              </w:rPr>
              <w:t>940)</w:t>
            </w:r>
          </w:p>
          <w:p w:rsidR="00B537EA" w:rsidRDefault="00B537EA" w:rsidP="003B3977">
            <w:pPr>
              <w:rPr>
                <w:sz w:val="20"/>
                <w:szCs w:val="20"/>
              </w:rPr>
            </w:pPr>
          </w:p>
          <w:p w:rsidR="00B537EA" w:rsidRDefault="000A16B8" w:rsidP="003B3977">
            <w:pPr>
              <w:rPr>
                <w:b/>
                <w:sz w:val="20"/>
                <w:szCs w:val="20"/>
              </w:rPr>
            </w:pPr>
            <w:r>
              <w:rPr>
                <w:b/>
                <w:sz w:val="20"/>
                <w:szCs w:val="20"/>
              </w:rPr>
              <w:t>Jack Carlson</w:t>
            </w:r>
            <w:r w:rsidR="00B537EA">
              <w:rPr>
                <w:b/>
                <w:sz w:val="20"/>
                <w:szCs w:val="20"/>
              </w:rPr>
              <w:t xml:space="preserve"> (</w:t>
            </w:r>
            <w:r>
              <w:rPr>
                <w:b/>
                <w:sz w:val="20"/>
                <w:szCs w:val="20"/>
              </w:rPr>
              <w:t>Alta.</w:t>
            </w:r>
            <w:r w:rsidR="00B537EA">
              <w:rPr>
                <w:b/>
                <w:sz w:val="20"/>
                <w:szCs w:val="20"/>
              </w:rPr>
              <w:t>)</w:t>
            </w:r>
          </w:p>
          <w:p w:rsidR="00B537EA" w:rsidRDefault="00B537EA" w:rsidP="003B3977">
            <w:pPr>
              <w:rPr>
                <w:sz w:val="20"/>
                <w:szCs w:val="20"/>
              </w:rPr>
            </w:pPr>
            <w:r>
              <w:rPr>
                <w:sz w:val="20"/>
                <w:szCs w:val="20"/>
              </w:rPr>
              <w:tab/>
            </w:r>
            <w:r w:rsidR="000A16B8">
              <w:rPr>
                <w:sz w:val="20"/>
                <w:szCs w:val="20"/>
              </w:rPr>
              <w:t>Peter R.S. Leveque</w:t>
            </w:r>
          </w:p>
          <w:p w:rsidR="00B537EA" w:rsidRDefault="00B537EA" w:rsidP="003B3977">
            <w:pPr>
              <w:rPr>
                <w:sz w:val="20"/>
                <w:szCs w:val="20"/>
              </w:rPr>
            </w:pPr>
            <w:r>
              <w:rPr>
                <w:sz w:val="20"/>
                <w:szCs w:val="20"/>
              </w:rPr>
              <w:tab/>
            </w:r>
            <w:r w:rsidR="000A16B8">
              <w:rPr>
                <w:sz w:val="20"/>
                <w:szCs w:val="20"/>
              </w:rPr>
              <w:t>Miles Davison LLP</w:t>
            </w:r>
          </w:p>
          <w:p w:rsidR="00B537EA" w:rsidRDefault="00B537EA" w:rsidP="003B3977">
            <w:pPr>
              <w:rPr>
                <w:sz w:val="20"/>
                <w:szCs w:val="20"/>
              </w:rPr>
            </w:pPr>
          </w:p>
          <w:p w:rsidR="00B537EA" w:rsidRDefault="00B537EA" w:rsidP="003B3977">
            <w:pPr>
              <w:rPr>
                <w:sz w:val="20"/>
                <w:szCs w:val="20"/>
              </w:rPr>
            </w:pPr>
            <w:r>
              <w:rPr>
                <w:sz w:val="20"/>
                <w:szCs w:val="20"/>
              </w:rPr>
              <w:t xml:space="preserve">FILING DATE: </w:t>
            </w:r>
            <w:r w:rsidR="000A16B8">
              <w:rPr>
                <w:sz w:val="20"/>
                <w:szCs w:val="20"/>
              </w:rPr>
              <w:t>28.08.2012</w:t>
            </w:r>
          </w:p>
          <w:p w:rsidR="00B537EA" w:rsidRPr="00B537EA" w:rsidRDefault="00BA233E" w:rsidP="003B3977">
            <w:pPr>
              <w:rPr>
                <w:sz w:val="20"/>
                <w:szCs w:val="20"/>
              </w:rPr>
            </w:pPr>
            <w:r w:rsidRPr="00BA233E">
              <w:rPr>
                <w:sz w:val="20"/>
                <w:szCs w:val="20"/>
                <w:lang w:val="fr-CA"/>
              </w:rPr>
              <w:pict>
                <v:rect id="_x0000_i1028" style="width:108pt;height:1pt" o:hrpct="0" o:hralign="center" o:hrstd="t" o:hrnoshade="t" o:hr="t" fillcolor="black [3213]" stroked="f"/>
              </w:pict>
            </w:r>
          </w:p>
        </w:tc>
      </w:tr>
      <w:tr w:rsidR="00B81F18" w:rsidRPr="00A935AA" w:rsidTr="003B3977">
        <w:tc>
          <w:tcPr>
            <w:tcW w:w="4320" w:type="dxa"/>
            <w:shd w:val="clear" w:color="auto" w:fill="auto"/>
          </w:tcPr>
          <w:p w:rsidR="00B81F18" w:rsidRDefault="00B81F18" w:rsidP="00B81F18">
            <w:pPr>
              <w:rPr>
                <w:b/>
                <w:sz w:val="20"/>
                <w:szCs w:val="20"/>
              </w:rPr>
            </w:pPr>
            <w:r>
              <w:rPr>
                <w:b/>
                <w:sz w:val="20"/>
                <w:szCs w:val="20"/>
              </w:rPr>
              <w:t>Francine Zelsman also known as Francine Kerdman also known as Francine Zelsman-Kerdman</w:t>
            </w:r>
          </w:p>
          <w:p w:rsidR="00B81F18" w:rsidRDefault="00B81F18" w:rsidP="00B81F18">
            <w:pPr>
              <w:rPr>
                <w:sz w:val="20"/>
                <w:szCs w:val="20"/>
              </w:rPr>
            </w:pPr>
            <w:r>
              <w:rPr>
                <w:sz w:val="20"/>
                <w:szCs w:val="20"/>
              </w:rPr>
              <w:tab/>
              <w:t>David M. Midanik</w:t>
            </w:r>
          </w:p>
          <w:p w:rsidR="00B81F18" w:rsidRDefault="00B81F18" w:rsidP="00B81F18">
            <w:pPr>
              <w:rPr>
                <w:sz w:val="20"/>
                <w:szCs w:val="20"/>
              </w:rPr>
            </w:pPr>
          </w:p>
          <w:p w:rsidR="00B81F18" w:rsidRDefault="00B81F18" w:rsidP="00B81F18">
            <w:pPr>
              <w:rPr>
                <w:sz w:val="20"/>
                <w:szCs w:val="20"/>
              </w:rPr>
            </w:pPr>
            <w:r>
              <w:rPr>
                <w:sz w:val="20"/>
                <w:szCs w:val="20"/>
              </w:rPr>
              <w:tab/>
              <w:t>v. (34941)</w:t>
            </w:r>
          </w:p>
          <w:p w:rsidR="00B81F18" w:rsidRDefault="00B81F18" w:rsidP="00B81F18">
            <w:pPr>
              <w:rPr>
                <w:sz w:val="20"/>
                <w:szCs w:val="20"/>
              </w:rPr>
            </w:pPr>
          </w:p>
          <w:p w:rsidR="00B81F18" w:rsidRDefault="00B81F18" w:rsidP="00B81F18">
            <w:pPr>
              <w:rPr>
                <w:b/>
                <w:sz w:val="20"/>
                <w:szCs w:val="20"/>
              </w:rPr>
            </w:pPr>
            <w:r>
              <w:rPr>
                <w:b/>
                <w:sz w:val="20"/>
                <w:szCs w:val="20"/>
              </w:rPr>
              <w:t>Meridian Credit Union Limited et al</w:t>
            </w:r>
            <w:r w:rsidR="00566359">
              <w:rPr>
                <w:b/>
                <w:sz w:val="20"/>
                <w:szCs w:val="20"/>
              </w:rPr>
              <w:t>.</w:t>
            </w:r>
            <w:r>
              <w:rPr>
                <w:b/>
                <w:sz w:val="20"/>
                <w:szCs w:val="20"/>
              </w:rPr>
              <w:t xml:space="preserve"> (Ont.)</w:t>
            </w:r>
          </w:p>
          <w:p w:rsidR="00B81F18" w:rsidRDefault="00B81F18" w:rsidP="00B81F18">
            <w:pPr>
              <w:rPr>
                <w:sz w:val="20"/>
                <w:szCs w:val="20"/>
              </w:rPr>
            </w:pPr>
            <w:r>
              <w:rPr>
                <w:sz w:val="20"/>
                <w:szCs w:val="20"/>
              </w:rPr>
              <w:tab/>
              <w:t>Bruce C. Robertson</w:t>
            </w:r>
          </w:p>
          <w:p w:rsidR="00B81F18" w:rsidRDefault="00B81F18" w:rsidP="00B81F18">
            <w:pPr>
              <w:rPr>
                <w:sz w:val="20"/>
                <w:szCs w:val="20"/>
              </w:rPr>
            </w:pPr>
            <w:r>
              <w:rPr>
                <w:sz w:val="20"/>
                <w:szCs w:val="20"/>
              </w:rPr>
              <w:tab/>
              <w:t>RZCD Law Firm LLP</w:t>
            </w:r>
          </w:p>
          <w:p w:rsidR="00B81F18" w:rsidRDefault="00B81F18" w:rsidP="00B81F18">
            <w:pPr>
              <w:rPr>
                <w:sz w:val="20"/>
                <w:szCs w:val="20"/>
              </w:rPr>
            </w:pPr>
          </w:p>
          <w:p w:rsidR="00B81F18" w:rsidRDefault="00B81F18" w:rsidP="00B81F18">
            <w:pPr>
              <w:rPr>
                <w:sz w:val="20"/>
                <w:szCs w:val="20"/>
              </w:rPr>
            </w:pPr>
            <w:r>
              <w:rPr>
                <w:sz w:val="20"/>
                <w:szCs w:val="20"/>
              </w:rPr>
              <w:t>FILING DATE: 29.08.2012</w:t>
            </w:r>
          </w:p>
          <w:p w:rsidR="00B81F18" w:rsidRPr="00B537EA" w:rsidRDefault="00BA233E" w:rsidP="00B81F18">
            <w:pPr>
              <w:rPr>
                <w:sz w:val="20"/>
                <w:szCs w:val="20"/>
              </w:rPr>
            </w:pPr>
            <w:r w:rsidRPr="00BA233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Pr="00A935AA" w:rsidRDefault="00B81F18" w:rsidP="00242AEE">
            <w:pPr>
              <w:jc w:val="center"/>
              <w:rPr>
                <w:sz w:val="20"/>
                <w:szCs w:val="20"/>
              </w:rPr>
            </w:pPr>
          </w:p>
        </w:tc>
        <w:tc>
          <w:tcPr>
            <w:tcW w:w="4320" w:type="dxa"/>
            <w:shd w:val="clear" w:color="auto" w:fill="auto"/>
          </w:tcPr>
          <w:p w:rsidR="00B81F18" w:rsidRDefault="00B81F18" w:rsidP="00B81F18">
            <w:pPr>
              <w:rPr>
                <w:b/>
                <w:sz w:val="20"/>
                <w:szCs w:val="20"/>
              </w:rPr>
            </w:pPr>
            <w:r w:rsidRPr="00556985">
              <w:rPr>
                <w:b/>
                <w:sz w:val="20"/>
                <w:szCs w:val="20"/>
              </w:rPr>
              <w:t>Her Majesty the Queen</w:t>
            </w:r>
          </w:p>
          <w:p w:rsidR="00B81F18" w:rsidRDefault="00B81F18" w:rsidP="00B81F18">
            <w:pPr>
              <w:rPr>
                <w:sz w:val="20"/>
                <w:szCs w:val="20"/>
              </w:rPr>
            </w:pPr>
            <w:r>
              <w:rPr>
                <w:sz w:val="20"/>
                <w:szCs w:val="20"/>
              </w:rPr>
              <w:tab/>
              <w:t>Amiram Kotler</w:t>
            </w:r>
          </w:p>
          <w:p w:rsidR="00B81F18" w:rsidRDefault="00B81F18" w:rsidP="00B81F18">
            <w:pPr>
              <w:rPr>
                <w:sz w:val="20"/>
                <w:szCs w:val="20"/>
              </w:rPr>
            </w:pPr>
            <w:r>
              <w:rPr>
                <w:sz w:val="20"/>
                <w:szCs w:val="20"/>
              </w:rPr>
              <w:tab/>
              <w:t>A.G. of Manitoba</w:t>
            </w:r>
          </w:p>
          <w:p w:rsidR="00B81F18" w:rsidRDefault="00B81F18" w:rsidP="00B81F18">
            <w:pPr>
              <w:rPr>
                <w:sz w:val="20"/>
                <w:szCs w:val="20"/>
              </w:rPr>
            </w:pPr>
          </w:p>
          <w:p w:rsidR="00B81F18" w:rsidRDefault="00B81F18" w:rsidP="00B81F18">
            <w:pPr>
              <w:rPr>
                <w:sz w:val="20"/>
                <w:szCs w:val="20"/>
              </w:rPr>
            </w:pPr>
            <w:r>
              <w:rPr>
                <w:sz w:val="20"/>
                <w:szCs w:val="20"/>
              </w:rPr>
              <w:tab/>
              <w:t>v. (34947)</w:t>
            </w:r>
          </w:p>
          <w:p w:rsidR="00B81F18" w:rsidRDefault="00B81F18" w:rsidP="00B81F18">
            <w:pPr>
              <w:rPr>
                <w:sz w:val="20"/>
                <w:szCs w:val="20"/>
              </w:rPr>
            </w:pPr>
          </w:p>
          <w:p w:rsidR="00B81F18" w:rsidRDefault="00B81F18" w:rsidP="00B81F18">
            <w:pPr>
              <w:rPr>
                <w:b/>
                <w:sz w:val="20"/>
                <w:szCs w:val="20"/>
              </w:rPr>
            </w:pPr>
            <w:r>
              <w:rPr>
                <w:b/>
                <w:sz w:val="20"/>
                <w:szCs w:val="20"/>
              </w:rPr>
              <w:t>Shaun Dennis Nodrick (Man.)</w:t>
            </w:r>
          </w:p>
          <w:p w:rsidR="00B81F18" w:rsidRDefault="00B81F18" w:rsidP="00B81F18">
            <w:pPr>
              <w:rPr>
                <w:sz w:val="20"/>
                <w:szCs w:val="20"/>
              </w:rPr>
            </w:pPr>
            <w:r>
              <w:rPr>
                <w:sz w:val="20"/>
                <w:szCs w:val="20"/>
              </w:rPr>
              <w:tab/>
              <w:t>Mark Wasyliw</w:t>
            </w:r>
          </w:p>
          <w:p w:rsidR="00B81F18" w:rsidRDefault="00B81F18" w:rsidP="00B81F18">
            <w:pPr>
              <w:rPr>
                <w:sz w:val="20"/>
                <w:szCs w:val="20"/>
              </w:rPr>
            </w:pPr>
            <w:r>
              <w:rPr>
                <w:sz w:val="20"/>
                <w:szCs w:val="20"/>
              </w:rPr>
              <w:tab/>
              <w:t>Bueti Wasyliw and Associates</w:t>
            </w:r>
          </w:p>
          <w:p w:rsidR="00B81F18" w:rsidRDefault="00B81F18" w:rsidP="00B81F18">
            <w:pPr>
              <w:rPr>
                <w:sz w:val="20"/>
                <w:szCs w:val="20"/>
              </w:rPr>
            </w:pPr>
          </w:p>
          <w:p w:rsidR="00B81F18" w:rsidRDefault="00B81F18" w:rsidP="00B81F18">
            <w:pPr>
              <w:rPr>
                <w:sz w:val="20"/>
                <w:szCs w:val="20"/>
              </w:rPr>
            </w:pPr>
            <w:r>
              <w:rPr>
                <w:sz w:val="20"/>
                <w:szCs w:val="20"/>
              </w:rPr>
              <w:t>FILING DATE: 30.08.2012</w:t>
            </w:r>
          </w:p>
          <w:p w:rsidR="00B81F18" w:rsidRPr="00B537EA" w:rsidRDefault="00BA233E" w:rsidP="00B81F18">
            <w:pPr>
              <w:rPr>
                <w:sz w:val="20"/>
                <w:szCs w:val="20"/>
              </w:rPr>
            </w:pPr>
            <w:r w:rsidRPr="00BA233E">
              <w:rPr>
                <w:sz w:val="20"/>
                <w:szCs w:val="20"/>
                <w:lang w:val="fr-CA"/>
              </w:rPr>
              <w:pict>
                <v:rect id="_x0000_i1030" style="width:108pt;height:1pt" o:hrpct="0" o:hralign="center" o:hrstd="t" o:hrnoshade="t" o:hr="t" fillcolor="black [3213]" stroked="f"/>
              </w:pict>
            </w:r>
          </w:p>
        </w:tc>
      </w:tr>
      <w:tr w:rsidR="00B81F18" w:rsidRPr="00A935AA" w:rsidTr="003B3977">
        <w:tc>
          <w:tcPr>
            <w:tcW w:w="4320" w:type="dxa"/>
            <w:shd w:val="clear" w:color="auto" w:fill="auto"/>
          </w:tcPr>
          <w:p w:rsidR="00B81F18" w:rsidRDefault="00B81F18" w:rsidP="00B537EA">
            <w:pPr>
              <w:rPr>
                <w:sz w:val="20"/>
                <w:szCs w:val="20"/>
              </w:rPr>
            </w:pPr>
          </w:p>
          <w:p w:rsidR="00B81F18" w:rsidRDefault="00B81F18" w:rsidP="00B537EA">
            <w:pPr>
              <w:rPr>
                <w:sz w:val="20"/>
                <w:szCs w:val="20"/>
              </w:rPr>
            </w:pPr>
            <w:r>
              <w:rPr>
                <w:b/>
                <w:sz w:val="20"/>
                <w:szCs w:val="20"/>
              </w:rPr>
              <w:t>Patrick Dovigi</w:t>
            </w:r>
          </w:p>
          <w:p w:rsidR="00B81F18" w:rsidRPr="00652D9C" w:rsidRDefault="00B81F18" w:rsidP="00B81F18">
            <w:pPr>
              <w:rPr>
                <w:sz w:val="20"/>
                <w:szCs w:val="20"/>
              </w:rPr>
            </w:pPr>
            <w:r>
              <w:rPr>
                <w:sz w:val="20"/>
                <w:szCs w:val="20"/>
              </w:rPr>
              <w:tab/>
            </w:r>
            <w:r w:rsidRPr="00652D9C">
              <w:rPr>
                <w:sz w:val="20"/>
                <w:szCs w:val="20"/>
              </w:rPr>
              <w:t>Harold Niman</w:t>
            </w:r>
          </w:p>
          <w:p w:rsidR="00B81F18" w:rsidRPr="00652D9C" w:rsidRDefault="00B81F18" w:rsidP="00B81F18">
            <w:pPr>
              <w:rPr>
                <w:sz w:val="20"/>
                <w:szCs w:val="20"/>
              </w:rPr>
            </w:pPr>
            <w:r w:rsidRPr="00652D9C">
              <w:rPr>
                <w:sz w:val="20"/>
                <w:szCs w:val="20"/>
              </w:rPr>
              <w:tab/>
              <w:t>Niman Zemans Gelgoot</w:t>
            </w:r>
          </w:p>
          <w:p w:rsidR="00B81F18" w:rsidRPr="00652D9C" w:rsidRDefault="00B81F18" w:rsidP="00B81F18">
            <w:pPr>
              <w:rPr>
                <w:sz w:val="20"/>
                <w:szCs w:val="20"/>
              </w:rPr>
            </w:pPr>
          </w:p>
          <w:p w:rsidR="00B81F18" w:rsidRPr="00B81F18" w:rsidRDefault="00B81F18" w:rsidP="00B81F18">
            <w:pPr>
              <w:rPr>
                <w:sz w:val="20"/>
                <w:szCs w:val="20"/>
                <w:lang w:val="fr-CA"/>
              </w:rPr>
            </w:pPr>
            <w:r w:rsidRPr="00652D9C">
              <w:rPr>
                <w:sz w:val="20"/>
                <w:szCs w:val="20"/>
              </w:rPr>
              <w:tab/>
            </w:r>
            <w:r w:rsidRPr="00B81F18">
              <w:rPr>
                <w:sz w:val="20"/>
                <w:szCs w:val="20"/>
                <w:lang w:val="fr-CA"/>
              </w:rPr>
              <w:t>v. (34945)</w:t>
            </w:r>
          </w:p>
          <w:p w:rsidR="00B81F18" w:rsidRPr="00B81F18" w:rsidRDefault="00B81F18" w:rsidP="00B81F18">
            <w:pPr>
              <w:rPr>
                <w:sz w:val="20"/>
                <w:szCs w:val="20"/>
                <w:lang w:val="fr-CA"/>
              </w:rPr>
            </w:pPr>
          </w:p>
          <w:p w:rsidR="00B81F18" w:rsidRPr="00B81F18" w:rsidRDefault="00B81F18" w:rsidP="00B81F18">
            <w:pPr>
              <w:rPr>
                <w:b/>
                <w:sz w:val="20"/>
                <w:szCs w:val="20"/>
                <w:lang w:val="fr-CA"/>
              </w:rPr>
            </w:pPr>
            <w:r w:rsidRPr="00B81F18">
              <w:rPr>
                <w:b/>
                <w:sz w:val="20"/>
                <w:szCs w:val="20"/>
                <w:lang w:val="fr-CA"/>
              </w:rPr>
              <w:t>Mojedh Razi (Ont.)</w:t>
            </w:r>
          </w:p>
          <w:p w:rsidR="00B81F18" w:rsidRPr="00B81F18" w:rsidRDefault="00B81F18" w:rsidP="00B81F18">
            <w:pPr>
              <w:rPr>
                <w:sz w:val="20"/>
                <w:szCs w:val="20"/>
                <w:lang w:val="fr-CA"/>
              </w:rPr>
            </w:pPr>
            <w:r w:rsidRPr="00B81F18">
              <w:rPr>
                <w:sz w:val="20"/>
                <w:szCs w:val="20"/>
                <w:lang w:val="fr-CA"/>
              </w:rPr>
              <w:tab/>
              <w:t>Esther L. Lenkinski</w:t>
            </w:r>
          </w:p>
          <w:p w:rsidR="00B81F18" w:rsidRPr="00B81F18" w:rsidRDefault="00B81F18" w:rsidP="00B81F18">
            <w:pPr>
              <w:rPr>
                <w:sz w:val="20"/>
                <w:szCs w:val="20"/>
                <w:lang w:val="fr-CA"/>
              </w:rPr>
            </w:pPr>
          </w:p>
          <w:p w:rsidR="00B81F18" w:rsidRDefault="00B81F18" w:rsidP="00B81F18">
            <w:pPr>
              <w:rPr>
                <w:sz w:val="20"/>
                <w:szCs w:val="20"/>
              </w:rPr>
            </w:pPr>
            <w:r>
              <w:rPr>
                <w:sz w:val="20"/>
                <w:szCs w:val="20"/>
              </w:rPr>
              <w:t>FILING DATE: 29.08.2012</w:t>
            </w:r>
          </w:p>
          <w:p w:rsidR="00B81F18" w:rsidRPr="00B81F18" w:rsidRDefault="00BA233E" w:rsidP="00B537EA">
            <w:pPr>
              <w:rPr>
                <w:sz w:val="20"/>
                <w:szCs w:val="20"/>
              </w:rPr>
            </w:pPr>
            <w:r w:rsidRPr="00BA233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Pr="00A935AA" w:rsidRDefault="00B81F18" w:rsidP="00242AEE">
            <w:pPr>
              <w:jc w:val="center"/>
              <w:rPr>
                <w:sz w:val="20"/>
                <w:szCs w:val="20"/>
              </w:rPr>
            </w:pPr>
          </w:p>
        </w:tc>
        <w:tc>
          <w:tcPr>
            <w:tcW w:w="4320" w:type="dxa"/>
            <w:shd w:val="clear" w:color="auto" w:fill="auto"/>
          </w:tcPr>
          <w:p w:rsidR="00B81F18" w:rsidRDefault="00B81F18" w:rsidP="00556985">
            <w:pPr>
              <w:rPr>
                <w:sz w:val="20"/>
                <w:szCs w:val="20"/>
              </w:rPr>
            </w:pPr>
            <w:r>
              <w:rPr>
                <w:b/>
                <w:sz w:val="20"/>
                <w:szCs w:val="20"/>
              </w:rPr>
              <w:t>South Yukon Forest Corporation et al.</w:t>
            </w:r>
          </w:p>
          <w:p w:rsidR="00B81F18" w:rsidRPr="00652D9C" w:rsidRDefault="00B81F18" w:rsidP="00B81F18">
            <w:pPr>
              <w:rPr>
                <w:sz w:val="20"/>
                <w:szCs w:val="20"/>
              </w:rPr>
            </w:pPr>
            <w:r>
              <w:rPr>
                <w:sz w:val="20"/>
                <w:szCs w:val="20"/>
              </w:rPr>
              <w:tab/>
            </w:r>
            <w:r w:rsidRPr="00652D9C">
              <w:rPr>
                <w:sz w:val="20"/>
                <w:szCs w:val="20"/>
              </w:rPr>
              <w:t>Lenard M. Sali, Q.C.</w:t>
            </w:r>
          </w:p>
          <w:p w:rsidR="00B81F18" w:rsidRPr="00556985" w:rsidRDefault="00B81F18" w:rsidP="00B81F18">
            <w:pPr>
              <w:rPr>
                <w:sz w:val="20"/>
                <w:szCs w:val="20"/>
              </w:rPr>
            </w:pPr>
            <w:r w:rsidRPr="00652D9C">
              <w:rPr>
                <w:sz w:val="20"/>
                <w:szCs w:val="20"/>
              </w:rPr>
              <w:tab/>
            </w:r>
            <w:r w:rsidRPr="00556985">
              <w:rPr>
                <w:sz w:val="20"/>
                <w:szCs w:val="20"/>
              </w:rPr>
              <w:t>Borden Ladner Gervais LLP</w:t>
            </w:r>
          </w:p>
          <w:p w:rsidR="00B81F18" w:rsidRPr="00556985" w:rsidRDefault="00B81F18" w:rsidP="00B81F18">
            <w:pPr>
              <w:rPr>
                <w:sz w:val="20"/>
                <w:szCs w:val="20"/>
              </w:rPr>
            </w:pPr>
          </w:p>
          <w:p w:rsidR="00B81F18" w:rsidRDefault="00B81F18" w:rsidP="00B81F18">
            <w:pPr>
              <w:rPr>
                <w:sz w:val="20"/>
                <w:szCs w:val="20"/>
              </w:rPr>
            </w:pPr>
            <w:r w:rsidRPr="00556985">
              <w:rPr>
                <w:sz w:val="20"/>
                <w:szCs w:val="20"/>
              </w:rPr>
              <w:tab/>
            </w:r>
            <w:r>
              <w:rPr>
                <w:sz w:val="20"/>
                <w:szCs w:val="20"/>
              </w:rPr>
              <w:t>v. (34946)</w:t>
            </w:r>
          </w:p>
          <w:p w:rsidR="00B81F18" w:rsidRDefault="00B81F18" w:rsidP="00B81F18">
            <w:pPr>
              <w:rPr>
                <w:sz w:val="20"/>
                <w:szCs w:val="20"/>
              </w:rPr>
            </w:pPr>
          </w:p>
          <w:p w:rsidR="00B81F18" w:rsidRDefault="00B81F18" w:rsidP="00B81F18">
            <w:pPr>
              <w:rPr>
                <w:b/>
                <w:sz w:val="20"/>
                <w:szCs w:val="20"/>
              </w:rPr>
            </w:pPr>
            <w:r>
              <w:rPr>
                <w:b/>
                <w:sz w:val="20"/>
                <w:szCs w:val="20"/>
              </w:rPr>
              <w:t>Her Majesty the Queen (F.C.)</w:t>
            </w:r>
          </w:p>
          <w:p w:rsidR="00B81F18" w:rsidRDefault="00B81F18" w:rsidP="00B81F18">
            <w:pPr>
              <w:rPr>
                <w:sz w:val="20"/>
                <w:szCs w:val="20"/>
              </w:rPr>
            </w:pPr>
            <w:r>
              <w:rPr>
                <w:sz w:val="20"/>
                <w:szCs w:val="20"/>
              </w:rPr>
              <w:tab/>
              <w:t>Sean Gaudet</w:t>
            </w:r>
          </w:p>
          <w:p w:rsidR="00B81F18" w:rsidRDefault="00B81F18" w:rsidP="00B81F18">
            <w:pPr>
              <w:rPr>
                <w:sz w:val="20"/>
                <w:szCs w:val="20"/>
              </w:rPr>
            </w:pPr>
            <w:r>
              <w:rPr>
                <w:sz w:val="20"/>
                <w:szCs w:val="20"/>
              </w:rPr>
              <w:tab/>
              <w:t>A.G. of Canada</w:t>
            </w:r>
          </w:p>
          <w:p w:rsidR="00B81F18" w:rsidRDefault="00B81F18" w:rsidP="00B81F18">
            <w:pPr>
              <w:rPr>
                <w:sz w:val="20"/>
                <w:szCs w:val="20"/>
              </w:rPr>
            </w:pPr>
          </w:p>
          <w:p w:rsidR="00B81F18" w:rsidRDefault="00B81F18" w:rsidP="00B81F18">
            <w:pPr>
              <w:rPr>
                <w:sz w:val="20"/>
                <w:szCs w:val="20"/>
              </w:rPr>
            </w:pPr>
            <w:r>
              <w:rPr>
                <w:sz w:val="20"/>
                <w:szCs w:val="20"/>
              </w:rPr>
              <w:t>FILING DATE: 30.08.2012</w:t>
            </w:r>
          </w:p>
          <w:p w:rsidR="00B81F18" w:rsidRPr="00B81F18" w:rsidRDefault="00BA233E" w:rsidP="00556985">
            <w:pPr>
              <w:rPr>
                <w:sz w:val="20"/>
                <w:szCs w:val="20"/>
              </w:rPr>
            </w:pPr>
            <w:r w:rsidRPr="00BA233E">
              <w:rPr>
                <w:sz w:val="20"/>
                <w:szCs w:val="20"/>
                <w:lang w:val="fr-CA"/>
              </w:rPr>
              <w:pict>
                <v:rect id="_x0000_i1032" style="width:108pt;height:1pt" o:hrpct="0" o:hralign="center" o:hrstd="t" o:hrnoshade="t" o:hr="t" fillcolor="black [3213]" stroked="f"/>
              </w:pict>
            </w:r>
          </w:p>
        </w:tc>
      </w:tr>
      <w:tr w:rsidR="00B81F18" w:rsidRPr="00A935AA" w:rsidTr="003B3977">
        <w:trPr>
          <w:cantSplit/>
        </w:trPr>
        <w:tc>
          <w:tcPr>
            <w:tcW w:w="4320" w:type="dxa"/>
            <w:shd w:val="clear" w:color="auto" w:fill="auto"/>
          </w:tcPr>
          <w:p w:rsidR="00B81F18" w:rsidRPr="00B81F18" w:rsidRDefault="00B81F18" w:rsidP="00B537EA">
            <w:pPr>
              <w:rPr>
                <w:b/>
                <w:sz w:val="20"/>
                <w:szCs w:val="20"/>
                <w:lang w:val="fr-CA"/>
              </w:rPr>
            </w:pPr>
            <w:r w:rsidRPr="00B81F18">
              <w:rPr>
                <w:b/>
                <w:sz w:val="20"/>
                <w:szCs w:val="20"/>
                <w:lang w:val="fr-CA"/>
              </w:rPr>
              <w:lastRenderedPageBreak/>
              <w:t>Mounted Police Association of Ontario / Association de la Police Montée de l’Ontario et</w:t>
            </w:r>
            <w:r>
              <w:rPr>
                <w:b/>
                <w:sz w:val="20"/>
                <w:szCs w:val="20"/>
                <w:lang w:val="fr-CA"/>
              </w:rPr>
              <w:t> </w:t>
            </w:r>
            <w:r w:rsidRPr="00B81F18">
              <w:rPr>
                <w:b/>
                <w:sz w:val="20"/>
                <w:szCs w:val="20"/>
                <w:lang w:val="fr-CA"/>
              </w:rPr>
              <w:t>al.</w:t>
            </w:r>
          </w:p>
          <w:p w:rsidR="00B81F18" w:rsidRPr="00B81F18" w:rsidRDefault="00B81F18" w:rsidP="00B537EA">
            <w:pPr>
              <w:rPr>
                <w:sz w:val="20"/>
                <w:szCs w:val="20"/>
              </w:rPr>
            </w:pPr>
            <w:r w:rsidRPr="00B81F18">
              <w:rPr>
                <w:sz w:val="20"/>
                <w:szCs w:val="20"/>
                <w:lang w:val="fr-CA"/>
              </w:rPr>
              <w:tab/>
            </w:r>
            <w:r w:rsidRPr="00B81F18">
              <w:rPr>
                <w:sz w:val="20"/>
                <w:szCs w:val="20"/>
              </w:rPr>
              <w:t>Laura C. Young</w:t>
            </w:r>
          </w:p>
          <w:p w:rsidR="00B81F18" w:rsidRPr="00B81F18" w:rsidRDefault="00B81F18" w:rsidP="00B537EA">
            <w:pPr>
              <w:rPr>
                <w:sz w:val="20"/>
                <w:szCs w:val="20"/>
              </w:rPr>
            </w:pPr>
            <w:r w:rsidRPr="00B81F18">
              <w:rPr>
                <w:sz w:val="20"/>
                <w:szCs w:val="20"/>
              </w:rPr>
              <w:tab/>
              <w:t>Doane &amp; Young LLP</w:t>
            </w:r>
          </w:p>
          <w:p w:rsidR="00B81F18" w:rsidRPr="00B81F18" w:rsidRDefault="00B81F18" w:rsidP="00B537EA">
            <w:pPr>
              <w:rPr>
                <w:sz w:val="20"/>
                <w:szCs w:val="20"/>
              </w:rPr>
            </w:pPr>
          </w:p>
          <w:p w:rsidR="00B81F18" w:rsidRDefault="00B81F18" w:rsidP="00B537EA">
            <w:pPr>
              <w:rPr>
                <w:sz w:val="20"/>
                <w:szCs w:val="20"/>
              </w:rPr>
            </w:pPr>
            <w:r w:rsidRPr="00B81F18">
              <w:rPr>
                <w:sz w:val="20"/>
                <w:szCs w:val="20"/>
              </w:rPr>
              <w:tab/>
            </w:r>
            <w:r>
              <w:rPr>
                <w:sz w:val="20"/>
                <w:szCs w:val="20"/>
              </w:rPr>
              <w:t>v. (34948)</w:t>
            </w:r>
          </w:p>
          <w:p w:rsidR="00B81F18" w:rsidRDefault="00B81F18" w:rsidP="00B537EA">
            <w:pPr>
              <w:rPr>
                <w:sz w:val="20"/>
                <w:szCs w:val="20"/>
              </w:rPr>
            </w:pPr>
          </w:p>
          <w:p w:rsidR="00B81F18" w:rsidRDefault="00B81F18" w:rsidP="00B537EA">
            <w:pPr>
              <w:rPr>
                <w:b/>
                <w:sz w:val="20"/>
                <w:szCs w:val="20"/>
              </w:rPr>
            </w:pPr>
            <w:r>
              <w:rPr>
                <w:b/>
                <w:sz w:val="20"/>
                <w:szCs w:val="20"/>
              </w:rPr>
              <w:t>Attorney General of Canada (Ont.)</w:t>
            </w:r>
          </w:p>
          <w:p w:rsidR="00B81F18" w:rsidRDefault="00B81F18" w:rsidP="00B537EA">
            <w:pPr>
              <w:rPr>
                <w:sz w:val="20"/>
                <w:szCs w:val="20"/>
              </w:rPr>
            </w:pPr>
            <w:r>
              <w:rPr>
                <w:sz w:val="20"/>
                <w:szCs w:val="20"/>
              </w:rPr>
              <w:tab/>
              <w:t>Kathryn Hucal</w:t>
            </w:r>
          </w:p>
          <w:p w:rsidR="00B81F18" w:rsidRDefault="00B81F18" w:rsidP="00B537EA">
            <w:pPr>
              <w:rPr>
                <w:sz w:val="20"/>
                <w:szCs w:val="20"/>
              </w:rPr>
            </w:pPr>
            <w:r>
              <w:rPr>
                <w:sz w:val="20"/>
                <w:szCs w:val="20"/>
              </w:rPr>
              <w:tab/>
              <w:t>A.G. of Canada</w:t>
            </w:r>
          </w:p>
          <w:p w:rsidR="00B81F18" w:rsidRDefault="00B81F18" w:rsidP="00B537EA">
            <w:pPr>
              <w:rPr>
                <w:sz w:val="20"/>
                <w:szCs w:val="20"/>
              </w:rPr>
            </w:pPr>
          </w:p>
          <w:p w:rsidR="00B81F18" w:rsidRDefault="00B81F18" w:rsidP="00B537EA">
            <w:pPr>
              <w:rPr>
                <w:sz w:val="20"/>
                <w:szCs w:val="20"/>
              </w:rPr>
            </w:pPr>
            <w:r>
              <w:rPr>
                <w:sz w:val="20"/>
                <w:szCs w:val="20"/>
              </w:rPr>
              <w:t>FILING DATE: 30.08.2012</w:t>
            </w:r>
          </w:p>
          <w:p w:rsidR="00B81F18" w:rsidRPr="00B537EA" w:rsidRDefault="00BA233E" w:rsidP="00B537EA">
            <w:pPr>
              <w:rPr>
                <w:sz w:val="20"/>
                <w:szCs w:val="20"/>
              </w:rPr>
            </w:pPr>
            <w:r w:rsidRPr="00BA233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Default="00B81F18" w:rsidP="00242AEE">
            <w:pPr>
              <w:jc w:val="center"/>
              <w:rPr>
                <w:sz w:val="20"/>
                <w:szCs w:val="20"/>
              </w:rPr>
            </w:pPr>
          </w:p>
          <w:p w:rsidR="00B81F18" w:rsidRDefault="00B81F18" w:rsidP="00242AEE">
            <w:pPr>
              <w:jc w:val="center"/>
              <w:rPr>
                <w:sz w:val="20"/>
                <w:szCs w:val="20"/>
              </w:rPr>
            </w:pPr>
          </w:p>
          <w:p w:rsidR="00B81F18" w:rsidRPr="00A935AA" w:rsidRDefault="00B81F18" w:rsidP="00242AEE">
            <w:pPr>
              <w:jc w:val="center"/>
              <w:rPr>
                <w:sz w:val="20"/>
                <w:szCs w:val="20"/>
              </w:rPr>
            </w:pPr>
          </w:p>
        </w:tc>
        <w:tc>
          <w:tcPr>
            <w:tcW w:w="4320" w:type="dxa"/>
            <w:shd w:val="clear" w:color="auto" w:fill="auto"/>
          </w:tcPr>
          <w:p w:rsidR="00B81F18" w:rsidRDefault="00B81F18" w:rsidP="00B537EA">
            <w:pPr>
              <w:rPr>
                <w:b/>
                <w:sz w:val="20"/>
                <w:szCs w:val="20"/>
              </w:rPr>
            </w:pPr>
            <w:r>
              <w:rPr>
                <w:b/>
                <w:sz w:val="20"/>
                <w:szCs w:val="20"/>
              </w:rPr>
              <w:t>Corporation of the Township of Scugog et al.</w:t>
            </w:r>
          </w:p>
          <w:p w:rsidR="00B81F18" w:rsidRDefault="00B81F18" w:rsidP="00B537EA">
            <w:pPr>
              <w:rPr>
                <w:sz w:val="20"/>
                <w:szCs w:val="20"/>
              </w:rPr>
            </w:pPr>
            <w:r>
              <w:rPr>
                <w:sz w:val="20"/>
                <w:szCs w:val="20"/>
              </w:rPr>
              <w:tab/>
              <w:t>C. Kirk Boggs</w:t>
            </w:r>
          </w:p>
          <w:p w:rsidR="00B81F18" w:rsidRDefault="00B81F18" w:rsidP="00B537EA">
            <w:pPr>
              <w:rPr>
                <w:sz w:val="20"/>
                <w:szCs w:val="20"/>
              </w:rPr>
            </w:pPr>
            <w:r>
              <w:rPr>
                <w:sz w:val="20"/>
                <w:szCs w:val="20"/>
              </w:rPr>
              <w:tab/>
              <w:t>Lerners LLP</w:t>
            </w:r>
          </w:p>
          <w:p w:rsidR="00B81F18" w:rsidRDefault="00B81F18" w:rsidP="00B537EA">
            <w:pPr>
              <w:rPr>
                <w:sz w:val="20"/>
                <w:szCs w:val="20"/>
              </w:rPr>
            </w:pPr>
          </w:p>
          <w:p w:rsidR="00B81F18" w:rsidRDefault="00B81F18" w:rsidP="00B537EA">
            <w:pPr>
              <w:rPr>
                <w:sz w:val="20"/>
                <w:szCs w:val="20"/>
              </w:rPr>
            </w:pPr>
            <w:r>
              <w:rPr>
                <w:sz w:val="20"/>
                <w:szCs w:val="20"/>
              </w:rPr>
              <w:tab/>
              <w:t>v. (34943)</w:t>
            </w:r>
          </w:p>
          <w:p w:rsidR="00B81F18" w:rsidRDefault="00B81F18" w:rsidP="00B537EA">
            <w:pPr>
              <w:rPr>
                <w:sz w:val="20"/>
                <w:szCs w:val="20"/>
              </w:rPr>
            </w:pPr>
          </w:p>
          <w:p w:rsidR="00B81F18" w:rsidRPr="00652D9C" w:rsidRDefault="00B81F18" w:rsidP="00B537EA">
            <w:pPr>
              <w:rPr>
                <w:b/>
                <w:sz w:val="20"/>
                <w:szCs w:val="20"/>
                <w:lang w:val="fr-CA"/>
              </w:rPr>
            </w:pPr>
            <w:r w:rsidRPr="00652D9C">
              <w:rPr>
                <w:b/>
                <w:sz w:val="20"/>
                <w:szCs w:val="20"/>
                <w:lang w:val="fr-CA"/>
              </w:rPr>
              <w:t>Shannon Deering et al. (Ont.)</w:t>
            </w:r>
          </w:p>
          <w:p w:rsidR="00B81F18" w:rsidRPr="00652D9C" w:rsidRDefault="00B81F18" w:rsidP="00B537EA">
            <w:pPr>
              <w:rPr>
                <w:sz w:val="20"/>
                <w:szCs w:val="20"/>
                <w:lang w:val="fr-CA"/>
              </w:rPr>
            </w:pPr>
            <w:r w:rsidRPr="00652D9C">
              <w:rPr>
                <w:sz w:val="20"/>
                <w:szCs w:val="20"/>
                <w:lang w:val="fr-CA"/>
              </w:rPr>
              <w:tab/>
              <w:t>Paul J. Pape</w:t>
            </w:r>
          </w:p>
          <w:p w:rsidR="00B81F18" w:rsidRDefault="00B81F18" w:rsidP="00B537EA">
            <w:pPr>
              <w:rPr>
                <w:sz w:val="20"/>
                <w:szCs w:val="20"/>
              </w:rPr>
            </w:pPr>
            <w:r w:rsidRPr="00652D9C">
              <w:rPr>
                <w:sz w:val="20"/>
                <w:szCs w:val="20"/>
                <w:lang w:val="fr-CA"/>
              </w:rPr>
              <w:tab/>
            </w:r>
            <w:r>
              <w:rPr>
                <w:sz w:val="20"/>
                <w:szCs w:val="20"/>
              </w:rPr>
              <w:t>Pape Barristers</w:t>
            </w:r>
          </w:p>
          <w:p w:rsidR="00B81F18" w:rsidRDefault="00B81F18" w:rsidP="00B537EA">
            <w:pPr>
              <w:rPr>
                <w:sz w:val="20"/>
                <w:szCs w:val="20"/>
              </w:rPr>
            </w:pPr>
          </w:p>
          <w:p w:rsidR="00B81F18" w:rsidRDefault="00B81F18" w:rsidP="00B537EA">
            <w:pPr>
              <w:rPr>
                <w:sz w:val="20"/>
                <w:szCs w:val="20"/>
              </w:rPr>
            </w:pPr>
            <w:r>
              <w:rPr>
                <w:sz w:val="20"/>
                <w:szCs w:val="20"/>
              </w:rPr>
              <w:t>FILING DATE: 31.08.2012</w:t>
            </w:r>
          </w:p>
          <w:p w:rsidR="00B81F18" w:rsidRDefault="00BA233E" w:rsidP="00B537EA">
            <w:pPr>
              <w:rPr>
                <w:sz w:val="20"/>
                <w:szCs w:val="20"/>
                <w:lang w:val="fr-CA"/>
              </w:rPr>
            </w:pPr>
            <w:r w:rsidRPr="00BA233E">
              <w:rPr>
                <w:sz w:val="20"/>
                <w:szCs w:val="20"/>
                <w:lang w:val="fr-CA"/>
              </w:rPr>
              <w:pict>
                <v:rect id="_x0000_i1034" style="width:108pt;height:1pt" o:hrpct="0" o:hralign="center" o:hrstd="t" o:hrnoshade="t" o:hr="t" fillcolor="black [3213]" stroked="f"/>
              </w:pict>
            </w:r>
          </w:p>
          <w:p w:rsidR="0033588E" w:rsidRPr="0033588E" w:rsidRDefault="0033588E" w:rsidP="00B537EA">
            <w:pPr>
              <w:rPr>
                <w:sz w:val="20"/>
                <w:szCs w:val="20"/>
              </w:rPr>
            </w:pPr>
          </w:p>
        </w:tc>
      </w:tr>
      <w:tr w:rsidR="00B81F18" w:rsidRPr="0033588E" w:rsidTr="003B3977">
        <w:trPr>
          <w:cantSplit/>
        </w:trPr>
        <w:tc>
          <w:tcPr>
            <w:tcW w:w="4320" w:type="dxa"/>
            <w:shd w:val="clear" w:color="auto" w:fill="auto"/>
          </w:tcPr>
          <w:p w:rsidR="00CE489E" w:rsidRPr="00CE489E" w:rsidRDefault="00CE489E" w:rsidP="00B537EA">
            <w:pPr>
              <w:rPr>
                <w:sz w:val="20"/>
                <w:szCs w:val="20"/>
              </w:rPr>
            </w:pPr>
          </w:p>
          <w:p w:rsidR="00B81F18" w:rsidRDefault="00B81F18" w:rsidP="00B537EA">
            <w:pPr>
              <w:rPr>
                <w:b/>
                <w:sz w:val="20"/>
                <w:szCs w:val="20"/>
              </w:rPr>
            </w:pPr>
            <w:r>
              <w:rPr>
                <w:b/>
                <w:sz w:val="20"/>
                <w:szCs w:val="20"/>
              </w:rPr>
              <w:t>Dale William Armstrong et al.</w:t>
            </w:r>
          </w:p>
          <w:p w:rsidR="00B81F18" w:rsidRDefault="00B81F18" w:rsidP="00B537EA">
            <w:pPr>
              <w:rPr>
                <w:sz w:val="20"/>
                <w:szCs w:val="20"/>
              </w:rPr>
            </w:pPr>
            <w:r>
              <w:rPr>
                <w:sz w:val="20"/>
                <w:szCs w:val="20"/>
              </w:rPr>
              <w:tab/>
              <w:t>Phillip Eidsvik</w:t>
            </w:r>
          </w:p>
          <w:p w:rsidR="00B81F18" w:rsidRDefault="00B81F18" w:rsidP="00B537EA">
            <w:pPr>
              <w:rPr>
                <w:sz w:val="20"/>
                <w:szCs w:val="20"/>
              </w:rPr>
            </w:pPr>
          </w:p>
          <w:p w:rsidR="00B81F18" w:rsidRDefault="00B81F18" w:rsidP="00B537EA">
            <w:pPr>
              <w:rPr>
                <w:sz w:val="20"/>
                <w:szCs w:val="20"/>
              </w:rPr>
            </w:pPr>
            <w:r>
              <w:rPr>
                <w:sz w:val="20"/>
                <w:szCs w:val="20"/>
              </w:rPr>
              <w:tab/>
              <w:t>v. (34957)</w:t>
            </w:r>
          </w:p>
          <w:p w:rsidR="00B81F18" w:rsidRDefault="00B81F18" w:rsidP="00B537EA">
            <w:pPr>
              <w:rPr>
                <w:sz w:val="20"/>
                <w:szCs w:val="20"/>
              </w:rPr>
            </w:pPr>
          </w:p>
          <w:p w:rsidR="00B81F18" w:rsidRDefault="00B81F18" w:rsidP="00B537EA">
            <w:pPr>
              <w:rPr>
                <w:b/>
                <w:sz w:val="20"/>
                <w:szCs w:val="20"/>
              </w:rPr>
            </w:pPr>
            <w:r>
              <w:rPr>
                <w:b/>
                <w:sz w:val="20"/>
                <w:szCs w:val="20"/>
              </w:rPr>
              <w:t>Her Majesty the Queen (B.C.)</w:t>
            </w:r>
          </w:p>
          <w:p w:rsidR="00B81F18" w:rsidRDefault="00B81F18" w:rsidP="00B537EA">
            <w:pPr>
              <w:rPr>
                <w:sz w:val="20"/>
                <w:szCs w:val="20"/>
              </w:rPr>
            </w:pPr>
            <w:r>
              <w:rPr>
                <w:sz w:val="20"/>
                <w:szCs w:val="20"/>
              </w:rPr>
              <w:tab/>
              <w:t>Todd Gerhart</w:t>
            </w:r>
          </w:p>
          <w:p w:rsidR="00B81F18" w:rsidRDefault="00B81F18" w:rsidP="00B537EA">
            <w:pPr>
              <w:rPr>
                <w:sz w:val="20"/>
                <w:szCs w:val="20"/>
              </w:rPr>
            </w:pPr>
            <w:r>
              <w:rPr>
                <w:sz w:val="20"/>
                <w:szCs w:val="20"/>
              </w:rPr>
              <w:tab/>
              <w:t xml:space="preserve">Public Prosecution </w:t>
            </w:r>
            <w:r w:rsidR="00652D9C">
              <w:rPr>
                <w:sz w:val="20"/>
                <w:szCs w:val="20"/>
              </w:rPr>
              <w:t xml:space="preserve">Service </w:t>
            </w:r>
            <w:r>
              <w:rPr>
                <w:sz w:val="20"/>
                <w:szCs w:val="20"/>
              </w:rPr>
              <w:t>of Canada</w:t>
            </w:r>
          </w:p>
          <w:p w:rsidR="00B81F18" w:rsidRDefault="00B81F18" w:rsidP="00B537EA">
            <w:pPr>
              <w:rPr>
                <w:sz w:val="20"/>
                <w:szCs w:val="20"/>
              </w:rPr>
            </w:pPr>
          </w:p>
          <w:p w:rsidR="00B81F18" w:rsidRDefault="00B81F18" w:rsidP="00B537EA">
            <w:pPr>
              <w:rPr>
                <w:sz w:val="20"/>
                <w:szCs w:val="20"/>
              </w:rPr>
            </w:pPr>
            <w:r>
              <w:rPr>
                <w:sz w:val="20"/>
                <w:szCs w:val="20"/>
              </w:rPr>
              <w:t>FILING DATE: 30.08.2012</w:t>
            </w:r>
          </w:p>
          <w:p w:rsidR="00B81F18" w:rsidRPr="00B537EA" w:rsidRDefault="00BA233E" w:rsidP="00B537EA">
            <w:pPr>
              <w:rPr>
                <w:sz w:val="20"/>
                <w:szCs w:val="20"/>
              </w:rPr>
            </w:pPr>
            <w:r w:rsidRPr="00BA233E">
              <w:rPr>
                <w:sz w:val="20"/>
                <w:szCs w:val="20"/>
                <w:lang w:val="fr-CA"/>
              </w:rPr>
              <w:pict>
                <v:rect id="_x0000_i1035" style="width:108pt;height:1pt" o:hrpct="0" o:hralign="center" o:hrstd="t" o:hrnoshade="t" o:hr="t" fillcolor="black [3213]" stroked="f"/>
              </w:pict>
            </w:r>
          </w:p>
        </w:tc>
        <w:tc>
          <w:tcPr>
            <w:tcW w:w="1181" w:type="dxa"/>
            <w:shd w:val="clear" w:color="auto" w:fill="auto"/>
          </w:tcPr>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Pr="00A935AA" w:rsidRDefault="00B81F18" w:rsidP="00242AEE">
            <w:pPr>
              <w:jc w:val="center"/>
              <w:rPr>
                <w:sz w:val="20"/>
                <w:szCs w:val="20"/>
              </w:rPr>
            </w:pPr>
          </w:p>
          <w:p w:rsidR="00B81F18" w:rsidRDefault="00B81F18" w:rsidP="00242AEE">
            <w:pPr>
              <w:jc w:val="center"/>
              <w:rPr>
                <w:sz w:val="20"/>
                <w:szCs w:val="20"/>
              </w:rPr>
            </w:pPr>
          </w:p>
          <w:p w:rsidR="007204D9" w:rsidRDefault="007204D9" w:rsidP="00242AEE">
            <w:pPr>
              <w:jc w:val="center"/>
              <w:rPr>
                <w:sz w:val="20"/>
                <w:szCs w:val="20"/>
              </w:rPr>
            </w:pPr>
          </w:p>
          <w:p w:rsidR="00B81F18" w:rsidRPr="00A935AA" w:rsidRDefault="00B81F18" w:rsidP="00B537EA">
            <w:pPr>
              <w:jc w:val="center"/>
              <w:rPr>
                <w:sz w:val="20"/>
                <w:szCs w:val="20"/>
              </w:rPr>
            </w:pPr>
          </w:p>
        </w:tc>
        <w:tc>
          <w:tcPr>
            <w:tcW w:w="4320" w:type="dxa"/>
            <w:shd w:val="clear" w:color="auto" w:fill="auto"/>
          </w:tcPr>
          <w:p w:rsidR="00CE489E" w:rsidRDefault="00CE489E" w:rsidP="00CE489E">
            <w:pPr>
              <w:rPr>
                <w:sz w:val="20"/>
                <w:szCs w:val="20"/>
                <w:lang w:val="fr-CA"/>
              </w:rPr>
            </w:pPr>
            <w:r>
              <w:rPr>
                <w:b/>
                <w:sz w:val="20"/>
                <w:szCs w:val="20"/>
                <w:lang w:val="fr-CA"/>
              </w:rPr>
              <w:t>Michel Lafontaine</w:t>
            </w:r>
          </w:p>
          <w:p w:rsidR="00B81F18" w:rsidRPr="00652D9C" w:rsidRDefault="00CE489E" w:rsidP="00CE489E">
            <w:pPr>
              <w:rPr>
                <w:sz w:val="20"/>
                <w:szCs w:val="20"/>
                <w:lang w:val="fr-CA"/>
              </w:rPr>
            </w:pPr>
            <w:r>
              <w:rPr>
                <w:sz w:val="20"/>
                <w:szCs w:val="20"/>
                <w:lang w:val="fr-CA"/>
              </w:rPr>
              <w:tab/>
              <w:t>Michel Lafontaine</w:t>
            </w:r>
          </w:p>
          <w:p w:rsidR="00CE489E" w:rsidRPr="00652D9C" w:rsidRDefault="00CE489E" w:rsidP="00B537EA">
            <w:pPr>
              <w:rPr>
                <w:sz w:val="20"/>
                <w:szCs w:val="20"/>
                <w:lang w:val="fr-CA"/>
              </w:rPr>
            </w:pPr>
          </w:p>
          <w:p w:rsidR="00B81F18" w:rsidRPr="0033588E" w:rsidRDefault="00B81F18" w:rsidP="00B537EA">
            <w:pPr>
              <w:rPr>
                <w:sz w:val="20"/>
                <w:szCs w:val="20"/>
                <w:lang w:val="fr-CA"/>
              </w:rPr>
            </w:pPr>
            <w:r w:rsidRPr="00652D9C">
              <w:rPr>
                <w:sz w:val="20"/>
                <w:szCs w:val="20"/>
                <w:lang w:val="fr-CA"/>
              </w:rPr>
              <w:tab/>
            </w:r>
            <w:r w:rsidR="0033588E" w:rsidRPr="00652D9C">
              <w:rPr>
                <w:sz w:val="20"/>
                <w:szCs w:val="20"/>
                <w:lang w:val="fr-CA"/>
              </w:rPr>
              <w:t>c</w:t>
            </w:r>
            <w:r w:rsidRPr="0033588E">
              <w:rPr>
                <w:sz w:val="20"/>
                <w:szCs w:val="20"/>
                <w:lang w:val="fr-CA"/>
              </w:rPr>
              <w:t>. (34</w:t>
            </w:r>
            <w:r w:rsidR="0033588E" w:rsidRPr="0033588E">
              <w:rPr>
                <w:sz w:val="20"/>
                <w:szCs w:val="20"/>
                <w:lang w:val="fr-CA"/>
              </w:rPr>
              <w:t>956</w:t>
            </w:r>
            <w:r w:rsidRPr="0033588E">
              <w:rPr>
                <w:sz w:val="20"/>
                <w:szCs w:val="20"/>
                <w:lang w:val="fr-CA"/>
              </w:rPr>
              <w:t>)</w:t>
            </w:r>
          </w:p>
          <w:p w:rsidR="00B81F18" w:rsidRPr="0033588E" w:rsidRDefault="00B81F18" w:rsidP="00B537EA">
            <w:pPr>
              <w:rPr>
                <w:sz w:val="20"/>
                <w:szCs w:val="20"/>
                <w:lang w:val="fr-CA"/>
              </w:rPr>
            </w:pPr>
          </w:p>
          <w:p w:rsidR="00B81F18" w:rsidRPr="0033588E" w:rsidRDefault="0033588E" w:rsidP="00B537EA">
            <w:pPr>
              <w:rPr>
                <w:b/>
                <w:sz w:val="20"/>
                <w:szCs w:val="20"/>
                <w:lang w:val="fr-CA"/>
              </w:rPr>
            </w:pPr>
            <w:r w:rsidRPr="0033588E">
              <w:rPr>
                <w:b/>
                <w:sz w:val="20"/>
                <w:szCs w:val="20"/>
                <w:lang w:val="fr-CA"/>
              </w:rPr>
              <w:t xml:space="preserve">G7 Développement </w:t>
            </w:r>
            <w:r w:rsidR="00AD1C5B">
              <w:rPr>
                <w:b/>
                <w:sz w:val="20"/>
                <w:szCs w:val="20"/>
                <w:lang w:val="fr-CA"/>
              </w:rPr>
              <w:t>i</w:t>
            </w:r>
            <w:r w:rsidRPr="0033588E">
              <w:rPr>
                <w:b/>
                <w:sz w:val="20"/>
                <w:szCs w:val="20"/>
                <w:lang w:val="fr-CA"/>
              </w:rPr>
              <w:t>nc.</w:t>
            </w:r>
            <w:r w:rsidR="00B81F18" w:rsidRPr="0033588E">
              <w:rPr>
                <w:b/>
                <w:sz w:val="20"/>
                <w:szCs w:val="20"/>
                <w:lang w:val="fr-CA"/>
              </w:rPr>
              <w:t xml:space="preserve"> (</w:t>
            </w:r>
            <w:r w:rsidRPr="0033588E">
              <w:rPr>
                <w:b/>
                <w:sz w:val="20"/>
                <w:szCs w:val="20"/>
                <w:lang w:val="fr-CA"/>
              </w:rPr>
              <w:t>Qc</w:t>
            </w:r>
            <w:r w:rsidR="00B81F18" w:rsidRPr="0033588E">
              <w:rPr>
                <w:b/>
                <w:sz w:val="20"/>
                <w:szCs w:val="20"/>
                <w:lang w:val="fr-CA"/>
              </w:rPr>
              <w:t>)</w:t>
            </w:r>
          </w:p>
          <w:p w:rsidR="00B81F18" w:rsidRPr="0033588E" w:rsidRDefault="00B81F18" w:rsidP="00B537EA">
            <w:pPr>
              <w:rPr>
                <w:sz w:val="20"/>
                <w:szCs w:val="20"/>
                <w:lang w:val="fr-CA"/>
              </w:rPr>
            </w:pPr>
            <w:r w:rsidRPr="0033588E">
              <w:rPr>
                <w:sz w:val="20"/>
                <w:szCs w:val="20"/>
                <w:lang w:val="fr-CA"/>
              </w:rPr>
              <w:tab/>
            </w:r>
            <w:r w:rsidR="0033588E">
              <w:rPr>
                <w:sz w:val="20"/>
                <w:szCs w:val="20"/>
                <w:lang w:val="fr-CA"/>
              </w:rPr>
              <w:t>Pascale Gouin</w:t>
            </w:r>
          </w:p>
          <w:p w:rsidR="00B81F18" w:rsidRPr="00652D9C" w:rsidRDefault="00B81F18" w:rsidP="00B537EA">
            <w:pPr>
              <w:rPr>
                <w:sz w:val="20"/>
                <w:szCs w:val="20"/>
              </w:rPr>
            </w:pPr>
            <w:r w:rsidRPr="0033588E">
              <w:rPr>
                <w:sz w:val="20"/>
                <w:szCs w:val="20"/>
                <w:lang w:val="fr-CA"/>
              </w:rPr>
              <w:tab/>
            </w:r>
            <w:r w:rsidR="0033588E" w:rsidRPr="00652D9C">
              <w:rPr>
                <w:sz w:val="20"/>
                <w:szCs w:val="20"/>
              </w:rPr>
              <w:t>Legault, Joly, Thiffault s.e.n.c.r.l.</w:t>
            </w:r>
          </w:p>
          <w:p w:rsidR="00B81F18" w:rsidRPr="00652D9C" w:rsidRDefault="00B81F18" w:rsidP="00B537EA">
            <w:pPr>
              <w:rPr>
                <w:sz w:val="20"/>
                <w:szCs w:val="20"/>
              </w:rPr>
            </w:pPr>
          </w:p>
          <w:p w:rsidR="00B81F18" w:rsidRPr="0033588E" w:rsidRDefault="00B81F18" w:rsidP="00B537EA">
            <w:pPr>
              <w:rPr>
                <w:sz w:val="20"/>
                <w:szCs w:val="20"/>
                <w:lang w:val="fr-CA"/>
              </w:rPr>
            </w:pPr>
            <w:r w:rsidRPr="0033588E">
              <w:rPr>
                <w:sz w:val="20"/>
                <w:szCs w:val="20"/>
                <w:lang w:val="fr-CA"/>
              </w:rPr>
              <w:t>DATE</w:t>
            </w:r>
            <w:r w:rsidR="0033588E">
              <w:rPr>
                <w:sz w:val="20"/>
                <w:szCs w:val="20"/>
                <w:lang w:val="fr-CA"/>
              </w:rPr>
              <w:t xml:space="preserve"> DE PRODUCTION </w:t>
            </w:r>
            <w:r w:rsidRPr="0033588E">
              <w:rPr>
                <w:sz w:val="20"/>
                <w:szCs w:val="20"/>
                <w:lang w:val="fr-CA"/>
              </w:rPr>
              <w:t xml:space="preserve">: </w:t>
            </w:r>
            <w:r w:rsidR="0033588E">
              <w:rPr>
                <w:sz w:val="20"/>
                <w:szCs w:val="20"/>
                <w:lang w:val="fr-CA"/>
              </w:rPr>
              <w:t>31.08.2012</w:t>
            </w:r>
          </w:p>
          <w:p w:rsidR="00B81F18" w:rsidRPr="0033588E" w:rsidRDefault="00BA233E" w:rsidP="00B537EA">
            <w:pPr>
              <w:rPr>
                <w:sz w:val="20"/>
                <w:szCs w:val="20"/>
                <w:lang w:val="fr-CA"/>
              </w:rPr>
            </w:pPr>
            <w:r w:rsidRPr="00BA233E">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66241">
          <w:headerReference w:type="default" r:id="rId16"/>
          <w:footerReference w:type="default" r:id="rId17"/>
          <w:headerReference w:type="first" r:id="rId18"/>
          <w:footerReference w:type="first" r:id="rId19"/>
          <w:pgSz w:w="12240" w:h="15840"/>
          <w:pgMar w:top="720" w:right="965" w:bottom="1080" w:left="1656" w:header="706" w:footer="706" w:gutter="0"/>
          <w:pgNumType w:start="131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A292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87726C" w:rsidP="004B7F60">
      <w:pPr>
        <w:widowControl w:val="0"/>
        <w:rPr>
          <w:b/>
          <w:sz w:val="20"/>
          <w:szCs w:val="20"/>
        </w:rPr>
      </w:pPr>
      <w:r>
        <w:rPr>
          <w:b/>
          <w:sz w:val="20"/>
          <w:szCs w:val="20"/>
        </w:rPr>
        <w:t>SEPT</w:t>
      </w:r>
      <w:r w:rsidR="004B7F60">
        <w:rPr>
          <w:b/>
          <w:sz w:val="20"/>
          <w:szCs w:val="20"/>
        </w:rPr>
        <w:t>EMBER</w:t>
      </w:r>
      <w:r w:rsidR="004B7F60" w:rsidRPr="00C50A5C">
        <w:rPr>
          <w:b/>
          <w:sz w:val="20"/>
          <w:szCs w:val="20"/>
        </w:rPr>
        <w:t xml:space="preserve"> </w:t>
      </w:r>
      <w:r>
        <w:rPr>
          <w:b/>
          <w:sz w:val="20"/>
          <w:szCs w:val="20"/>
        </w:rPr>
        <w:t>1</w:t>
      </w:r>
      <w:r w:rsidR="004B7F60">
        <w:rPr>
          <w:b/>
          <w:sz w:val="20"/>
          <w:szCs w:val="20"/>
        </w:rPr>
        <w:t>7</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w:t>
      </w:r>
      <w:r w:rsidR="004B7F60">
        <w:rPr>
          <w:b/>
          <w:sz w:val="20"/>
          <w:szCs w:val="20"/>
        </w:rPr>
        <w:t xml:space="preserve">7 </w:t>
      </w:r>
      <w:r>
        <w:rPr>
          <w:b/>
          <w:sz w:val="20"/>
          <w:szCs w:val="20"/>
        </w:rPr>
        <w:t>SEPT</w:t>
      </w:r>
      <w:r w:rsidR="004B7F60">
        <w:rPr>
          <w:b/>
          <w:sz w:val="20"/>
          <w:szCs w:val="20"/>
        </w:rPr>
        <w:t>EMBRE</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2915ED" w:rsidP="004B7F60">
      <w:pPr>
        <w:pStyle w:val="ListParagraph"/>
        <w:widowControl w:val="0"/>
        <w:numPr>
          <w:ilvl w:val="0"/>
          <w:numId w:val="1"/>
        </w:numPr>
        <w:ind w:hanging="720"/>
        <w:jc w:val="both"/>
        <w:rPr>
          <w:sz w:val="20"/>
          <w:szCs w:val="20"/>
        </w:rPr>
      </w:pPr>
      <w:r w:rsidRPr="002915ED">
        <w:rPr>
          <w:i/>
          <w:sz w:val="20"/>
          <w:szCs w:val="20"/>
        </w:rPr>
        <w:t>Information and Privacy Commissioner et al. v. United Food and Commercial Workers, Local 401 et al.</w:t>
      </w:r>
      <w:r w:rsidRPr="002915ED">
        <w:rPr>
          <w:sz w:val="20"/>
          <w:szCs w:val="20"/>
        </w:rPr>
        <w:t xml:space="preserve"> (Alta.) (Civil) (By Leave)</w:t>
      </w:r>
      <w:r w:rsidRPr="00C50A5C">
        <w:rPr>
          <w:sz w:val="20"/>
          <w:szCs w:val="20"/>
        </w:rPr>
        <w:t xml:space="preserve"> </w:t>
      </w:r>
      <w:r w:rsidR="004B7F60" w:rsidRPr="00C50A5C">
        <w:rPr>
          <w:sz w:val="20"/>
          <w:szCs w:val="20"/>
        </w:rPr>
        <w:t>(3</w:t>
      </w:r>
      <w:r w:rsidR="004B7F60">
        <w:rPr>
          <w:sz w:val="20"/>
          <w:szCs w:val="20"/>
        </w:rPr>
        <w:t>4</w:t>
      </w:r>
      <w:r>
        <w:rPr>
          <w:sz w:val="20"/>
          <w:szCs w:val="20"/>
        </w:rPr>
        <w:t>890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2915ED" w:rsidP="004B7F60">
      <w:pPr>
        <w:pStyle w:val="ListParagraph"/>
        <w:widowControl w:val="0"/>
        <w:numPr>
          <w:ilvl w:val="0"/>
          <w:numId w:val="1"/>
        </w:numPr>
        <w:ind w:hanging="720"/>
        <w:jc w:val="both"/>
        <w:rPr>
          <w:sz w:val="20"/>
          <w:szCs w:val="20"/>
        </w:rPr>
      </w:pPr>
      <w:r w:rsidRPr="002915ED">
        <w:rPr>
          <w:i/>
          <w:sz w:val="20"/>
          <w:szCs w:val="20"/>
        </w:rPr>
        <w:t>Workers' Compensation Board of British Columbia v. Marko Jozipovic et al.</w:t>
      </w:r>
      <w:r w:rsidRPr="002915ED">
        <w:rPr>
          <w:sz w:val="20"/>
          <w:szCs w:val="20"/>
        </w:rPr>
        <w:t xml:space="preserve"> (B.C.) (Civil) (By Leave)</w:t>
      </w:r>
      <w:r w:rsidRPr="00C612D0">
        <w:rPr>
          <w:sz w:val="20"/>
          <w:szCs w:val="20"/>
        </w:rPr>
        <w:t xml:space="preserve"> </w:t>
      </w:r>
      <w:r w:rsidR="004B7F60" w:rsidRPr="00C612D0">
        <w:rPr>
          <w:sz w:val="20"/>
          <w:szCs w:val="20"/>
        </w:rPr>
        <w:t>(34</w:t>
      </w:r>
      <w:r>
        <w:rPr>
          <w:sz w:val="20"/>
          <w:szCs w:val="20"/>
        </w:rPr>
        <w:t>88</w:t>
      </w:r>
      <w:r w:rsidR="004B7F60" w:rsidRPr="00C612D0">
        <w:rPr>
          <w:sz w:val="20"/>
          <w:szCs w:val="20"/>
        </w:rPr>
        <w:t>3)</w:t>
      </w:r>
    </w:p>
    <w:p w:rsidR="004B7F60" w:rsidRPr="00C612D0" w:rsidRDefault="004B7F60" w:rsidP="004B7F60">
      <w:pPr>
        <w:widowControl w:val="0"/>
        <w:jc w:val="both"/>
        <w:rPr>
          <w:sz w:val="20"/>
          <w:szCs w:val="20"/>
        </w:rPr>
      </w:pPr>
    </w:p>
    <w:p w:rsidR="004B7F60" w:rsidRPr="00C50A5C" w:rsidRDefault="002915ED" w:rsidP="004B7F60">
      <w:pPr>
        <w:pStyle w:val="ListParagraph"/>
        <w:widowControl w:val="0"/>
        <w:numPr>
          <w:ilvl w:val="0"/>
          <w:numId w:val="1"/>
        </w:numPr>
        <w:ind w:hanging="720"/>
        <w:jc w:val="both"/>
        <w:rPr>
          <w:sz w:val="20"/>
          <w:szCs w:val="20"/>
        </w:rPr>
      </w:pPr>
      <w:r w:rsidRPr="002915ED">
        <w:rPr>
          <w:i/>
          <w:sz w:val="20"/>
          <w:szCs w:val="20"/>
        </w:rPr>
        <w:t>Mary Ann Bender et al. v. Her Majesty the Queen</w:t>
      </w:r>
      <w:r w:rsidRPr="002915ED">
        <w:rPr>
          <w:sz w:val="20"/>
          <w:szCs w:val="20"/>
        </w:rPr>
        <w:t xml:space="preserve"> (B.C.) (Civil) (By Leave)</w:t>
      </w:r>
      <w:r w:rsidRPr="00940CAD">
        <w:rPr>
          <w:sz w:val="20"/>
          <w:szCs w:val="20"/>
        </w:rPr>
        <w:t xml:space="preserve"> </w:t>
      </w:r>
      <w:r w:rsidR="004B7F60" w:rsidRPr="00940CAD">
        <w:rPr>
          <w:sz w:val="20"/>
          <w:szCs w:val="20"/>
        </w:rPr>
        <w:t>(34</w:t>
      </w:r>
      <w:r>
        <w:rPr>
          <w:sz w:val="20"/>
          <w:szCs w:val="20"/>
        </w:rPr>
        <w:t>904</w:t>
      </w:r>
      <w:r w:rsidR="004B7F60" w:rsidRPr="00940CAD">
        <w:rPr>
          <w:sz w:val="20"/>
          <w:szCs w:val="20"/>
        </w:rPr>
        <w:t>)</w:t>
      </w:r>
    </w:p>
    <w:p w:rsidR="004B7F60" w:rsidRDefault="004B7F60" w:rsidP="004B7F60">
      <w:pPr>
        <w:widowControl w:val="0"/>
        <w:rPr>
          <w:sz w:val="20"/>
          <w:szCs w:val="20"/>
        </w:rPr>
      </w:pPr>
    </w:p>
    <w:p w:rsidR="002915ED" w:rsidRDefault="002915ED" w:rsidP="004B7F60">
      <w:pPr>
        <w:widowControl w:val="0"/>
        <w:rPr>
          <w:sz w:val="20"/>
          <w:szCs w:val="20"/>
        </w:rPr>
      </w:pPr>
    </w:p>
    <w:p w:rsidR="002915ED" w:rsidRPr="00C50A5C" w:rsidRDefault="002915ED" w:rsidP="002915E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2915ED" w:rsidRPr="00C50A5C" w:rsidRDefault="002915ED" w:rsidP="002915E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2915ED" w:rsidRPr="00C16CB3" w:rsidRDefault="002915ED" w:rsidP="002915ED">
      <w:pPr>
        <w:widowControl w:val="0"/>
        <w:jc w:val="both"/>
        <w:rPr>
          <w:sz w:val="20"/>
          <w:szCs w:val="20"/>
          <w:lang w:val="fr-CA"/>
        </w:rPr>
      </w:pPr>
    </w:p>
    <w:p w:rsidR="004B7F60" w:rsidRPr="002915ED" w:rsidRDefault="002915ED" w:rsidP="004B7F60">
      <w:pPr>
        <w:pStyle w:val="ListParagraph"/>
        <w:widowControl w:val="0"/>
        <w:numPr>
          <w:ilvl w:val="0"/>
          <w:numId w:val="1"/>
        </w:numPr>
        <w:ind w:hanging="720"/>
        <w:jc w:val="both"/>
        <w:rPr>
          <w:sz w:val="20"/>
          <w:szCs w:val="20"/>
          <w:lang w:val="fr-CA"/>
        </w:rPr>
      </w:pPr>
      <w:r w:rsidRPr="002915ED">
        <w:rPr>
          <w:i/>
          <w:sz w:val="20"/>
          <w:szCs w:val="20"/>
          <w:lang w:val="fr-CA"/>
        </w:rPr>
        <w:t>Pierre Giroux c. Sa Majesté la Reine</w:t>
      </w:r>
      <w:r w:rsidRPr="002915ED">
        <w:rPr>
          <w:sz w:val="20"/>
          <w:szCs w:val="20"/>
          <w:lang w:val="fr-CA"/>
        </w:rPr>
        <w:t xml:space="preserve"> (Qc) (Crim</w:t>
      </w:r>
      <w:r>
        <w:rPr>
          <w:sz w:val="20"/>
          <w:szCs w:val="20"/>
          <w:lang w:val="fr-CA"/>
        </w:rPr>
        <w:t>.</w:t>
      </w:r>
      <w:r w:rsidRPr="002915ED">
        <w:rPr>
          <w:sz w:val="20"/>
          <w:szCs w:val="20"/>
          <w:lang w:val="fr-CA"/>
        </w:rPr>
        <w:t xml:space="preserve">) (Autorisation) </w:t>
      </w:r>
      <w:r w:rsidR="004B7F60" w:rsidRPr="002915ED">
        <w:rPr>
          <w:sz w:val="20"/>
          <w:szCs w:val="20"/>
          <w:lang w:val="fr-CA"/>
        </w:rPr>
        <w:t>(34</w:t>
      </w:r>
      <w:r w:rsidRPr="002915ED">
        <w:rPr>
          <w:sz w:val="20"/>
          <w:szCs w:val="20"/>
          <w:lang w:val="fr-CA"/>
        </w:rPr>
        <w:t>793</w:t>
      </w:r>
      <w:r w:rsidR="004B7F60" w:rsidRPr="002915ED">
        <w:rPr>
          <w:sz w:val="20"/>
          <w:szCs w:val="20"/>
          <w:lang w:val="fr-CA"/>
        </w:rPr>
        <w:t>)</w:t>
      </w:r>
    </w:p>
    <w:p w:rsidR="004B7F60" w:rsidRPr="002915ED" w:rsidRDefault="004B7F60" w:rsidP="004B7F60">
      <w:pPr>
        <w:widowControl w:val="0"/>
        <w:jc w:val="both"/>
        <w:rPr>
          <w:sz w:val="20"/>
          <w:szCs w:val="20"/>
          <w:lang w:val="fr-CA"/>
        </w:rPr>
      </w:pPr>
    </w:p>
    <w:p w:rsidR="004B7F60" w:rsidRPr="00C612D0" w:rsidRDefault="002915ED" w:rsidP="004B7F60">
      <w:pPr>
        <w:pStyle w:val="ListParagraph"/>
        <w:widowControl w:val="0"/>
        <w:numPr>
          <w:ilvl w:val="0"/>
          <w:numId w:val="1"/>
        </w:numPr>
        <w:ind w:hanging="720"/>
        <w:jc w:val="both"/>
        <w:rPr>
          <w:sz w:val="20"/>
          <w:szCs w:val="20"/>
          <w:lang w:val="fr-CA"/>
        </w:rPr>
      </w:pPr>
      <w:r w:rsidRPr="002915ED">
        <w:rPr>
          <w:i/>
          <w:sz w:val="20"/>
          <w:szCs w:val="20"/>
          <w:lang w:val="fr-CA"/>
        </w:rPr>
        <w:t>Serge Trudel c. Sa Majesté la Reine</w:t>
      </w:r>
      <w:r w:rsidRPr="002915ED">
        <w:rPr>
          <w:sz w:val="20"/>
          <w:szCs w:val="20"/>
          <w:lang w:val="fr-CA"/>
        </w:rPr>
        <w:t xml:space="preserve"> (Qc) (Crim</w:t>
      </w:r>
      <w:r>
        <w:rPr>
          <w:sz w:val="20"/>
          <w:szCs w:val="20"/>
          <w:lang w:val="fr-CA"/>
        </w:rPr>
        <w:t>.</w:t>
      </w:r>
      <w:r w:rsidRPr="002915ED">
        <w:rPr>
          <w:sz w:val="20"/>
          <w:szCs w:val="20"/>
          <w:lang w:val="fr-CA"/>
        </w:rPr>
        <w:t>) (Autorisation)</w:t>
      </w:r>
      <w:r>
        <w:rPr>
          <w:sz w:val="20"/>
          <w:szCs w:val="20"/>
          <w:lang w:val="fr-CA"/>
        </w:rPr>
        <w:t xml:space="preserve"> </w:t>
      </w:r>
      <w:r w:rsidR="004B7F60" w:rsidRPr="00C612D0">
        <w:rPr>
          <w:sz w:val="20"/>
          <w:szCs w:val="20"/>
          <w:lang w:val="fr-CA"/>
        </w:rPr>
        <w:t>(34</w:t>
      </w:r>
      <w:r>
        <w:rPr>
          <w:sz w:val="20"/>
          <w:szCs w:val="20"/>
          <w:lang w:val="fr-CA"/>
        </w:rPr>
        <w:t>829</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2915ED" w:rsidRDefault="002915ED" w:rsidP="004B7F60">
      <w:pPr>
        <w:pStyle w:val="ListParagraph"/>
        <w:widowControl w:val="0"/>
        <w:numPr>
          <w:ilvl w:val="0"/>
          <w:numId w:val="1"/>
        </w:numPr>
        <w:ind w:hanging="720"/>
        <w:jc w:val="both"/>
        <w:rPr>
          <w:sz w:val="20"/>
          <w:szCs w:val="20"/>
        </w:rPr>
      </w:pPr>
      <w:r w:rsidRPr="002915ED">
        <w:rPr>
          <w:i/>
          <w:sz w:val="20"/>
          <w:szCs w:val="20"/>
          <w:lang w:val="fr-CA"/>
        </w:rPr>
        <w:t>Susan J. Garnier et al. v. Lucy Hundley et al.</w:t>
      </w:r>
      <w:r w:rsidRPr="002915ED">
        <w:rPr>
          <w:sz w:val="20"/>
          <w:szCs w:val="20"/>
          <w:lang w:val="fr-CA"/>
        </w:rPr>
        <w:t xml:space="preserve"> </w:t>
      </w:r>
      <w:r w:rsidRPr="002915ED">
        <w:rPr>
          <w:sz w:val="20"/>
          <w:szCs w:val="20"/>
        </w:rPr>
        <w:t xml:space="preserve">(B.C.) (Civil) (By Leave) </w:t>
      </w:r>
      <w:r w:rsidR="004B7F60" w:rsidRPr="002915ED">
        <w:rPr>
          <w:sz w:val="20"/>
          <w:szCs w:val="20"/>
        </w:rPr>
        <w:t>(34</w:t>
      </w:r>
      <w:r w:rsidRPr="002915ED">
        <w:rPr>
          <w:sz w:val="20"/>
          <w:szCs w:val="20"/>
        </w:rPr>
        <w:t>911</w:t>
      </w:r>
      <w:r w:rsidR="004B7F60" w:rsidRPr="002915ED">
        <w:rPr>
          <w:sz w:val="20"/>
          <w:szCs w:val="20"/>
        </w:rPr>
        <w:t>)</w:t>
      </w:r>
    </w:p>
    <w:p w:rsidR="004B7F60" w:rsidRPr="002915ED" w:rsidRDefault="004B7F60" w:rsidP="004B7F60">
      <w:pPr>
        <w:widowControl w:val="0"/>
        <w:jc w:val="both"/>
        <w:rPr>
          <w:sz w:val="20"/>
          <w:szCs w:val="20"/>
        </w:rPr>
      </w:pPr>
    </w:p>
    <w:p w:rsidR="002915ED" w:rsidRPr="002915ED" w:rsidRDefault="002915ED" w:rsidP="004B7F60">
      <w:pPr>
        <w:widowControl w:val="0"/>
        <w:jc w:val="both"/>
        <w:rPr>
          <w:sz w:val="20"/>
          <w:szCs w:val="20"/>
        </w:rPr>
      </w:pPr>
    </w:p>
    <w:p w:rsidR="002915ED" w:rsidRPr="00C50A5C" w:rsidRDefault="002915ED" w:rsidP="002915ED">
      <w:pPr>
        <w:widowControl w:val="0"/>
        <w:jc w:val="center"/>
        <w:rPr>
          <w:b/>
          <w:sz w:val="20"/>
          <w:szCs w:val="20"/>
        </w:rPr>
      </w:pPr>
      <w:r w:rsidRPr="00C50A5C">
        <w:rPr>
          <w:b/>
          <w:sz w:val="20"/>
          <w:szCs w:val="20"/>
        </w:rPr>
        <w:t xml:space="preserve">CORAM: </w:t>
      </w:r>
      <w:r>
        <w:rPr>
          <w:b/>
          <w:sz w:val="20"/>
          <w:szCs w:val="20"/>
        </w:rPr>
        <w:t>Fish, Rothstein</w:t>
      </w:r>
      <w:r w:rsidRPr="00C50A5C">
        <w:rPr>
          <w:b/>
          <w:sz w:val="20"/>
          <w:szCs w:val="20"/>
        </w:rPr>
        <w:t xml:space="preserve"> and </w:t>
      </w:r>
      <w:r>
        <w:rPr>
          <w:b/>
          <w:sz w:val="20"/>
          <w:szCs w:val="20"/>
        </w:rPr>
        <w:t>Karakatsanis</w:t>
      </w:r>
      <w:r w:rsidRPr="00C50A5C">
        <w:rPr>
          <w:b/>
          <w:sz w:val="20"/>
          <w:szCs w:val="20"/>
        </w:rPr>
        <w:t xml:space="preserve"> JJ.</w:t>
      </w:r>
    </w:p>
    <w:p w:rsidR="002915ED" w:rsidRPr="002915ED" w:rsidRDefault="002915ED" w:rsidP="002915ED">
      <w:pPr>
        <w:widowControl w:val="0"/>
        <w:jc w:val="center"/>
        <w:rPr>
          <w:b/>
          <w:sz w:val="20"/>
          <w:szCs w:val="20"/>
          <w:lang w:val="fr-CA"/>
        </w:rPr>
      </w:pPr>
      <w:r w:rsidRPr="002915ED">
        <w:rPr>
          <w:b/>
          <w:sz w:val="20"/>
          <w:szCs w:val="20"/>
          <w:lang w:val="fr-CA"/>
        </w:rPr>
        <w:t>Les juges Fish, Rothstein et Karakatsanis</w:t>
      </w:r>
    </w:p>
    <w:p w:rsidR="002915ED" w:rsidRPr="00115C9E" w:rsidRDefault="002915ED" w:rsidP="004B7F60">
      <w:pPr>
        <w:widowControl w:val="0"/>
        <w:jc w:val="both"/>
        <w:rPr>
          <w:sz w:val="20"/>
          <w:szCs w:val="20"/>
          <w:lang w:val="fr-CA"/>
        </w:rPr>
      </w:pPr>
    </w:p>
    <w:p w:rsidR="004B7F60" w:rsidRPr="00115C9E" w:rsidRDefault="000B61B3" w:rsidP="004B7F60">
      <w:pPr>
        <w:pStyle w:val="ListParagraph"/>
        <w:widowControl w:val="0"/>
        <w:numPr>
          <w:ilvl w:val="0"/>
          <w:numId w:val="1"/>
        </w:numPr>
        <w:ind w:hanging="720"/>
        <w:jc w:val="both"/>
        <w:rPr>
          <w:sz w:val="20"/>
          <w:szCs w:val="20"/>
          <w:lang w:val="fr-CA"/>
        </w:rPr>
      </w:pPr>
      <w:r w:rsidRPr="000B61B3">
        <w:rPr>
          <w:i/>
          <w:sz w:val="20"/>
          <w:szCs w:val="20"/>
        </w:rPr>
        <w:t>Her Majesty the Queen v. Steven Gerald Gareau</w:t>
      </w:r>
      <w:r w:rsidRPr="002915ED">
        <w:rPr>
          <w:sz w:val="20"/>
          <w:szCs w:val="20"/>
        </w:rPr>
        <w:t xml:space="preserve"> (N.S.) (Crim</w:t>
      </w:r>
      <w:r>
        <w:rPr>
          <w:sz w:val="20"/>
          <w:szCs w:val="20"/>
        </w:rPr>
        <w:t>.</w:t>
      </w:r>
      <w:r w:rsidRPr="002915ED">
        <w:rPr>
          <w:sz w:val="20"/>
          <w:szCs w:val="20"/>
        </w:rPr>
        <w:t>) (By Leave)</w:t>
      </w:r>
      <w:r w:rsidRPr="00115C9E">
        <w:rPr>
          <w:sz w:val="20"/>
          <w:szCs w:val="20"/>
          <w:lang w:val="fr-CA"/>
        </w:rPr>
        <w:t xml:space="preserve"> </w:t>
      </w:r>
      <w:r w:rsidR="004B7F60" w:rsidRPr="00115C9E">
        <w:rPr>
          <w:sz w:val="20"/>
          <w:szCs w:val="20"/>
          <w:lang w:val="fr-CA"/>
        </w:rPr>
        <w:t>(34</w:t>
      </w:r>
      <w:r w:rsidR="002915ED">
        <w:rPr>
          <w:sz w:val="20"/>
          <w:szCs w:val="20"/>
          <w:lang w:val="fr-CA"/>
        </w:rPr>
        <w:t>862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0B61B3" w:rsidRDefault="000B61B3" w:rsidP="004B7F60">
      <w:pPr>
        <w:pStyle w:val="ListParagraph"/>
        <w:widowControl w:val="0"/>
        <w:numPr>
          <w:ilvl w:val="0"/>
          <w:numId w:val="1"/>
        </w:numPr>
        <w:ind w:hanging="720"/>
        <w:jc w:val="both"/>
        <w:rPr>
          <w:sz w:val="20"/>
          <w:szCs w:val="20"/>
        </w:rPr>
      </w:pPr>
      <w:r w:rsidRPr="000B61B3">
        <w:rPr>
          <w:i/>
          <w:sz w:val="20"/>
          <w:szCs w:val="20"/>
        </w:rPr>
        <w:t>Albert Green v. Carmen Placzek</w:t>
      </w:r>
      <w:r w:rsidRPr="002915ED">
        <w:rPr>
          <w:sz w:val="20"/>
          <w:szCs w:val="20"/>
        </w:rPr>
        <w:t xml:space="preserve"> (Ont.) (Civil) (By Leave)</w:t>
      </w:r>
      <w:r w:rsidRPr="000B61B3">
        <w:rPr>
          <w:sz w:val="20"/>
          <w:szCs w:val="20"/>
        </w:rPr>
        <w:t xml:space="preserve"> </w:t>
      </w:r>
      <w:r w:rsidR="004B7F60" w:rsidRPr="000B61B3">
        <w:rPr>
          <w:sz w:val="20"/>
          <w:szCs w:val="20"/>
        </w:rPr>
        <w:t>(34</w:t>
      </w:r>
      <w:r w:rsidR="002915ED" w:rsidRPr="000B61B3">
        <w:rPr>
          <w:sz w:val="20"/>
          <w:szCs w:val="20"/>
        </w:rPr>
        <w:t>701</w:t>
      </w:r>
      <w:r w:rsidR="004B7F60" w:rsidRPr="000B61B3">
        <w:rPr>
          <w:sz w:val="20"/>
          <w:szCs w:val="20"/>
        </w:rPr>
        <w:t>)</w:t>
      </w:r>
    </w:p>
    <w:p w:rsidR="004B7F60" w:rsidRPr="000B61B3" w:rsidRDefault="004B7F60" w:rsidP="004B7F60">
      <w:pPr>
        <w:widowControl w:val="0"/>
        <w:rPr>
          <w:sz w:val="20"/>
          <w:szCs w:val="20"/>
        </w:rPr>
      </w:pPr>
    </w:p>
    <w:p w:rsidR="004B7F60" w:rsidRPr="0087726C" w:rsidRDefault="000B61B3" w:rsidP="004B7F60">
      <w:pPr>
        <w:pStyle w:val="ListParagraph"/>
        <w:widowControl w:val="0"/>
        <w:numPr>
          <w:ilvl w:val="0"/>
          <w:numId w:val="1"/>
        </w:numPr>
        <w:ind w:hanging="720"/>
        <w:jc w:val="both"/>
        <w:rPr>
          <w:sz w:val="20"/>
          <w:szCs w:val="20"/>
        </w:rPr>
      </w:pPr>
      <w:r w:rsidRPr="000B61B3">
        <w:rPr>
          <w:i/>
          <w:sz w:val="20"/>
          <w:szCs w:val="20"/>
          <w:lang w:val="fr-CA"/>
        </w:rPr>
        <w:t>BCF S.E.N.C.R.L. v. Spirits International B.V. et al.</w:t>
      </w:r>
      <w:r w:rsidRPr="000B61B3">
        <w:rPr>
          <w:sz w:val="20"/>
          <w:szCs w:val="20"/>
          <w:lang w:val="fr-CA"/>
        </w:rPr>
        <w:t xml:space="preserve"> </w:t>
      </w:r>
      <w:r w:rsidRPr="002915ED">
        <w:rPr>
          <w:sz w:val="20"/>
          <w:szCs w:val="20"/>
        </w:rPr>
        <w:t>(F</w:t>
      </w:r>
      <w:r>
        <w:rPr>
          <w:sz w:val="20"/>
          <w:szCs w:val="20"/>
        </w:rPr>
        <w:t>.</w:t>
      </w:r>
      <w:r w:rsidRPr="002915ED">
        <w:rPr>
          <w:sz w:val="20"/>
          <w:szCs w:val="20"/>
        </w:rPr>
        <w:t>C</w:t>
      </w:r>
      <w:r>
        <w:rPr>
          <w:sz w:val="20"/>
          <w:szCs w:val="20"/>
        </w:rPr>
        <w:t>.</w:t>
      </w:r>
      <w:r w:rsidRPr="002915ED">
        <w:rPr>
          <w:sz w:val="20"/>
          <w:szCs w:val="20"/>
        </w:rPr>
        <w:t>) (Civil) (By Leave)</w:t>
      </w:r>
      <w:r w:rsidRPr="0087726C">
        <w:rPr>
          <w:sz w:val="20"/>
          <w:szCs w:val="20"/>
        </w:rPr>
        <w:t xml:space="preserve"> </w:t>
      </w:r>
      <w:r w:rsidR="004B7F60" w:rsidRPr="0087726C">
        <w:rPr>
          <w:sz w:val="20"/>
          <w:szCs w:val="20"/>
        </w:rPr>
        <w:t>(34</w:t>
      </w:r>
      <w:r w:rsidR="002915ED">
        <w:rPr>
          <w:sz w:val="20"/>
          <w:szCs w:val="20"/>
        </w:rPr>
        <w:t>888</w:t>
      </w:r>
      <w:r w:rsidR="004B7F60" w:rsidRPr="0087726C">
        <w:rPr>
          <w:sz w:val="20"/>
          <w:szCs w:val="20"/>
        </w:rPr>
        <w:t>)</w:t>
      </w:r>
    </w:p>
    <w:p w:rsidR="004B7F60" w:rsidRPr="0087726C" w:rsidRDefault="004B7F60" w:rsidP="004B7F60">
      <w:pPr>
        <w:widowControl w:val="0"/>
        <w:jc w:val="both"/>
        <w:rPr>
          <w:sz w:val="20"/>
          <w:szCs w:val="20"/>
        </w:rPr>
      </w:pPr>
    </w:p>
    <w:p w:rsidR="004B7F60" w:rsidRPr="00115C9E" w:rsidRDefault="000B61B3" w:rsidP="004B7F60">
      <w:pPr>
        <w:pStyle w:val="ListParagraph"/>
        <w:widowControl w:val="0"/>
        <w:numPr>
          <w:ilvl w:val="0"/>
          <w:numId w:val="1"/>
        </w:numPr>
        <w:ind w:hanging="720"/>
        <w:jc w:val="both"/>
        <w:rPr>
          <w:sz w:val="20"/>
          <w:szCs w:val="20"/>
        </w:rPr>
      </w:pPr>
      <w:r w:rsidRPr="000B61B3">
        <w:rPr>
          <w:i/>
          <w:sz w:val="20"/>
          <w:szCs w:val="20"/>
        </w:rPr>
        <w:t>Marianne Martha Lush v. Douglas George Connell</w:t>
      </w:r>
      <w:r w:rsidRPr="000B61B3">
        <w:rPr>
          <w:sz w:val="20"/>
          <w:szCs w:val="20"/>
        </w:rPr>
        <w:t xml:space="preserve"> (B.C.) </w:t>
      </w:r>
      <w:r w:rsidRPr="002915ED">
        <w:rPr>
          <w:sz w:val="20"/>
          <w:szCs w:val="20"/>
        </w:rPr>
        <w:t>(Civil) (By Leave)</w:t>
      </w:r>
      <w:r>
        <w:rPr>
          <w:sz w:val="20"/>
          <w:szCs w:val="20"/>
        </w:rPr>
        <w:t xml:space="preserve"> </w:t>
      </w:r>
      <w:r w:rsidR="004B7F60" w:rsidRPr="00115C9E">
        <w:rPr>
          <w:sz w:val="20"/>
          <w:szCs w:val="20"/>
        </w:rPr>
        <w:t>(34</w:t>
      </w:r>
      <w:r w:rsidR="002915ED">
        <w:rPr>
          <w:sz w:val="20"/>
          <w:szCs w:val="20"/>
        </w:rPr>
        <w:t>922</w:t>
      </w:r>
      <w:r w:rsidR="004B7F60" w:rsidRPr="00115C9E">
        <w:rPr>
          <w:sz w:val="20"/>
          <w:szCs w:val="20"/>
        </w:rPr>
        <w:t>)</w:t>
      </w:r>
    </w:p>
    <w:p w:rsidR="002E2327" w:rsidRPr="001B157C" w:rsidRDefault="002E2327" w:rsidP="002E2327">
      <w:pPr>
        <w:widowControl w:val="0"/>
        <w:rPr>
          <w:sz w:val="20"/>
          <w:szCs w:val="20"/>
        </w:rPr>
      </w:pPr>
    </w:p>
    <w:p w:rsidR="002E2327" w:rsidRPr="00C50A5C" w:rsidRDefault="00BA233E" w:rsidP="002E2327">
      <w:pPr>
        <w:widowControl w:val="0"/>
        <w:rPr>
          <w:sz w:val="20"/>
          <w:szCs w:val="20"/>
        </w:rPr>
      </w:pPr>
      <w:r w:rsidRPr="00BA233E">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A292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03085F" w:rsidP="008D292F">
      <w:pPr>
        <w:rPr>
          <w:b/>
          <w:sz w:val="20"/>
          <w:szCs w:val="20"/>
        </w:rPr>
      </w:pPr>
      <w:r>
        <w:rPr>
          <w:b/>
          <w:sz w:val="20"/>
          <w:szCs w:val="20"/>
        </w:rPr>
        <w:t>SE</w:t>
      </w:r>
      <w:r w:rsidR="008D292F" w:rsidRPr="00C50A5C">
        <w:rPr>
          <w:b/>
          <w:sz w:val="20"/>
          <w:szCs w:val="20"/>
        </w:rPr>
        <w:t>P</w:t>
      </w:r>
      <w:r>
        <w:rPr>
          <w:b/>
          <w:sz w:val="20"/>
          <w:szCs w:val="20"/>
        </w:rPr>
        <w:t>TEMBE</w:t>
      </w:r>
      <w:r w:rsidR="008D292F" w:rsidRPr="00C50A5C">
        <w:rPr>
          <w:b/>
          <w:sz w:val="20"/>
          <w:szCs w:val="20"/>
        </w:rPr>
        <w:t xml:space="preserve">R </w:t>
      </w:r>
      <w:r>
        <w:rPr>
          <w:b/>
          <w:sz w:val="20"/>
          <w:szCs w:val="20"/>
        </w:rPr>
        <w:t>20</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0 SEPTEMBRE</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4C29" w:rsidRPr="00234C14" w:rsidTr="00CF00E7">
        <w:trPr>
          <w:cantSplit/>
        </w:trPr>
        <w:tc>
          <w:tcPr>
            <w:tcW w:w="1458" w:type="dxa"/>
          </w:tcPr>
          <w:p w:rsidR="00FF4C29" w:rsidRPr="00234C14" w:rsidRDefault="00FF4C29" w:rsidP="00CF00E7">
            <w:pPr>
              <w:rPr>
                <w:sz w:val="20"/>
                <w:szCs w:val="20"/>
              </w:rPr>
            </w:pPr>
            <w:r w:rsidRPr="00234C14">
              <w:rPr>
                <w:rStyle w:val="SCCFileNumberChar"/>
                <w:sz w:val="20"/>
                <w:szCs w:val="20"/>
              </w:rPr>
              <w:t>34820</w:t>
            </w:r>
          </w:p>
          <w:p w:rsidR="00FF4C29" w:rsidRPr="00234C14" w:rsidRDefault="00FF4C29" w:rsidP="00CF00E7">
            <w:pPr>
              <w:rPr>
                <w:b/>
                <w:sz w:val="20"/>
                <w:szCs w:val="20"/>
                <w:lang w:val="fr-CA"/>
              </w:rPr>
            </w:pPr>
          </w:p>
        </w:tc>
        <w:tc>
          <w:tcPr>
            <w:tcW w:w="8118" w:type="dxa"/>
          </w:tcPr>
          <w:p w:rsidR="00FF4C29" w:rsidRPr="00234C14" w:rsidRDefault="00FF4C29" w:rsidP="00CF00E7">
            <w:pPr>
              <w:rPr>
                <w:sz w:val="20"/>
                <w:szCs w:val="20"/>
              </w:rPr>
            </w:pPr>
            <w:r w:rsidRPr="00234C14">
              <w:rPr>
                <w:rStyle w:val="SCCLsocChar"/>
                <w:sz w:val="20"/>
                <w:szCs w:val="20"/>
                <w:lang w:val="en-CA"/>
              </w:rPr>
              <w:t>Pye Bros. Fuels Ltd. v. Imperial Oil Limited</w:t>
            </w:r>
            <w:r w:rsidRPr="00234C14">
              <w:rPr>
                <w:sz w:val="20"/>
                <w:szCs w:val="20"/>
              </w:rPr>
              <w:t xml:space="preserve"> (Ont.) (Civil) (By Leave)</w:t>
            </w:r>
          </w:p>
          <w:p w:rsidR="00FF4C29" w:rsidRPr="00234C14" w:rsidRDefault="00FF4C29" w:rsidP="00CF00E7">
            <w:pPr>
              <w:rPr>
                <w:sz w:val="20"/>
                <w:szCs w:val="20"/>
              </w:rPr>
            </w:pPr>
          </w:p>
        </w:tc>
      </w:tr>
      <w:tr w:rsidR="00FF4C29" w:rsidRPr="00234C14" w:rsidTr="00CF00E7">
        <w:trPr>
          <w:cantSplit/>
        </w:trPr>
        <w:tc>
          <w:tcPr>
            <w:tcW w:w="1458" w:type="dxa"/>
          </w:tcPr>
          <w:p w:rsidR="00FF4C29" w:rsidRPr="00234C14" w:rsidRDefault="00FF4C29" w:rsidP="00CF00E7">
            <w:pPr>
              <w:rPr>
                <w:sz w:val="20"/>
                <w:szCs w:val="20"/>
              </w:rPr>
            </w:pPr>
            <w:r w:rsidRPr="00234C14">
              <w:rPr>
                <w:sz w:val="20"/>
                <w:szCs w:val="20"/>
              </w:rPr>
              <w:t>Coram :</w:t>
            </w:r>
          </w:p>
        </w:tc>
        <w:tc>
          <w:tcPr>
            <w:tcW w:w="8118" w:type="dxa"/>
          </w:tcPr>
          <w:p w:rsidR="00FF4C29" w:rsidRPr="00234C14" w:rsidRDefault="00FF4C29" w:rsidP="00CF00E7">
            <w:pPr>
              <w:rPr>
                <w:sz w:val="20"/>
                <w:szCs w:val="20"/>
              </w:rPr>
            </w:pPr>
            <w:r w:rsidRPr="00234C14">
              <w:rPr>
                <w:rStyle w:val="SCCCoramChar"/>
                <w:sz w:val="20"/>
                <w:szCs w:val="20"/>
                <w:lang w:val="en-CA"/>
              </w:rPr>
              <w:t>Fish, Moldaver and Karakatsanis JJ.</w:t>
            </w:r>
          </w:p>
          <w:p w:rsidR="00FF4C29" w:rsidRPr="00234C14" w:rsidRDefault="00FF4C29" w:rsidP="00CF00E7">
            <w:pPr>
              <w:rPr>
                <w:sz w:val="20"/>
                <w:szCs w:val="20"/>
                <w:u w:val="single"/>
              </w:rPr>
            </w:pPr>
          </w:p>
        </w:tc>
      </w:tr>
      <w:tr w:rsidR="00FF4C29" w:rsidRPr="001A2926" w:rsidTr="00CF00E7">
        <w:trPr>
          <w:cantSplit/>
        </w:trPr>
        <w:tc>
          <w:tcPr>
            <w:tcW w:w="9576" w:type="dxa"/>
            <w:gridSpan w:val="2"/>
          </w:tcPr>
          <w:p w:rsidR="00FF4C29" w:rsidRPr="00234C14" w:rsidRDefault="00FF4C29" w:rsidP="00CF00E7">
            <w:pPr>
              <w:pStyle w:val="SCCShortJudgment"/>
              <w:rPr>
                <w:szCs w:val="20"/>
              </w:rPr>
            </w:pPr>
            <w:r w:rsidRPr="00234C14">
              <w:rPr>
                <w:szCs w:val="20"/>
              </w:rPr>
              <w:t>The application for leave to appeal from the judgment of the Court of Appeal for Ontario, Number C54487, 2012 ONCA 153, dated March 12, 2012, is dismissed with costs.</w:t>
            </w:r>
          </w:p>
          <w:p w:rsidR="00FF4C29" w:rsidRPr="00234C14" w:rsidRDefault="00FF4C29" w:rsidP="00CF00E7">
            <w:pPr>
              <w:pStyle w:val="SCCShortJudgment"/>
              <w:ind w:firstLine="0"/>
              <w:rPr>
                <w:szCs w:val="20"/>
              </w:rPr>
            </w:pPr>
          </w:p>
          <w:p w:rsidR="00FF4C29" w:rsidRPr="00234C14" w:rsidRDefault="00FF4C29" w:rsidP="00CF00E7">
            <w:pPr>
              <w:pStyle w:val="SCCShortJudgment"/>
              <w:rPr>
                <w:szCs w:val="20"/>
                <w:lang w:val="fr-CA"/>
              </w:rPr>
            </w:pPr>
            <w:r w:rsidRPr="00234C14">
              <w:rPr>
                <w:szCs w:val="20"/>
                <w:lang w:val="fr-CA"/>
              </w:rPr>
              <w:t>La demande d’autorisation d’appel de l’arrêt de la Cour d’appel de l’Ontario, numéro C54487, 2012 ONCA 153, daté du 12 mars 2012, est rejetée avec dépens.</w:t>
            </w:r>
          </w:p>
        </w:tc>
      </w:tr>
    </w:tbl>
    <w:p w:rsidR="0003085F" w:rsidRPr="00FF4C29" w:rsidRDefault="0003085F" w:rsidP="008D292F">
      <w:pPr>
        <w:rPr>
          <w:sz w:val="20"/>
          <w:szCs w:val="20"/>
          <w:lang w:val="fr-CA"/>
        </w:rPr>
      </w:pPr>
    </w:p>
    <w:p w:rsidR="0003085F" w:rsidRPr="001B157C" w:rsidRDefault="0003085F" w:rsidP="0003085F">
      <w:pPr>
        <w:rPr>
          <w:sz w:val="20"/>
          <w:szCs w:val="20"/>
          <w:u w:val="single"/>
        </w:rPr>
      </w:pPr>
      <w:r w:rsidRPr="001B157C">
        <w:rPr>
          <w:sz w:val="20"/>
          <w:szCs w:val="20"/>
          <w:u w:val="single"/>
        </w:rPr>
        <w:t>CASE SUMMARY</w:t>
      </w:r>
    </w:p>
    <w:p w:rsidR="0003085F" w:rsidRDefault="0003085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t>Civil procedure – Discovery – Documents – Relevancy – Policy of insurance – Applicant and Respondent co-defendants in action for damages – Applicant seeking production of Respondent’s policy of insurance</w:t>
            </w:r>
          </w:p>
        </w:tc>
      </w:tr>
      <w:tr w:rsidR="00C75946" w:rsidRPr="00E54200" w:rsidTr="002915ED">
        <w:tc>
          <w:tcPr>
            <w:tcW w:w="5000" w:type="pct"/>
            <w:gridSpan w:val="3"/>
          </w:tcPr>
          <w:p w:rsidR="00C75946" w:rsidRPr="00E54200" w:rsidRDefault="00C75946" w:rsidP="002915ED">
            <w:pPr>
              <w:jc w:val="both"/>
              <w:rPr>
                <w:rFonts w:eastAsia="Calibri"/>
                <w:sz w:val="20"/>
              </w:rPr>
            </w:pPr>
          </w:p>
        </w:tc>
      </w:tr>
      <w:tr w:rsidR="00C75946" w:rsidRPr="00E54200" w:rsidTr="002915ED">
        <w:tc>
          <w:tcPr>
            <w:tcW w:w="5000" w:type="pct"/>
            <w:gridSpan w:val="3"/>
          </w:tcPr>
          <w:p w:rsidR="00C75946" w:rsidRPr="00E54200" w:rsidRDefault="00C75946" w:rsidP="002915ED">
            <w:pPr>
              <w:jc w:val="both"/>
              <w:rPr>
                <w:color w:val="000000"/>
                <w:sz w:val="20"/>
              </w:rPr>
            </w:pPr>
            <w:r w:rsidRPr="00E54200">
              <w:rPr>
                <w:color w:val="000000"/>
                <w:sz w:val="20"/>
              </w:rPr>
              <w:t>Pye Bros. Fuels Ltd. (“Pye Bros.”) and Imperial Oil are co-defendants in a negligence action where damages in the amount of $350,000 are claimed with respect to the alleged release of oil from a home heating fuel oil tank.  The underlying action was being case managed along with several other actions in which home heating oil tanks made by a common manufacturer were all alleged to have failed.  Pye Bros. brought a motion for the production of any insurance policies that were in the possession and control of Imperial Oil by virtue of the Imperial Sales Agency Agreement executed in 2003 by Imperial Oil and Pye Bros.</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August 24, 2010</w:t>
            </w:r>
          </w:p>
          <w:p w:rsidR="00C75946" w:rsidRPr="00E54200" w:rsidRDefault="00C75946" w:rsidP="002915ED">
            <w:pPr>
              <w:jc w:val="both"/>
              <w:rPr>
                <w:rFonts w:eastAsia="Calibri"/>
                <w:sz w:val="20"/>
              </w:rPr>
            </w:pPr>
            <w:r w:rsidRPr="00E54200">
              <w:rPr>
                <w:rFonts w:eastAsia="Calibri"/>
                <w:sz w:val="20"/>
              </w:rPr>
              <w:t>Ontario Superior Court of Justice</w:t>
            </w:r>
          </w:p>
          <w:p w:rsidR="00C75946" w:rsidRPr="00E54200" w:rsidRDefault="00C75946" w:rsidP="002915ED">
            <w:pPr>
              <w:jc w:val="both"/>
              <w:rPr>
                <w:rFonts w:eastAsia="Calibri"/>
                <w:sz w:val="20"/>
              </w:rPr>
            </w:pPr>
            <w:r w:rsidRPr="00E54200">
              <w:rPr>
                <w:rFonts w:eastAsia="Calibri"/>
                <w:sz w:val="20"/>
              </w:rPr>
              <w:t>(Warkentin J.)</w:t>
            </w:r>
          </w:p>
          <w:p w:rsidR="00C75946" w:rsidRPr="00E54200" w:rsidRDefault="00C75946" w:rsidP="002915ED">
            <w:pPr>
              <w:jc w:val="both"/>
              <w:rPr>
                <w:rFonts w:eastAsia="Calibri"/>
                <w:sz w:val="20"/>
              </w:rPr>
            </w:pPr>
            <w:r w:rsidRPr="00E54200">
              <w:rPr>
                <w:rFonts w:eastAsia="Calibri"/>
                <w:sz w:val="20"/>
              </w:rPr>
              <w:t>2010 ONSC 4395</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Applicant’s motion for production of insurance policy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June 9, 2011</w:t>
            </w:r>
          </w:p>
          <w:p w:rsidR="00C75946" w:rsidRPr="00E54200" w:rsidRDefault="00C75946" w:rsidP="002915ED">
            <w:pPr>
              <w:jc w:val="both"/>
              <w:rPr>
                <w:rFonts w:eastAsia="Calibri"/>
                <w:sz w:val="20"/>
              </w:rPr>
            </w:pPr>
            <w:r w:rsidRPr="00E54200">
              <w:rPr>
                <w:rFonts w:eastAsia="Calibri"/>
                <w:sz w:val="20"/>
              </w:rPr>
              <w:t>Ontario Superior Court of Justice</w:t>
            </w:r>
          </w:p>
          <w:p w:rsidR="00C75946" w:rsidRPr="00E54200" w:rsidRDefault="00C75946" w:rsidP="002915ED">
            <w:pPr>
              <w:jc w:val="both"/>
              <w:rPr>
                <w:rFonts w:eastAsia="Calibri"/>
                <w:sz w:val="20"/>
              </w:rPr>
            </w:pPr>
            <w:r w:rsidRPr="00E54200">
              <w:rPr>
                <w:rFonts w:eastAsia="Calibri"/>
                <w:sz w:val="20"/>
              </w:rPr>
              <w:t>(Divisional Court)</w:t>
            </w:r>
          </w:p>
          <w:p w:rsidR="00C75946" w:rsidRPr="00E54200" w:rsidRDefault="00C75946" w:rsidP="002915ED">
            <w:pPr>
              <w:jc w:val="both"/>
              <w:rPr>
                <w:rFonts w:eastAsia="Calibri"/>
                <w:sz w:val="20"/>
              </w:rPr>
            </w:pPr>
            <w:r w:rsidRPr="00E54200">
              <w:rPr>
                <w:rFonts w:eastAsia="Calibri"/>
                <w:sz w:val="20"/>
              </w:rPr>
              <w:t>(Wilson, Gordon and Lederer JJ.)</w:t>
            </w:r>
          </w:p>
          <w:p w:rsidR="00C75946" w:rsidRPr="00E54200" w:rsidRDefault="00C75946" w:rsidP="002915ED">
            <w:pPr>
              <w:jc w:val="both"/>
              <w:rPr>
                <w:rFonts w:eastAsia="Calibri"/>
                <w:sz w:val="20"/>
              </w:rPr>
            </w:pPr>
            <w:r w:rsidRPr="00E54200">
              <w:rPr>
                <w:rFonts w:eastAsia="Calibri"/>
                <w:sz w:val="20"/>
              </w:rPr>
              <w:t xml:space="preserve">2011 ONSC 3499 </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Applicant’s appeal allowed; Respondent ordered to produce policy of insurance</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March 12, 2012</w:t>
            </w:r>
          </w:p>
          <w:p w:rsidR="00C75946" w:rsidRPr="00E54200" w:rsidRDefault="00C75946" w:rsidP="002915ED">
            <w:pPr>
              <w:jc w:val="both"/>
              <w:rPr>
                <w:rFonts w:eastAsia="Calibri"/>
                <w:sz w:val="20"/>
              </w:rPr>
            </w:pPr>
            <w:r w:rsidRPr="00E54200">
              <w:rPr>
                <w:rFonts w:eastAsia="Calibri"/>
                <w:sz w:val="20"/>
              </w:rPr>
              <w:t>Court of Appeal for Ontario</w:t>
            </w:r>
          </w:p>
          <w:p w:rsidR="00C75946" w:rsidRPr="00E54200" w:rsidRDefault="00C75946" w:rsidP="002915ED">
            <w:pPr>
              <w:jc w:val="both"/>
              <w:rPr>
                <w:rFonts w:eastAsia="Calibri"/>
                <w:sz w:val="20"/>
              </w:rPr>
            </w:pPr>
            <w:r w:rsidRPr="00E54200">
              <w:rPr>
                <w:rFonts w:eastAsia="Calibri"/>
                <w:sz w:val="20"/>
              </w:rPr>
              <w:t>(Winkler, Armstrong and LaForme JJ.A.)</w:t>
            </w:r>
          </w:p>
          <w:p w:rsidR="00C75946" w:rsidRPr="00E54200" w:rsidRDefault="00C75946" w:rsidP="002915ED">
            <w:pPr>
              <w:jc w:val="both"/>
              <w:rPr>
                <w:rFonts w:eastAsia="Calibri"/>
                <w:sz w:val="20"/>
              </w:rPr>
            </w:pPr>
            <w:r w:rsidRPr="00E54200">
              <w:rPr>
                <w:rFonts w:eastAsia="Calibri"/>
                <w:sz w:val="20"/>
              </w:rPr>
              <w:t xml:space="preserve">2012 ONCA 153 </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Respondent’s appeal allowed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May 14, 2012</w:t>
            </w:r>
          </w:p>
          <w:p w:rsidR="00C75946" w:rsidRPr="00E54200" w:rsidRDefault="00C75946" w:rsidP="002915ED">
            <w:pPr>
              <w:jc w:val="both"/>
              <w:rPr>
                <w:rFonts w:eastAsia="Calibri"/>
                <w:sz w:val="20"/>
              </w:rPr>
            </w:pPr>
            <w:r w:rsidRPr="00E54200">
              <w:rPr>
                <w:rFonts w:eastAsia="Calibri"/>
                <w:sz w:val="20"/>
              </w:rPr>
              <w:t>Supreme Court of Canada</w:t>
            </w: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Application for leave to appeal filed</w:t>
            </w:r>
          </w:p>
          <w:p w:rsidR="00C75946" w:rsidRPr="00E54200" w:rsidRDefault="00C75946" w:rsidP="002915ED">
            <w:pPr>
              <w:jc w:val="both"/>
              <w:rPr>
                <w:rFonts w:eastAsia="Calibri"/>
                <w:sz w:val="20"/>
              </w:rPr>
            </w:pPr>
          </w:p>
        </w:tc>
      </w:tr>
    </w:tbl>
    <w:p w:rsidR="0003085F" w:rsidRDefault="0003085F" w:rsidP="008D292F">
      <w:pPr>
        <w:rPr>
          <w:sz w:val="20"/>
          <w:szCs w:val="20"/>
        </w:rPr>
      </w:pPr>
    </w:p>
    <w:p w:rsidR="0003085F" w:rsidRDefault="00BA233E" w:rsidP="008D292F">
      <w:pPr>
        <w:rPr>
          <w:sz w:val="20"/>
          <w:szCs w:val="20"/>
        </w:rPr>
      </w:pPr>
      <w:r w:rsidRPr="00BA233E">
        <w:rPr>
          <w:sz w:val="20"/>
          <w:szCs w:val="20"/>
          <w:lang w:val="fr-CA"/>
        </w:rPr>
        <w:pict>
          <v:rect id="_x0000_i1042" style="width:2in;height:1pt" o:hrpct="0" o:hralign="center" o:hrstd="t" o:hrnoshade="t" o:hr="t" fillcolor="black [3213]" stroked="f"/>
        </w:pict>
      </w:r>
    </w:p>
    <w:p w:rsidR="0003085F" w:rsidRDefault="0003085F" w:rsidP="008D292F">
      <w:pPr>
        <w:rPr>
          <w:sz w:val="20"/>
          <w:szCs w:val="20"/>
        </w:rPr>
      </w:pPr>
    </w:p>
    <w:p w:rsidR="0003085F" w:rsidRPr="001B157C" w:rsidRDefault="0003085F" w:rsidP="0003085F">
      <w:pPr>
        <w:rPr>
          <w:sz w:val="20"/>
          <w:szCs w:val="20"/>
          <w:u w:val="single"/>
          <w:lang w:val="fr-CA"/>
        </w:rPr>
      </w:pPr>
      <w:r w:rsidRPr="001B157C">
        <w:rPr>
          <w:sz w:val="20"/>
          <w:szCs w:val="20"/>
          <w:u w:val="single"/>
          <w:lang w:val="fr-CA"/>
        </w:rPr>
        <w:t>RÉSUMÉ DE L’AFFAIRE</w:t>
      </w:r>
    </w:p>
    <w:p w:rsidR="0003085F" w:rsidRDefault="0003085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5946" w:rsidRPr="00A5349A"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 xml:space="preserve">Procédure civile – Interrogatoire préalable – Documents – Pertinence – Police d’assurance – La demanderesse et </w:t>
            </w:r>
            <w:r w:rsidRPr="00E54200">
              <w:rPr>
                <w:rFonts w:eastAsia="Calibri"/>
                <w:sz w:val="20"/>
                <w:lang w:val="fr-CA"/>
              </w:rPr>
              <w:lastRenderedPageBreak/>
              <w:t>l’intimée sont des codéfenderesses dans une action en dommages</w:t>
            </w:r>
            <w:r w:rsidRPr="00E54200">
              <w:rPr>
                <w:rFonts w:eastAsia="Calibri"/>
                <w:sz w:val="20"/>
                <w:lang w:val="fr-CA"/>
              </w:rPr>
              <w:noBreakHyphen/>
              <w:t xml:space="preserve">intérêts – La demanderesse a demandé la production des polices d’assurance de l’intimée. </w:t>
            </w:r>
          </w:p>
        </w:tc>
      </w:tr>
      <w:tr w:rsidR="00C75946" w:rsidRPr="00A5349A" w:rsidTr="002915ED">
        <w:tc>
          <w:tcPr>
            <w:tcW w:w="5000" w:type="pct"/>
            <w:gridSpan w:val="3"/>
          </w:tcPr>
          <w:p w:rsidR="00C75946" w:rsidRPr="00E54200" w:rsidRDefault="00C75946" w:rsidP="002915ED">
            <w:pPr>
              <w:jc w:val="both"/>
              <w:rPr>
                <w:rFonts w:eastAsia="Calibri"/>
                <w:sz w:val="20"/>
                <w:lang w:val="fr-CA"/>
              </w:rPr>
            </w:pPr>
          </w:p>
        </w:tc>
      </w:tr>
      <w:tr w:rsidR="00C75946" w:rsidRPr="001A2926" w:rsidTr="002915ED">
        <w:tc>
          <w:tcPr>
            <w:tcW w:w="5000" w:type="pct"/>
            <w:gridSpan w:val="3"/>
          </w:tcPr>
          <w:p w:rsidR="00C75946" w:rsidRPr="00E54200" w:rsidRDefault="00C75946" w:rsidP="002915ED">
            <w:pPr>
              <w:jc w:val="both"/>
              <w:rPr>
                <w:color w:val="000000"/>
                <w:sz w:val="20"/>
                <w:lang w:val="fr-CA"/>
              </w:rPr>
            </w:pPr>
            <w:r w:rsidRPr="00E54200">
              <w:rPr>
                <w:color w:val="000000"/>
                <w:sz w:val="20"/>
                <w:lang w:val="fr-CA"/>
              </w:rPr>
              <w:t>Pye Bros. Fuels Ltd. (« Pye Bros. ») et Imperial Oil sont des codéfenderesses dans une action pour négligence dans laquelle la somme de 350 000 $ est réclamée à titre de dommages</w:t>
            </w:r>
            <w:r w:rsidRPr="00E54200">
              <w:rPr>
                <w:color w:val="000000"/>
                <w:sz w:val="20"/>
                <w:lang w:val="fr-CA"/>
              </w:rPr>
              <w:noBreakHyphen/>
              <w:t>intérêts relativement à une fuite d’huile d’un réservoir de mazout domestique. Un juge était chargé de gérer l’action principale ainsi que plusieurs autres actions dans lesquelles il était allégué que des réservoirs de mazout domestique fabriqués par le même fabricant avaient été défectueux.  Pye Bros. a présenté une requête sollicitant la production de toute police d’assurance en la possession et sous le contrôle d’Imperial Oil en vertu de l’entente d’agence de vente d’Imperial conclue en 2003 entre Imperial Oil et Pye Bros.</w:t>
            </w:r>
          </w:p>
          <w:p w:rsidR="00C75946" w:rsidRPr="00E54200" w:rsidRDefault="00C75946" w:rsidP="002915ED">
            <w:pPr>
              <w:jc w:val="both"/>
              <w:rPr>
                <w:rFonts w:eastAsia="Calibri"/>
                <w:sz w:val="20"/>
                <w:lang w:val="fr-CA"/>
              </w:rPr>
            </w:pPr>
          </w:p>
        </w:tc>
      </w:tr>
      <w:tr w:rsidR="00C75946" w:rsidRPr="001A2926"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24 août 2010</w:t>
            </w:r>
          </w:p>
          <w:p w:rsidR="00C75946" w:rsidRPr="00E54200" w:rsidRDefault="00C75946" w:rsidP="002915ED">
            <w:pPr>
              <w:jc w:val="both"/>
              <w:rPr>
                <w:rFonts w:eastAsia="Calibri"/>
                <w:sz w:val="20"/>
                <w:lang w:val="fr-CA"/>
              </w:rPr>
            </w:pPr>
            <w:r w:rsidRPr="00E54200">
              <w:rPr>
                <w:rFonts w:eastAsia="Calibri"/>
                <w:sz w:val="20"/>
                <w:lang w:val="fr-CA"/>
              </w:rPr>
              <w:t>Cour supérieure de justice de l'Ontario</w:t>
            </w:r>
          </w:p>
          <w:p w:rsidR="00C75946" w:rsidRPr="00E54200" w:rsidRDefault="00C75946" w:rsidP="002915ED">
            <w:pPr>
              <w:jc w:val="both"/>
              <w:rPr>
                <w:rFonts w:eastAsia="Calibri"/>
                <w:sz w:val="20"/>
                <w:lang w:val="fr-CA"/>
              </w:rPr>
            </w:pPr>
            <w:r w:rsidRPr="00E54200">
              <w:rPr>
                <w:rFonts w:eastAsia="Calibri"/>
                <w:sz w:val="20"/>
                <w:lang w:val="fr-CA"/>
              </w:rPr>
              <w:t>(Juge Warkentin)</w:t>
            </w:r>
          </w:p>
          <w:p w:rsidR="00C75946" w:rsidRPr="00E54200" w:rsidRDefault="00C75946" w:rsidP="002915ED">
            <w:pPr>
              <w:jc w:val="both"/>
              <w:rPr>
                <w:rFonts w:eastAsia="Calibri"/>
                <w:sz w:val="20"/>
                <w:lang w:val="fr-CA"/>
              </w:rPr>
            </w:pPr>
            <w:r w:rsidRPr="00E54200">
              <w:rPr>
                <w:rFonts w:eastAsia="Calibri"/>
                <w:sz w:val="20"/>
                <w:lang w:val="fr-CA"/>
              </w:rPr>
              <w:t>2010 ONSC 4395</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Requête de la demanderesse sollicitant la production des polices d’assurance rejetée.</w:t>
            </w:r>
          </w:p>
          <w:p w:rsidR="00C75946" w:rsidRPr="00E54200" w:rsidRDefault="00C75946" w:rsidP="002915ED">
            <w:pPr>
              <w:jc w:val="both"/>
              <w:rPr>
                <w:rFonts w:eastAsia="Calibri"/>
                <w:sz w:val="20"/>
                <w:lang w:val="fr-CA"/>
              </w:rPr>
            </w:pPr>
          </w:p>
        </w:tc>
      </w:tr>
      <w:tr w:rsidR="00C75946" w:rsidRPr="001A2926"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9 juin 2011</w:t>
            </w:r>
          </w:p>
          <w:p w:rsidR="00C75946" w:rsidRPr="00E54200" w:rsidRDefault="00C75946" w:rsidP="002915ED">
            <w:pPr>
              <w:jc w:val="both"/>
              <w:rPr>
                <w:rFonts w:eastAsia="Calibri"/>
                <w:sz w:val="20"/>
                <w:lang w:val="fr-CA"/>
              </w:rPr>
            </w:pPr>
            <w:r w:rsidRPr="00E54200">
              <w:rPr>
                <w:rFonts w:eastAsia="Calibri"/>
                <w:sz w:val="20"/>
                <w:lang w:val="fr-CA"/>
              </w:rPr>
              <w:t>Cour supérieure de justice de l'Ontario</w:t>
            </w:r>
          </w:p>
          <w:p w:rsidR="00C75946" w:rsidRPr="00E54200" w:rsidRDefault="00C75946" w:rsidP="002915ED">
            <w:pPr>
              <w:jc w:val="both"/>
              <w:rPr>
                <w:rFonts w:eastAsia="Calibri"/>
                <w:sz w:val="20"/>
                <w:lang w:val="fr-CA"/>
              </w:rPr>
            </w:pPr>
            <w:r w:rsidRPr="00E54200">
              <w:rPr>
                <w:rFonts w:eastAsia="Calibri"/>
                <w:sz w:val="20"/>
                <w:lang w:val="fr-CA"/>
              </w:rPr>
              <w:t>(Cour divisionnaire)</w:t>
            </w:r>
          </w:p>
          <w:p w:rsidR="00C75946" w:rsidRPr="00E54200" w:rsidRDefault="00C75946" w:rsidP="002915ED">
            <w:pPr>
              <w:jc w:val="both"/>
              <w:rPr>
                <w:rFonts w:eastAsia="Calibri"/>
                <w:sz w:val="20"/>
                <w:lang w:val="fr-CA"/>
              </w:rPr>
            </w:pPr>
            <w:r w:rsidRPr="00E54200">
              <w:rPr>
                <w:rFonts w:eastAsia="Calibri"/>
                <w:sz w:val="20"/>
                <w:lang w:val="fr-CA"/>
              </w:rPr>
              <w:t>(Juges Wilson, Gordon et Lederer)</w:t>
            </w:r>
          </w:p>
          <w:p w:rsidR="00C75946" w:rsidRPr="00E54200" w:rsidRDefault="00C75946" w:rsidP="002915ED">
            <w:pPr>
              <w:jc w:val="both"/>
              <w:rPr>
                <w:rFonts w:eastAsia="Calibri"/>
                <w:sz w:val="20"/>
                <w:lang w:val="fr-CA"/>
              </w:rPr>
            </w:pPr>
            <w:r w:rsidRPr="00E54200">
              <w:rPr>
                <w:rFonts w:eastAsia="Calibri"/>
                <w:sz w:val="20"/>
                <w:lang w:val="fr-CA"/>
              </w:rPr>
              <w:t xml:space="preserve">2011 ONSC 3499 </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Appel de la demanderesse accueilli; intimée enjointe de produire les polices d’assurance.</w:t>
            </w:r>
          </w:p>
          <w:p w:rsidR="00C75946" w:rsidRPr="00E54200" w:rsidRDefault="00C75946" w:rsidP="002915ED">
            <w:pPr>
              <w:jc w:val="both"/>
              <w:rPr>
                <w:rFonts w:eastAsia="Calibri"/>
                <w:sz w:val="20"/>
                <w:lang w:val="fr-CA"/>
              </w:rPr>
            </w:pPr>
          </w:p>
          <w:p w:rsidR="00C75946" w:rsidRPr="00E54200" w:rsidRDefault="00C75946" w:rsidP="002915ED">
            <w:pPr>
              <w:jc w:val="both"/>
              <w:rPr>
                <w:rFonts w:eastAsia="Calibri"/>
                <w:sz w:val="20"/>
                <w:lang w:val="fr-CA"/>
              </w:rPr>
            </w:pPr>
          </w:p>
        </w:tc>
      </w:tr>
      <w:tr w:rsidR="00C75946" w:rsidRPr="00E54200"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12 mars 2012</w:t>
            </w:r>
          </w:p>
          <w:p w:rsidR="00C75946" w:rsidRPr="00E54200" w:rsidRDefault="00C75946" w:rsidP="002915ED">
            <w:pPr>
              <w:jc w:val="both"/>
              <w:rPr>
                <w:rFonts w:eastAsia="Calibri"/>
                <w:sz w:val="20"/>
                <w:lang w:val="fr-CA"/>
              </w:rPr>
            </w:pPr>
            <w:r w:rsidRPr="00E54200">
              <w:rPr>
                <w:rFonts w:eastAsia="Calibri"/>
                <w:sz w:val="20"/>
                <w:lang w:val="fr-CA"/>
              </w:rPr>
              <w:t>Cour d’appel de l’Ontario</w:t>
            </w:r>
          </w:p>
          <w:p w:rsidR="00C75946" w:rsidRPr="00E54200" w:rsidRDefault="00C75946" w:rsidP="002915ED">
            <w:pPr>
              <w:jc w:val="both"/>
              <w:rPr>
                <w:rFonts w:eastAsia="Calibri"/>
                <w:sz w:val="20"/>
                <w:lang w:val="fr-CA"/>
              </w:rPr>
            </w:pPr>
            <w:r w:rsidRPr="00E54200">
              <w:rPr>
                <w:rFonts w:eastAsia="Calibri"/>
                <w:sz w:val="20"/>
                <w:lang w:val="fr-CA"/>
              </w:rPr>
              <w:t>(Juges Winkler, Armstrong et LaForme)</w:t>
            </w:r>
          </w:p>
          <w:p w:rsidR="00C75946" w:rsidRPr="00E54200" w:rsidRDefault="00C75946" w:rsidP="002915ED">
            <w:pPr>
              <w:jc w:val="both"/>
              <w:rPr>
                <w:rFonts w:eastAsia="Calibri"/>
                <w:sz w:val="20"/>
                <w:lang w:val="fr-CA"/>
              </w:rPr>
            </w:pPr>
            <w:r w:rsidRPr="00E54200">
              <w:rPr>
                <w:rFonts w:eastAsia="Calibri"/>
                <w:sz w:val="20"/>
                <w:lang w:val="fr-CA"/>
              </w:rPr>
              <w:t xml:space="preserve">2012 ONCA 153 </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Appel de l’intimée accueilli.</w:t>
            </w:r>
          </w:p>
          <w:p w:rsidR="00C75946" w:rsidRPr="00E54200" w:rsidRDefault="00C75946" w:rsidP="002915ED">
            <w:pPr>
              <w:jc w:val="both"/>
              <w:rPr>
                <w:rFonts w:eastAsia="Calibri"/>
                <w:sz w:val="20"/>
                <w:lang w:val="fr-CA"/>
              </w:rPr>
            </w:pPr>
          </w:p>
          <w:p w:rsidR="00C75946" w:rsidRPr="00E54200" w:rsidRDefault="00C75946" w:rsidP="002915ED">
            <w:pPr>
              <w:jc w:val="both"/>
              <w:rPr>
                <w:rFonts w:eastAsia="Calibri"/>
                <w:sz w:val="20"/>
                <w:lang w:val="fr-CA"/>
              </w:rPr>
            </w:pPr>
          </w:p>
        </w:tc>
      </w:tr>
      <w:tr w:rsidR="00C75946" w:rsidRPr="00E54200" w:rsidTr="002915ED">
        <w:trPr>
          <w:trHeight w:val="20"/>
        </w:trPr>
        <w:tc>
          <w:tcPr>
            <w:tcW w:w="2427" w:type="pct"/>
          </w:tcPr>
          <w:p w:rsidR="00C75946" w:rsidRPr="00E54200" w:rsidRDefault="00C75946" w:rsidP="002915ED">
            <w:pPr>
              <w:jc w:val="both"/>
              <w:rPr>
                <w:rFonts w:eastAsia="Calibri"/>
                <w:sz w:val="20"/>
                <w:lang w:val="fr-CA"/>
              </w:rPr>
            </w:pPr>
            <w:r w:rsidRPr="00E54200">
              <w:rPr>
                <w:rFonts w:eastAsia="Calibri"/>
                <w:sz w:val="20"/>
                <w:lang w:val="fr-CA"/>
              </w:rPr>
              <w:t>14 mai 2012</w:t>
            </w:r>
          </w:p>
          <w:p w:rsidR="00C75946" w:rsidRPr="00E54200" w:rsidRDefault="00C75946" w:rsidP="002915ED">
            <w:pPr>
              <w:jc w:val="both"/>
              <w:rPr>
                <w:rFonts w:eastAsia="Calibri"/>
                <w:sz w:val="20"/>
                <w:lang w:val="fr-CA"/>
              </w:rPr>
            </w:pPr>
            <w:r w:rsidRPr="00E54200">
              <w:rPr>
                <w:rFonts w:eastAsia="Calibri"/>
                <w:sz w:val="20"/>
                <w:lang w:val="fr-CA"/>
              </w:rPr>
              <w:t>Cour suprême du Canada</w:t>
            </w: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 xml:space="preserve">Demande d’autorisation d’appel déposée. </w:t>
            </w:r>
          </w:p>
        </w:tc>
      </w:tr>
    </w:tbl>
    <w:p w:rsidR="0003085F" w:rsidRDefault="0003085F" w:rsidP="008D292F">
      <w:pPr>
        <w:rPr>
          <w:sz w:val="20"/>
          <w:szCs w:val="20"/>
        </w:rPr>
      </w:pPr>
    </w:p>
    <w:p w:rsidR="0003085F" w:rsidRDefault="00BA233E" w:rsidP="008D292F">
      <w:pPr>
        <w:rPr>
          <w:sz w:val="20"/>
          <w:szCs w:val="20"/>
        </w:rPr>
      </w:pPr>
      <w:r w:rsidRPr="00BA233E">
        <w:rPr>
          <w:sz w:val="20"/>
          <w:szCs w:val="20"/>
          <w:lang w:val="fr-CA"/>
        </w:rPr>
        <w:pict>
          <v:rect id="_x0000_i1043" style="width:2in;height:1pt" o:hrpct="0" o:hralign="center" o:hrstd="t" o:hrnoshade="t" o:hr="t" fillcolor="black [3213]" stroked="f"/>
        </w:pict>
      </w:r>
    </w:p>
    <w:p w:rsidR="0003085F" w:rsidRDefault="0003085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4C29" w:rsidRPr="001A2926" w:rsidTr="00CF00E7">
        <w:trPr>
          <w:cantSplit/>
        </w:trPr>
        <w:tc>
          <w:tcPr>
            <w:tcW w:w="1458" w:type="dxa"/>
          </w:tcPr>
          <w:p w:rsidR="00FF4C29" w:rsidRPr="00234C14" w:rsidRDefault="00FF4C29" w:rsidP="00CF00E7">
            <w:pPr>
              <w:rPr>
                <w:sz w:val="20"/>
                <w:szCs w:val="20"/>
              </w:rPr>
            </w:pPr>
            <w:r w:rsidRPr="00234C14">
              <w:rPr>
                <w:rStyle w:val="SCCFileNumberChar"/>
                <w:sz w:val="20"/>
                <w:szCs w:val="20"/>
              </w:rPr>
              <w:t>34860</w:t>
            </w:r>
          </w:p>
          <w:p w:rsidR="00FF4C29" w:rsidRPr="00234C14" w:rsidRDefault="00FF4C29" w:rsidP="00CF00E7">
            <w:pPr>
              <w:rPr>
                <w:b/>
                <w:sz w:val="20"/>
                <w:szCs w:val="20"/>
                <w:lang w:val="fr-CA"/>
              </w:rPr>
            </w:pPr>
          </w:p>
        </w:tc>
        <w:tc>
          <w:tcPr>
            <w:tcW w:w="8118" w:type="dxa"/>
          </w:tcPr>
          <w:p w:rsidR="00FF4C29" w:rsidRPr="00234C14" w:rsidRDefault="00FF4C29" w:rsidP="00CF00E7">
            <w:pPr>
              <w:jc w:val="both"/>
              <w:rPr>
                <w:sz w:val="20"/>
                <w:szCs w:val="20"/>
                <w:lang w:val="fr-CA"/>
              </w:rPr>
            </w:pPr>
            <w:r w:rsidRPr="00234C14">
              <w:rPr>
                <w:rStyle w:val="SCCLsocChar"/>
                <w:sz w:val="20"/>
                <w:szCs w:val="20"/>
              </w:rPr>
              <w:t>Gaston Marcoux c. Terrassement portugais inc</w:t>
            </w:r>
            <w:r>
              <w:rPr>
                <w:rStyle w:val="SCCLsocChar"/>
                <w:szCs w:val="20"/>
              </w:rPr>
              <w:t>.</w:t>
            </w:r>
            <w:r w:rsidRPr="00234C14">
              <w:rPr>
                <w:rStyle w:val="SCCLsocChar"/>
                <w:sz w:val="20"/>
                <w:szCs w:val="20"/>
              </w:rPr>
              <w:t>, Manuel José et La compagnie de parterres portugais ltée (Parterres ltée)</w:t>
            </w:r>
            <w:r w:rsidRPr="00234C14">
              <w:rPr>
                <w:sz w:val="20"/>
                <w:szCs w:val="20"/>
                <w:lang w:val="fr-CA"/>
              </w:rPr>
              <w:t xml:space="preserve"> (Qc) (Civile) (Autorisation)</w:t>
            </w:r>
          </w:p>
          <w:p w:rsidR="00FF4C29" w:rsidRPr="00234C14" w:rsidRDefault="00FF4C29" w:rsidP="00CF00E7">
            <w:pPr>
              <w:rPr>
                <w:sz w:val="20"/>
                <w:szCs w:val="20"/>
                <w:lang w:val="fr-CA"/>
              </w:rPr>
            </w:pPr>
          </w:p>
        </w:tc>
      </w:tr>
      <w:tr w:rsidR="00FF4C29" w:rsidRPr="001A2926" w:rsidTr="00CF00E7">
        <w:trPr>
          <w:cantSplit/>
        </w:trPr>
        <w:tc>
          <w:tcPr>
            <w:tcW w:w="1458" w:type="dxa"/>
          </w:tcPr>
          <w:p w:rsidR="00FF4C29" w:rsidRPr="00234C14" w:rsidRDefault="00FF4C29" w:rsidP="00CF00E7">
            <w:pPr>
              <w:rPr>
                <w:sz w:val="20"/>
                <w:szCs w:val="20"/>
                <w:lang w:val="fr-CA"/>
              </w:rPr>
            </w:pPr>
            <w:r w:rsidRPr="00234C14">
              <w:rPr>
                <w:sz w:val="20"/>
                <w:szCs w:val="20"/>
                <w:lang w:val="fr-CA"/>
              </w:rPr>
              <w:t>Coram :</w:t>
            </w:r>
          </w:p>
        </w:tc>
        <w:tc>
          <w:tcPr>
            <w:tcW w:w="8118" w:type="dxa"/>
          </w:tcPr>
          <w:p w:rsidR="00FF4C29" w:rsidRPr="00234C14" w:rsidRDefault="00FF4C29" w:rsidP="00CF00E7">
            <w:pPr>
              <w:rPr>
                <w:sz w:val="20"/>
                <w:szCs w:val="20"/>
                <w:lang w:val="fr-CA"/>
              </w:rPr>
            </w:pPr>
            <w:r w:rsidRPr="00234C14">
              <w:rPr>
                <w:rStyle w:val="SCCCoramChar"/>
                <w:sz w:val="20"/>
                <w:szCs w:val="20"/>
              </w:rPr>
              <w:t>Les juges Fish, Cromwell et Karakatsanis</w:t>
            </w:r>
          </w:p>
          <w:p w:rsidR="00FF4C29" w:rsidRPr="00234C14" w:rsidRDefault="00FF4C29" w:rsidP="00CF00E7">
            <w:pPr>
              <w:rPr>
                <w:sz w:val="20"/>
                <w:szCs w:val="20"/>
                <w:u w:val="single"/>
                <w:lang w:val="fr-CA"/>
              </w:rPr>
            </w:pPr>
          </w:p>
        </w:tc>
      </w:tr>
      <w:tr w:rsidR="00FF4C29" w:rsidRPr="00234C14" w:rsidTr="00CF00E7">
        <w:trPr>
          <w:cantSplit/>
        </w:trPr>
        <w:tc>
          <w:tcPr>
            <w:tcW w:w="9576" w:type="dxa"/>
            <w:gridSpan w:val="2"/>
          </w:tcPr>
          <w:p w:rsidR="00FF4C29" w:rsidRPr="00234C14" w:rsidRDefault="00FF4C29" w:rsidP="00CF00E7">
            <w:pPr>
              <w:pStyle w:val="SCCShortJudgment"/>
              <w:rPr>
                <w:szCs w:val="20"/>
                <w:lang w:val="fr-CA"/>
              </w:rPr>
            </w:pPr>
            <w:r w:rsidRPr="00234C14">
              <w:rPr>
                <w:szCs w:val="20"/>
                <w:lang w:val="fr-CA"/>
              </w:rPr>
              <w:t>La requête en prorogation du délai de signification et de dépôt de la demande d’autorisation d’appel est accueillie. La demande d’autorisation d’appel de l’arrêt de la Cour d’appel du Québec (Québec), numéro 200-09-007511-113, 2012 QCCA 624, daté du 5 avril 2012, est rejetée avec dépens.</w:t>
            </w:r>
          </w:p>
          <w:p w:rsidR="00FF4C29" w:rsidRPr="00234C14" w:rsidRDefault="00FF4C29" w:rsidP="00CF00E7">
            <w:pPr>
              <w:pStyle w:val="SCCShortJudgment"/>
              <w:ind w:firstLine="0"/>
              <w:rPr>
                <w:szCs w:val="20"/>
                <w:lang w:val="fr-CA"/>
              </w:rPr>
            </w:pPr>
          </w:p>
          <w:p w:rsidR="00FF4C29" w:rsidRPr="00234C14" w:rsidRDefault="00FF4C29" w:rsidP="00CF00E7">
            <w:pPr>
              <w:pStyle w:val="SCCShortJudgment"/>
              <w:rPr>
                <w:szCs w:val="20"/>
              </w:rPr>
            </w:pPr>
            <w:r w:rsidRPr="00234C14">
              <w:rPr>
                <w:szCs w:val="20"/>
              </w:rPr>
              <w:t>The motion for an extension of time to serve and file the application for leave to appeal is granted. The application for leave to appeal from the judgment of the Court of Appeal of Quebec (Québec), Number 200-09-007511-113, 2012 QCCA 624, dated April 5, 2012, is dismissed with costs.</w:t>
            </w:r>
          </w:p>
        </w:tc>
      </w:tr>
    </w:tbl>
    <w:p w:rsidR="0003085F" w:rsidRDefault="0003085F" w:rsidP="0003085F">
      <w:pPr>
        <w:rPr>
          <w:sz w:val="20"/>
          <w:szCs w:val="20"/>
        </w:rPr>
      </w:pPr>
    </w:p>
    <w:p w:rsidR="0003085F" w:rsidRPr="001B157C" w:rsidRDefault="0003085F" w:rsidP="0003085F">
      <w:pPr>
        <w:rPr>
          <w:sz w:val="20"/>
          <w:szCs w:val="20"/>
          <w:u w:val="single"/>
        </w:rPr>
      </w:pPr>
      <w:r w:rsidRPr="001B157C">
        <w:rPr>
          <w:sz w:val="20"/>
          <w:szCs w:val="20"/>
          <w:u w:val="single"/>
        </w:rPr>
        <w:t>CASE SUMMARY</w:t>
      </w:r>
    </w:p>
    <w:p w:rsidR="0003085F" w:rsidRDefault="0003085F" w:rsidP="0003085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t xml:space="preserve">Civil procedure — Prescription — Claim for unpaid wages — Whether Court of Appeal erred in finding that the action was prescribed — </w:t>
            </w:r>
            <w:r w:rsidRPr="00E54200">
              <w:rPr>
                <w:rFonts w:eastAsia="Calibri"/>
                <w:i/>
                <w:sz w:val="20"/>
              </w:rPr>
              <w:t>Act respecting labour standards</w:t>
            </w:r>
            <w:r w:rsidRPr="00E54200">
              <w:rPr>
                <w:rFonts w:eastAsia="Calibri"/>
                <w:sz w:val="20"/>
              </w:rPr>
              <w:t>, R.S.Q., c. N</w:t>
            </w:r>
            <w:r w:rsidRPr="00E54200">
              <w:rPr>
                <w:rFonts w:eastAsia="Calibri"/>
                <w:sz w:val="20"/>
              </w:rPr>
              <w:noBreakHyphen/>
              <w:t xml:space="preserve">1.1, ss. 55, 115 and 116; </w:t>
            </w:r>
            <w:r w:rsidRPr="00E54200">
              <w:rPr>
                <w:rFonts w:eastAsia="Calibri"/>
                <w:i/>
                <w:sz w:val="20"/>
              </w:rPr>
              <w:t>Civil Code of Québec</w:t>
            </w:r>
            <w:r w:rsidRPr="00E54200">
              <w:rPr>
                <w:rFonts w:eastAsia="Calibri"/>
                <w:sz w:val="20"/>
              </w:rPr>
              <w:t xml:space="preserve">, </w:t>
            </w:r>
            <w:r w:rsidRPr="00E54200">
              <w:rPr>
                <w:rFonts w:eastAsia="Calibri"/>
                <w:sz w:val="20"/>
              </w:rPr>
              <w:lastRenderedPageBreak/>
              <w:t>S.Q. 1991, c. 64, arts. 2085 and 2925.</w:t>
            </w:r>
          </w:p>
        </w:tc>
      </w:tr>
      <w:tr w:rsidR="00C75946" w:rsidRPr="00E54200" w:rsidTr="002915ED">
        <w:tc>
          <w:tcPr>
            <w:tcW w:w="5000" w:type="pct"/>
            <w:gridSpan w:val="3"/>
          </w:tcPr>
          <w:p w:rsidR="00C75946" w:rsidRPr="00E54200" w:rsidRDefault="00C75946" w:rsidP="002915ED">
            <w:pPr>
              <w:jc w:val="both"/>
              <w:rPr>
                <w:rFonts w:eastAsia="Calibri"/>
                <w:sz w:val="20"/>
              </w:rPr>
            </w:pPr>
          </w:p>
        </w:tc>
      </w:tr>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t xml:space="preserve">The applicant, Mr. Marcoux, was employed by the respondent Parterres ltée as a seasonal worker until July 4, 2007.  On September 24, 2007, he filed a claim for unpaid wages with the Commission des normes du travail du Québec (C.N.T.).  At the end of its inquiry, the C.N.T. ordered the employer to pay Mr. Marcoux $4,570.47.  The employer did so.  Mr. Marcoux cashed the cheque and then applied twice to have the C.N.T.’s decision reviewed, without success.  In July 2010, Mr. Marcoux instituted proceedings in the Court of Québec, claiming $3,505.00 from the three respondents jointly and severally.  He argued that this amount represented vacation pay and the difference between his wages at the regular rate and at time and a half for 2007.  </w:t>
            </w:r>
          </w:p>
          <w:p w:rsidR="00C75946" w:rsidRPr="00E54200" w:rsidRDefault="00C75946" w:rsidP="002915ED">
            <w:pPr>
              <w:jc w:val="both"/>
              <w:rPr>
                <w:rFonts w:eastAsia="Calibri"/>
                <w:sz w:val="20"/>
              </w:rPr>
            </w:pPr>
          </w:p>
          <w:p w:rsidR="00C75946" w:rsidRPr="00E54200" w:rsidRDefault="00C75946" w:rsidP="002915ED">
            <w:pPr>
              <w:jc w:val="both"/>
              <w:rPr>
                <w:rFonts w:eastAsia="Calibri"/>
                <w:sz w:val="20"/>
              </w:rPr>
            </w:pPr>
            <w:r w:rsidRPr="00E54200">
              <w:rPr>
                <w:rFonts w:eastAsia="Calibri"/>
                <w:sz w:val="20"/>
              </w:rPr>
              <w:t xml:space="preserve">The Court of Québec dismissed the action on the basis that the action was prescribed and that, in any event, the parties had entered into a transaction settling the matter.  The Superior Court dismissed the application for judicial review.  The Court of Appeal dismissed the appeal.  It noted that Mr. Marcoux’s right of action was based on s. 55 of the </w:t>
            </w:r>
            <w:r w:rsidRPr="00E54200">
              <w:rPr>
                <w:rFonts w:eastAsia="Calibri"/>
                <w:i/>
                <w:sz w:val="20"/>
              </w:rPr>
              <w:t>Act respecting labour standards</w:t>
            </w:r>
            <w:r w:rsidRPr="00E54200">
              <w:rPr>
                <w:rFonts w:eastAsia="Calibri"/>
                <w:sz w:val="20"/>
              </w:rPr>
              <w:t xml:space="preserve">.  However, s. 115 of the Act set a prescription period of one year for any civil action brought under the Act.  In the present case, the court found that even though Mr. Marcoux’s complaint had suspended prescription for six months (pursuant to s. 116 of the Act), prescription started running again no later than at the end of April 2008, more than two years before Mr. Marcoux instituted his action.  In short, Mr. Marcoux’s action was prescribed. </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October 4, 2010</w:t>
            </w:r>
          </w:p>
          <w:p w:rsidR="00C75946" w:rsidRPr="00E54200" w:rsidRDefault="00C75946" w:rsidP="002915ED">
            <w:pPr>
              <w:jc w:val="both"/>
              <w:rPr>
                <w:rFonts w:eastAsia="Calibri"/>
                <w:sz w:val="20"/>
              </w:rPr>
            </w:pPr>
            <w:r w:rsidRPr="00E54200">
              <w:rPr>
                <w:rFonts w:eastAsia="Calibri"/>
                <w:sz w:val="20"/>
              </w:rPr>
              <w:t>Court of Québec</w:t>
            </w:r>
          </w:p>
          <w:p w:rsidR="00C75946" w:rsidRPr="00E54200" w:rsidRDefault="00C75946" w:rsidP="002915ED">
            <w:pPr>
              <w:jc w:val="both"/>
              <w:rPr>
                <w:rFonts w:eastAsia="Calibri"/>
                <w:sz w:val="20"/>
              </w:rPr>
            </w:pPr>
            <w:r w:rsidRPr="00E54200">
              <w:rPr>
                <w:rFonts w:eastAsia="Calibri"/>
                <w:sz w:val="20"/>
              </w:rPr>
              <w:t>(Judge Coderre)</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Action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July 12, 2011</w:t>
            </w:r>
          </w:p>
          <w:p w:rsidR="00C75946" w:rsidRPr="00E54200" w:rsidRDefault="00C75946" w:rsidP="002915ED">
            <w:pPr>
              <w:jc w:val="both"/>
              <w:rPr>
                <w:rFonts w:eastAsia="Calibri"/>
                <w:sz w:val="20"/>
              </w:rPr>
            </w:pPr>
            <w:r w:rsidRPr="00E54200">
              <w:rPr>
                <w:rFonts w:eastAsia="Calibri"/>
                <w:sz w:val="20"/>
              </w:rPr>
              <w:t>Quebec Superior Court</w:t>
            </w:r>
          </w:p>
          <w:p w:rsidR="00C75946" w:rsidRPr="00E54200" w:rsidRDefault="00C75946" w:rsidP="002915ED">
            <w:pPr>
              <w:jc w:val="both"/>
              <w:rPr>
                <w:rFonts w:eastAsia="Calibri"/>
                <w:sz w:val="20"/>
              </w:rPr>
            </w:pPr>
            <w:r w:rsidRPr="00E54200">
              <w:rPr>
                <w:rFonts w:eastAsia="Calibri"/>
                <w:sz w:val="20"/>
              </w:rPr>
              <w:t>(Barakett J.)</w:t>
            </w:r>
          </w:p>
          <w:p w:rsidR="00C75946" w:rsidRPr="00E54200" w:rsidRDefault="00C75946" w:rsidP="002915ED">
            <w:pPr>
              <w:jc w:val="both"/>
              <w:rPr>
                <w:rFonts w:eastAsia="Calibri"/>
                <w:sz w:val="20"/>
              </w:rPr>
            </w:pPr>
            <w:r w:rsidRPr="00E54200">
              <w:rPr>
                <w:rFonts w:eastAsia="Calibri"/>
                <w:sz w:val="20"/>
              </w:rPr>
              <w:t>2011 QCCS 3799</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Motion for judicial review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April 5, 2012</w:t>
            </w:r>
          </w:p>
          <w:p w:rsidR="00C75946" w:rsidRPr="00E54200" w:rsidRDefault="00C75946" w:rsidP="002915ED">
            <w:pPr>
              <w:jc w:val="both"/>
              <w:rPr>
                <w:rFonts w:eastAsia="Calibri"/>
                <w:sz w:val="20"/>
              </w:rPr>
            </w:pPr>
            <w:r w:rsidRPr="00E54200">
              <w:rPr>
                <w:rFonts w:eastAsia="Calibri"/>
                <w:sz w:val="20"/>
              </w:rPr>
              <w:t>Quebec Court of Appeal (Québec)</w:t>
            </w:r>
          </w:p>
          <w:p w:rsidR="00C75946" w:rsidRPr="00E54200" w:rsidRDefault="00C75946" w:rsidP="002915ED">
            <w:pPr>
              <w:jc w:val="both"/>
              <w:rPr>
                <w:rFonts w:eastAsia="Calibri"/>
                <w:sz w:val="20"/>
              </w:rPr>
            </w:pPr>
            <w:r w:rsidRPr="00E54200">
              <w:rPr>
                <w:rFonts w:eastAsia="Calibri"/>
                <w:sz w:val="20"/>
              </w:rPr>
              <w:t>(Morin, Vézina and Fournier JJ.A.)</w:t>
            </w:r>
          </w:p>
          <w:p w:rsidR="00C75946" w:rsidRPr="00E54200" w:rsidRDefault="00C75946" w:rsidP="002915ED">
            <w:pPr>
              <w:jc w:val="both"/>
              <w:rPr>
                <w:rFonts w:eastAsia="Calibri"/>
                <w:sz w:val="20"/>
              </w:rPr>
            </w:pPr>
            <w:r w:rsidRPr="00E54200">
              <w:rPr>
                <w:rFonts w:eastAsia="Calibri"/>
                <w:sz w:val="20"/>
              </w:rPr>
              <w:t>2012 QCCA 624; 200-09-007511-113</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Appeal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June 5, 2012</w:t>
            </w:r>
          </w:p>
          <w:p w:rsidR="00C75946" w:rsidRPr="00E54200" w:rsidRDefault="00C75946" w:rsidP="002915ED">
            <w:pPr>
              <w:jc w:val="both"/>
              <w:rPr>
                <w:rFonts w:eastAsia="Calibri"/>
                <w:sz w:val="20"/>
              </w:rPr>
            </w:pPr>
            <w:r w:rsidRPr="00E54200">
              <w:rPr>
                <w:rFonts w:eastAsia="Calibri"/>
                <w:sz w:val="20"/>
              </w:rPr>
              <w:t>Supreme Court of Canada</w:t>
            </w: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Application for leave to appeal filed</w:t>
            </w:r>
          </w:p>
          <w:p w:rsidR="00C75946" w:rsidRPr="00E54200" w:rsidRDefault="00C75946" w:rsidP="002915ED">
            <w:pPr>
              <w:jc w:val="both"/>
              <w:rPr>
                <w:rFonts w:eastAsia="Calibri"/>
                <w:sz w:val="20"/>
              </w:rPr>
            </w:pPr>
          </w:p>
        </w:tc>
      </w:tr>
    </w:tbl>
    <w:p w:rsidR="0003085F" w:rsidRDefault="0003085F" w:rsidP="0003085F">
      <w:pPr>
        <w:rPr>
          <w:sz w:val="20"/>
          <w:szCs w:val="20"/>
        </w:rPr>
      </w:pPr>
    </w:p>
    <w:p w:rsidR="0003085F" w:rsidRDefault="00BA233E" w:rsidP="0003085F">
      <w:pPr>
        <w:rPr>
          <w:sz w:val="20"/>
          <w:szCs w:val="20"/>
        </w:rPr>
      </w:pPr>
      <w:r w:rsidRPr="00BA233E">
        <w:rPr>
          <w:sz w:val="20"/>
          <w:szCs w:val="20"/>
          <w:lang w:val="fr-CA"/>
        </w:rPr>
        <w:pict>
          <v:rect id="_x0000_i1044" style="width:2in;height:1pt" o:hrpct="0" o:hralign="center" o:hrstd="t" o:hrnoshade="t" o:hr="t" fillcolor="black [3213]" stroked="f"/>
        </w:pict>
      </w:r>
    </w:p>
    <w:p w:rsidR="0003085F" w:rsidRDefault="0003085F" w:rsidP="0003085F">
      <w:pPr>
        <w:rPr>
          <w:sz w:val="20"/>
          <w:szCs w:val="20"/>
        </w:rPr>
      </w:pPr>
    </w:p>
    <w:p w:rsidR="0003085F" w:rsidRPr="001B157C" w:rsidRDefault="0003085F" w:rsidP="0003085F">
      <w:pPr>
        <w:rPr>
          <w:sz w:val="20"/>
          <w:szCs w:val="20"/>
          <w:u w:val="single"/>
          <w:lang w:val="fr-CA"/>
        </w:rPr>
      </w:pPr>
      <w:r w:rsidRPr="001B157C">
        <w:rPr>
          <w:sz w:val="20"/>
          <w:szCs w:val="20"/>
          <w:u w:val="single"/>
          <w:lang w:val="fr-CA"/>
        </w:rPr>
        <w:t>RÉSUMÉ DE L’AFFAIRE</w:t>
      </w:r>
    </w:p>
    <w:p w:rsidR="0003085F" w:rsidRDefault="0003085F" w:rsidP="0003085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5946" w:rsidRPr="001A2926"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Procédure civile — Prescription — Réclamation pour salaire impayé — La Cour d’appel a</w:t>
            </w:r>
            <w:r w:rsidRPr="00E54200">
              <w:rPr>
                <w:rFonts w:eastAsia="Calibri"/>
                <w:sz w:val="20"/>
                <w:lang w:val="fr-CA"/>
              </w:rPr>
              <w:noBreakHyphen/>
              <w:t>t</w:t>
            </w:r>
            <w:r w:rsidRPr="00E54200">
              <w:rPr>
                <w:rFonts w:eastAsia="Calibri"/>
                <w:sz w:val="20"/>
                <w:lang w:val="fr-CA"/>
              </w:rPr>
              <w:noBreakHyphen/>
              <w:t xml:space="preserve">elle eu tort de conclure que le recours était prescrit? — </w:t>
            </w:r>
            <w:r w:rsidRPr="00E54200">
              <w:rPr>
                <w:rFonts w:eastAsia="Calibri"/>
                <w:i/>
                <w:sz w:val="20"/>
                <w:lang w:val="fr-CA"/>
              </w:rPr>
              <w:t>Loi sur les normes du travail</w:t>
            </w:r>
            <w:r w:rsidRPr="00E54200">
              <w:rPr>
                <w:rFonts w:eastAsia="Calibri"/>
                <w:sz w:val="20"/>
                <w:lang w:val="fr-CA"/>
              </w:rPr>
              <w:t>, L.R.Q., ch. N</w:t>
            </w:r>
            <w:r w:rsidRPr="00E54200">
              <w:rPr>
                <w:rFonts w:eastAsia="Calibri"/>
                <w:sz w:val="20"/>
                <w:lang w:val="fr-CA"/>
              </w:rPr>
              <w:noBreakHyphen/>
              <w:t xml:space="preserve">1.1, art. 55, 115 et 116; </w:t>
            </w:r>
            <w:r w:rsidRPr="00E54200">
              <w:rPr>
                <w:rFonts w:eastAsia="Calibri"/>
                <w:i/>
                <w:sz w:val="20"/>
                <w:lang w:val="fr-CA"/>
              </w:rPr>
              <w:t>Code civil du Québec</w:t>
            </w:r>
            <w:r w:rsidRPr="00E54200">
              <w:rPr>
                <w:rFonts w:eastAsia="Calibri"/>
                <w:sz w:val="20"/>
                <w:lang w:val="fr-CA"/>
              </w:rPr>
              <w:t>, L.Q. 1991, ch. 64, art. 2085 et 2925.</w:t>
            </w:r>
          </w:p>
        </w:tc>
      </w:tr>
      <w:tr w:rsidR="00C75946" w:rsidRPr="001A2926" w:rsidTr="002915ED">
        <w:tc>
          <w:tcPr>
            <w:tcW w:w="5000" w:type="pct"/>
            <w:gridSpan w:val="3"/>
          </w:tcPr>
          <w:p w:rsidR="00C75946" w:rsidRPr="00E54200" w:rsidRDefault="00C75946" w:rsidP="002915ED">
            <w:pPr>
              <w:jc w:val="both"/>
              <w:rPr>
                <w:rFonts w:eastAsia="Calibri"/>
                <w:sz w:val="20"/>
                <w:lang w:val="fr-CA"/>
              </w:rPr>
            </w:pPr>
          </w:p>
        </w:tc>
      </w:tr>
      <w:tr w:rsidR="00C75946" w:rsidRPr="00E54200"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 xml:space="preserve">Le demandeur, M. Marcoux, a été à l’emploi de l’intimée Parterres ltée en tant que travailleur saisonnier jusqu’au 4 juillet 2007.  Le 24 septembre 2007, il dépose auprès de la Commission des normes du travail du Québec (C.N.T.) une réclamation pour salaire impayé.  Après enquête, la C.N.T. ordonne à l’employeur de payer à M. Marcoux une somme de 4 570,47 $.  L’employeur s’exécute.  M. Marcoux encaisse le chèque, puis demande la révision de la décision de la C.N.T. à deux reprises, en vain.  En juillet 2010, M. Marcoux s’adresse à la Cour du Québec pour réclamer une somme de 3 505,00 $ des trois intimées, sur une base conjointe et solidaire.  Il soutient que cette somme représente </w:t>
            </w:r>
            <w:r w:rsidRPr="00E54200">
              <w:rPr>
                <w:rFonts w:eastAsia="Calibri"/>
                <w:sz w:val="20"/>
                <w:lang w:val="fr-CA"/>
              </w:rPr>
              <w:lastRenderedPageBreak/>
              <w:t>une paie de vacances ainsi que la différence entre son salaire à taux régulier et à taux et demi pour 2007.</w:t>
            </w:r>
          </w:p>
          <w:p w:rsidR="00C75946" w:rsidRPr="00E54200" w:rsidRDefault="00C75946" w:rsidP="002915ED">
            <w:pPr>
              <w:jc w:val="both"/>
              <w:rPr>
                <w:rFonts w:eastAsia="Calibri"/>
                <w:sz w:val="20"/>
                <w:lang w:val="fr-CA"/>
              </w:rPr>
            </w:pPr>
          </w:p>
          <w:p w:rsidR="00C75946" w:rsidRPr="00E54200" w:rsidRDefault="00C75946" w:rsidP="002915ED">
            <w:pPr>
              <w:jc w:val="both"/>
              <w:rPr>
                <w:rFonts w:eastAsia="Calibri"/>
                <w:sz w:val="20"/>
                <w:lang w:val="fr-CA"/>
              </w:rPr>
            </w:pPr>
            <w:r w:rsidRPr="00E54200">
              <w:rPr>
                <w:rFonts w:eastAsia="Calibri"/>
                <w:sz w:val="20"/>
                <w:lang w:val="fr-CA"/>
              </w:rPr>
              <w:t xml:space="preserve">La Cour du Québec rejette l’action, au motif que l’action est prescrite et qu’à tout événement il y a eu transaction entre les parties.  La Cour supérieure rejette la demande de révision judiciaire.  La Cour d’appel rejette l’appel.  Elle note que le droit d’action de M. Marcoux tire sa source de l’art. 55 de la </w:t>
            </w:r>
            <w:r w:rsidRPr="00E54200">
              <w:rPr>
                <w:rFonts w:eastAsia="Calibri"/>
                <w:i/>
                <w:sz w:val="20"/>
                <w:lang w:val="fr-CA"/>
              </w:rPr>
              <w:t>Loi sur les normes du travail</w:t>
            </w:r>
            <w:r w:rsidRPr="00E54200">
              <w:rPr>
                <w:rFonts w:eastAsia="Calibri"/>
                <w:sz w:val="20"/>
                <w:lang w:val="fr-CA"/>
              </w:rPr>
              <w:t>.  Or, l’art. 115 de cette loi prévoit un délai de prescription d’un an pour toute action civile intentée en vertu de celle</w:t>
            </w:r>
            <w:r w:rsidRPr="00E54200">
              <w:rPr>
                <w:rFonts w:eastAsia="Calibri"/>
                <w:sz w:val="20"/>
                <w:lang w:val="fr-CA"/>
              </w:rPr>
              <w:noBreakHyphen/>
              <w:t>ci.  En l’espèce, la cour constate que même si le fait de la plainte de M. Marcoux a pu interrompre la prescription durant six mois (en application de l’art. 116 de la loi), il n’en demeure pas moins qu’elle recommençait à courir au plus tard à la fin d’avril 2008, soit plus de deux ans avant que M. Marcoux n’intente son action.  Bref, le recours de M. Marcoux est prescrit.</w:t>
            </w:r>
          </w:p>
          <w:p w:rsidR="00C75946" w:rsidRPr="00E54200" w:rsidRDefault="00C75946" w:rsidP="002915ED">
            <w:pPr>
              <w:jc w:val="both"/>
              <w:rPr>
                <w:rFonts w:eastAsia="Calibri"/>
                <w:sz w:val="20"/>
                <w:lang w:val="fr-CA"/>
              </w:rPr>
            </w:pPr>
          </w:p>
        </w:tc>
      </w:tr>
      <w:tr w:rsidR="00C75946" w:rsidRPr="00E54200"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lastRenderedPageBreak/>
              <w:t>Le 4 octobre 2010</w:t>
            </w:r>
          </w:p>
          <w:p w:rsidR="00C75946" w:rsidRPr="00E54200" w:rsidRDefault="00C75946" w:rsidP="002915ED">
            <w:pPr>
              <w:jc w:val="both"/>
              <w:rPr>
                <w:rFonts w:eastAsia="Calibri"/>
                <w:sz w:val="20"/>
                <w:lang w:val="fr-CA"/>
              </w:rPr>
            </w:pPr>
            <w:r w:rsidRPr="00E54200">
              <w:rPr>
                <w:rFonts w:eastAsia="Calibri"/>
                <w:sz w:val="20"/>
                <w:lang w:val="fr-CA"/>
              </w:rPr>
              <w:t>Cour du Québec</w:t>
            </w:r>
          </w:p>
          <w:p w:rsidR="00C75946" w:rsidRPr="00E54200" w:rsidRDefault="00C75946" w:rsidP="002915ED">
            <w:pPr>
              <w:jc w:val="both"/>
              <w:rPr>
                <w:rFonts w:eastAsia="Calibri"/>
                <w:sz w:val="20"/>
                <w:lang w:val="fr-CA"/>
              </w:rPr>
            </w:pPr>
            <w:r w:rsidRPr="00E54200">
              <w:rPr>
                <w:rFonts w:eastAsia="Calibri"/>
                <w:sz w:val="20"/>
                <w:lang w:val="fr-CA"/>
              </w:rPr>
              <w:t>(Le juge Coderre)</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Action rejetée</w:t>
            </w:r>
          </w:p>
          <w:p w:rsidR="00C75946" w:rsidRPr="00E54200" w:rsidRDefault="00C75946" w:rsidP="002915ED">
            <w:pPr>
              <w:jc w:val="both"/>
              <w:rPr>
                <w:rFonts w:eastAsia="Calibri"/>
                <w:sz w:val="20"/>
                <w:lang w:val="fr-CA"/>
              </w:rPr>
            </w:pPr>
          </w:p>
        </w:tc>
      </w:tr>
      <w:tr w:rsidR="00C75946" w:rsidRPr="00E54200"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Le 12 juillet 2011</w:t>
            </w:r>
          </w:p>
          <w:p w:rsidR="00C75946" w:rsidRPr="00E54200" w:rsidRDefault="00C75946" w:rsidP="002915ED">
            <w:pPr>
              <w:jc w:val="both"/>
              <w:rPr>
                <w:rFonts w:eastAsia="Calibri"/>
                <w:sz w:val="20"/>
                <w:lang w:val="fr-CA"/>
              </w:rPr>
            </w:pPr>
            <w:r w:rsidRPr="00E54200">
              <w:rPr>
                <w:rFonts w:eastAsia="Calibri"/>
                <w:sz w:val="20"/>
                <w:lang w:val="fr-CA"/>
              </w:rPr>
              <w:t>Cour supérieure du Québec</w:t>
            </w:r>
          </w:p>
          <w:p w:rsidR="00C75946" w:rsidRPr="00E54200" w:rsidRDefault="00C75946" w:rsidP="002915ED">
            <w:pPr>
              <w:jc w:val="both"/>
              <w:rPr>
                <w:rFonts w:eastAsia="Calibri"/>
                <w:sz w:val="20"/>
                <w:lang w:val="fr-CA"/>
              </w:rPr>
            </w:pPr>
            <w:r w:rsidRPr="00E54200">
              <w:rPr>
                <w:rFonts w:eastAsia="Calibri"/>
                <w:sz w:val="20"/>
                <w:lang w:val="fr-CA"/>
              </w:rPr>
              <w:t>(Le juge Barakett)</w:t>
            </w:r>
          </w:p>
          <w:p w:rsidR="00C75946" w:rsidRPr="00E54200" w:rsidRDefault="00C75946" w:rsidP="002915ED">
            <w:pPr>
              <w:jc w:val="both"/>
              <w:rPr>
                <w:rFonts w:eastAsia="Calibri"/>
                <w:sz w:val="20"/>
                <w:lang w:val="fr-CA"/>
              </w:rPr>
            </w:pPr>
            <w:r w:rsidRPr="00E54200">
              <w:rPr>
                <w:rFonts w:eastAsia="Calibri"/>
                <w:sz w:val="20"/>
                <w:lang w:val="fr-CA"/>
              </w:rPr>
              <w:t>2011 QCCS 3799</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Requête en révision judiciaire rejetée</w:t>
            </w:r>
          </w:p>
          <w:p w:rsidR="00C75946" w:rsidRPr="00E54200" w:rsidRDefault="00C75946" w:rsidP="002915ED">
            <w:pPr>
              <w:jc w:val="both"/>
              <w:rPr>
                <w:rFonts w:eastAsia="Calibri"/>
                <w:sz w:val="20"/>
                <w:lang w:val="fr-CA"/>
              </w:rPr>
            </w:pPr>
          </w:p>
        </w:tc>
      </w:tr>
      <w:tr w:rsidR="00C75946" w:rsidRPr="00E54200"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Le 5 avril 2012</w:t>
            </w:r>
          </w:p>
          <w:p w:rsidR="00C75946" w:rsidRPr="00E54200" w:rsidRDefault="00C75946" w:rsidP="002915ED">
            <w:pPr>
              <w:jc w:val="both"/>
              <w:rPr>
                <w:rFonts w:eastAsia="Calibri"/>
                <w:sz w:val="20"/>
                <w:lang w:val="fr-CA"/>
              </w:rPr>
            </w:pPr>
            <w:r w:rsidRPr="00E54200">
              <w:rPr>
                <w:rFonts w:eastAsia="Calibri"/>
                <w:sz w:val="20"/>
                <w:lang w:val="fr-CA"/>
              </w:rPr>
              <w:t>Cour d’appel du Québec (Québec)</w:t>
            </w:r>
          </w:p>
          <w:p w:rsidR="00C75946" w:rsidRPr="00E54200" w:rsidRDefault="00C75946" w:rsidP="002915ED">
            <w:pPr>
              <w:jc w:val="both"/>
              <w:rPr>
                <w:rFonts w:eastAsia="Calibri"/>
                <w:sz w:val="20"/>
                <w:lang w:val="fr-CA"/>
              </w:rPr>
            </w:pPr>
            <w:r w:rsidRPr="00E54200">
              <w:rPr>
                <w:rFonts w:eastAsia="Calibri"/>
                <w:sz w:val="20"/>
                <w:lang w:val="fr-CA"/>
              </w:rPr>
              <w:t>(Les juges Morin, Vézina et Fournier)</w:t>
            </w:r>
          </w:p>
          <w:p w:rsidR="00C75946" w:rsidRPr="00E54200" w:rsidRDefault="00C75946" w:rsidP="002915ED">
            <w:pPr>
              <w:jc w:val="both"/>
              <w:rPr>
                <w:rFonts w:eastAsia="Calibri"/>
                <w:sz w:val="20"/>
                <w:lang w:val="fr-CA"/>
              </w:rPr>
            </w:pPr>
            <w:r w:rsidRPr="00E54200">
              <w:rPr>
                <w:rFonts w:eastAsia="Calibri"/>
                <w:sz w:val="20"/>
                <w:lang w:val="fr-CA"/>
              </w:rPr>
              <w:t>2012 QCCA 624; 200</w:t>
            </w:r>
            <w:r w:rsidRPr="00E54200">
              <w:rPr>
                <w:rFonts w:eastAsia="Calibri"/>
                <w:sz w:val="20"/>
                <w:lang w:val="fr-CA"/>
              </w:rPr>
              <w:noBreakHyphen/>
              <w:t>09</w:t>
            </w:r>
            <w:r w:rsidRPr="00E54200">
              <w:rPr>
                <w:rFonts w:eastAsia="Calibri"/>
                <w:sz w:val="20"/>
                <w:lang w:val="fr-CA"/>
              </w:rPr>
              <w:noBreakHyphen/>
              <w:t>007511</w:t>
            </w:r>
            <w:r w:rsidRPr="00E54200">
              <w:rPr>
                <w:rFonts w:eastAsia="Calibri"/>
                <w:sz w:val="20"/>
                <w:lang w:val="fr-CA"/>
              </w:rPr>
              <w:noBreakHyphen/>
              <w:t>113</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Appel rejeté</w:t>
            </w:r>
          </w:p>
          <w:p w:rsidR="00C75946" w:rsidRPr="00E54200" w:rsidRDefault="00C75946" w:rsidP="002915ED">
            <w:pPr>
              <w:jc w:val="both"/>
              <w:rPr>
                <w:rFonts w:eastAsia="Calibri"/>
                <w:sz w:val="20"/>
                <w:lang w:val="fr-CA"/>
              </w:rPr>
            </w:pPr>
          </w:p>
        </w:tc>
      </w:tr>
      <w:tr w:rsidR="00C75946" w:rsidRPr="00E54200"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Le 5 juin 2012</w:t>
            </w:r>
          </w:p>
          <w:p w:rsidR="00C75946" w:rsidRPr="00E54200" w:rsidRDefault="00C75946" w:rsidP="002915ED">
            <w:pPr>
              <w:jc w:val="both"/>
              <w:rPr>
                <w:rFonts w:eastAsia="Calibri"/>
                <w:sz w:val="20"/>
                <w:lang w:val="fr-CA"/>
              </w:rPr>
            </w:pPr>
            <w:r w:rsidRPr="00E54200">
              <w:rPr>
                <w:rFonts w:eastAsia="Calibri"/>
                <w:sz w:val="20"/>
                <w:lang w:val="fr-CA"/>
              </w:rPr>
              <w:t>Cour suprême du Canada</w:t>
            </w: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Demande d'autorisation d'appel déposée</w:t>
            </w:r>
          </w:p>
          <w:p w:rsidR="00C75946" w:rsidRPr="00E54200" w:rsidRDefault="00C75946" w:rsidP="002915ED">
            <w:pPr>
              <w:jc w:val="both"/>
              <w:rPr>
                <w:rFonts w:eastAsia="Calibri"/>
                <w:sz w:val="20"/>
                <w:lang w:val="fr-CA"/>
              </w:rPr>
            </w:pPr>
          </w:p>
        </w:tc>
      </w:tr>
    </w:tbl>
    <w:p w:rsidR="0003085F" w:rsidRDefault="0003085F" w:rsidP="0003085F">
      <w:pPr>
        <w:rPr>
          <w:sz w:val="20"/>
          <w:szCs w:val="20"/>
        </w:rPr>
      </w:pPr>
    </w:p>
    <w:p w:rsidR="0003085F" w:rsidRDefault="00BA233E" w:rsidP="0003085F">
      <w:pPr>
        <w:rPr>
          <w:sz w:val="20"/>
          <w:szCs w:val="20"/>
        </w:rPr>
      </w:pPr>
      <w:r w:rsidRPr="00BA233E">
        <w:rPr>
          <w:sz w:val="20"/>
          <w:szCs w:val="20"/>
          <w:lang w:val="fr-CA"/>
        </w:rPr>
        <w:pict>
          <v:rect id="_x0000_i1045" style="width:2in;height:1pt" o:hrpct="0" o:hralign="center" o:hrstd="t" o:hrnoshade="t" o:hr="t" fillcolor="black [3213]" stroked="f"/>
        </w:pict>
      </w:r>
    </w:p>
    <w:p w:rsidR="0003085F" w:rsidRDefault="0003085F" w:rsidP="0003085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4C29" w:rsidRPr="001A2926" w:rsidTr="00CF00E7">
        <w:trPr>
          <w:cantSplit/>
        </w:trPr>
        <w:tc>
          <w:tcPr>
            <w:tcW w:w="1458" w:type="dxa"/>
          </w:tcPr>
          <w:p w:rsidR="00FF4C29" w:rsidRPr="00234C14" w:rsidRDefault="00FF4C29" w:rsidP="00CF00E7">
            <w:pPr>
              <w:rPr>
                <w:sz w:val="20"/>
                <w:szCs w:val="20"/>
              </w:rPr>
            </w:pPr>
            <w:r w:rsidRPr="00234C14">
              <w:rPr>
                <w:rStyle w:val="SCCFileNumberChar"/>
                <w:sz w:val="20"/>
                <w:szCs w:val="20"/>
              </w:rPr>
              <w:t>34868</w:t>
            </w:r>
          </w:p>
          <w:p w:rsidR="00FF4C29" w:rsidRPr="00234C14" w:rsidRDefault="00FF4C29" w:rsidP="00CF00E7">
            <w:pPr>
              <w:rPr>
                <w:b/>
                <w:sz w:val="20"/>
                <w:szCs w:val="20"/>
                <w:lang w:val="fr-CA"/>
              </w:rPr>
            </w:pPr>
          </w:p>
        </w:tc>
        <w:tc>
          <w:tcPr>
            <w:tcW w:w="8118" w:type="dxa"/>
          </w:tcPr>
          <w:p w:rsidR="00FF4C29" w:rsidRPr="00234C14" w:rsidRDefault="00FF4C29" w:rsidP="00CF00E7">
            <w:pPr>
              <w:jc w:val="both"/>
              <w:rPr>
                <w:sz w:val="20"/>
                <w:szCs w:val="20"/>
                <w:lang w:val="fr-CA"/>
              </w:rPr>
            </w:pPr>
            <w:r w:rsidRPr="00234C14">
              <w:rPr>
                <w:rStyle w:val="SCCLsocChar"/>
                <w:sz w:val="20"/>
                <w:szCs w:val="20"/>
              </w:rPr>
              <w:t>Diane Maynard c. Société de l'assurance automobile du Québec</w:t>
            </w:r>
            <w:r w:rsidR="00763E76">
              <w:rPr>
                <w:rStyle w:val="SCCLsocChar"/>
                <w:sz w:val="20"/>
                <w:szCs w:val="20"/>
              </w:rPr>
              <w:t xml:space="preserve"> et</w:t>
            </w:r>
            <w:r w:rsidRPr="00234C14">
              <w:rPr>
                <w:rStyle w:val="SCCLsocChar"/>
                <w:sz w:val="20"/>
                <w:szCs w:val="20"/>
              </w:rPr>
              <w:t xml:space="preserve"> Tribunal administratif du Québec</w:t>
            </w:r>
            <w:r w:rsidRPr="00234C14">
              <w:rPr>
                <w:sz w:val="20"/>
                <w:szCs w:val="20"/>
                <w:lang w:val="fr-CA"/>
              </w:rPr>
              <w:t xml:space="preserve"> (Qc) (Civile) (Autorisation)</w:t>
            </w:r>
          </w:p>
          <w:p w:rsidR="00FF4C29" w:rsidRPr="00234C14" w:rsidRDefault="00FF4C29" w:rsidP="00CF00E7">
            <w:pPr>
              <w:rPr>
                <w:sz w:val="20"/>
                <w:szCs w:val="20"/>
                <w:lang w:val="fr-CA"/>
              </w:rPr>
            </w:pPr>
          </w:p>
        </w:tc>
      </w:tr>
      <w:tr w:rsidR="00FF4C29" w:rsidRPr="001A2926" w:rsidTr="00CF00E7">
        <w:trPr>
          <w:cantSplit/>
        </w:trPr>
        <w:tc>
          <w:tcPr>
            <w:tcW w:w="1458" w:type="dxa"/>
          </w:tcPr>
          <w:p w:rsidR="00FF4C29" w:rsidRPr="00234C14" w:rsidRDefault="00FF4C29" w:rsidP="00CF00E7">
            <w:pPr>
              <w:rPr>
                <w:sz w:val="20"/>
                <w:szCs w:val="20"/>
              </w:rPr>
            </w:pPr>
            <w:r w:rsidRPr="00234C14">
              <w:rPr>
                <w:sz w:val="20"/>
                <w:szCs w:val="20"/>
              </w:rPr>
              <w:t>Coram :</w:t>
            </w:r>
          </w:p>
        </w:tc>
        <w:tc>
          <w:tcPr>
            <w:tcW w:w="8118" w:type="dxa"/>
          </w:tcPr>
          <w:p w:rsidR="00FF4C29" w:rsidRPr="00234C14" w:rsidRDefault="00FF4C29" w:rsidP="00CF00E7">
            <w:pPr>
              <w:rPr>
                <w:sz w:val="20"/>
                <w:szCs w:val="20"/>
                <w:lang w:val="fr-CA"/>
              </w:rPr>
            </w:pPr>
            <w:r w:rsidRPr="00234C14">
              <w:rPr>
                <w:rStyle w:val="SCCCoramChar"/>
                <w:sz w:val="20"/>
                <w:szCs w:val="20"/>
              </w:rPr>
              <w:t>Les juges Fish, Cromwell et Karakatsanis</w:t>
            </w:r>
          </w:p>
          <w:p w:rsidR="00FF4C29" w:rsidRPr="00234C14" w:rsidRDefault="00FF4C29" w:rsidP="00CF00E7">
            <w:pPr>
              <w:rPr>
                <w:sz w:val="20"/>
                <w:szCs w:val="20"/>
                <w:u w:val="single"/>
                <w:lang w:val="fr-CA"/>
              </w:rPr>
            </w:pPr>
          </w:p>
        </w:tc>
      </w:tr>
      <w:tr w:rsidR="00FF4C29" w:rsidRPr="00234C14" w:rsidTr="00CF00E7">
        <w:trPr>
          <w:cantSplit/>
        </w:trPr>
        <w:tc>
          <w:tcPr>
            <w:tcW w:w="9576" w:type="dxa"/>
            <w:gridSpan w:val="2"/>
          </w:tcPr>
          <w:p w:rsidR="00FF4C29" w:rsidRPr="00234C14" w:rsidRDefault="00FF4C29" w:rsidP="00CF00E7">
            <w:pPr>
              <w:pStyle w:val="SCCShortJudgment"/>
              <w:rPr>
                <w:szCs w:val="20"/>
                <w:lang w:val="fr-CA"/>
              </w:rPr>
            </w:pPr>
            <w:r w:rsidRPr="00234C14">
              <w:rPr>
                <w:szCs w:val="20"/>
                <w:lang w:val="fr-CA"/>
              </w:rPr>
              <w:t>La requête en prorogation du délai de signification et de dépôt de la demande d’autorisation d’appel est accueillie. La demande d’autorisation d’appel de l’arrêt de la Cour d’appel du Québec (Montréal), numéro 500-09-021997-119, 2012 QCCA 161, daté du 23 janvier 2012, est rejetée avec dépens en faveur de l’intimée Société de l’assurance automobile du Québec.</w:t>
            </w:r>
          </w:p>
          <w:p w:rsidR="00FF4C29" w:rsidRPr="00234C14" w:rsidRDefault="00FF4C29" w:rsidP="00CF00E7">
            <w:pPr>
              <w:pStyle w:val="SCCShortJudgment"/>
              <w:ind w:firstLine="0"/>
              <w:rPr>
                <w:szCs w:val="20"/>
                <w:lang w:val="fr-CA"/>
              </w:rPr>
            </w:pPr>
          </w:p>
          <w:p w:rsidR="00FF4C29" w:rsidRPr="00234C14" w:rsidRDefault="00FF4C29" w:rsidP="00CF00E7">
            <w:pPr>
              <w:pStyle w:val="SCCShortJudgment"/>
              <w:rPr>
                <w:szCs w:val="20"/>
              </w:rPr>
            </w:pPr>
            <w:r w:rsidRPr="00234C14">
              <w:rPr>
                <w:szCs w:val="20"/>
              </w:rPr>
              <w:t>The motion for an extension of time to serve and file the application for leave to appeal is granted.  The application for leave to appeal from the judgment of the Court of Appeal of Quebec (Montréal), Number 500-09-021997-119, 2012 QCCA 161, dated January 23, 2012, is dismissed with costs to the respondent Société de l’assurance automobile du Québec.</w:t>
            </w:r>
          </w:p>
        </w:tc>
      </w:tr>
    </w:tbl>
    <w:p w:rsidR="0003085F" w:rsidRDefault="0003085F" w:rsidP="0003085F">
      <w:pPr>
        <w:rPr>
          <w:sz w:val="20"/>
          <w:szCs w:val="20"/>
        </w:rPr>
      </w:pPr>
    </w:p>
    <w:p w:rsidR="0003085F" w:rsidRPr="001B157C" w:rsidRDefault="0003085F" w:rsidP="0003085F">
      <w:pPr>
        <w:rPr>
          <w:sz w:val="20"/>
          <w:szCs w:val="20"/>
          <w:u w:val="single"/>
        </w:rPr>
      </w:pPr>
      <w:r w:rsidRPr="001B157C">
        <w:rPr>
          <w:sz w:val="20"/>
          <w:szCs w:val="20"/>
          <w:u w:val="single"/>
        </w:rPr>
        <w:t>CASE SUMMARY</w:t>
      </w:r>
    </w:p>
    <w:p w:rsidR="0003085F" w:rsidRDefault="0003085F" w:rsidP="0003085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t>Administrative law — Judicial review — Standard of review — Automobile accidents — Compensation by Société de l’assurance automobile du Québec (SAAQ) — Decisions of Administrative Tribunal of Québec held reasonable — Refusal of Court of Appeal to extend time for appeal.</w:t>
            </w:r>
          </w:p>
        </w:tc>
      </w:tr>
      <w:tr w:rsidR="00C75946" w:rsidRPr="00E54200" w:rsidTr="002915ED">
        <w:tc>
          <w:tcPr>
            <w:tcW w:w="5000" w:type="pct"/>
            <w:gridSpan w:val="3"/>
          </w:tcPr>
          <w:p w:rsidR="00C75946" w:rsidRPr="00E54200" w:rsidRDefault="00C75946" w:rsidP="002915ED">
            <w:pPr>
              <w:jc w:val="both"/>
              <w:rPr>
                <w:rFonts w:eastAsia="Calibri"/>
                <w:sz w:val="20"/>
              </w:rPr>
            </w:pPr>
          </w:p>
        </w:tc>
      </w:tr>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lastRenderedPageBreak/>
              <w:t xml:space="preserve">Between 1987 and 1998, Ms. Maynard suffered significant injuries as the result of five road accidents.  The SAAQ compensated her accordingly.  Ms. Maynard challenged the decisions before the Administrative Tribunal of Québec (TAQ).  She claimed compensation exceeding the amounts recognized by the SAAQ under several heads of damage (impairments, major disfigurement, recognition of a relationship between certain conditions and the accident, and payment of an income replacement indemnity).  The TAQ allowed Ms. Maynard’s application in part.  The decision was confirmed upon review.  </w:t>
            </w:r>
          </w:p>
          <w:p w:rsidR="00C75946" w:rsidRPr="00E54200" w:rsidRDefault="00C75946" w:rsidP="002915ED">
            <w:pPr>
              <w:jc w:val="both"/>
              <w:rPr>
                <w:rFonts w:eastAsia="Calibri"/>
                <w:sz w:val="20"/>
              </w:rPr>
            </w:pPr>
          </w:p>
          <w:p w:rsidR="00C75946" w:rsidRPr="00E54200" w:rsidRDefault="00C75946" w:rsidP="002915ED">
            <w:pPr>
              <w:jc w:val="both"/>
              <w:rPr>
                <w:rFonts w:eastAsia="Calibri"/>
                <w:sz w:val="20"/>
              </w:rPr>
            </w:pPr>
            <w:r w:rsidRPr="00E54200">
              <w:rPr>
                <w:rFonts w:eastAsia="Calibri"/>
                <w:sz w:val="20"/>
              </w:rPr>
              <w:t xml:space="preserve">Ms. Maynard then applied to the Superior Court for judicial review of the TAQ’s decisions but was unsuccessful.  Perrault J. applied the “reasonableness” standard in reviewing the decisions and held that the decisions were reasonable.  She noted that the TAQ had considered the expert evidence before it and that the decisions were intelligible, transparent and defensible.  The judge also noted that even though the TAQ’s first decision did not repeat all of the testimonies and medical opinions verbatim, it could not be inferred from this that the TAQ had not weighed all of the evidence.  </w:t>
            </w:r>
          </w:p>
          <w:p w:rsidR="00C75946" w:rsidRPr="00E54200" w:rsidRDefault="00C75946" w:rsidP="002915ED">
            <w:pPr>
              <w:jc w:val="both"/>
              <w:rPr>
                <w:rFonts w:eastAsia="Calibri"/>
                <w:sz w:val="20"/>
              </w:rPr>
            </w:pPr>
          </w:p>
          <w:p w:rsidR="00C75946" w:rsidRPr="00E54200" w:rsidRDefault="00C75946" w:rsidP="002915ED">
            <w:pPr>
              <w:jc w:val="both"/>
              <w:rPr>
                <w:rFonts w:eastAsia="Calibri"/>
                <w:sz w:val="20"/>
              </w:rPr>
            </w:pPr>
            <w:r w:rsidRPr="00E54200">
              <w:rPr>
                <w:rFonts w:eastAsia="Calibri"/>
                <w:sz w:val="20"/>
              </w:rPr>
              <w:t xml:space="preserve">The Court of Appeal dismissed Ms. Maynard’s motion for special leave to appeal out of time.  According to the court, even though it was only a few days late, the application did not meet the conditions under art. 26 C.C.P. because the issues are factual in nature and because the standard of review applicable to TAQ decisions is not in dispute. </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July 26, 2011</w:t>
            </w:r>
          </w:p>
          <w:p w:rsidR="00C75946" w:rsidRPr="00E54200" w:rsidRDefault="00C75946" w:rsidP="002915ED">
            <w:pPr>
              <w:jc w:val="both"/>
              <w:rPr>
                <w:rFonts w:eastAsia="Calibri"/>
                <w:sz w:val="20"/>
              </w:rPr>
            </w:pPr>
            <w:r w:rsidRPr="00E54200">
              <w:rPr>
                <w:rFonts w:eastAsia="Calibri"/>
                <w:sz w:val="20"/>
              </w:rPr>
              <w:t>Quebec Superior Court</w:t>
            </w:r>
          </w:p>
          <w:p w:rsidR="00C75946" w:rsidRPr="00E54200" w:rsidRDefault="00C75946" w:rsidP="002915ED">
            <w:pPr>
              <w:jc w:val="both"/>
              <w:rPr>
                <w:rFonts w:eastAsia="Calibri"/>
                <w:sz w:val="20"/>
              </w:rPr>
            </w:pPr>
            <w:r w:rsidRPr="00E54200">
              <w:rPr>
                <w:rFonts w:eastAsia="Calibri"/>
                <w:sz w:val="20"/>
              </w:rPr>
              <w:t>(Perrault J.)</w:t>
            </w:r>
          </w:p>
          <w:p w:rsidR="00C75946" w:rsidRPr="00E54200" w:rsidRDefault="00C75946" w:rsidP="002915ED">
            <w:pPr>
              <w:jc w:val="both"/>
              <w:rPr>
                <w:rFonts w:eastAsia="Calibri"/>
                <w:sz w:val="20"/>
              </w:rPr>
            </w:pPr>
            <w:r w:rsidRPr="00E54200">
              <w:rPr>
                <w:rFonts w:eastAsia="Calibri"/>
                <w:sz w:val="20"/>
              </w:rPr>
              <w:t>2011 QCCS 3782</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Motion for judicial review of three decisions of Administrative Tribunal of Québec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January 23, 2012</w:t>
            </w:r>
          </w:p>
          <w:p w:rsidR="00C75946" w:rsidRPr="00E54200" w:rsidRDefault="00C75946" w:rsidP="002915ED">
            <w:pPr>
              <w:jc w:val="both"/>
              <w:rPr>
                <w:rFonts w:eastAsia="Calibri"/>
                <w:sz w:val="20"/>
              </w:rPr>
            </w:pPr>
            <w:r w:rsidRPr="00E54200">
              <w:rPr>
                <w:rFonts w:eastAsia="Calibri"/>
                <w:sz w:val="20"/>
              </w:rPr>
              <w:t>Quebec Court of Appeal (Montréal)</w:t>
            </w:r>
          </w:p>
          <w:p w:rsidR="00C75946" w:rsidRPr="00E54200" w:rsidRDefault="00C75946" w:rsidP="002915ED">
            <w:pPr>
              <w:jc w:val="both"/>
              <w:rPr>
                <w:rFonts w:eastAsia="Calibri"/>
                <w:sz w:val="20"/>
              </w:rPr>
            </w:pPr>
            <w:r w:rsidRPr="00E54200">
              <w:rPr>
                <w:rFonts w:eastAsia="Calibri"/>
                <w:sz w:val="20"/>
              </w:rPr>
              <w:t>(Rochon, Dutil and Jacques JJ.A.)</w:t>
            </w:r>
          </w:p>
          <w:p w:rsidR="00C75946" w:rsidRPr="00E54200" w:rsidRDefault="00C75946" w:rsidP="002915ED">
            <w:pPr>
              <w:jc w:val="both"/>
              <w:rPr>
                <w:rFonts w:eastAsia="Calibri"/>
                <w:sz w:val="20"/>
              </w:rPr>
            </w:pPr>
            <w:r w:rsidRPr="00E54200">
              <w:rPr>
                <w:rFonts w:eastAsia="Calibri"/>
                <w:sz w:val="20"/>
              </w:rPr>
              <w:t>2012 QCCA 161; 500-09-021997-119</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Motion for special leave to appeal out of time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June 12, 2012</w:t>
            </w:r>
          </w:p>
          <w:p w:rsidR="00C75946" w:rsidRPr="00E54200" w:rsidRDefault="00C75946" w:rsidP="002915ED">
            <w:pPr>
              <w:jc w:val="both"/>
              <w:rPr>
                <w:rFonts w:eastAsia="Calibri"/>
                <w:sz w:val="20"/>
              </w:rPr>
            </w:pPr>
            <w:r w:rsidRPr="00E54200">
              <w:rPr>
                <w:rFonts w:eastAsia="Calibri"/>
                <w:sz w:val="20"/>
              </w:rPr>
              <w:t>Supreme Court of Canada</w:t>
            </w: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Motion to extend the time in which to serve and file an application for leave to appeal and application for leave to appeal filed</w:t>
            </w:r>
          </w:p>
        </w:tc>
      </w:tr>
    </w:tbl>
    <w:p w:rsidR="0003085F" w:rsidRDefault="0003085F" w:rsidP="0003085F">
      <w:pPr>
        <w:rPr>
          <w:sz w:val="20"/>
          <w:szCs w:val="20"/>
        </w:rPr>
      </w:pPr>
    </w:p>
    <w:p w:rsidR="0003085F" w:rsidRDefault="00BA233E" w:rsidP="0003085F">
      <w:pPr>
        <w:rPr>
          <w:sz w:val="20"/>
          <w:szCs w:val="20"/>
        </w:rPr>
      </w:pPr>
      <w:r w:rsidRPr="00BA233E">
        <w:rPr>
          <w:sz w:val="20"/>
          <w:szCs w:val="20"/>
          <w:lang w:val="fr-CA"/>
        </w:rPr>
        <w:pict>
          <v:rect id="_x0000_i1046" style="width:2in;height:1pt" o:hrpct="0" o:hralign="center" o:hrstd="t" o:hrnoshade="t" o:hr="t" fillcolor="black [3213]" stroked="f"/>
        </w:pict>
      </w:r>
    </w:p>
    <w:p w:rsidR="0003085F" w:rsidRDefault="0003085F" w:rsidP="0003085F">
      <w:pPr>
        <w:rPr>
          <w:sz w:val="20"/>
          <w:szCs w:val="20"/>
        </w:rPr>
      </w:pPr>
    </w:p>
    <w:p w:rsidR="0003085F" w:rsidRPr="001B157C" w:rsidRDefault="0003085F" w:rsidP="0003085F">
      <w:pPr>
        <w:rPr>
          <w:sz w:val="20"/>
          <w:szCs w:val="20"/>
          <w:u w:val="single"/>
          <w:lang w:val="fr-CA"/>
        </w:rPr>
      </w:pPr>
      <w:r w:rsidRPr="001B157C">
        <w:rPr>
          <w:sz w:val="20"/>
          <w:szCs w:val="20"/>
          <w:u w:val="single"/>
          <w:lang w:val="fr-CA"/>
        </w:rPr>
        <w:t>RÉSUMÉ DE L’AFFAIRE</w:t>
      </w:r>
    </w:p>
    <w:p w:rsidR="0003085F" w:rsidRDefault="0003085F" w:rsidP="0003085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5946" w:rsidRPr="001A2926"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Droit administratif — Révision judiciaire — Norme de contrôle — Accidents d’automobile — Indemnisation par la Société de l’assurance automobile du Québec (SAAQ) — Décisions du Tribunal administratif du Québec jugées raisonnables — Refus par la Cour d’appel de proroger les délais pour permettre un appel.</w:t>
            </w:r>
          </w:p>
        </w:tc>
      </w:tr>
      <w:tr w:rsidR="00C75946" w:rsidRPr="001A2926" w:rsidTr="002915ED">
        <w:tc>
          <w:tcPr>
            <w:tcW w:w="5000" w:type="pct"/>
            <w:gridSpan w:val="3"/>
          </w:tcPr>
          <w:p w:rsidR="00C75946" w:rsidRPr="00E54200" w:rsidRDefault="00C75946" w:rsidP="002915ED">
            <w:pPr>
              <w:jc w:val="both"/>
              <w:rPr>
                <w:rFonts w:eastAsia="Calibri"/>
                <w:sz w:val="20"/>
                <w:lang w:val="fr-CA"/>
              </w:rPr>
            </w:pPr>
          </w:p>
        </w:tc>
      </w:tr>
      <w:tr w:rsidR="00C75946" w:rsidRPr="001A2926"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Entre 1987 et 1998, M</w:t>
            </w:r>
            <w:r w:rsidRPr="00E54200">
              <w:rPr>
                <w:rFonts w:eastAsia="Calibri"/>
                <w:sz w:val="20"/>
                <w:vertAlign w:val="superscript"/>
                <w:lang w:val="fr-CA"/>
              </w:rPr>
              <w:t>me</w:t>
            </w:r>
            <w:r w:rsidRPr="00E54200">
              <w:rPr>
                <w:rFonts w:eastAsia="Calibri"/>
                <w:sz w:val="20"/>
                <w:lang w:val="fr-CA"/>
              </w:rPr>
              <w:t> Maynard subit d’importantes blessures des suites de cinq accidents de la route.  La SAAQ l’indemnise en conséquence.  M</w:t>
            </w:r>
            <w:r w:rsidRPr="00E54200">
              <w:rPr>
                <w:rFonts w:eastAsia="Calibri"/>
                <w:sz w:val="20"/>
                <w:vertAlign w:val="superscript"/>
                <w:lang w:val="fr-CA"/>
              </w:rPr>
              <w:t>me</w:t>
            </w:r>
            <w:r w:rsidRPr="00E54200">
              <w:rPr>
                <w:rFonts w:eastAsia="Calibri"/>
                <w:sz w:val="20"/>
                <w:lang w:val="fr-CA"/>
              </w:rPr>
              <w:t> Maynard conteste les décisions devant le Tribunal administratif du Québec (TAQ).  Elle réclame des indemnités supérieures à celles reconnues par la SAAQ sous plusieurs chefs (déficits anatomo</w:t>
            </w:r>
            <w:r w:rsidRPr="00E54200">
              <w:rPr>
                <w:rFonts w:eastAsia="Calibri"/>
                <w:sz w:val="20"/>
                <w:lang w:val="fr-CA"/>
              </w:rPr>
              <w:noBreakHyphen/>
              <w:t>physiologiques, préjudice esthétique majeur, reconnaissance d’une relation entre certaines conditions et l’accident, versement d’une indemnité de remplacement du revenu).  Le TAQ accueille partiellement le recours de M</w:t>
            </w:r>
            <w:r w:rsidRPr="00E54200">
              <w:rPr>
                <w:rFonts w:eastAsia="Calibri"/>
                <w:sz w:val="20"/>
                <w:vertAlign w:val="superscript"/>
                <w:lang w:val="fr-CA"/>
              </w:rPr>
              <w:t>me</w:t>
            </w:r>
            <w:r w:rsidRPr="00E54200">
              <w:rPr>
                <w:rFonts w:eastAsia="Calibri"/>
                <w:sz w:val="20"/>
                <w:lang w:val="fr-CA"/>
              </w:rPr>
              <w:t> Maynard.  La décision est confirmée au stade de la révision.</w:t>
            </w:r>
          </w:p>
          <w:p w:rsidR="00C75946" w:rsidRPr="00E54200" w:rsidRDefault="00C75946" w:rsidP="002915ED">
            <w:pPr>
              <w:jc w:val="both"/>
              <w:rPr>
                <w:rFonts w:eastAsia="Calibri"/>
                <w:sz w:val="20"/>
                <w:lang w:val="fr-CA"/>
              </w:rPr>
            </w:pPr>
          </w:p>
          <w:p w:rsidR="00C75946" w:rsidRPr="00E54200" w:rsidRDefault="00C75946" w:rsidP="002915ED">
            <w:pPr>
              <w:jc w:val="both"/>
              <w:rPr>
                <w:rFonts w:eastAsia="Calibri"/>
                <w:sz w:val="20"/>
                <w:lang w:val="fr-CA"/>
              </w:rPr>
            </w:pPr>
            <w:r w:rsidRPr="00E54200">
              <w:rPr>
                <w:rFonts w:eastAsia="Calibri"/>
                <w:sz w:val="20"/>
                <w:lang w:val="fr-CA"/>
              </w:rPr>
              <w:t>M</w:t>
            </w:r>
            <w:r w:rsidRPr="00E54200">
              <w:rPr>
                <w:rFonts w:eastAsia="Calibri"/>
                <w:sz w:val="20"/>
                <w:vertAlign w:val="superscript"/>
                <w:lang w:val="fr-CA"/>
              </w:rPr>
              <w:t>me</w:t>
            </w:r>
            <w:r w:rsidRPr="00E54200">
              <w:rPr>
                <w:rFonts w:eastAsia="Calibri"/>
                <w:sz w:val="20"/>
                <w:lang w:val="fr-CA"/>
              </w:rPr>
              <w:t> Maynard demande par la suite la révision judiciaire des décisions du TAQ devant la Cour supérieure, mais en vain.  La juge Perrault applique la norme de la décision « raisonnable » au contrôle des décisions et juge que celles</w:t>
            </w:r>
            <w:r w:rsidRPr="00E54200">
              <w:rPr>
                <w:rFonts w:eastAsia="Calibri"/>
                <w:sz w:val="20"/>
                <w:lang w:val="fr-CA"/>
              </w:rPr>
              <w:noBreakHyphen/>
              <w:t xml:space="preserve">ci sont raisonnables.  Elle note que le TAQ a évalué la preuve d’experts qu’il avait devant lui, ses décisions sont intelligibles, transparentes et motivées.  La juge note aussi que même si la première décision du TAQ ne reprend pas </w:t>
            </w:r>
            <w:r w:rsidRPr="00E54200">
              <w:rPr>
                <w:rFonts w:eastAsia="Calibri"/>
                <w:sz w:val="20"/>
                <w:lang w:val="fr-CA"/>
              </w:rPr>
              <w:lastRenderedPageBreak/>
              <w:t xml:space="preserve">textuellement tous les témoignages et tous les avis médicaux, on ne peut inférer de ce fait que le TAQ n’a pas apprécié toute la preuve. </w:t>
            </w:r>
          </w:p>
          <w:p w:rsidR="00C75946" w:rsidRPr="00E54200" w:rsidRDefault="00C75946" w:rsidP="002915ED">
            <w:pPr>
              <w:jc w:val="both"/>
              <w:rPr>
                <w:rFonts w:eastAsia="Calibri"/>
                <w:sz w:val="20"/>
                <w:lang w:val="fr-CA"/>
              </w:rPr>
            </w:pPr>
          </w:p>
          <w:p w:rsidR="00C75946" w:rsidRPr="00E54200" w:rsidRDefault="00C75946" w:rsidP="002915ED">
            <w:pPr>
              <w:jc w:val="both"/>
              <w:rPr>
                <w:rFonts w:eastAsia="Calibri"/>
                <w:sz w:val="20"/>
                <w:lang w:val="fr-CA"/>
              </w:rPr>
            </w:pPr>
            <w:r w:rsidRPr="00E54200">
              <w:rPr>
                <w:rFonts w:eastAsia="Calibri"/>
                <w:sz w:val="20"/>
                <w:lang w:val="fr-CA"/>
              </w:rPr>
              <w:t>La Cour d’appel rejette la requête de M</w:t>
            </w:r>
            <w:r w:rsidRPr="00E54200">
              <w:rPr>
                <w:rFonts w:eastAsia="Calibri"/>
                <w:sz w:val="20"/>
                <w:vertAlign w:val="superscript"/>
                <w:lang w:val="fr-CA"/>
              </w:rPr>
              <w:t>me</w:t>
            </w:r>
            <w:r w:rsidRPr="00E54200">
              <w:rPr>
                <w:rFonts w:eastAsia="Calibri"/>
                <w:sz w:val="20"/>
                <w:lang w:val="fr-CA"/>
              </w:rPr>
              <w:t> Maynard pour permission spéciale d’appeler hors délai.  Selon elle, même si le retard n’est que de quelques jours, la demande ne remplit pas les conditions prévues par l’art. 26 C.p.c., car les questions soulevées sont de nature factuelle et il n’existe aucune controverse concernant la norme de contrôle applicable aux décisions du TAQ.</w:t>
            </w:r>
          </w:p>
          <w:p w:rsidR="00C75946" w:rsidRPr="00E54200" w:rsidRDefault="00C75946" w:rsidP="002915ED">
            <w:pPr>
              <w:jc w:val="both"/>
              <w:rPr>
                <w:rFonts w:eastAsia="Calibri"/>
                <w:sz w:val="20"/>
                <w:lang w:val="fr-CA"/>
              </w:rPr>
            </w:pPr>
          </w:p>
        </w:tc>
      </w:tr>
      <w:tr w:rsidR="00C75946" w:rsidRPr="001A2926"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lastRenderedPageBreak/>
              <w:t>Le 26 juillet 2011</w:t>
            </w:r>
          </w:p>
          <w:p w:rsidR="00C75946" w:rsidRPr="00E54200" w:rsidRDefault="00C75946" w:rsidP="002915ED">
            <w:pPr>
              <w:jc w:val="both"/>
              <w:rPr>
                <w:rFonts w:eastAsia="Calibri"/>
                <w:sz w:val="20"/>
                <w:lang w:val="fr-CA"/>
              </w:rPr>
            </w:pPr>
            <w:r w:rsidRPr="00E54200">
              <w:rPr>
                <w:rFonts w:eastAsia="Calibri"/>
                <w:sz w:val="20"/>
                <w:lang w:val="fr-CA"/>
              </w:rPr>
              <w:t>Cour supérieure du Québec</w:t>
            </w:r>
          </w:p>
          <w:p w:rsidR="00C75946" w:rsidRPr="00E54200" w:rsidRDefault="00C75946" w:rsidP="002915ED">
            <w:pPr>
              <w:jc w:val="both"/>
              <w:rPr>
                <w:rFonts w:eastAsia="Calibri"/>
                <w:sz w:val="20"/>
                <w:lang w:val="fr-CA"/>
              </w:rPr>
            </w:pPr>
            <w:r w:rsidRPr="00E54200">
              <w:rPr>
                <w:rFonts w:eastAsia="Calibri"/>
                <w:sz w:val="20"/>
                <w:lang w:val="fr-CA"/>
              </w:rPr>
              <w:t>(La juge Perrault)</w:t>
            </w:r>
          </w:p>
          <w:p w:rsidR="00C75946" w:rsidRPr="00E54200" w:rsidRDefault="00C75946" w:rsidP="002915ED">
            <w:pPr>
              <w:jc w:val="both"/>
              <w:rPr>
                <w:rFonts w:eastAsia="Calibri"/>
                <w:sz w:val="20"/>
                <w:lang w:val="fr-CA"/>
              </w:rPr>
            </w:pPr>
            <w:r w:rsidRPr="00E54200">
              <w:rPr>
                <w:rFonts w:eastAsia="Calibri"/>
                <w:sz w:val="20"/>
                <w:lang w:val="fr-CA"/>
              </w:rPr>
              <w:t>2011 QCCS 3782</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Requête en révision judiciaire de trois décisions du Tribunal administratif du Québec rejetée</w:t>
            </w:r>
          </w:p>
          <w:p w:rsidR="00C75946" w:rsidRPr="00E54200" w:rsidRDefault="00C75946" w:rsidP="002915ED">
            <w:pPr>
              <w:jc w:val="both"/>
              <w:rPr>
                <w:rFonts w:eastAsia="Calibri"/>
                <w:sz w:val="20"/>
                <w:lang w:val="fr-CA"/>
              </w:rPr>
            </w:pPr>
          </w:p>
        </w:tc>
      </w:tr>
      <w:tr w:rsidR="00C75946" w:rsidRPr="001A2926"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Le 23 janvier 2012</w:t>
            </w:r>
          </w:p>
          <w:p w:rsidR="00C75946" w:rsidRPr="00E54200" w:rsidRDefault="00C75946" w:rsidP="002915ED">
            <w:pPr>
              <w:jc w:val="both"/>
              <w:rPr>
                <w:rFonts w:eastAsia="Calibri"/>
                <w:sz w:val="20"/>
                <w:lang w:val="fr-CA"/>
              </w:rPr>
            </w:pPr>
            <w:r w:rsidRPr="00E54200">
              <w:rPr>
                <w:rFonts w:eastAsia="Calibri"/>
                <w:sz w:val="20"/>
                <w:lang w:val="fr-CA"/>
              </w:rPr>
              <w:t>Cour d’appel du Québec (Montréal)</w:t>
            </w:r>
          </w:p>
          <w:p w:rsidR="00C75946" w:rsidRPr="00E54200" w:rsidRDefault="00C75946" w:rsidP="002915ED">
            <w:pPr>
              <w:jc w:val="both"/>
              <w:rPr>
                <w:rFonts w:eastAsia="Calibri"/>
                <w:sz w:val="20"/>
                <w:lang w:val="fr-CA"/>
              </w:rPr>
            </w:pPr>
            <w:r w:rsidRPr="00E54200">
              <w:rPr>
                <w:rFonts w:eastAsia="Calibri"/>
                <w:sz w:val="20"/>
                <w:lang w:val="fr-CA"/>
              </w:rPr>
              <w:t>(Les juges Rochon, Dutil et Jacques)</w:t>
            </w:r>
          </w:p>
          <w:p w:rsidR="00C75946" w:rsidRPr="00E54200" w:rsidRDefault="00C75946" w:rsidP="002915ED">
            <w:pPr>
              <w:jc w:val="both"/>
              <w:rPr>
                <w:rFonts w:eastAsia="Calibri"/>
                <w:sz w:val="20"/>
                <w:lang w:val="fr-CA"/>
              </w:rPr>
            </w:pPr>
            <w:r w:rsidRPr="00E54200">
              <w:rPr>
                <w:rFonts w:eastAsia="Calibri"/>
                <w:sz w:val="20"/>
                <w:lang w:val="fr-CA"/>
              </w:rPr>
              <w:t>2012 QCCA 161; 500</w:t>
            </w:r>
            <w:r w:rsidRPr="00E54200">
              <w:rPr>
                <w:rFonts w:eastAsia="Calibri"/>
                <w:sz w:val="20"/>
                <w:lang w:val="fr-CA"/>
              </w:rPr>
              <w:noBreakHyphen/>
              <w:t>09</w:t>
            </w:r>
            <w:r w:rsidRPr="00E54200">
              <w:rPr>
                <w:rFonts w:eastAsia="Calibri"/>
                <w:sz w:val="20"/>
                <w:lang w:val="fr-CA"/>
              </w:rPr>
              <w:noBreakHyphen/>
              <w:t>021997</w:t>
            </w:r>
            <w:r w:rsidRPr="00E54200">
              <w:rPr>
                <w:rFonts w:eastAsia="Calibri"/>
                <w:sz w:val="20"/>
                <w:lang w:val="fr-CA"/>
              </w:rPr>
              <w:noBreakHyphen/>
              <w:t>119</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Requête pour permission spéciale d’appeler hors délai rejetée</w:t>
            </w:r>
          </w:p>
          <w:p w:rsidR="00C75946" w:rsidRPr="00E54200" w:rsidRDefault="00C75946" w:rsidP="002915ED">
            <w:pPr>
              <w:jc w:val="both"/>
              <w:rPr>
                <w:rFonts w:eastAsia="Calibri"/>
                <w:sz w:val="20"/>
                <w:lang w:val="fr-CA"/>
              </w:rPr>
            </w:pPr>
          </w:p>
        </w:tc>
      </w:tr>
      <w:tr w:rsidR="00C75946" w:rsidRPr="00A5349A"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Le 12 juin 2012</w:t>
            </w:r>
          </w:p>
          <w:p w:rsidR="00C75946" w:rsidRPr="00E54200" w:rsidRDefault="00C75946" w:rsidP="002915ED">
            <w:pPr>
              <w:jc w:val="both"/>
              <w:rPr>
                <w:rFonts w:eastAsia="Calibri"/>
                <w:sz w:val="20"/>
                <w:lang w:val="fr-CA"/>
              </w:rPr>
            </w:pPr>
            <w:r w:rsidRPr="00E54200">
              <w:rPr>
                <w:rFonts w:eastAsia="Calibri"/>
                <w:sz w:val="20"/>
                <w:lang w:val="fr-CA"/>
              </w:rPr>
              <w:t>Cour suprême du Canada</w:t>
            </w: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Requête en prorogation du délai de signification et dépôt d’une demande d’autorisation d’appel et demande d'autorisation d'appel déposées</w:t>
            </w:r>
          </w:p>
        </w:tc>
      </w:tr>
    </w:tbl>
    <w:p w:rsidR="0003085F" w:rsidRPr="00C75946" w:rsidRDefault="0003085F" w:rsidP="0003085F">
      <w:pPr>
        <w:rPr>
          <w:sz w:val="20"/>
          <w:szCs w:val="20"/>
          <w:lang w:val="fr-CA"/>
        </w:rPr>
      </w:pPr>
    </w:p>
    <w:p w:rsidR="0003085F" w:rsidRDefault="00BA233E" w:rsidP="0003085F">
      <w:pPr>
        <w:rPr>
          <w:sz w:val="20"/>
          <w:szCs w:val="20"/>
        </w:rPr>
      </w:pPr>
      <w:r w:rsidRPr="00BA233E">
        <w:rPr>
          <w:sz w:val="20"/>
          <w:szCs w:val="20"/>
          <w:lang w:val="fr-CA"/>
        </w:rPr>
        <w:pict>
          <v:rect id="_x0000_i1047" style="width:2in;height:1pt" o:hrpct="0" o:hralign="center" o:hrstd="t" o:hrnoshade="t" o:hr="t" fillcolor="black [3213]" stroked="f"/>
        </w:pict>
      </w:r>
    </w:p>
    <w:p w:rsidR="0003085F" w:rsidRDefault="0003085F" w:rsidP="0003085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4C29" w:rsidRPr="00234C14" w:rsidTr="00CF00E7">
        <w:trPr>
          <w:cantSplit/>
        </w:trPr>
        <w:tc>
          <w:tcPr>
            <w:tcW w:w="1458" w:type="dxa"/>
          </w:tcPr>
          <w:p w:rsidR="00FF4C29" w:rsidRPr="00234C14" w:rsidRDefault="00FF4C29" w:rsidP="00CF00E7">
            <w:pPr>
              <w:rPr>
                <w:sz w:val="20"/>
                <w:szCs w:val="20"/>
              </w:rPr>
            </w:pPr>
            <w:r w:rsidRPr="00234C14">
              <w:rPr>
                <w:rStyle w:val="SCCFileNumberChar"/>
                <w:sz w:val="20"/>
                <w:szCs w:val="20"/>
              </w:rPr>
              <w:t>34870</w:t>
            </w:r>
          </w:p>
          <w:p w:rsidR="00FF4C29" w:rsidRPr="00234C14" w:rsidRDefault="00FF4C29" w:rsidP="00CF00E7">
            <w:pPr>
              <w:rPr>
                <w:b/>
                <w:sz w:val="20"/>
                <w:szCs w:val="20"/>
                <w:lang w:val="fr-CA"/>
              </w:rPr>
            </w:pPr>
          </w:p>
        </w:tc>
        <w:tc>
          <w:tcPr>
            <w:tcW w:w="8118" w:type="dxa"/>
          </w:tcPr>
          <w:p w:rsidR="00FF4C29" w:rsidRPr="00234C14" w:rsidRDefault="00FF4C29" w:rsidP="00CF00E7">
            <w:pPr>
              <w:rPr>
                <w:sz w:val="20"/>
                <w:szCs w:val="20"/>
              </w:rPr>
            </w:pPr>
            <w:r w:rsidRPr="00234C14">
              <w:rPr>
                <w:rStyle w:val="SCCLsocChar"/>
                <w:sz w:val="20"/>
                <w:szCs w:val="20"/>
                <w:lang w:val="en-CA"/>
              </w:rPr>
              <w:t>Shawn Shea v. Her Majesty the Queen</w:t>
            </w:r>
            <w:r w:rsidRPr="00234C14">
              <w:rPr>
                <w:sz w:val="20"/>
                <w:szCs w:val="20"/>
              </w:rPr>
              <w:t xml:space="preserve"> (N.S.) (Criminal) (By Leave)</w:t>
            </w:r>
          </w:p>
          <w:p w:rsidR="00FF4C29" w:rsidRPr="00234C14" w:rsidRDefault="00FF4C29" w:rsidP="00CF00E7">
            <w:pPr>
              <w:rPr>
                <w:sz w:val="20"/>
                <w:szCs w:val="20"/>
              </w:rPr>
            </w:pPr>
          </w:p>
        </w:tc>
      </w:tr>
      <w:tr w:rsidR="00FF4C29" w:rsidRPr="00234C14" w:rsidTr="00CF00E7">
        <w:trPr>
          <w:cantSplit/>
        </w:trPr>
        <w:tc>
          <w:tcPr>
            <w:tcW w:w="1458" w:type="dxa"/>
          </w:tcPr>
          <w:p w:rsidR="00FF4C29" w:rsidRPr="00234C14" w:rsidRDefault="00FF4C29" w:rsidP="00CF00E7">
            <w:pPr>
              <w:rPr>
                <w:sz w:val="20"/>
                <w:szCs w:val="20"/>
              </w:rPr>
            </w:pPr>
            <w:r w:rsidRPr="00234C14">
              <w:rPr>
                <w:sz w:val="20"/>
                <w:szCs w:val="20"/>
              </w:rPr>
              <w:t>Coram :</w:t>
            </w:r>
          </w:p>
        </w:tc>
        <w:tc>
          <w:tcPr>
            <w:tcW w:w="8118" w:type="dxa"/>
          </w:tcPr>
          <w:p w:rsidR="00FF4C29" w:rsidRPr="00234C14" w:rsidRDefault="00FF4C29" w:rsidP="00CF00E7">
            <w:pPr>
              <w:rPr>
                <w:sz w:val="20"/>
                <w:szCs w:val="20"/>
              </w:rPr>
            </w:pPr>
            <w:r w:rsidRPr="00234C14">
              <w:rPr>
                <w:rStyle w:val="SCCCoramChar"/>
                <w:sz w:val="20"/>
                <w:szCs w:val="20"/>
                <w:lang w:val="en-CA"/>
              </w:rPr>
              <w:t>Fish, Cromwell and Karakatsanis JJ.</w:t>
            </w:r>
          </w:p>
          <w:p w:rsidR="00FF4C29" w:rsidRPr="00234C14" w:rsidRDefault="00FF4C29" w:rsidP="00CF00E7">
            <w:pPr>
              <w:rPr>
                <w:sz w:val="20"/>
                <w:szCs w:val="20"/>
                <w:u w:val="single"/>
              </w:rPr>
            </w:pPr>
          </w:p>
        </w:tc>
      </w:tr>
      <w:tr w:rsidR="00FF4C29" w:rsidRPr="001A2926" w:rsidTr="00CF00E7">
        <w:trPr>
          <w:cantSplit/>
        </w:trPr>
        <w:tc>
          <w:tcPr>
            <w:tcW w:w="9576" w:type="dxa"/>
            <w:gridSpan w:val="2"/>
          </w:tcPr>
          <w:p w:rsidR="00FF4C29" w:rsidRPr="00234C14" w:rsidRDefault="00FF4C29" w:rsidP="00CF00E7">
            <w:pPr>
              <w:pStyle w:val="SCCShortJudgment"/>
              <w:rPr>
                <w:szCs w:val="20"/>
              </w:rPr>
            </w:pPr>
            <w:r w:rsidRPr="00234C14">
              <w:rPr>
                <w:szCs w:val="20"/>
              </w:rPr>
              <w:t>The motion for an extension of time to serve and file the application for leave to appeal is granted.  The motion to adduce fresh evidence is dismissed. The application for leave to appeal from the judgment of the Nova Scotia Court of Appeal, Number CAC 324385, 2011 NSCA 107, dated December 2, 2011, is dismissed without costs.</w:t>
            </w:r>
          </w:p>
          <w:p w:rsidR="00FF4C29" w:rsidRPr="00234C14" w:rsidRDefault="00FF4C29" w:rsidP="00CF00E7">
            <w:pPr>
              <w:pStyle w:val="SCCShortJudgment"/>
              <w:ind w:firstLine="0"/>
              <w:rPr>
                <w:szCs w:val="20"/>
              </w:rPr>
            </w:pPr>
          </w:p>
          <w:p w:rsidR="00FF4C29" w:rsidRPr="00234C14" w:rsidRDefault="00FF4C29" w:rsidP="00CF00E7">
            <w:pPr>
              <w:pStyle w:val="SCCShortJudgment"/>
              <w:rPr>
                <w:szCs w:val="20"/>
              </w:rPr>
            </w:pPr>
          </w:p>
          <w:p w:rsidR="00FF4C29" w:rsidRPr="00234C14" w:rsidRDefault="00FF4C29" w:rsidP="00CF00E7">
            <w:pPr>
              <w:pStyle w:val="SCCShortJudgment"/>
              <w:rPr>
                <w:szCs w:val="20"/>
                <w:lang w:val="fr-CA"/>
              </w:rPr>
            </w:pPr>
            <w:r w:rsidRPr="00234C14">
              <w:rPr>
                <w:szCs w:val="20"/>
                <w:lang w:val="fr-CA"/>
              </w:rPr>
              <w:t xml:space="preserve">La requête en prorogation du délai de signification et de dépôt de la demande d’autorisation d’appel est accueillie. La requête pour déposer de nouveaux éléments de preuve est rejetée. La demande d’autorisation d’appel de l’arrêt de la Cour d’appel de la Nouvelle-Écosse, numéro CAC 324385, 2011 NSCA 107, daté du 2 décembre 2011, est rejetée sans dépens. </w:t>
            </w:r>
          </w:p>
        </w:tc>
      </w:tr>
    </w:tbl>
    <w:p w:rsidR="0003085F" w:rsidRPr="00FF4C29" w:rsidRDefault="0003085F" w:rsidP="0003085F">
      <w:pPr>
        <w:rPr>
          <w:sz w:val="20"/>
          <w:szCs w:val="20"/>
          <w:lang w:val="fr-CA"/>
        </w:rPr>
      </w:pPr>
    </w:p>
    <w:p w:rsidR="0003085F" w:rsidRPr="001B157C" w:rsidRDefault="0003085F" w:rsidP="0003085F">
      <w:pPr>
        <w:rPr>
          <w:sz w:val="20"/>
          <w:szCs w:val="20"/>
          <w:u w:val="single"/>
        </w:rPr>
      </w:pPr>
      <w:r w:rsidRPr="001B157C">
        <w:rPr>
          <w:sz w:val="20"/>
          <w:szCs w:val="20"/>
          <w:u w:val="single"/>
        </w:rPr>
        <w:t>CASE SUMMARY</w:t>
      </w:r>
    </w:p>
    <w:p w:rsidR="0003085F" w:rsidRDefault="0003085F" w:rsidP="0003085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t>Criminal law — Evidence — Hearsay — Reasonableness of verdict — Standard of Proof — Sentencing — The interpretation and application of the law relating to admission of hearsay evidence for the truth of its contents — Whether lower courts failed to consider other reasonable inferences arising from the evidence — Whether the verdict was unreasonable and unsupported by the evidence — Proper application of the law of unlawful confinement — Whether findings of fact are unsupported by the evidence — Application of the law of circumstantial evidence — Whether trial judge failed to apply the standard of proof beyond a reasonable doubt — Whether sentences were harsh and excessive having regard to all the circumstances.</w:t>
            </w:r>
          </w:p>
        </w:tc>
      </w:tr>
      <w:tr w:rsidR="00C75946" w:rsidRPr="00E54200" w:rsidTr="002915ED">
        <w:tc>
          <w:tcPr>
            <w:tcW w:w="5000" w:type="pct"/>
            <w:gridSpan w:val="3"/>
          </w:tcPr>
          <w:p w:rsidR="00C75946" w:rsidRPr="00E54200" w:rsidRDefault="00C75946" w:rsidP="002915ED">
            <w:pPr>
              <w:jc w:val="both"/>
              <w:rPr>
                <w:rFonts w:eastAsia="Calibri"/>
                <w:sz w:val="20"/>
              </w:rPr>
            </w:pPr>
          </w:p>
        </w:tc>
      </w:tr>
      <w:tr w:rsidR="00C75946" w:rsidRPr="00E54200" w:rsidTr="002915ED">
        <w:tc>
          <w:tcPr>
            <w:tcW w:w="5000" w:type="pct"/>
            <w:gridSpan w:val="3"/>
          </w:tcPr>
          <w:p w:rsidR="00C75946" w:rsidRPr="00E54200" w:rsidRDefault="00C75946" w:rsidP="002915ED">
            <w:pPr>
              <w:jc w:val="both"/>
              <w:rPr>
                <w:rFonts w:eastAsia="Calibri"/>
                <w:sz w:val="20"/>
              </w:rPr>
            </w:pPr>
            <w:r w:rsidRPr="00E54200">
              <w:rPr>
                <w:rFonts w:eastAsia="Calibri"/>
                <w:sz w:val="20"/>
              </w:rPr>
              <w:t xml:space="preserve">Police were intercepting the applicant’s telephone conversations as well as those of his girlfriend and an associate.  On January 9 and 10, 2009, they intercepted telephone conversations which led them to conclude that an unlawful </w:t>
            </w:r>
            <w:r w:rsidRPr="00E54200">
              <w:rPr>
                <w:rFonts w:eastAsia="Calibri"/>
                <w:sz w:val="20"/>
              </w:rPr>
              <w:lastRenderedPageBreak/>
              <w:t>confinement, assault and extortion were in process.  The police charged Shea with forcible confinement, extortion and breach of recognizance.  They charged his two accomplices with related offences.  The victim told the police “nothing happened”.  Based on the intercepts and evidence found by the police, the Crown alleged at trial that a car was taken from the applicant’s residence and the applicant suspected that the victim, Hersey, stole the car or arranged to have it stolen.  He recruited Stevenson and McKenna’s assistance and they went to Hersey’s residence.  Armed, the applicant and Stevenson went into Hersey’s residence.  Stevenson assaulted Hersey.  The applicant and Stevenson used violence and threats of violence to get Hersey to return the car or to reveal its location.</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lastRenderedPageBreak/>
              <w:t>February 2, 2010</w:t>
            </w:r>
          </w:p>
          <w:p w:rsidR="00C75946" w:rsidRPr="00E54200" w:rsidRDefault="00C75946" w:rsidP="002915ED">
            <w:pPr>
              <w:jc w:val="both"/>
              <w:rPr>
                <w:rFonts w:eastAsia="Calibri"/>
                <w:sz w:val="20"/>
              </w:rPr>
            </w:pPr>
            <w:r w:rsidRPr="00E54200">
              <w:rPr>
                <w:rFonts w:eastAsia="Calibri"/>
                <w:sz w:val="20"/>
              </w:rPr>
              <w:t>Supreme Court of Nova Scotia, Trial Division</w:t>
            </w:r>
          </w:p>
          <w:p w:rsidR="00C75946" w:rsidRPr="00E54200" w:rsidRDefault="00C75946" w:rsidP="002915ED">
            <w:pPr>
              <w:jc w:val="both"/>
              <w:rPr>
                <w:rFonts w:eastAsia="Calibri"/>
                <w:sz w:val="20"/>
              </w:rPr>
            </w:pPr>
            <w:r w:rsidRPr="00E54200">
              <w:rPr>
                <w:rFonts w:eastAsia="Calibri"/>
                <w:sz w:val="20"/>
              </w:rPr>
              <w:t>(LeBlanc J.)</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 xml:space="preserve">Convictions on two counts of extortion, one count of forcible confinement and one count of breach of recognizance.  Sentence to six years and six months' imprisonment.  </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December 2, 2011</w:t>
            </w:r>
          </w:p>
          <w:p w:rsidR="00C75946" w:rsidRPr="00E54200" w:rsidRDefault="00C75946" w:rsidP="002915ED">
            <w:pPr>
              <w:jc w:val="both"/>
              <w:rPr>
                <w:rFonts w:eastAsia="Calibri"/>
                <w:sz w:val="20"/>
              </w:rPr>
            </w:pPr>
            <w:r w:rsidRPr="00E54200">
              <w:rPr>
                <w:rFonts w:eastAsia="Calibri"/>
                <w:sz w:val="20"/>
              </w:rPr>
              <w:t>Nova Scotia Court of Appeal</w:t>
            </w:r>
          </w:p>
          <w:p w:rsidR="00C75946" w:rsidRPr="00E54200" w:rsidRDefault="00C75946" w:rsidP="002915ED">
            <w:pPr>
              <w:jc w:val="both"/>
              <w:rPr>
                <w:rFonts w:eastAsia="Calibri"/>
                <w:sz w:val="20"/>
              </w:rPr>
            </w:pPr>
            <w:r w:rsidRPr="00E54200">
              <w:rPr>
                <w:rFonts w:eastAsia="Calibri"/>
                <w:sz w:val="20"/>
              </w:rPr>
              <w:t>(Saunder, Hamilton, Farrar JJ.A.)</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Appeal from convictions and sentences dismissed</w:t>
            </w:r>
          </w:p>
          <w:p w:rsidR="00C75946" w:rsidRPr="00E54200" w:rsidRDefault="00C75946" w:rsidP="002915ED">
            <w:pPr>
              <w:jc w:val="both"/>
              <w:rPr>
                <w:rFonts w:eastAsia="Calibri"/>
                <w:sz w:val="20"/>
              </w:rPr>
            </w:pPr>
          </w:p>
        </w:tc>
      </w:tr>
      <w:tr w:rsidR="00C75946" w:rsidRPr="00E54200" w:rsidTr="002915ED">
        <w:tc>
          <w:tcPr>
            <w:tcW w:w="2427" w:type="pct"/>
          </w:tcPr>
          <w:p w:rsidR="00C75946" w:rsidRPr="00E54200" w:rsidRDefault="00C75946" w:rsidP="002915ED">
            <w:pPr>
              <w:jc w:val="both"/>
              <w:rPr>
                <w:rFonts w:eastAsia="Calibri"/>
                <w:sz w:val="20"/>
              </w:rPr>
            </w:pPr>
            <w:r w:rsidRPr="00E54200">
              <w:rPr>
                <w:rFonts w:eastAsia="Calibri"/>
                <w:sz w:val="20"/>
              </w:rPr>
              <w:t>February 28, 2012</w:t>
            </w:r>
          </w:p>
          <w:p w:rsidR="00C75946" w:rsidRPr="00E54200" w:rsidRDefault="00C75946" w:rsidP="002915ED">
            <w:pPr>
              <w:jc w:val="both"/>
              <w:rPr>
                <w:rFonts w:eastAsia="Calibri"/>
                <w:sz w:val="20"/>
              </w:rPr>
            </w:pPr>
            <w:r w:rsidRPr="00E54200">
              <w:rPr>
                <w:rFonts w:eastAsia="Calibri"/>
                <w:sz w:val="20"/>
              </w:rPr>
              <w:t>Supreme Court of Canada</w:t>
            </w:r>
          </w:p>
          <w:p w:rsidR="00C75946" w:rsidRPr="00E54200" w:rsidRDefault="00C75946" w:rsidP="002915ED">
            <w:pPr>
              <w:jc w:val="both"/>
              <w:rPr>
                <w:rFonts w:eastAsia="Calibri"/>
                <w:sz w:val="20"/>
              </w:rPr>
            </w:pPr>
          </w:p>
        </w:tc>
        <w:tc>
          <w:tcPr>
            <w:tcW w:w="243" w:type="pct"/>
          </w:tcPr>
          <w:p w:rsidR="00C75946" w:rsidRPr="00E54200" w:rsidRDefault="00C75946" w:rsidP="002915ED">
            <w:pPr>
              <w:jc w:val="both"/>
              <w:rPr>
                <w:rFonts w:eastAsia="Calibri"/>
                <w:sz w:val="20"/>
              </w:rPr>
            </w:pPr>
          </w:p>
        </w:tc>
        <w:tc>
          <w:tcPr>
            <w:tcW w:w="2330" w:type="pct"/>
          </w:tcPr>
          <w:p w:rsidR="00C75946" w:rsidRPr="00E54200" w:rsidRDefault="00C75946" w:rsidP="002915ED">
            <w:pPr>
              <w:jc w:val="both"/>
              <w:rPr>
                <w:rFonts w:eastAsia="Calibri"/>
                <w:sz w:val="20"/>
              </w:rPr>
            </w:pPr>
            <w:r w:rsidRPr="00E54200">
              <w:rPr>
                <w:rFonts w:eastAsia="Calibri"/>
                <w:sz w:val="20"/>
              </w:rPr>
              <w:t>Application for extension of time to serve and file application for leave to appeal, Motion to admit fresh evidence, and Application for leave to appeal filed</w:t>
            </w:r>
          </w:p>
        </w:tc>
      </w:tr>
    </w:tbl>
    <w:p w:rsidR="0003085F" w:rsidRDefault="0003085F" w:rsidP="0003085F">
      <w:pPr>
        <w:rPr>
          <w:sz w:val="20"/>
          <w:szCs w:val="20"/>
        </w:rPr>
      </w:pPr>
    </w:p>
    <w:p w:rsidR="0003085F" w:rsidRDefault="00BA233E" w:rsidP="0003085F">
      <w:pPr>
        <w:rPr>
          <w:sz w:val="20"/>
          <w:szCs w:val="20"/>
        </w:rPr>
      </w:pPr>
      <w:r w:rsidRPr="00BA233E">
        <w:rPr>
          <w:sz w:val="20"/>
          <w:szCs w:val="20"/>
          <w:lang w:val="fr-CA"/>
        </w:rPr>
        <w:pict>
          <v:rect id="_x0000_i1048" style="width:2in;height:1pt" o:hrpct="0" o:hralign="center" o:hrstd="t" o:hrnoshade="t" o:hr="t" fillcolor="black [3213]" stroked="f"/>
        </w:pict>
      </w:r>
    </w:p>
    <w:p w:rsidR="0003085F" w:rsidRDefault="0003085F" w:rsidP="0003085F">
      <w:pPr>
        <w:rPr>
          <w:sz w:val="20"/>
          <w:szCs w:val="20"/>
        </w:rPr>
      </w:pPr>
    </w:p>
    <w:p w:rsidR="0003085F" w:rsidRPr="001B157C" w:rsidRDefault="0003085F" w:rsidP="0003085F">
      <w:pPr>
        <w:rPr>
          <w:sz w:val="20"/>
          <w:szCs w:val="20"/>
          <w:u w:val="single"/>
          <w:lang w:val="fr-CA"/>
        </w:rPr>
      </w:pPr>
      <w:r w:rsidRPr="001B157C">
        <w:rPr>
          <w:sz w:val="20"/>
          <w:szCs w:val="20"/>
          <w:u w:val="single"/>
          <w:lang w:val="fr-CA"/>
        </w:rPr>
        <w:t>RÉSUMÉ DE L’AFFAIRE</w:t>
      </w:r>
    </w:p>
    <w:p w:rsidR="0003085F" w:rsidRDefault="0003085F" w:rsidP="0003085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75946" w:rsidRPr="001A2926"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Droit criminel — Preuve — Ouï</w:t>
            </w:r>
            <w:r w:rsidRPr="00E54200">
              <w:rPr>
                <w:rFonts w:eastAsia="Calibri"/>
                <w:sz w:val="20"/>
                <w:lang w:val="fr-CA"/>
              </w:rPr>
              <w:noBreakHyphen/>
              <w:t>dire — Caractère raisonnable du verdict — Norme de preuve — Détermination de la peine — Interprétation et application des règles de droit relatives à l’admission de la preuve par ouï</w:t>
            </w:r>
            <w:r w:rsidRPr="00E54200">
              <w:rPr>
                <w:rFonts w:eastAsia="Calibri"/>
                <w:sz w:val="20"/>
                <w:lang w:val="fr-CA"/>
              </w:rPr>
              <w:noBreakHyphen/>
              <w:t>dire pour établir la véracité de son contenu — Les juridictions inférieures ont</w:t>
            </w:r>
            <w:r w:rsidRPr="00E54200">
              <w:rPr>
                <w:rFonts w:eastAsia="Calibri"/>
                <w:sz w:val="20"/>
                <w:lang w:val="fr-CA"/>
              </w:rPr>
              <w:noBreakHyphen/>
              <w:t>elles omis de tirer d'autres conclusions raisonnables de la preuve? — Le verdict était</w:t>
            </w:r>
            <w:r w:rsidRPr="00E54200">
              <w:rPr>
                <w:rFonts w:eastAsia="Calibri"/>
                <w:sz w:val="20"/>
                <w:lang w:val="fr-CA"/>
              </w:rPr>
              <w:noBreakHyphen/>
              <w:t>il déraisonnable et non fondé sur la preuve? — Bonne application de la règle de droit en matière de séquestration — Les conclusions de fait étaient</w:t>
            </w:r>
            <w:r w:rsidRPr="00E54200">
              <w:rPr>
                <w:rFonts w:eastAsia="Calibri"/>
                <w:sz w:val="20"/>
                <w:lang w:val="fr-CA"/>
              </w:rPr>
              <w:noBreakHyphen/>
              <w:t>elles non étayées par la preuve? — Application de la règle de droit en matière de preuve circonstancielle — Le juge du procès a</w:t>
            </w:r>
            <w:r w:rsidRPr="00E54200">
              <w:rPr>
                <w:rFonts w:eastAsia="Calibri"/>
                <w:sz w:val="20"/>
                <w:lang w:val="fr-CA"/>
              </w:rPr>
              <w:noBreakHyphen/>
              <w:t>t</w:t>
            </w:r>
            <w:r w:rsidRPr="00E54200">
              <w:rPr>
                <w:rFonts w:eastAsia="Calibri"/>
                <w:sz w:val="20"/>
                <w:lang w:val="fr-CA"/>
              </w:rPr>
              <w:noBreakHyphen/>
              <w:t>il omis d'appliquer la norme de la preuve hors de tout doute raisonnable? — Les peines étaient</w:t>
            </w:r>
            <w:r w:rsidRPr="00E54200">
              <w:rPr>
                <w:rFonts w:eastAsia="Calibri"/>
                <w:sz w:val="20"/>
                <w:lang w:val="fr-CA"/>
              </w:rPr>
              <w:noBreakHyphen/>
              <w:t>elles sévères et excessives eu égard à toutes les circonstances?</w:t>
            </w:r>
          </w:p>
        </w:tc>
      </w:tr>
      <w:tr w:rsidR="00C75946" w:rsidRPr="001A2926" w:rsidTr="002915ED">
        <w:tc>
          <w:tcPr>
            <w:tcW w:w="5000" w:type="pct"/>
            <w:gridSpan w:val="3"/>
          </w:tcPr>
          <w:p w:rsidR="00C75946" w:rsidRPr="00E54200" w:rsidRDefault="00C75946" w:rsidP="002915ED">
            <w:pPr>
              <w:jc w:val="both"/>
              <w:rPr>
                <w:rFonts w:eastAsia="Calibri"/>
                <w:sz w:val="20"/>
                <w:lang w:val="fr-CA"/>
              </w:rPr>
            </w:pPr>
          </w:p>
        </w:tc>
      </w:tr>
      <w:tr w:rsidR="00C75946" w:rsidRPr="001A2926" w:rsidTr="002915ED">
        <w:tc>
          <w:tcPr>
            <w:tcW w:w="5000" w:type="pct"/>
            <w:gridSpan w:val="3"/>
          </w:tcPr>
          <w:p w:rsidR="00C75946" w:rsidRPr="00E54200" w:rsidRDefault="00C75946" w:rsidP="002915ED">
            <w:pPr>
              <w:jc w:val="both"/>
              <w:rPr>
                <w:rFonts w:eastAsia="Calibri"/>
                <w:sz w:val="20"/>
                <w:lang w:val="fr-CA"/>
              </w:rPr>
            </w:pPr>
            <w:r w:rsidRPr="00E54200">
              <w:rPr>
                <w:rFonts w:eastAsia="Calibri"/>
                <w:sz w:val="20"/>
                <w:lang w:val="fr-CA"/>
              </w:rPr>
              <w:t xml:space="preserve">Des policiers interceptaient les conversations téléphoniques du demandeur ainsi que celles de sa petite amie et d'un associé.  Le 9 et 10 janvier 2009, ils ont intercepté des conversations téléphoniques qui les a amenés à conclure qu'une séquestration, des voies de fait et une extorsion étaient en train d'être commises.  Les policiers ont accusé M. Shea de séquestration, d'extorsion et de manquement à un engagement.  Ils ont accusé ses deux complices d’infractions connexes.  La victime a affirmé aux policiers que « rien ne s'était passé ».  En s'appuyant sur les communications interceptées et la preuve trouvée par les policiers, le ministère public a allégué au procès qu'une voiture avait été enlevée du domicile du demandeur et que ce dernier soupçonnait la victime, M. Hersey, d’avoir volé ou fait voler la voiture.  Il a recruté M. Stevenson et Mme McKenna pour l’aider et ils se sont rendus au domicile de M. Hersey.  Armés, le demandeur et M. Stevenson sont entrés chez M. Hersey.  Monsieur Stevenson a agressé M. Hersey.  Le demandeur et M. Stevenson ont usé de violence et de menaces de violence pour amener M. Hersey à rendre la voiture où à dire ou elle se trouvait.   </w:t>
            </w:r>
          </w:p>
          <w:p w:rsidR="00C75946" w:rsidRPr="00E54200" w:rsidRDefault="00C75946" w:rsidP="002915ED">
            <w:pPr>
              <w:jc w:val="both"/>
              <w:rPr>
                <w:rFonts w:eastAsia="Calibri"/>
                <w:sz w:val="20"/>
                <w:lang w:val="fr-CA"/>
              </w:rPr>
            </w:pPr>
          </w:p>
        </w:tc>
      </w:tr>
      <w:tr w:rsidR="00C75946" w:rsidRPr="00E54200"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2 février 2010</w:t>
            </w:r>
          </w:p>
          <w:p w:rsidR="00C75946" w:rsidRPr="00E54200" w:rsidRDefault="00C75946" w:rsidP="002915ED">
            <w:pPr>
              <w:jc w:val="both"/>
              <w:rPr>
                <w:rFonts w:eastAsia="Calibri"/>
                <w:sz w:val="20"/>
                <w:lang w:val="fr-CA"/>
              </w:rPr>
            </w:pPr>
            <w:r w:rsidRPr="00E54200">
              <w:rPr>
                <w:rFonts w:eastAsia="Calibri"/>
                <w:sz w:val="20"/>
                <w:lang w:val="fr-CA"/>
              </w:rPr>
              <w:t>Cour suprême de la Nouvelle</w:t>
            </w:r>
            <w:r w:rsidRPr="00E54200">
              <w:rPr>
                <w:rFonts w:eastAsia="Calibri"/>
                <w:sz w:val="20"/>
                <w:lang w:val="fr-CA"/>
              </w:rPr>
              <w:noBreakHyphen/>
              <w:t xml:space="preserve">Écosse, Section de première instance </w:t>
            </w:r>
          </w:p>
          <w:p w:rsidR="00C75946" w:rsidRPr="00E54200" w:rsidRDefault="00C75946" w:rsidP="002915ED">
            <w:pPr>
              <w:jc w:val="both"/>
              <w:rPr>
                <w:rFonts w:eastAsia="Calibri"/>
                <w:sz w:val="20"/>
                <w:lang w:val="fr-CA"/>
              </w:rPr>
            </w:pPr>
            <w:r w:rsidRPr="00E54200">
              <w:rPr>
                <w:rFonts w:eastAsia="Calibri"/>
                <w:sz w:val="20"/>
                <w:lang w:val="fr-CA"/>
              </w:rPr>
              <w:t>(Juge LeBlanc)</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 xml:space="preserve">Déclaration de culpabilité sous deux chefs d'extorsion, un chef de séquestration et un chef de manquement à un engagement. Peine d'emprisonnement de six ans et six mois.  </w:t>
            </w:r>
          </w:p>
          <w:p w:rsidR="00C75946" w:rsidRPr="00E54200" w:rsidRDefault="00C75946" w:rsidP="002915ED">
            <w:pPr>
              <w:jc w:val="both"/>
              <w:rPr>
                <w:rFonts w:eastAsia="Calibri"/>
                <w:sz w:val="20"/>
                <w:lang w:val="fr-CA"/>
              </w:rPr>
            </w:pPr>
          </w:p>
        </w:tc>
      </w:tr>
      <w:tr w:rsidR="00C75946" w:rsidRPr="001A2926"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lastRenderedPageBreak/>
              <w:t>2 décembre 2011</w:t>
            </w:r>
          </w:p>
          <w:p w:rsidR="00C75946" w:rsidRPr="00E54200" w:rsidRDefault="00C75946" w:rsidP="002915ED">
            <w:pPr>
              <w:jc w:val="both"/>
              <w:rPr>
                <w:rFonts w:eastAsia="Calibri"/>
                <w:sz w:val="20"/>
                <w:lang w:val="fr-CA"/>
              </w:rPr>
            </w:pPr>
            <w:r w:rsidRPr="00E54200">
              <w:rPr>
                <w:rFonts w:eastAsia="Calibri"/>
                <w:sz w:val="20"/>
                <w:lang w:val="fr-CA"/>
              </w:rPr>
              <w:t>Cour d'appel de la Nouvelle</w:t>
            </w:r>
            <w:r w:rsidRPr="00E54200">
              <w:rPr>
                <w:rFonts w:eastAsia="Calibri"/>
                <w:sz w:val="20"/>
                <w:lang w:val="fr-CA"/>
              </w:rPr>
              <w:noBreakHyphen/>
              <w:t xml:space="preserve">Écosse </w:t>
            </w:r>
          </w:p>
          <w:p w:rsidR="00C75946" w:rsidRPr="00E54200" w:rsidRDefault="00C75946" w:rsidP="002915ED">
            <w:pPr>
              <w:jc w:val="both"/>
              <w:rPr>
                <w:rFonts w:eastAsia="Calibri"/>
                <w:sz w:val="20"/>
                <w:lang w:val="fr-CA"/>
              </w:rPr>
            </w:pPr>
            <w:r w:rsidRPr="00E54200">
              <w:rPr>
                <w:rFonts w:eastAsia="Calibri"/>
                <w:sz w:val="20"/>
                <w:lang w:val="fr-CA"/>
              </w:rPr>
              <w:t>(Juges Saunder, Hamilton et Farrar)</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Appel des déclarations de culpabilité et des peines, rejeté</w:t>
            </w:r>
          </w:p>
          <w:p w:rsidR="00C75946" w:rsidRPr="00E54200" w:rsidRDefault="00C75946" w:rsidP="002915ED">
            <w:pPr>
              <w:jc w:val="both"/>
              <w:rPr>
                <w:rFonts w:eastAsia="Calibri"/>
                <w:sz w:val="20"/>
                <w:lang w:val="fr-CA"/>
              </w:rPr>
            </w:pPr>
          </w:p>
        </w:tc>
      </w:tr>
      <w:tr w:rsidR="00C75946" w:rsidRPr="001A2926" w:rsidTr="002915ED">
        <w:tc>
          <w:tcPr>
            <w:tcW w:w="2427" w:type="pct"/>
          </w:tcPr>
          <w:p w:rsidR="00C75946" w:rsidRPr="00E54200" w:rsidRDefault="00C75946" w:rsidP="002915ED">
            <w:pPr>
              <w:jc w:val="both"/>
              <w:rPr>
                <w:rFonts w:eastAsia="Calibri"/>
                <w:sz w:val="20"/>
                <w:lang w:val="fr-CA"/>
              </w:rPr>
            </w:pPr>
            <w:r w:rsidRPr="00E54200">
              <w:rPr>
                <w:rFonts w:eastAsia="Calibri"/>
                <w:sz w:val="20"/>
                <w:lang w:val="fr-CA"/>
              </w:rPr>
              <w:t>28 février 2012</w:t>
            </w:r>
          </w:p>
          <w:p w:rsidR="00C75946" w:rsidRPr="00E54200" w:rsidRDefault="00C75946" w:rsidP="002915ED">
            <w:pPr>
              <w:jc w:val="both"/>
              <w:rPr>
                <w:rFonts w:eastAsia="Calibri"/>
                <w:sz w:val="20"/>
                <w:lang w:val="fr-CA"/>
              </w:rPr>
            </w:pPr>
            <w:r w:rsidRPr="00E54200">
              <w:rPr>
                <w:rFonts w:eastAsia="Calibri"/>
                <w:sz w:val="20"/>
                <w:lang w:val="fr-CA"/>
              </w:rPr>
              <w:t>Cour suprême du Canada</w:t>
            </w:r>
          </w:p>
          <w:p w:rsidR="00C75946" w:rsidRPr="00E54200" w:rsidRDefault="00C75946" w:rsidP="002915ED">
            <w:pPr>
              <w:jc w:val="both"/>
              <w:rPr>
                <w:rFonts w:eastAsia="Calibri"/>
                <w:sz w:val="20"/>
                <w:lang w:val="fr-CA"/>
              </w:rPr>
            </w:pPr>
          </w:p>
        </w:tc>
        <w:tc>
          <w:tcPr>
            <w:tcW w:w="243" w:type="pct"/>
          </w:tcPr>
          <w:p w:rsidR="00C75946" w:rsidRPr="00E54200" w:rsidRDefault="00C75946" w:rsidP="002915ED">
            <w:pPr>
              <w:jc w:val="both"/>
              <w:rPr>
                <w:rFonts w:eastAsia="Calibri"/>
                <w:sz w:val="20"/>
                <w:lang w:val="fr-CA"/>
              </w:rPr>
            </w:pPr>
          </w:p>
        </w:tc>
        <w:tc>
          <w:tcPr>
            <w:tcW w:w="2330" w:type="pct"/>
          </w:tcPr>
          <w:p w:rsidR="00C75946" w:rsidRPr="00E54200" w:rsidRDefault="00C75946" w:rsidP="002915ED">
            <w:pPr>
              <w:jc w:val="both"/>
              <w:rPr>
                <w:rFonts w:eastAsia="Calibri"/>
                <w:sz w:val="20"/>
                <w:lang w:val="fr-CA"/>
              </w:rPr>
            </w:pPr>
            <w:r w:rsidRPr="00E54200">
              <w:rPr>
                <w:rFonts w:eastAsia="Calibri"/>
                <w:sz w:val="20"/>
                <w:lang w:val="fr-CA"/>
              </w:rPr>
              <w:t xml:space="preserve">Demande de prorogation du délai de signification et de dépôt de la demande d'autorisation d'appel, requête en vue de produire de nouveaux éléments de preuve et demande d'autorisation d'appel, déposées </w:t>
            </w:r>
          </w:p>
        </w:tc>
      </w:tr>
    </w:tbl>
    <w:p w:rsidR="0003085F" w:rsidRPr="00C75946" w:rsidRDefault="0003085F" w:rsidP="0003085F">
      <w:pPr>
        <w:rPr>
          <w:sz w:val="20"/>
          <w:szCs w:val="20"/>
          <w:lang w:val="fr-CA"/>
        </w:rPr>
      </w:pPr>
    </w:p>
    <w:p w:rsidR="0003085F" w:rsidRDefault="00BA233E" w:rsidP="0003085F">
      <w:pPr>
        <w:rPr>
          <w:sz w:val="20"/>
          <w:szCs w:val="20"/>
        </w:rPr>
      </w:pPr>
      <w:r w:rsidRPr="00BA233E">
        <w:rPr>
          <w:sz w:val="20"/>
          <w:szCs w:val="20"/>
          <w:lang w:val="fr-CA"/>
        </w:rPr>
        <w:pict>
          <v:rect id="_x0000_i1049"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t>07.09.2012</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jc w:val="both"/>
        <w:rPr>
          <w:rFonts w:cs="Times New Roman"/>
          <w:sz w:val="20"/>
          <w:szCs w:val="20"/>
          <w:lang w:val="fr-CA"/>
        </w:rPr>
      </w:pPr>
      <w:r w:rsidRPr="00D12547">
        <w:rPr>
          <w:rFonts w:cs="Times New Roman"/>
          <w:sz w:val="20"/>
          <w:szCs w:val="20"/>
          <w:lang w:val="fr-CA"/>
        </w:rPr>
        <w:t>Before / Devant:   CROMWELL J. / LE JUGE CROMWELL</w:t>
      </w:r>
    </w:p>
    <w:p w:rsidR="00021907" w:rsidRPr="00D12547" w:rsidRDefault="00021907" w:rsidP="00021907">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21907" w:rsidRPr="00D12547" w:rsidTr="002915ED">
        <w:trPr>
          <w:trHeight w:val="151"/>
        </w:trPr>
        <w:tc>
          <w:tcPr>
            <w:tcW w:w="4338" w:type="dxa"/>
          </w:tcPr>
          <w:p w:rsidR="00021907" w:rsidRPr="00D12547" w:rsidRDefault="00BA233E" w:rsidP="002915ED">
            <w:pPr>
              <w:tabs>
                <w:tab w:val="left" w:pos="-1440"/>
                <w:tab w:val="left" w:pos="-720"/>
              </w:tabs>
              <w:jc w:val="both"/>
              <w:rPr>
                <w:rFonts w:cs="Times New Roman"/>
                <w:sz w:val="20"/>
                <w:szCs w:val="20"/>
                <w:lang w:val="fr-CA"/>
              </w:rPr>
            </w:pP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r w:rsidR="00021907" w:rsidRPr="00D12547">
              <w:rPr>
                <w:rFonts w:cs="Times New Roman"/>
                <w:b/>
                <w:bCs/>
                <w:sz w:val="20"/>
                <w:szCs w:val="20"/>
                <w:lang w:val="fr-CA"/>
              </w:rPr>
              <w:t>Miscellaneous motion</w:t>
            </w:r>
          </w:p>
          <w:p w:rsidR="00021907" w:rsidRPr="00D12547" w:rsidRDefault="00BA233E" w:rsidP="002915ED">
            <w:pPr>
              <w:tabs>
                <w:tab w:val="left" w:pos="-1440"/>
                <w:tab w:val="left" w:pos="-720"/>
              </w:tabs>
              <w:jc w:val="both"/>
              <w:rPr>
                <w:rFonts w:cs="Times New Roman"/>
                <w:sz w:val="20"/>
                <w:szCs w:val="20"/>
                <w:lang w:val="fr-CA"/>
              </w:rPr>
            </w:pP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p>
        </w:tc>
        <w:tc>
          <w:tcPr>
            <w:tcW w:w="1170" w:type="dxa"/>
          </w:tcPr>
          <w:p w:rsidR="00021907" w:rsidRPr="00D12547" w:rsidRDefault="00021907" w:rsidP="002915ED">
            <w:pPr>
              <w:jc w:val="both"/>
              <w:rPr>
                <w:rFonts w:cs="Times New Roman"/>
                <w:sz w:val="20"/>
                <w:szCs w:val="20"/>
                <w:lang w:val="fr-CA"/>
              </w:rPr>
            </w:pPr>
          </w:p>
          <w:p w:rsidR="00021907" w:rsidRPr="00D12547" w:rsidRDefault="00021907" w:rsidP="002915ED">
            <w:pPr>
              <w:jc w:val="both"/>
              <w:rPr>
                <w:rFonts w:cs="Times New Roman"/>
                <w:sz w:val="20"/>
                <w:szCs w:val="20"/>
                <w:lang w:val="fr-CA"/>
              </w:rPr>
            </w:pPr>
          </w:p>
        </w:tc>
        <w:tc>
          <w:tcPr>
            <w:tcW w:w="4327" w:type="dxa"/>
          </w:tcPr>
          <w:p w:rsidR="00021907" w:rsidRPr="00D12547" w:rsidRDefault="00BA233E" w:rsidP="002915ED">
            <w:pPr>
              <w:jc w:val="both"/>
              <w:rPr>
                <w:rFonts w:cs="Times New Roman"/>
                <w:b/>
                <w:sz w:val="20"/>
                <w:szCs w:val="20"/>
                <w:lang w:val="fr-CA"/>
              </w:rPr>
            </w:pP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r w:rsidR="00021907" w:rsidRPr="00D12547">
              <w:rPr>
                <w:rFonts w:cs="Times New Roman"/>
                <w:b/>
                <w:bCs/>
                <w:sz w:val="20"/>
                <w:szCs w:val="20"/>
                <w:lang w:val="fr-CA"/>
              </w:rPr>
              <w:t>Requête diverse</w:t>
            </w:r>
          </w:p>
          <w:p w:rsidR="00021907" w:rsidRPr="00D12547" w:rsidRDefault="00BA233E" w:rsidP="002915ED">
            <w:pPr>
              <w:jc w:val="both"/>
              <w:rPr>
                <w:rFonts w:cs="Times New Roman"/>
                <w:b/>
                <w:sz w:val="20"/>
                <w:szCs w:val="20"/>
                <w:lang w:val="fr-CA"/>
              </w:rPr>
            </w:pPr>
            <w:r w:rsidRPr="00D12547">
              <w:rPr>
                <w:rFonts w:cs="Times New Roman"/>
                <w:b/>
                <w:sz w:val="20"/>
                <w:szCs w:val="20"/>
              </w:rPr>
              <w:fldChar w:fldCharType="begin"/>
            </w:r>
            <w:r w:rsidR="00021907" w:rsidRPr="00D12547">
              <w:rPr>
                <w:rFonts w:cs="Times New Roman"/>
                <w:b/>
                <w:sz w:val="20"/>
                <w:szCs w:val="20"/>
                <w:lang w:val="fr-CA"/>
              </w:rPr>
              <w:instrText xml:space="preserve"> SEQ CHAPTER \h \r 1</w:instrText>
            </w:r>
            <w:r w:rsidRPr="00D12547">
              <w:rPr>
                <w:rFonts w:cs="Times New Roman"/>
                <w:b/>
                <w:sz w:val="20"/>
                <w:szCs w:val="20"/>
              </w:rPr>
              <w:fldChar w:fldCharType="end"/>
            </w:r>
            <w:r w:rsidRPr="00D12547">
              <w:rPr>
                <w:rFonts w:cs="Times New Roman"/>
                <w:b/>
                <w:sz w:val="20"/>
                <w:szCs w:val="20"/>
              </w:rPr>
              <w:fldChar w:fldCharType="begin"/>
            </w:r>
            <w:r w:rsidR="00021907" w:rsidRPr="00D12547">
              <w:rPr>
                <w:rFonts w:cs="Times New Roman"/>
                <w:b/>
                <w:sz w:val="20"/>
                <w:szCs w:val="20"/>
                <w:lang w:val="fr-CA"/>
              </w:rPr>
              <w:instrText xml:space="preserve"> SEQ CHAPTER \h \r 1</w:instrText>
            </w:r>
            <w:r w:rsidRPr="00D12547">
              <w:rPr>
                <w:rFonts w:cs="Times New Roman"/>
                <w:b/>
                <w:sz w:val="20"/>
                <w:szCs w:val="20"/>
              </w:rPr>
              <w:fldChar w:fldCharType="end"/>
            </w:r>
          </w:p>
        </w:tc>
      </w:tr>
      <w:tr w:rsidR="00021907" w:rsidRPr="00D12547" w:rsidTr="002915ED">
        <w:trPr>
          <w:trHeight w:val="150"/>
        </w:trPr>
        <w:tc>
          <w:tcPr>
            <w:tcW w:w="4338" w:type="dxa"/>
          </w:tcPr>
          <w:p w:rsidR="00021907" w:rsidRPr="00D12547" w:rsidRDefault="00021907" w:rsidP="002915ED">
            <w:pPr>
              <w:tabs>
                <w:tab w:val="left" w:pos="-1440"/>
                <w:tab w:val="left" w:pos="-720"/>
              </w:tabs>
              <w:jc w:val="both"/>
              <w:rPr>
                <w:rFonts w:cs="Times New Roman"/>
                <w:sz w:val="20"/>
                <w:szCs w:val="20"/>
              </w:rPr>
            </w:pPr>
            <w:r w:rsidRPr="00D12547">
              <w:rPr>
                <w:rFonts w:cs="Times New Roman"/>
                <w:sz w:val="20"/>
                <w:szCs w:val="20"/>
              </w:rPr>
              <w:t>R.C.D.</w:t>
            </w:r>
          </w:p>
          <w:p w:rsidR="00021907" w:rsidRPr="00D12547" w:rsidRDefault="00021907" w:rsidP="002915ED">
            <w:pPr>
              <w:tabs>
                <w:tab w:val="left" w:pos="-1440"/>
                <w:tab w:val="left" w:pos="-720"/>
              </w:tabs>
              <w:jc w:val="both"/>
              <w:rPr>
                <w:rFonts w:cs="Times New Roman"/>
                <w:sz w:val="20"/>
                <w:szCs w:val="20"/>
              </w:rPr>
            </w:pPr>
          </w:p>
          <w:p w:rsidR="00021907" w:rsidRPr="00D12547" w:rsidRDefault="00021907" w:rsidP="002915ED">
            <w:pPr>
              <w:tabs>
                <w:tab w:val="left" w:pos="-1440"/>
                <w:tab w:val="left" w:pos="-720"/>
              </w:tabs>
              <w:jc w:val="both"/>
              <w:rPr>
                <w:rFonts w:cs="Times New Roman"/>
                <w:sz w:val="20"/>
                <w:szCs w:val="20"/>
              </w:rPr>
            </w:pPr>
            <w:r w:rsidRPr="00D12547">
              <w:rPr>
                <w:rFonts w:cs="Times New Roman"/>
                <w:sz w:val="20"/>
                <w:szCs w:val="20"/>
              </w:rPr>
              <w:tab/>
              <w:t>v. (23937)</w:t>
            </w:r>
          </w:p>
          <w:p w:rsidR="00021907" w:rsidRPr="00D12547" w:rsidRDefault="00021907" w:rsidP="002915ED">
            <w:pPr>
              <w:tabs>
                <w:tab w:val="left" w:pos="-1440"/>
                <w:tab w:val="left" w:pos="-720"/>
              </w:tabs>
              <w:jc w:val="both"/>
              <w:rPr>
                <w:rFonts w:cs="Times New Roman"/>
                <w:sz w:val="20"/>
                <w:szCs w:val="20"/>
              </w:rPr>
            </w:pPr>
          </w:p>
          <w:p w:rsidR="00021907" w:rsidRPr="00D12547" w:rsidRDefault="00021907" w:rsidP="002915ED">
            <w:pPr>
              <w:tabs>
                <w:tab w:val="left" w:pos="-1440"/>
                <w:tab w:val="left" w:pos="-720"/>
              </w:tabs>
              <w:jc w:val="both"/>
              <w:rPr>
                <w:rFonts w:cs="Times New Roman"/>
                <w:sz w:val="20"/>
                <w:szCs w:val="20"/>
              </w:rPr>
            </w:pPr>
            <w:r w:rsidRPr="00D12547">
              <w:rPr>
                <w:rFonts w:cs="Times New Roman"/>
                <w:sz w:val="20"/>
                <w:szCs w:val="20"/>
              </w:rPr>
              <w:t>B.B.D. (Alta.)</w:t>
            </w:r>
          </w:p>
        </w:tc>
        <w:tc>
          <w:tcPr>
            <w:tcW w:w="1170" w:type="dxa"/>
          </w:tcPr>
          <w:p w:rsidR="00021907" w:rsidRPr="00D12547" w:rsidRDefault="00021907" w:rsidP="002915ED">
            <w:pPr>
              <w:jc w:val="both"/>
              <w:rPr>
                <w:rFonts w:cs="Times New Roman"/>
                <w:sz w:val="20"/>
                <w:szCs w:val="20"/>
              </w:rPr>
            </w:pPr>
          </w:p>
        </w:tc>
        <w:tc>
          <w:tcPr>
            <w:tcW w:w="4327" w:type="dxa"/>
          </w:tcPr>
          <w:p w:rsidR="00021907" w:rsidRPr="00D12547" w:rsidRDefault="00021907" w:rsidP="002915ED">
            <w:pPr>
              <w:jc w:val="both"/>
              <w:rPr>
                <w:rFonts w:cs="Times New Roman"/>
                <w:sz w:val="20"/>
                <w:szCs w:val="20"/>
              </w:rPr>
            </w:pPr>
          </w:p>
        </w:tc>
      </w:tr>
    </w:tbl>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tabs>
          <w:tab w:val="left" w:pos="-1440"/>
          <w:tab w:val="left" w:pos="-720"/>
        </w:tabs>
        <w:jc w:val="both"/>
        <w:rPr>
          <w:rFonts w:cs="Times New Roman"/>
          <w:sz w:val="20"/>
          <w:szCs w:val="20"/>
        </w:rPr>
      </w:pPr>
      <w:r w:rsidRPr="00D12547">
        <w:rPr>
          <w:rFonts w:cs="Times New Roman"/>
          <w:b/>
          <w:sz w:val="20"/>
          <w:szCs w:val="20"/>
        </w:rPr>
        <w:t>GRANTED / ACCORDÉE</w:t>
      </w:r>
    </w:p>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widowControl w:val="0"/>
        <w:spacing w:line="0" w:lineRule="atLeast"/>
        <w:jc w:val="both"/>
        <w:rPr>
          <w:rFonts w:cs="Times New Roman"/>
          <w:sz w:val="20"/>
          <w:szCs w:val="20"/>
        </w:rPr>
      </w:pPr>
      <w:r w:rsidRPr="00D12547">
        <w:rPr>
          <w:rFonts w:cs="Times New Roman"/>
          <w:b/>
          <w:bCs/>
          <w:sz w:val="20"/>
          <w:szCs w:val="20"/>
        </w:rPr>
        <w:t>UPON APPLICATION</w:t>
      </w:r>
      <w:r w:rsidRPr="00D12547">
        <w:rPr>
          <w:rFonts w:cs="Times New Roman"/>
          <w:sz w:val="20"/>
          <w:szCs w:val="20"/>
        </w:rPr>
        <w:t xml:space="preserve"> by the applicant for an order:</w:t>
      </w:r>
    </w:p>
    <w:p w:rsidR="00021907" w:rsidRPr="00D12547" w:rsidRDefault="00021907" w:rsidP="00021907">
      <w:pPr>
        <w:widowControl w:val="0"/>
        <w:spacing w:line="0" w:lineRule="atLeast"/>
        <w:jc w:val="both"/>
        <w:rPr>
          <w:rFonts w:cs="Times New Roman"/>
          <w:sz w:val="20"/>
          <w:szCs w:val="20"/>
        </w:rPr>
      </w:pPr>
    </w:p>
    <w:p w:rsidR="00021907" w:rsidRPr="00D12547" w:rsidRDefault="00021907" w:rsidP="00021907">
      <w:pPr>
        <w:pStyle w:val="ListParagraph"/>
        <w:widowControl w:val="0"/>
        <w:numPr>
          <w:ilvl w:val="0"/>
          <w:numId w:val="3"/>
        </w:numPr>
        <w:spacing w:line="0" w:lineRule="atLeast"/>
        <w:ind w:left="1080"/>
        <w:jc w:val="both"/>
        <w:rPr>
          <w:rFonts w:cs="Times New Roman"/>
          <w:sz w:val="20"/>
          <w:szCs w:val="20"/>
        </w:rPr>
      </w:pPr>
      <w:r w:rsidRPr="00D12547">
        <w:rPr>
          <w:rFonts w:cs="Times New Roman"/>
          <w:sz w:val="20"/>
          <w:szCs w:val="20"/>
        </w:rPr>
        <w:t>to amend all of the Court’s records and publications which are accessible online, as maintained or under the control of the Court, such that any mention of the names of the parties in those documents is replaced by initials;</w:t>
      </w:r>
    </w:p>
    <w:p w:rsidR="00021907" w:rsidRPr="00D12547" w:rsidRDefault="00021907" w:rsidP="00021907">
      <w:pPr>
        <w:pStyle w:val="ListParagraph"/>
        <w:widowControl w:val="0"/>
        <w:spacing w:line="0" w:lineRule="atLeast"/>
        <w:ind w:left="1080" w:hanging="360"/>
        <w:jc w:val="both"/>
        <w:rPr>
          <w:rFonts w:cs="Times New Roman"/>
          <w:sz w:val="20"/>
          <w:szCs w:val="20"/>
        </w:rPr>
      </w:pPr>
    </w:p>
    <w:p w:rsidR="00021907" w:rsidRPr="00D12547" w:rsidRDefault="00021907" w:rsidP="00021907">
      <w:pPr>
        <w:pStyle w:val="Level1"/>
        <w:numPr>
          <w:ilvl w:val="0"/>
          <w:numId w:val="3"/>
        </w:numPr>
        <w:ind w:left="1080"/>
        <w:jc w:val="both"/>
      </w:pPr>
      <w:r w:rsidRPr="00D12547">
        <w:rPr>
          <w:lang w:val="en-CA"/>
        </w:rPr>
        <w:t xml:space="preserve">and for sealing this motion and its supporting documents with access permitted only to the parties, their counsel, members of this Court, Court staff </w:t>
      </w:r>
      <w:r w:rsidRPr="00D12547">
        <w:t>and other persons as the parties may, in writing, agree;</w:t>
      </w:r>
    </w:p>
    <w:p w:rsidR="00021907" w:rsidRPr="00D12547" w:rsidRDefault="00021907" w:rsidP="00021907">
      <w:pPr>
        <w:pStyle w:val="ListParagraph"/>
        <w:widowControl w:val="0"/>
        <w:spacing w:line="0" w:lineRule="atLeast"/>
        <w:ind w:left="1440"/>
        <w:jc w:val="both"/>
        <w:rPr>
          <w:rFonts w:cs="Times New Roman"/>
          <w:sz w:val="20"/>
          <w:szCs w:val="20"/>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0"/>
          <w:szCs w:val="20"/>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D12547">
        <w:rPr>
          <w:rFonts w:cs="Times New Roman"/>
          <w:b/>
          <w:bCs/>
          <w:sz w:val="20"/>
          <w:szCs w:val="20"/>
        </w:rPr>
        <w:t>AND HAVING READ</w:t>
      </w:r>
      <w:r w:rsidRPr="00D12547">
        <w:rPr>
          <w:rFonts w:cs="Times New Roman"/>
          <w:sz w:val="20"/>
          <w:szCs w:val="20"/>
        </w:rPr>
        <w:t xml:space="preserve"> the material filed;</w:t>
      </w: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b/>
          <w:bCs/>
          <w:sz w:val="20"/>
          <w:szCs w:val="20"/>
        </w:rPr>
        <w:t>IT IS HEREBY ORDERED THAT:</w:t>
      </w: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lang w:val="fr-CA"/>
        </w:rPr>
      </w:pPr>
      <w:r w:rsidRPr="00D12547">
        <w:rPr>
          <w:rFonts w:cs="Times New Roman"/>
          <w:sz w:val="20"/>
          <w:szCs w:val="20"/>
        </w:rPr>
        <w:tab/>
      </w:r>
      <w:r w:rsidRPr="00D12547">
        <w:rPr>
          <w:rFonts w:cs="Times New Roman"/>
          <w:sz w:val="20"/>
          <w:szCs w:val="20"/>
          <w:lang w:val="fr-CA"/>
        </w:rPr>
        <w:t>The motion is granted.</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sz w:val="20"/>
          <w:szCs w:val="20"/>
          <w:lang w:val="fr-CA"/>
        </w:rPr>
      </w:pPr>
      <w:r w:rsidRPr="00D12547">
        <w:rPr>
          <w:rFonts w:cs="Times New Roman"/>
          <w:b/>
          <w:sz w:val="20"/>
          <w:szCs w:val="20"/>
          <w:lang w:val="fr-CA"/>
        </w:rPr>
        <w:t>À LA SUITE DE LA DEMANDE</w:t>
      </w:r>
      <w:r w:rsidRPr="00D12547">
        <w:rPr>
          <w:rFonts w:cs="Times New Roman"/>
          <w:sz w:val="20"/>
          <w:szCs w:val="20"/>
          <w:lang w:val="fr-CA"/>
        </w:rPr>
        <w:t xml:space="preserve"> du demandeur sollicitant </w:t>
      </w: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sz w:val="20"/>
          <w:szCs w:val="20"/>
          <w:lang w:val="fr-CA"/>
        </w:rPr>
      </w:pPr>
    </w:p>
    <w:p w:rsidR="00021907" w:rsidRPr="00D12547" w:rsidRDefault="00021907" w:rsidP="00021907">
      <w:pPr>
        <w:pStyle w:val="ListParagraph"/>
        <w:numPr>
          <w:ilvl w:val="1"/>
          <w:numId w:val="2"/>
        </w:numPr>
        <w:autoSpaceDE w:val="0"/>
        <w:autoSpaceDN w:val="0"/>
        <w:adjustRightInd w:val="0"/>
        <w:ind w:left="1080" w:hanging="360"/>
        <w:jc w:val="both"/>
        <w:rPr>
          <w:rFonts w:cs="Times New Roman"/>
          <w:sz w:val="20"/>
          <w:szCs w:val="20"/>
          <w:lang w:val="fr-CA"/>
        </w:rPr>
      </w:pPr>
      <w:r w:rsidRPr="00D12547">
        <w:rPr>
          <w:rFonts w:cs="Times New Roman"/>
          <w:sz w:val="20"/>
          <w:szCs w:val="20"/>
          <w:lang w:val="fr-CA"/>
        </w:rPr>
        <w:t xml:space="preserve"> </w:t>
      </w:r>
      <w:r w:rsidRPr="00D12547">
        <w:rPr>
          <w:rFonts w:cs="Times New Roman"/>
          <w:sz w:val="20"/>
          <w:szCs w:val="20"/>
          <w:lang w:val="fr-CA"/>
        </w:rPr>
        <w:tab/>
        <w:t>la modification de tous les dossiers et de toutes les publications de la Cour qui peuvent être consultés en ligne et qui sont mise à jour ou contrôlés par elle, de telle sorte que toutes les mentions des noms des parties y soient remplacées par des initiales; </w:t>
      </w:r>
    </w:p>
    <w:p w:rsidR="00021907" w:rsidRPr="00D12547" w:rsidRDefault="00021907" w:rsidP="00021907">
      <w:pPr>
        <w:pStyle w:val="ListParagraph"/>
        <w:ind w:left="1080" w:hanging="360"/>
        <w:jc w:val="both"/>
        <w:rPr>
          <w:rFonts w:cs="Times New Roman"/>
          <w:sz w:val="20"/>
          <w:szCs w:val="20"/>
          <w:lang w:val="fr-CA"/>
        </w:rPr>
      </w:pPr>
    </w:p>
    <w:p w:rsidR="00021907" w:rsidRPr="00D12547" w:rsidRDefault="00021907" w:rsidP="00021907">
      <w:pPr>
        <w:pStyle w:val="ListParagraph"/>
        <w:numPr>
          <w:ilvl w:val="1"/>
          <w:numId w:val="2"/>
        </w:numPr>
        <w:autoSpaceDE w:val="0"/>
        <w:autoSpaceDN w:val="0"/>
        <w:adjustRightInd w:val="0"/>
        <w:ind w:left="1080" w:hanging="360"/>
        <w:jc w:val="both"/>
        <w:rPr>
          <w:rFonts w:cs="Times New Roman"/>
          <w:sz w:val="20"/>
          <w:szCs w:val="20"/>
          <w:lang w:val="fr-CA"/>
        </w:rPr>
      </w:pPr>
      <w:r w:rsidRPr="00D12547">
        <w:rPr>
          <w:rFonts w:cs="Times New Roman"/>
          <w:sz w:val="20"/>
          <w:szCs w:val="20"/>
          <w:lang w:val="fr-CA"/>
        </w:rPr>
        <w:tab/>
        <w:t>la mise sous scellés de la présente requête et des documents à l’appui assortie d’une ordonnance prescrivant que seuls pourront y avoir accès les parties, leurs avocats, les juges et le personnel de la Cour, ainsi que les personnes désignées par écrit par les parties d’un commun accord.</w:t>
      </w:r>
    </w:p>
    <w:p w:rsidR="00021907" w:rsidRPr="00D12547" w:rsidRDefault="00021907" w:rsidP="00021907">
      <w:pPr>
        <w:pStyle w:val="ListParagraph"/>
        <w:tabs>
          <w:tab w:val="left" w:pos="810"/>
        </w:tabs>
        <w:ind w:left="0"/>
        <w:jc w:val="both"/>
        <w:rPr>
          <w:rFonts w:cs="Times New Roman"/>
          <w:sz w:val="20"/>
          <w:szCs w:val="20"/>
          <w:lang w:val="fr-CA"/>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sz w:val="20"/>
          <w:szCs w:val="20"/>
          <w:lang w:val="fr-CA"/>
        </w:rPr>
      </w:pPr>
      <w:r w:rsidRPr="00D12547">
        <w:rPr>
          <w:rFonts w:cs="Times New Roman"/>
          <w:b/>
          <w:sz w:val="20"/>
          <w:szCs w:val="20"/>
          <w:lang w:val="fr-CA"/>
        </w:rPr>
        <w:t>ET APRÈS EXAMEN</w:t>
      </w:r>
      <w:r w:rsidRPr="00D12547">
        <w:rPr>
          <w:rFonts w:cs="Times New Roman"/>
          <w:sz w:val="20"/>
          <w:szCs w:val="20"/>
          <w:lang w:val="fr-CA"/>
        </w:rPr>
        <w:t xml:space="preserve"> des documents déposés, </w:t>
      </w: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sz w:val="20"/>
          <w:szCs w:val="20"/>
          <w:lang w:val="fr-CA"/>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b/>
          <w:sz w:val="20"/>
          <w:szCs w:val="20"/>
          <w:lang w:val="fr-CA"/>
        </w:rPr>
      </w:pPr>
      <w:r w:rsidRPr="00D12547">
        <w:rPr>
          <w:rFonts w:cs="Times New Roman"/>
          <w:b/>
          <w:sz w:val="20"/>
          <w:szCs w:val="20"/>
          <w:lang w:val="fr-CA"/>
        </w:rPr>
        <w:t xml:space="preserve">IL EST ORDONNÉ CE QUI SUIT : </w:t>
      </w: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sz w:val="20"/>
          <w:szCs w:val="20"/>
          <w:lang w:val="fr-CA"/>
        </w:rPr>
      </w:pPr>
    </w:p>
    <w:p w:rsidR="00021907" w:rsidRPr="00D12547" w:rsidRDefault="00021907" w:rsidP="00021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imes New Roman"/>
          <w:sz w:val="20"/>
          <w:szCs w:val="20"/>
        </w:rPr>
      </w:pPr>
      <w:r w:rsidRPr="00D12547">
        <w:rPr>
          <w:rFonts w:cs="Times New Roman"/>
          <w:sz w:val="20"/>
          <w:szCs w:val="20"/>
          <w:lang w:val="fr-CA"/>
        </w:rPr>
        <w:tab/>
      </w:r>
      <w:r w:rsidRPr="00D12547">
        <w:rPr>
          <w:rFonts w:cs="Times New Roman"/>
          <w:sz w:val="20"/>
          <w:szCs w:val="20"/>
        </w:rPr>
        <w:t xml:space="preserve">La </w:t>
      </w:r>
      <w:r w:rsidRPr="00D12547">
        <w:rPr>
          <w:rFonts w:cs="Times New Roman"/>
          <w:sz w:val="20"/>
          <w:szCs w:val="20"/>
          <w:lang w:val="fr-CA"/>
        </w:rPr>
        <w:t>requête est accordée.</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spacing w:line="-19" w:lineRule="auto"/>
        <w:jc w:val="both"/>
        <w:rPr>
          <w:rFonts w:cs="Times New Roman"/>
          <w:sz w:val="20"/>
          <w:szCs w:val="20"/>
          <w:lang w:val="fr-CA"/>
        </w:rPr>
      </w:pPr>
    </w:p>
    <w:p w:rsidR="00021907" w:rsidRPr="00D12547" w:rsidRDefault="00BA233E" w:rsidP="00021907">
      <w:pPr>
        <w:tabs>
          <w:tab w:val="left" w:pos="-1440"/>
          <w:tab w:val="left" w:pos="-720"/>
        </w:tabs>
        <w:jc w:val="both"/>
        <w:rPr>
          <w:rFonts w:cs="Times New Roman"/>
          <w:sz w:val="20"/>
          <w:szCs w:val="20"/>
        </w:rPr>
      </w:pPr>
      <w:r w:rsidRPr="00BA233E">
        <w:rPr>
          <w:rFonts w:cs="Times New Roman"/>
          <w:sz w:val="20"/>
          <w:szCs w:val="20"/>
          <w:lang w:val="fr-CA"/>
        </w:rPr>
        <w:pict>
          <v:rect id="_x0000_i1052" style="width:2in;height:1pt" o:hrpct="0" o:hralign="center" o:hrstd="t" o:hrnoshade="t" o:hr="t" fillcolor="black [3213]" stroked="f"/>
        </w:pict>
      </w:r>
    </w:p>
    <w:p w:rsidR="00021907" w:rsidRPr="00D12547" w:rsidRDefault="00021907" w:rsidP="00021907">
      <w:pPr>
        <w:rPr>
          <w:rFonts w:cs="Times New Roman"/>
          <w:sz w:val="20"/>
          <w:szCs w:val="20"/>
        </w:rPr>
      </w:pPr>
    </w:p>
    <w:p w:rsidR="00021907" w:rsidRPr="00D12547" w:rsidRDefault="00021907" w:rsidP="00021907">
      <w:pPr>
        <w:rPr>
          <w:rFonts w:cs="Times New Roman"/>
          <w:sz w:val="20"/>
          <w:szCs w:val="20"/>
          <w:lang w:val="fr-CA"/>
        </w:rPr>
      </w:pPr>
      <w:r w:rsidRPr="00D12547">
        <w:rPr>
          <w:rFonts w:cs="Times New Roman"/>
          <w:sz w:val="20"/>
          <w:szCs w:val="20"/>
          <w:lang w:val="fr-CA"/>
        </w:rPr>
        <w:br w:type="page"/>
      </w: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lastRenderedPageBreak/>
        <w:t>07.09.2012</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t>Before / Devant :   THE CHIEF JUSTICE / LA JUGE EN CHEF</w:t>
      </w:r>
    </w:p>
    <w:p w:rsidR="00021907" w:rsidRPr="00D12547" w:rsidRDefault="00021907" w:rsidP="0002190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21907" w:rsidRPr="001A2926" w:rsidTr="002915ED">
        <w:tc>
          <w:tcPr>
            <w:tcW w:w="4338" w:type="dxa"/>
          </w:tcPr>
          <w:p w:rsidR="00021907" w:rsidRPr="00D12547" w:rsidRDefault="00BA233E" w:rsidP="002915ED">
            <w:pPr>
              <w:tabs>
                <w:tab w:val="left" w:pos="-1440"/>
                <w:tab w:val="left" w:pos="-720"/>
              </w:tabs>
              <w:jc w:val="both"/>
              <w:rPr>
                <w:rFonts w:cs="Times New Roman"/>
                <w:b/>
                <w:sz w:val="20"/>
                <w:szCs w:val="20"/>
              </w:rPr>
            </w:pPr>
            <w:r w:rsidRPr="00D12547">
              <w:rPr>
                <w:rFonts w:cs="Times New Roman"/>
                <w:sz w:val="20"/>
                <w:szCs w:val="20"/>
              </w:rPr>
              <w:fldChar w:fldCharType="begin"/>
            </w:r>
            <w:r w:rsidR="00021907" w:rsidRPr="00D12547">
              <w:rPr>
                <w:rFonts w:cs="Times New Roman"/>
                <w:sz w:val="20"/>
                <w:szCs w:val="20"/>
              </w:rPr>
              <w:instrText xml:space="preserve"> SEQ CHAPTER \h \r 1</w:instrText>
            </w:r>
            <w:r w:rsidRPr="00D12547">
              <w:rPr>
                <w:rFonts w:cs="Times New Roman"/>
                <w:sz w:val="20"/>
                <w:szCs w:val="20"/>
              </w:rPr>
              <w:fldChar w:fldCharType="end"/>
            </w:r>
            <w:r w:rsidR="00021907" w:rsidRPr="00D12547">
              <w:rPr>
                <w:rFonts w:cs="Times New Roman"/>
                <w:b/>
                <w:bCs/>
                <w:sz w:val="20"/>
                <w:szCs w:val="20"/>
              </w:rPr>
              <w:t xml:space="preserve">Motion for additional time to present oral argument </w:t>
            </w:r>
          </w:p>
        </w:tc>
        <w:tc>
          <w:tcPr>
            <w:tcW w:w="1170" w:type="dxa"/>
          </w:tcPr>
          <w:p w:rsidR="00021907" w:rsidRPr="00D12547" w:rsidRDefault="00021907" w:rsidP="002915ED">
            <w:pPr>
              <w:tabs>
                <w:tab w:val="left" w:pos="-1440"/>
                <w:tab w:val="left" w:pos="-720"/>
              </w:tabs>
              <w:jc w:val="both"/>
              <w:rPr>
                <w:rFonts w:cs="Times New Roman"/>
                <w:sz w:val="20"/>
                <w:szCs w:val="20"/>
              </w:rPr>
            </w:pPr>
          </w:p>
          <w:p w:rsidR="00021907" w:rsidRPr="00D12547" w:rsidRDefault="00021907" w:rsidP="002915ED">
            <w:pPr>
              <w:tabs>
                <w:tab w:val="left" w:pos="-1440"/>
                <w:tab w:val="left" w:pos="-720"/>
              </w:tabs>
              <w:jc w:val="both"/>
              <w:rPr>
                <w:rFonts w:cs="Times New Roman"/>
                <w:sz w:val="20"/>
                <w:szCs w:val="20"/>
              </w:rPr>
            </w:pPr>
          </w:p>
          <w:p w:rsidR="00021907" w:rsidRPr="00D12547" w:rsidRDefault="00021907" w:rsidP="002915ED">
            <w:pPr>
              <w:tabs>
                <w:tab w:val="left" w:pos="-1440"/>
                <w:tab w:val="left" w:pos="-720"/>
              </w:tabs>
              <w:jc w:val="both"/>
              <w:rPr>
                <w:rFonts w:cs="Times New Roman"/>
                <w:sz w:val="20"/>
                <w:szCs w:val="20"/>
              </w:rPr>
            </w:pPr>
          </w:p>
        </w:tc>
        <w:tc>
          <w:tcPr>
            <w:tcW w:w="4327" w:type="dxa"/>
          </w:tcPr>
          <w:p w:rsidR="00021907" w:rsidRPr="00D12547" w:rsidRDefault="00BA233E" w:rsidP="002915ED">
            <w:pPr>
              <w:tabs>
                <w:tab w:val="left" w:pos="-1440"/>
                <w:tab w:val="left" w:pos="-720"/>
              </w:tabs>
              <w:jc w:val="both"/>
              <w:rPr>
                <w:rFonts w:cs="Times New Roman"/>
                <w:sz w:val="20"/>
                <w:szCs w:val="20"/>
                <w:lang w:val="fr-CA"/>
              </w:rPr>
            </w:pP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r w:rsidR="00021907" w:rsidRPr="00D12547">
              <w:rPr>
                <w:rFonts w:cs="Times New Roman"/>
                <w:b/>
                <w:bCs/>
                <w:sz w:val="20"/>
                <w:szCs w:val="20"/>
                <w:lang w:val="fr-CA"/>
              </w:rPr>
              <w:t>Requête en prolongation du temps alloué pour la plaidoirie orale</w:t>
            </w: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p>
        </w:tc>
      </w:tr>
      <w:tr w:rsidR="00021907" w:rsidRPr="00D12547" w:rsidTr="002915ED">
        <w:tc>
          <w:tcPr>
            <w:tcW w:w="4338" w:type="dxa"/>
          </w:tcPr>
          <w:p w:rsidR="00021907" w:rsidRPr="00D12547" w:rsidRDefault="00021907" w:rsidP="002915ED">
            <w:pPr>
              <w:tabs>
                <w:tab w:val="left" w:pos="-1440"/>
                <w:tab w:val="left" w:pos="-720"/>
              </w:tabs>
              <w:jc w:val="both"/>
              <w:rPr>
                <w:rFonts w:cs="Times New Roman"/>
                <w:sz w:val="20"/>
                <w:szCs w:val="20"/>
                <w:lang w:val="fr-CA"/>
              </w:rPr>
            </w:pPr>
            <w:r w:rsidRPr="00D12547">
              <w:rPr>
                <w:rFonts w:cs="Times New Roman"/>
                <w:sz w:val="20"/>
                <w:szCs w:val="20"/>
                <w:lang w:val="fr-CA"/>
              </w:rPr>
              <w:t>Pro-Sys Consultants Ltd. et al.</w:t>
            </w:r>
          </w:p>
          <w:p w:rsidR="00021907" w:rsidRPr="00D12547" w:rsidRDefault="00021907" w:rsidP="002915ED">
            <w:pPr>
              <w:tabs>
                <w:tab w:val="left" w:pos="-1440"/>
                <w:tab w:val="left" w:pos="-720"/>
              </w:tabs>
              <w:jc w:val="both"/>
              <w:rPr>
                <w:rFonts w:cs="Times New Roman"/>
                <w:sz w:val="20"/>
                <w:szCs w:val="20"/>
                <w:lang w:val="fr-CA"/>
              </w:rPr>
            </w:pPr>
          </w:p>
          <w:p w:rsidR="00021907" w:rsidRPr="00D12547" w:rsidRDefault="00021907" w:rsidP="002915ED">
            <w:pPr>
              <w:tabs>
                <w:tab w:val="left" w:pos="-1440"/>
                <w:tab w:val="left" w:pos="-720"/>
              </w:tabs>
              <w:jc w:val="both"/>
              <w:rPr>
                <w:rFonts w:cs="Times New Roman"/>
                <w:sz w:val="20"/>
                <w:szCs w:val="20"/>
                <w:lang w:val="fr-CA"/>
              </w:rPr>
            </w:pPr>
            <w:r w:rsidRPr="00D12547">
              <w:rPr>
                <w:rFonts w:cs="Times New Roman"/>
                <w:sz w:val="20"/>
                <w:szCs w:val="20"/>
                <w:lang w:val="fr-CA"/>
              </w:rPr>
              <w:tab/>
              <w:t>v. (34282)</w:t>
            </w:r>
          </w:p>
          <w:p w:rsidR="00021907" w:rsidRPr="00D12547" w:rsidRDefault="00021907" w:rsidP="002915ED">
            <w:pPr>
              <w:tabs>
                <w:tab w:val="left" w:pos="-1440"/>
                <w:tab w:val="left" w:pos="-720"/>
              </w:tabs>
              <w:jc w:val="both"/>
              <w:rPr>
                <w:rFonts w:cs="Times New Roman"/>
                <w:sz w:val="20"/>
                <w:szCs w:val="20"/>
                <w:lang w:val="fr-CA"/>
              </w:rPr>
            </w:pPr>
          </w:p>
          <w:p w:rsidR="00021907" w:rsidRPr="00D12547" w:rsidRDefault="00021907" w:rsidP="002915ED">
            <w:pPr>
              <w:tabs>
                <w:tab w:val="left" w:pos="-1440"/>
                <w:tab w:val="left" w:pos="-720"/>
              </w:tabs>
              <w:jc w:val="both"/>
              <w:rPr>
                <w:rFonts w:cs="Times New Roman"/>
                <w:sz w:val="20"/>
                <w:szCs w:val="20"/>
                <w:lang w:val="fr-CA"/>
              </w:rPr>
            </w:pPr>
            <w:r w:rsidRPr="00D12547">
              <w:rPr>
                <w:rFonts w:cs="Times New Roman"/>
                <w:sz w:val="20"/>
                <w:szCs w:val="20"/>
                <w:lang w:val="fr-CA"/>
              </w:rPr>
              <w:t>Microsoft Corporation et al. (B.C.)</w:t>
            </w:r>
          </w:p>
        </w:tc>
        <w:tc>
          <w:tcPr>
            <w:tcW w:w="1170" w:type="dxa"/>
          </w:tcPr>
          <w:p w:rsidR="00021907" w:rsidRPr="00D12547" w:rsidRDefault="00021907" w:rsidP="002915ED">
            <w:pPr>
              <w:tabs>
                <w:tab w:val="left" w:pos="-1440"/>
                <w:tab w:val="left" w:pos="-720"/>
              </w:tabs>
              <w:jc w:val="both"/>
              <w:rPr>
                <w:rFonts w:cs="Times New Roman"/>
                <w:sz w:val="20"/>
                <w:szCs w:val="20"/>
                <w:lang w:val="fr-CA"/>
              </w:rPr>
            </w:pPr>
          </w:p>
        </w:tc>
        <w:tc>
          <w:tcPr>
            <w:tcW w:w="4327" w:type="dxa"/>
          </w:tcPr>
          <w:p w:rsidR="00021907" w:rsidRPr="00D12547" w:rsidRDefault="00021907" w:rsidP="002915ED">
            <w:pPr>
              <w:tabs>
                <w:tab w:val="left" w:pos="-1440"/>
                <w:tab w:val="left" w:pos="-720"/>
              </w:tabs>
              <w:jc w:val="both"/>
              <w:rPr>
                <w:rFonts w:cs="Times New Roman"/>
                <w:sz w:val="20"/>
                <w:szCs w:val="20"/>
                <w:lang w:val="fr-CA"/>
              </w:rPr>
            </w:pPr>
          </w:p>
        </w:tc>
      </w:tr>
    </w:tbl>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b/>
          <w:sz w:val="20"/>
          <w:szCs w:val="20"/>
          <w:lang w:val="fr-CA"/>
        </w:rPr>
      </w:pPr>
      <w:r w:rsidRPr="00D12547">
        <w:rPr>
          <w:rFonts w:cs="Times New Roman"/>
          <w:b/>
          <w:sz w:val="20"/>
          <w:szCs w:val="20"/>
          <w:lang w:val="fr-CA"/>
        </w:rPr>
        <w:t>DISMISSED / REJETÉE</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spacing w:line="233" w:lineRule="auto"/>
        <w:jc w:val="both"/>
        <w:rPr>
          <w:rFonts w:cs="Times New Roman"/>
          <w:sz w:val="20"/>
          <w:szCs w:val="20"/>
        </w:rPr>
      </w:pPr>
      <w:r w:rsidRPr="00D12547">
        <w:rPr>
          <w:rFonts w:cs="Times New Roman"/>
          <w:b/>
          <w:bCs/>
          <w:sz w:val="20"/>
          <w:szCs w:val="20"/>
        </w:rPr>
        <w:t xml:space="preserve">UPON APPLICATION </w:t>
      </w:r>
      <w:r w:rsidRPr="00D12547">
        <w:rPr>
          <w:rFonts w:cs="Times New Roman"/>
          <w:sz w:val="20"/>
          <w:szCs w:val="20"/>
        </w:rPr>
        <w:t>by the respondents Microsoft Corporation and Microsoft Canada Co./Microsoft Canada CIE for an order that the respondents be entitled to one hour for their oral argument on the appeal;</w:t>
      </w:r>
    </w:p>
    <w:p w:rsidR="00021907" w:rsidRPr="00D12547" w:rsidRDefault="00021907" w:rsidP="00021907">
      <w:pPr>
        <w:spacing w:line="233" w:lineRule="auto"/>
        <w:jc w:val="both"/>
        <w:rPr>
          <w:rFonts w:cs="Times New Roman"/>
          <w:b/>
          <w:bCs/>
          <w:sz w:val="20"/>
          <w:szCs w:val="20"/>
        </w:rPr>
      </w:pPr>
    </w:p>
    <w:p w:rsidR="00021907" w:rsidRPr="00D12547" w:rsidRDefault="00021907" w:rsidP="00021907">
      <w:pPr>
        <w:spacing w:line="233" w:lineRule="auto"/>
        <w:jc w:val="both"/>
        <w:rPr>
          <w:rFonts w:cs="Times New Roman"/>
          <w:sz w:val="20"/>
          <w:szCs w:val="20"/>
        </w:rPr>
      </w:pPr>
      <w:r w:rsidRPr="00D12547">
        <w:rPr>
          <w:rFonts w:cs="Times New Roman"/>
          <w:b/>
          <w:bCs/>
          <w:sz w:val="20"/>
          <w:szCs w:val="20"/>
        </w:rPr>
        <w:t>AND THE MATERIAL FILED</w:t>
      </w:r>
      <w:r w:rsidRPr="00D12547">
        <w:rPr>
          <w:rFonts w:cs="Times New Roman"/>
          <w:sz w:val="20"/>
          <w:szCs w:val="20"/>
        </w:rPr>
        <w:t xml:space="preserve"> having been read;</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b/>
          <w:bCs/>
          <w:sz w:val="20"/>
          <w:szCs w:val="20"/>
        </w:rPr>
        <w:t>IT IS HEREBY ORDERED THAT:</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sz w:val="20"/>
          <w:szCs w:val="20"/>
        </w:rPr>
        <w:tab/>
        <w:t>The motion is dismissed. The respondents Microsoft Corporation and Microsoft Canada Co./Microsoft Canada CIE shall be allowed 45 minutes in total for their oral argument on the appeal.</w:t>
      </w:r>
    </w:p>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spacing w:line="233" w:lineRule="auto"/>
        <w:jc w:val="both"/>
        <w:rPr>
          <w:rFonts w:cs="Times New Roman"/>
          <w:sz w:val="20"/>
          <w:szCs w:val="20"/>
          <w:lang w:val="fr-FR"/>
        </w:rPr>
      </w:pPr>
      <w:r w:rsidRPr="00D12547">
        <w:rPr>
          <w:rFonts w:cs="Times New Roman"/>
          <w:b/>
          <w:sz w:val="20"/>
          <w:szCs w:val="20"/>
          <w:lang w:val="fr-FR"/>
        </w:rPr>
        <w:t>À LA SUITE DE LA DEMANDE</w:t>
      </w:r>
      <w:r w:rsidRPr="00D12547">
        <w:rPr>
          <w:rFonts w:cs="Times New Roman"/>
          <w:sz w:val="20"/>
          <w:szCs w:val="20"/>
          <w:lang w:val="fr-FR"/>
        </w:rPr>
        <w:t xml:space="preserve"> présentée par les intimées Microsoft Corporation et Microsoft Canada Co./Microsoft Canada CIE en vue d’être autorisées à présenter une plaidoirie orale d’une heure lors de l’audition de l’appel; </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b/>
          <w:sz w:val="20"/>
          <w:szCs w:val="20"/>
          <w:lang w:val="fr-FR"/>
        </w:rPr>
        <w:t>ET APRÈS EXAMEN</w:t>
      </w:r>
      <w:r w:rsidRPr="00D12547">
        <w:rPr>
          <w:rFonts w:cs="Times New Roman"/>
          <w:sz w:val="20"/>
          <w:szCs w:val="20"/>
          <w:lang w:val="fr-FR"/>
        </w:rPr>
        <w:t xml:space="preserve"> des documents déposés;</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b/>
          <w:sz w:val="20"/>
          <w:szCs w:val="20"/>
          <w:lang w:val="fr-FR"/>
        </w:rPr>
      </w:pPr>
      <w:r w:rsidRPr="00D12547">
        <w:rPr>
          <w:rFonts w:cs="Times New Roman"/>
          <w:b/>
          <w:sz w:val="20"/>
          <w:szCs w:val="20"/>
          <w:lang w:val="fr-FR"/>
        </w:rPr>
        <w:t>IL EST EN OUTRE ORDONNÉ QUE :</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sz w:val="20"/>
          <w:szCs w:val="20"/>
          <w:lang w:val="fr-FR"/>
        </w:rPr>
        <w:tab/>
        <w:t xml:space="preserve">La requête est rejetée. Les intimées Microsoft Corporation et Microsoft Canada Co./Microsoft Canada CIE sont autorisées à présenter une plaidoirie orale de quarante-cinq (45) minutes au total lors de l’audition de l’appel. </w:t>
      </w:r>
    </w:p>
    <w:p w:rsidR="00021907" w:rsidRPr="00D12547" w:rsidRDefault="00021907" w:rsidP="00021907">
      <w:pPr>
        <w:tabs>
          <w:tab w:val="left" w:pos="-1440"/>
          <w:tab w:val="left" w:pos="-720"/>
        </w:tabs>
        <w:jc w:val="both"/>
        <w:rPr>
          <w:rFonts w:cs="Times New Roman"/>
          <w:sz w:val="20"/>
          <w:szCs w:val="20"/>
          <w:lang w:val="fr-FR"/>
        </w:rPr>
      </w:pPr>
    </w:p>
    <w:p w:rsidR="00021907" w:rsidRPr="00D12547" w:rsidRDefault="00BA233E" w:rsidP="00021907">
      <w:pPr>
        <w:tabs>
          <w:tab w:val="left" w:pos="-1440"/>
          <w:tab w:val="left" w:pos="-720"/>
        </w:tabs>
        <w:jc w:val="both"/>
        <w:rPr>
          <w:rFonts w:cs="Times New Roman"/>
          <w:sz w:val="20"/>
          <w:szCs w:val="20"/>
          <w:lang w:val="fr-CA"/>
        </w:rPr>
      </w:pPr>
      <w:r w:rsidRPr="00BA233E">
        <w:rPr>
          <w:rFonts w:cs="Times New Roman"/>
          <w:sz w:val="20"/>
          <w:szCs w:val="20"/>
          <w:lang w:val="fr-CA"/>
        </w:rPr>
        <w:pict>
          <v:rect id="_x0000_i1053" style="width:2in;height:1pt" o:hrpct="0" o:hralign="center" o:hrstd="t" o:hrnoshade="t" o:hr="t" fillcolor="black [3213]" stroked="f"/>
        </w:pic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t>13.09.2012</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t>Before / Devant :   ROTHSTEIN J. / LE JUGE ROTHSTEIN</w:t>
      </w:r>
    </w:p>
    <w:p w:rsidR="00021907" w:rsidRPr="00D12547" w:rsidRDefault="00021907" w:rsidP="0002190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21907" w:rsidRPr="001A2926" w:rsidTr="002915ED">
        <w:tc>
          <w:tcPr>
            <w:tcW w:w="4338" w:type="dxa"/>
            <w:gridSpan w:val="2"/>
          </w:tcPr>
          <w:p w:rsidR="00021907" w:rsidRPr="00D12547" w:rsidRDefault="00BA233E" w:rsidP="002915ED">
            <w:pPr>
              <w:jc w:val="both"/>
              <w:rPr>
                <w:rFonts w:cs="Times New Roman"/>
                <w:b/>
                <w:sz w:val="20"/>
                <w:szCs w:val="20"/>
              </w:rPr>
            </w:pPr>
            <w:r w:rsidRPr="00D12547">
              <w:rPr>
                <w:rFonts w:cs="Times New Roman"/>
                <w:sz w:val="20"/>
                <w:szCs w:val="20"/>
              </w:rPr>
              <w:fldChar w:fldCharType="begin"/>
            </w:r>
            <w:r w:rsidR="00021907" w:rsidRPr="00D12547">
              <w:rPr>
                <w:rFonts w:cs="Times New Roman"/>
                <w:sz w:val="20"/>
                <w:szCs w:val="20"/>
              </w:rPr>
              <w:instrText xml:space="preserve"> SEQ CHAPTER \h \r 1</w:instrText>
            </w:r>
            <w:r w:rsidRPr="00D12547">
              <w:rPr>
                <w:rFonts w:cs="Times New Roman"/>
                <w:sz w:val="20"/>
                <w:szCs w:val="20"/>
              </w:rPr>
              <w:fldChar w:fldCharType="end"/>
            </w:r>
            <w:r w:rsidR="00021907" w:rsidRPr="00D12547">
              <w:rPr>
                <w:rFonts w:cs="Times New Roman"/>
                <w:b/>
                <w:bCs/>
                <w:sz w:val="20"/>
                <w:szCs w:val="20"/>
              </w:rPr>
              <w:t>Motion for an extension of time and for leave to intervene</w:t>
            </w:r>
            <w:r w:rsidRPr="00D12547">
              <w:rPr>
                <w:rFonts w:cs="Times New Roman"/>
                <w:sz w:val="20"/>
                <w:szCs w:val="20"/>
              </w:rPr>
              <w:fldChar w:fldCharType="begin"/>
            </w:r>
            <w:r w:rsidR="00021907" w:rsidRPr="00D12547">
              <w:rPr>
                <w:rFonts w:cs="Times New Roman"/>
                <w:sz w:val="20"/>
                <w:szCs w:val="20"/>
              </w:rPr>
              <w:instrText xml:space="preserve"> SEQ CHAPTER \h \r 1</w:instrText>
            </w:r>
            <w:r w:rsidRPr="00D12547">
              <w:rPr>
                <w:rFonts w:cs="Times New Roman"/>
                <w:sz w:val="20"/>
                <w:szCs w:val="20"/>
              </w:rPr>
              <w:fldChar w:fldCharType="end"/>
            </w:r>
          </w:p>
        </w:tc>
        <w:tc>
          <w:tcPr>
            <w:tcW w:w="1170" w:type="dxa"/>
          </w:tcPr>
          <w:p w:rsidR="00021907" w:rsidRPr="00D12547" w:rsidRDefault="00021907" w:rsidP="002915ED">
            <w:pPr>
              <w:rPr>
                <w:rFonts w:cs="Times New Roman"/>
                <w:sz w:val="20"/>
                <w:szCs w:val="20"/>
              </w:rPr>
            </w:pPr>
          </w:p>
          <w:p w:rsidR="00021907" w:rsidRPr="00D12547" w:rsidRDefault="00021907" w:rsidP="002915ED">
            <w:pPr>
              <w:rPr>
                <w:rFonts w:cs="Times New Roman"/>
                <w:sz w:val="20"/>
                <w:szCs w:val="20"/>
              </w:rPr>
            </w:pPr>
          </w:p>
          <w:p w:rsidR="00021907" w:rsidRPr="00D12547" w:rsidRDefault="00021907" w:rsidP="002915ED">
            <w:pPr>
              <w:rPr>
                <w:rFonts w:cs="Times New Roman"/>
                <w:sz w:val="20"/>
                <w:szCs w:val="20"/>
              </w:rPr>
            </w:pPr>
          </w:p>
        </w:tc>
        <w:tc>
          <w:tcPr>
            <w:tcW w:w="4327" w:type="dxa"/>
          </w:tcPr>
          <w:p w:rsidR="00021907" w:rsidRPr="00D12547" w:rsidRDefault="00BA233E" w:rsidP="002915ED">
            <w:pPr>
              <w:jc w:val="both"/>
              <w:rPr>
                <w:rFonts w:cs="Times New Roman"/>
                <w:b/>
                <w:sz w:val="20"/>
                <w:szCs w:val="20"/>
                <w:lang w:val="fr-CA"/>
              </w:rPr>
            </w:pP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r w:rsidR="00021907" w:rsidRPr="00D12547">
              <w:rPr>
                <w:rFonts w:cs="Times New Roman"/>
                <w:b/>
                <w:bCs/>
                <w:sz w:val="20"/>
                <w:szCs w:val="20"/>
                <w:lang w:val="fr-CA"/>
              </w:rPr>
              <w:t>Requête en prorogation de délai et en autorisation d’intervenir</w:t>
            </w:r>
            <w:r w:rsidRPr="00D12547">
              <w:rPr>
                <w:rFonts w:cs="Times New Roman"/>
                <w:sz w:val="20"/>
                <w:szCs w:val="20"/>
              </w:rPr>
              <w:fldChar w:fldCharType="begin"/>
            </w:r>
            <w:r w:rsidR="00021907" w:rsidRPr="00D12547">
              <w:rPr>
                <w:rFonts w:cs="Times New Roman"/>
                <w:sz w:val="20"/>
                <w:szCs w:val="20"/>
                <w:lang w:val="fr-CA"/>
              </w:rPr>
              <w:instrText xml:space="preserve"> SEQ CHAPTER \h \r 1</w:instrText>
            </w:r>
            <w:r w:rsidRPr="00D12547">
              <w:rPr>
                <w:rFonts w:cs="Times New Roman"/>
                <w:sz w:val="20"/>
                <w:szCs w:val="20"/>
              </w:rPr>
              <w:fldChar w:fldCharType="end"/>
            </w:r>
          </w:p>
        </w:tc>
      </w:tr>
      <w:tr w:rsidR="00021907" w:rsidRPr="00D12547" w:rsidTr="002915ED">
        <w:tc>
          <w:tcPr>
            <w:tcW w:w="1368" w:type="dxa"/>
          </w:tcPr>
          <w:p w:rsidR="00021907" w:rsidRPr="00D12547" w:rsidRDefault="00021907" w:rsidP="002915ED">
            <w:pPr>
              <w:rPr>
                <w:rFonts w:cs="Times New Roman"/>
                <w:sz w:val="20"/>
                <w:szCs w:val="20"/>
              </w:rPr>
            </w:pPr>
            <w:r w:rsidRPr="00D12547">
              <w:rPr>
                <w:rFonts w:cs="Times New Roman"/>
                <w:sz w:val="20"/>
                <w:szCs w:val="20"/>
              </w:rPr>
              <w:t>BY / PAR</w:t>
            </w:r>
          </w:p>
        </w:tc>
        <w:tc>
          <w:tcPr>
            <w:tcW w:w="2970" w:type="dxa"/>
          </w:tcPr>
          <w:p w:rsidR="00021907" w:rsidRPr="00D12547" w:rsidRDefault="00021907" w:rsidP="002915ED">
            <w:pPr>
              <w:rPr>
                <w:rFonts w:cs="Times New Roman"/>
                <w:sz w:val="20"/>
                <w:szCs w:val="20"/>
              </w:rPr>
            </w:pPr>
            <w:r w:rsidRPr="00D12547">
              <w:rPr>
                <w:rFonts w:cs="Times New Roman"/>
                <w:sz w:val="20"/>
                <w:szCs w:val="20"/>
              </w:rPr>
              <w:t>Moose Cree First Nation</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r w:rsidRPr="00D12547">
              <w:rPr>
                <w:rFonts w:cs="Times New Roman"/>
                <w:sz w:val="20"/>
                <w:szCs w:val="20"/>
              </w:rPr>
              <w:t>IN / DANS :</w:t>
            </w:r>
          </w:p>
        </w:tc>
        <w:tc>
          <w:tcPr>
            <w:tcW w:w="2970" w:type="dxa"/>
          </w:tcPr>
          <w:p w:rsidR="00021907" w:rsidRPr="00D12547" w:rsidRDefault="00021907" w:rsidP="002915ED">
            <w:pPr>
              <w:rPr>
                <w:rFonts w:cs="Times New Roman"/>
                <w:sz w:val="20"/>
                <w:szCs w:val="20"/>
              </w:rPr>
            </w:pPr>
            <w:r w:rsidRPr="00D12547">
              <w:rPr>
                <w:rFonts w:cs="Times New Roman"/>
                <w:sz w:val="20"/>
                <w:szCs w:val="20"/>
              </w:rPr>
              <w:t>Sally Behn et al.</w:t>
            </w:r>
          </w:p>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r w:rsidRPr="00D12547">
              <w:rPr>
                <w:rFonts w:cs="Times New Roman"/>
                <w:sz w:val="20"/>
                <w:szCs w:val="20"/>
              </w:rPr>
              <w:tab/>
              <w:t>v. (34404)</w:t>
            </w:r>
          </w:p>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jc w:val="both"/>
              <w:rPr>
                <w:rFonts w:cs="Times New Roman"/>
                <w:sz w:val="20"/>
                <w:szCs w:val="20"/>
                <w:lang w:val="fr-CA"/>
              </w:rPr>
            </w:pPr>
            <w:r w:rsidRPr="00D12547">
              <w:rPr>
                <w:rFonts w:cs="Times New Roman"/>
                <w:sz w:val="20"/>
                <w:szCs w:val="20"/>
                <w:lang w:val="fr-CA"/>
              </w:rPr>
              <w:t>Moulton Contracting Ltd. et al. (B.C.)</w:t>
            </w:r>
          </w:p>
        </w:tc>
        <w:tc>
          <w:tcPr>
            <w:tcW w:w="1170" w:type="dxa"/>
          </w:tcPr>
          <w:p w:rsidR="00021907" w:rsidRPr="00D12547" w:rsidRDefault="00021907" w:rsidP="002915ED">
            <w:pPr>
              <w:rPr>
                <w:rFonts w:cs="Times New Roman"/>
                <w:sz w:val="20"/>
                <w:szCs w:val="20"/>
                <w:lang w:val="fr-CA"/>
              </w:rPr>
            </w:pPr>
          </w:p>
        </w:tc>
        <w:tc>
          <w:tcPr>
            <w:tcW w:w="4327" w:type="dxa"/>
          </w:tcPr>
          <w:p w:rsidR="00021907" w:rsidRPr="00D12547" w:rsidRDefault="00021907" w:rsidP="002915ED">
            <w:pPr>
              <w:rPr>
                <w:rFonts w:cs="Times New Roman"/>
                <w:sz w:val="20"/>
                <w:szCs w:val="20"/>
                <w:lang w:val="fr-CA"/>
              </w:rPr>
            </w:pPr>
          </w:p>
        </w:tc>
      </w:tr>
    </w:tbl>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rPr>
      </w:pPr>
      <w:r w:rsidRPr="00D12547">
        <w:rPr>
          <w:rFonts w:cs="Times New Roman"/>
          <w:b/>
          <w:sz w:val="20"/>
          <w:szCs w:val="20"/>
        </w:rPr>
        <w:lastRenderedPageBreak/>
        <w:t>GRANTED / ACCORDÉE</w:t>
      </w:r>
    </w:p>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b/>
          <w:sz w:val="20"/>
          <w:szCs w:val="20"/>
        </w:rPr>
        <w:t xml:space="preserve">UPON APPLICATION </w:t>
      </w:r>
      <w:r w:rsidRPr="00D12547">
        <w:rPr>
          <w:rFonts w:cs="Times New Roman"/>
          <w:sz w:val="20"/>
          <w:szCs w:val="20"/>
        </w:rPr>
        <w:t>by the Moose Cree First Nation for an extension of time to apply for leave to intervene and for leave to intervene in the above appeal;</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b/>
          <w:bCs/>
          <w:sz w:val="20"/>
          <w:szCs w:val="20"/>
        </w:rPr>
        <w:t>AND THE MATERIAL FILED</w:t>
      </w:r>
      <w:r w:rsidRPr="00D12547">
        <w:rPr>
          <w:rFonts w:cs="Times New Roman"/>
          <w:sz w:val="20"/>
          <w:szCs w:val="20"/>
        </w:rPr>
        <w:t xml:space="preserve"> having been read;</w:t>
      </w:r>
    </w:p>
    <w:p w:rsidR="00021907" w:rsidRPr="00D12547" w:rsidRDefault="00021907" w:rsidP="00021907">
      <w:pPr>
        <w:spacing w:line="233" w:lineRule="auto"/>
        <w:jc w:val="center"/>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b/>
          <w:bCs/>
          <w:sz w:val="20"/>
          <w:szCs w:val="20"/>
        </w:rPr>
        <w:t>IT IS HEREBY ORDERED THAT:</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sz w:val="20"/>
          <w:szCs w:val="20"/>
        </w:rPr>
        <w:t>The motion for an extension of time to apply for leave to intervene and for leave to intervene of the Moose Cree First Nation is granted and the said intervener shall be entitled to serve and file a factum not to exceed 10 pages in length on or before October 16, 2012.</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sz w:val="20"/>
          <w:szCs w:val="20"/>
        </w:rPr>
        <w:t>The request to present oral argument is deferred to a date following receipt and consideration of the written arguments of the parties and the intervener.</w:t>
      </w:r>
    </w:p>
    <w:p w:rsidR="00021907" w:rsidRPr="00D12547" w:rsidRDefault="00021907" w:rsidP="00021907">
      <w:pPr>
        <w:spacing w:line="230" w:lineRule="auto"/>
        <w:rPr>
          <w:rFonts w:cs="Times New Roman"/>
          <w:sz w:val="20"/>
          <w:szCs w:val="20"/>
        </w:rPr>
      </w:pPr>
    </w:p>
    <w:p w:rsidR="00021907" w:rsidRPr="00D12547" w:rsidRDefault="00BA233E" w:rsidP="00021907">
      <w:pPr>
        <w:jc w:val="both"/>
        <w:rPr>
          <w:rFonts w:cs="Times New Roman"/>
          <w:bCs/>
          <w:sz w:val="20"/>
          <w:szCs w:val="20"/>
        </w:rPr>
      </w:pPr>
      <w:r w:rsidRPr="00D12547">
        <w:rPr>
          <w:rFonts w:cs="Times New Roman"/>
          <w:sz w:val="20"/>
          <w:szCs w:val="20"/>
        </w:rPr>
        <w:fldChar w:fldCharType="begin"/>
      </w:r>
      <w:r w:rsidR="00021907" w:rsidRPr="00D12547">
        <w:rPr>
          <w:rFonts w:cs="Times New Roman"/>
          <w:sz w:val="20"/>
          <w:szCs w:val="20"/>
        </w:rPr>
        <w:instrText xml:space="preserve"> SEQ CHAPTER \h \r 1</w:instrText>
      </w:r>
      <w:r w:rsidRPr="00D12547">
        <w:rPr>
          <w:rFonts w:cs="Times New Roman"/>
          <w:sz w:val="20"/>
          <w:szCs w:val="20"/>
        </w:rPr>
        <w:fldChar w:fldCharType="end"/>
      </w:r>
      <w:r w:rsidR="00021907" w:rsidRPr="00D12547">
        <w:rPr>
          <w:rFonts w:cs="Times New Roman"/>
          <w:bCs/>
          <w:sz w:val="20"/>
          <w:szCs w:val="20"/>
        </w:rPr>
        <w:t>The intervener is not entitled to raise new issues or to adduce further evidence or otherwise to supplement the record of the parties.</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r w:rsidRPr="00D12547">
        <w:rPr>
          <w:rFonts w:cs="Times New Roman"/>
          <w:sz w:val="20"/>
          <w:szCs w:val="20"/>
        </w:rPr>
        <w:t>Pursuant to Rule 59(1)(</w:t>
      </w:r>
      <w:r w:rsidRPr="00D12547">
        <w:rPr>
          <w:rFonts w:cs="Times New Roman"/>
          <w:i/>
          <w:iCs/>
          <w:sz w:val="20"/>
          <w:szCs w:val="20"/>
        </w:rPr>
        <w:t>a</w:t>
      </w:r>
      <w:r w:rsidRPr="00D12547">
        <w:rPr>
          <w:rFonts w:cs="Times New Roman"/>
          <w:sz w:val="20"/>
          <w:szCs w:val="20"/>
        </w:rPr>
        <w:t xml:space="preserve">) of the </w:t>
      </w:r>
      <w:r w:rsidRPr="00D12547">
        <w:rPr>
          <w:rFonts w:cs="Times New Roman"/>
          <w:i/>
          <w:iCs/>
          <w:sz w:val="20"/>
          <w:szCs w:val="20"/>
        </w:rPr>
        <w:t>Rules of the Supreme Court of Canada</w:t>
      </w:r>
      <w:r w:rsidRPr="00D12547">
        <w:rPr>
          <w:rFonts w:cs="Times New Roman"/>
          <w:sz w:val="20"/>
          <w:szCs w:val="20"/>
        </w:rPr>
        <w:t>, the intervener shall pay to the appellants and respondents any additional disbursements occasioned to the appellants and respondents by its intervention.</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p>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spacing w:line="233" w:lineRule="auto"/>
        <w:jc w:val="both"/>
        <w:rPr>
          <w:rFonts w:cs="Times New Roman"/>
          <w:sz w:val="20"/>
          <w:szCs w:val="20"/>
          <w:lang w:val="fr-FR"/>
        </w:rPr>
      </w:pPr>
      <w:r w:rsidRPr="00D12547">
        <w:rPr>
          <w:rFonts w:cs="Times New Roman"/>
          <w:b/>
          <w:sz w:val="20"/>
          <w:szCs w:val="20"/>
          <w:lang w:val="fr-FR"/>
        </w:rPr>
        <w:t>À LA SUITE DE LA DEMANDE</w:t>
      </w:r>
      <w:r w:rsidRPr="00D12547">
        <w:rPr>
          <w:rFonts w:cs="Times New Roman"/>
          <w:sz w:val="20"/>
          <w:szCs w:val="20"/>
          <w:lang w:val="fr-FR"/>
        </w:rPr>
        <w:t xml:space="preserve"> présentée par la Moose Cree First Nation en prorogation du délai applicable à une demande d’autorisation d'intervenir et en autorisation d'intervenir dans l’appel;</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b/>
          <w:sz w:val="20"/>
          <w:szCs w:val="20"/>
          <w:lang w:val="fr-FR"/>
        </w:rPr>
        <w:t>ET APRÈS EXAMEN</w:t>
      </w:r>
      <w:r w:rsidRPr="00D12547">
        <w:rPr>
          <w:rFonts w:cs="Times New Roman"/>
          <w:sz w:val="20"/>
          <w:szCs w:val="20"/>
          <w:lang w:val="fr-FR"/>
        </w:rPr>
        <w:t xml:space="preserve"> des documents déposés; </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b/>
          <w:sz w:val="20"/>
          <w:szCs w:val="20"/>
          <w:lang w:val="fr-FR"/>
        </w:rPr>
      </w:pPr>
      <w:r w:rsidRPr="00D12547">
        <w:rPr>
          <w:rFonts w:cs="Times New Roman"/>
          <w:b/>
          <w:sz w:val="20"/>
          <w:szCs w:val="20"/>
          <w:lang w:val="fr-FR"/>
        </w:rPr>
        <w:t xml:space="preserve">IL EST ORDONNÉ CE QUI SUIT : </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sz w:val="20"/>
          <w:szCs w:val="20"/>
          <w:lang w:val="fr-FR"/>
        </w:rPr>
        <w:t xml:space="preserve">La requête en prorogation du délai applicable à une demande d’autorisation d’intervenir et en autorisation d’intervenir présentée par la Moose Cree First Nation est accordée.  L’intervenante pourra signifier et déposer un mémoire d’au plus dix (10) pages au plus tard le 16 octobre 2012. </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sz w:val="20"/>
          <w:szCs w:val="20"/>
          <w:lang w:val="fr-FR"/>
        </w:rPr>
        <w:t>L’intervenante n’a pas le droit de soulever de nouvelles questions, de produire d’autres éléments de preuve ni de compléter de quelque autre façon le dossier des parties.</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sz w:val="20"/>
          <w:szCs w:val="20"/>
          <w:lang w:val="fr-FR"/>
        </w:rPr>
        <w:t>Conformément à l’alinéa 59(1)</w:t>
      </w:r>
      <w:r w:rsidRPr="00D12547">
        <w:rPr>
          <w:rFonts w:cs="Times New Roman"/>
          <w:i/>
          <w:sz w:val="20"/>
          <w:szCs w:val="20"/>
          <w:lang w:val="fr-FR"/>
        </w:rPr>
        <w:t>a</w:t>
      </w:r>
      <w:r w:rsidRPr="00D12547">
        <w:rPr>
          <w:rFonts w:cs="Times New Roman"/>
          <w:sz w:val="20"/>
          <w:szCs w:val="20"/>
          <w:lang w:val="fr-FR"/>
        </w:rPr>
        <w:t xml:space="preserve">) des </w:t>
      </w:r>
      <w:r w:rsidRPr="00D12547">
        <w:rPr>
          <w:rFonts w:cs="Times New Roman"/>
          <w:i/>
          <w:sz w:val="20"/>
          <w:szCs w:val="20"/>
          <w:lang w:val="fr-FR"/>
        </w:rPr>
        <w:t>Règles de la Cour suprême du Canada</w:t>
      </w:r>
      <w:r w:rsidRPr="00D12547">
        <w:rPr>
          <w:rFonts w:cs="Times New Roman"/>
          <w:sz w:val="20"/>
          <w:szCs w:val="20"/>
          <w:lang w:val="fr-FR"/>
        </w:rPr>
        <w:t>, l’intervenante paiera aux appelants et aux l’intimées tous débours supplémentaires résultant de son intervention.</w:t>
      </w:r>
    </w:p>
    <w:p w:rsidR="00021907" w:rsidRPr="00D12547" w:rsidRDefault="00021907" w:rsidP="00021907">
      <w:pPr>
        <w:tabs>
          <w:tab w:val="left" w:pos="-1440"/>
          <w:tab w:val="left" w:pos="-720"/>
        </w:tabs>
        <w:jc w:val="both"/>
        <w:rPr>
          <w:rFonts w:cs="Times New Roman"/>
          <w:sz w:val="20"/>
          <w:szCs w:val="20"/>
          <w:lang w:val="fr-FR"/>
        </w:rPr>
      </w:pPr>
    </w:p>
    <w:p w:rsidR="00021907" w:rsidRPr="00D12547" w:rsidRDefault="00BA233E" w:rsidP="00021907">
      <w:pPr>
        <w:tabs>
          <w:tab w:val="left" w:pos="-1440"/>
          <w:tab w:val="left" w:pos="-720"/>
        </w:tabs>
        <w:jc w:val="both"/>
        <w:rPr>
          <w:rFonts w:cs="Times New Roman"/>
          <w:sz w:val="20"/>
          <w:szCs w:val="20"/>
          <w:lang w:val="fr-CA"/>
        </w:rPr>
      </w:pPr>
      <w:r w:rsidRPr="00BA233E">
        <w:rPr>
          <w:rFonts w:cs="Times New Roman"/>
          <w:sz w:val="20"/>
          <w:szCs w:val="20"/>
          <w:lang w:val="fr-CA"/>
        </w:rPr>
        <w:pict>
          <v:rect id="_x0000_i1054" style="width:2in;height:1pt" o:hrpct="0" o:hralign="center" o:hrstd="t" o:hrnoshade="t" o:hr="t" fillcolor="black [3213]" stroked="f"/>
        </w:pict>
      </w:r>
    </w:p>
    <w:p w:rsidR="00021907" w:rsidRPr="00D12547" w:rsidRDefault="00021907" w:rsidP="00021907">
      <w:pPr>
        <w:tabs>
          <w:tab w:val="left" w:pos="-1440"/>
          <w:tab w:val="left" w:pos="-720"/>
        </w:tabs>
        <w:jc w:val="both"/>
        <w:rPr>
          <w:rFonts w:cs="Times New Roman"/>
          <w:sz w:val="20"/>
          <w:szCs w:val="20"/>
          <w:lang w:val="fr-CA"/>
        </w:rPr>
      </w:pPr>
    </w:p>
    <w:p w:rsidR="00021907" w:rsidRDefault="00021907">
      <w:pPr>
        <w:rPr>
          <w:rFonts w:cs="Times New Roman"/>
          <w:sz w:val="20"/>
          <w:szCs w:val="20"/>
          <w:lang w:val="fr-CA"/>
        </w:rPr>
      </w:pPr>
      <w:r>
        <w:rPr>
          <w:rFonts w:cs="Times New Roman"/>
          <w:sz w:val="20"/>
          <w:szCs w:val="20"/>
          <w:lang w:val="fr-CA"/>
        </w:rPr>
        <w:br w:type="page"/>
      </w: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lastRenderedPageBreak/>
        <w:t>13.09.2012</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t>Before / Devant :   ROTHSTEIN J. / LE JUGE ROTHSTEIN</w:t>
      </w:r>
    </w:p>
    <w:p w:rsidR="00021907" w:rsidRPr="00D12547" w:rsidRDefault="00021907" w:rsidP="0002190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21907" w:rsidRPr="001A2926" w:rsidTr="002915ED">
        <w:tc>
          <w:tcPr>
            <w:tcW w:w="4338" w:type="dxa"/>
            <w:gridSpan w:val="2"/>
          </w:tcPr>
          <w:p w:rsidR="00021907" w:rsidRPr="00D12547" w:rsidRDefault="00021907" w:rsidP="002915ED">
            <w:pPr>
              <w:jc w:val="both"/>
              <w:rPr>
                <w:rFonts w:cs="Times New Roman"/>
                <w:b/>
                <w:sz w:val="20"/>
                <w:szCs w:val="20"/>
              </w:rPr>
            </w:pPr>
            <w:r w:rsidRPr="00D12547">
              <w:rPr>
                <w:rFonts w:cs="Times New Roman"/>
                <w:b/>
                <w:sz w:val="20"/>
                <w:szCs w:val="20"/>
              </w:rPr>
              <w:t xml:space="preserve">Order on interventions with respect to oral argument </w:t>
            </w:r>
            <w:r w:rsidR="00BA233E" w:rsidRPr="00D12547">
              <w:rPr>
                <w:rFonts w:cs="Times New Roman"/>
                <w:b/>
                <w:sz w:val="20"/>
                <w:szCs w:val="20"/>
              </w:rPr>
              <w:fldChar w:fldCharType="begin"/>
            </w:r>
            <w:r w:rsidRPr="00D12547">
              <w:rPr>
                <w:rFonts w:cs="Times New Roman"/>
                <w:b/>
                <w:sz w:val="20"/>
                <w:szCs w:val="20"/>
              </w:rPr>
              <w:instrText xml:space="preserve"> SEQ CHAPTER \h \r 1</w:instrText>
            </w:r>
            <w:r w:rsidR="00BA233E" w:rsidRPr="00D12547">
              <w:rPr>
                <w:rFonts w:cs="Times New Roman"/>
                <w:b/>
                <w:sz w:val="20"/>
                <w:szCs w:val="20"/>
              </w:rPr>
              <w:fldChar w:fldCharType="end"/>
            </w:r>
          </w:p>
        </w:tc>
        <w:tc>
          <w:tcPr>
            <w:tcW w:w="1170" w:type="dxa"/>
          </w:tcPr>
          <w:p w:rsidR="00021907" w:rsidRPr="00D12547" w:rsidRDefault="00021907" w:rsidP="002915ED">
            <w:pPr>
              <w:rPr>
                <w:rFonts w:cs="Times New Roman"/>
                <w:sz w:val="20"/>
                <w:szCs w:val="20"/>
              </w:rPr>
            </w:pPr>
          </w:p>
          <w:p w:rsidR="00021907" w:rsidRPr="00D12547" w:rsidRDefault="00021907" w:rsidP="002915ED">
            <w:pPr>
              <w:rPr>
                <w:rFonts w:cs="Times New Roman"/>
                <w:sz w:val="20"/>
                <w:szCs w:val="20"/>
              </w:rPr>
            </w:pPr>
          </w:p>
          <w:p w:rsidR="00021907" w:rsidRPr="00D12547" w:rsidRDefault="00021907" w:rsidP="002915ED">
            <w:pPr>
              <w:rPr>
                <w:rFonts w:cs="Times New Roman"/>
                <w:sz w:val="20"/>
                <w:szCs w:val="20"/>
              </w:rPr>
            </w:pPr>
          </w:p>
        </w:tc>
        <w:tc>
          <w:tcPr>
            <w:tcW w:w="4327" w:type="dxa"/>
          </w:tcPr>
          <w:p w:rsidR="00021907" w:rsidRPr="00D12547" w:rsidRDefault="00021907" w:rsidP="002915ED">
            <w:pPr>
              <w:jc w:val="both"/>
              <w:rPr>
                <w:rFonts w:cs="Times New Roman"/>
                <w:b/>
                <w:sz w:val="20"/>
                <w:szCs w:val="20"/>
                <w:lang w:val="fr-CA"/>
              </w:rPr>
            </w:pPr>
            <w:r w:rsidRPr="00D12547">
              <w:rPr>
                <w:rFonts w:cs="Times New Roman"/>
                <w:b/>
                <w:sz w:val="20"/>
                <w:szCs w:val="20"/>
                <w:lang w:val="fr-CA"/>
              </w:rPr>
              <w:t>Ordonnance relative à la présentation d’une plaidoirie orale par les intervenants</w:t>
            </w:r>
            <w:r w:rsidR="00BA233E" w:rsidRPr="00D12547">
              <w:rPr>
                <w:rFonts w:cs="Times New Roman"/>
                <w:b/>
                <w:sz w:val="20"/>
                <w:szCs w:val="20"/>
              </w:rPr>
              <w:fldChar w:fldCharType="begin"/>
            </w:r>
            <w:r w:rsidRPr="00D12547">
              <w:rPr>
                <w:rFonts w:cs="Times New Roman"/>
                <w:b/>
                <w:sz w:val="20"/>
                <w:szCs w:val="20"/>
                <w:lang w:val="fr-CA"/>
              </w:rPr>
              <w:instrText xml:space="preserve"> SEQ CHAPTER \h \r 1</w:instrText>
            </w:r>
            <w:r w:rsidR="00BA233E" w:rsidRPr="00D12547">
              <w:rPr>
                <w:rFonts w:cs="Times New Roman"/>
                <w:b/>
                <w:sz w:val="20"/>
                <w:szCs w:val="20"/>
              </w:rPr>
              <w:fldChar w:fldCharType="end"/>
            </w:r>
          </w:p>
        </w:tc>
      </w:tr>
      <w:tr w:rsidR="00021907" w:rsidRPr="00D12547" w:rsidTr="002915ED">
        <w:tc>
          <w:tcPr>
            <w:tcW w:w="1368" w:type="dxa"/>
          </w:tcPr>
          <w:p w:rsidR="00021907" w:rsidRPr="00D12547" w:rsidRDefault="00021907" w:rsidP="002915ED">
            <w:pPr>
              <w:rPr>
                <w:rFonts w:cs="Times New Roman"/>
                <w:sz w:val="20"/>
                <w:szCs w:val="20"/>
              </w:rPr>
            </w:pPr>
            <w:r w:rsidRPr="00D12547">
              <w:rPr>
                <w:rFonts w:cs="Times New Roman"/>
                <w:sz w:val="20"/>
                <w:szCs w:val="20"/>
              </w:rPr>
              <w:t>RE:</w:t>
            </w:r>
          </w:p>
        </w:tc>
        <w:tc>
          <w:tcPr>
            <w:tcW w:w="2970" w:type="dxa"/>
          </w:tcPr>
          <w:p w:rsidR="00021907" w:rsidRPr="00D12547" w:rsidRDefault="00021907" w:rsidP="002915ED">
            <w:pPr>
              <w:rPr>
                <w:rFonts w:cs="Times New Roman"/>
                <w:sz w:val="20"/>
                <w:szCs w:val="20"/>
              </w:rPr>
            </w:pPr>
            <w:r w:rsidRPr="00D12547">
              <w:rPr>
                <w:rFonts w:cs="Times New Roman"/>
                <w:sz w:val="20"/>
                <w:szCs w:val="20"/>
              </w:rPr>
              <w:t>British Columbia Civil Liberties Association;</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r w:rsidRPr="00D12547">
              <w:rPr>
                <w:rFonts w:cs="Times New Roman"/>
                <w:sz w:val="20"/>
                <w:szCs w:val="20"/>
              </w:rPr>
              <w:t>Ahmad Daud Maqsudi;</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r w:rsidRPr="00D12547">
              <w:rPr>
                <w:rFonts w:cs="Times New Roman"/>
                <w:sz w:val="20"/>
                <w:szCs w:val="20"/>
              </w:rPr>
              <w:t>Canadian Council for Refugees and Canadian Association of Refugee Lawyers;</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r w:rsidRPr="00D12547">
              <w:rPr>
                <w:rFonts w:cs="Times New Roman"/>
                <w:sz w:val="20"/>
                <w:szCs w:val="20"/>
              </w:rPr>
              <w:t>Canadian Arab Federation and Canadian Tamil Congress</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r w:rsidRPr="00D12547">
              <w:rPr>
                <w:rFonts w:cs="Times New Roman"/>
                <w:sz w:val="20"/>
                <w:szCs w:val="20"/>
              </w:rPr>
              <w:t>IN / DANS :</w:t>
            </w:r>
          </w:p>
        </w:tc>
        <w:tc>
          <w:tcPr>
            <w:tcW w:w="2970" w:type="dxa"/>
          </w:tcPr>
          <w:p w:rsidR="00021907" w:rsidRPr="00D12547" w:rsidRDefault="00021907" w:rsidP="002915ED">
            <w:pPr>
              <w:rPr>
                <w:rFonts w:cs="Times New Roman"/>
                <w:sz w:val="20"/>
                <w:szCs w:val="20"/>
              </w:rPr>
            </w:pPr>
            <w:r w:rsidRPr="00D12547">
              <w:rPr>
                <w:rFonts w:cs="Times New Roman"/>
                <w:sz w:val="20"/>
                <w:szCs w:val="20"/>
              </w:rPr>
              <w:t>Muhsen Ahemed Ramadan Agraira</w:t>
            </w:r>
          </w:p>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r w:rsidRPr="00D12547">
              <w:rPr>
                <w:rFonts w:cs="Times New Roman"/>
                <w:sz w:val="20"/>
                <w:szCs w:val="20"/>
              </w:rPr>
              <w:tab/>
              <w:t>c. (34258)</w:t>
            </w:r>
          </w:p>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jc w:val="both"/>
              <w:rPr>
                <w:rFonts w:cs="Times New Roman"/>
                <w:sz w:val="20"/>
                <w:szCs w:val="20"/>
              </w:rPr>
            </w:pPr>
            <w:r w:rsidRPr="00D12547">
              <w:rPr>
                <w:rFonts w:cs="Times New Roman"/>
                <w:sz w:val="20"/>
                <w:szCs w:val="20"/>
              </w:rPr>
              <w:t>Minister of Public Safety and Emergency Preparedness (F.C.)</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bl>
    <w:p w:rsidR="00021907" w:rsidRPr="00D12547" w:rsidRDefault="00021907" w:rsidP="00021907">
      <w:pPr>
        <w:tabs>
          <w:tab w:val="left" w:pos="-1440"/>
          <w:tab w:val="left" w:pos="-720"/>
        </w:tabs>
        <w:jc w:val="both"/>
        <w:rPr>
          <w:rFonts w:cs="Times New Roman"/>
          <w:sz w:val="20"/>
          <w:szCs w:val="20"/>
        </w:rPr>
      </w:pPr>
    </w:p>
    <w:p w:rsidR="00021907" w:rsidRPr="00D12547" w:rsidRDefault="00021907" w:rsidP="00021907">
      <w:pPr>
        <w:spacing w:line="230" w:lineRule="auto"/>
        <w:jc w:val="both"/>
        <w:rPr>
          <w:rFonts w:cs="Times New Roman"/>
          <w:sz w:val="20"/>
          <w:szCs w:val="20"/>
        </w:rPr>
      </w:pPr>
      <w:r w:rsidRPr="00D12547">
        <w:rPr>
          <w:rFonts w:cs="Times New Roman"/>
          <w:b/>
          <w:sz w:val="20"/>
          <w:szCs w:val="20"/>
        </w:rPr>
        <w:t>FURTHER TO THE ORDER</w:t>
      </w:r>
      <w:r w:rsidRPr="00D12547">
        <w:rPr>
          <w:rFonts w:cs="Times New Roman"/>
          <w:sz w:val="20"/>
          <w:szCs w:val="20"/>
        </w:rPr>
        <w:t xml:space="preserve"> dated July 18, 2012, granting leave to intervene to the British Columbia Civil Liberties Association, Ahmad Daud Maqsudi, the Canadian Council for Refugees and Canadian Association of Refugee Lawyers and the Canadian Arab Federation and Canadian Tamil Congress;</w:t>
      </w:r>
    </w:p>
    <w:p w:rsidR="00021907" w:rsidRPr="00D12547" w:rsidRDefault="00021907" w:rsidP="00021907">
      <w:pPr>
        <w:spacing w:line="230" w:lineRule="auto"/>
        <w:jc w:val="both"/>
        <w:rPr>
          <w:rFonts w:cs="Times New Roman"/>
          <w:sz w:val="20"/>
          <w:szCs w:val="20"/>
        </w:rPr>
      </w:pPr>
    </w:p>
    <w:p w:rsidR="00021907" w:rsidRPr="00D12547" w:rsidRDefault="00021907" w:rsidP="00021907">
      <w:pPr>
        <w:spacing w:line="230" w:lineRule="auto"/>
        <w:jc w:val="both"/>
        <w:rPr>
          <w:rFonts w:cs="Times New Roman"/>
          <w:sz w:val="20"/>
          <w:szCs w:val="20"/>
        </w:rPr>
      </w:pPr>
      <w:r w:rsidRPr="00D12547">
        <w:rPr>
          <w:rFonts w:cs="Times New Roman"/>
          <w:b/>
          <w:sz w:val="20"/>
          <w:szCs w:val="20"/>
        </w:rPr>
        <w:t xml:space="preserve">IT IS HEREBY FURTHER ORDERED THAT </w:t>
      </w:r>
      <w:r w:rsidRPr="00D12547">
        <w:rPr>
          <w:rFonts w:cs="Times New Roman"/>
          <w:sz w:val="20"/>
          <w:szCs w:val="20"/>
        </w:rPr>
        <w:t>only the two groups of interveners, the Canadian Council for Refugees and Canadian Association of Refugee Lawyers and the Canadian Arab Federation and Canadian Tamil Congress are each granted permission to present oral argument not exceeding ten (10) minutes at the hearing of the appeal.</w:t>
      </w: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3" w:lineRule="auto"/>
        <w:jc w:val="both"/>
        <w:rPr>
          <w:rFonts w:cs="Times New Roman"/>
          <w:sz w:val="20"/>
          <w:szCs w:val="20"/>
        </w:rPr>
      </w:pPr>
    </w:p>
    <w:p w:rsidR="00021907" w:rsidRPr="00D12547" w:rsidRDefault="00021907" w:rsidP="00021907">
      <w:pPr>
        <w:spacing w:line="230" w:lineRule="auto"/>
        <w:jc w:val="both"/>
        <w:rPr>
          <w:rFonts w:cs="Times New Roman"/>
          <w:sz w:val="20"/>
          <w:szCs w:val="20"/>
          <w:lang w:val="fr-FR"/>
        </w:rPr>
      </w:pPr>
      <w:r w:rsidRPr="00D12547">
        <w:rPr>
          <w:rFonts w:cs="Times New Roman"/>
          <w:b/>
          <w:sz w:val="20"/>
          <w:szCs w:val="20"/>
          <w:lang w:val="fr-FR"/>
        </w:rPr>
        <w:t>À LA SUITE DE L’ORDONNANCE</w:t>
      </w:r>
      <w:r w:rsidRPr="00D12547">
        <w:rPr>
          <w:rFonts w:cs="Times New Roman"/>
          <w:sz w:val="20"/>
          <w:szCs w:val="20"/>
          <w:lang w:val="fr-FR"/>
        </w:rPr>
        <w:t xml:space="preserve"> datée du 18 juillet 2012, accordant l’autorisation d'intervenir à l’Association des libertés civiles de la Colombie-Britannique, à Ahmad Daud Maqsudi, au Conseil canadien pour les réfugiés et à l’Association canadienne des avocats et avocates en droit des réfugiés ainsi qu’à la Fédération canado-arabe et au Congrès Tamoul Canadien;</w:t>
      </w:r>
    </w:p>
    <w:p w:rsidR="00021907" w:rsidRPr="00D12547" w:rsidRDefault="00021907" w:rsidP="00021907">
      <w:pPr>
        <w:spacing w:line="230" w:lineRule="auto"/>
        <w:jc w:val="both"/>
        <w:rPr>
          <w:rFonts w:cs="Times New Roman"/>
          <w:sz w:val="20"/>
          <w:szCs w:val="20"/>
          <w:lang w:val="fr-FR"/>
        </w:rPr>
      </w:pPr>
    </w:p>
    <w:p w:rsidR="00021907" w:rsidRPr="00D12547" w:rsidRDefault="00021907" w:rsidP="00021907">
      <w:pPr>
        <w:spacing w:line="230" w:lineRule="auto"/>
        <w:jc w:val="both"/>
        <w:rPr>
          <w:rFonts w:cs="Times New Roman"/>
          <w:sz w:val="20"/>
          <w:szCs w:val="20"/>
          <w:lang w:val="fr-FR"/>
        </w:rPr>
      </w:pPr>
      <w:r w:rsidRPr="00D12547">
        <w:rPr>
          <w:rFonts w:cs="Times New Roman"/>
          <w:b/>
          <w:sz w:val="20"/>
          <w:szCs w:val="20"/>
          <w:lang w:val="fr-FR"/>
        </w:rPr>
        <w:t>IL EST EN OUTRE ORDONNÉ QUE</w:t>
      </w:r>
      <w:r w:rsidRPr="00D12547">
        <w:rPr>
          <w:rFonts w:cs="Times New Roman"/>
          <w:sz w:val="20"/>
          <w:szCs w:val="20"/>
          <w:lang w:val="fr-FR"/>
        </w:rPr>
        <w:t xml:space="preserve"> seuls les deux groupes d’intervenants, le Conseil canadien pour les réfugiés et l’Association canadienne des avocats et avocates en droit des réfugiés ainsi que la Fédération canado-arabe et le Congrès Tamoul Canadien, pourront chacun présenter une plaidoirie orale d’au plus dix (10) minutes lors de l’audition de l’appel.</w:t>
      </w:r>
    </w:p>
    <w:p w:rsidR="00021907" w:rsidRPr="00D12547" w:rsidRDefault="00021907" w:rsidP="00021907">
      <w:pPr>
        <w:spacing w:line="233" w:lineRule="auto"/>
        <w:jc w:val="both"/>
        <w:rPr>
          <w:rFonts w:cs="Times New Roman"/>
          <w:sz w:val="20"/>
          <w:szCs w:val="20"/>
          <w:lang w:val="fr-FR"/>
        </w:rPr>
      </w:pPr>
    </w:p>
    <w:p w:rsidR="00021907" w:rsidRPr="00D12547" w:rsidRDefault="00BA233E" w:rsidP="00021907">
      <w:pPr>
        <w:tabs>
          <w:tab w:val="left" w:pos="-1440"/>
          <w:tab w:val="left" w:pos="-720"/>
        </w:tabs>
        <w:jc w:val="both"/>
        <w:rPr>
          <w:rFonts w:cs="Times New Roman"/>
          <w:sz w:val="20"/>
          <w:szCs w:val="20"/>
          <w:lang w:val="fr-CA"/>
        </w:rPr>
      </w:pPr>
      <w:r w:rsidRPr="00BA233E">
        <w:rPr>
          <w:rFonts w:cs="Times New Roman"/>
          <w:sz w:val="20"/>
          <w:szCs w:val="20"/>
          <w:lang w:val="fr-CA"/>
        </w:rPr>
        <w:pict>
          <v:rect id="_x0000_i1055" style="width:2in;height:1pt" o:hrpct="0" o:hralign="center" o:hrstd="t" o:hrnoshade="t" o:hr="t" fillcolor="black [3213]" stroked="f"/>
        </w:pict>
      </w:r>
    </w:p>
    <w:p w:rsidR="00021907" w:rsidRPr="00D12547" w:rsidRDefault="00021907" w:rsidP="00021907">
      <w:pPr>
        <w:tabs>
          <w:tab w:val="left" w:pos="-1440"/>
          <w:tab w:val="left" w:pos="-720"/>
        </w:tabs>
        <w:jc w:val="both"/>
        <w:rPr>
          <w:rFonts w:cs="Times New Roman"/>
          <w:sz w:val="20"/>
          <w:szCs w:val="20"/>
          <w:lang w:val="fr-CA"/>
        </w:rPr>
      </w:pPr>
    </w:p>
    <w:p w:rsidR="00021907" w:rsidRDefault="00021907">
      <w:pPr>
        <w:rPr>
          <w:rFonts w:cs="Times New Roman"/>
          <w:sz w:val="20"/>
          <w:szCs w:val="20"/>
          <w:lang w:val="fr-CA"/>
        </w:rPr>
      </w:pPr>
      <w:r>
        <w:rPr>
          <w:rFonts w:cs="Times New Roman"/>
          <w:sz w:val="20"/>
          <w:szCs w:val="20"/>
          <w:lang w:val="fr-CA"/>
        </w:rPr>
        <w:br w:type="page"/>
      </w: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lastRenderedPageBreak/>
        <w:t>13.09.2012</w:t>
      </w:r>
    </w:p>
    <w:p w:rsidR="00021907" w:rsidRPr="00D12547" w:rsidRDefault="00021907" w:rsidP="00021907">
      <w:pPr>
        <w:tabs>
          <w:tab w:val="left" w:pos="-1440"/>
          <w:tab w:val="left" w:pos="-720"/>
        </w:tabs>
        <w:jc w:val="both"/>
        <w:rPr>
          <w:rFonts w:cs="Times New Roman"/>
          <w:sz w:val="20"/>
          <w:szCs w:val="20"/>
          <w:lang w:val="fr-CA"/>
        </w:rPr>
      </w:pPr>
    </w:p>
    <w:p w:rsidR="00021907" w:rsidRPr="00D12547" w:rsidRDefault="00021907" w:rsidP="00021907">
      <w:pPr>
        <w:tabs>
          <w:tab w:val="left" w:pos="-1440"/>
          <w:tab w:val="left" w:pos="-720"/>
        </w:tabs>
        <w:jc w:val="both"/>
        <w:rPr>
          <w:rFonts w:cs="Times New Roman"/>
          <w:sz w:val="20"/>
          <w:szCs w:val="20"/>
          <w:lang w:val="fr-CA"/>
        </w:rPr>
      </w:pPr>
      <w:r w:rsidRPr="00D12547">
        <w:rPr>
          <w:rFonts w:cs="Times New Roman"/>
          <w:sz w:val="20"/>
          <w:szCs w:val="20"/>
          <w:lang w:val="fr-CA"/>
        </w:rPr>
        <w:t>Before / Devant:   ROTHSTEIN J. / LE JUGE ROTHSTEIN</w:t>
      </w:r>
    </w:p>
    <w:p w:rsidR="00021907" w:rsidRPr="00D12547" w:rsidRDefault="00021907" w:rsidP="0002190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21907" w:rsidRPr="001A2926" w:rsidTr="002915ED">
        <w:tc>
          <w:tcPr>
            <w:tcW w:w="4338" w:type="dxa"/>
            <w:gridSpan w:val="2"/>
          </w:tcPr>
          <w:p w:rsidR="00021907" w:rsidRPr="00D12547" w:rsidRDefault="00021907" w:rsidP="002915ED">
            <w:pPr>
              <w:jc w:val="both"/>
              <w:rPr>
                <w:rFonts w:cs="Times New Roman"/>
                <w:b/>
                <w:sz w:val="20"/>
                <w:szCs w:val="20"/>
              </w:rPr>
            </w:pPr>
            <w:r w:rsidRPr="00D12547">
              <w:rPr>
                <w:rFonts w:cs="Times New Roman"/>
                <w:b/>
                <w:sz w:val="20"/>
                <w:szCs w:val="20"/>
              </w:rPr>
              <w:t xml:space="preserve">Order on intervention with respect to oral argument </w:t>
            </w:r>
            <w:r w:rsidR="00BA233E" w:rsidRPr="00D12547">
              <w:rPr>
                <w:rFonts w:cs="Times New Roman"/>
                <w:sz w:val="20"/>
                <w:szCs w:val="20"/>
              </w:rPr>
              <w:fldChar w:fldCharType="begin"/>
            </w:r>
            <w:r w:rsidRPr="00D12547">
              <w:rPr>
                <w:rFonts w:cs="Times New Roman"/>
                <w:sz w:val="20"/>
                <w:szCs w:val="20"/>
              </w:rPr>
              <w:instrText xml:space="preserve"> SEQ CHAPTER \h \r 1</w:instrText>
            </w:r>
            <w:r w:rsidR="00BA233E" w:rsidRPr="00D12547">
              <w:rPr>
                <w:rFonts w:cs="Times New Roman"/>
                <w:sz w:val="20"/>
                <w:szCs w:val="20"/>
              </w:rPr>
              <w:fldChar w:fldCharType="end"/>
            </w:r>
          </w:p>
        </w:tc>
        <w:tc>
          <w:tcPr>
            <w:tcW w:w="1170" w:type="dxa"/>
          </w:tcPr>
          <w:p w:rsidR="00021907" w:rsidRPr="00D12547" w:rsidRDefault="00021907" w:rsidP="002915ED">
            <w:pPr>
              <w:rPr>
                <w:rFonts w:cs="Times New Roman"/>
                <w:sz w:val="20"/>
                <w:szCs w:val="20"/>
              </w:rPr>
            </w:pPr>
          </w:p>
          <w:p w:rsidR="00021907" w:rsidRPr="00D12547" w:rsidRDefault="00021907" w:rsidP="002915ED">
            <w:pPr>
              <w:rPr>
                <w:rFonts w:cs="Times New Roman"/>
                <w:sz w:val="20"/>
                <w:szCs w:val="20"/>
              </w:rPr>
            </w:pPr>
          </w:p>
          <w:p w:rsidR="00021907" w:rsidRPr="00D12547" w:rsidRDefault="00021907" w:rsidP="002915ED">
            <w:pPr>
              <w:rPr>
                <w:rFonts w:cs="Times New Roman"/>
                <w:sz w:val="20"/>
                <w:szCs w:val="20"/>
              </w:rPr>
            </w:pPr>
          </w:p>
        </w:tc>
        <w:tc>
          <w:tcPr>
            <w:tcW w:w="4327" w:type="dxa"/>
          </w:tcPr>
          <w:p w:rsidR="00021907" w:rsidRPr="00D12547" w:rsidRDefault="00021907" w:rsidP="002915ED">
            <w:pPr>
              <w:jc w:val="both"/>
              <w:rPr>
                <w:rFonts w:cs="Times New Roman"/>
                <w:b/>
                <w:sz w:val="20"/>
                <w:szCs w:val="20"/>
                <w:lang w:val="fr-CA"/>
              </w:rPr>
            </w:pPr>
            <w:r w:rsidRPr="00D12547">
              <w:rPr>
                <w:rFonts w:cs="Times New Roman"/>
                <w:b/>
                <w:sz w:val="20"/>
                <w:szCs w:val="20"/>
                <w:lang w:val="fr-CA"/>
              </w:rPr>
              <w:t>Ordonnance relative à la présentation d’une plaidoirie orale par l’intervenant</w:t>
            </w:r>
            <w:r w:rsidRPr="00D12547">
              <w:rPr>
                <w:rFonts w:cs="Times New Roman"/>
                <w:sz w:val="20"/>
                <w:szCs w:val="20"/>
                <w:lang w:val="fr-CA"/>
              </w:rPr>
              <w:t xml:space="preserve"> </w:t>
            </w:r>
            <w:r w:rsidR="00BA233E" w:rsidRPr="00D12547">
              <w:rPr>
                <w:rFonts w:cs="Times New Roman"/>
                <w:sz w:val="20"/>
                <w:szCs w:val="20"/>
              </w:rPr>
              <w:fldChar w:fldCharType="begin"/>
            </w:r>
            <w:r w:rsidRPr="00D12547">
              <w:rPr>
                <w:rFonts w:cs="Times New Roman"/>
                <w:sz w:val="20"/>
                <w:szCs w:val="20"/>
                <w:lang w:val="fr-CA"/>
              </w:rPr>
              <w:instrText xml:space="preserve"> SEQ CHAPTER \h \r 1</w:instrText>
            </w:r>
            <w:r w:rsidR="00BA233E" w:rsidRPr="00D12547">
              <w:rPr>
                <w:rFonts w:cs="Times New Roman"/>
                <w:sz w:val="20"/>
                <w:szCs w:val="20"/>
              </w:rPr>
              <w:fldChar w:fldCharType="end"/>
            </w:r>
          </w:p>
        </w:tc>
      </w:tr>
      <w:tr w:rsidR="00021907" w:rsidRPr="00D12547" w:rsidTr="002915ED">
        <w:tc>
          <w:tcPr>
            <w:tcW w:w="1368" w:type="dxa"/>
          </w:tcPr>
          <w:p w:rsidR="00021907" w:rsidRPr="00D12547" w:rsidRDefault="00021907" w:rsidP="002915ED">
            <w:pPr>
              <w:rPr>
                <w:rFonts w:cs="Times New Roman"/>
                <w:sz w:val="20"/>
                <w:szCs w:val="20"/>
              </w:rPr>
            </w:pPr>
            <w:r w:rsidRPr="00D12547">
              <w:rPr>
                <w:rFonts w:cs="Times New Roman"/>
                <w:sz w:val="20"/>
                <w:szCs w:val="20"/>
              </w:rPr>
              <w:t>RE:</w:t>
            </w:r>
          </w:p>
        </w:tc>
        <w:tc>
          <w:tcPr>
            <w:tcW w:w="2970" w:type="dxa"/>
          </w:tcPr>
          <w:p w:rsidR="00021907" w:rsidRPr="00D12547" w:rsidRDefault="00021907" w:rsidP="002915ED">
            <w:pPr>
              <w:rPr>
                <w:rFonts w:cs="Times New Roman"/>
                <w:sz w:val="20"/>
                <w:szCs w:val="20"/>
              </w:rPr>
            </w:pPr>
            <w:r w:rsidRPr="00D12547">
              <w:rPr>
                <w:rFonts w:cs="Times New Roman"/>
                <w:sz w:val="20"/>
                <w:szCs w:val="20"/>
              </w:rPr>
              <w:t>Attorney General of Canada</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1A2926" w:rsidTr="002915ED">
        <w:tc>
          <w:tcPr>
            <w:tcW w:w="1368" w:type="dxa"/>
          </w:tcPr>
          <w:p w:rsidR="00021907" w:rsidRPr="00D12547" w:rsidRDefault="00021907" w:rsidP="002915ED">
            <w:pPr>
              <w:rPr>
                <w:rFonts w:cs="Times New Roman"/>
                <w:sz w:val="20"/>
                <w:szCs w:val="20"/>
              </w:rPr>
            </w:pPr>
            <w:r w:rsidRPr="00D12547">
              <w:rPr>
                <w:rFonts w:cs="Times New Roman"/>
                <w:sz w:val="20"/>
                <w:szCs w:val="20"/>
              </w:rPr>
              <w:t>IN / DANS :</w:t>
            </w:r>
          </w:p>
        </w:tc>
        <w:tc>
          <w:tcPr>
            <w:tcW w:w="2970" w:type="dxa"/>
          </w:tcPr>
          <w:p w:rsidR="00021907" w:rsidRPr="00D12547" w:rsidRDefault="00021907" w:rsidP="002915ED">
            <w:pPr>
              <w:rPr>
                <w:rFonts w:cs="Times New Roman"/>
                <w:sz w:val="20"/>
                <w:szCs w:val="20"/>
                <w:lang w:val="fr-CA"/>
              </w:rPr>
            </w:pPr>
            <w:r w:rsidRPr="00D12547">
              <w:rPr>
                <w:rFonts w:cs="Times New Roman"/>
                <w:sz w:val="20"/>
                <w:szCs w:val="20"/>
                <w:lang w:val="fr-CA"/>
              </w:rPr>
              <w:t xml:space="preserve">Pro-Sys Consultants Ltd. et al. </w:t>
            </w:r>
          </w:p>
          <w:p w:rsidR="00021907" w:rsidRPr="00D12547" w:rsidRDefault="00021907" w:rsidP="002915ED">
            <w:pPr>
              <w:rPr>
                <w:rFonts w:cs="Times New Roman"/>
                <w:sz w:val="20"/>
                <w:szCs w:val="20"/>
                <w:lang w:val="fr-CA"/>
              </w:rPr>
            </w:pPr>
          </w:p>
        </w:tc>
        <w:tc>
          <w:tcPr>
            <w:tcW w:w="1170" w:type="dxa"/>
          </w:tcPr>
          <w:p w:rsidR="00021907" w:rsidRPr="00D12547" w:rsidRDefault="00021907" w:rsidP="002915ED">
            <w:pPr>
              <w:rPr>
                <w:rFonts w:cs="Times New Roman"/>
                <w:sz w:val="20"/>
                <w:szCs w:val="20"/>
                <w:lang w:val="fr-CA"/>
              </w:rPr>
            </w:pPr>
          </w:p>
        </w:tc>
        <w:tc>
          <w:tcPr>
            <w:tcW w:w="4327" w:type="dxa"/>
          </w:tcPr>
          <w:p w:rsidR="00021907" w:rsidRPr="00D12547" w:rsidRDefault="00021907" w:rsidP="002915ED">
            <w:pPr>
              <w:rPr>
                <w:rFonts w:cs="Times New Roman"/>
                <w:sz w:val="20"/>
                <w:szCs w:val="20"/>
                <w:lang w:val="fr-CA"/>
              </w:rPr>
            </w:pPr>
          </w:p>
        </w:tc>
      </w:tr>
      <w:tr w:rsidR="00021907" w:rsidRPr="00D12547" w:rsidTr="002915ED">
        <w:tc>
          <w:tcPr>
            <w:tcW w:w="1368" w:type="dxa"/>
          </w:tcPr>
          <w:p w:rsidR="00021907" w:rsidRPr="00D12547" w:rsidRDefault="00021907" w:rsidP="002915ED">
            <w:pPr>
              <w:rPr>
                <w:rFonts w:cs="Times New Roman"/>
                <w:sz w:val="20"/>
                <w:szCs w:val="20"/>
                <w:lang w:val="fr-CA"/>
              </w:rPr>
            </w:pPr>
          </w:p>
        </w:tc>
        <w:tc>
          <w:tcPr>
            <w:tcW w:w="2970" w:type="dxa"/>
          </w:tcPr>
          <w:p w:rsidR="00021907" w:rsidRPr="00D12547" w:rsidRDefault="00021907" w:rsidP="002915ED">
            <w:pPr>
              <w:rPr>
                <w:rFonts w:cs="Times New Roman"/>
                <w:sz w:val="20"/>
                <w:szCs w:val="20"/>
              </w:rPr>
            </w:pPr>
            <w:r w:rsidRPr="00D12547">
              <w:rPr>
                <w:rFonts w:cs="Times New Roman"/>
                <w:sz w:val="20"/>
                <w:szCs w:val="20"/>
                <w:lang w:val="fr-CA"/>
              </w:rPr>
              <w:tab/>
            </w:r>
            <w:r w:rsidRPr="00D12547">
              <w:rPr>
                <w:rFonts w:cs="Times New Roman"/>
                <w:sz w:val="20"/>
                <w:szCs w:val="20"/>
              </w:rPr>
              <w:t>v. (34282)</w:t>
            </w:r>
          </w:p>
          <w:p w:rsidR="00021907" w:rsidRPr="00D12547" w:rsidRDefault="00021907" w:rsidP="002915ED">
            <w:pPr>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1A2926"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jc w:val="both"/>
              <w:rPr>
                <w:rFonts w:cs="Times New Roman"/>
                <w:sz w:val="20"/>
                <w:szCs w:val="20"/>
                <w:lang w:val="fr-CA"/>
              </w:rPr>
            </w:pPr>
            <w:r w:rsidRPr="00D12547">
              <w:rPr>
                <w:rFonts w:cs="Times New Roman"/>
                <w:sz w:val="20"/>
                <w:szCs w:val="20"/>
                <w:lang w:val="fr-CA"/>
              </w:rPr>
              <w:t xml:space="preserve">Microsoft Corporation et al. </w:t>
            </w:r>
          </w:p>
          <w:p w:rsidR="00021907" w:rsidRPr="00D12547" w:rsidRDefault="00021907" w:rsidP="002915ED">
            <w:pPr>
              <w:jc w:val="both"/>
              <w:rPr>
                <w:rFonts w:cs="Times New Roman"/>
                <w:sz w:val="20"/>
                <w:szCs w:val="20"/>
                <w:lang w:val="fr-CA"/>
              </w:rPr>
            </w:pPr>
            <w:r w:rsidRPr="00D12547">
              <w:rPr>
                <w:rFonts w:cs="Times New Roman"/>
                <w:sz w:val="20"/>
                <w:szCs w:val="20"/>
                <w:lang w:val="fr-CA"/>
              </w:rPr>
              <w:t>(B.C.)</w:t>
            </w:r>
          </w:p>
        </w:tc>
        <w:tc>
          <w:tcPr>
            <w:tcW w:w="1170" w:type="dxa"/>
          </w:tcPr>
          <w:p w:rsidR="00021907" w:rsidRPr="00D12547" w:rsidRDefault="00021907" w:rsidP="002915ED">
            <w:pPr>
              <w:rPr>
                <w:rFonts w:cs="Times New Roman"/>
                <w:sz w:val="20"/>
                <w:szCs w:val="20"/>
                <w:lang w:val="fr-CA"/>
              </w:rPr>
            </w:pPr>
          </w:p>
        </w:tc>
        <w:tc>
          <w:tcPr>
            <w:tcW w:w="4327" w:type="dxa"/>
          </w:tcPr>
          <w:p w:rsidR="00021907" w:rsidRPr="00D12547" w:rsidRDefault="00021907" w:rsidP="002915ED">
            <w:pPr>
              <w:rPr>
                <w:rFonts w:cs="Times New Roman"/>
                <w:sz w:val="20"/>
                <w:szCs w:val="20"/>
                <w:lang w:val="fr-CA"/>
              </w:rPr>
            </w:pPr>
          </w:p>
        </w:tc>
      </w:tr>
      <w:tr w:rsidR="00021907" w:rsidRPr="001A2926" w:rsidTr="002915ED">
        <w:tc>
          <w:tcPr>
            <w:tcW w:w="1368" w:type="dxa"/>
          </w:tcPr>
          <w:p w:rsidR="00021907" w:rsidRPr="00D12547" w:rsidRDefault="00021907" w:rsidP="002915ED">
            <w:pPr>
              <w:rPr>
                <w:rFonts w:cs="Times New Roman"/>
                <w:sz w:val="20"/>
                <w:szCs w:val="20"/>
                <w:lang w:val="fr-CA"/>
              </w:rPr>
            </w:pPr>
          </w:p>
        </w:tc>
        <w:tc>
          <w:tcPr>
            <w:tcW w:w="2970" w:type="dxa"/>
          </w:tcPr>
          <w:p w:rsidR="00021907" w:rsidRPr="00D12547" w:rsidRDefault="00021907" w:rsidP="002915ED">
            <w:pPr>
              <w:jc w:val="both"/>
              <w:rPr>
                <w:rFonts w:cs="Times New Roman"/>
                <w:sz w:val="20"/>
                <w:szCs w:val="20"/>
                <w:lang w:val="fr-CA"/>
              </w:rPr>
            </w:pPr>
          </w:p>
        </w:tc>
        <w:tc>
          <w:tcPr>
            <w:tcW w:w="1170" w:type="dxa"/>
          </w:tcPr>
          <w:p w:rsidR="00021907" w:rsidRPr="00D12547" w:rsidRDefault="00021907" w:rsidP="002915ED">
            <w:pPr>
              <w:rPr>
                <w:rFonts w:cs="Times New Roman"/>
                <w:sz w:val="20"/>
                <w:szCs w:val="20"/>
                <w:lang w:val="fr-CA"/>
              </w:rPr>
            </w:pPr>
          </w:p>
        </w:tc>
        <w:tc>
          <w:tcPr>
            <w:tcW w:w="4327" w:type="dxa"/>
          </w:tcPr>
          <w:p w:rsidR="00021907" w:rsidRPr="00D12547" w:rsidRDefault="00021907" w:rsidP="002915ED">
            <w:pPr>
              <w:rPr>
                <w:rFonts w:cs="Times New Roman"/>
                <w:sz w:val="20"/>
                <w:szCs w:val="20"/>
                <w:lang w:val="fr-CA"/>
              </w:rPr>
            </w:pPr>
          </w:p>
        </w:tc>
      </w:tr>
      <w:tr w:rsidR="00021907" w:rsidRPr="00D12547" w:rsidTr="002915ED">
        <w:tc>
          <w:tcPr>
            <w:tcW w:w="1368" w:type="dxa"/>
          </w:tcPr>
          <w:p w:rsidR="00021907" w:rsidRPr="00D12547" w:rsidRDefault="00021907" w:rsidP="002915ED">
            <w:pPr>
              <w:rPr>
                <w:rFonts w:cs="Times New Roman"/>
                <w:sz w:val="20"/>
                <w:szCs w:val="20"/>
                <w:lang w:val="fr-CA"/>
              </w:rPr>
            </w:pPr>
          </w:p>
        </w:tc>
        <w:tc>
          <w:tcPr>
            <w:tcW w:w="2970" w:type="dxa"/>
          </w:tcPr>
          <w:p w:rsidR="00021907" w:rsidRPr="00D12547" w:rsidRDefault="00021907" w:rsidP="002915ED">
            <w:pPr>
              <w:jc w:val="both"/>
              <w:rPr>
                <w:rFonts w:cs="Times New Roman"/>
                <w:sz w:val="20"/>
                <w:szCs w:val="20"/>
              </w:rPr>
            </w:pPr>
            <w:r w:rsidRPr="00D12547">
              <w:rPr>
                <w:rFonts w:cs="Times New Roman"/>
                <w:sz w:val="20"/>
                <w:szCs w:val="20"/>
              </w:rPr>
              <w:t>and</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jc w:val="both"/>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1A2926"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rPr>
                <w:rFonts w:cs="Times New Roman"/>
                <w:sz w:val="20"/>
                <w:szCs w:val="20"/>
                <w:lang w:val="fr-CA"/>
              </w:rPr>
            </w:pPr>
            <w:r w:rsidRPr="00D12547">
              <w:rPr>
                <w:rFonts w:cs="Times New Roman"/>
                <w:sz w:val="20"/>
                <w:szCs w:val="20"/>
                <w:lang w:val="fr-CA"/>
              </w:rPr>
              <w:t>Sun-Rype Products Ltd. et al.</w:t>
            </w:r>
          </w:p>
          <w:p w:rsidR="00021907" w:rsidRPr="00D12547" w:rsidRDefault="00021907" w:rsidP="002915ED">
            <w:pPr>
              <w:jc w:val="both"/>
              <w:rPr>
                <w:rFonts w:cs="Times New Roman"/>
                <w:sz w:val="20"/>
                <w:szCs w:val="20"/>
                <w:lang w:val="fr-CA"/>
              </w:rPr>
            </w:pPr>
          </w:p>
        </w:tc>
        <w:tc>
          <w:tcPr>
            <w:tcW w:w="1170" w:type="dxa"/>
          </w:tcPr>
          <w:p w:rsidR="00021907" w:rsidRPr="00D12547" w:rsidRDefault="00021907" w:rsidP="002915ED">
            <w:pPr>
              <w:rPr>
                <w:rFonts w:cs="Times New Roman"/>
                <w:sz w:val="20"/>
                <w:szCs w:val="20"/>
                <w:lang w:val="fr-CA"/>
              </w:rPr>
            </w:pPr>
          </w:p>
        </w:tc>
        <w:tc>
          <w:tcPr>
            <w:tcW w:w="4327" w:type="dxa"/>
          </w:tcPr>
          <w:p w:rsidR="00021907" w:rsidRPr="00D12547" w:rsidRDefault="00021907" w:rsidP="002915ED">
            <w:pPr>
              <w:rPr>
                <w:rFonts w:cs="Times New Roman"/>
                <w:sz w:val="20"/>
                <w:szCs w:val="20"/>
                <w:lang w:val="fr-CA"/>
              </w:rPr>
            </w:pPr>
          </w:p>
        </w:tc>
      </w:tr>
      <w:tr w:rsidR="00021907" w:rsidRPr="00D12547" w:rsidTr="002915ED">
        <w:tc>
          <w:tcPr>
            <w:tcW w:w="1368" w:type="dxa"/>
          </w:tcPr>
          <w:p w:rsidR="00021907" w:rsidRPr="00D12547" w:rsidRDefault="00021907" w:rsidP="002915ED">
            <w:pPr>
              <w:rPr>
                <w:rFonts w:cs="Times New Roman"/>
                <w:sz w:val="20"/>
                <w:szCs w:val="20"/>
                <w:lang w:val="fr-CA"/>
              </w:rPr>
            </w:pPr>
          </w:p>
        </w:tc>
        <w:tc>
          <w:tcPr>
            <w:tcW w:w="2970" w:type="dxa"/>
          </w:tcPr>
          <w:p w:rsidR="00021907" w:rsidRPr="00D12547" w:rsidRDefault="00021907" w:rsidP="002915ED">
            <w:pPr>
              <w:jc w:val="both"/>
              <w:rPr>
                <w:rFonts w:cs="Times New Roman"/>
                <w:sz w:val="20"/>
                <w:szCs w:val="20"/>
              </w:rPr>
            </w:pPr>
            <w:r w:rsidRPr="00D12547">
              <w:rPr>
                <w:rFonts w:cs="Times New Roman"/>
                <w:sz w:val="20"/>
                <w:szCs w:val="20"/>
                <w:lang w:val="fr-CA"/>
              </w:rPr>
              <w:tab/>
            </w:r>
            <w:r w:rsidRPr="00D12547">
              <w:rPr>
                <w:rFonts w:cs="Times New Roman"/>
                <w:sz w:val="20"/>
                <w:szCs w:val="20"/>
              </w:rPr>
              <w:t>v. (34283)</w:t>
            </w:r>
          </w:p>
          <w:p w:rsidR="00021907" w:rsidRPr="00D12547" w:rsidRDefault="00021907" w:rsidP="002915ED">
            <w:pPr>
              <w:jc w:val="both"/>
              <w:rPr>
                <w:rFonts w:cs="Times New Roman"/>
                <w:sz w:val="20"/>
                <w:szCs w:val="20"/>
              </w:rPr>
            </w:pP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r w:rsidR="00021907" w:rsidRPr="00D12547" w:rsidTr="002915ED">
        <w:tc>
          <w:tcPr>
            <w:tcW w:w="1368" w:type="dxa"/>
          </w:tcPr>
          <w:p w:rsidR="00021907" w:rsidRPr="00D12547" w:rsidRDefault="00021907" w:rsidP="002915ED">
            <w:pPr>
              <w:rPr>
                <w:rFonts w:cs="Times New Roman"/>
                <w:sz w:val="20"/>
                <w:szCs w:val="20"/>
              </w:rPr>
            </w:pPr>
          </w:p>
        </w:tc>
        <w:tc>
          <w:tcPr>
            <w:tcW w:w="2970" w:type="dxa"/>
          </w:tcPr>
          <w:p w:rsidR="00021907" w:rsidRPr="00D12547" w:rsidRDefault="00021907" w:rsidP="002915ED">
            <w:pPr>
              <w:jc w:val="both"/>
              <w:rPr>
                <w:rFonts w:cs="Times New Roman"/>
                <w:sz w:val="20"/>
                <w:szCs w:val="20"/>
              </w:rPr>
            </w:pPr>
            <w:r w:rsidRPr="00D12547">
              <w:rPr>
                <w:rFonts w:cs="Times New Roman"/>
                <w:sz w:val="20"/>
                <w:szCs w:val="20"/>
              </w:rPr>
              <w:t xml:space="preserve">Archer Daniels Midland </w:t>
            </w:r>
          </w:p>
          <w:p w:rsidR="00021907" w:rsidRPr="00D12547" w:rsidRDefault="00021907" w:rsidP="002915ED">
            <w:pPr>
              <w:jc w:val="both"/>
              <w:rPr>
                <w:rFonts w:cs="Times New Roman"/>
                <w:sz w:val="20"/>
                <w:szCs w:val="20"/>
              </w:rPr>
            </w:pPr>
            <w:r w:rsidRPr="00D12547">
              <w:rPr>
                <w:rFonts w:cs="Times New Roman"/>
                <w:sz w:val="20"/>
                <w:szCs w:val="20"/>
              </w:rPr>
              <w:t>Company et al. (B.C.)</w:t>
            </w:r>
          </w:p>
        </w:tc>
        <w:tc>
          <w:tcPr>
            <w:tcW w:w="1170" w:type="dxa"/>
          </w:tcPr>
          <w:p w:rsidR="00021907" w:rsidRPr="00D12547" w:rsidRDefault="00021907" w:rsidP="002915ED">
            <w:pPr>
              <w:rPr>
                <w:rFonts w:cs="Times New Roman"/>
                <w:sz w:val="20"/>
                <w:szCs w:val="20"/>
              </w:rPr>
            </w:pPr>
          </w:p>
        </w:tc>
        <w:tc>
          <w:tcPr>
            <w:tcW w:w="4327" w:type="dxa"/>
          </w:tcPr>
          <w:p w:rsidR="00021907" w:rsidRPr="00D12547" w:rsidRDefault="00021907" w:rsidP="002915ED">
            <w:pPr>
              <w:rPr>
                <w:rFonts w:cs="Times New Roman"/>
                <w:sz w:val="20"/>
                <w:szCs w:val="20"/>
              </w:rPr>
            </w:pPr>
          </w:p>
        </w:tc>
      </w:tr>
    </w:tbl>
    <w:p w:rsidR="00021907" w:rsidRPr="00D12547" w:rsidRDefault="00021907" w:rsidP="00021907">
      <w:pPr>
        <w:jc w:val="both"/>
        <w:rPr>
          <w:rFonts w:cs="Times New Roman"/>
          <w:sz w:val="20"/>
          <w:szCs w:val="20"/>
        </w:rPr>
      </w:pPr>
    </w:p>
    <w:p w:rsidR="00021907" w:rsidRPr="00D12547" w:rsidRDefault="00021907" w:rsidP="00021907">
      <w:pPr>
        <w:spacing w:line="230" w:lineRule="auto"/>
        <w:jc w:val="both"/>
        <w:rPr>
          <w:rFonts w:cs="Times New Roman"/>
          <w:sz w:val="20"/>
          <w:szCs w:val="20"/>
        </w:rPr>
      </w:pPr>
      <w:r w:rsidRPr="00D12547">
        <w:rPr>
          <w:rFonts w:cs="Times New Roman"/>
          <w:b/>
          <w:bCs/>
          <w:sz w:val="20"/>
          <w:szCs w:val="20"/>
        </w:rPr>
        <w:t>FURTHER TO THE ORDER</w:t>
      </w:r>
      <w:r w:rsidRPr="00D12547">
        <w:rPr>
          <w:rFonts w:cs="Times New Roman"/>
          <w:sz w:val="20"/>
          <w:szCs w:val="20"/>
        </w:rPr>
        <w:t xml:space="preserve"> dated July 18, 2012, granting leave to intervene to the Attorney General of Canada in both appeals and the Canadian Chamber of Commerce for leave to intervene in the appeal of </w:t>
      </w:r>
      <w:r w:rsidRPr="00D12547">
        <w:rPr>
          <w:rFonts w:cs="Times New Roman"/>
          <w:i/>
          <w:sz w:val="20"/>
          <w:szCs w:val="20"/>
        </w:rPr>
        <w:t xml:space="preserve">Sun-Rype Products Ltd., et al. v. Archer Daniels Midland Company, et al. </w:t>
      </w:r>
      <w:r w:rsidRPr="00D12547">
        <w:rPr>
          <w:rFonts w:cs="Times New Roman"/>
          <w:sz w:val="20"/>
          <w:szCs w:val="20"/>
        </w:rPr>
        <w:t>(34283);</w:t>
      </w:r>
    </w:p>
    <w:p w:rsidR="00021907" w:rsidRPr="00D12547" w:rsidRDefault="00021907" w:rsidP="00021907">
      <w:pPr>
        <w:spacing w:line="230" w:lineRule="auto"/>
        <w:jc w:val="both"/>
        <w:rPr>
          <w:rFonts w:cs="Times New Roman"/>
          <w:sz w:val="20"/>
          <w:szCs w:val="20"/>
        </w:rPr>
      </w:pPr>
    </w:p>
    <w:p w:rsidR="00021907" w:rsidRPr="00D12547" w:rsidRDefault="00021907" w:rsidP="00021907">
      <w:pPr>
        <w:spacing w:line="230" w:lineRule="auto"/>
        <w:jc w:val="both"/>
        <w:rPr>
          <w:rFonts w:cs="Times New Roman"/>
          <w:sz w:val="20"/>
          <w:szCs w:val="20"/>
        </w:rPr>
      </w:pPr>
      <w:r w:rsidRPr="00D12547">
        <w:rPr>
          <w:rFonts w:cs="Times New Roman"/>
          <w:b/>
          <w:bCs/>
          <w:sz w:val="20"/>
          <w:szCs w:val="20"/>
        </w:rPr>
        <w:t xml:space="preserve">IT IS HEREBY FURTHER ORDERED THAT </w:t>
      </w:r>
      <w:r w:rsidRPr="00D12547">
        <w:rPr>
          <w:rFonts w:cs="Times New Roman"/>
          <w:sz w:val="20"/>
          <w:szCs w:val="20"/>
        </w:rPr>
        <w:t>the said interveners are each granted permission to present oral argument not exceeding ten (10) minutes at the hearing of the appeals.</w:t>
      </w:r>
    </w:p>
    <w:p w:rsidR="00021907" w:rsidRPr="00D12547" w:rsidRDefault="00021907" w:rsidP="00021907">
      <w:pPr>
        <w:rPr>
          <w:rFonts w:cs="Times New Roman"/>
          <w:sz w:val="20"/>
          <w:szCs w:val="20"/>
        </w:rPr>
      </w:pPr>
    </w:p>
    <w:p w:rsidR="00021907" w:rsidRPr="00D12547" w:rsidRDefault="00021907" w:rsidP="00021907">
      <w:pPr>
        <w:rPr>
          <w:rFonts w:cs="Times New Roman"/>
          <w:sz w:val="20"/>
          <w:szCs w:val="20"/>
        </w:rPr>
      </w:pPr>
    </w:p>
    <w:p w:rsidR="00021907" w:rsidRPr="00D12547" w:rsidRDefault="00021907" w:rsidP="00021907">
      <w:pPr>
        <w:rPr>
          <w:rFonts w:cs="Times New Roman"/>
          <w:sz w:val="20"/>
          <w:szCs w:val="20"/>
        </w:rPr>
      </w:pPr>
    </w:p>
    <w:p w:rsidR="00021907" w:rsidRPr="00D12547" w:rsidRDefault="00021907" w:rsidP="00021907">
      <w:pPr>
        <w:spacing w:line="233" w:lineRule="auto"/>
        <w:jc w:val="both"/>
        <w:rPr>
          <w:rFonts w:cs="Times New Roman"/>
          <w:sz w:val="20"/>
          <w:szCs w:val="20"/>
          <w:lang w:val="fr-FR"/>
        </w:rPr>
      </w:pPr>
      <w:r w:rsidRPr="00D12547">
        <w:rPr>
          <w:rFonts w:cs="Times New Roman"/>
          <w:b/>
          <w:sz w:val="20"/>
          <w:szCs w:val="20"/>
          <w:lang w:val="fr-FR"/>
        </w:rPr>
        <w:t>À LA SUITE DE L’ORDONNANCE</w:t>
      </w:r>
      <w:r w:rsidRPr="00D12547">
        <w:rPr>
          <w:rFonts w:cs="Times New Roman"/>
          <w:sz w:val="20"/>
          <w:szCs w:val="20"/>
          <w:lang w:val="fr-FR"/>
        </w:rPr>
        <w:t xml:space="preserve"> datée du 18 juillet 2012, accordant l'autorisation d'intervenir au procureur général du Canada dans les deux appels ainsi qu'à la Chambre de commerce du Canada dans l’appel </w:t>
      </w:r>
      <w:r w:rsidRPr="00D12547">
        <w:rPr>
          <w:rFonts w:cs="Times New Roman"/>
          <w:i/>
          <w:sz w:val="20"/>
          <w:szCs w:val="20"/>
          <w:lang w:val="fr-FR"/>
        </w:rPr>
        <w:t xml:space="preserve">Sun-Rype Products Ltd. et al. c. Archer Daniels Midland Company et al. </w:t>
      </w:r>
      <w:r w:rsidRPr="00D12547">
        <w:rPr>
          <w:rFonts w:cs="Times New Roman"/>
          <w:sz w:val="20"/>
          <w:szCs w:val="20"/>
          <w:lang w:val="fr-FR"/>
        </w:rPr>
        <w:t>(34283);</w:t>
      </w:r>
    </w:p>
    <w:p w:rsidR="00021907" w:rsidRPr="00D12547" w:rsidRDefault="00021907" w:rsidP="00021907">
      <w:pPr>
        <w:spacing w:line="233" w:lineRule="auto"/>
        <w:jc w:val="both"/>
        <w:rPr>
          <w:rFonts w:cs="Times New Roman"/>
          <w:sz w:val="20"/>
          <w:szCs w:val="20"/>
          <w:lang w:val="fr-FR"/>
        </w:rPr>
      </w:pPr>
    </w:p>
    <w:p w:rsidR="00021907" w:rsidRPr="00D12547" w:rsidRDefault="00021907" w:rsidP="00021907">
      <w:pPr>
        <w:spacing w:line="233" w:lineRule="auto"/>
        <w:jc w:val="both"/>
        <w:rPr>
          <w:rFonts w:cs="Times New Roman"/>
          <w:sz w:val="20"/>
          <w:szCs w:val="20"/>
          <w:lang w:val="fr-FR"/>
        </w:rPr>
      </w:pPr>
      <w:r w:rsidRPr="00D12547">
        <w:rPr>
          <w:rFonts w:cs="Times New Roman"/>
          <w:b/>
          <w:sz w:val="20"/>
          <w:szCs w:val="20"/>
          <w:lang w:val="fr-FR"/>
        </w:rPr>
        <w:t>IL EST EN OUTRE ORDONNÉ QUE</w:t>
      </w:r>
      <w:r w:rsidRPr="00D12547">
        <w:rPr>
          <w:rFonts w:cs="Times New Roman"/>
          <w:sz w:val="20"/>
          <w:szCs w:val="20"/>
          <w:lang w:val="fr-FR"/>
        </w:rPr>
        <w:t xml:space="preserve"> les intervenants pourront chacun présenter une plaidoirie orale d’au plus dix (10) minutes lors de l’audition de l’appel.</w:t>
      </w:r>
    </w:p>
    <w:p w:rsidR="00021907" w:rsidRPr="00D12547" w:rsidRDefault="00021907" w:rsidP="00021907">
      <w:pPr>
        <w:spacing w:line="233" w:lineRule="auto"/>
        <w:jc w:val="both"/>
        <w:rPr>
          <w:rFonts w:cs="Times New Roman"/>
          <w:sz w:val="20"/>
          <w:szCs w:val="20"/>
          <w:lang w:val="fr-FR"/>
        </w:rPr>
      </w:pPr>
    </w:p>
    <w:p w:rsidR="00021907" w:rsidRPr="00D12547" w:rsidRDefault="00BA233E" w:rsidP="00021907">
      <w:pPr>
        <w:rPr>
          <w:rFonts w:cs="Times New Roman"/>
          <w:sz w:val="20"/>
          <w:szCs w:val="20"/>
        </w:rPr>
      </w:pPr>
      <w:r w:rsidRPr="00BA233E">
        <w:rPr>
          <w:rFonts w:cs="Times New Roman"/>
          <w:sz w:val="20"/>
          <w:szCs w:val="20"/>
          <w:lang w:val="fr-CA"/>
        </w:rPr>
        <w:pict>
          <v:rect id="_x0000_i1056" style="width:2in;height:1pt" o:hrpct="0" o:hralign="center" o:hrstd="t" o:hrnoshade="t" o:hr="t" fillcolor="black [3213]" stroked="f"/>
        </w:pict>
      </w:r>
    </w:p>
    <w:p w:rsidR="00021907" w:rsidRPr="00D12547" w:rsidRDefault="00021907" w:rsidP="00021907">
      <w:pPr>
        <w:tabs>
          <w:tab w:val="left" w:pos="-1440"/>
          <w:tab w:val="left" w:pos="-720"/>
        </w:tabs>
        <w:jc w:val="both"/>
        <w:rPr>
          <w:rFonts w:cs="Times New Roman"/>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1A292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A702C5" w:rsidP="003B3977">
            <w:pPr>
              <w:rPr>
                <w:sz w:val="20"/>
                <w:szCs w:val="20"/>
              </w:rPr>
            </w:pPr>
            <w:r>
              <w:rPr>
                <w:sz w:val="20"/>
                <w:szCs w:val="20"/>
              </w:rPr>
              <w:t>1</w:t>
            </w:r>
            <w:r w:rsidR="0010587F" w:rsidRPr="003B3977">
              <w:rPr>
                <w:sz w:val="20"/>
                <w:szCs w:val="20"/>
              </w:rPr>
              <w:t>0.0</w:t>
            </w:r>
            <w:r>
              <w:rPr>
                <w:sz w:val="20"/>
                <w:szCs w:val="20"/>
              </w:rPr>
              <w:t>8</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A702C5" w:rsidP="003B3977">
            <w:pPr>
              <w:rPr>
                <w:b/>
                <w:sz w:val="20"/>
                <w:szCs w:val="20"/>
              </w:rPr>
            </w:pPr>
            <w:r>
              <w:rPr>
                <w:b/>
                <w:sz w:val="20"/>
                <w:szCs w:val="20"/>
              </w:rPr>
              <w:t>H</w:t>
            </w:r>
            <w:r w:rsidR="0010587F" w:rsidRPr="003B3977">
              <w:rPr>
                <w:b/>
                <w:sz w:val="20"/>
                <w:szCs w:val="20"/>
              </w:rPr>
              <w:t>er</w:t>
            </w:r>
            <w:r>
              <w:rPr>
                <w:b/>
                <w:sz w:val="20"/>
                <w:szCs w:val="20"/>
              </w:rPr>
              <w:t xml:space="preserve"> M</w:t>
            </w:r>
            <w:r w:rsidR="0010587F" w:rsidRPr="003B3977">
              <w:rPr>
                <w:b/>
                <w:sz w:val="20"/>
                <w:szCs w:val="20"/>
              </w:rPr>
              <w:t>a</w:t>
            </w:r>
            <w:r>
              <w:rPr>
                <w:b/>
                <w:sz w:val="20"/>
                <w:szCs w:val="20"/>
              </w:rPr>
              <w:t>j</w:t>
            </w:r>
            <w:r w:rsidR="0010587F" w:rsidRPr="003B3977">
              <w:rPr>
                <w:b/>
                <w:sz w:val="20"/>
                <w:szCs w:val="20"/>
              </w:rPr>
              <w:t>es</w:t>
            </w:r>
            <w:r>
              <w:rPr>
                <w:b/>
                <w:sz w:val="20"/>
                <w:szCs w:val="20"/>
              </w:rPr>
              <w:t>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702C5">
              <w:rPr>
                <w:b/>
                <w:sz w:val="20"/>
                <w:szCs w:val="20"/>
              </w:rPr>
              <w:t>4934</w:t>
            </w:r>
            <w:r w:rsidRPr="003B3977">
              <w:rPr>
                <w:b/>
                <w:sz w:val="20"/>
                <w:szCs w:val="20"/>
              </w:rPr>
              <w:t>)</w:t>
            </w:r>
          </w:p>
          <w:p w:rsidR="0010587F" w:rsidRPr="003B3977" w:rsidRDefault="0010587F" w:rsidP="003B3977">
            <w:pPr>
              <w:rPr>
                <w:b/>
                <w:sz w:val="20"/>
                <w:szCs w:val="20"/>
              </w:rPr>
            </w:pPr>
          </w:p>
          <w:p w:rsidR="0010587F" w:rsidRPr="003B3977" w:rsidRDefault="00A702C5" w:rsidP="003B3977">
            <w:pPr>
              <w:rPr>
                <w:b/>
                <w:sz w:val="20"/>
                <w:szCs w:val="20"/>
              </w:rPr>
            </w:pPr>
            <w:r>
              <w:rPr>
                <w:b/>
                <w:sz w:val="20"/>
                <w:szCs w:val="20"/>
              </w:rPr>
              <w:t>P</w:t>
            </w:r>
            <w:r w:rsidR="0010587F" w:rsidRPr="003B3977">
              <w:rPr>
                <w:b/>
                <w:sz w:val="20"/>
                <w:szCs w:val="20"/>
              </w:rPr>
              <w:t>e</w:t>
            </w:r>
            <w:r>
              <w:rPr>
                <w:b/>
                <w:sz w:val="20"/>
                <w:szCs w:val="20"/>
              </w:rPr>
              <w:t>te</w:t>
            </w:r>
            <w:r w:rsidR="0010587F" w:rsidRPr="003B3977">
              <w:rPr>
                <w:b/>
                <w:sz w:val="20"/>
                <w:szCs w:val="20"/>
              </w:rPr>
              <w:t xml:space="preserve">r </w:t>
            </w:r>
            <w:r>
              <w:rPr>
                <w:b/>
                <w:sz w:val="20"/>
                <w:szCs w:val="20"/>
              </w:rPr>
              <w:t>G</w:t>
            </w:r>
            <w:r w:rsidR="0010587F" w:rsidRPr="003B3977">
              <w:rPr>
                <w:b/>
                <w:sz w:val="20"/>
                <w:szCs w:val="20"/>
              </w:rPr>
              <w:t>a</w:t>
            </w:r>
            <w:r>
              <w:rPr>
                <w:b/>
                <w:sz w:val="20"/>
                <w:szCs w:val="20"/>
              </w:rPr>
              <w:t>rfi</w:t>
            </w:r>
            <w:r w:rsidR="0010587F" w:rsidRPr="003B3977">
              <w:rPr>
                <w:b/>
                <w:sz w:val="20"/>
                <w:szCs w:val="20"/>
              </w:rPr>
              <w:t>e</w:t>
            </w:r>
            <w:r>
              <w:rPr>
                <w:b/>
                <w:sz w:val="20"/>
                <w:szCs w:val="20"/>
              </w:rPr>
              <w:t>ld Ta</w:t>
            </w:r>
            <w:r w:rsidR="0010587F" w:rsidRPr="003B3977">
              <w:rPr>
                <w:b/>
                <w:sz w:val="20"/>
                <w:szCs w:val="20"/>
              </w:rPr>
              <w:t>y</w:t>
            </w:r>
            <w:r>
              <w:rPr>
                <w:b/>
                <w:sz w:val="20"/>
                <w:szCs w:val="20"/>
              </w:rPr>
              <w:t>lor</w:t>
            </w:r>
            <w:r w:rsidR="0010587F" w:rsidRPr="003B3977">
              <w:rPr>
                <w:b/>
                <w:sz w:val="20"/>
                <w:szCs w:val="20"/>
              </w:rPr>
              <w:t xml:space="preserve"> (</w:t>
            </w:r>
            <w:r>
              <w:rPr>
                <w:b/>
                <w:sz w:val="20"/>
                <w:szCs w:val="20"/>
              </w:rPr>
              <w:t>N.L.</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BA233E" w:rsidP="003B3977">
            <w:pPr>
              <w:rPr>
                <w:sz w:val="20"/>
                <w:szCs w:val="20"/>
                <w:lang w:val="fr-CA"/>
              </w:rPr>
            </w:pPr>
            <w:r w:rsidRPr="00BA233E">
              <w:rPr>
                <w:sz w:val="20"/>
                <w:szCs w:val="20"/>
                <w:lang w:val="fr-CA"/>
              </w:rPr>
              <w:pict>
                <v:rect id="_x0000_i105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A292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94254F" w:rsidRDefault="00FF6EEC" w:rsidP="00FF6EEC">
      <w:pPr>
        <w:rPr>
          <w:sz w:val="20"/>
          <w:szCs w:val="20"/>
          <w:lang w:val="fr-CA"/>
        </w:rPr>
      </w:pPr>
    </w:p>
    <w:p w:rsidR="0094254F" w:rsidRPr="001A2926" w:rsidRDefault="0094254F" w:rsidP="00FF6EEC">
      <w:pPr>
        <w:rPr>
          <w:b/>
          <w:sz w:val="20"/>
          <w:szCs w:val="20"/>
        </w:rPr>
      </w:pPr>
      <w:r w:rsidRPr="001A2926">
        <w:rPr>
          <w:b/>
          <w:sz w:val="20"/>
          <w:szCs w:val="20"/>
        </w:rPr>
        <w:t>SEPTEMBER 21, 2012 / LE 21 SEPTEMBRE 2012</w:t>
      </w:r>
    </w:p>
    <w:p w:rsidR="0094254F" w:rsidRPr="001A2926" w:rsidRDefault="0094254F" w:rsidP="00FF6EEC">
      <w:pPr>
        <w:rPr>
          <w:sz w:val="20"/>
          <w:szCs w:val="20"/>
        </w:rPr>
      </w:pPr>
    </w:p>
    <w:p w:rsidR="006C5602" w:rsidRPr="00EE1A87" w:rsidRDefault="006C5602" w:rsidP="006C5602">
      <w:pPr>
        <w:ind w:left="1440" w:hanging="1440"/>
        <w:jc w:val="both"/>
        <w:rPr>
          <w:sz w:val="20"/>
          <w:szCs w:val="20"/>
        </w:rPr>
      </w:pPr>
      <w:r w:rsidRPr="00EE1A87">
        <w:rPr>
          <w:b/>
          <w:sz w:val="20"/>
          <w:szCs w:val="20"/>
        </w:rPr>
        <w:t>33981</w:t>
      </w:r>
      <w:r w:rsidRPr="00EE1A87">
        <w:rPr>
          <w:b/>
          <w:sz w:val="20"/>
          <w:szCs w:val="20"/>
        </w:rPr>
        <w:tab/>
      </w:r>
      <w:r w:rsidRPr="00EE1A87">
        <w:rPr>
          <w:b/>
          <w:sz w:val="20"/>
          <w:szCs w:val="20"/>
          <w:u w:val="single"/>
        </w:rPr>
        <w:t>Attorney General of Canada v. Downtown Eastside Sex Workers United Against Violence Society and Sheryl Kiselbach – and – Attorney General of Ontario, Community Legal Assistance Society, British Columbia Civil Liberties Association, Ecojustice Canada, Coalition of West Coast Women’s Legal Education and Action Fund (West Coast LEAF), Justice for Children and Youth, ARCH Disability Law Centre, Conseil scolaire francophone de la Colombie-Britannique, David Asper Centre for Constitutional Rights, Canadian Civil Liberties Association, Canadian Association of Refugee Lawyers, Canadian Council for Refugees, Canadian HIV/AIDS Legal Network, HIV &amp; AIDS Legal Clinic Ontario and Positive Living Society of British Columbia</w:t>
      </w:r>
      <w:r w:rsidRPr="00EE1A87">
        <w:rPr>
          <w:b/>
          <w:sz w:val="20"/>
          <w:szCs w:val="20"/>
        </w:rPr>
        <w:t xml:space="preserve"> </w:t>
      </w:r>
      <w:r w:rsidRPr="00EE1A87">
        <w:rPr>
          <w:sz w:val="20"/>
          <w:szCs w:val="20"/>
        </w:rPr>
        <w:t xml:space="preserve">(B.C.) </w:t>
      </w:r>
    </w:p>
    <w:p w:rsidR="006C5602" w:rsidRPr="00EE1A87" w:rsidRDefault="006C5602" w:rsidP="006C5602">
      <w:pPr>
        <w:ind w:left="1440"/>
        <w:jc w:val="both"/>
        <w:rPr>
          <w:b/>
          <w:sz w:val="20"/>
          <w:szCs w:val="20"/>
        </w:rPr>
      </w:pPr>
      <w:r w:rsidRPr="00EE1A87">
        <w:rPr>
          <w:b/>
          <w:sz w:val="20"/>
          <w:szCs w:val="20"/>
        </w:rPr>
        <w:t>2012 SCC 45 / 2012 CSC 45</w:t>
      </w:r>
    </w:p>
    <w:p w:rsidR="006C5602" w:rsidRPr="00EE1A87" w:rsidRDefault="006C5602" w:rsidP="006C5602">
      <w:pPr>
        <w:ind w:left="1440" w:hanging="1440"/>
        <w:jc w:val="both"/>
        <w:rPr>
          <w:b/>
          <w:sz w:val="20"/>
          <w:szCs w:val="20"/>
        </w:rPr>
      </w:pPr>
    </w:p>
    <w:p w:rsidR="006C5602" w:rsidRPr="00EE1A87" w:rsidRDefault="006C5602" w:rsidP="006C5602">
      <w:pPr>
        <w:ind w:left="1440" w:hanging="1440"/>
        <w:jc w:val="both"/>
        <w:rPr>
          <w:sz w:val="20"/>
          <w:szCs w:val="20"/>
          <w:u w:val="single"/>
        </w:rPr>
      </w:pPr>
      <w:r w:rsidRPr="00EE1A87">
        <w:rPr>
          <w:sz w:val="20"/>
          <w:szCs w:val="20"/>
        </w:rPr>
        <w:t xml:space="preserve">Coram: </w:t>
      </w:r>
      <w:r>
        <w:rPr>
          <w:sz w:val="20"/>
          <w:szCs w:val="20"/>
        </w:rPr>
        <w:tab/>
      </w:r>
      <w:r w:rsidRPr="00EE1A87">
        <w:rPr>
          <w:sz w:val="20"/>
          <w:szCs w:val="20"/>
          <w:u w:val="single"/>
        </w:rPr>
        <w:t xml:space="preserve">McLachlin C.J. and LeBel, Deschamps, Fish, Abella, Rothstein, Cromwell, Moldaver and Karakatsanis JJ. </w:t>
      </w:r>
    </w:p>
    <w:p w:rsidR="006C5602" w:rsidRPr="00EE1A87" w:rsidRDefault="006C5602" w:rsidP="006C560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6C5602" w:rsidRPr="00EE1A87" w:rsidRDefault="006C5602" w:rsidP="006C5602">
      <w:pPr>
        <w:jc w:val="both"/>
        <w:rPr>
          <w:rFonts w:eastAsia="Calibri"/>
          <w:sz w:val="20"/>
          <w:szCs w:val="20"/>
        </w:rPr>
      </w:pPr>
      <w:r w:rsidRPr="00EE1A87">
        <w:rPr>
          <w:rFonts w:eastAsia="Calibri"/>
          <w:sz w:val="20"/>
          <w:szCs w:val="20"/>
        </w:rPr>
        <w:t xml:space="preserve">The appeal from the judgment of the Court of Appeal for British Columbia (Vancouver), Number CA036762, 2010 BCCA 439, dated October 12, 2010, heard on January 19, 2012, is dismissed with costs. </w:t>
      </w:r>
    </w:p>
    <w:p w:rsidR="006C5602" w:rsidRPr="00EE1A87" w:rsidRDefault="006C5602" w:rsidP="006C5602">
      <w:pPr>
        <w:jc w:val="both"/>
        <w:rPr>
          <w:rFonts w:eastAsia="Calibri"/>
          <w:sz w:val="20"/>
          <w:szCs w:val="20"/>
        </w:rPr>
      </w:pPr>
    </w:p>
    <w:p w:rsidR="006C5602" w:rsidRPr="00EE1A87" w:rsidRDefault="006C5602" w:rsidP="006C5602">
      <w:pPr>
        <w:jc w:val="both"/>
        <w:rPr>
          <w:rFonts w:eastAsia="Calibri"/>
          <w:sz w:val="20"/>
          <w:szCs w:val="20"/>
          <w:lang w:val="fr-CA"/>
        </w:rPr>
      </w:pPr>
      <w:r w:rsidRPr="00EE1A87">
        <w:rPr>
          <w:rFonts w:eastAsia="Calibri"/>
          <w:sz w:val="20"/>
          <w:szCs w:val="20"/>
          <w:lang w:val="fr-CA"/>
        </w:rPr>
        <w:t>L’appel interjeté contre l’arrêt de la Cour d’appel de la Colombie-Britannique (Vancouver), numéro CA036762, 2010 BCCA 439, en date du 12 octobre 2010, entendu le 19 janvier 2012, est rejeté avec dépens.</w:t>
      </w:r>
    </w:p>
    <w:p w:rsidR="0094254F" w:rsidRPr="0094254F" w:rsidRDefault="0094254F" w:rsidP="00FF6EEC">
      <w:pPr>
        <w:rPr>
          <w:sz w:val="20"/>
          <w:szCs w:val="20"/>
          <w:lang w:val="fr-CA"/>
        </w:rPr>
      </w:pPr>
    </w:p>
    <w:p w:rsidR="00AF1715" w:rsidRDefault="00BA233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BA233E">
        <w:rPr>
          <w:rFonts w:cs="Times New Roman"/>
          <w:b/>
          <w:sz w:val="20"/>
          <w:szCs w:val="20"/>
        </w:rPr>
        <w:pict>
          <v:rect id="_x0000_i1062" style="width:144.3pt;height:1pt" o:hrpct="300" o:hralign="center" o:hrstd="t" o:hrnoshade="t" o:hr="t" fillcolor="black [3213]" stroked="f"/>
        </w:pict>
      </w:r>
    </w:p>
    <w:p w:rsidR="006C5602" w:rsidRDefault="006C5602"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6C5602" w:rsidRPr="006C5F7A" w:rsidRDefault="006C5602"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E4BC6" w:rsidRPr="003F6D11" w:rsidRDefault="000E4BC6" w:rsidP="000E4BC6">
      <w:pPr>
        <w:rPr>
          <w:i/>
          <w:sz w:val="20"/>
          <w:szCs w:val="20"/>
        </w:rPr>
      </w:pPr>
      <w:r w:rsidRPr="003F6D11">
        <w:rPr>
          <w:i/>
          <w:sz w:val="20"/>
          <w:szCs w:val="20"/>
        </w:rPr>
        <w:t>Attorney General of Canada v. Downtown Eastside Sex Workers United Against Violence Society et al.</w:t>
      </w:r>
      <w:r w:rsidRPr="003F6D11">
        <w:rPr>
          <w:sz w:val="20"/>
          <w:szCs w:val="20"/>
        </w:rPr>
        <w:t xml:space="preserve"> (B.C.) (33981)</w:t>
      </w:r>
    </w:p>
    <w:p w:rsidR="00F11377" w:rsidRPr="009F775E" w:rsidRDefault="00F11377" w:rsidP="00F11377">
      <w:pPr>
        <w:jc w:val="both"/>
        <w:rPr>
          <w:b/>
          <w:sz w:val="20"/>
          <w:szCs w:val="20"/>
        </w:rPr>
      </w:pPr>
      <w:r w:rsidRPr="009F775E">
        <w:rPr>
          <w:b/>
          <w:sz w:val="20"/>
          <w:szCs w:val="20"/>
        </w:rPr>
        <w:t>Indexed as:  Canada (Attorney General)</w:t>
      </w:r>
      <w:r w:rsidRPr="009F775E">
        <w:rPr>
          <w:b/>
          <w:i/>
          <w:sz w:val="20"/>
          <w:szCs w:val="20"/>
        </w:rPr>
        <w:t xml:space="preserve"> v.</w:t>
      </w:r>
      <w:r w:rsidRPr="009F775E">
        <w:rPr>
          <w:b/>
          <w:sz w:val="20"/>
          <w:szCs w:val="20"/>
        </w:rPr>
        <w:t xml:space="preserve"> Downtown Eastside Sex Workers United Against Violence Society</w:t>
      </w:r>
      <w:r>
        <w:rPr>
          <w:b/>
          <w:sz w:val="20"/>
          <w:szCs w:val="20"/>
        </w:rPr>
        <w:t xml:space="preserve"> /</w:t>
      </w:r>
    </w:p>
    <w:p w:rsidR="00F11377" w:rsidRPr="009F62C5" w:rsidRDefault="00F11377" w:rsidP="00F11377">
      <w:pPr>
        <w:jc w:val="both"/>
        <w:rPr>
          <w:b/>
          <w:sz w:val="20"/>
          <w:szCs w:val="20"/>
          <w:lang w:val="en-US"/>
        </w:rPr>
      </w:pPr>
      <w:r w:rsidRPr="009F62C5">
        <w:rPr>
          <w:b/>
          <w:sz w:val="20"/>
          <w:szCs w:val="20"/>
          <w:lang w:val="en-US"/>
        </w:rPr>
        <w:t>Répertorié : Canada (Procureur général)</w:t>
      </w:r>
      <w:r w:rsidRPr="009F62C5">
        <w:rPr>
          <w:b/>
          <w:i/>
          <w:sz w:val="20"/>
          <w:szCs w:val="20"/>
          <w:lang w:val="en-US"/>
        </w:rPr>
        <w:t xml:space="preserve"> c.</w:t>
      </w:r>
      <w:r w:rsidRPr="009F62C5">
        <w:rPr>
          <w:b/>
          <w:sz w:val="20"/>
          <w:szCs w:val="20"/>
          <w:lang w:val="en-US"/>
        </w:rPr>
        <w:t xml:space="preserve"> Downtown Eastside Sex Workers United Against Violence Society</w:t>
      </w:r>
    </w:p>
    <w:p w:rsidR="005C6840" w:rsidRPr="003B3977" w:rsidRDefault="005C6840" w:rsidP="005C6840">
      <w:pPr>
        <w:pStyle w:val="SCCSystemYear"/>
        <w:jc w:val="both"/>
        <w:rPr>
          <w:sz w:val="20"/>
        </w:rPr>
      </w:pPr>
      <w:r w:rsidRPr="003B3977">
        <w:rPr>
          <w:sz w:val="20"/>
        </w:rPr>
        <w:t>Neutral citation:  201</w:t>
      </w:r>
      <w:r w:rsidR="000E4BC6">
        <w:rPr>
          <w:sz w:val="20"/>
        </w:rPr>
        <w:t>2</w:t>
      </w:r>
      <w:r w:rsidRPr="003B3977">
        <w:rPr>
          <w:sz w:val="20"/>
        </w:rPr>
        <w:t xml:space="preserve"> SCC </w:t>
      </w:r>
      <w:r w:rsidR="000E4BC6">
        <w:rPr>
          <w:sz w:val="20"/>
        </w:rPr>
        <w:t>45</w:t>
      </w:r>
      <w:r w:rsidRPr="003B3977">
        <w:rPr>
          <w:sz w:val="20"/>
        </w:rPr>
        <w:t xml:space="preserve"> / Référence neutre : 201</w:t>
      </w:r>
      <w:r w:rsidR="000E4BC6">
        <w:rPr>
          <w:sz w:val="20"/>
        </w:rPr>
        <w:t>2</w:t>
      </w:r>
      <w:r w:rsidRPr="003B3977">
        <w:rPr>
          <w:sz w:val="20"/>
        </w:rPr>
        <w:t xml:space="preserve"> CSC </w:t>
      </w:r>
      <w:r w:rsidR="000E4BC6">
        <w:rPr>
          <w:sz w:val="20"/>
        </w:rPr>
        <w:t>45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F11377">
        <w:rPr>
          <w:rFonts w:cs="Times New Roman"/>
          <w:sz w:val="20"/>
          <w:szCs w:val="20"/>
          <w:lang w:val="fr-CA"/>
        </w:rPr>
        <w:t>January 19</w:t>
      </w:r>
      <w:r w:rsidRPr="003B3977">
        <w:rPr>
          <w:rFonts w:cs="Times New Roman"/>
          <w:sz w:val="20"/>
          <w:szCs w:val="20"/>
          <w:lang w:val="fr-CA"/>
        </w:rPr>
        <w:t>, 201</w:t>
      </w:r>
      <w:r w:rsidR="00F11377">
        <w:rPr>
          <w:rFonts w:cs="Times New Roman"/>
          <w:sz w:val="20"/>
          <w:szCs w:val="20"/>
          <w:lang w:val="fr-CA"/>
        </w:rPr>
        <w:t>2</w:t>
      </w:r>
      <w:r w:rsidRPr="003B3977">
        <w:rPr>
          <w:rFonts w:cs="Times New Roman"/>
          <w:sz w:val="20"/>
          <w:szCs w:val="20"/>
          <w:lang w:val="fr-CA"/>
        </w:rPr>
        <w:t xml:space="preserve"> / Judgment:  </w:t>
      </w:r>
      <w:r w:rsidR="000E4BC6">
        <w:rPr>
          <w:rFonts w:cs="Times New Roman"/>
          <w:sz w:val="20"/>
          <w:szCs w:val="20"/>
          <w:lang w:val="fr-CA"/>
        </w:rPr>
        <w:t>Septem</w:t>
      </w:r>
      <w:r w:rsidRPr="003B3977">
        <w:rPr>
          <w:rFonts w:cs="Times New Roman"/>
          <w:sz w:val="20"/>
          <w:szCs w:val="20"/>
          <w:lang w:val="fr-CA"/>
        </w:rPr>
        <w:t>ber 2</w:t>
      </w:r>
      <w:r w:rsidR="000E4BC6">
        <w:rPr>
          <w:rFonts w:cs="Times New Roman"/>
          <w:sz w:val="20"/>
          <w:szCs w:val="20"/>
          <w:lang w:val="fr-CA"/>
        </w:rPr>
        <w:t>1</w:t>
      </w:r>
      <w:r w:rsidRPr="003B3977">
        <w:rPr>
          <w:rFonts w:cs="Times New Roman"/>
          <w:sz w:val="20"/>
          <w:szCs w:val="20"/>
          <w:lang w:val="fr-CA"/>
        </w:rPr>
        <w:t>, 201</w:t>
      </w:r>
      <w:r w:rsidR="000E4BC6">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11377">
        <w:rPr>
          <w:rFonts w:cs="Times New Roman"/>
          <w:sz w:val="20"/>
          <w:szCs w:val="20"/>
          <w:lang w:val="fr-CA"/>
        </w:rPr>
        <w:t>19 janvier</w:t>
      </w:r>
      <w:r w:rsidRPr="003B3977">
        <w:rPr>
          <w:rFonts w:cs="Times New Roman"/>
          <w:sz w:val="20"/>
          <w:szCs w:val="20"/>
          <w:lang w:val="fr-CA"/>
        </w:rPr>
        <w:t xml:space="preserve"> 201</w:t>
      </w:r>
      <w:r w:rsidR="00F11377">
        <w:rPr>
          <w:rFonts w:cs="Times New Roman"/>
          <w:sz w:val="20"/>
          <w:szCs w:val="20"/>
          <w:lang w:val="fr-CA"/>
        </w:rPr>
        <w:t>2</w:t>
      </w:r>
      <w:r w:rsidRPr="003B3977">
        <w:rPr>
          <w:rFonts w:cs="Times New Roman"/>
          <w:sz w:val="20"/>
          <w:szCs w:val="20"/>
          <w:lang w:val="fr-CA"/>
        </w:rPr>
        <w:t xml:space="preserve"> / Jugement : Le 2</w:t>
      </w:r>
      <w:r w:rsidR="000E4BC6">
        <w:rPr>
          <w:rFonts w:cs="Times New Roman"/>
          <w:sz w:val="20"/>
          <w:szCs w:val="20"/>
          <w:lang w:val="fr-CA"/>
        </w:rPr>
        <w:t>1 septem</w:t>
      </w:r>
      <w:r w:rsidRPr="003B3977">
        <w:rPr>
          <w:rFonts w:cs="Times New Roman"/>
          <w:sz w:val="20"/>
          <w:szCs w:val="20"/>
          <w:lang w:val="fr-CA"/>
        </w:rPr>
        <w:t>bre 201</w:t>
      </w:r>
      <w:r w:rsidR="000E4BC6">
        <w:rPr>
          <w:rFonts w:cs="Times New Roman"/>
          <w:sz w:val="20"/>
          <w:szCs w:val="20"/>
          <w:lang w:val="fr-CA"/>
        </w:rPr>
        <w:t>2</w:t>
      </w:r>
    </w:p>
    <w:p w:rsidR="005C6840" w:rsidRPr="003B3977" w:rsidRDefault="00BA233E" w:rsidP="005C6840">
      <w:pPr>
        <w:rPr>
          <w:rFonts w:cs="Times New Roman"/>
          <w:sz w:val="20"/>
          <w:szCs w:val="20"/>
          <w:lang w:val="fr-CA"/>
        </w:rPr>
      </w:pPr>
      <w:r w:rsidRPr="00BA233E">
        <w:rPr>
          <w:rFonts w:cs="Times New Roman"/>
          <w:i/>
          <w:sz w:val="20"/>
          <w:szCs w:val="20"/>
        </w:rPr>
        <w:pict>
          <v:rect id="_x0000_i1065" style="width:480.95pt;height:1pt" o:hralign="center" o:hrstd="t" o:hrnoshade="t" o:hr="t" fillcolor="black [3213]" stroked="f"/>
        </w:pict>
      </w:r>
    </w:p>
    <w:p w:rsidR="005C6840" w:rsidRDefault="005C6840" w:rsidP="005C6840">
      <w:pPr>
        <w:rPr>
          <w:rFonts w:cs="Times New Roman"/>
          <w:sz w:val="20"/>
          <w:szCs w:val="20"/>
          <w:lang w:val="fr-CA"/>
        </w:rPr>
      </w:pPr>
    </w:p>
    <w:p w:rsidR="00F11377" w:rsidRPr="009F775E" w:rsidRDefault="00F11377" w:rsidP="00F11377">
      <w:pPr>
        <w:jc w:val="both"/>
        <w:rPr>
          <w:sz w:val="20"/>
          <w:szCs w:val="20"/>
        </w:rPr>
      </w:pPr>
      <w:r w:rsidRPr="009F775E">
        <w:rPr>
          <w:sz w:val="20"/>
          <w:szCs w:val="20"/>
        </w:rPr>
        <w:t>Present:  McLachlin C.J. and LeBel, Deschamps, Fish, Abella, Rothstein, Cromwell, Moldaver and Karakatsanis JJ.</w:t>
      </w:r>
    </w:p>
    <w:p w:rsidR="00F11377" w:rsidRDefault="00F11377" w:rsidP="00F11377">
      <w:pPr>
        <w:pStyle w:val="SCCLowerCourtNameLowercase"/>
        <w:spacing w:line="240" w:lineRule="auto"/>
        <w:rPr>
          <w:sz w:val="20"/>
        </w:rPr>
      </w:pPr>
    </w:p>
    <w:p w:rsidR="00F11377" w:rsidRPr="009F775E" w:rsidRDefault="00F11377" w:rsidP="00F11377">
      <w:pPr>
        <w:pStyle w:val="SCCNormalDoubleSpacing"/>
        <w:spacing w:line="240" w:lineRule="auto"/>
        <w:rPr>
          <w:i/>
          <w:sz w:val="20"/>
        </w:rPr>
      </w:pPr>
      <w:r w:rsidRPr="009F775E">
        <w:rPr>
          <w:i/>
          <w:sz w:val="20"/>
        </w:rPr>
        <w:tab/>
        <w:t>Civil procedure — Parties — Standing — Public interest standing —Public interest group and individual working on behalf of sex workers initiating constitutional challenge to prostitution provisions of Criminal Code — Whether constitutional challenge constituting a reasonable and effective means to bring case to court — Whether public interest group and individual should be granted public interest standing.</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A Society whose objects include improving conditions for female sex workers in the Downtown Eastside of Vancouver and K, who worked as such for 30 years, launched a </w:t>
      </w:r>
      <w:r w:rsidRPr="009F775E">
        <w:rPr>
          <w:i/>
          <w:sz w:val="20"/>
        </w:rPr>
        <w:t>Charter</w:t>
      </w:r>
      <w:r w:rsidRPr="009F775E">
        <w:rPr>
          <w:sz w:val="20"/>
        </w:rPr>
        <w:t xml:space="preserve"> challenge to the prostitution provisions of the </w:t>
      </w:r>
      <w:r w:rsidRPr="009F775E">
        <w:rPr>
          <w:i/>
          <w:sz w:val="20"/>
        </w:rPr>
        <w:t>Criminal Code</w:t>
      </w:r>
      <w:r w:rsidRPr="009F775E">
        <w:rPr>
          <w:sz w:val="20"/>
        </w:rPr>
        <w:t xml:space="preserve">.  The chambers judge found that they should not be granted either public or private interest standing to pursue their challenge; the British Columbia Court of Appeal, however, granted them both public interest standing.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r>
      <w:r w:rsidRPr="009F775E">
        <w:rPr>
          <w:i/>
          <w:sz w:val="20"/>
        </w:rPr>
        <w:t>Held:</w:t>
      </w:r>
      <w:r w:rsidRPr="009F775E">
        <w:rPr>
          <w:sz w:val="20"/>
        </w:rPr>
        <w:t xml:space="preserve">  The appeal should be dismissed.</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In determining whether to grant standing in a public law case, courts must consider three factors:  whether the case raises a serious justiciable issue; whether the party bringing the case has a real stake in the proceedings or is engaged with the issues that it raises; and whether the proposed suit is, in all of the circumstances and in light of a number of considerations, a reasonable and effective means to bring the case to court.  A party seeking public interest standing must persuade the court that these factors, applied purposively and flexibly, favor granting standing.  All of the other relevant considerations being equal, a party with standing as of right will generally be preferred.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In this case, the issue that separates the parties relates to the formulation and application of the third factor.  This factor has often been expressed as a strict requirement that a party seeking standing persuade the court that there is </w:t>
      </w:r>
      <w:r w:rsidRPr="009F775E">
        <w:rPr>
          <w:i/>
          <w:sz w:val="20"/>
        </w:rPr>
        <w:t xml:space="preserve">no </w:t>
      </w:r>
      <w:r w:rsidRPr="009F775E">
        <w:rPr>
          <w:sz w:val="20"/>
        </w:rPr>
        <w:t xml:space="preserve">other reasonable and effective manner in which the issue may be brought before the court.  While this factor has often been expressed as a strict requirement, this Court has not done so consistently and in fact has rarely applied the factor restrictively.  Thus, it would be better expressed as requiring that the proposed suit be, in all of the circumstances and in light of a number of considerations, </w:t>
      </w:r>
      <w:r w:rsidRPr="009F775E">
        <w:rPr>
          <w:i/>
          <w:sz w:val="20"/>
        </w:rPr>
        <w:t>a</w:t>
      </w:r>
      <w:r w:rsidRPr="009F775E">
        <w:rPr>
          <w:sz w:val="20"/>
        </w:rPr>
        <w:t xml:space="preserve"> reasonable and effective means to bring the case to court.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By taking a purposive approach to the issue, courts should consider whether the proposed action is an economical use of judicial resources, whether the issues are presented in a context suitable for judicial determination in an adversarial setting and whether permitting the proposed action to go forward will serve the purpose of upholding the principle of legality.  A flexible, discretionary approach is called for in assessing the effect of these considerations on the ultimate decision to grant or to refuse standing.  There is no binary, yes or no, analysis possible. Whether a means of proceeding is reasonable, whether it is effective and whether it will serve to reinforce the principle of legality are matters of degree and must be considered in light of realistic alternatives in all of the circumstances.</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In this case, all three factors, applied purposively and flexibly, favour granting public interest standing to the respondents.  In fact, there is no dispute that the first and second factors are met: the respondents’ action raises serious justiciable issues and the respondents have an interest in the outcome of the action and are fully engaged with the issues that they seek to raise.  Indeed, the constitutionality of the prostitution provisions of the </w:t>
      </w:r>
      <w:r w:rsidRPr="009F775E">
        <w:rPr>
          <w:i/>
          <w:sz w:val="20"/>
        </w:rPr>
        <w:t>Criminal Code</w:t>
      </w:r>
      <w:r w:rsidRPr="009F775E">
        <w:rPr>
          <w:sz w:val="20"/>
        </w:rPr>
        <w:t xml:space="preserve"> constitutes a serious justiciable issue and the respondents, given their work, have a strong engagement with the issue.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In this case, the third factor is also met.  The existence of a civil case in another province is certainly a highly relevant consideration that will often support denying standing.  However, the existence of parallel litigation ― even litigation that raises many of the same issues ― is not necessarily a sufficient basis for denying standing.  Given the </w:t>
      </w:r>
      <w:r w:rsidRPr="009F775E">
        <w:rPr>
          <w:sz w:val="20"/>
        </w:rPr>
        <w:lastRenderedPageBreak/>
        <w:t xml:space="preserve">provincial organization of our superior courts, decisions of the courts in one province are not binding on courts in the others.  Thus, litigation in one province is not necessarily a full response to a plaintiff wishing to litigate similar issues in another.  Further, the issues raised are not the same as those in the other case.  The court must also examine not only the precise legal issue, but the perspective from which it is made.  In the other case, the perspective is very different.  The claimants in that case were not primarily involved in street-level sex work, whereas the main focus in this case is on those individuals.  Finally, there may be other litigation management strategies, short of the blunt instrument of a denial of standing, to ensure the efficient and effective use of judicial resources.  A stay of proceedings pending resolution of other litigation is one possibility that should be taken into account in exercising the discretion as to standing.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Taking these points into account here, the existence of other litigation, in the circumstances of this case, does not seem to weigh very heavily against the respondents in considering whether their suit is a reasonable and effective means of bringing the pleaded claims forward.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Moreover, the existence of other potential plaintiffs, while relevant, should be considered in light of practical realities, which are such that it is very unlikely that persons charged under the prostitution provisions would bring a claim similar to the respondents’.  Further, the inherent unpredictability of criminal trials makes it more difficult for a party raising the type of challenge raised in this instance.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 xml:space="preserve">In this case, also, the record shows that there were no sex workers in the Downtown Eastside willing to bring a challenge forward.  The willingness of many of these same persons to swear affidavits or to appear to testify does not undercut their evidence to the effect that they would not be willing or able to bring a challenge in their own names. </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Other considerations should be taken into account in considering the reasonable and effective means factor.  This case constitutes public interest litigation: the respondents have raised issues of public importance that transcend their immediate interests.  Their challenge is comprehensive, relating as it does to nearly the entire legislative scheme.  It provides an opportunity to assess through the constitutional lens the overall effect of this scheme on those most directly affected by it.  A challenge of this nature may prevent a multiplicity of individual challenges in the context of criminal prosecutions.  There is no risk of the rights of others with a more personal or direct stake in the issue being adversely affected by a diffuse or badly advanced claim.  It is obvious that the claim is being pursued with thoroughness and skill.  There is no suggestion that others who are more directly or personally affected have deliberately chosen not to challenge these provisions.  The presence of K, as well as the Society, will ensure that there is both an individual and collective dimension to the litigation.</w:t>
      </w:r>
    </w:p>
    <w:p w:rsidR="00F11377" w:rsidRDefault="00F11377" w:rsidP="00F11377">
      <w:pPr>
        <w:pStyle w:val="SCCNormalDoubleSpacing"/>
        <w:spacing w:line="240" w:lineRule="auto"/>
        <w:rPr>
          <w:sz w:val="20"/>
        </w:rPr>
      </w:pPr>
    </w:p>
    <w:p w:rsidR="00F11377" w:rsidRDefault="00F11377" w:rsidP="00F11377">
      <w:pPr>
        <w:pStyle w:val="SCCNormalDoubleSpacing"/>
        <w:spacing w:line="240" w:lineRule="auto"/>
        <w:rPr>
          <w:sz w:val="20"/>
        </w:rPr>
      </w:pPr>
      <w:r w:rsidRPr="009F775E">
        <w:rPr>
          <w:sz w:val="20"/>
        </w:rPr>
        <w:tab/>
        <w:t>Having found that the respondents have public interest standing to pursue their action, it is not necessary to address the issue of whether K has private interest standing.</w:t>
      </w:r>
    </w:p>
    <w:p w:rsidR="00F11377" w:rsidRDefault="00F11377" w:rsidP="00F11377">
      <w:pPr>
        <w:pStyle w:val="SCCNormalDoubleSpacing"/>
        <w:spacing w:line="240" w:lineRule="auto"/>
        <w:rPr>
          <w:sz w:val="20"/>
        </w:rPr>
      </w:pPr>
    </w:p>
    <w:p w:rsidR="00F11377" w:rsidRPr="009F775E" w:rsidRDefault="00F11377" w:rsidP="00F11377">
      <w:pPr>
        <w:pStyle w:val="SCCNormalDoubleSpacing"/>
        <w:spacing w:line="240" w:lineRule="auto"/>
        <w:rPr>
          <w:sz w:val="20"/>
        </w:rPr>
      </w:pPr>
      <w:r w:rsidRPr="009F775E">
        <w:rPr>
          <w:sz w:val="20"/>
        </w:rPr>
        <w:tab/>
        <w:t>APPEAL from a judgment of the British Columbia Court of Appeal (Saunders, Neilson and Groberman JJ.A.), 2010 BCCA 439, 10 B.C.L.R. (5th) 33, 294 B.C.A.C. 70, 324 D.L.R. (4th) 1, 260 C.C.C. (3d) 95, 219 C.R.R. (2d) 171, [2011] 1 W.W.R. 628, 498 W.A.C. 70, [2010] B.C.J. No. 1983 (QL), 2010 CarswellBC 2729, setting aside in part a decision of Ehrcke J., 2008 BCSC 1726, 90 B.C.L.R. (4th) 177, 305 D.L.R. (4th) 713, 182 C.R.R. (2d) 262, [2009] 5 W.W.R. 696, [2008] B.C.J. No. 2447 (QL), 2008 CarswellBC 2709.  Appeal dismissed.</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Cheryl J. Tobias, Q.C.,</w:t>
      </w:r>
      <w:r w:rsidRPr="009F775E">
        <w:rPr>
          <w:sz w:val="20"/>
        </w:rPr>
        <w:t xml:space="preserve"> and </w:t>
      </w:r>
      <w:r w:rsidRPr="009F775E">
        <w:rPr>
          <w:i/>
          <w:sz w:val="20"/>
        </w:rPr>
        <w:t>Donnaree Nygard</w:t>
      </w:r>
      <w:r w:rsidRPr="009F775E">
        <w:rPr>
          <w:sz w:val="20"/>
        </w:rPr>
        <w:t>, for the appellant.</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Joseph J. Arvay, Q.C.,</w:t>
      </w:r>
      <w:r w:rsidRPr="009F775E">
        <w:rPr>
          <w:sz w:val="20"/>
        </w:rPr>
        <w:t xml:space="preserve"> </w:t>
      </w:r>
      <w:r w:rsidRPr="009F775E">
        <w:rPr>
          <w:i/>
          <w:sz w:val="20"/>
        </w:rPr>
        <w:t>Elin R. S. Sigurdson and Katrina Pacey</w:t>
      </w:r>
      <w:r w:rsidRPr="009F775E">
        <w:rPr>
          <w:sz w:val="20"/>
        </w:rPr>
        <w:t>, for the respondents.</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Janet E. Minor</w:t>
      </w:r>
      <w:r w:rsidRPr="009F775E">
        <w:rPr>
          <w:sz w:val="20"/>
        </w:rPr>
        <w:t xml:space="preserve"> and </w:t>
      </w:r>
      <w:r w:rsidRPr="009F775E">
        <w:rPr>
          <w:i/>
          <w:sz w:val="20"/>
        </w:rPr>
        <w:t>Courtney J. Harris</w:t>
      </w:r>
      <w:r w:rsidRPr="009F775E">
        <w:rPr>
          <w:sz w:val="20"/>
        </w:rPr>
        <w:t>, for the intervener the Attorney General of Ontario.</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David W. Mossop, Q.C.</w:t>
      </w:r>
      <w:r w:rsidRPr="009F775E">
        <w:rPr>
          <w:sz w:val="20"/>
        </w:rPr>
        <w:t xml:space="preserve">, and </w:t>
      </w:r>
      <w:r w:rsidRPr="009F775E">
        <w:rPr>
          <w:i/>
          <w:sz w:val="20"/>
        </w:rPr>
        <w:t>Diane Nielsen</w:t>
      </w:r>
      <w:r w:rsidRPr="009F775E">
        <w:rPr>
          <w:sz w:val="20"/>
        </w:rPr>
        <w:t>, for the intervener the Community Legal Assistance Society.</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Jason B. Gratl</w:t>
      </w:r>
      <w:r w:rsidRPr="009F775E">
        <w:rPr>
          <w:sz w:val="20"/>
        </w:rPr>
        <w:t xml:space="preserve"> and </w:t>
      </w:r>
      <w:r w:rsidRPr="009F775E">
        <w:rPr>
          <w:i/>
          <w:sz w:val="20"/>
        </w:rPr>
        <w:t>Megan Vis</w:t>
      </w:r>
      <w:r w:rsidRPr="009F775E">
        <w:rPr>
          <w:i/>
          <w:sz w:val="20"/>
        </w:rPr>
        <w:noBreakHyphen/>
        <w:t>Dunbar</w:t>
      </w:r>
      <w:r w:rsidRPr="009F775E">
        <w:rPr>
          <w:sz w:val="20"/>
        </w:rPr>
        <w:t>, for the intervener the British Columbia Civil Liberties Association.</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Justin Duncan</w:t>
      </w:r>
      <w:r w:rsidRPr="009F775E">
        <w:rPr>
          <w:sz w:val="20"/>
        </w:rPr>
        <w:t xml:space="preserve"> and </w:t>
      </w:r>
      <w:r w:rsidRPr="009F775E">
        <w:rPr>
          <w:i/>
          <w:sz w:val="20"/>
        </w:rPr>
        <w:t>Kaitlyn Mitchell</w:t>
      </w:r>
      <w:r w:rsidRPr="009F775E">
        <w:rPr>
          <w:sz w:val="20"/>
        </w:rPr>
        <w:t>, for the intervener Ecojustice Canada.</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lastRenderedPageBreak/>
        <w:tab/>
        <w:t>C. Tess Sheldon</w:t>
      </w:r>
      <w:r w:rsidRPr="009F775E">
        <w:rPr>
          <w:sz w:val="20"/>
        </w:rPr>
        <w:t xml:space="preserve"> and </w:t>
      </w:r>
      <w:r w:rsidRPr="009F775E">
        <w:rPr>
          <w:i/>
          <w:sz w:val="20"/>
        </w:rPr>
        <w:t>Niamh Harraher</w:t>
      </w:r>
      <w:r w:rsidRPr="009F775E">
        <w:rPr>
          <w:sz w:val="20"/>
        </w:rPr>
        <w:t>, for the interveners the Coalition of West Coast Women’s Legal Education and Action Fund (West Coast LEAF), Justice for Children and Youth and ARCH Disability Law Centre.</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Written submissions only by Mark C. Power</w:t>
      </w:r>
      <w:r w:rsidRPr="009F775E">
        <w:rPr>
          <w:sz w:val="20"/>
        </w:rPr>
        <w:t xml:space="preserve"> and </w:t>
      </w:r>
      <w:r w:rsidRPr="009F775E">
        <w:rPr>
          <w:i/>
          <w:sz w:val="20"/>
        </w:rPr>
        <w:t>Jean</w:t>
      </w:r>
      <w:r w:rsidRPr="009F775E">
        <w:rPr>
          <w:i/>
          <w:sz w:val="20"/>
        </w:rPr>
        <w:noBreakHyphen/>
        <w:t>Pierre Hachey</w:t>
      </w:r>
      <w:r w:rsidRPr="009F775E">
        <w:rPr>
          <w:sz w:val="20"/>
        </w:rPr>
        <w:t>, for the intervener Conseil scolaire francophone de la Colombie</w:t>
      </w:r>
      <w:r w:rsidRPr="009F775E">
        <w:rPr>
          <w:sz w:val="20"/>
        </w:rPr>
        <w:noBreakHyphen/>
        <w:t>Britannique.</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 xml:space="preserve">Kent Roach </w:t>
      </w:r>
      <w:r w:rsidRPr="009F775E">
        <w:rPr>
          <w:sz w:val="20"/>
        </w:rPr>
        <w:t>and</w:t>
      </w:r>
      <w:r w:rsidRPr="009F775E">
        <w:rPr>
          <w:i/>
          <w:sz w:val="20"/>
        </w:rPr>
        <w:t xml:space="preserve"> Cheryl Milne</w:t>
      </w:r>
      <w:r w:rsidRPr="009F775E">
        <w:rPr>
          <w:sz w:val="20"/>
        </w:rPr>
        <w:t>, for the intervener the David Asper Centre for Constitutional Rights.</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Written submissions only by Cara Faith Zwibel</w:t>
      </w:r>
      <w:r w:rsidRPr="009F775E">
        <w:rPr>
          <w:sz w:val="20"/>
        </w:rPr>
        <w:t>, for the intervener the Canadian Civil Liberties Association.</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Lorne Waldman</w:t>
      </w:r>
      <w:r w:rsidRPr="009F775E">
        <w:rPr>
          <w:sz w:val="20"/>
        </w:rPr>
        <w:t xml:space="preserve">, </w:t>
      </w:r>
      <w:r w:rsidRPr="009F775E">
        <w:rPr>
          <w:i/>
          <w:sz w:val="20"/>
        </w:rPr>
        <w:t>Clare Crummey</w:t>
      </w:r>
      <w:r w:rsidRPr="009F775E">
        <w:rPr>
          <w:sz w:val="20"/>
        </w:rPr>
        <w:t xml:space="preserve"> and </w:t>
      </w:r>
      <w:r w:rsidRPr="009F775E">
        <w:rPr>
          <w:i/>
          <w:sz w:val="20"/>
        </w:rPr>
        <w:t>Tamara Morgenthau</w:t>
      </w:r>
      <w:r w:rsidRPr="009F775E">
        <w:rPr>
          <w:sz w:val="20"/>
        </w:rPr>
        <w:t>, for the interveners the Canadian Association of Refugee Lawyers and the Canadian Council for Refugees.</w:t>
      </w:r>
    </w:p>
    <w:p w:rsidR="00F11377" w:rsidRDefault="00F11377" w:rsidP="00F11377">
      <w:pPr>
        <w:pStyle w:val="SCCNormalDoubleSpacing"/>
        <w:spacing w:line="240" w:lineRule="auto"/>
        <w:rPr>
          <w:i/>
          <w:sz w:val="20"/>
        </w:rPr>
      </w:pPr>
    </w:p>
    <w:p w:rsidR="00F11377" w:rsidRPr="009F775E" w:rsidRDefault="00F11377" w:rsidP="00F11377">
      <w:pPr>
        <w:pStyle w:val="SCCNormalDoubleSpacing"/>
        <w:spacing w:line="240" w:lineRule="auto"/>
        <w:rPr>
          <w:sz w:val="20"/>
        </w:rPr>
      </w:pPr>
      <w:r w:rsidRPr="009F775E">
        <w:rPr>
          <w:i/>
          <w:sz w:val="20"/>
        </w:rPr>
        <w:tab/>
        <w:t>Written submissions only by Michael A. Feder</w:t>
      </w:r>
      <w:r w:rsidRPr="009F775E">
        <w:rPr>
          <w:sz w:val="20"/>
        </w:rPr>
        <w:t xml:space="preserve">, </w:t>
      </w:r>
      <w:r w:rsidRPr="009F775E">
        <w:rPr>
          <w:i/>
          <w:sz w:val="20"/>
        </w:rPr>
        <w:t>Alexandra E. Cocks</w:t>
      </w:r>
      <w:r w:rsidRPr="009F775E">
        <w:rPr>
          <w:sz w:val="20"/>
        </w:rPr>
        <w:t xml:space="preserve"> and </w:t>
      </w:r>
      <w:r w:rsidRPr="009F775E">
        <w:rPr>
          <w:i/>
          <w:sz w:val="20"/>
        </w:rPr>
        <w:t>Jordanna Cytrynbaum</w:t>
      </w:r>
      <w:r w:rsidRPr="009F775E">
        <w:rPr>
          <w:sz w:val="20"/>
        </w:rPr>
        <w:t>, for the interveners the Canadian HIV/AIDS Legal Network, the HIV &amp; AIDS Legal Clinic Ontario and the Positive Living Society of British Columbia.</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 for the appellant:  Attorney General of Canada, Vancouver.</w:t>
      </w:r>
    </w:p>
    <w:p w:rsidR="00F11377" w:rsidRDefault="00F11377" w:rsidP="00F11377">
      <w:pPr>
        <w:pStyle w:val="SCCLawFirm"/>
        <w:spacing w:line="240" w:lineRule="auto"/>
        <w:rPr>
          <w:sz w:val="20"/>
        </w:rPr>
      </w:pPr>
    </w:p>
    <w:p w:rsidR="00F11377" w:rsidRDefault="00F11377" w:rsidP="00F11377">
      <w:pPr>
        <w:pStyle w:val="SCCLawFirm"/>
        <w:spacing w:line="240" w:lineRule="auto"/>
        <w:rPr>
          <w:sz w:val="20"/>
        </w:rPr>
      </w:pPr>
      <w:r w:rsidRPr="009F775E">
        <w:rPr>
          <w:sz w:val="20"/>
        </w:rPr>
        <w:tab/>
        <w:t>Solicitors for the respondents:  Arvay Finlay, Vancouver; Pivot Legal, Vancouver.</w:t>
      </w:r>
    </w:p>
    <w:p w:rsidR="00F11377" w:rsidRPr="00F11377" w:rsidRDefault="00F11377" w:rsidP="00F11377">
      <w:pPr>
        <w:pStyle w:val="SCCNormalDoubleSpacing"/>
        <w:spacing w:line="240" w:lineRule="auto"/>
      </w:pPr>
    </w:p>
    <w:p w:rsidR="00F11377" w:rsidRPr="009F775E" w:rsidRDefault="00F11377" w:rsidP="00F11377">
      <w:pPr>
        <w:pStyle w:val="SCCLawFirm"/>
        <w:spacing w:line="240" w:lineRule="auto"/>
        <w:rPr>
          <w:sz w:val="20"/>
        </w:rPr>
      </w:pPr>
      <w:r w:rsidRPr="009F775E">
        <w:rPr>
          <w:sz w:val="20"/>
        </w:rPr>
        <w:tab/>
        <w:t>Solicitor for the intervener the Attorney General of Ontario:  Attorney General of Ontario, Toronto.</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 for the intervener the Community Legal Assistance Society:  Community Legal Assistance Society, Vancouver.</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Solicitors for the intervener the British Columbia Civil Liberties Association:  Gratl &amp; Company, Vancouver; Megan Vis</w:t>
      </w:r>
      <w:r w:rsidRPr="009F775E">
        <w:rPr>
          <w:sz w:val="20"/>
        </w:rPr>
        <w:noBreakHyphen/>
        <w:t>Dunbar, Vancouver.</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 for the intervener Ecojustice Canada:  Ecojustice Canada, Toronto.</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Solicitors for the interveners the Coalition of West Coast Women’s Legal Education and Action Fund (West Coast LEAF), Justice for Children and Youth and ARCH Disability Law Centre:  West Coast Women’s Legal Education and Action Fund (West Coast LEAF), Vancouver; Justice for Children and Youth, Toronto; ARCH Disability Law Centre, Toronto.</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lang w:val="fr-CA"/>
        </w:rPr>
      </w:pPr>
      <w:r w:rsidRPr="009F775E">
        <w:rPr>
          <w:sz w:val="20"/>
        </w:rPr>
        <w:tab/>
      </w:r>
      <w:r w:rsidRPr="009F775E">
        <w:rPr>
          <w:sz w:val="20"/>
          <w:lang w:val="fr-CA"/>
        </w:rPr>
        <w:t>Solicitors for the intervener Conseil scolaire francophone de la Colombie</w:t>
      </w:r>
      <w:r w:rsidRPr="009F775E">
        <w:rPr>
          <w:sz w:val="20"/>
          <w:lang w:val="fr-CA"/>
        </w:rPr>
        <w:noBreakHyphen/>
        <w:t>Britannique:  Heenan Blaikie, Ottawa.</w:t>
      </w:r>
    </w:p>
    <w:p w:rsidR="00F11377" w:rsidRDefault="00F11377" w:rsidP="00F11377">
      <w:pPr>
        <w:pStyle w:val="SCCLawFirm"/>
        <w:spacing w:line="240" w:lineRule="auto"/>
        <w:rPr>
          <w:sz w:val="20"/>
          <w:lang w:val="fr-CA"/>
        </w:rPr>
      </w:pPr>
    </w:p>
    <w:p w:rsidR="00F11377" w:rsidRPr="009F775E" w:rsidRDefault="00F11377" w:rsidP="00F11377">
      <w:pPr>
        <w:pStyle w:val="SCCLawFirm"/>
        <w:spacing w:line="240" w:lineRule="auto"/>
        <w:rPr>
          <w:sz w:val="20"/>
        </w:rPr>
      </w:pPr>
      <w:r w:rsidRPr="009F775E">
        <w:rPr>
          <w:sz w:val="20"/>
          <w:lang w:val="fr-CA"/>
        </w:rPr>
        <w:tab/>
      </w:r>
      <w:r w:rsidRPr="009F775E">
        <w:rPr>
          <w:sz w:val="20"/>
        </w:rPr>
        <w:t>Solicitor for the intervener the David Asper Centre for Constitutional Rights:  University of Toronto, Toronto.</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 for the intervener the Canadian Civil Liberties Association:  Canadian Civil Liberties Association, Toronto.</w:t>
      </w:r>
    </w:p>
    <w:p w:rsidR="00F11377" w:rsidRDefault="00F11377" w:rsidP="00F11377">
      <w:pPr>
        <w:pStyle w:val="SCCLawFirm"/>
        <w:spacing w:line="240" w:lineRule="auto"/>
        <w:rPr>
          <w:sz w:val="20"/>
        </w:rPr>
      </w:pPr>
    </w:p>
    <w:p w:rsidR="00F11377" w:rsidRPr="009F775E" w:rsidRDefault="00F11377" w:rsidP="00F11377">
      <w:pPr>
        <w:pStyle w:val="SCCLawFirm"/>
        <w:spacing w:line="240" w:lineRule="auto"/>
        <w:rPr>
          <w:sz w:val="20"/>
        </w:rPr>
      </w:pPr>
      <w:r w:rsidRPr="009F775E">
        <w:rPr>
          <w:sz w:val="20"/>
        </w:rPr>
        <w:tab/>
        <w:t>Solicitors for the interveners the Canadian Association of Refugee Lawyers and the Canadian Council for Refugees:  Waldman &amp; Associates, Toronto.</w:t>
      </w:r>
    </w:p>
    <w:p w:rsidR="00F11377" w:rsidRDefault="00F11377" w:rsidP="00F11377">
      <w:pPr>
        <w:pStyle w:val="SCCLawFirm"/>
        <w:spacing w:line="240" w:lineRule="auto"/>
        <w:rPr>
          <w:sz w:val="20"/>
        </w:rPr>
      </w:pPr>
    </w:p>
    <w:p w:rsidR="00F11377" w:rsidRDefault="00F11377" w:rsidP="00F11377">
      <w:pPr>
        <w:pStyle w:val="SCCLawFirm"/>
        <w:spacing w:line="240" w:lineRule="auto"/>
        <w:rPr>
          <w:sz w:val="20"/>
        </w:rPr>
      </w:pPr>
      <w:r w:rsidRPr="009F775E">
        <w:rPr>
          <w:sz w:val="20"/>
        </w:rPr>
        <w:tab/>
        <w:t>Solicitors for the interveners the Canadian HIV/AIDS Legal Network, the HIV &amp; AIDS Legal Clinic Ontario and the Positive Living Society of British Columbia:  McCarthy Tétrault,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F11377" w:rsidRDefault="00F11377">
      <w:pPr>
        <w:rPr>
          <w:sz w:val="20"/>
          <w:szCs w:val="20"/>
          <w:lang w:val="fr-CA"/>
        </w:rPr>
      </w:pPr>
      <w:r>
        <w:rPr>
          <w:sz w:val="20"/>
          <w:szCs w:val="20"/>
          <w:lang w:val="fr-CA"/>
        </w:rPr>
        <w:br w:type="page"/>
      </w:r>
    </w:p>
    <w:p w:rsidR="00F11377" w:rsidRPr="00F11377" w:rsidRDefault="00F11377" w:rsidP="00F11377">
      <w:pPr>
        <w:jc w:val="both"/>
        <w:rPr>
          <w:sz w:val="20"/>
          <w:szCs w:val="20"/>
          <w:lang w:val="fr-CA"/>
        </w:rPr>
      </w:pPr>
      <w:r w:rsidRPr="00F11377">
        <w:rPr>
          <w:sz w:val="20"/>
          <w:szCs w:val="20"/>
          <w:lang w:val="fr-CA"/>
        </w:rPr>
        <w:lastRenderedPageBreak/>
        <w:t>Présents : La juge en chef McLachlin et les juges LeBel, Deschamps, Fish, Abella, Rothstein, Cromwell, Moldaver et Karakatsanis.</w:t>
      </w:r>
    </w:p>
    <w:p w:rsidR="00F11377" w:rsidRPr="00F11377" w:rsidRDefault="00F11377" w:rsidP="00F11377">
      <w:pPr>
        <w:pStyle w:val="SCCLowerCourtNameLowercase"/>
        <w:spacing w:line="240" w:lineRule="auto"/>
        <w:rPr>
          <w:sz w:val="20"/>
          <w:lang w:val="fr-CA"/>
        </w:rPr>
      </w:pPr>
    </w:p>
    <w:p w:rsidR="00F11377" w:rsidRPr="009F62C5" w:rsidRDefault="00F11377" w:rsidP="00F11377">
      <w:pPr>
        <w:pStyle w:val="SCCNormalDoubleSpacing"/>
        <w:spacing w:line="240" w:lineRule="auto"/>
        <w:rPr>
          <w:i/>
          <w:sz w:val="20"/>
          <w:lang w:val="fr-FR"/>
        </w:rPr>
      </w:pPr>
      <w:r w:rsidRPr="00F11377">
        <w:rPr>
          <w:sz w:val="20"/>
          <w:lang w:val="fr-CA"/>
        </w:rPr>
        <w:tab/>
      </w:r>
      <w:r w:rsidRPr="00F11377">
        <w:rPr>
          <w:i/>
          <w:sz w:val="20"/>
          <w:lang w:val="fr-CA"/>
        </w:rPr>
        <w:t>Procédure civile — Parties — Qualité pour agir — Qualité pour agir dans l’intérêt public — Groupe de défense de l’intérêt public et individu œuvrant pour les travailleuses du sexe à l’origine d’une contestation constitutionnelle des dispositions du Code criminel relatives à la prostitution — La contestation constitutionnelle constitue</w:t>
      </w:r>
      <w:r w:rsidRPr="00F11377">
        <w:rPr>
          <w:i/>
          <w:sz w:val="20"/>
          <w:lang w:val="fr-CA"/>
        </w:rPr>
        <w:noBreakHyphen/>
        <w:t>t</w:t>
      </w:r>
      <w:r w:rsidRPr="00F11377">
        <w:rPr>
          <w:i/>
          <w:sz w:val="20"/>
          <w:lang w:val="fr-CA"/>
        </w:rPr>
        <w:noBreakHyphen/>
        <w:t xml:space="preserve">elle une manière raisonnable et efficace de soumettre la cause à la cour? </w:t>
      </w:r>
      <w:r w:rsidRPr="009F62C5">
        <w:rPr>
          <w:i/>
          <w:sz w:val="20"/>
          <w:lang w:val="fr-FR"/>
        </w:rPr>
        <w:t>— Le groupe de défense de l’intérêt public et l’individu devraient</w:t>
      </w:r>
      <w:r w:rsidRPr="009F62C5">
        <w:rPr>
          <w:i/>
          <w:sz w:val="20"/>
          <w:lang w:val="fr-FR"/>
        </w:rPr>
        <w:noBreakHyphen/>
        <w:t>ils se voir reconnaître la qualité pour agir dans l’intérêt public?</w:t>
      </w:r>
    </w:p>
    <w:p w:rsidR="00F11377" w:rsidRDefault="00F11377" w:rsidP="00F11377">
      <w:pPr>
        <w:pStyle w:val="SCCNormalDoubleSpacing"/>
        <w:spacing w:line="240" w:lineRule="auto"/>
        <w:rPr>
          <w:sz w:val="20"/>
          <w:lang w:val="fr-FR"/>
        </w:rPr>
      </w:pPr>
    </w:p>
    <w:p w:rsidR="00F11377" w:rsidRPr="009F62C5" w:rsidRDefault="00F11377" w:rsidP="00F11377">
      <w:pPr>
        <w:pStyle w:val="SCCNormalDoubleSpacing"/>
        <w:spacing w:line="240" w:lineRule="auto"/>
        <w:rPr>
          <w:sz w:val="20"/>
          <w:lang w:val="fr-FR"/>
        </w:rPr>
      </w:pPr>
      <w:r w:rsidRPr="009F62C5">
        <w:rPr>
          <w:sz w:val="20"/>
          <w:lang w:val="fr-FR"/>
        </w:rPr>
        <w:tab/>
        <w:t xml:space="preserve">Une Société dont l’objet consiste notamment à améliorer les conditions de travail des travailleuses du sexe dans le quartier Downtown Eastside de Vancouver et K, qui a exercé ce métier durant 30 ans, ont lancé une contestation fondée sur la </w:t>
      </w:r>
      <w:r w:rsidRPr="009F62C5">
        <w:rPr>
          <w:i/>
          <w:sz w:val="20"/>
          <w:lang w:val="fr-FR"/>
        </w:rPr>
        <w:t>Charte</w:t>
      </w:r>
      <w:r w:rsidRPr="009F62C5">
        <w:rPr>
          <w:sz w:val="20"/>
          <w:lang w:val="fr-FR"/>
        </w:rPr>
        <w:t xml:space="preserve"> des dispositions du </w:t>
      </w:r>
      <w:r w:rsidRPr="009F62C5">
        <w:rPr>
          <w:i/>
          <w:sz w:val="20"/>
          <w:lang w:val="fr-FR"/>
        </w:rPr>
        <w:t>Code criminel</w:t>
      </w:r>
      <w:r w:rsidRPr="009F62C5">
        <w:rPr>
          <w:sz w:val="20"/>
          <w:lang w:val="fr-FR"/>
        </w:rPr>
        <w:t xml:space="preserve"> relatives à la prostitution.  Le juge en cabinet a conclu qu’elles ne devraient ni l’une ni l’autre se voir reconnaître la qualité pour agir que ce soit dans l’intérêt public ou privé afin de poursuivre leur action; la Cour d’appel de la Colombie</w:t>
      </w:r>
      <w:r w:rsidRPr="009F62C5">
        <w:rPr>
          <w:sz w:val="20"/>
          <w:lang w:val="fr-FR"/>
        </w:rPr>
        <w:noBreakHyphen/>
        <w:t>Britannique leur a toutefois reconnu à toutes les deux la qualité pour agir dans l’intérêt public.</w:t>
      </w:r>
    </w:p>
    <w:p w:rsidR="00F11377" w:rsidRPr="00F11377" w:rsidRDefault="00F11377" w:rsidP="00F11377">
      <w:pPr>
        <w:pStyle w:val="SCCNormalDoubleSpacing"/>
        <w:spacing w:line="240" w:lineRule="auto"/>
        <w:rPr>
          <w:sz w:val="20"/>
          <w:lang w:val="fr-CA"/>
        </w:rPr>
      </w:pPr>
    </w:p>
    <w:p w:rsidR="00F11377" w:rsidRPr="009F62C5" w:rsidRDefault="00F11377" w:rsidP="00F11377">
      <w:pPr>
        <w:pStyle w:val="SCCNormalDoubleSpacing"/>
        <w:spacing w:line="240" w:lineRule="auto"/>
        <w:rPr>
          <w:sz w:val="20"/>
          <w:lang w:val="fr-FR"/>
        </w:rPr>
      </w:pPr>
      <w:r w:rsidRPr="00F11377">
        <w:rPr>
          <w:sz w:val="20"/>
          <w:lang w:val="fr-CA"/>
        </w:rPr>
        <w:tab/>
      </w:r>
      <w:r w:rsidRPr="009F62C5">
        <w:rPr>
          <w:i/>
          <w:sz w:val="20"/>
          <w:lang w:val="fr-FR"/>
        </w:rPr>
        <w:t xml:space="preserve">Arrêt : </w:t>
      </w:r>
      <w:r w:rsidRPr="009F62C5">
        <w:rPr>
          <w:sz w:val="20"/>
          <w:lang w:val="fr-FR"/>
        </w:rPr>
        <w:t>Le pourvoi est rejeté.</w:t>
      </w:r>
    </w:p>
    <w:p w:rsidR="00F11377" w:rsidRDefault="00F11377" w:rsidP="00F11377">
      <w:pPr>
        <w:pStyle w:val="SCCNormalDoubleSpacing"/>
        <w:spacing w:line="240" w:lineRule="auto"/>
        <w:rPr>
          <w:sz w:val="20"/>
          <w:lang w:val="fr-FR"/>
        </w:rPr>
      </w:pPr>
    </w:p>
    <w:p w:rsidR="00F11377" w:rsidRPr="00F11377" w:rsidRDefault="00F11377" w:rsidP="00F11377">
      <w:pPr>
        <w:pStyle w:val="SCCNormalDoubleSpacing"/>
        <w:spacing w:line="240" w:lineRule="auto"/>
        <w:rPr>
          <w:sz w:val="20"/>
          <w:lang w:val="fr-CA"/>
        </w:rPr>
      </w:pPr>
      <w:r w:rsidRPr="009F62C5">
        <w:rPr>
          <w:sz w:val="20"/>
          <w:lang w:val="fr-FR"/>
        </w:rPr>
        <w:tab/>
      </w:r>
      <w:r w:rsidRPr="00F11377">
        <w:rPr>
          <w:sz w:val="20"/>
          <w:lang w:val="fr-CA"/>
        </w:rPr>
        <w:t>Lorsqu’il s’agit de décider s’il est justifié de reconnaître la qualité pour agir dans une cause de droit public, les tribunaux doivent soupeser trois facteurs</w:t>
      </w:r>
      <w:r w:rsidRPr="009F62C5">
        <w:rPr>
          <w:sz w:val="20"/>
          <w:lang w:val="fr-FR"/>
        </w:rPr>
        <w:t xml:space="preserve">.  Ils doivent se demander si l’affaire soulève une question justiciable sérieuse; si la partie qui a intenté la poursuite a un intérêt réel </w:t>
      </w:r>
      <w:r w:rsidRPr="00F11377">
        <w:rPr>
          <w:sz w:val="20"/>
          <w:lang w:val="fr-CA"/>
        </w:rPr>
        <w:t>dans les procédures ou est engagée quant aux questions qu’elles soulèvent</w:t>
      </w:r>
      <w:r w:rsidRPr="009F62C5">
        <w:rPr>
          <w:sz w:val="20"/>
          <w:lang w:val="fr-FR"/>
        </w:rPr>
        <w:t xml:space="preserve">; et si </w:t>
      </w:r>
      <w:r w:rsidRPr="00F11377">
        <w:rPr>
          <w:sz w:val="20"/>
          <w:lang w:val="fr-CA"/>
        </w:rPr>
        <w:t>la poursuite proposée, compte tenu de toutes les circonstances et à la lumière d’un grand nombre de considérations, constitue une manière raisonnable et efficace de soumettre la question à la cour</w:t>
      </w:r>
      <w:r w:rsidRPr="009F62C5">
        <w:rPr>
          <w:sz w:val="20"/>
          <w:lang w:val="fr-FR"/>
        </w:rPr>
        <w:t xml:space="preserve">.  </w:t>
      </w:r>
      <w:r w:rsidRPr="00F11377">
        <w:rPr>
          <w:sz w:val="20"/>
          <w:lang w:val="fr-CA"/>
        </w:rPr>
        <w:t xml:space="preserve">Le demandeur qui souhaite se voir reconnaître la qualité pour agir dans l’intérêt public doit convaincre la cour que ces facteurs, appliqués d’une manière souple et téléologique, militent en faveur de la reconnaissance de cette qualité.  Toutes les autres considérations étant égales par ailleurs, un demandeur qui possède de plein droit la qualité pour agir sera généralement préféré. </w:t>
      </w:r>
    </w:p>
    <w:p w:rsidR="00F11377" w:rsidRPr="00F11377" w:rsidRDefault="00F11377" w:rsidP="00F11377">
      <w:pPr>
        <w:pStyle w:val="SCCNormalDoubleSpacing"/>
        <w:spacing w:line="240" w:lineRule="auto"/>
        <w:rPr>
          <w:sz w:val="20"/>
          <w:lang w:val="fr-CA"/>
        </w:rPr>
      </w:pPr>
    </w:p>
    <w:p w:rsidR="00F11377" w:rsidRPr="00F11377" w:rsidRDefault="00F11377" w:rsidP="00F11377">
      <w:pPr>
        <w:pStyle w:val="SCCNormalDoubleSpacing"/>
        <w:spacing w:line="240" w:lineRule="auto"/>
        <w:rPr>
          <w:sz w:val="20"/>
          <w:lang w:val="fr-CA"/>
        </w:rPr>
      </w:pPr>
      <w:r w:rsidRPr="00F11377">
        <w:rPr>
          <w:sz w:val="20"/>
          <w:lang w:val="fr-CA"/>
        </w:rPr>
        <w:tab/>
        <w:t xml:space="preserve">La question qui oppose les parties en l’espèce a trait à la formulation et à l’application du troisième de ces facteurs.  Ce facteur a longtemps été qualifié d’exigence stricte que la personne demandant la reconnaissance de sa qualité pour agir devait démontrer qu’il </w:t>
      </w:r>
      <w:r w:rsidRPr="00F11377">
        <w:rPr>
          <w:i/>
          <w:sz w:val="20"/>
          <w:lang w:val="fr-CA"/>
        </w:rPr>
        <w:t>n</w:t>
      </w:r>
      <w:r w:rsidRPr="00F11377">
        <w:rPr>
          <w:sz w:val="20"/>
          <w:lang w:val="fr-CA"/>
        </w:rPr>
        <w:t xml:space="preserve">’y a </w:t>
      </w:r>
      <w:r w:rsidRPr="00F11377">
        <w:rPr>
          <w:i/>
          <w:sz w:val="20"/>
          <w:lang w:val="fr-CA"/>
        </w:rPr>
        <w:t>pas</w:t>
      </w:r>
      <w:r w:rsidRPr="00F11377">
        <w:rPr>
          <w:sz w:val="20"/>
          <w:lang w:val="fr-CA"/>
        </w:rPr>
        <w:t xml:space="preserve"> d’autre manière raisonnable et efficace de soumettre la question à la cour.  Il n’empêche que la Cour ne l’a pas formulé systématiquement de cette façon et l’a même rarement appliqué restrictivement.  Ainsi, il serait préférable de formuler ce facteur comme exigeant que la poursuite proposée, compte tenu de toutes les circonstances et à la lumière d’un grand nombre de considérations, constitue </w:t>
      </w:r>
      <w:r w:rsidRPr="00F11377">
        <w:rPr>
          <w:i/>
          <w:sz w:val="20"/>
          <w:lang w:val="fr-CA"/>
        </w:rPr>
        <w:t>une</w:t>
      </w:r>
      <w:r w:rsidRPr="00F11377">
        <w:rPr>
          <w:sz w:val="20"/>
          <w:lang w:val="fr-CA"/>
        </w:rPr>
        <w:t xml:space="preserve"> manière raisonnable et efficace de soumettre la question à la cour.</w:t>
      </w:r>
    </w:p>
    <w:p w:rsidR="00F11377" w:rsidRPr="00F11377" w:rsidRDefault="00F11377" w:rsidP="00F11377">
      <w:pPr>
        <w:pStyle w:val="SCCNormalDoubleSpacing"/>
        <w:spacing w:line="240" w:lineRule="auto"/>
        <w:rPr>
          <w:sz w:val="20"/>
          <w:lang w:val="fr-CA"/>
        </w:rPr>
      </w:pPr>
    </w:p>
    <w:p w:rsidR="00F11377" w:rsidRPr="00F11377" w:rsidRDefault="00F11377" w:rsidP="00F11377">
      <w:pPr>
        <w:pStyle w:val="SCCNormalDoubleSpacing"/>
        <w:spacing w:line="240" w:lineRule="auto"/>
        <w:rPr>
          <w:sz w:val="20"/>
          <w:lang w:val="fr-CA"/>
        </w:rPr>
      </w:pPr>
      <w:r w:rsidRPr="00F11377">
        <w:rPr>
          <w:sz w:val="20"/>
          <w:lang w:val="fr-CA"/>
        </w:rPr>
        <w:tab/>
        <w:t xml:space="preserve">En abordant la question sous l’angle téléologique, les tribunaux doivent se demander si l’action envisagée constitue une utilisation efficiente des ressources judiciaires, si les questions sont justiciables dans un contexte accusatoire, et si le fait d’autoriser la poursuite de l’action envisagée favorise le respect du principe de la légalité.  Une approche souple et discrétionnaire est de mise pour juger de l’effet de ces considérations sur la décision ultime de reconnaître ou non la qualité pour agir.  Une analyse dichotomique répondant par un oui ou par un non n’est pas envisageable. </w:t>
      </w:r>
      <w:r w:rsidRPr="009F62C5">
        <w:rPr>
          <w:sz w:val="20"/>
          <w:lang w:val="fr-FR"/>
        </w:rPr>
        <w:t xml:space="preserve"> L</w:t>
      </w:r>
      <w:r w:rsidRPr="00F11377">
        <w:rPr>
          <w:sz w:val="20"/>
          <w:lang w:val="fr-CA"/>
        </w:rPr>
        <w:t xml:space="preserve">es questions visant à déterminer si une manière de procéder est raisonnable, si elle est efficace et si elle favorise le renforcement du principe de la légalité sont des questions de degré et elles doivent être analysées en fonction de solutions de rechange pratiques, compte tenu de toutes les circonstances. </w:t>
      </w:r>
    </w:p>
    <w:p w:rsidR="00F11377" w:rsidRPr="00F11377" w:rsidRDefault="00F11377" w:rsidP="00F11377">
      <w:pPr>
        <w:pStyle w:val="SCCNormalDoubleSpacing"/>
        <w:spacing w:line="240" w:lineRule="auto"/>
        <w:rPr>
          <w:sz w:val="20"/>
          <w:lang w:val="fr-CA"/>
        </w:rPr>
      </w:pPr>
    </w:p>
    <w:p w:rsidR="00F11377" w:rsidRPr="00F11377" w:rsidRDefault="00F11377" w:rsidP="00F11377">
      <w:pPr>
        <w:pStyle w:val="SCCNormalDoubleSpacing"/>
        <w:spacing w:line="240" w:lineRule="auto"/>
        <w:rPr>
          <w:sz w:val="20"/>
          <w:lang w:val="fr-CA"/>
        </w:rPr>
      </w:pPr>
      <w:r w:rsidRPr="00F11377">
        <w:rPr>
          <w:sz w:val="20"/>
          <w:lang w:val="fr-CA"/>
        </w:rPr>
        <w:tab/>
        <w:t xml:space="preserve">En l’espèce, appliqués selon une approche téléologique et souple, les trois facteurs militent pour la reconnaissance de la qualité pour agir dans l’intérêt public des intimées.  En fait, il n’y a guère de désaccord quant au fait qu’il a été satisfait aux deux premiers facteurs : la poursuite des intimées soulève des questions justiciables sérieuses et les intimées ont un intérêt dans l’issue de l’action et sont totalement engagées au regard des questions qu’elles souhaitent soulever.  En effet, la constitutionnalité des dispositions du </w:t>
      </w:r>
      <w:r w:rsidRPr="00F11377">
        <w:rPr>
          <w:i/>
          <w:sz w:val="20"/>
          <w:lang w:val="fr-CA"/>
        </w:rPr>
        <w:t>Code criminel</w:t>
      </w:r>
      <w:r w:rsidRPr="00F11377">
        <w:rPr>
          <w:sz w:val="20"/>
          <w:lang w:val="fr-CA"/>
        </w:rPr>
        <w:t xml:space="preserve"> relatives à la prostitution constitue une question justiciable sérieuse et les intimées, compte tenu de leur travail, ont un solide engagement à l’égard de l’enjeu en cause.</w:t>
      </w:r>
    </w:p>
    <w:p w:rsidR="00F11377" w:rsidRDefault="00F11377" w:rsidP="00F11377">
      <w:pPr>
        <w:pStyle w:val="SCCNormalDoubleSpacing"/>
        <w:spacing w:line="240" w:lineRule="auto"/>
        <w:rPr>
          <w:sz w:val="20"/>
          <w:lang w:val="fr-FR"/>
        </w:rPr>
      </w:pPr>
    </w:p>
    <w:p w:rsidR="00F11377" w:rsidRPr="009F62C5" w:rsidRDefault="00F11377" w:rsidP="00F11377">
      <w:pPr>
        <w:pStyle w:val="SCCNormalDoubleSpacing"/>
        <w:spacing w:line="240" w:lineRule="auto"/>
        <w:rPr>
          <w:sz w:val="20"/>
          <w:lang w:val="fr-FR"/>
        </w:rPr>
      </w:pPr>
      <w:r w:rsidRPr="009F62C5">
        <w:rPr>
          <w:sz w:val="20"/>
          <w:lang w:val="fr-FR"/>
        </w:rPr>
        <w:tab/>
        <w:t xml:space="preserve">En l’espèce, il est également satisfait au troisième facteur.  L’existence d’une cause civile dans une autre province </w:t>
      </w:r>
      <w:r w:rsidRPr="00F11377">
        <w:rPr>
          <w:sz w:val="20"/>
          <w:lang w:val="fr-CA"/>
        </w:rPr>
        <w:t xml:space="preserve">constitue certainement un facteur hautement pertinent qui milite souvent contre la reconnaissance de la qualité </w:t>
      </w:r>
      <w:r w:rsidRPr="00F11377">
        <w:rPr>
          <w:sz w:val="20"/>
          <w:lang w:val="fr-CA"/>
        </w:rPr>
        <w:lastRenderedPageBreak/>
        <w:t>pour agir.  Toutefois, l’existence d’une instance parallèle, même si elle soulève beaucoup de questions identiques, n’est pas nécessairement un motif suffisant pour refuser de reconnaître la qualité pour agir.  Compte tenu de l’organisation provinciale de nos cours supérieures, les décisions rendues par celles d’une province ne lient pas les cours des autres provinces.  Ainsi, une instance dans une province n’apporte pas nécessairement une réponse complète au demandeur qui désire intenter une poursuite sur des questions semblables dans une autre province.  En outre, les questions soulevées dans l’autre cause ne sont pas identiques à celles soulevées en l’espèce.  Le tribunal doit examiner non seulement la question juridique précise posée, mais aussi le contexte dans lequel elle l’est.  Or, les contextes qui sont à l’origine des contestations dans l’autre cause et dans la présente affaire sont très différents.  Les demanderesses dans l’autre cause</w:t>
      </w:r>
      <w:r w:rsidRPr="00F11377">
        <w:rPr>
          <w:i/>
          <w:sz w:val="20"/>
          <w:lang w:val="fr-CA"/>
        </w:rPr>
        <w:t xml:space="preserve"> </w:t>
      </w:r>
      <w:r w:rsidRPr="00F11377">
        <w:rPr>
          <w:sz w:val="20"/>
          <w:lang w:val="fr-CA"/>
        </w:rPr>
        <w:t>n’étaient pas principalement des travailleuses de l’industrie du sexe qui exerce leur métier dans la rue, tandis que, en l’espèce, ce sont elles qui sont au cœur du débat.  Finalement, mise à part la mesure radicale qui consiste à ne pas reconnaître la qualité pour agir, il pourrait y avoir d’autres stratégies en matière de gestion des litiges visant à assurer l’utilisation efficiente et efficace des ressources judiciaires.  La suspension des procédures jusqu’au règlement d’autres instances est, de fait, une possibilité qui devrait être prise en compte lors de l’exercice du pouvoir discrétionnaire de reconnaître ou non la qualité pour agir.</w:t>
      </w:r>
    </w:p>
    <w:p w:rsidR="00F11377" w:rsidRDefault="00F11377" w:rsidP="00F11377">
      <w:pPr>
        <w:pStyle w:val="SCCNormalDoubleSpacing"/>
        <w:spacing w:line="240" w:lineRule="auto"/>
        <w:rPr>
          <w:sz w:val="20"/>
          <w:lang w:val="fr-FR"/>
        </w:rPr>
      </w:pPr>
    </w:p>
    <w:p w:rsidR="00F11377" w:rsidRPr="009F62C5" w:rsidRDefault="00F11377" w:rsidP="00F11377">
      <w:pPr>
        <w:pStyle w:val="SCCNormalDoubleSpacing"/>
        <w:spacing w:line="240" w:lineRule="auto"/>
        <w:rPr>
          <w:sz w:val="20"/>
          <w:lang w:val="fr-FR"/>
        </w:rPr>
      </w:pPr>
      <w:r w:rsidRPr="009F62C5">
        <w:rPr>
          <w:sz w:val="20"/>
          <w:lang w:val="fr-FR"/>
        </w:rPr>
        <w:tab/>
      </w:r>
      <w:r w:rsidRPr="00F11377">
        <w:rPr>
          <w:sz w:val="20"/>
          <w:lang w:val="fr-CA"/>
        </w:rPr>
        <w:t>En tenant compte de ce qui précède, l’existence de l’autre instance, dans les circonstances de la présente affaire, ne semble pas peser très lourd contre les intimées lorsqu’il s’agit de déterminer si la poursuite qu’elles ont intentée constitue une manière raisonnable et efficace de soumettre les allégations formulées à l’intention de la cour.</w:t>
      </w:r>
    </w:p>
    <w:p w:rsidR="00F11377" w:rsidRDefault="00F11377" w:rsidP="00F11377">
      <w:pPr>
        <w:pStyle w:val="SCCNormalDoubleSpacing"/>
        <w:spacing w:line="240" w:lineRule="auto"/>
        <w:rPr>
          <w:sz w:val="20"/>
          <w:lang w:val="fr-FR"/>
        </w:rPr>
      </w:pPr>
    </w:p>
    <w:p w:rsidR="00F11377" w:rsidRPr="009F62C5" w:rsidRDefault="00F11377" w:rsidP="00F11377">
      <w:pPr>
        <w:pStyle w:val="SCCNormalDoubleSpacing"/>
        <w:spacing w:line="240" w:lineRule="auto"/>
        <w:rPr>
          <w:sz w:val="20"/>
          <w:lang w:val="fr-FR"/>
        </w:rPr>
      </w:pPr>
      <w:r w:rsidRPr="009F62C5">
        <w:rPr>
          <w:sz w:val="20"/>
          <w:lang w:val="fr-FR"/>
        </w:rPr>
        <w:tab/>
      </w:r>
      <w:r w:rsidRPr="00F11377">
        <w:rPr>
          <w:sz w:val="20"/>
          <w:lang w:val="fr-CA"/>
        </w:rPr>
        <w:t xml:space="preserve">De plus, l’existence de demandeurs potentiels, bien qu’il s’agisse d’un facteur pertinent, ne devrait être prise en compte qu’en fonction de considérations d’ordre pratique qui sont telles qu’il est très peu probable que des personnes accusées en application des dispositions relatives à la prostitution engageraient une action semblable à celle des intimées. </w:t>
      </w:r>
      <w:r w:rsidRPr="009F62C5">
        <w:rPr>
          <w:sz w:val="20"/>
          <w:lang w:val="fr-FR"/>
        </w:rPr>
        <w:t xml:space="preserve"> </w:t>
      </w:r>
      <w:r w:rsidRPr="00F11377">
        <w:rPr>
          <w:sz w:val="20"/>
          <w:lang w:val="fr-CA"/>
        </w:rPr>
        <w:t xml:space="preserve">De plus, le caractère imprévisible inhérent aux procès criminels rend les choses encore plus difficiles pour une partie soulevant une contestation de la nature de celle engagée en l’espèce.  </w:t>
      </w:r>
    </w:p>
    <w:p w:rsidR="00F11377" w:rsidRDefault="00F11377" w:rsidP="00F11377">
      <w:pPr>
        <w:pStyle w:val="SCCNormalDoubleSpacing"/>
        <w:spacing w:line="240" w:lineRule="auto"/>
        <w:rPr>
          <w:sz w:val="20"/>
          <w:lang w:val="fr-FR"/>
        </w:rPr>
      </w:pPr>
    </w:p>
    <w:p w:rsidR="00F11377" w:rsidRPr="009F62C5" w:rsidRDefault="00F11377" w:rsidP="00F11377">
      <w:pPr>
        <w:pStyle w:val="SCCNormalDoubleSpacing"/>
        <w:spacing w:line="240" w:lineRule="auto"/>
        <w:rPr>
          <w:sz w:val="20"/>
          <w:lang w:val="fr-FR"/>
        </w:rPr>
      </w:pPr>
      <w:r w:rsidRPr="009F62C5">
        <w:rPr>
          <w:sz w:val="20"/>
          <w:lang w:val="fr-FR"/>
        </w:rPr>
        <w:tab/>
        <w:t>En outre, en l’espèce, il appert du dossier qu’</w:t>
      </w:r>
      <w:r w:rsidRPr="00F11377">
        <w:rPr>
          <w:sz w:val="20"/>
          <w:lang w:val="fr-CA"/>
        </w:rPr>
        <w:t>aucun travailleur de l’industrie du sexe du quartier Downtown Eastside de Vancouver n’était prêt à engager une contestation exhaustive.  La volonté de bon nombre de ces personnes de souscrire des affidavits ou de comparaître pour témoigner n’affecte en rien la crédibilité de leur témoignage voulant qu’elles ne soient pas prêtes ou capables d’engager en leurs propres noms une contestation de cette nature.</w:t>
      </w:r>
      <w:r w:rsidRPr="009F62C5">
        <w:rPr>
          <w:sz w:val="20"/>
          <w:lang w:val="fr-FR"/>
        </w:rPr>
        <w:tab/>
      </w:r>
    </w:p>
    <w:p w:rsidR="00F11377" w:rsidRPr="00F11377" w:rsidRDefault="00F11377" w:rsidP="00F11377">
      <w:pPr>
        <w:pStyle w:val="SCCNormalDoubleSpacing"/>
        <w:spacing w:line="240" w:lineRule="auto"/>
        <w:rPr>
          <w:sz w:val="20"/>
          <w:lang w:val="fr-CA"/>
        </w:rPr>
      </w:pPr>
    </w:p>
    <w:p w:rsidR="00F11377" w:rsidRPr="009F62C5" w:rsidRDefault="00F11377" w:rsidP="00F11377">
      <w:pPr>
        <w:pStyle w:val="SCCNormalDoubleSpacing"/>
        <w:spacing w:line="240" w:lineRule="auto"/>
        <w:rPr>
          <w:sz w:val="20"/>
          <w:lang w:val="fr-FR"/>
        </w:rPr>
      </w:pPr>
      <w:r w:rsidRPr="00F11377">
        <w:rPr>
          <w:sz w:val="20"/>
          <w:lang w:val="fr-CA"/>
        </w:rPr>
        <w:tab/>
        <w:t>D’autres considérations devraient être prises en compte lors de l’examen du facteur relatif aux manières plus raisonnables et efficaces.  La présente affaire constitue un litige d’intérêt public : les intimées ont soulevé des questions d’importance pour le public, des questions qui transcendent leurs intérêts immédiats.  Leur contestation est exhaustive en ce qu’elle vise la presque totalité du régime législatif.  Elle fournit l’occasion d’évaluer, du point de vue du droit constitutionnel, l’effet global de ce régime sur les personnes les plus touchées par ses dispositions.  Une contestation de cette nature est susceptible de prévenir une multiplicité de contestations individuelles engagées dans le cadre de poursuites criminelles.  Il n’y a aucun risque de porter atteinte aux droits d’autres individus ayant un intérêt plus personnel ou plus direct dans la question du fait d’une action trop générale ou mal présentée.  Il est évident que la demande est plaidée avec rigueur et habileté.  Rien ne laisse croire que d’autres personnes touchées de façon plus directe ou personnelle aient choisi de plein gré de ne pas contester ces dispositions.  La présence de K, de même que celle de la Société, garantira que le litige aura une dimension à la fois individuelle et collective.</w:t>
      </w:r>
    </w:p>
    <w:p w:rsidR="00F11377" w:rsidRPr="00F11377" w:rsidRDefault="00F11377" w:rsidP="00F11377">
      <w:pPr>
        <w:pStyle w:val="SCCNormalDoubleSpacing"/>
        <w:spacing w:line="240" w:lineRule="auto"/>
        <w:rPr>
          <w:sz w:val="20"/>
          <w:lang w:val="fr-CA"/>
        </w:rPr>
      </w:pPr>
    </w:p>
    <w:p w:rsidR="00F11377" w:rsidRPr="00F11377" w:rsidRDefault="00F11377" w:rsidP="00F11377">
      <w:pPr>
        <w:pStyle w:val="SCCNormalDoubleSpacing"/>
        <w:spacing w:line="240" w:lineRule="auto"/>
        <w:rPr>
          <w:sz w:val="20"/>
          <w:lang w:val="fr-CA"/>
        </w:rPr>
      </w:pPr>
      <w:r w:rsidRPr="00F11377">
        <w:rPr>
          <w:sz w:val="20"/>
          <w:lang w:val="fr-CA"/>
        </w:rPr>
        <w:tab/>
        <w:t>Ayant conclu que les intimées ont la qualité pour agir dans l’intérêt public afin de poursuivre leur action, il n’est pas nécessaire d’aborder la question de savoir si K a la qualité pour agir dans l’intérêt privé.</w:t>
      </w:r>
    </w:p>
    <w:p w:rsidR="00F11377" w:rsidRPr="00F11377" w:rsidRDefault="00F11377" w:rsidP="00F11377">
      <w:pPr>
        <w:pStyle w:val="SCCNormalDoubleSpacing"/>
        <w:spacing w:line="240" w:lineRule="auto"/>
        <w:rPr>
          <w:sz w:val="20"/>
          <w:lang w:val="fr-CA"/>
        </w:rPr>
      </w:pPr>
    </w:p>
    <w:p w:rsidR="00F11377" w:rsidRPr="009F62C5" w:rsidRDefault="00F11377" w:rsidP="00F11377">
      <w:pPr>
        <w:pStyle w:val="SCCNormalDoubleSpacing"/>
        <w:spacing w:line="240" w:lineRule="auto"/>
        <w:rPr>
          <w:sz w:val="20"/>
          <w:lang w:val="fr-CA"/>
        </w:rPr>
      </w:pPr>
      <w:r w:rsidRPr="00F11377">
        <w:rPr>
          <w:sz w:val="20"/>
          <w:lang w:val="fr-CA"/>
        </w:rPr>
        <w:tab/>
        <w:t>POURVOI contre un arrêt de la Cour d’appel de la Colombie</w:t>
      </w:r>
      <w:r w:rsidRPr="00F11377">
        <w:rPr>
          <w:sz w:val="20"/>
          <w:lang w:val="fr-CA"/>
        </w:rPr>
        <w:noBreakHyphen/>
        <w:t xml:space="preserve">Britannique (les juges Saunders, Neilson et Groberman), 2010 BCCA 439, 10 B.C.L.R. (5th) 33, 294 B.C.A.C. 70, 324 D.L.R. (4th) 1, 260 C.C.C. (3d) 95, 219 C.R.R. (2d) 171, [2011] 1 W.W.R. 628, 498 W.A.C. 70, [2010] B.C.J. No. 1983 (QL), 2010 CarswellBC 2729, qui a infirmé en partie une décision du juge Ehrcke, 2008 BCSC 1726, 90 B.C.L.R. (4th) 177, 305 D.L.R. (4th) 713, 182 C.R.R. (2d) 262, [2009] 5 W.W.R. 696, [2008] B.C.J. No. 2447 (QL), 2008 CarswellBC 2709.  </w:t>
      </w:r>
      <w:r w:rsidRPr="009F62C5">
        <w:rPr>
          <w:sz w:val="20"/>
          <w:lang w:val="fr-CA"/>
        </w:rPr>
        <w:t>Pourvoi rejeté.</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9F62C5">
        <w:rPr>
          <w:i/>
          <w:sz w:val="20"/>
          <w:lang w:val="fr-CA"/>
        </w:rPr>
        <w:tab/>
      </w:r>
      <w:r w:rsidRPr="00F11377">
        <w:rPr>
          <w:i/>
          <w:sz w:val="20"/>
          <w:lang w:val="fr-CA"/>
        </w:rPr>
        <w:t>Cheryl J. Tobias, c.r.</w:t>
      </w:r>
      <w:r w:rsidRPr="00F11377">
        <w:rPr>
          <w:sz w:val="20"/>
          <w:lang w:val="fr-CA"/>
        </w:rPr>
        <w:t xml:space="preserve">, et </w:t>
      </w:r>
      <w:r w:rsidRPr="00F11377">
        <w:rPr>
          <w:i/>
          <w:sz w:val="20"/>
          <w:lang w:val="fr-CA"/>
        </w:rPr>
        <w:t>Donnaree Nygard</w:t>
      </w:r>
      <w:r w:rsidRPr="00F11377">
        <w:rPr>
          <w:sz w:val="20"/>
          <w:lang w:val="fr-CA"/>
        </w:rPr>
        <w:t>, pour l’appelant.</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Joseph J. Arvay, c.r.</w:t>
      </w:r>
      <w:r w:rsidRPr="00F11377">
        <w:rPr>
          <w:sz w:val="20"/>
          <w:lang w:val="fr-CA"/>
        </w:rPr>
        <w:t xml:space="preserve">, </w:t>
      </w:r>
      <w:r w:rsidRPr="00F11377">
        <w:rPr>
          <w:i/>
          <w:sz w:val="20"/>
          <w:lang w:val="fr-CA"/>
        </w:rPr>
        <w:t>Elin R. S. Sigurdson</w:t>
      </w:r>
      <w:r w:rsidRPr="00F11377">
        <w:rPr>
          <w:sz w:val="20"/>
          <w:lang w:val="fr-CA"/>
        </w:rPr>
        <w:t xml:space="preserve"> et </w:t>
      </w:r>
      <w:r w:rsidRPr="00F11377">
        <w:rPr>
          <w:i/>
          <w:sz w:val="20"/>
          <w:lang w:val="fr-CA"/>
        </w:rPr>
        <w:t>Katrina Pacey</w:t>
      </w:r>
      <w:r w:rsidRPr="00F11377">
        <w:rPr>
          <w:sz w:val="20"/>
          <w:lang w:val="fr-CA"/>
        </w:rPr>
        <w:t>, pour les intimées.</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lastRenderedPageBreak/>
        <w:tab/>
        <w:t>Janet E. Minor</w:t>
      </w:r>
      <w:r w:rsidRPr="00F11377">
        <w:rPr>
          <w:sz w:val="20"/>
          <w:lang w:val="fr-CA"/>
        </w:rPr>
        <w:t xml:space="preserve"> et </w:t>
      </w:r>
      <w:r w:rsidRPr="00F11377">
        <w:rPr>
          <w:i/>
          <w:sz w:val="20"/>
          <w:lang w:val="fr-CA"/>
        </w:rPr>
        <w:t>Courtney J. Harris</w:t>
      </w:r>
      <w:r w:rsidRPr="00F11377">
        <w:rPr>
          <w:sz w:val="20"/>
          <w:lang w:val="fr-CA"/>
        </w:rPr>
        <w:t>, pour l’intervenant le procureur général de l’Ontario.</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David W. Mossop, c.r.</w:t>
      </w:r>
      <w:r w:rsidRPr="00F11377">
        <w:rPr>
          <w:sz w:val="20"/>
          <w:lang w:val="fr-CA"/>
        </w:rPr>
        <w:t xml:space="preserve">, et </w:t>
      </w:r>
      <w:r w:rsidRPr="00F11377">
        <w:rPr>
          <w:i/>
          <w:sz w:val="20"/>
          <w:lang w:val="fr-CA"/>
        </w:rPr>
        <w:t>Diane Nielsen</w:t>
      </w:r>
      <w:r w:rsidRPr="00F11377">
        <w:rPr>
          <w:sz w:val="20"/>
          <w:lang w:val="fr-CA"/>
        </w:rPr>
        <w:t>, pour l’intervenante Community Legal Assistance Society.</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Jason B. Gratl</w:t>
      </w:r>
      <w:r w:rsidRPr="00F11377">
        <w:rPr>
          <w:sz w:val="20"/>
          <w:lang w:val="fr-CA"/>
        </w:rPr>
        <w:t xml:space="preserve"> et </w:t>
      </w:r>
      <w:r w:rsidRPr="00F11377">
        <w:rPr>
          <w:i/>
          <w:sz w:val="20"/>
          <w:lang w:val="fr-CA"/>
        </w:rPr>
        <w:t>Megan Vis</w:t>
      </w:r>
      <w:r w:rsidRPr="00F11377">
        <w:rPr>
          <w:i/>
          <w:sz w:val="20"/>
          <w:lang w:val="fr-CA"/>
        </w:rPr>
        <w:noBreakHyphen/>
        <w:t>Dunbar</w:t>
      </w:r>
      <w:r w:rsidRPr="00F11377">
        <w:rPr>
          <w:sz w:val="20"/>
          <w:lang w:val="fr-CA"/>
        </w:rPr>
        <w:t>, pour l’intervenante l’Association des libertés civiles de la Colombie</w:t>
      </w:r>
      <w:r w:rsidRPr="00F11377">
        <w:rPr>
          <w:sz w:val="20"/>
          <w:lang w:val="fr-CA"/>
        </w:rPr>
        <w:noBreakHyphen/>
        <w:t>Britannique.</w:t>
      </w:r>
    </w:p>
    <w:p w:rsidR="00F11377" w:rsidRPr="00F11377" w:rsidRDefault="00F11377" w:rsidP="00F11377">
      <w:pPr>
        <w:pStyle w:val="SCCNormalDoubleSpacing"/>
        <w:spacing w:line="240" w:lineRule="auto"/>
        <w:rPr>
          <w:i/>
          <w:sz w:val="20"/>
          <w:lang w:val="fr-CA"/>
        </w:rPr>
      </w:pPr>
    </w:p>
    <w:p w:rsidR="00F11377" w:rsidRPr="009F62C5" w:rsidRDefault="00F11377" w:rsidP="00F11377">
      <w:pPr>
        <w:pStyle w:val="SCCNormalDoubleSpacing"/>
        <w:spacing w:line="240" w:lineRule="auto"/>
        <w:rPr>
          <w:sz w:val="20"/>
          <w:lang w:val="en-US"/>
        </w:rPr>
      </w:pPr>
      <w:r w:rsidRPr="00F11377">
        <w:rPr>
          <w:i/>
          <w:sz w:val="20"/>
          <w:lang w:val="fr-CA"/>
        </w:rPr>
        <w:tab/>
      </w:r>
      <w:r w:rsidRPr="009F62C5">
        <w:rPr>
          <w:i/>
          <w:sz w:val="20"/>
          <w:lang w:val="en-US"/>
        </w:rPr>
        <w:t>Justin Duncan</w:t>
      </w:r>
      <w:r w:rsidRPr="009F62C5">
        <w:rPr>
          <w:sz w:val="20"/>
          <w:lang w:val="en-US"/>
        </w:rPr>
        <w:t xml:space="preserve"> et </w:t>
      </w:r>
      <w:r w:rsidRPr="009F62C5">
        <w:rPr>
          <w:i/>
          <w:sz w:val="20"/>
          <w:lang w:val="en-US"/>
        </w:rPr>
        <w:t>Kaitlyn Mitchell</w:t>
      </w:r>
      <w:r w:rsidRPr="009F62C5">
        <w:rPr>
          <w:sz w:val="20"/>
          <w:lang w:val="en-US"/>
        </w:rPr>
        <w:t>, pour l’intervenant Ecojustice Canada.</w:t>
      </w:r>
    </w:p>
    <w:p w:rsidR="00F11377" w:rsidRDefault="00F11377" w:rsidP="00F11377">
      <w:pPr>
        <w:pStyle w:val="SCCNormalDoubleSpacing"/>
        <w:spacing w:line="240" w:lineRule="auto"/>
        <w:rPr>
          <w:i/>
          <w:sz w:val="20"/>
          <w:lang w:val="en-US"/>
        </w:rPr>
      </w:pPr>
    </w:p>
    <w:p w:rsidR="00F11377" w:rsidRPr="009F62C5" w:rsidRDefault="00F11377" w:rsidP="00F11377">
      <w:pPr>
        <w:pStyle w:val="SCCNormalDoubleSpacing"/>
        <w:spacing w:line="240" w:lineRule="auto"/>
        <w:rPr>
          <w:sz w:val="20"/>
          <w:lang w:val="en-US"/>
        </w:rPr>
      </w:pPr>
      <w:r w:rsidRPr="009F62C5">
        <w:rPr>
          <w:i/>
          <w:sz w:val="20"/>
          <w:lang w:val="en-US"/>
        </w:rPr>
        <w:tab/>
        <w:t>C. Tess Sheldon</w:t>
      </w:r>
      <w:r w:rsidRPr="009F62C5">
        <w:rPr>
          <w:sz w:val="20"/>
          <w:lang w:val="en-US"/>
        </w:rPr>
        <w:t xml:space="preserve"> et </w:t>
      </w:r>
      <w:r w:rsidRPr="009F62C5">
        <w:rPr>
          <w:i/>
          <w:sz w:val="20"/>
          <w:lang w:val="en-US"/>
        </w:rPr>
        <w:t>Niamh Harraher</w:t>
      </w:r>
      <w:r w:rsidRPr="009F62C5">
        <w:rPr>
          <w:sz w:val="20"/>
          <w:lang w:val="en-US"/>
        </w:rPr>
        <w:t>, pour les intervenants Coalition of West Coast Women’s Legal Education and Action Fund (West Coast LEAF), Justice for Children and Youth et ARCH Disability Law Centre.</w:t>
      </w:r>
    </w:p>
    <w:p w:rsidR="00F11377" w:rsidRDefault="00F11377" w:rsidP="00F11377">
      <w:pPr>
        <w:pStyle w:val="SCCNormalDoubleSpacing"/>
        <w:spacing w:line="240" w:lineRule="auto"/>
        <w:rPr>
          <w:i/>
          <w:sz w:val="20"/>
          <w:lang w:val="en-US"/>
        </w:rPr>
      </w:pPr>
    </w:p>
    <w:p w:rsidR="00F11377" w:rsidRPr="00F11377" w:rsidRDefault="00F11377" w:rsidP="00F11377">
      <w:pPr>
        <w:pStyle w:val="SCCNormalDoubleSpacing"/>
        <w:spacing w:line="240" w:lineRule="auto"/>
        <w:rPr>
          <w:sz w:val="20"/>
          <w:lang w:val="fr-CA"/>
        </w:rPr>
      </w:pPr>
      <w:r w:rsidRPr="009F62C5">
        <w:rPr>
          <w:i/>
          <w:sz w:val="20"/>
          <w:lang w:val="en-US"/>
        </w:rPr>
        <w:tab/>
      </w:r>
      <w:r w:rsidRPr="00F11377">
        <w:rPr>
          <w:i/>
          <w:sz w:val="20"/>
          <w:lang w:val="fr-CA"/>
        </w:rPr>
        <w:t>Argumentation écrite seulement par Mark C. Power</w:t>
      </w:r>
      <w:r w:rsidRPr="00F11377">
        <w:rPr>
          <w:sz w:val="20"/>
          <w:lang w:val="fr-CA"/>
        </w:rPr>
        <w:t xml:space="preserve"> et </w:t>
      </w:r>
      <w:r w:rsidRPr="00F11377">
        <w:rPr>
          <w:i/>
          <w:sz w:val="20"/>
          <w:lang w:val="fr-CA"/>
        </w:rPr>
        <w:t>Jean</w:t>
      </w:r>
      <w:r w:rsidRPr="00F11377">
        <w:rPr>
          <w:i/>
          <w:sz w:val="20"/>
          <w:lang w:val="fr-CA"/>
        </w:rPr>
        <w:noBreakHyphen/>
        <w:t>Pierre Hachey</w:t>
      </w:r>
      <w:r w:rsidRPr="00F11377">
        <w:rPr>
          <w:sz w:val="20"/>
          <w:lang w:val="fr-CA"/>
        </w:rPr>
        <w:t>, pour l’intervenant le Conseil scolaire francophone de la Colombie</w:t>
      </w:r>
      <w:r w:rsidRPr="00F11377">
        <w:rPr>
          <w:sz w:val="20"/>
          <w:lang w:val="fr-CA"/>
        </w:rPr>
        <w:noBreakHyphen/>
        <w:t>Britannique.</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 xml:space="preserve">Kent Roach </w:t>
      </w:r>
      <w:r w:rsidRPr="00F11377">
        <w:rPr>
          <w:sz w:val="20"/>
          <w:lang w:val="fr-CA"/>
        </w:rPr>
        <w:t>et</w:t>
      </w:r>
      <w:r w:rsidRPr="00F11377">
        <w:rPr>
          <w:i/>
          <w:sz w:val="20"/>
          <w:lang w:val="fr-CA"/>
        </w:rPr>
        <w:t xml:space="preserve"> Cheryl Milne</w:t>
      </w:r>
      <w:r w:rsidRPr="00F11377">
        <w:rPr>
          <w:sz w:val="20"/>
          <w:lang w:val="fr-CA"/>
        </w:rPr>
        <w:t>, pour l’intervenant David Asper Centre for Constitutional Rights.</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Argumentation écrite seulement par Cara Faith Zwibel</w:t>
      </w:r>
      <w:r w:rsidRPr="00F11377">
        <w:rPr>
          <w:sz w:val="20"/>
          <w:lang w:val="fr-CA"/>
        </w:rPr>
        <w:t>, pour l’intervenante l’Association canadienne des libertés civiles.</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Lorne Waldman</w:t>
      </w:r>
      <w:r w:rsidRPr="00F11377">
        <w:rPr>
          <w:sz w:val="20"/>
          <w:lang w:val="fr-CA"/>
        </w:rPr>
        <w:t xml:space="preserve">, </w:t>
      </w:r>
      <w:r w:rsidRPr="00F11377">
        <w:rPr>
          <w:i/>
          <w:sz w:val="20"/>
          <w:lang w:val="fr-CA"/>
        </w:rPr>
        <w:t>Clare Crummey</w:t>
      </w:r>
      <w:r w:rsidRPr="00F11377">
        <w:rPr>
          <w:sz w:val="20"/>
          <w:lang w:val="fr-CA"/>
        </w:rPr>
        <w:t xml:space="preserve"> et </w:t>
      </w:r>
      <w:r w:rsidRPr="00F11377">
        <w:rPr>
          <w:i/>
          <w:sz w:val="20"/>
          <w:lang w:val="fr-CA"/>
        </w:rPr>
        <w:t>Tamara Morgenthau</w:t>
      </w:r>
      <w:r w:rsidRPr="00F11377">
        <w:rPr>
          <w:sz w:val="20"/>
          <w:lang w:val="fr-CA"/>
        </w:rPr>
        <w:t>, pour les intervenants l’Association canadienne des avocats et avocates en droit des réfugiés et le Conseil canadien pour les réfugiés.</w:t>
      </w:r>
    </w:p>
    <w:p w:rsidR="00F11377" w:rsidRPr="00F11377" w:rsidRDefault="00F11377" w:rsidP="00F11377">
      <w:pPr>
        <w:pStyle w:val="SCCNormalDoubleSpacing"/>
        <w:spacing w:line="240" w:lineRule="auto"/>
        <w:rPr>
          <w:i/>
          <w:sz w:val="20"/>
          <w:lang w:val="fr-CA"/>
        </w:rPr>
      </w:pPr>
    </w:p>
    <w:p w:rsidR="00F11377" w:rsidRPr="00F11377" w:rsidRDefault="00F11377" w:rsidP="00F11377">
      <w:pPr>
        <w:pStyle w:val="SCCNormalDoubleSpacing"/>
        <w:spacing w:line="240" w:lineRule="auto"/>
        <w:rPr>
          <w:sz w:val="20"/>
          <w:lang w:val="fr-CA"/>
        </w:rPr>
      </w:pPr>
      <w:r w:rsidRPr="00F11377">
        <w:rPr>
          <w:i/>
          <w:sz w:val="20"/>
          <w:lang w:val="fr-CA"/>
        </w:rPr>
        <w:tab/>
        <w:t>Argumentation écrite seulement par Michael A. Feder</w:t>
      </w:r>
      <w:r w:rsidRPr="00F11377">
        <w:rPr>
          <w:sz w:val="20"/>
          <w:lang w:val="fr-CA"/>
        </w:rPr>
        <w:t xml:space="preserve">, </w:t>
      </w:r>
      <w:r w:rsidRPr="00F11377">
        <w:rPr>
          <w:i/>
          <w:sz w:val="20"/>
          <w:lang w:val="fr-CA"/>
        </w:rPr>
        <w:t>Alexandra E. Cocks</w:t>
      </w:r>
      <w:r w:rsidRPr="00F11377">
        <w:rPr>
          <w:sz w:val="20"/>
          <w:lang w:val="fr-CA"/>
        </w:rPr>
        <w:t xml:space="preserve"> et </w:t>
      </w:r>
      <w:r w:rsidRPr="00F11377">
        <w:rPr>
          <w:i/>
          <w:sz w:val="20"/>
          <w:lang w:val="fr-CA"/>
        </w:rPr>
        <w:t>Jordanna Cytrynbaum</w:t>
      </w:r>
      <w:r w:rsidRPr="00F11377">
        <w:rPr>
          <w:sz w:val="20"/>
          <w:lang w:val="fr-CA"/>
        </w:rPr>
        <w:t>, pour les intervenants le Réseau juridique canadien VIH/sida, HIV &amp; AIDS Legal Clinic Ontario et Positive Living Society of British Columbia.</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 de l’appelant : Procureur général du Canada, Vancouver.</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Procureurs des intimées : Arvay Finlay, Vancouver; Pivot Legal, Vancouver.</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 de l’intervenant le procureur général de l’Ontario : Procureur général de l’Ontario, Toronto.</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 de l’intervenante Community Legal Assistance Society : Community Legal Assistance Society, Vancouver.</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Procureurs de l’intervenante l’Association des libertés civiles de la Colombie</w:t>
      </w:r>
      <w:r w:rsidRPr="00F11377">
        <w:rPr>
          <w:sz w:val="20"/>
          <w:lang w:val="fr-CA"/>
        </w:rPr>
        <w:noBreakHyphen/>
        <w:t>Britannique : Gratl &amp; Company, Vancouver; Megan Vis</w:t>
      </w:r>
      <w:r w:rsidRPr="00F11377">
        <w:rPr>
          <w:sz w:val="20"/>
          <w:lang w:val="fr-CA"/>
        </w:rPr>
        <w:noBreakHyphen/>
        <w:t>Dunbar, Vancouver.</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 de l’intervenant Ecojustice Canada : Ecojustice Canada, Toronto.</w:t>
      </w:r>
    </w:p>
    <w:p w:rsidR="00F11377" w:rsidRPr="00F11377" w:rsidRDefault="00F11377" w:rsidP="00F11377">
      <w:pPr>
        <w:pStyle w:val="SCCLawFirm"/>
        <w:spacing w:line="240" w:lineRule="auto"/>
        <w:rPr>
          <w:sz w:val="20"/>
          <w:lang w:val="fr-CA"/>
        </w:rPr>
      </w:pPr>
    </w:p>
    <w:p w:rsidR="00F11377" w:rsidRPr="009F62C5" w:rsidRDefault="00F11377" w:rsidP="00F11377">
      <w:pPr>
        <w:pStyle w:val="SCCLawFirm"/>
        <w:spacing w:line="240" w:lineRule="auto"/>
        <w:rPr>
          <w:sz w:val="20"/>
          <w:lang w:val="en-US"/>
        </w:rPr>
      </w:pPr>
      <w:r w:rsidRPr="00F11377">
        <w:rPr>
          <w:sz w:val="20"/>
          <w:lang w:val="fr-CA"/>
        </w:rPr>
        <w:tab/>
      </w:r>
      <w:r w:rsidRPr="009F62C5">
        <w:rPr>
          <w:sz w:val="20"/>
          <w:lang w:val="en-US"/>
        </w:rPr>
        <w:t>Procureurs des intervenants Coalition of West Coast Women’s Legal Education and Action Fund (West Coast LEAF), Justice for Children and Youth et ARCH Disability Law Centre : West Coast Women’s Legal Education and Action Fund (West Coast LEAF), Vancouver; Justice for Children and Youth, Toronto; ARCH Disability Law Centre, Toronto.</w:t>
      </w:r>
    </w:p>
    <w:p w:rsidR="00F11377" w:rsidRDefault="00F11377" w:rsidP="00F11377">
      <w:pPr>
        <w:pStyle w:val="SCCLawFirm"/>
        <w:spacing w:line="240" w:lineRule="auto"/>
        <w:rPr>
          <w:sz w:val="20"/>
          <w:lang w:val="en-US"/>
        </w:rPr>
      </w:pPr>
    </w:p>
    <w:p w:rsidR="00F11377" w:rsidRPr="00F11377" w:rsidRDefault="00F11377" w:rsidP="00F11377">
      <w:pPr>
        <w:pStyle w:val="SCCLawFirm"/>
        <w:spacing w:line="240" w:lineRule="auto"/>
        <w:rPr>
          <w:sz w:val="20"/>
          <w:lang w:val="fr-CA"/>
        </w:rPr>
      </w:pPr>
      <w:r w:rsidRPr="009F62C5">
        <w:rPr>
          <w:sz w:val="20"/>
          <w:lang w:val="en-US"/>
        </w:rPr>
        <w:tab/>
      </w:r>
      <w:r w:rsidRPr="00F11377">
        <w:rPr>
          <w:sz w:val="20"/>
          <w:lang w:val="fr-CA"/>
        </w:rPr>
        <w:t>Procureurs de l’intervenant le Conseil scolaire francophone de la Colombie</w:t>
      </w:r>
      <w:r w:rsidRPr="00F11377">
        <w:rPr>
          <w:sz w:val="20"/>
          <w:lang w:val="fr-CA"/>
        </w:rPr>
        <w:noBreakHyphen/>
        <w:t>Britannique : Heenan Blaikie, Ottawa.</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 de l’intervenant David Asper Centre for Constitutional Rights : Université de Toronto, Toronto.</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 de l’intervenante l’Association canadienne des libertés civiles : Association canadienne des libertés civiles, Toronto.</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lastRenderedPageBreak/>
        <w:tab/>
        <w:t>Procureurs des intervenants l’Association canadienne des avocats et avocates en droit des réfugiés et le Conseil canadien pour les réfugiés : Waldman &amp; Associates, Toronto.</w:t>
      </w:r>
    </w:p>
    <w:p w:rsidR="00F11377" w:rsidRPr="00F11377" w:rsidRDefault="00F11377" w:rsidP="00F11377">
      <w:pPr>
        <w:pStyle w:val="SCCLawFirm"/>
        <w:spacing w:line="240" w:lineRule="auto"/>
        <w:rPr>
          <w:sz w:val="20"/>
          <w:lang w:val="fr-CA"/>
        </w:rPr>
      </w:pPr>
    </w:p>
    <w:p w:rsidR="00F11377" w:rsidRPr="00F11377" w:rsidRDefault="00F11377" w:rsidP="00F11377">
      <w:pPr>
        <w:pStyle w:val="SCCLawFirm"/>
        <w:spacing w:line="240" w:lineRule="auto"/>
        <w:rPr>
          <w:sz w:val="20"/>
          <w:lang w:val="fr-CA"/>
        </w:rPr>
      </w:pPr>
      <w:r w:rsidRPr="00F11377">
        <w:rPr>
          <w:sz w:val="20"/>
          <w:lang w:val="fr-CA"/>
        </w:rPr>
        <w:tab/>
        <w:t>Procureurs des intervenants le Réseau juridique canadien VIH/sida, HIV &amp; AIDS Legal Clinic Ontario et Positive Living Society of British Columbia : McCarthy Tétrault, Vancouver.</w:t>
      </w:r>
    </w:p>
    <w:p w:rsidR="003B3977" w:rsidRDefault="003B3977" w:rsidP="005C6840">
      <w:pPr>
        <w:rPr>
          <w:rFonts w:cs="Times New Roman"/>
          <w:sz w:val="20"/>
          <w:szCs w:val="20"/>
          <w:lang w:val="fr-CA"/>
        </w:rPr>
      </w:pPr>
    </w:p>
    <w:p w:rsidR="005C6840" w:rsidRPr="003B3977" w:rsidRDefault="00BA233E" w:rsidP="00F952AE">
      <w:pPr>
        <w:rPr>
          <w:sz w:val="20"/>
          <w:szCs w:val="20"/>
          <w:lang w:val="fr-CA"/>
        </w:rPr>
      </w:pPr>
      <w:r w:rsidRPr="00BA233E">
        <w:rPr>
          <w:rFonts w:cs="Times New Roman"/>
          <w:sz w:val="20"/>
          <w:szCs w:val="20"/>
          <w:lang w:val="fr-CA"/>
        </w:rPr>
        <w:pict>
          <v:rect id="_x0000_i1066"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091FA6" w:rsidRPr="002E0C7E" w:rsidRDefault="00BA233E"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4254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4254F">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4254F">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DECEMBER - DÉCEMBRE</w:t>
            </w:r>
          </w:p>
        </w:tc>
      </w:tr>
      <w:tr w:rsidR="00091FA6" w:rsidRPr="002E0C7E" w:rsidTr="0094254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r>
      <w:tr w:rsidR="00091FA6" w:rsidRPr="002E0C7E" w:rsidTr="0094254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r>
      <w:tr w:rsidR="00091FA6" w:rsidRPr="002E0C7E" w:rsidTr="0094254F">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4254F">
            <w:pPr>
              <w:widowControl w:val="0"/>
              <w:jc w:val="center"/>
              <w:rPr>
                <w:rFonts w:ascii="Arial" w:hAnsi="Arial"/>
                <w:b/>
                <w:sz w:val="14"/>
              </w:rPr>
            </w:pPr>
            <w:r w:rsidRPr="000C583B">
              <w:rPr>
                <w:rFonts w:ascii="Arial" w:hAnsi="Arial"/>
                <w:b/>
                <w:sz w:val="14"/>
              </w:rPr>
              <w:t>H</w:t>
            </w:r>
          </w:p>
          <w:p w:rsidR="00091FA6" w:rsidRPr="002E0C7E" w:rsidRDefault="00091FA6" w:rsidP="0094254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4254F">
            <w:pPr>
              <w:widowControl w:val="0"/>
              <w:jc w:val="center"/>
              <w:rPr>
                <w:rFonts w:ascii="Arial" w:hAnsi="Arial"/>
                <w:b/>
                <w:sz w:val="14"/>
              </w:rPr>
            </w:pPr>
            <w:r w:rsidRPr="000C583B">
              <w:rPr>
                <w:rFonts w:ascii="Arial" w:hAnsi="Arial"/>
                <w:b/>
                <w:sz w:val="14"/>
              </w:rPr>
              <w:t>M</w:t>
            </w:r>
          </w:p>
          <w:p w:rsidR="00091FA6" w:rsidRPr="002E0C7E" w:rsidRDefault="00091FA6" w:rsidP="0094254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M</w:t>
            </w:r>
          </w:p>
          <w:p w:rsidR="00091FA6" w:rsidRPr="002E0C7E" w:rsidRDefault="00091FA6" w:rsidP="0094254F">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M</w:t>
            </w:r>
          </w:p>
          <w:p w:rsidR="00091FA6" w:rsidRPr="002E0C7E" w:rsidRDefault="00091FA6" w:rsidP="0094254F">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r>
      <w:tr w:rsidR="00091FA6" w:rsidRPr="002E0C7E" w:rsidTr="0094254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4254F">
            <w:pPr>
              <w:widowControl w:val="0"/>
              <w:jc w:val="center"/>
              <w:rPr>
                <w:rFonts w:ascii="Arial" w:hAnsi="Arial"/>
                <w:b/>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4254F">
            <w:pPr>
              <w:widowControl w:val="0"/>
              <w:jc w:val="center"/>
              <w:rPr>
                <w:rFonts w:ascii="Arial" w:hAnsi="Arial"/>
                <w:sz w:val="14"/>
              </w:rPr>
            </w:pPr>
            <w:r>
              <w:rPr>
                <w:rFonts w:ascii="Arial" w:hAnsi="Arial"/>
                <w:b/>
                <w:sz w:val="14"/>
              </w:rPr>
              <w:t>H</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4254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4254F">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Pr>
                <w:rFonts w:ascii="Arial" w:hAnsi="Arial"/>
                <w:sz w:val="14"/>
              </w:rPr>
              <w:t>23</w:t>
            </w:r>
          </w:p>
          <w:p w:rsidR="00091FA6" w:rsidRPr="002E0C7E" w:rsidRDefault="00091FA6" w:rsidP="0094254F">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Pr>
                <w:rFonts w:ascii="Arial" w:hAnsi="Arial"/>
                <w:sz w:val="14"/>
              </w:rPr>
              <w:t>24</w:t>
            </w:r>
          </w:p>
          <w:p w:rsidR="00091FA6" w:rsidRPr="002E0C7E" w:rsidRDefault="00091FA6" w:rsidP="0094254F">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H</w:t>
            </w: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4254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4254F">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4254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MARCH - MARS</w:t>
            </w:r>
          </w:p>
        </w:tc>
      </w:tr>
      <w:tr w:rsidR="00091FA6" w:rsidRPr="002E0C7E" w:rsidTr="0094254F">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r>
      <w:tr w:rsidR="00091FA6" w:rsidRPr="002E0C7E" w:rsidTr="0094254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4254F">
            <w:pPr>
              <w:widowControl w:val="0"/>
              <w:jc w:val="center"/>
              <w:rPr>
                <w:rFonts w:ascii="Arial" w:hAnsi="Arial"/>
                <w:b/>
                <w:sz w:val="14"/>
              </w:rPr>
            </w:pPr>
            <w:r>
              <w:rPr>
                <w:rFonts w:ascii="Arial" w:hAnsi="Arial"/>
                <w:b/>
                <w:sz w:val="14"/>
              </w:rPr>
              <w:t>H</w:t>
            </w:r>
          </w:p>
          <w:p w:rsidR="00091FA6" w:rsidRPr="002E0C7E" w:rsidRDefault="00091FA6" w:rsidP="0094254F">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r>
      <w:tr w:rsidR="00091FA6" w:rsidRPr="002E0C7E" w:rsidTr="0094254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r>
      <w:tr w:rsidR="00091FA6" w:rsidRPr="002E0C7E" w:rsidTr="0094254F">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4254F">
            <w:pPr>
              <w:widowControl w:val="0"/>
              <w:jc w:val="center"/>
              <w:rPr>
                <w:rFonts w:ascii="Arial" w:hAnsi="Arial"/>
                <w:b/>
                <w:sz w:val="14"/>
              </w:rPr>
            </w:pPr>
            <w:r>
              <w:rPr>
                <w:rFonts w:ascii="Arial" w:hAnsi="Arial"/>
                <w:b/>
                <w:sz w:val="14"/>
              </w:rPr>
              <w:t>M</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4254F">
            <w:pPr>
              <w:widowControl w:val="0"/>
              <w:jc w:val="center"/>
              <w:rPr>
                <w:rFonts w:ascii="Arial" w:hAnsi="Arial"/>
                <w:b/>
                <w:sz w:val="14"/>
              </w:rPr>
            </w:pPr>
            <w:r>
              <w:rPr>
                <w:rFonts w:ascii="Arial" w:hAnsi="Arial"/>
                <w:b/>
                <w:sz w:val="14"/>
              </w:rPr>
              <w:t>M</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4254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4254F">
            <w:pPr>
              <w:widowControl w:val="0"/>
              <w:jc w:val="center"/>
              <w:rPr>
                <w:rFonts w:ascii="Arial" w:hAnsi="Arial"/>
                <w:b/>
                <w:sz w:val="14"/>
              </w:rPr>
            </w:pPr>
            <w:r>
              <w:rPr>
                <w:rFonts w:ascii="Arial" w:hAnsi="Arial"/>
                <w:b/>
                <w:sz w:val="14"/>
              </w:rPr>
              <w:t>M</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4254F">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Pr>
                <w:rFonts w:ascii="Arial" w:hAnsi="Arial"/>
                <w:sz w:val="14"/>
              </w:rPr>
              <w:t>24</w:t>
            </w:r>
          </w:p>
          <w:p w:rsidR="00091FA6" w:rsidRPr="002E0C7E" w:rsidRDefault="00091FA6" w:rsidP="0094254F">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4254F">
            <w:pPr>
              <w:widowControl w:val="0"/>
              <w:jc w:val="center"/>
              <w:rPr>
                <w:rFonts w:ascii="Arial" w:hAnsi="Arial"/>
                <w:b/>
                <w:sz w:val="14"/>
              </w:rPr>
            </w:pPr>
            <w:r w:rsidRPr="00261B35">
              <w:rPr>
                <w:rFonts w:ascii="Arial" w:hAnsi="Arial"/>
                <w:b/>
                <w:sz w:val="14"/>
              </w:rPr>
              <w:t>H</w:t>
            </w:r>
          </w:p>
          <w:p w:rsidR="00091FA6" w:rsidRPr="002E0C7E" w:rsidRDefault="00091FA6" w:rsidP="0094254F">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4254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4254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4254F">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4254F">
            <w:pPr>
              <w:widowControl w:val="0"/>
              <w:jc w:val="center"/>
              <w:rPr>
                <w:rFonts w:ascii="Arial" w:hAnsi="Arial"/>
                <w:sz w:val="14"/>
              </w:rPr>
            </w:pPr>
            <w:r w:rsidRPr="002E0C7E">
              <w:rPr>
                <w:rFonts w:ascii="Arial" w:hAnsi="Arial"/>
                <w:b/>
                <w:sz w:val="14"/>
              </w:rPr>
              <w:t>JUNE - JUIN</w:t>
            </w:r>
          </w:p>
        </w:tc>
      </w:tr>
      <w:tr w:rsidR="00091FA6" w:rsidRPr="002E0C7E" w:rsidTr="0094254F">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M</w:t>
            </w:r>
          </w:p>
          <w:p w:rsidR="00091FA6" w:rsidRPr="002E0C7E" w:rsidRDefault="00091FA6" w:rsidP="0094254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W</w:t>
            </w:r>
          </w:p>
          <w:p w:rsidR="00091FA6" w:rsidRPr="002E0C7E" w:rsidRDefault="00091FA6" w:rsidP="0094254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T</w:t>
            </w:r>
          </w:p>
          <w:p w:rsidR="00091FA6" w:rsidRPr="002E0C7E" w:rsidRDefault="00091FA6" w:rsidP="0094254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F</w:t>
            </w:r>
          </w:p>
          <w:p w:rsidR="00091FA6" w:rsidRPr="002E0C7E" w:rsidRDefault="00091FA6" w:rsidP="0094254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sidRPr="002E0C7E">
              <w:rPr>
                <w:rFonts w:ascii="Arial" w:hAnsi="Arial"/>
                <w:sz w:val="14"/>
              </w:rPr>
              <w:t>s</w:t>
            </w:r>
          </w:p>
          <w:p w:rsidR="00091FA6" w:rsidRPr="002E0C7E" w:rsidRDefault="00091FA6" w:rsidP="0094254F">
            <w:pPr>
              <w:widowControl w:val="0"/>
              <w:jc w:val="center"/>
              <w:rPr>
                <w:rFonts w:ascii="Arial" w:hAnsi="Arial"/>
                <w:sz w:val="14"/>
              </w:rPr>
            </w:pPr>
            <w:r w:rsidRPr="002E0C7E">
              <w:rPr>
                <w:rFonts w:ascii="Arial" w:hAnsi="Arial"/>
                <w:sz w:val="14"/>
              </w:rPr>
              <w:t>s</w:t>
            </w:r>
          </w:p>
        </w:tc>
      </w:tr>
      <w:tr w:rsidR="00091FA6" w:rsidRPr="002E0C7E" w:rsidTr="0094254F">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4254F">
            <w:pPr>
              <w:widowControl w:val="0"/>
              <w:jc w:val="center"/>
              <w:rPr>
                <w:rFonts w:ascii="Arial" w:hAnsi="Arial"/>
                <w:b/>
                <w:sz w:val="14"/>
              </w:rPr>
            </w:pPr>
            <w:r w:rsidRPr="002453E3">
              <w:rPr>
                <w:rFonts w:ascii="Arial" w:hAnsi="Arial"/>
                <w:b/>
                <w:sz w:val="14"/>
              </w:rPr>
              <w:t>H</w:t>
            </w:r>
          </w:p>
          <w:p w:rsidR="00091FA6" w:rsidRPr="002E0C7E" w:rsidRDefault="00091FA6" w:rsidP="0094254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b/>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w:t>
            </w:r>
          </w:p>
        </w:tc>
      </w:tr>
      <w:tr w:rsidR="00091FA6" w:rsidRPr="002E0C7E" w:rsidTr="0094254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4254F">
            <w:pPr>
              <w:widowControl w:val="0"/>
              <w:jc w:val="center"/>
              <w:rPr>
                <w:rFonts w:ascii="Arial" w:hAnsi="Arial"/>
                <w:b/>
                <w:sz w:val="14"/>
              </w:rPr>
            </w:pPr>
          </w:p>
          <w:p w:rsidR="00091FA6" w:rsidRPr="002E0C7E" w:rsidRDefault="00091FA6" w:rsidP="0094254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8</w:t>
            </w:r>
          </w:p>
        </w:tc>
      </w:tr>
      <w:tr w:rsidR="00091FA6" w:rsidRPr="002E0C7E" w:rsidTr="0094254F">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4254F">
            <w:pPr>
              <w:widowControl w:val="0"/>
              <w:jc w:val="center"/>
              <w:rPr>
                <w:rFonts w:ascii="Arial" w:hAnsi="Arial"/>
                <w:b/>
                <w:sz w:val="14"/>
              </w:rPr>
            </w:pPr>
            <w:r w:rsidRPr="00DB5777">
              <w:rPr>
                <w:rFonts w:ascii="Arial" w:hAnsi="Arial"/>
                <w:b/>
                <w:sz w:val="14"/>
              </w:rPr>
              <w:t>M</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4254F">
            <w:pPr>
              <w:widowControl w:val="0"/>
              <w:jc w:val="center"/>
              <w:rPr>
                <w:rFonts w:ascii="Arial" w:hAnsi="Arial"/>
                <w:b/>
                <w:sz w:val="14"/>
              </w:rPr>
            </w:pPr>
            <w:r w:rsidRPr="002453E3">
              <w:rPr>
                <w:rFonts w:ascii="Arial" w:hAnsi="Arial"/>
                <w:b/>
                <w:sz w:val="14"/>
              </w:rPr>
              <w:t>M</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4254F">
            <w:pPr>
              <w:widowControl w:val="0"/>
              <w:jc w:val="center"/>
              <w:rPr>
                <w:rFonts w:ascii="Arial" w:hAnsi="Arial"/>
                <w:b/>
                <w:sz w:val="14"/>
              </w:rPr>
            </w:pPr>
            <w:r w:rsidRPr="006A1E8D">
              <w:rPr>
                <w:rFonts w:ascii="Arial" w:hAnsi="Arial"/>
                <w:b/>
                <w:sz w:val="14"/>
              </w:rPr>
              <w:t>M</w:t>
            </w: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4254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4254F">
            <w:pPr>
              <w:widowControl w:val="0"/>
              <w:jc w:val="center"/>
              <w:rPr>
                <w:rFonts w:ascii="Arial" w:hAnsi="Arial"/>
                <w:b/>
                <w:sz w:val="14"/>
              </w:rPr>
            </w:pPr>
            <w:r>
              <w:rPr>
                <w:rFonts w:ascii="Arial" w:hAnsi="Arial"/>
                <w:b/>
                <w:sz w:val="14"/>
              </w:rPr>
              <w:t>H</w:t>
            </w: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4254F">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r>
              <w:rPr>
                <w:rFonts w:ascii="Arial" w:hAnsi="Arial"/>
                <w:sz w:val="14"/>
              </w:rPr>
              <w:t>23</w:t>
            </w:r>
          </w:p>
          <w:p w:rsidR="00091FA6" w:rsidRPr="002E0C7E" w:rsidRDefault="00091FA6" w:rsidP="0094254F">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4254F">
            <w:pPr>
              <w:widowControl w:val="0"/>
              <w:jc w:val="center"/>
              <w:rPr>
                <w:rFonts w:ascii="Arial" w:hAnsi="Arial"/>
                <w:sz w:val="14"/>
              </w:rPr>
            </w:pPr>
          </w:p>
          <w:p w:rsidR="00091FA6" w:rsidRPr="002E0C7E" w:rsidRDefault="00091FA6" w:rsidP="0094254F">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4254F">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4254F">
            <w:pPr>
              <w:widowControl w:val="0"/>
              <w:rPr>
                <w:rFonts w:ascii="Arial" w:hAnsi="Arial"/>
                <w:sz w:val="16"/>
              </w:rPr>
            </w:pPr>
            <w:r w:rsidRPr="002E0C7E">
              <w:rPr>
                <w:rFonts w:ascii="Arial" w:hAnsi="Arial"/>
                <w:sz w:val="16"/>
              </w:rPr>
              <w:t>Sittings of the court:</w:t>
            </w:r>
          </w:p>
          <w:p w:rsidR="00091FA6" w:rsidRPr="002E0C7E" w:rsidRDefault="00091FA6" w:rsidP="0094254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4254F">
            <w:pPr>
              <w:widowControl w:val="0"/>
              <w:rPr>
                <w:rFonts w:ascii="Arial" w:hAnsi="Arial"/>
                <w:sz w:val="16"/>
              </w:rPr>
            </w:pPr>
          </w:p>
          <w:p w:rsidR="00091FA6" w:rsidRPr="002E0C7E" w:rsidRDefault="00091FA6" w:rsidP="0094254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4254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4254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4254F">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425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8E" w:rsidRDefault="0033588E" w:rsidP="00A87207">
      <w:r>
        <w:separator/>
      </w:r>
    </w:p>
  </w:endnote>
  <w:endnote w:type="continuationSeparator" w:id="0">
    <w:p w:rsidR="0033588E" w:rsidRDefault="0033588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pPr>
      <w:pStyle w:val="Footer"/>
      <w:rPr>
        <w:lang w:val="fr-CA"/>
      </w:rPr>
    </w:pPr>
    <w:r w:rsidRPr="00BA233E">
      <w:rPr>
        <w:lang w:val="fr-CA"/>
      </w:rPr>
      <w:pict>
        <v:rect id="_x0000_i1051" style="width:480.95pt;height:1pt" o:hralign="center" o:hrstd="t" o:hrnoshade="t" o:hr="t" fillcolor="black [3213]" stroked="f"/>
      </w:pict>
    </w:r>
  </w:p>
  <w:p w:rsidR="0033588E" w:rsidRDefault="0033588E" w:rsidP="00245129">
    <w:pPr>
      <w:tabs>
        <w:tab w:val="center" w:pos="4680"/>
      </w:tabs>
    </w:pPr>
    <w:r>
      <w:tab/>
    </w:r>
    <w:r w:rsidRPr="0009648D">
      <w:t xml:space="preserve">- </w:t>
    </w:r>
    <w:fldSimple w:instr=" PAGE   \* MERGEFORMAT ">
      <w:r w:rsidR="00A5349A">
        <w:rPr>
          <w:noProof/>
        </w:rPr>
        <w:t>1318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88E" w:rsidRDefault="0033588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755F22">
    <w:pPr>
      <w:tabs>
        <w:tab w:val="left" w:pos="-1440"/>
        <w:tab w:val="left" w:pos="-720"/>
      </w:tabs>
    </w:pPr>
    <w:r>
      <w:pict>
        <v:rect id="_x0000_i1057" style="width:480.95pt;height:1pt" o:hralign="center" o:hrstd="t" o:hrnoshade="t" o:hr="t" fillcolor="black [3213]" stroked="f"/>
      </w:pict>
    </w:r>
  </w:p>
  <w:p w:rsidR="0033588E" w:rsidRDefault="0033588E" w:rsidP="00EB2B90">
    <w:pPr>
      <w:tabs>
        <w:tab w:val="center" w:pos="4680"/>
      </w:tabs>
    </w:pPr>
    <w:r>
      <w:tab/>
      <w:t xml:space="preserve">- </w:t>
    </w:r>
    <w:fldSimple w:instr=" PAGE   \* MERGEFORMAT ">
      <w:r w:rsidR="00A5349A">
        <w:rPr>
          <w:noProof/>
        </w:rPr>
        <w:t>1330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EB2B90">
    <w:pPr>
      <w:tabs>
        <w:tab w:val="center" w:pos="4680"/>
      </w:tabs>
    </w:pPr>
    <w:r>
      <w:pict>
        <v:rect id="_x0000_i1058" style="width:480.95pt;height:1pt" o:hralign="center" o:hrstd="t" o:hrnoshade="t" o:hr="t" fillcolor="black [3213]" stroked="f"/>
      </w:pict>
    </w:r>
  </w:p>
  <w:p w:rsidR="0033588E" w:rsidRPr="0031432F" w:rsidRDefault="0033588E" w:rsidP="00EB2B90">
    <w:pPr>
      <w:tabs>
        <w:tab w:val="center" w:pos="4680"/>
      </w:tabs>
    </w:pPr>
    <w:r>
      <w:tab/>
      <w:t xml:space="preserve">- </w:t>
    </w:r>
    <w:fldSimple w:instr=" PAGE   \* MERGEFORMAT ">
      <w:r w:rsidR="00A5349A">
        <w:rPr>
          <w:noProof/>
        </w:rPr>
        <w:t>1326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88E" w:rsidRDefault="0033588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233E">
      <w:rPr>
        <w:lang w:val="fr-CA"/>
      </w:rPr>
      <w:pict>
        <v:rect id="_x0000_i1060" style="width:480.95pt;height:1pt" o:hralign="center" o:hrstd="t" o:hrnoshade="t" o:hr="t" fillcolor="black [3213]" stroked="f"/>
      </w:pict>
    </w:r>
  </w:p>
  <w:p w:rsidR="0033588E" w:rsidRDefault="0033588E"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pPr>
      <w:pStyle w:val="Footer"/>
      <w:rPr>
        <w:lang w:val="fr-CA"/>
      </w:rPr>
    </w:pPr>
    <w:r w:rsidRPr="00BA233E">
      <w:rPr>
        <w:lang w:val="fr-CA"/>
      </w:rPr>
      <w:pict>
        <v:rect id="_x0000_i1061" style="width:480.95pt;height:1pt" o:hralign="center" o:hrstd="t" o:hrnoshade="t" o:hr="t" fillcolor="black [3213]" stroked="f"/>
      </w:pict>
    </w:r>
  </w:p>
  <w:p w:rsidR="0033588E" w:rsidRDefault="0033588E" w:rsidP="00EB2B90">
    <w:pPr>
      <w:tabs>
        <w:tab w:val="center" w:pos="4680"/>
      </w:tabs>
    </w:pPr>
    <w:r>
      <w:tab/>
      <w:t xml:space="preserve">- </w:t>
    </w:r>
    <w:fldSimple w:instr=" PAGE   \* MERGEFORMAT ">
      <w:r w:rsidR="00A5349A">
        <w:rPr>
          <w:noProof/>
        </w:rPr>
        <w:t>1331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88E" w:rsidRDefault="0033588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732DB7">
    <w:r>
      <w:pict>
        <v:rect id="_x0000_i1063" style="width:480.95pt;height:1pt" o:hralign="center" o:hrstd="t" o:hrnoshade="t" o:hr="t" fillcolor="black" stroked="f"/>
      </w:pict>
    </w:r>
  </w:p>
  <w:p w:rsidR="0033588E" w:rsidRDefault="0033588E">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pPr>
      <w:pStyle w:val="Footer"/>
    </w:pPr>
    <w:r>
      <w:pict>
        <v:rect id="_x0000_i1064" style="width:480.95pt;height:1pt" o:hralign="center" o:hrstd="t" o:hrnoshade="t" o:hr="t" fillcolor="black [3213]" stroked="f"/>
      </w:pict>
    </w:r>
  </w:p>
  <w:p w:rsidR="0033588E" w:rsidRPr="003C2C0F" w:rsidRDefault="0033588E" w:rsidP="00697C62">
    <w:pPr>
      <w:tabs>
        <w:tab w:val="center" w:pos="4680"/>
      </w:tabs>
    </w:pPr>
    <w:r>
      <w:tab/>
      <w:t xml:space="preserve">- </w:t>
    </w:r>
    <w:fldSimple w:instr=" PAGE   \* MERGEFORMAT ">
      <w:r w:rsidR="00A5349A">
        <w:rPr>
          <w:noProof/>
        </w:rPr>
        <w:t>1332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88E" w:rsidRDefault="0033588E">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588E" w:rsidRDefault="00BA2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7" style="width:480.95pt;height:1pt" o:hralign="center" o:hrstd="t" o:hrnoshade="t" o:hr="t" fillcolor="black [3213]" stroked="f"/>
      </w:pict>
    </w:r>
  </w:p>
  <w:p w:rsidR="0033588E" w:rsidRDefault="0033588E" w:rsidP="00782AE4">
    <w:pPr>
      <w:tabs>
        <w:tab w:val="center" w:pos="4680"/>
      </w:tabs>
    </w:pPr>
    <w:r>
      <w:tab/>
      <w:t xml:space="preserve">- </w:t>
    </w:r>
    <w:r w:rsidR="00BA233E" w:rsidRPr="001775C1">
      <w:rPr>
        <w:szCs w:val="24"/>
      </w:rPr>
      <w:fldChar w:fldCharType="begin"/>
    </w:r>
    <w:r w:rsidRPr="001775C1">
      <w:rPr>
        <w:szCs w:val="24"/>
      </w:rPr>
      <w:instrText xml:space="preserve"> PAGE   \* MERGEFORMAT </w:instrText>
    </w:r>
    <w:r w:rsidR="00BA233E" w:rsidRPr="001775C1">
      <w:rPr>
        <w:szCs w:val="24"/>
      </w:rPr>
      <w:fldChar w:fldCharType="separate"/>
    </w:r>
    <w:r w:rsidR="00A5349A">
      <w:rPr>
        <w:noProof/>
        <w:szCs w:val="24"/>
      </w:rPr>
      <w:t>1339</w:t>
    </w:r>
    <w:r w:rsidR="00BA233E"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782AE4">
    <w:pPr>
      <w:tabs>
        <w:tab w:val="center" w:pos="4680"/>
      </w:tabs>
    </w:pPr>
    <w:r>
      <w:pict>
        <v:rect id="_x0000_i1068" style="width:480.95pt;height:1pt" o:hralign="center" o:hrstd="t" o:hrnoshade="t" o:hr="t" fillcolor="black [3213]" stroked="f"/>
      </w:pict>
    </w:r>
  </w:p>
  <w:p w:rsidR="0033588E" w:rsidRDefault="0033588E" w:rsidP="00782AE4">
    <w:pPr>
      <w:tabs>
        <w:tab w:val="center" w:pos="4680"/>
      </w:tabs>
    </w:pPr>
    <w:r>
      <w:tab/>
      <w:t xml:space="preserve">- </w:t>
    </w:r>
    <w:r w:rsidR="00BA233E" w:rsidRPr="001775C1">
      <w:rPr>
        <w:szCs w:val="24"/>
      </w:rPr>
      <w:fldChar w:fldCharType="begin"/>
    </w:r>
    <w:r w:rsidRPr="001775C1">
      <w:rPr>
        <w:szCs w:val="24"/>
      </w:rPr>
      <w:instrText xml:space="preserve"> PAGE   \* MERGEFORMAT </w:instrText>
    </w:r>
    <w:r w:rsidR="00BA233E" w:rsidRPr="001775C1">
      <w:rPr>
        <w:szCs w:val="24"/>
      </w:rPr>
      <w:fldChar w:fldCharType="separate"/>
    </w:r>
    <w:r w:rsidR="00A5349A">
      <w:rPr>
        <w:noProof/>
        <w:szCs w:val="24"/>
      </w:rPr>
      <w:t>1333</w:t>
    </w:r>
    <w:r w:rsidR="00BA233E"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Pr="00924065" w:rsidRDefault="0033588E"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A87207">
    <w:pPr>
      <w:pStyle w:val="Footer"/>
    </w:pPr>
    <w:r>
      <w:pict>
        <v:rect id="_x0000_i1037" style="width:480.95pt;height:1pt" o:hralign="center" o:hrstd="t" o:hrnoshade="t" o:hr="t" fillcolor="black [3213]" stroked="f"/>
      </w:pict>
    </w:r>
  </w:p>
  <w:p w:rsidR="0033588E" w:rsidRPr="00B7374B" w:rsidRDefault="0033588E" w:rsidP="00B7374B">
    <w:pPr>
      <w:tabs>
        <w:tab w:val="center" w:pos="4680"/>
      </w:tabs>
      <w:rPr>
        <w:szCs w:val="24"/>
      </w:rPr>
    </w:pPr>
    <w:r w:rsidRPr="00954D22">
      <w:rPr>
        <w:szCs w:val="24"/>
      </w:rPr>
      <w:tab/>
      <w:t xml:space="preserve">- </w:t>
    </w:r>
    <w:r w:rsidR="00BA233E" w:rsidRPr="00954D22">
      <w:rPr>
        <w:szCs w:val="24"/>
      </w:rPr>
      <w:fldChar w:fldCharType="begin"/>
    </w:r>
    <w:r w:rsidRPr="00954D22">
      <w:rPr>
        <w:szCs w:val="24"/>
      </w:rPr>
      <w:instrText xml:space="preserve"> PAGE   \* MERGEFORMAT </w:instrText>
    </w:r>
    <w:r w:rsidR="00BA233E" w:rsidRPr="00954D22">
      <w:rPr>
        <w:szCs w:val="24"/>
      </w:rPr>
      <w:fldChar w:fldCharType="separate"/>
    </w:r>
    <w:r w:rsidR="00A5349A">
      <w:rPr>
        <w:noProof/>
        <w:szCs w:val="24"/>
      </w:rPr>
      <w:t>1316</w:t>
    </w:r>
    <w:r w:rsidR="00BA233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755F22">
    <w:pPr>
      <w:tabs>
        <w:tab w:val="left" w:pos="-1440"/>
        <w:tab w:val="left" w:pos="-720"/>
      </w:tabs>
    </w:pPr>
    <w:r>
      <w:pict>
        <v:rect id="_x0000_i1038" style="width:480.95pt;height:1pt" o:hralign="center" o:hrstd="t" o:hrnoshade="t" o:hr="t" fillcolor="black [3213]" stroked="f"/>
      </w:pict>
    </w:r>
  </w:p>
  <w:p w:rsidR="0033588E" w:rsidRPr="00954D22" w:rsidRDefault="0033588E" w:rsidP="00B7374B">
    <w:pPr>
      <w:tabs>
        <w:tab w:val="center" w:pos="4680"/>
      </w:tabs>
      <w:rPr>
        <w:szCs w:val="24"/>
      </w:rPr>
    </w:pPr>
    <w:r w:rsidRPr="00954D22">
      <w:rPr>
        <w:szCs w:val="24"/>
      </w:rPr>
      <w:tab/>
      <w:t xml:space="preserve">- </w:t>
    </w:r>
    <w:r w:rsidR="00BA233E">
      <w:rPr>
        <w:szCs w:val="24"/>
      </w:rPr>
      <w:fldChar w:fldCharType="begin"/>
    </w:r>
    <w:r>
      <w:rPr>
        <w:szCs w:val="24"/>
      </w:rPr>
      <w:instrText xml:space="preserve"> PAGE   \* MERGEFORMAT </w:instrText>
    </w:r>
    <w:r w:rsidR="00BA233E">
      <w:rPr>
        <w:szCs w:val="24"/>
      </w:rPr>
      <w:fldChar w:fldCharType="separate"/>
    </w:r>
    <w:r w:rsidR="00A5349A">
      <w:rPr>
        <w:noProof/>
        <w:szCs w:val="24"/>
      </w:rPr>
      <w:t>1315</w:t>
    </w:r>
    <w:r w:rsidR="00BA233E">
      <w:rPr>
        <w:szCs w:val="24"/>
      </w:rPr>
      <w:fldChar w:fldCharType="end"/>
    </w:r>
    <w:r w:rsidRPr="00954D22">
      <w:rPr>
        <w:szCs w:val="24"/>
      </w:rPr>
      <w:t xml:space="preserve"> -</w:t>
    </w:r>
  </w:p>
  <w:p w:rsidR="0033588E" w:rsidRDefault="0033588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A87207">
    <w:pPr>
      <w:pStyle w:val="Footer"/>
    </w:pPr>
    <w:r>
      <w:pict>
        <v:rect id="_x0000_i1040" style="width:480.95pt;height:1pt" o:hralign="center" o:hrstd="t" o:hrnoshade="t" o:hr="t" fillcolor="black [3213]" stroked="f"/>
      </w:pict>
    </w:r>
  </w:p>
  <w:p w:rsidR="0033588E" w:rsidRPr="00B7374B" w:rsidRDefault="0033588E" w:rsidP="00B7374B">
    <w:pPr>
      <w:tabs>
        <w:tab w:val="center" w:pos="4680"/>
      </w:tabs>
      <w:rPr>
        <w:szCs w:val="24"/>
      </w:rPr>
    </w:pPr>
    <w:r w:rsidRPr="00954D22">
      <w:rPr>
        <w:szCs w:val="24"/>
      </w:rPr>
      <w:tab/>
      <w:t xml:space="preserve">- </w:t>
    </w:r>
    <w:r w:rsidR="00BA233E" w:rsidRPr="00954D22">
      <w:rPr>
        <w:szCs w:val="24"/>
      </w:rPr>
      <w:fldChar w:fldCharType="begin"/>
    </w:r>
    <w:r w:rsidRPr="00954D22">
      <w:rPr>
        <w:szCs w:val="24"/>
      </w:rPr>
      <w:instrText xml:space="preserve"> PAGE   \* MERGEFORMAT </w:instrText>
    </w:r>
    <w:r w:rsidR="00BA233E" w:rsidRPr="00954D22">
      <w:rPr>
        <w:szCs w:val="24"/>
      </w:rPr>
      <w:fldChar w:fldCharType="separate"/>
    </w:r>
    <w:r>
      <w:rPr>
        <w:noProof/>
        <w:szCs w:val="24"/>
      </w:rPr>
      <w:t>1318</w:t>
    </w:r>
    <w:r w:rsidR="00BA233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33588E" w:rsidRPr="00954D22" w:rsidRDefault="0033588E" w:rsidP="00B7374B">
    <w:pPr>
      <w:tabs>
        <w:tab w:val="center" w:pos="4680"/>
      </w:tabs>
      <w:rPr>
        <w:szCs w:val="24"/>
      </w:rPr>
    </w:pPr>
    <w:r w:rsidRPr="00954D22">
      <w:rPr>
        <w:szCs w:val="24"/>
      </w:rPr>
      <w:tab/>
      <w:t xml:space="preserve">- </w:t>
    </w:r>
    <w:r w:rsidR="00BA233E" w:rsidRPr="00954D22">
      <w:rPr>
        <w:szCs w:val="24"/>
      </w:rPr>
      <w:fldChar w:fldCharType="begin"/>
    </w:r>
    <w:r w:rsidRPr="00954D22">
      <w:rPr>
        <w:szCs w:val="24"/>
      </w:rPr>
      <w:instrText xml:space="preserve"> PAGE   \* MERGEFORMAT </w:instrText>
    </w:r>
    <w:r w:rsidR="00BA233E" w:rsidRPr="00954D22">
      <w:rPr>
        <w:szCs w:val="24"/>
      </w:rPr>
      <w:fldChar w:fldCharType="separate"/>
    </w:r>
    <w:r w:rsidR="00A5349A">
      <w:rPr>
        <w:noProof/>
        <w:szCs w:val="24"/>
      </w:rPr>
      <w:t>1317</w:t>
    </w:r>
    <w:r w:rsidR="00BA233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588E" w:rsidRDefault="0033588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BA2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233E">
      <w:rPr>
        <w:lang w:val="fr-CA"/>
      </w:rPr>
      <w:pict>
        <v:rect id="_x0000_i1050" style="width:480.95pt;height:1pt" o:hralign="center" o:hrstd="t" o:hrnoshade="t" o:hr="t" fillcolor="black [3213]" stroked="f"/>
      </w:pict>
    </w:r>
  </w:p>
  <w:p w:rsidR="0033588E" w:rsidRPr="0009648D" w:rsidRDefault="0033588E" w:rsidP="00ED7E83">
    <w:pPr>
      <w:tabs>
        <w:tab w:val="center" w:pos="4680"/>
      </w:tabs>
    </w:pPr>
    <w:r>
      <w:tab/>
    </w:r>
    <w:r w:rsidRPr="0009648D">
      <w:t xml:space="preserve">- </w:t>
    </w:r>
    <w:fldSimple w:instr=" PAGE   \* MERGEFORMAT ">
      <w:r w:rsidR="00A5349A">
        <w:rPr>
          <w:noProof/>
        </w:rPr>
        <w:t>1325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8E" w:rsidRDefault="0033588E" w:rsidP="00A87207">
      <w:r>
        <w:separator/>
      </w:r>
    </w:p>
  </w:footnote>
  <w:footnote w:type="continuationSeparator" w:id="0">
    <w:p w:rsidR="0033588E" w:rsidRDefault="0033588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3588E">
      <w:tc>
        <w:tcPr>
          <w:tcW w:w="423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3588E"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88E"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3588E">
      <w:trPr>
        <w:gridAfter w:val="2"/>
        <w:wAfter w:w="5250" w:type="dxa"/>
      </w:trPr>
      <w:tc>
        <w:tcPr>
          <w:tcW w:w="4230" w:type="dxa"/>
          <w:tcMar>
            <w:left w:w="0" w:type="dxa"/>
            <w:right w:w="0" w:type="dxa"/>
          </w:tcMar>
        </w:tcPr>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3588E" w:rsidRPr="00755F22" w:rsidTr="00245129">
      <w:tc>
        <w:tcPr>
          <w:tcW w:w="4230" w:type="dxa"/>
          <w:tcMar>
            <w:left w:w="0" w:type="dxa"/>
            <w:right w:w="0" w:type="dxa"/>
          </w:tcMar>
        </w:tcPr>
        <w:p w:rsidR="0033588E" w:rsidRPr="00755F22" w:rsidRDefault="0033588E" w:rsidP="00831CA9">
          <w:pPr>
            <w:keepNext/>
            <w:keepLines/>
            <w:rPr>
              <w:sz w:val="20"/>
              <w:szCs w:val="20"/>
            </w:rPr>
          </w:pPr>
          <w:r w:rsidRPr="00755F22">
            <w:rPr>
              <w:sz w:val="20"/>
              <w:szCs w:val="20"/>
            </w:rPr>
            <w:t>MOTIONS</w:t>
          </w:r>
        </w:p>
      </w:tc>
      <w:tc>
        <w:tcPr>
          <w:tcW w:w="1170" w:type="dxa"/>
          <w:tcMar>
            <w:left w:w="0" w:type="dxa"/>
            <w:right w:w="0" w:type="dxa"/>
          </w:tcMar>
        </w:tcPr>
        <w:p w:rsidR="0033588E" w:rsidRPr="00755F22" w:rsidRDefault="0033588E" w:rsidP="00831CA9">
          <w:pPr>
            <w:keepLines/>
            <w:jc w:val="center"/>
            <w:rPr>
              <w:sz w:val="20"/>
              <w:szCs w:val="20"/>
            </w:rPr>
          </w:pPr>
        </w:p>
        <w:p w:rsidR="0033588E" w:rsidRPr="00755F22" w:rsidRDefault="0033588E" w:rsidP="00831CA9">
          <w:pPr>
            <w:keepLines/>
            <w:tabs>
              <w:tab w:val="left" w:pos="-1440"/>
              <w:tab w:val="left" w:pos="-720"/>
            </w:tabs>
            <w:jc w:val="center"/>
            <w:rPr>
              <w:sz w:val="20"/>
              <w:szCs w:val="20"/>
            </w:rPr>
          </w:pPr>
        </w:p>
      </w:tc>
      <w:tc>
        <w:tcPr>
          <w:tcW w:w="4080" w:type="dxa"/>
          <w:tcMar>
            <w:left w:w="0" w:type="dxa"/>
            <w:right w:w="0" w:type="dxa"/>
          </w:tcMar>
        </w:tcPr>
        <w:p w:rsidR="0033588E" w:rsidRPr="00BA6468" w:rsidRDefault="0033588E" w:rsidP="00BA6468">
          <w:pPr>
            <w:keepLines/>
            <w:rPr>
              <w:sz w:val="20"/>
              <w:szCs w:val="20"/>
              <w:lang w:val="fr-CA"/>
            </w:rPr>
          </w:pPr>
          <w:r w:rsidRPr="00BA6468">
            <w:rPr>
              <w:sz w:val="20"/>
              <w:szCs w:val="20"/>
              <w:lang w:val="fr-CA"/>
            </w:rPr>
            <w:t>REQUÊTES</w:t>
          </w:r>
        </w:p>
      </w:tc>
    </w:tr>
  </w:tbl>
  <w:p w:rsidR="0033588E" w:rsidRDefault="0033588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3588E" w:rsidRPr="001A2926">
      <w:tc>
        <w:tcPr>
          <w:tcW w:w="420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88E" w:rsidRPr="00B01A03"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3588E" w:rsidRPr="00B01A03"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3588E" w:rsidRPr="00B01A03"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3588E" w:rsidRPr="001A2926" w:rsidTr="00245129">
      <w:tc>
        <w:tcPr>
          <w:tcW w:w="4200" w:type="dxa"/>
          <w:tcMar>
            <w:left w:w="0" w:type="dxa"/>
            <w:right w:w="0" w:type="dxa"/>
          </w:tcMar>
        </w:tcPr>
        <w:p w:rsidR="0033588E" w:rsidRPr="00F40249" w:rsidRDefault="0033588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3588E" w:rsidRDefault="0033588E" w:rsidP="00102926">
          <w:pPr>
            <w:keepNext/>
            <w:keepLines/>
            <w:tabs>
              <w:tab w:val="left" w:pos="-1440"/>
              <w:tab w:val="left" w:pos="-720"/>
            </w:tabs>
            <w:jc w:val="center"/>
            <w:rPr>
              <w:sz w:val="20"/>
              <w:szCs w:val="20"/>
            </w:rPr>
          </w:pPr>
        </w:p>
        <w:p w:rsidR="0033588E" w:rsidRDefault="0033588E" w:rsidP="00102926">
          <w:pPr>
            <w:keepNext/>
            <w:keepLines/>
            <w:tabs>
              <w:tab w:val="left" w:pos="-1440"/>
              <w:tab w:val="left" w:pos="-720"/>
            </w:tabs>
            <w:jc w:val="center"/>
            <w:rPr>
              <w:sz w:val="20"/>
              <w:szCs w:val="20"/>
            </w:rPr>
          </w:pPr>
        </w:p>
        <w:p w:rsidR="0033588E" w:rsidRPr="00F40249" w:rsidRDefault="0033588E" w:rsidP="00102926">
          <w:pPr>
            <w:keepNext/>
            <w:keepLines/>
            <w:tabs>
              <w:tab w:val="left" w:pos="-1440"/>
              <w:tab w:val="left" w:pos="-720"/>
            </w:tabs>
            <w:jc w:val="center"/>
            <w:rPr>
              <w:sz w:val="20"/>
              <w:szCs w:val="20"/>
            </w:rPr>
          </w:pPr>
        </w:p>
      </w:tc>
      <w:tc>
        <w:tcPr>
          <w:tcW w:w="4230" w:type="dxa"/>
          <w:tcMar>
            <w:left w:w="0" w:type="dxa"/>
            <w:right w:w="0" w:type="dxa"/>
          </w:tcMar>
        </w:tcPr>
        <w:p w:rsidR="0033588E" w:rsidRPr="00F40249" w:rsidRDefault="0033588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3588E" w:rsidRPr="00B01A03" w:rsidRDefault="0033588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3588E" w:rsidRPr="001A2926">
      <w:tc>
        <w:tcPr>
          <w:tcW w:w="420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3588E" w:rsidRPr="003C2C0F"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3588E" w:rsidRPr="003C2C0F"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3588E" w:rsidRPr="003C2C0F"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3588E" w:rsidRPr="001A2926" w:rsidTr="00245129">
      <w:tc>
        <w:tcPr>
          <w:tcW w:w="4200" w:type="dxa"/>
          <w:tcMar>
            <w:left w:w="0" w:type="dxa"/>
            <w:right w:w="0" w:type="dxa"/>
          </w:tcMar>
        </w:tcPr>
        <w:p w:rsidR="0033588E" w:rsidRPr="00FF6EEC" w:rsidRDefault="0033588E" w:rsidP="00FF6EEC">
          <w:pPr>
            <w:rPr>
              <w:sz w:val="20"/>
              <w:szCs w:val="20"/>
            </w:rPr>
          </w:pPr>
          <w:r w:rsidRPr="00FF6EEC">
            <w:rPr>
              <w:sz w:val="20"/>
              <w:szCs w:val="20"/>
            </w:rPr>
            <w:t>PRONOUNCEMENTS OF APPEALS RESERVED</w:t>
          </w:r>
        </w:p>
      </w:tc>
      <w:tc>
        <w:tcPr>
          <w:tcW w:w="1200" w:type="dxa"/>
          <w:tcMar>
            <w:left w:w="0" w:type="dxa"/>
            <w:right w:w="0" w:type="dxa"/>
          </w:tcMar>
        </w:tcPr>
        <w:p w:rsidR="0033588E" w:rsidRPr="00FF6EEC" w:rsidRDefault="0033588E" w:rsidP="00FF6EEC">
          <w:pPr>
            <w:jc w:val="center"/>
            <w:rPr>
              <w:sz w:val="20"/>
              <w:szCs w:val="20"/>
            </w:rPr>
          </w:pPr>
        </w:p>
        <w:p w:rsidR="0033588E" w:rsidRPr="00FF6EEC" w:rsidRDefault="0033588E" w:rsidP="00FF6EEC">
          <w:pPr>
            <w:jc w:val="center"/>
            <w:rPr>
              <w:sz w:val="20"/>
              <w:szCs w:val="20"/>
            </w:rPr>
          </w:pPr>
        </w:p>
        <w:p w:rsidR="0033588E" w:rsidRPr="00FF6EEC" w:rsidRDefault="0033588E" w:rsidP="00FF6EEC">
          <w:pPr>
            <w:jc w:val="center"/>
            <w:rPr>
              <w:sz w:val="20"/>
              <w:szCs w:val="20"/>
            </w:rPr>
          </w:pPr>
        </w:p>
      </w:tc>
      <w:tc>
        <w:tcPr>
          <w:tcW w:w="4080" w:type="dxa"/>
          <w:tcMar>
            <w:left w:w="0" w:type="dxa"/>
            <w:right w:w="0" w:type="dxa"/>
          </w:tcMar>
        </w:tcPr>
        <w:p w:rsidR="0033588E" w:rsidRPr="00FF6EEC" w:rsidRDefault="0033588E" w:rsidP="00FF6EEC">
          <w:pPr>
            <w:rPr>
              <w:sz w:val="20"/>
              <w:szCs w:val="20"/>
              <w:lang w:val="fr-CA"/>
            </w:rPr>
          </w:pPr>
          <w:r w:rsidRPr="00FF6EEC">
            <w:rPr>
              <w:sz w:val="20"/>
              <w:szCs w:val="20"/>
              <w:lang w:val="fr-CA"/>
            </w:rPr>
            <w:t>JUGEMENTS RENDUS SUR LES APPELS EN DÉLIBÉRÉ</w:t>
          </w:r>
        </w:p>
      </w:tc>
    </w:tr>
  </w:tbl>
  <w:p w:rsidR="0033588E" w:rsidRPr="003C2C0F" w:rsidRDefault="0033588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3588E">
      <w:tc>
        <w:tcPr>
          <w:tcW w:w="423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3588E"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3588E"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3588E" w:rsidRPr="00782AE4" w:rsidTr="00245129">
      <w:tc>
        <w:tcPr>
          <w:tcW w:w="4230" w:type="dxa"/>
          <w:tcMar>
            <w:left w:w="0" w:type="dxa"/>
            <w:right w:w="0" w:type="dxa"/>
          </w:tcMar>
        </w:tcPr>
        <w:p w:rsidR="0033588E" w:rsidRPr="00782AE4" w:rsidRDefault="0033588E" w:rsidP="00102926">
          <w:pPr>
            <w:keepNext/>
            <w:keepLines/>
            <w:tabs>
              <w:tab w:val="left" w:pos="-1440"/>
              <w:tab w:val="left" w:pos="-720"/>
            </w:tabs>
            <w:rPr>
              <w:sz w:val="20"/>
              <w:szCs w:val="20"/>
            </w:rPr>
          </w:pPr>
          <w:r w:rsidRPr="00782AE4">
            <w:rPr>
              <w:sz w:val="20"/>
              <w:szCs w:val="20"/>
            </w:rPr>
            <w:t xml:space="preserve">HEADNOTES OF RECENT </w:t>
          </w:r>
        </w:p>
        <w:p w:rsidR="0033588E" w:rsidRPr="00782AE4"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3588E" w:rsidRDefault="0033588E" w:rsidP="00102926">
          <w:pPr>
            <w:keepNext/>
            <w:keepLines/>
            <w:tabs>
              <w:tab w:val="left" w:pos="-1440"/>
              <w:tab w:val="left" w:pos="-720"/>
            </w:tabs>
            <w:jc w:val="center"/>
            <w:rPr>
              <w:sz w:val="20"/>
              <w:szCs w:val="20"/>
            </w:rPr>
          </w:pPr>
        </w:p>
        <w:p w:rsidR="0033588E" w:rsidRDefault="0033588E" w:rsidP="00102926">
          <w:pPr>
            <w:keepNext/>
            <w:keepLines/>
            <w:tabs>
              <w:tab w:val="left" w:pos="-1440"/>
              <w:tab w:val="left" w:pos="-720"/>
            </w:tabs>
            <w:jc w:val="center"/>
            <w:rPr>
              <w:sz w:val="20"/>
              <w:szCs w:val="20"/>
            </w:rPr>
          </w:pPr>
        </w:p>
        <w:p w:rsidR="0033588E" w:rsidRPr="00782AE4" w:rsidRDefault="0033588E" w:rsidP="00102926">
          <w:pPr>
            <w:keepNext/>
            <w:keepLines/>
            <w:tabs>
              <w:tab w:val="left" w:pos="-1440"/>
              <w:tab w:val="left" w:pos="-720"/>
            </w:tabs>
            <w:jc w:val="center"/>
            <w:rPr>
              <w:sz w:val="20"/>
              <w:szCs w:val="20"/>
            </w:rPr>
          </w:pPr>
        </w:p>
      </w:tc>
      <w:tc>
        <w:tcPr>
          <w:tcW w:w="4080" w:type="dxa"/>
          <w:tcMar>
            <w:left w:w="0" w:type="dxa"/>
            <w:right w:w="0" w:type="dxa"/>
          </w:tcMar>
        </w:tcPr>
        <w:p w:rsidR="0033588E" w:rsidRPr="00102926"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3588E" w:rsidRPr="00782AE4" w:rsidRDefault="0033588E" w:rsidP="00102926">
          <w:pPr>
            <w:keepLines/>
            <w:tabs>
              <w:tab w:val="left" w:pos="-1440"/>
              <w:tab w:val="left" w:pos="-720"/>
            </w:tabs>
            <w:rPr>
              <w:sz w:val="20"/>
              <w:szCs w:val="20"/>
            </w:rPr>
          </w:pPr>
          <w:r w:rsidRPr="00102926">
            <w:rPr>
              <w:sz w:val="20"/>
              <w:szCs w:val="20"/>
              <w:lang w:val="fr-CA"/>
            </w:rPr>
            <w:t>RÉCENTS</w:t>
          </w:r>
        </w:p>
      </w:tc>
    </w:tr>
  </w:tbl>
  <w:p w:rsidR="0033588E" w:rsidRDefault="0033588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3588E" w:rsidRPr="0044776A" w:rsidTr="00245129">
      <w:tc>
        <w:tcPr>
          <w:tcW w:w="4290" w:type="dxa"/>
          <w:tcMar>
            <w:left w:w="0" w:type="dxa"/>
            <w:right w:w="0" w:type="dxa"/>
          </w:tcMar>
        </w:tcPr>
        <w:p w:rsidR="0033588E" w:rsidRPr="0044776A" w:rsidRDefault="0033588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3588E" w:rsidRPr="0044776A" w:rsidRDefault="0033588E" w:rsidP="002E2327">
          <w:pPr>
            <w:keepNext/>
            <w:keepLines/>
            <w:tabs>
              <w:tab w:val="left" w:pos="-1440"/>
              <w:tab w:val="left" w:pos="-720"/>
            </w:tabs>
            <w:jc w:val="center"/>
            <w:rPr>
              <w:sz w:val="20"/>
              <w:szCs w:val="20"/>
            </w:rPr>
          </w:pPr>
        </w:p>
        <w:p w:rsidR="0033588E" w:rsidRPr="0044776A" w:rsidRDefault="0033588E" w:rsidP="002E2327">
          <w:pPr>
            <w:keepNext/>
            <w:keepLines/>
            <w:tabs>
              <w:tab w:val="left" w:pos="-1440"/>
              <w:tab w:val="left" w:pos="-720"/>
            </w:tabs>
            <w:jc w:val="center"/>
            <w:rPr>
              <w:sz w:val="20"/>
              <w:szCs w:val="20"/>
            </w:rPr>
          </w:pPr>
        </w:p>
        <w:p w:rsidR="0033588E" w:rsidRPr="0044776A" w:rsidRDefault="0033588E" w:rsidP="002E2327">
          <w:pPr>
            <w:keepNext/>
            <w:keepLines/>
            <w:tabs>
              <w:tab w:val="left" w:pos="-1440"/>
              <w:tab w:val="left" w:pos="-720"/>
            </w:tabs>
            <w:jc w:val="center"/>
            <w:rPr>
              <w:sz w:val="20"/>
              <w:szCs w:val="20"/>
            </w:rPr>
          </w:pPr>
        </w:p>
      </w:tc>
      <w:tc>
        <w:tcPr>
          <w:tcW w:w="4320" w:type="dxa"/>
          <w:tcMar>
            <w:left w:w="0" w:type="dxa"/>
            <w:right w:w="0" w:type="dxa"/>
          </w:tcMar>
        </w:tcPr>
        <w:p w:rsidR="0033588E" w:rsidRPr="0044776A" w:rsidRDefault="0033588E" w:rsidP="002E2327">
          <w:pPr>
            <w:keepLines/>
            <w:rPr>
              <w:sz w:val="20"/>
              <w:szCs w:val="20"/>
              <w:lang w:val="fr-CA"/>
            </w:rPr>
          </w:pPr>
          <w:r w:rsidRPr="0044776A">
            <w:rPr>
              <w:sz w:val="20"/>
              <w:szCs w:val="20"/>
              <w:lang w:val="fr-CA"/>
            </w:rPr>
            <w:t>DEMANDES D'AUTORISATION D'APPEL DÉPOSÉES</w:t>
          </w:r>
        </w:p>
      </w:tc>
    </w:tr>
  </w:tbl>
  <w:p w:rsidR="0033588E" w:rsidRDefault="003358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3588E" w:rsidRPr="001A2926" w:rsidTr="00245129">
      <w:tc>
        <w:tcPr>
          <w:tcW w:w="4200" w:type="dxa"/>
          <w:tcMar>
            <w:left w:w="0" w:type="dxa"/>
            <w:right w:w="0" w:type="dxa"/>
          </w:tcMar>
        </w:tcPr>
        <w:p w:rsidR="0033588E" w:rsidRPr="0044776A" w:rsidRDefault="0033588E" w:rsidP="0044776A">
          <w:pPr>
            <w:keepNext/>
            <w:keepLines/>
            <w:widowControl w:val="0"/>
            <w:rPr>
              <w:sz w:val="20"/>
              <w:szCs w:val="20"/>
            </w:rPr>
          </w:pPr>
          <w:r>
            <w:rPr>
              <w:sz w:val="20"/>
              <w:szCs w:val="20"/>
            </w:rPr>
            <w:t>APPLICATIONS FOR LEAVE</w:t>
          </w:r>
        </w:p>
        <w:p w:rsidR="0033588E" w:rsidRPr="0044776A" w:rsidRDefault="0033588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3588E" w:rsidRPr="0044776A" w:rsidRDefault="0033588E" w:rsidP="0044776A">
          <w:pPr>
            <w:keepNext/>
            <w:keepLines/>
            <w:widowControl w:val="0"/>
            <w:jc w:val="center"/>
            <w:rPr>
              <w:sz w:val="20"/>
              <w:szCs w:val="20"/>
            </w:rPr>
          </w:pPr>
        </w:p>
        <w:p w:rsidR="0033588E" w:rsidRPr="0044776A" w:rsidRDefault="0033588E" w:rsidP="0044776A">
          <w:pPr>
            <w:keepNext/>
            <w:keepLines/>
            <w:widowControl w:val="0"/>
            <w:jc w:val="center"/>
            <w:rPr>
              <w:sz w:val="20"/>
              <w:szCs w:val="20"/>
            </w:rPr>
          </w:pPr>
        </w:p>
        <w:p w:rsidR="0033588E" w:rsidRPr="0044776A" w:rsidRDefault="0033588E" w:rsidP="0044776A">
          <w:pPr>
            <w:keepNext/>
            <w:keepLines/>
            <w:widowControl w:val="0"/>
            <w:jc w:val="center"/>
            <w:rPr>
              <w:sz w:val="20"/>
              <w:szCs w:val="20"/>
            </w:rPr>
          </w:pPr>
        </w:p>
      </w:tc>
      <w:tc>
        <w:tcPr>
          <w:tcW w:w="4080" w:type="dxa"/>
          <w:tcMar>
            <w:left w:w="0" w:type="dxa"/>
            <w:right w:w="0" w:type="dxa"/>
          </w:tcMar>
        </w:tcPr>
        <w:p w:rsidR="0033588E" w:rsidRPr="0044776A" w:rsidRDefault="0033588E" w:rsidP="0044776A">
          <w:pPr>
            <w:keepLines/>
            <w:widowControl w:val="0"/>
            <w:rPr>
              <w:sz w:val="20"/>
              <w:szCs w:val="20"/>
              <w:lang w:val="fr-CA"/>
            </w:rPr>
          </w:pPr>
          <w:r w:rsidRPr="0044776A">
            <w:rPr>
              <w:sz w:val="20"/>
              <w:szCs w:val="20"/>
              <w:lang w:val="fr-CA"/>
            </w:rPr>
            <w:t>DEMANDES SOUMISES À LA COUR DEPUIS LA DERNIÈRE PARUTION</w:t>
          </w:r>
        </w:p>
        <w:p w:rsidR="0033588E" w:rsidRPr="0044776A" w:rsidRDefault="0033588E" w:rsidP="0044776A">
          <w:pPr>
            <w:widowControl w:val="0"/>
            <w:rPr>
              <w:sz w:val="20"/>
              <w:szCs w:val="20"/>
              <w:lang w:val="fr-CA"/>
            </w:rPr>
          </w:pPr>
        </w:p>
      </w:tc>
    </w:tr>
  </w:tbl>
  <w:p w:rsidR="0033588E" w:rsidRPr="002E2327" w:rsidRDefault="0033588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8E" w:rsidRDefault="0033588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3588E" w:rsidRPr="001A2926">
      <w:tc>
        <w:tcPr>
          <w:tcW w:w="4200" w:type="dxa"/>
          <w:tcMar>
            <w:left w:w="0" w:type="dxa"/>
            <w:right w:w="0" w:type="dxa"/>
          </w:tcMar>
        </w:tcPr>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3588E"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3588E"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588E" w:rsidRPr="00FF6BA5"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3588E" w:rsidRPr="00FF6BA5"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3588E" w:rsidRPr="00FF6BA5"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3588E" w:rsidRPr="00FF6BA5" w:rsidRDefault="00335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3588E" w:rsidRPr="001A2926" w:rsidTr="00245129">
      <w:tc>
        <w:tcPr>
          <w:tcW w:w="4200" w:type="dxa"/>
          <w:tcMar>
            <w:left w:w="0" w:type="dxa"/>
            <w:right w:w="0" w:type="dxa"/>
          </w:tcMar>
        </w:tcPr>
        <w:p w:rsidR="0033588E" w:rsidRPr="00755F22"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3588E" w:rsidRPr="00755F22" w:rsidRDefault="003358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3588E" w:rsidRPr="00755F22" w:rsidRDefault="003358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3588E" w:rsidRPr="00755F22" w:rsidRDefault="003358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3588E" w:rsidRPr="00755F22" w:rsidRDefault="003358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3588E" w:rsidRPr="00755F22" w:rsidRDefault="003358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3588E" w:rsidRPr="00FF6BA5" w:rsidRDefault="0033588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BD2D95"/>
    <w:multiLevelType w:val="hybridMultilevel"/>
    <w:tmpl w:val="D69CBB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8927"/>
  </w:hdrShapeDefaults>
  <w:footnotePr>
    <w:footnote w:id="-1"/>
    <w:footnote w:id="0"/>
  </w:footnotePr>
  <w:endnotePr>
    <w:endnote w:id="-1"/>
    <w:endnote w:id="0"/>
  </w:endnotePr>
  <w:compat/>
  <w:rsids>
    <w:rsidRoot w:val="00966241"/>
    <w:rsid w:val="00021907"/>
    <w:rsid w:val="0003085F"/>
    <w:rsid w:val="0003223B"/>
    <w:rsid w:val="000327B2"/>
    <w:rsid w:val="00091FA6"/>
    <w:rsid w:val="00096BD9"/>
    <w:rsid w:val="000A16B8"/>
    <w:rsid w:val="000B3C9A"/>
    <w:rsid w:val="000B40A2"/>
    <w:rsid w:val="000B4624"/>
    <w:rsid w:val="000B61B3"/>
    <w:rsid w:val="000C0ACD"/>
    <w:rsid w:val="000E4BC6"/>
    <w:rsid w:val="00102926"/>
    <w:rsid w:val="0010587F"/>
    <w:rsid w:val="00111C6B"/>
    <w:rsid w:val="0012102B"/>
    <w:rsid w:val="0013369E"/>
    <w:rsid w:val="00164E6D"/>
    <w:rsid w:val="001A2926"/>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868D0"/>
    <w:rsid w:val="002915ED"/>
    <w:rsid w:val="002A27D1"/>
    <w:rsid w:val="002A4AFA"/>
    <w:rsid w:val="002B516C"/>
    <w:rsid w:val="002D72EB"/>
    <w:rsid w:val="002E2199"/>
    <w:rsid w:val="002E2327"/>
    <w:rsid w:val="002E3583"/>
    <w:rsid w:val="002E5576"/>
    <w:rsid w:val="00331B52"/>
    <w:rsid w:val="0033588E"/>
    <w:rsid w:val="003359D3"/>
    <w:rsid w:val="00355967"/>
    <w:rsid w:val="00382C47"/>
    <w:rsid w:val="00384384"/>
    <w:rsid w:val="003866AE"/>
    <w:rsid w:val="003B3977"/>
    <w:rsid w:val="00432989"/>
    <w:rsid w:val="00440E24"/>
    <w:rsid w:val="0044776A"/>
    <w:rsid w:val="00460AFC"/>
    <w:rsid w:val="0047471F"/>
    <w:rsid w:val="004B195E"/>
    <w:rsid w:val="004B66B4"/>
    <w:rsid w:val="004B7F60"/>
    <w:rsid w:val="004C1AAC"/>
    <w:rsid w:val="004F090E"/>
    <w:rsid w:val="00527CC7"/>
    <w:rsid w:val="00556985"/>
    <w:rsid w:val="00566359"/>
    <w:rsid w:val="00566CE5"/>
    <w:rsid w:val="00571CA4"/>
    <w:rsid w:val="00582136"/>
    <w:rsid w:val="005C6840"/>
    <w:rsid w:val="005F263E"/>
    <w:rsid w:val="00600252"/>
    <w:rsid w:val="00612A40"/>
    <w:rsid w:val="00646102"/>
    <w:rsid w:val="00652D9C"/>
    <w:rsid w:val="00655DEA"/>
    <w:rsid w:val="006629DC"/>
    <w:rsid w:val="00675479"/>
    <w:rsid w:val="00680709"/>
    <w:rsid w:val="00696BF9"/>
    <w:rsid w:val="00697C62"/>
    <w:rsid w:val="006A329B"/>
    <w:rsid w:val="006A7EB8"/>
    <w:rsid w:val="006B6926"/>
    <w:rsid w:val="006C3F47"/>
    <w:rsid w:val="006C5602"/>
    <w:rsid w:val="006C5F7A"/>
    <w:rsid w:val="006D72E7"/>
    <w:rsid w:val="006E06AF"/>
    <w:rsid w:val="006F350F"/>
    <w:rsid w:val="007204D9"/>
    <w:rsid w:val="00732DB7"/>
    <w:rsid w:val="0074238B"/>
    <w:rsid w:val="00745EF7"/>
    <w:rsid w:val="00755F22"/>
    <w:rsid w:val="00763E76"/>
    <w:rsid w:val="00766E4A"/>
    <w:rsid w:val="007820CE"/>
    <w:rsid w:val="00782AE4"/>
    <w:rsid w:val="0079724F"/>
    <w:rsid w:val="007A3EAE"/>
    <w:rsid w:val="007C04FC"/>
    <w:rsid w:val="007D3E0F"/>
    <w:rsid w:val="007F387B"/>
    <w:rsid w:val="00802863"/>
    <w:rsid w:val="00815B3C"/>
    <w:rsid w:val="0082783A"/>
    <w:rsid w:val="00831CA9"/>
    <w:rsid w:val="00850E1F"/>
    <w:rsid w:val="0085476B"/>
    <w:rsid w:val="0087726C"/>
    <w:rsid w:val="008853C8"/>
    <w:rsid w:val="00890FEB"/>
    <w:rsid w:val="008D292F"/>
    <w:rsid w:val="008E03DC"/>
    <w:rsid w:val="008E1D19"/>
    <w:rsid w:val="00924065"/>
    <w:rsid w:val="00930D68"/>
    <w:rsid w:val="00932DB4"/>
    <w:rsid w:val="00941A4B"/>
    <w:rsid w:val="0094254F"/>
    <w:rsid w:val="00946242"/>
    <w:rsid w:val="0095096B"/>
    <w:rsid w:val="00961425"/>
    <w:rsid w:val="00966241"/>
    <w:rsid w:val="00970CD3"/>
    <w:rsid w:val="009723FA"/>
    <w:rsid w:val="00984546"/>
    <w:rsid w:val="00996510"/>
    <w:rsid w:val="009D1F15"/>
    <w:rsid w:val="009D555E"/>
    <w:rsid w:val="009F3024"/>
    <w:rsid w:val="00A0355E"/>
    <w:rsid w:val="00A12242"/>
    <w:rsid w:val="00A375D1"/>
    <w:rsid w:val="00A51D10"/>
    <w:rsid w:val="00A52A83"/>
    <w:rsid w:val="00A5349A"/>
    <w:rsid w:val="00A6552C"/>
    <w:rsid w:val="00A702C5"/>
    <w:rsid w:val="00A86263"/>
    <w:rsid w:val="00A87207"/>
    <w:rsid w:val="00A935AA"/>
    <w:rsid w:val="00AB2201"/>
    <w:rsid w:val="00AD1C5B"/>
    <w:rsid w:val="00AD3259"/>
    <w:rsid w:val="00AF1715"/>
    <w:rsid w:val="00AF3904"/>
    <w:rsid w:val="00B010C0"/>
    <w:rsid w:val="00B4740D"/>
    <w:rsid w:val="00B50A1D"/>
    <w:rsid w:val="00B537EA"/>
    <w:rsid w:val="00B61629"/>
    <w:rsid w:val="00B7374B"/>
    <w:rsid w:val="00B81F18"/>
    <w:rsid w:val="00B90148"/>
    <w:rsid w:val="00B90DC0"/>
    <w:rsid w:val="00BA116A"/>
    <w:rsid w:val="00BA233E"/>
    <w:rsid w:val="00BA5582"/>
    <w:rsid w:val="00BA6468"/>
    <w:rsid w:val="00BD06DA"/>
    <w:rsid w:val="00BD4217"/>
    <w:rsid w:val="00BF1AD0"/>
    <w:rsid w:val="00BF25F3"/>
    <w:rsid w:val="00C1697B"/>
    <w:rsid w:val="00C21CB5"/>
    <w:rsid w:val="00C50A5C"/>
    <w:rsid w:val="00C50FDF"/>
    <w:rsid w:val="00C63381"/>
    <w:rsid w:val="00C73D06"/>
    <w:rsid w:val="00C73E1B"/>
    <w:rsid w:val="00C75946"/>
    <w:rsid w:val="00C759B4"/>
    <w:rsid w:val="00C77713"/>
    <w:rsid w:val="00CB43D5"/>
    <w:rsid w:val="00CC4D84"/>
    <w:rsid w:val="00CE198A"/>
    <w:rsid w:val="00CE4752"/>
    <w:rsid w:val="00CE489E"/>
    <w:rsid w:val="00D64901"/>
    <w:rsid w:val="00D76BDF"/>
    <w:rsid w:val="00D862C1"/>
    <w:rsid w:val="00D93B50"/>
    <w:rsid w:val="00D94670"/>
    <w:rsid w:val="00DA2EAA"/>
    <w:rsid w:val="00DA46F6"/>
    <w:rsid w:val="00DB0F51"/>
    <w:rsid w:val="00DD0B49"/>
    <w:rsid w:val="00E06DFA"/>
    <w:rsid w:val="00E20A0A"/>
    <w:rsid w:val="00E356C7"/>
    <w:rsid w:val="00E45FE4"/>
    <w:rsid w:val="00E64FA7"/>
    <w:rsid w:val="00E770CB"/>
    <w:rsid w:val="00E903A1"/>
    <w:rsid w:val="00E940EB"/>
    <w:rsid w:val="00EB2B90"/>
    <w:rsid w:val="00ED7E83"/>
    <w:rsid w:val="00EF4B63"/>
    <w:rsid w:val="00F0068D"/>
    <w:rsid w:val="00F0576D"/>
    <w:rsid w:val="00F11377"/>
    <w:rsid w:val="00F14E6D"/>
    <w:rsid w:val="00F15EA8"/>
    <w:rsid w:val="00F16C8D"/>
    <w:rsid w:val="00F26C61"/>
    <w:rsid w:val="00F30742"/>
    <w:rsid w:val="00F33CCE"/>
    <w:rsid w:val="00F40249"/>
    <w:rsid w:val="00F526C8"/>
    <w:rsid w:val="00F9272D"/>
    <w:rsid w:val="00F9518C"/>
    <w:rsid w:val="00F952AE"/>
    <w:rsid w:val="00FA316E"/>
    <w:rsid w:val="00FA59EF"/>
    <w:rsid w:val="00FB19A2"/>
    <w:rsid w:val="00FF4C2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Level1">
    <w:name w:val="Level 1"/>
    <w:basedOn w:val="Normal"/>
    <w:rsid w:val="00021907"/>
    <w:pPr>
      <w:widowControl w:val="0"/>
    </w:pPr>
    <w:rPr>
      <w:rFonts w:eastAsia="Times New Roman" w:cs="Times New Roman"/>
      <w:sz w:val="20"/>
      <w:szCs w:val="20"/>
      <w:lang w:val="en-US" w:eastAsia="en-CA"/>
    </w:rPr>
  </w:style>
  <w:style w:type="paragraph" w:customStyle="1" w:styleId="SCCLowerCourtNameLowercase">
    <w:name w:val="SCC.LowerCourtNameLowercase"/>
    <w:basedOn w:val="SCCNormalDoubleSpacing"/>
    <w:next w:val="SCCNormalDoubleSpacing"/>
    <w:rsid w:val="00F11377"/>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9657</Words>
  <Characters>55046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2012-09-21T17:42:00Z</dcterms:created>
  <dcterms:modified xsi:type="dcterms:W3CDTF">2012-09-21T17:42:00Z</dcterms:modified>
</cp:coreProperties>
</file>