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D43E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D43E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D43E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D43E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D43E1" w:rsidTr="002E5576">
        <w:tc>
          <w:tcPr>
            <w:tcW w:w="4518" w:type="dxa"/>
          </w:tcPr>
          <w:p w:rsidR="00BF25F3" w:rsidRPr="002E2327" w:rsidRDefault="00DB239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B239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D43E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D43E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DB239D">
              <w:fldChar w:fldCharType="begin"/>
            </w:r>
            <w:r w:rsidR="00DB239D" w:rsidRPr="001D43E1">
              <w:rPr>
                <w:lang w:val="fr-CA"/>
              </w:rPr>
              <w:instrText>HYPERLINK "http://www.scc-csc.gc.ca"</w:instrText>
            </w:r>
            <w:r w:rsidR="00DB239D">
              <w:fldChar w:fldCharType="separate"/>
            </w:r>
            <w:r w:rsidRPr="00155CF3">
              <w:rPr>
                <w:rStyle w:val="Hyperlink"/>
                <w:rFonts w:ascii="Arial" w:hAnsi="Arial" w:cs="Arial"/>
                <w:i/>
                <w:sz w:val="20"/>
                <w:szCs w:val="20"/>
                <w:lang w:val="fr-CA"/>
              </w:rPr>
              <w:t>www.scc-csc.gc.ca</w:t>
            </w:r>
            <w:r w:rsidR="00DB239D">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A7374"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2</w:t>
      </w:r>
      <w:r w:rsidR="00C73D06">
        <w:rPr>
          <w:lang w:val="fr-CA"/>
        </w:rPr>
        <w:t>3</w:t>
      </w:r>
      <w:r w:rsidR="00440E24" w:rsidRPr="00675479">
        <w:rPr>
          <w:lang w:val="fr-CA"/>
        </w:rPr>
        <w:t>, 201</w:t>
      </w:r>
      <w:r w:rsidR="00C73D06">
        <w:rPr>
          <w:lang w:val="fr-CA"/>
        </w:rPr>
        <w:t>2</w:t>
      </w:r>
      <w:r w:rsidR="00F0068D" w:rsidRPr="00675479">
        <w:rPr>
          <w:lang w:val="fr-CA"/>
        </w:rPr>
        <w:tab/>
        <w:t>1</w:t>
      </w:r>
      <w:r>
        <w:rPr>
          <w:lang w:val="fr-CA"/>
        </w:rPr>
        <w:t>780</w:t>
      </w:r>
      <w:r w:rsidR="00F0068D" w:rsidRPr="00675479">
        <w:rPr>
          <w:lang w:val="fr-CA"/>
        </w:rPr>
        <w:t xml:space="preserve"> - </w:t>
      </w:r>
      <w:r w:rsidR="007355BC">
        <w:rPr>
          <w:lang w:val="fr-CA"/>
        </w:rPr>
        <w:t>1861</w:t>
      </w:r>
      <w:r w:rsidR="00440E24" w:rsidRPr="00675479">
        <w:rPr>
          <w:lang w:val="fr-CA"/>
        </w:rPr>
        <w:tab/>
      </w:r>
      <w:r w:rsidR="00440E24" w:rsidRPr="002E2327">
        <w:rPr>
          <w:lang w:val="fr-CA"/>
        </w:rPr>
        <w:t>Le</w:t>
      </w:r>
      <w:r w:rsidR="00C73D06">
        <w:rPr>
          <w:lang w:val="fr-CA"/>
        </w:rPr>
        <w:t xml:space="preserve"> </w:t>
      </w:r>
      <w:r>
        <w:rPr>
          <w:lang w:val="fr-CA"/>
        </w:rPr>
        <w:t>2</w:t>
      </w:r>
      <w:r w:rsidR="00C73D06">
        <w:rPr>
          <w:lang w:val="fr-CA"/>
        </w:rPr>
        <w:t>3 n</w:t>
      </w:r>
      <w:r>
        <w:rPr>
          <w:lang w:val="fr-CA"/>
        </w:rPr>
        <w:t>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2A69F2" w:rsidRDefault="00440E24" w:rsidP="00440E24">
      <w:pPr>
        <w:pBdr>
          <w:bottom w:val="single" w:sz="6" w:space="1" w:color="auto"/>
        </w:pBdr>
        <w:tabs>
          <w:tab w:val="right" w:pos="9360"/>
        </w:tabs>
        <w:rPr>
          <w:sz w:val="18"/>
          <w:szCs w:val="18"/>
        </w:rPr>
      </w:pPr>
      <w:r w:rsidRPr="002A69F2">
        <w:rPr>
          <w:sz w:val="18"/>
          <w:szCs w:val="18"/>
        </w:rPr>
        <w:lastRenderedPageBreak/>
        <w:t>© Supreme Court of Canada (201</w:t>
      </w:r>
      <w:r w:rsidR="00C73D06" w:rsidRPr="002A69F2">
        <w:rPr>
          <w:sz w:val="18"/>
          <w:szCs w:val="18"/>
        </w:rPr>
        <w:t>2</w:t>
      </w:r>
      <w:r w:rsidRPr="002A69F2">
        <w:rPr>
          <w:sz w:val="18"/>
          <w:szCs w:val="18"/>
        </w:rPr>
        <w:t>)</w:t>
      </w:r>
      <w:r w:rsidRPr="002A69F2">
        <w:rPr>
          <w:sz w:val="18"/>
          <w:szCs w:val="18"/>
        </w:rPr>
        <w:tab/>
        <w:t>© Cour suprême du Canada (201</w:t>
      </w:r>
      <w:r w:rsidR="00C73D06" w:rsidRPr="002A69F2">
        <w:rPr>
          <w:sz w:val="18"/>
          <w:szCs w:val="18"/>
        </w:rPr>
        <w:t>2</w:t>
      </w:r>
      <w:r w:rsidRPr="002A69F2">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BA4DB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594523">
            <w:pPr>
              <w:tabs>
                <w:tab w:val="right" w:pos="9360"/>
              </w:tabs>
              <w:rPr>
                <w:rFonts w:cs="Times New Roman"/>
                <w:sz w:val="20"/>
                <w:szCs w:val="20"/>
              </w:rPr>
            </w:pPr>
          </w:p>
        </w:tc>
        <w:tc>
          <w:tcPr>
            <w:tcW w:w="1980" w:type="dxa"/>
          </w:tcPr>
          <w:p w:rsidR="0095096B" w:rsidRPr="002E2327" w:rsidRDefault="000B720C" w:rsidP="0095096B">
            <w:pPr>
              <w:jc w:val="center"/>
              <w:rPr>
                <w:rFonts w:cs="Times New Roman"/>
                <w:sz w:val="20"/>
                <w:szCs w:val="20"/>
              </w:rPr>
            </w:pPr>
            <w:r>
              <w:rPr>
                <w:rFonts w:cs="Times New Roman"/>
                <w:sz w:val="20"/>
                <w:szCs w:val="20"/>
              </w:rPr>
              <w:t xml:space="preserve">1780 </w:t>
            </w:r>
            <w:r w:rsidR="00DB239D" w:rsidRPr="002E2327">
              <w:rPr>
                <w:rFonts w:cs="Times New Roman"/>
                <w:sz w:val="20"/>
                <w:szCs w:val="20"/>
              </w:rPr>
              <w:fldChar w:fldCharType="begin"/>
            </w:r>
            <w:r w:rsidR="0095096B" w:rsidRPr="002E2327">
              <w:rPr>
                <w:rFonts w:cs="Times New Roman"/>
                <w:sz w:val="20"/>
                <w:szCs w:val="20"/>
              </w:rPr>
              <w:instrText xml:space="preserve"> SEQ CHAPTER \h \r 1</w:instrText>
            </w:r>
            <w:r w:rsidR="00DB239D"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1781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720C" w:rsidP="0095096B">
            <w:pPr>
              <w:jc w:val="center"/>
              <w:rPr>
                <w:rFonts w:cs="Times New Roman"/>
                <w:sz w:val="20"/>
                <w:szCs w:val="20"/>
              </w:rPr>
            </w:pPr>
            <w:r>
              <w:rPr>
                <w:rFonts w:cs="Times New Roman"/>
                <w:sz w:val="20"/>
                <w:szCs w:val="20"/>
              </w:rPr>
              <w:t>1782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B720C" w:rsidP="0095096B">
            <w:pPr>
              <w:jc w:val="center"/>
              <w:rPr>
                <w:rFonts w:cs="Times New Roman"/>
                <w:sz w:val="20"/>
                <w:szCs w:val="20"/>
              </w:rPr>
            </w:pPr>
            <w:r>
              <w:rPr>
                <w:rFonts w:cs="Times New Roman"/>
                <w:sz w:val="20"/>
                <w:szCs w:val="20"/>
              </w:rPr>
              <w:t xml:space="preserve">1783 </w:t>
            </w:r>
            <w:r w:rsidR="0095096B" w:rsidRPr="002E2327">
              <w:rPr>
                <w:rFonts w:cs="Times New Roman"/>
                <w:sz w:val="20"/>
                <w:szCs w:val="20"/>
              </w:rPr>
              <w:t>-</w:t>
            </w:r>
            <w:r w:rsidR="005E0346">
              <w:rPr>
                <w:rFonts w:cs="Times New Roman"/>
                <w:sz w:val="20"/>
                <w:szCs w:val="20"/>
              </w:rPr>
              <w:t xml:space="preserve"> 1829</w:t>
            </w:r>
          </w:p>
          <w:p w:rsidR="0095096B" w:rsidRPr="002E2327" w:rsidRDefault="0095096B" w:rsidP="0095096B">
            <w:pPr>
              <w:jc w:val="center"/>
              <w:rPr>
                <w:rFonts w:cs="Times New Roman"/>
                <w:sz w:val="20"/>
                <w:szCs w:val="20"/>
              </w:rPr>
            </w:pPr>
          </w:p>
          <w:p w:rsidR="003A7025" w:rsidRDefault="003A7025" w:rsidP="0095096B">
            <w:pPr>
              <w:jc w:val="center"/>
              <w:rPr>
                <w:rFonts w:cs="Times New Roman"/>
                <w:sz w:val="20"/>
                <w:szCs w:val="20"/>
              </w:rPr>
            </w:pPr>
          </w:p>
          <w:p w:rsidR="0095096B" w:rsidRPr="002E2327" w:rsidRDefault="005E0346" w:rsidP="0095096B">
            <w:pPr>
              <w:jc w:val="center"/>
              <w:rPr>
                <w:rFonts w:cs="Times New Roman"/>
                <w:sz w:val="20"/>
                <w:szCs w:val="20"/>
              </w:rPr>
            </w:pPr>
            <w:r>
              <w:rPr>
                <w:rFonts w:cs="Times New Roman"/>
                <w:sz w:val="20"/>
                <w:szCs w:val="20"/>
              </w:rPr>
              <w:t>1</w:t>
            </w:r>
            <w:r w:rsidR="00C205DB">
              <w:rPr>
                <w:rFonts w:cs="Times New Roman"/>
                <w:sz w:val="20"/>
                <w:szCs w:val="20"/>
              </w:rPr>
              <w:t>8</w:t>
            </w:r>
            <w:r>
              <w:rPr>
                <w:rFonts w:cs="Times New Roman"/>
                <w:sz w:val="20"/>
                <w:szCs w:val="20"/>
              </w:rPr>
              <w:t xml:space="preserve">30 </w:t>
            </w:r>
            <w:r w:rsidR="0095096B" w:rsidRPr="002E2327">
              <w:rPr>
                <w:rFonts w:cs="Times New Roman"/>
                <w:sz w:val="20"/>
                <w:szCs w:val="20"/>
              </w:rPr>
              <w:t>-</w:t>
            </w:r>
            <w:r w:rsidR="00C205DB">
              <w:rPr>
                <w:rFonts w:cs="Times New Roman"/>
                <w:sz w:val="20"/>
                <w:szCs w:val="20"/>
              </w:rPr>
              <w:t xml:space="preserve"> 1834</w:t>
            </w:r>
          </w:p>
          <w:p w:rsidR="0095096B" w:rsidRPr="002E2327" w:rsidRDefault="0095096B" w:rsidP="0095096B">
            <w:pPr>
              <w:jc w:val="center"/>
              <w:rPr>
                <w:rFonts w:cs="Times New Roman"/>
                <w:sz w:val="20"/>
                <w:szCs w:val="20"/>
              </w:rPr>
            </w:pPr>
          </w:p>
          <w:p w:rsidR="0095096B" w:rsidRPr="002E2327" w:rsidRDefault="00C205DB" w:rsidP="0095096B">
            <w:pPr>
              <w:jc w:val="center"/>
              <w:rPr>
                <w:rFonts w:cs="Times New Roman"/>
                <w:sz w:val="20"/>
                <w:szCs w:val="20"/>
              </w:rPr>
            </w:pPr>
            <w:r>
              <w:rPr>
                <w:rFonts w:cs="Times New Roman"/>
                <w:sz w:val="20"/>
                <w:szCs w:val="20"/>
              </w:rPr>
              <w:t>1835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05DB" w:rsidP="0095096B">
            <w:pPr>
              <w:jc w:val="center"/>
              <w:rPr>
                <w:rFonts w:cs="Times New Roman"/>
                <w:sz w:val="20"/>
                <w:szCs w:val="20"/>
              </w:rPr>
            </w:pPr>
            <w:r>
              <w:rPr>
                <w:rFonts w:cs="Times New Roman"/>
                <w:sz w:val="20"/>
                <w:szCs w:val="20"/>
              </w:rPr>
              <w:t xml:space="preserve">1836 </w:t>
            </w:r>
            <w:r w:rsidR="0095096B" w:rsidRPr="002E2327">
              <w:rPr>
                <w:rFonts w:cs="Times New Roman"/>
                <w:sz w:val="20"/>
                <w:szCs w:val="20"/>
              </w:rPr>
              <w:t>-</w:t>
            </w:r>
            <w:r>
              <w:rPr>
                <w:rFonts w:cs="Times New Roman"/>
                <w:sz w:val="20"/>
                <w:szCs w:val="20"/>
              </w:rPr>
              <w:t xml:space="preserve"> 1837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05DB" w:rsidP="0095096B">
            <w:pPr>
              <w:jc w:val="center"/>
              <w:rPr>
                <w:rFonts w:cs="Times New Roman"/>
                <w:sz w:val="20"/>
                <w:szCs w:val="20"/>
              </w:rPr>
            </w:pPr>
            <w:r>
              <w:rPr>
                <w:rFonts w:cs="Times New Roman"/>
                <w:sz w:val="20"/>
                <w:szCs w:val="20"/>
              </w:rPr>
              <w:t>1838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205DB" w:rsidP="0095096B">
            <w:pPr>
              <w:jc w:val="center"/>
              <w:rPr>
                <w:rFonts w:cs="Times New Roman"/>
                <w:sz w:val="20"/>
                <w:szCs w:val="20"/>
              </w:rPr>
            </w:pPr>
            <w:r>
              <w:rPr>
                <w:rFonts w:cs="Times New Roman"/>
                <w:sz w:val="20"/>
                <w:szCs w:val="20"/>
              </w:rPr>
              <w:t>1839</w:t>
            </w:r>
            <w:r w:rsidR="0095096B" w:rsidRPr="002E2327">
              <w:rPr>
                <w:rFonts w:cs="Times New Roman"/>
                <w:sz w:val="20"/>
                <w:szCs w:val="20"/>
              </w:rPr>
              <w:t>-</w:t>
            </w:r>
            <w:r w:rsidR="007355BC">
              <w:rPr>
                <w:rFonts w:cs="Times New Roman"/>
                <w:sz w:val="20"/>
                <w:szCs w:val="20"/>
              </w:rPr>
              <w:t xml:space="preserve"> 1840</w:t>
            </w:r>
          </w:p>
          <w:p w:rsidR="0095096B" w:rsidRDefault="0095096B" w:rsidP="0095096B">
            <w:pPr>
              <w:jc w:val="center"/>
              <w:rPr>
                <w:rFonts w:cs="Times New Roman"/>
                <w:sz w:val="20"/>
                <w:szCs w:val="20"/>
              </w:rPr>
            </w:pPr>
          </w:p>
          <w:p w:rsidR="003A7025" w:rsidRDefault="007355BC" w:rsidP="0095096B">
            <w:pPr>
              <w:jc w:val="center"/>
              <w:rPr>
                <w:rFonts w:cs="Times New Roman"/>
                <w:sz w:val="20"/>
                <w:szCs w:val="20"/>
              </w:rPr>
            </w:pPr>
            <w:r>
              <w:rPr>
                <w:rFonts w:cs="Times New Roman"/>
                <w:sz w:val="20"/>
                <w:szCs w:val="20"/>
              </w:rPr>
              <w:t>1841</w:t>
            </w:r>
          </w:p>
          <w:p w:rsidR="003A7025" w:rsidRPr="002E2327" w:rsidRDefault="003A7025" w:rsidP="0095096B">
            <w:pPr>
              <w:jc w:val="center"/>
              <w:rPr>
                <w:rFonts w:cs="Times New Roman"/>
                <w:sz w:val="20"/>
                <w:szCs w:val="20"/>
              </w:rPr>
            </w:pPr>
          </w:p>
          <w:p w:rsidR="0095096B" w:rsidRPr="002E2327" w:rsidRDefault="007355BC" w:rsidP="0095096B">
            <w:pPr>
              <w:jc w:val="center"/>
              <w:rPr>
                <w:rFonts w:cs="Times New Roman"/>
                <w:sz w:val="20"/>
                <w:szCs w:val="20"/>
              </w:rPr>
            </w:pPr>
            <w:r>
              <w:rPr>
                <w:rFonts w:cs="Times New Roman"/>
                <w:sz w:val="20"/>
                <w:szCs w:val="20"/>
              </w:rPr>
              <w:t xml:space="preserve">1842 </w:t>
            </w:r>
            <w:r w:rsidR="0095096B" w:rsidRPr="002E2327">
              <w:rPr>
                <w:rFonts w:cs="Times New Roman"/>
                <w:sz w:val="20"/>
                <w:szCs w:val="20"/>
              </w:rPr>
              <w:t>-</w:t>
            </w:r>
            <w:r>
              <w:rPr>
                <w:rFonts w:cs="Times New Roman"/>
                <w:sz w:val="20"/>
                <w:szCs w:val="20"/>
              </w:rPr>
              <w:t xml:space="preserve"> 1861</w:t>
            </w:r>
          </w:p>
          <w:p w:rsidR="00A87207" w:rsidRPr="002E2327" w:rsidRDefault="00A87207" w:rsidP="003A7025">
            <w:pPr>
              <w:jc w:val="center"/>
              <w:rPr>
                <w:rFonts w:cs="Times New Roman"/>
                <w:sz w:val="20"/>
                <w:szCs w:val="20"/>
              </w:rPr>
            </w:pPr>
          </w:p>
        </w:tc>
        <w:tc>
          <w:tcPr>
            <w:tcW w:w="3888" w:type="dxa"/>
          </w:tcPr>
          <w:p w:rsidR="0095096B" w:rsidRPr="002E2327" w:rsidRDefault="00DB239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594523">
            <w:pPr>
              <w:tabs>
                <w:tab w:val="right" w:pos="9360"/>
              </w:tabs>
              <w:rPr>
                <w:rFonts w:cs="Times New Roman"/>
                <w:sz w:val="20"/>
                <w:szCs w:val="20"/>
                <w:lang w:val="fr-CA"/>
              </w:rPr>
            </w:pPr>
          </w:p>
        </w:tc>
      </w:tr>
    </w:tbl>
    <w:p w:rsidR="0095096B" w:rsidRDefault="0095096B" w:rsidP="0095096B">
      <w:pPr>
        <w:tabs>
          <w:tab w:val="right" w:pos="9360"/>
        </w:tabs>
        <w:rPr>
          <w:lang w:val="fr-CA"/>
        </w:rPr>
      </w:pPr>
    </w:p>
    <w:p w:rsidR="003A7025" w:rsidRDefault="003A7025" w:rsidP="0095096B">
      <w:pPr>
        <w:tabs>
          <w:tab w:val="right" w:pos="9360"/>
        </w:tabs>
        <w:rPr>
          <w:lang w:val="fr-CA"/>
        </w:rPr>
      </w:pPr>
    </w:p>
    <w:p w:rsidR="003A7025" w:rsidRDefault="003A7025" w:rsidP="0095096B">
      <w:pPr>
        <w:tabs>
          <w:tab w:val="right" w:pos="9360"/>
        </w:tabs>
        <w:rPr>
          <w:lang w:val="fr-CA"/>
        </w:rPr>
      </w:pPr>
    </w:p>
    <w:p w:rsidR="003A7025" w:rsidRDefault="003A7025" w:rsidP="0095096B">
      <w:pPr>
        <w:tabs>
          <w:tab w:val="right" w:pos="9360"/>
        </w:tabs>
        <w:rPr>
          <w:lang w:val="fr-CA"/>
        </w:rPr>
      </w:pPr>
    </w:p>
    <w:p w:rsidR="003A7025" w:rsidRDefault="003A7025" w:rsidP="0095096B">
      <w:pPr>
        <w:tabs>
          <w:tab w:val="right" w:pos="9360"/>
        </w:tabs>
        <w:rPr>
          <w:lang w:val="fr-CA"/>
        </w:rPr>
      </w:pPr>
    </w:p>
    <w:p w:rsidR="003A7025" w:rsidRPr="00BA4DB3" w:rsidRDefault="003A7025" w:rsidP="0095096B">
      <w:pPr>
        <w:tabs>
          <w:tab w:val="right" w:pos="9360"/>
        </w:tabs>
        <w:rPr>
          <w:lang w:val="fr-CA"/>
        </w:rPr>
      </w:pPr>
    </w:p>
    <w:tbl>
      <w:tblPr>
        <w:tblStyle w:val="TableGrid"/>
        <w:tblW w:w="0" w:type="auto"/>
        <w:tblLook w:val="04A0"/>
      </w:tblPr>
      <w:tblGrid>
        <w:gridCol w:w="9576"/>
      </w:tblGrid>
      <w:tr w:rsidR="0079724F" w:rsidRPr="001D43E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1D43E1" w:rsidTr="003B3977">
        <w:tc>
          <w:tcPr>
            <w:tcW w:w="4320" w:type="dxa"/>
            <w:shd w:val="clear" w:color="auto" w:fill="auto"/>
          </w:tcPr>
          <w:p w:rsidR="00242AEE" w:rsidRPr="00A935AA" w:rsidRDefault="007D178D" w:rsidP="003B3977">
            <w:pPr>
              <w:rPr>
                <w:b/>
                <w:sz w:val="20"/>
                <w:szCs w:val="20"/>
              </w:rPr>
            </w:pPr>
            <w:r>
              <w:rPr>
                <w:b/>
                <w:sz w:val="20"/>
                <w:szCs w:val="20"/>
              </w:rPr>
              <w:t>Elizabeth Plomp</w:t>
            </w:r>
          </w:p>
          <w:p w:rsidR="00242AEE" w:rsidRPr="00A935AA" w:rsidRDefault="00242AEE" w:rsidP="003B3977">
            <w:pPr>
              <w:tabs>
                <w:tab w:val="left" w:pos="-1440"/>
                <w:tab w:val="left" w:pos="-720"/>
              </w:tabs>
              <w:rPr>
                <w:sz w:val="20"/>
                <w:szCs w:val="20"/>
              </w:rPr>
            </w:pPr>
            <w:r w:rsidRPr="00A935AA">
              <w:rPr>
                <w:sz w:val="20"/>
                <w:szCs w:val="20"/>
              </w:rPr>
              <w:tab/>
            </w:r>
            <w:r w:rsidR="007D178D">
              <w:rPr>
                <w:sz w:val="20"/>
                <w:szCs w:val="20"/>
              </w:rPr>
              <w:t>Elizabeth Plomp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A4DB3">
              <w:rPr>
                <w:sz w:val="20"/>
                <w:szCs w:val="20"/>
              </w:rPr>
              <w:t>5</w:t>
            </w:r>
            <w:r w:rsidR="007D178D">
              <w:rPr>
                <w:sz w:val="20"/>
                <w:szCs w:val="20"/>
              </w:rPr>
              <w:t>079</w:t>
            </w:r>
            <w:r w:rsidRPr="00A935AA">
              <w:rPr>
                <w:sz w:val="20"/>
                <w:szCs w:val="20"/>
              </w:rPr>
              <w:t>)</w:t>
            </w:r>
          </w:p>
          <w:p w:rsidR="00242AEE" w:rsidRPr="00A935AA" w:rsidRDefault="00242AEE" w:rsidP="003B3977">
            <w:pPr>
              <w:tabs>
                <w:tab w:val="left" w:pos="-1440"/>
                <w:tab w:val="left" w:pos="-720"/>
              </w:tabs>
              <w:rPr>
                <w:sz w:val="20"/>
                <w:szCs w:val="20"/>
              </w:rPr>
            </w:pPr>
          </w:p>
          <w:p w:rsidR="00242AEE" w:rsidRPr="007D178D" w:rsidRDefault="007D178D" w:rsidP="003B3977">
            <w:pPr>
              <w:tabs>
                <w:tab w:val="left" w:pos="-1440"/>
                <w:tab w:val="left" w:pos="-720"/>
              </w:tabs>
              <w:rPr>
                <w:b/>
                <w:sz w:val="20"/>
                <w:szCs w:val="20"/>
                <w:lang w:val="fr-CA"/>
              </w:rPr>
            </w:pPr>
            <w:r w:rsidRPr="007D178D">
              <w:rPr>
                <w:b/>
                <w:sz w:val="20"/>
                <w:szCs w:val="20"/>
                <w:lang w:val="fr-CA"/>
              </w:rPr>
              <w:t xml:space="preserve">Centre hospitalier de St. Mary </w:t>
            </w:r>
            <w:r w:rsidR="00242AEE" w:rsidRPr="007D178D">
              <w:rPr>
                <w:b/>
                <w:sz w:val="20"/>
                <w:szCs w:val="20"/>
                <w:lang w:val="fr-CA"/>
              </w:rPr>
              <w:t>(</w:t>
            </w:r>
            <w:r w:rsidRPr="007D178D">
              <w:rPr>
                <w:b/>
                <w:sz w:val="20"/>
                <w:szCs w:val="20"/>
                <w:lang w:val="fr-CA"/>
              </w:rPr>
              <w:t>Que.</w:t>
            </w:r>
            <w:r w:rsidR="00242AEE" w:rsidRPr="007D178D">
              <w:rPr>
                <w:b/>
                <w:sz w:val="20"/>
                <w:szCs w:val="20"/>
                <w:lang w:val="fr-CA"/>
              </w:rPr>
              <w:t>)</w:t>
            </w:r>
          </w:p>
          <w:p w:rsidR="00242AEE" w:rsidRPr="007D178D" w:rsidRDefault="00242AEE" w:rsidP="003B3977">
            <w:pPr>
              <w:tabs>
                <w:tab w:val="left" w:pos="-1440"/>
                <w:tab w:val="left" w:pos="-720"/>
              </w:tabs>
              <w:rPr>
                <w:sz w:val="20"/>
                <w:szCs w:val="20"/>
                <w:lang w:val="fr-CA"/>
              </w:rPr>
            </w:pPr>
            <w:r w:rsidRPr="007D178D">
              <w:rPr>
                <w:sz w:val="20"/>
                <w:szCs w:val="20"/>
                <w:lang w:val="fr-CA"/>
              </w:rPr>
              <w:tab/>
            </w:r>
            <w:r w:rsidR="007D178D">
              <w:rPr>
                <w:sz w:val="20"/>
                <w:szCs w:val="20"/>
                <w:lang w:val="fr-CA"/>
              </w:rPr>
              <w:t>Magali Cournoyer-Proulx</w:t>
            </w:r>
          </w:p>
          <w:p w:rsidR="00242AEE" w:rsidRPr="007D178D" w:rsidRDefault="00242AEE" w:rsidP="003B3977">
            <w:pPr>
              <w:tabs>
                <w:tab w:val="left" w:pos="-1440"/>
                <w:tab w:val="left" w:pos="-720"/>
              </w:tabs>
              <w:rPr>
                <w:sz w:val="20"/>
                <w:szCs w:val="20"/>
                <w:lang w:val="fr-CA"/>
              </w:rPr>
            </w:pPr>
            <w:r w:rsidRPr="007D178D">
              <w:rPr>
                <w:sz w:val="20"/>
                <w:szCs w:val="20"/>
                <w:lang w:val="fr-CA"/>
              </w:rPr>
              <w:tab/>
            </w:r>
            <w:r w:rsidR="007D178D">
              <w:rPr>
                <w:sz w:val="20"/>
                <w:szCs w:val="20"/>
                <w:lang w:val="fr-CA"/>
              </w:rPr>
              <w:t>Heenan Blaikie LLP</w:t>
            </w:r>
          </w:p>
          <w:p w:rsidR="00242AEE" w:rsidRPr="007D178D"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 xml:space="preserve">FILING DATE: </w:t>
            </w:r>
            <w:r w:rsidR="007D178D">
              <w:rPr>
                <w:sz w:val="20"/>
                <w:szCs w:val="20"/>
              </w:rPr>
              <w:t>11</w:t>
            </w:r>
            <w:r w:rsidRPr="00A935AA">
              <w:rPr>
                <w:sz w:val="20"/>
                <w:szCs w:val="20"/>
              </w:rPr>
              <w:t>.</w:t>
            </w:r>
            <w:r w:rsidR="00BA4DB3">
              <w:rPr>
                <w:sz w:val="20"/>
                <w:szCs w:val="20"/>
              </w:rPr>
              <w:t>1</w:t>
            </w:r>
            <w:r w:rsidR="007D178D">
              <w:rPr>
                <w:sz w:val="20"/>
                <w:szCs w:val="20"/>
              </w:rPr>
              <w:t>0</w:t>
            </w:r>
            <w:r w:rsidRPr="00A935AA">
              <w:rPr>
                <w:sz w:val="20"/>
                <w:szCs w:val="20"/>
              </w:rPr>
              <w:t>.201</w:t>
            </w:r>
            <w:r w:rsidR="00BA4DB3">
              <w:rPr>
                <w:sz w:val="20"/>
                <w:szCs w:val="20"/>
              </w:rPr>
              <w:t>2</w:t>
            </w:r>
          </w:p>
          <w:p w:rsidR="00242AEE" w:rsidRPr="00A935AA" w:rsidRDefault="00DB239D" w:rsidP="003B3977">
            <w:pPr>
              <w:rPr>
                <w:sz w:val="20"/>
                <w:szCs w:val="20"/>
              </w:rPr>
            </w:pPr>
            <w:r w:rsidRPr="00DB239D">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500F85" w:rsidRDefault="007D178D" w:rsidP="003B3977">
            <w:pPr>
              <w:keepNext/>
              <w:keepLines/>
              <w:tabs>
                <w:tab w:val="left" w:pos="-1440"/>
                <w:tab w:val="left" w:pos="-720"/>
              </w:tabs>
              <w:rPr>
                <w:b/>
                <w:sz w:val="20"/>
                <w:szCs w:val="20"/>
                <w:lang w:val="fr-CA"/>
              </w:rPr>
            </w:pPr>
            <w:r w:rsidRPr="00500F85">
              <w:rPr>
                <w:b/>
                <w:sz w:val="20"/>
                <w:szCs w:val="20"/>
                <w:lang w:val="fr-CA"/>
              </w:rPr>
              <w:t>Hélène Plasse</w:t>
            </w:r>
          </w:p>
          <w:p w:rsidR="00242AEE" w:rsidRPr="00500F85" w:rsidRDefault="00242AEE" w:rsidP="003B3977">
            <w:pPr>
              <w:keepNext/>
              <w:keepLines/>
              <w:tabs>
                <w:tab w:val="left" w:pos="-1440"/>
                <w:tab w:val="left" w:pos="-720"/>
              </w:tabs>
              <w:rPr>
                <w:sz w:val="20"/>
                <w:szCs w:val="20"/>
                <w:lang w:val="fr-CA"/>
              </w:rPr>
            </w:pPr>
            <w:r w:rsidRPr="00500F85">
              <w:rPr>
                <w:sz w:val="20"/>
                <w:szCs w:val="20"/>
                <w:lang w:val="fr-CA"/>
              </w:rPr>
              <w:tab/>
            </w:r>
            <w:r w:rsidR="007D178D" w:rsidRPr="00500F85">
              <w:rPr>
                <w:sz w:val="20"/>
                <w:szCs w:val="20"/>
                <w:lang w:val="fr-CA"/>
              </w:rPr>
              <w:t>Hélène Plasse</w:t>
            </w:r>
          </w:p>
          <w:p w:rsidR="00242AEE" w:rsidRPr="00500F85" w:rsidRDefault="00242AEE" w:rsidP="003B3977">
            <w:pPr>
              <w:keepNext/>
              <w:keepLines/>
              <w:tabs>
                <w:tab w:val="left" w:pos="-1440"/>
                <w:tab w:val="left" w:pos="-720"/>
              </w:tabs>
              <w:rPr>
                <w:sz w:val="20"/>
                <w:szCs w:val="20"/>
                <w:lang w:val="fr-CA"/>
              </w:rPr>
            </w:pPr>
          </w:p>
          <w:p w:rsidR="00242AEE" w:rsidRPr="007D178D" w:rsidRDefault="00242AEE" w:rsidP="003B3977">
            <w:pPr>
              <w:keepNext/>
              <w:keepLines/>
              <w:tabs>
                <w:tab w:val="left" w:pos="-1440"/>
                <w:tab w:val="left" w:pos="-720"/>
              </w:tabs>
              <w:rPr>
                <w:sz w:val="20"/>
                <w:szCs w:val="20"/>
                <w:lang w:val="fr-CA"/>
              </w:rPr>
            </w:pPr>
            <w:r w:rsidRPr="00500F85">
              <w:rPr>
                <w:sz w:val="20"/>
                <w:szCs w:val="20"/>
                <w:lang w:val="fr-CA"/>
              </w:rPr>
              <w:tab/>
            </w:r>
            <w:r w:rsidR="007D178D" w:rsidRPr="007D178D">
              <w:rPr>
                <w:sz w:val="20"/>
                <w:szCs w:val="20"/>
                <w:lang w:val="fr-CA"/>
              </w:rPr>
              <w:t>c</w:t>
            </w:r>
            <w:r w:rsidRPr="007D178D">
              <w:rPr>
                <w:sz w:val="20"/>
                <w:szCs w:val="20"/>
                <w:lang w:val="fr-CA"/>
              </w:rPr>
              <w:t>. (3</w:t>
            </w:r>
            <w:r w:rsidR="00BA4DB3" w:rsidRPr="007D178D">
              <w:rPr>
                <w:sz w:val="20"/>
                <w:szCs w:val="20"/>
                <w:lang w:val="fr-CA"/>
              </w:rPr>
              <w:t>5</w:t>
            </w:r>
            <w:r w:rsidR="007D178D" w:rsidRPr="007D178D">
              <w:rPr>
                <w:sz w:val="20"/>
                <w:szCs w:val="20"/>
                <w:lang w:val="fr-CA"/>
              </w:rPr>
              <w:t>087</w:t>
            </w:r>
            <w:r w:rsidRPr="007D178D">
              <w:rPr>
                <w:sz w:val="20"/>
                <w:szCs w:val="20"/>
                <w:lang w:val="fr-CA"/>
              </w:rPr>
              <w:t>)</w:t>
            </w:r>
          </w:p>
          <w:p w:rsidR="00242AEE" w:rsidRPr="007D178D" w:rsidRDefault="00242AEE" w:rsidP="003B3977">
            <w:pPr>
              <w:keepNext/>
              <w:keepLines/>
              <w:tabs>
                <w:tab w:val="left" w:pos="-1440"/>
                <w:tab w:val="left" w:pos="-720"/>
              </w:tabs>
              <w:rPr>
                <w:sz w:val="20"/>
                <w:szCs w:val="20"/>
                <w:lang w:val="fr-CA"/>
              </w:rPr>
            </w:pPr>
          </w:p>
          <w:p w:rsidR="00242AEE" w:rsidRPr="007D178D" w:rsidRDefault="007D178D" w:rsidP="003B3977">
            <w:pPr>
              <w:keepNext/>
              <w:keepLines/>
              <w:tabs>
                <w:tab w:val="left" w:pos="-1440"/>
                <w:tab w:val="left" w:pos="-720"/>
              </w:tabs>
              <w:rPr>
                <w:b/>
                <w:sz w:val="20"/>
                <w:szCs w:val="20"/>
                <w:lang w:val="fr-CA"/>
              </w:rPr>
            </w:pPr>
            <w:r w:rsidRPr="007D178D">
              <w:rPr>
                <w:b/>
                <w:sz w:val="20"/>
                <w:szCs w:val="20"/>
                <w:lang w:val="fr-CA"/>
              </w:rPr>
              <w:t>Ville de St-Jean-sur-Richelieu</w:t>
            </w:r>
            <w:r w:rsidR="00242AEE" w:rsidRPr="007D178D">
              <w:rPr>
                <w:b/>
                <w:sz w:val="20"/>
                <w:szCs w:val="20"/>
                <w:lang w:val="fr-CA"/>
              </w:rPr>
              <w:t xml:space="preserve"> (</w:t>
            </w:r>
            <w:r w:rsidRPr="007D178D">
              <w:rPr>
                <w:b/>
                <w:sz w:val="20"/>
                <w:szCs w:val="20"/>
                <w:lang w:val="fr-CA"/>
              </w:rPr>
              <w:t>Qc</w:t>
            </w:r>
            <w:r w:rsidR="00242AEE" w:rsidRPr="007D178D">
              <w:rPr>
                <w:b/>
                <w:sz w:val="20"/>
                <w:szCs w:val="20"/>
                <w:lang w:val="fr-CA"/>
              </w:rPr>
              <w:t>)</w:t>
            </w:r>
          </w:p>
          <w:p w:rsidR="00242AEE" w:rsidRPr="007D178D" w:rsidRDefault="00242AEE" w:rsidP="003B3977">
            <w:pPr>
              <w:keepNext/>
              <w:keepLines/>
              <w:tabs>
                <w:tab w:val="left" w:pos="-1440"/>
                <w:tab w:val="left" w:pos="-720"/>
              </w:tabs>
              <w:rPr>
                <w:sz w:val="20"/>
                <w:szCs w:val="20"/>
                <w:lang w:val="fr-CA"/>
              </w:rPr>
            </w:pPr>
            <w:r w:rsidRPr="007D178D">
              <w:rPr>
                <w:sz w:val="20"/>
                <w:szCs w:val="20"/>
                <w:lang w:val="fr-CA"/>
              </w:rPr>
              <w:tab/>
            </w:r>
            <w:r w:rsidR="007D178D">
              <w:rPr>
                <w:sz w:val="20"/>
                <w:szCs w:val="20"/>
                <w:lang w:val="fr-CA"/>
              </w:rPr>
              <w:t>Richard Lemieux</w:t>
            </w:r>
          </w:p>
          <w:p w:rsidR="00242AEE" w:rsidRPr="007D178D" w:rsidRDefault="00242AEE" w:rsidP="003B3977">
            <w:pPr>
              <w:keepNext/>
              <w:keepLines/>
              <w:tabs>
                <w:tab w:val="left" w:pos="-1440"/>
                <w:tab w:val="left" w:pos="-720"/>
              </w:tabs>
              <w:rPr>
                <w:sz w:val="20"/>
                <w:szCs w:val="20"/>
                <w:lang w:val="fr-CA"/>
              </w:rPr>
            </w:pPr>
            <w:r w:rsidRPr="007D178D">
              <w:rPr>
                <w:sz w:val="20"/>
                <w:szCs w:val="20"/>
                <w:lang w:val="fr-CA"/>
              </w:rPr>
              <w:tab/>
            </w:r>
            <w:r w:rsidR="007D178D">
              <w:rPr>
                <w:sz w:val="20"/>
                <w:szCs w:val="20"/>
                <w:lang w:val="fr-CA"/>
              </w:rPr>
              <w:t>Lemieux, Marchand, Hamelin</w:t>
            </w:r>
          </w:p>
          <w:p w:rsidR="00242AEE" w:rsidRPr="007D178D" w:rsidRDefault="00242AEE" w:rsidP="003B3977">
            <w:pPr>
              <w:keepNext/>
              <w:keepLines/>
              <w:tabs>
                <w:tab w:val="left" w:pos="-1440"/>
                <w:tab w:val="left" w:pos="-720"/>
              </w:tabs>
              <w:rPr>
                <w:sz w:val="20"/>
                <w:szCs w:val="20"/>
                <w:lang w:val="fr-CA"/>
              </w:rPr>
            </w:pPr>
          </w:p>
          <w:p w:rsidR="00242AEE" w:rsidRPr="007D178D" w:rsidRDefault="007D178D" w:rsidP="007D178D">
            <w:pPr>
              <w:rPr>
                <w:sz w:val="20"/>
                <w:szCs w:val="20"/>
                <w:lang w:val="fr-CA"/>
              </w:rPr>
            </w:pPr>
            <w:r w:rsidRPr="007D178D">
              <w:rPr>
                <w:sz w:val="20"/>
                <w:szCs w:val="20"/>
                <w:lang w:val="fr-CA"/>
              </w:rPr>
              <w:t>D</w:t>
            </w:r>
            <w:r w:rsidR="00242AEE" w:rsidRPr="007D178D">
              <w:rPr>
                <w:sz w:val="20"/>
                <w:szCs w:val="20"/>
                <w:lang w:val="fr-CA"/>
              </w:rPr>
              <w:t>ATE</w:t>
            </w:r>
            <w:r w:rsidRPr="007D178D">
              <w:rPr>
                <w:sz w:val="20"/>
                <w:szCs w:val="20"/>
                <w:lang w:val="fr-CA"/>
              </w:rPr>
              <w:t xml:space="preserve"> DE PRODUCTION </w:t>
            </w:r>
            <w:r w:rsidR="00242AEE" w:rsidRPr="007D178D">
              <w:rPr>
                <w:sz w:val="20"/>
                <w:szCs w:val="20"/>
                <w:lang w:val="fr-CA"/>
              </w:rPr>
              <w:t xml:space="preserve">: </w:t>
            </w:r>
            <w:r w:rsidRPr="007D178D">
              <w:rPr>
                <w:sz w:val="20"/>
                <w:szCs w:val="20"/>
                <w:lang w:val="fr-CA"/>
              </w:rPr>
              <w:t>15</w:t>
            </w:r>
            <w:r w:rsidR="00242AEE" w:rsidRPr="007D178D">
              <w:rPr>
                <w:sz w:val="20"/>
                <w:szCs w:val="20"/>
                <w:lang w:val="fr-CA"/>
              </w:rPr>
              <w:t>.</w:t>
            </w:r>
            <w:r w:rsidR="00BA4DB3" w:rsidRPr="007D178D">
              <w:rPr>
                <w:sz w:val="20"/>
                <w:szCs w:val="20"/>
                <w:lang w:val="fr-CA"/>
              </w:rPr>
              <w:t>1</w:t>
            </w:r>
            <w:r w:rsidRPr="007D178D">
              <w:rPr>
                <w:sz w:val="20"/>
                <w:szCs w:val="20"/>
                <w:lang w:val="fr-CA"/>
              </w:rPr>
              <w:t>0</w:t>
            </w:r>
            <w:r w:rsidR="00242AEE" w:rsidRPr="007D178D">
              <w:rPr>
                <w:sz w:val="20"/>
                <w:szCs w:val="20"/>
                <w:lang w:val="fr-CA"/>
              </w:rPr>
              <w:t>.201</w:t>
            </w:r>
            <w:r w:rsidR="00BA4DB3" w:rsidRPr="007D178D">
              <w:rPr>
                <w:sz w:val="20"/>
                <w:szCs w:val="20"/>
                <w:lang w:val="fr-CA"/>
              </w:rPr>
              <w:t>2</w:t>
            </w:r>
            <w:r w:rsidR="00DB239D" w:rsidRPr="00DB239D">
              <w:rPr>
                <w:sz w:val="20"/>
                <w:szCs w:val="20"/>
                <w:lang w:val="fr-CA"/>
              </w:rPr>
              <w:pict>
                <v:rect id="_x0000_i1026" style="width:108pt;height:1pt" o:hrpct="0" o:hralign="center" o:hrstd="t" o:hrnoshade="t" o:hr="t" fillcolor="black [3213]" stroked="f"/>
              </w:pict>
            </w:r>
          </w:p>
        </w:tc>
      </w:tr>
      <w:tr w:rsidR="00BA4DB3" w:rsidRPr="00243DDD" w:rsidTr="003B3977">
        <w:tc>
          <w:tcPr>
            <w:tcW w:w="4320" w:type="dxa"/>
            <w:shd w:val="clear" w:color="auto" w:fill="auto"/>
          </w:tcPr>
          <w:p w:rsidR="00BA4DB3" w:rsidRPr="00500F85" w:rsidRDefault="007D178D" w:rsidP="007D178D">
            <w:pPr>
              <w:rPr>
                <w:b/>
                <w:sz w:val="20"/>
                <w:szCs w:val="20"/>
              </w:rPr>
            </w:pPr>
            <w:r w:rsidRPr="00500F85">
              <w:rPr>
                <w:b/>
                <w:sz w:val="20"/>
                <w:szCs w:val="20"/>
              </w:rPr>
              <w:t>Kemal Direkoglu</w:t>
            </w:r>
          </w:p>
          <w:p w:rsidR="00BA4DB3" w:rsidRPr="00500F85" w:rsidRDefault="00BA4DB3" w:rsidP="007D178D">
            <w:pPr>
              <w:tabs>
                <w:tab w:val="left" w:pos="-1440"/>
                <w:tab w:val="left" w:pos="-720"/>
              </w:tabs>
              <w:rPr>
                <w:sz w:val="20"/>
                <w:szCs w:val="20"/>
              </w:rPr>
            </w:pPr>
            <w:r w:rsidRPr="00500F85">
              <w:rPr>
                <w:sz w:val="20"/>
                <w:szCs w:val="20"/>
              </w:rPr>
              <w:tab/>
            </w:r>
            <w:r w:rsidR="007D178D" w:rsidRPr="00500F85">
              <w:rPr>
                <w:sz w:val="20"/>
                <w:szCs w:val="20"/>
              </w:rPr>
              <w:t>Kemal Direkoglu</w:t>
            </w:r>
          </w:p>
          <w:p w:rsidR="00BA4DB3" w:rsidRPr="00500F85" w:rsidRDefault="00BA4DB3" w:rsidP="007D178D">
            <w:pPr>
              <w:tabs>
                <w:tab w:val="left" w:pos="-1440"/>
                <w:tab w:val="left" w:pos="-720"/>
              </w:tabs>
              <w:rPr>
                <w:sz w:val="20"/>
                <w:szCs w:val="20"/>
              </w:rPr>
            </w:pPr>
          </w:p>
          <w:p w:rsidR="00BA4DB3" w:rsidRPr="00500F85" w:rsidRDefault="00BA4DB3" w:rsidP="007D178D">
            <w:pPr>
              <w:tabs>
                <w:tab w:val="left" w:pos="-1440"/>
                <w:tab w:val="left" w:pos="-720"/>
              </w:tabs>
              <w:rPr>
                <w:sz w:val="20"/>
                <w:szCs w:val="20"/>
              </w:rPr>
            </w:pPr>
            <w:r w:rsidRPr="00500F85">
              <w:rPr>
                <w:sz w:val="20"/>
                <w:szCs w:val="20"/>
              </w:rPr>
              <w:tab/>
              <w:t>v. (35</w:t>
            </w:r>
            <w:r w:rsidR="007D178D" w:rsidRPr="00500F85">
              <w:rPr>
                <w:sz w:val="20"/>
                <w:szCs w:val="20"/>
              </w:rPr>
              <w:t>068</w:t>
            </w:r>
            <w:r w:rsidRPr="00500F85">
              <w:rPr>
                <w:sz w:val="20"/>
                <w:szCs w:val="20"/>
              </w:rPr>
              <w:t>)</w:t>
            </w:r>
          </w:p>
          <w:p w:rsidR="00BA4DB3" w:rsidRPr="00500F85" w:rsidRDefault="00BA4DB3" w:rsidP="007D178D">
            <w:pPr>
              <w:tabs>
                <w:tab w:val="left" w:pos="-1440"/>
                <w:tab w:val="left" w:pos="-720"/>
              </w:tabs>
              <w:rPr>
                <w:sz w:val="20"/>
                <w:szCs w:val="20"/>
              </w:rPr>
            </w:pPr>
          </w:p>
          <w:p w:rsidR="00BA4DB3" w:rsidRPr="007D178D" w:rsidRDefault="007D178D" w:rsidP="007D178D">
            <w:pPr>
              <w:tabs>
                <w:tab w:val="left" w:pos="-1440"/>
                <w:tab w:val="left" w:pos="-720"/>
              </w:tabs>
              <w:rPr>
                <w:b/>
                <w:sz w:val="20"/>
                <w:szCs w:val="20"/>
                <w:lang w:val="fr-CA"/>
              </w:rPr>
            </w:pPr>
            <w:r w:rsidRPr="007D178D">
              <w:rPr>
                <w:b/>
                <w:sz w:val="20"/>
                <w:szCs w:val="20"/>
                <w:lang w:val="fr-CA"/>
              </w:rPr>
              <w:t xml:space="preserve">Toronto Police Services Board et al. </w:t>
            </w:r>
            <w:r w:rsidR="00BA4DB3" w:rsidRPr="007D178D">
              <w:rPr>
                <w:b/>
                <w:sz w:val="20"/>
                <w:szCs w:val="20"/>
                <w:lang w:val="fr-CA"/>
              </w:rPr>
              <w:t>(</w:t>
            </w:r>
            <w:r w:rsidRPr="007D178D">
              <w:rPr>
                <w:b/>
                <w:sz w:val="20"/>
                <w:szCs w:val="20"/>
                <w:lang w:val="fr-CA"/>
              </w:rPr>
              <w:t>Ont</w:t>
            </w:r>
            <w:r w:rsidR="00BA4DB3" w:rsidRPr="007D178D">
              <w:rPr>
                <w:b/>
                <w:sz w:val="20"/>
                <w:szCs w:val="20"/>
                <w:lang w:val="fr-CA"/>
              </w:rPr>
              <w:t>.)</w:t>
            </w:r>
          </w:p>
          <w:p w:rsidR="00BA4DB3" w:rsidRPr="007D178D" w:rsidRDefault="00BA4DB3" w:rsidP="007D178D">
            <w:pPr>
              <w:tabs>
                <w:tab w:val="left" w:pos="-1440"/>
                <w:tab w:val="left" w:pos="-720"/>
              </w:tabs>
              <w:rPr>
                <w:sz w:val="20"/>
                <w:szCs w:val="20"/>
              </w:rPr>
            </w:pPr>
            <w:r w:rsidRPr="007D178D">
              <w:rPr>
                <w:sz w:val="20"/>
                <w:szCs w:val="20"/>
                <w:lang w:val="fr-CA"/>
              </w:rPr>
              <w:tab/>
            </w:r>
            <w:r w:rsidR="007D178D" w:rsidRPr="007D178D">
              <w:rPr>
                <w:sz w:val="20"/>
                <w:szCs w:val="20"/>
              </w:rPr>
              <w:t>Robin A.F. Squires</w:t>
            </w:r>
          </w:p>
          <w:p w:rsidR="00BA4DB3" w:rsidRPr="007D178D" w:rsidRDefault="00BA4DB3" w:rsidP="007D178D">
            <w:pPr>
              <w:tabs>
                <w:tab w:val="left" w:pos="-1440"/>
                <w:tab w:val="left" w:pos="-720"/>
              </w:tabs>
              <w:rPr>
                <w:sz w:val="20"/>
                <w:szCs w:val="20"/>
              </w:rPr>
            </w:pPr>
            <w:r w:rsidRPr="007D178D">
              <w:rPr>
                <w:sz w:val="20"/>
                <w:szCs w:val="20"/>
              </w:rPr>
              <w:tab/>
            </w:r>
            <w:r w:rsidR="007D178D" w:rsidRPr="007D178D">
              <w:rPr>
                <w:sz w:val="20"/>
                <w:szCs w:val="20"/>
              </w:rPr>
              <w:t>Borden Ladner Gervais LLP</w:t>
            </w:r>
          </w:p>
          <w:p w:rsidR="00BA4DB3" w:rsidRPr="007D178D" w:rsidRDefault="00BA4DB3" w:rsidP="007D178D">
            <w:pPr>
              <w:tabs>
                <w:tab w:val="left" w:pos="-1440"/>
                <w:tab w:val="left" w:pos="-720"/>
              </w:tabs>
              <w:rPr>
                <w:sz w:val="20"/>
                <w:szCs w:val="20"/>
              </w:rPr>
            </w:pPr>
          </w:p>
          <w:p w:rsidR="00BA4DB3" w:rsidRPr="007D178D" w:rsidRDefault="00BA4DB3" w:rsidP="007D178D">
            <w:pPr>
              <w:rPr>
                <w:sz w:val="20"/>
                <w:szCs w:val="20"/>
                <w:lang w:val="fr-CA"/>
              </w:rPr>
            </w:pPr>
            <w:r w:rsidRPr="007D178D">
              <w:rPr>
                <w:sz w:val="20"/>
                <w:szCs w:val="20"/>
                <w:lang w:val="fr-CA"/>
              </w:rPr>
              <w:t xml:space="preserve">FILING DATE: </w:t>
            </w:r>
            <w:r w:rsidR="007D178D">
              <w:rPr>
                <w:sz w:val="20"/>
                <w:szCs w:val="20"/>
                <w:lang w:val="fr-CA"/>
              </w:rPr>
              <w:t>31</w:t>
            </w:r>
            <w:r w:rsidRPr="007D178D">
              <w:rPr>
                <w:sz w:val="20"/>
                <w:szCs w:val="20"/>
                <w:lang w:val="fr-CA"/>
              </w:rPr>
              <w:t>.1</w:t>
            </w:r>
            <w:r w:rsidR="000F5070">
              <w:rPr>
                <w:sz w:val="20"/>
                <w:szCs w:val="20"/>
                <w:lang w:val="fr-CA"/>
              </w:rPr>
              <w:t>0</w:t>
            </w:r>
            <w:r w:rsidRPr="007D178D">
              <w:rPr>
                <w:sz w:val="20"/>
                <w:szCs w:val="20"/>
                <w:lang w:val="fr-CA"/>
              </w:rPr>
              <w:t>.2012</w:t>
            </w:r>
          </w:p>
          <w:p w:rsidR="00BA4DB3" w:rsidRPr="007D178D" w:rsidRDefault="00DB239D" w:rsidP="007D178D">
            <w:pPr>
              <w:rPr>
                <w:sz w:val="20"/>
                <w:szCs w:val="20"/>
                <w:lang w:val="fr-CA"/>
              </w:rPr>
            </w:pPr>
            <w:r w:rsidRPr="00DB239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p w:rsidR="00BA4DB3" w:rsidRPr="007D178D" w:rsidRDefault="00BA4DB3" w:rsidP="00242AEE">
            <w:pPr>
              <w:jc w:val="center"/>
              <w:rPr>
                <w:sz w:val="20"/>
                <w:szCs w:val="20"/>
                <w:lang w:val="fr-CA"/>
              </w:rPr>
            </w:pPr>
          </w:p>
        </w:tc>
        <w:tc>
          <w:tcPr>
            <w:tcW w:w="4320" w:type="dxa"/>
            <w:shd w:val="clear" w:color="auto" w:fill="auto"/>
          </w:tcPr>
          <w:p w:rsidR="00BA4DB3" w:rsidRPr="007D178D" w:rsidRDefault="00243DDD" w:rsidP="007D178D">
            <w:pPr>
              <w:keepNext/>
              <w:keepLines/>
              <w:tabs>
                <w:tab w:val="left" w:pos="-1440"/>
                <w:tab w:val="left" w:pos="-720"/>
              </w:tabs>
              <w:rPr>
                <w:b/>
                <w:sz w:val="20"/>
                <w:szCs w:val="20"/>
                <w:lang w:val="fr-CA"/>
              </w:rPr>
            </w:pPr>
            <w:r>
              <w:rPr>
                <w:b/>
                <w:sz w:val="20"/>
                <w:szCs w:val="20"/>
                <w:lang w:val="fr-CA"/>
              </w:rPr>
              <w:t>Nermin Acostandei</w:t>
            </w:r>
          </w:p>
          <w:p w:rsidR="00BA4DB3" w:rsidRPr="007D178D" w:rsidRDefault="00BA4DB3" w:rsidP="007D178D">
            <w:pPr>
              <w:keepNext/>
              <w:keepLines/>
              <w:tabs>
                <w:tab w:val="left" w:pos="-1440"/>
                <w:tab w:val="left" w:pos="-720"/>
              </w:tabs>
              <w:rPr>
                <w:sz w:val="20"/>
                <w:szCs w:val="20"/>
                <w:lang w:val="fr-CA"/>
              </w:rPr>
            </w:pPr>
            <w:r w:rsidRPr="007D178D">
              <w:rPr>
                <w:sz w:val="20"/>
                <w:szCs w:val="20"/>
                <w:lang w:val="fr-CA"/>
              </w:rPr>
              <w:tab/>
            </w:r>
            <w:r w:rsidR="00243DDD">
              <w:rPr>
                <w:sz w:val="20"/>
                <w:szCs w:val="20"/>
                <w:lang w:val="fr-CA"/>
              </w:rPr>
              <w:t>Nermin Acostandei</w:t>
            </w:r>
          </w:p>
          <w:p w:rsidR="00BA4DB3" w:rsidRPr="007D178D" w:rsidRDefault="00BA4DB3" w:rsidP="007D178D">
            <w:pPr>
              <w:keepNext/>
              <w:keepLines/>
              <w:tabs>
                <w:tab w:val="left" w:pos="-1440"/>
                <w:tab w:val="left" w:pos="-720"/>
              </w:tabs>
              <w:rPr>
                <w:sz w:val="20"/>
                <w:szCs w:val="20"/>
                <w:lang w:val="fr-CA"/>
              </w:rPr>
            </w:pPr>
          </w:p>
          <w:p w:rsidR="00BA4DB3" w:rsidRPr="00A935AA" w:rsidRDefault="00BA4DB3" w:rsidP="007D178D">
            <w:pPr>
              <w:keepNext/>
              <w:keepLines/>
              <w:tabs>
                <w:tab w:val="left" w:pos="-1440"/>
                <w:tab w:val="left" w:pos="-720"/>
              </w:tabs>
              <w:rPr>
                <w:sz w:val="20"/>
                <w:szCs w:val="20"/>
                <w:lang w:val="fr-CA"/>
              </w:rPr>
            </w:pPr>
            <w:r w:rsidRPr="007D178D">
              <w:rPr>
                <w:sz w:val="20"/>
                <w:szCs w:val="20"/>
                <w:lang w:val="fr-CA"/>
              </w:rPr>
              <w:tab/>
            </w:r>
            <w:r w:rsidRPr="00A935AA">
              <w:rPr>
                <w:sz w:val="20"/>
                <w:szCs w:val="20"/>
                <w:lang w:val="fr-CA"/>
              </w:rPr>
              <w:t>v. (3</w:t>
            </w:r>
            <w:r>
              <w:rPr>
                <w:sz w:val="20"/>
                <w:szCs w:val="20"/>
                <w:lang w:val="fr-CA"/>
              </w:rPr>
              <w:t>5</w:t>
            </w:r>
            <w:r w:rsidR="00243DDD">
              <w:rPr>
                <w:sz w:val="20"/>
                <w:szCs w:val="20"/>
                <w:lang w:val="fr-CA"/>
              </w:rPr>
              <w:t>074</w:t>
            </w:r>
            <w:r w:rsidRPr="00A935AA">
              <w:rPr>
                <w:sz w:val="20"/>
                <w:szCs w:val="20"/>
                <w:lang w:val="fr-CA"/>
              </w:rPr>
              <w:t>)</w:t>
            </w:r>
          </w:p>
          <w:p w:rsidR="00BA4DB3" w:rsidRPr="00A935AA" w:rsidRDefault="00BA4DB3" w:rsidP="007D178D">
            <w:pPr>
              <w:keepNext/>
              <w:keepLines/>
              <w:tabs>
                <w:tab w:val="left" w:pos="-1440"/>
                <w:tab w:val="left" w:pos="-720"/>
              </w:tabs>
              <w:rPr>
                <w:sz w:val="20"/>
                <w:szCs w:val="20"/>
                <w:lang w:val="fr-CA"/>
              </w:rPr>
            </w:pPr>
          </w:p>
          <w:p w:rsidR="00BA4DB3" w:rsidRPr="00243DDD" w:rsidRDefault="00243DDD" w:rsidP="007D178D">
            <w:pPr>
              <w:keepNext/>
              <w:keepLines/>
              <w:tabs>
                <w:tab w:val="left" w:pos="-1440"/>
                <w:tab w:val="left" w:pos="-720"/>
              </w:tabs>
              <w:rPr>
                <w:b/>
                <w:sz w:val="20"/>
                <w:szCs w:val="20"/>
              </w:rPr>
            </w:pPr>
            <w:r>
              <w:rPr>
                <w:b/>
                <w:sz w:val="20"/>
                <w:szCs w:val="20"/>
                <w:lang w:val="fr-CA"/>
              </w:rPr>
              <w:t>SNC – Lavalin, Profac Inc.</w:t>
            </w:r>
            <w:r w:rsidR="00BA4DB3" w:rsidRPr="00A935AA">
              <w:rPr>
                <w:b/>
                <w:sz w:val="20"/>
                <w:szCs w:val="20"/>
                <w:lang w:val="fr-CA"/>
              </w:rPr>
              <w:t xml:space="preserve"> </w:t>
            </w:r>
            <w:r w:rsidR="00BA4DB3" w:rsidRPr="00243DDD">
              <w:rPr>
                <w:b/>
                <w:sz w:val="20"/>
                <w:szCs w:val="20"/>
              </w:rPr>
              <w:t>(Ont.)</w:t>
            </w:r>
          </w:p>
          <w:p w:rsidR="00BA4DB3" w:rsidRPr="00243DDD" w:rsidRDefault="00BA4DB3" w:rsidP="007D178D">
            <w:pPr>
              <w:keepNext/>
              <w:keepLines/>
              <w:tabs>
                <w:tab w:val="left" w:pos="-1440"/>
                <w:tab w:val="left" w:pos="-720"/>
              </w:tabs>
              <w:rPr>
                <w:sz w:val="20"/>
                <w:szCs w:val="20"/>
              </w:rPr>
            </w:pPr>
            <w:r w:rsidRPr="00243DDD">
              <w:rPr>
                <w:sz w:val="20"/>
                <w:szCs w:val="20"/>
              </w:rPr>
              <w:tab/>
            </w:r>
            <w:r w:rsidR="00243DDD" w:rsidRPr="00243DDD">
              <w:rPr>
                <w:sz w:val="20"/>
                <w:szCs w:val="20"/>
              </w:rPr>
              <w:t>Laila Karimi Hendry</w:t>
            </w:r>
          </w:p>
          <w:p w:rsidR="00BA4DB3" w:rsidRPr="00243DDD" w:rsidRDefault="00BA4DB3" w:rsidP="007D178D">
            <w:pPr>
              <w:keepNext/>
              <w:keepLines/>
              <w:tabs>
                <w:tab w:val="left" w:pos="-1440"/>
                <w:tab w:val="left" w:pos="-720"/>
              </w:tabs>
              <w:rPr>
                <w:sz w:val="20"/>
                <w:szCs w:val="20"/>
              </w:rPr>
            </w:pPr>
            <w:r w:rsidRPr="00243DDD">
              <w:rPr>
                <w:sz w:val="20"/>
                <w:szCs w:val="20"/>
              </w:rPr>
              <w:tab/>
            </w:r>
            <w:r w:rsidR="00243DDD" w:rsidRPr="00243DDD">
              <w:rPr>
                <w:sz w:val="20"/>
                <w:szCs w:val="20"/>
              </w:rPr>
              <w:t xml:space="preserve">Hicks Morley Hamilton Stewart Storie </w:t>
            </w:r>
            <w:r w:rsidR="00243DDD" w:rsidRPr="00243DDD">
              <w:rPr>
                <w:sz w:val="20"/>
                <w:szCs w:val="20"/>
              </w:rPr>
              <w:tab/>
              <w:t>LLP</w:t>
            </w:r>
          </w:p>
          <w:p w:rsidR="00BA4DB3" w:rsidRPr="00243DDD" w:rsidRDefault="00BA4DB3" w:rsidP="007D178D">
            <w:pPr>
              <w:keepNext/>
              <w:keepLines/>
              <w:tabs>
                <w:tab w:val="left" w:pos="-1440"/>
                <w:tab w:val="left" w:pos="-720"/>
              </w:tabs>
              <w:rPr>
                <w:sz w:val="20"/>
                <w:szCs w:val="20"/>
              </w:rPr>
            </w:pPr>
          </w:p>
          <w:p w:rsidR="00BA4DB3" w:rsidRPr="00243DDD" w:rsidRDefault="00BA4DB3" w:rsidP="00243DDD">
            <w:pPr>
              <w:rPr>
                <w:sz w:val="20"/>
                <w:szCs w:val="20"/>
              </w:rPr>
            </w:pPr>
            <w:r w:rsidRPr="00243DDD">
              <w:rPr>
                <w:sz w:val="20"/>
                <w:szCs w:val="20"/>
              </w:rPr>
              <w:t xml:space="preserve">FILING DATE: </w:t>
            </w:r>
            <w:r w:rsidR="00243DDD">
              <w:rPr>
                <w:sz w:val="20"/>
                <w:szCs w:val="20"/>
              </w:rPr>
              <w:t>01</w:t>
            </w:r>
            <w:r w:rsidRPr="00243DDD">
              <w:rPr>
                <w:sz w:val="20"/>
                <w:szCs w:val="20"/>
              </w:rPr>
              <w:t>.11.2012</w:t>
            </w:r>
            <w:r w:rsidR="00DB239D" w:rsidRPr="00DB239D">
              <w:rPr>
                <w:sz w:val="20"/>
                <w:szCs w:val="20"/>
                <w:lang w:val="fr-CA"/>
              </w:rPr>
              <w:pict>
                <v:rect id="_x0000_i1028" style="width:108pt;height:1pt" o:hrpct="0" o:hralign="center" o:hrstd="t" o:hrnoshade="t" o:hr="t" fillcolor="black [3213]" stroked="f"/>
              </w:pict>
            </w:r>
          </w:p>
        </w:tc>
      </w:tr>
      <w:tr w:rsidR="00BA4DB3" w:rsidRPr="00A935AA" w:rsidTr="003B3977">
        <w:tc>
          <w:tcPr>
            <w:tcW w:w="4320" w:type="dxa"/>
            <w:shd w:val="clear" w:color="auto" w:fill="auto"/>
          </w:tcPr>
          <w:p w:rsidR="00BA4DB3" w:rsidRPr="00243DDD" w:rsidRDefault="00243DDD" w:rsidP="007D178D">
            <w:pPr>
              <w:rPr>
                <w:b/>
                <w:sz w:val="20"/>
                <w:szCs w:val="20"/>
              </w:rPr>
            </w:pPr>
            <w:r>
              <w:rPr>
                <w:b/>
                <w:sz w:val="20"/>
                <w:szCs w:val="20"/>
              </w:rPr>
              <w:t>Giuliano Scaduto</w:t>
            </w:r>
          </w:p>
          <w:p w:rsidR="00BA4DB3" w:rsidRPr="00243DDD" w:rsidRDefault="00BA4DB3" w:rsidP="007D178D">
            <w:pPr>
              <w:tabs>
                <w:tab w:val="left" w:pos="-1440"/>
                <w:tab w:val="left" w:pos="-720"/>
              </w:tabs>
              <w:rPr>
                <w:sz w:val="20"/>
                <w:szCs w:val="20"/>
              </w:rPr>
            </w:pPr>
            <w:r w:rsidRPr="00243DDD">
              <w:rPr>
                <w:sz w:val="20"/>
                <w:szCs w:val="20"/>
              </w:rPr>
              <w:tab/>
            </w:r>
            <w:r w:rsidR="00243DDD">
              <w:rPr>
                <w:sz w:val="20"/>
                <w:szCs w:val="20"/>
              </w:rPr>
              <w:t>Victor Pilnitz</w:t>
            </w:r>
          </w:p>
          <w:p w:rsidR="00BA4DB3" w:rsidRPr="00243DDD" w:rsidRDefault="00BA4DB3" w:rsidP="007D178D">
            <w:pPr>
              <w:tabs>
                <w:tab w:val="left" w:pos="-1440"/>
                <w:tab w:val="left" w:pos="-720"/>
              </w:tabs>
              <w:rPr>
                <w:sz w:val="20"/>
                <w:szCs w:val="20"/>
              </w:rPr>
            </w:pPr>
          </w:p>
          <w:p w:rsidR="00BA4DB3" w:rsidRPr="00243DDD" w:rsidRDefault="00BA4DB3" w:rsidP="007D178D">
            <w:pPr>
              <w:tabs>
                <w:tab w:val="left" w:pos="-1440"/>
                <w:tab w:val="left" w:pos="-720"/>
              </w:tabs>
              <w:rPr>
                <w:sz w:val="20"/>
                <w:szCs w:val="20"/>
              </w:rPr>
            </w:pPr>
            <w:r w:rsidRPr="00243DDD">
              <w:rPr>
                <w:sz w:val="20"/>
                <w:szCs w:val="20"/>
              </w:rPr>
              <w:tab/>
              <w:t>v. (35</w:t>
            </w:r>
            <w:r w:rsidR="00243DDD">
              <w:rPr>
                <w:sz w:val="20"/>
                <w:szCs w:val="20"/>
              </w:rPr>
              <w:t>060</w:t>
            </w:r>
            <w:r w:rsidRPr="00243DDD">
              <w:rPr>
                <w:sz w:val="20"/>
                <w:szCs w:val="20"/>
              </w:rPr>
              <w:t>)</w:t>
            </w:r>
          </w:p>
          <w:p w:rsidR="00BA4DB3" w:rsidRPr="00243DDD" w:rsidRDefault="00BA4DB3" w:rsidP="007D178D">
            <w:pPr>
              <w:tabs>
                <w:tab w:val="left" w:pos="-1440"/>
                <w:tab w:val="left" w:pos="-720"/>
              </w:tabs>
              <w:rPr>
                <w:sz w:val="20"/>
                <w:szCs w:val="20"/>
              </w:rPr>
            </w:pPr>
          </w:p>
          <w:p w:rsidR="00BA4DB3" w:rsidRPr="00243DDD" w:rsidRDefault="00243DDD" w:rsidP="007D178D">
            <w:pPr>
              <w:tabs>
                <w:tab w:val="left" w:pos="-1440"/>
                <w:tab w:val="left" w:pos="-720"/>
              </w:tabs>
              <w:rPr>
                <w:b/>
                <w:sz w:val="20"/>
                <w:szCs w:val="20"/>
              </w:rPr>
            </w:pPr>
            <w:r>
              <w:rPr>
                <w:b/>
                <w:sz w:val="20"/>
                <w:szCs w:val="20"/>
              </w:rPr>
              <w:t xml:space="preserve">Workplace Safety and Insurance Appeals Tribunal </w:t>
            </w:r>
            <w:r w:rsidR="00BA4DB3" w:rsidRPr="00243DDD">
              <w:rPr>
                <w:b/>
                <w:sz w:val="20"/>
                <w:szCs w:val="20"/>
              </w:rPr>
              <w:t>(</w:t>
            </w:r>
            <w:r>
              <w:rPr>
                <w:b/>
                <w:sz w:val="20"/>
                <w:szCs w:val="20"/>
              </w:rPr>
              <w:t>Ont</w:t>
            </w:r>
            <w:r w:rsidR="00BA4DB3" w:rsidRPr="00243DDD">
              <w:rPr>
                <w:b/>
                <w:sz w:val="20"/>
                <w:szCs w:val="20"/>
              </w:rPr>
              <w:t>.)</w:t>
            </w:r>
          </w:p>
          <w:p w:rsidR="00BA4DB3" w:rsidRPr="00243DDD" w:rsidRDefault="00BA4DB3" w:rsidP="007D178D">
            <w:pPr>
              <w:tabs>
                <w:tab w:val="left" w:pos="-1440"/>
                <w:tab w:val="left" w:pos="-720"/>
              </w:tabs>
              <w:rPr>
                <w:sz w:val="20"/>
                <w:szCs w:val="20"/>
              </w:rPr>
            </w:pPr>
            <w:r w:rsidRPr="00243DDD">
              <w:rPr>
                <w:sz w:val="20"/>
                <w:szCs w:val="20"/>
              </w:rPr>
              <w:tab/>
            </w:r>
            <w:r w:rsidR="00243DDD">
              <w:rPr>
                <w:sz w:val="20"/>
                <w:szCs w:val="20"/>
              </w:rPr>
              <w:t>Chris G. Paliare</w:t>
            </w:r>
          </w:p>
          <w:p w:rsidR="00BA4DB3" w:rsidRPr="00243DDD" w:rsidRDefault="00BA4DB3" w:rsidP="007D178D">
            <w:pPr>
              <w:tabs>
                <w:tab w:val="left" w:pos="-1440"/>
                <w:tab w:val="left" w:pos="-720"/>
              </w:tabs>
              <w:rPr>
                <w:sz w:val="20"/>
                <w:szCs w:val="20"/>
              </w:rPr>
            </w:pPr>
            <w:r w:rsidRPr="00243DDD">
              <w:rPr>
                <w:sz w:val="20"/>
                <w:szCs w:val="20"/>
              </w:rPr>
              <w:tab/>
            </w:r>
            <w:r w:rsidR="00243DDD">
              <w:rPr>
                <w:sz w:val="20"/>
                <w:szCs w:val="20"/>
              </w:rPr>
              <w:t xml:space="preserve">Paliare, Roland, Rosenberg, Rothstein </w:t>
            </w:r>
            <w:r w:rsidR="00243DDD">
              <w:rPr>
                <w:sz w:val="20"/>
                <w:szCs w:val="20"/>
              </w:rPr>
              <w:tab/>
              <w:t>LLP</w:t>
            </w:r>
          </w:p>
          <w:p w:rsidR="00BA4DB3" w:rsidRPr="00243DDD" w:rsidRDefault="00BA4DB3" w:rsidP="007D178D">
            <w:pPr>
              <w:tabs>
                <w:tab w:val="left" w:pos="-1440"/>
                <w:tab w:val="left" w:pos="-720"/>
              </w:tabs>
              <w:rPr>
                <w:sz w:val="20"/>
                <w:szCs w:val="20"/>
              </w:rPr>
            </w:pPr>
          </w:p>
          <w:p w:rsidR="00BA4DB3" w:rsidRPr="00243DDD" w:rsidRDefault="00BA4DB3" w:rsidP="007D178D">
            <w:pPr>
              <w:rPr>
                <w:sz w:val="20"/>
                <w:szCs w:val="20"/>
              </w:rPr>
            </w:pPr>
            <w:r w:rsidRPr="00243DDD">
              <w:rPr>
                <w:sz w:val="20"/>
                <w:szCs w:val="20"/>
              </w:rPr>
              <w:t xml:space="preserve">FILING DATE: </w:t>
            </w:r>
            <w:r w:rsidR="00243DDD">
              <w:rPr>
                <w:sz w:val="20"/>
                <w:szCs w:val="20"/>
              </w:rPr>
              <w:t>02</w:t>
            </w:r>
            <w:r w:rsidRPr="00243DDD">
              <w:rPr>
                <w:sz w:val="20"/>
                <w:szCs w:val="20"/>
              </w:rPr>
              <w:t>.11.2012</w:t>
            </w:r>
          </w:p>
          <w:p w:rsidR="00BA4DB3" w:rsidRPr="00A935AA" w:rsidRDefault="00DB239D" w:rsidP="007D178D">
            <w:pPr>
              <w:rPr>
                <w:sz w:val="20"/>
                <w:szCs w:val="20"/>
              </w:rPr>
            </w:pPr>
            <w:r w:rsidRPr="00DB239D">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Default="00BA4DB3" w:rsidP="00242AEE">
            <w:pPr>
              <w:jc w:val="center"/>
              <w:rPr>
                <w:sz w:val="20"/>
                <w:szCs w:val="20"/>
              </w:rPr>
            </w:pPr>
          </w:p>
          <w:p w:rsidR="00BA4DB3" w:rsidRDefault="00BA4DB3" w:rsidP="00242AEE">
            <w:pPr>
              <w:jc w:val="center"/>
              <w:rPr>
                <w:sz w:val="20"/>
                <w:szCs w:val="20"/>
              </w:rPr>
            </w:pPr>
          </w:p>
          <w:p w:rsidR="00BA4DB3" w:rsidRPr="00A935AA" w:rsidRDefault="00BA4DB3" w:rsidP="00242AEE">
            <w:pPr>
              <w:jc w:val="center"/>
              <w:rPr>
                <w:sz w:val="20"/>
                <w:szCs w:val="20"/>
              </w:rPr>
            </w:pPr>
          </w:p>
        </w:tc>
        <w:tc>
          <w:tcPr>
            <w:tcW w:w="4320" w:type="dxa"/>
            <w:shd w:val="clear" w:color="auto" w:fill="auto"/>
          </w:tcPr>
          <w:p w:rsidR="00BA4DB3" w:rsidRDefault="00BA4DB3" w:rsidP="007D178D">
            <w:pPr>
              <w:keepNext/>
              <w:keepLines/>
              <w:tabs>
                <w:tab w:val="left" w:pos="-1440"/>
                <w:tab w:val="left" w:pos="-720"/>
              </w:tabs>
              <w:rPr>
                <w:b/>
                <w:sz w:val="20"/>
                <w:szCs w:val="20"/>
              </w:rPr>
            </w:pPr>
          </w:p>
          <w:p w:rsidR="00243DDD" w:rsidRPr="00A935AA" w:rsidRDefault="00243DDD" w:rsidP="007D178D">
            <w:pPr>
              <w:keepNext/>
              <w:keepLines/>
              <w:tabs>
                <w:tab w:val="left" w:pos="-1440"/>
                <w:tab w:val="left" w:pos="-720"/>
              </w:tabs>
              <w:rPr>
                <w:b/>
                <w:sz w:val="20"/>
                <w:szCs w:val="20"/>
              </w:rPr>
            </w:pPr>
            <w:r>
              <w:rPr>
                <w:b/>
                <w:sz w:val="20"/>
                <w:szCs w:val="20"/>
              </w:rPr>
              <w:t xml:space="preserve">Anthony Diamond et al. </w:t>
            </w:r>
          </w:p>
          <w:p w:rsidR="00BA4DB3" w:rsidRPr="00A935AA" w:rsidRDefault="00BA4DB3" w:rsidP="007D178D">
            <w:pPr>
              <w:keepNext/>
              <w:keepLines/>
              <w:tabs>
                <w:tab w:val="left" w:pos="-1440"/>
                <w:tab w:val="left" w:pos="-720"/>
              </w:tabs>
              <w:rPr>
                <w:sz w:val="20"/>
                <w:szCs w:val="20"/>
              </w:rPr>
            </w:pPr>
            <w:r w:rsidRPr="00A935AA">
              <w:rPr>
                <w:sz w:val="20"/>
                <w:szCs w:val="20"/>
              </w:rPr>
              <w:tab/>
            </w:r>
            <w:r w:rsidR="00243DDD">
              <w:rPr>
                <w:sz w:val="20"/>
                <w:szCs w:val="20"/>
              </w:rPr>
              <w:t>David M. Midanik</w:t>
            </w:r>
          </w:p>
          <w:p w:rsidR="00BA4DB3" w:rsidRPr="00A935AA" w:rsidRDefault="00BA4DB3" w:rsidP="007D178D">
            <w:pPr>
              <w:keepNext/>
              <w:keepLines/>
              <w:tabs>
                <w:tab w:val="left" w:pos="-1440"/>
                <w:tab w:val="left" w:pos="-720"/>
              </w:tabs>
              <w:rPr>
                <w:sz w:val="20"/>
                <w:szCs w:val="20"/>
              </w:rPr>
            </w:pPr>
          </w:p>
          <w:p w:rsidR="00BA4DB3" w:rsidRPr="00243DDD" w:rsidRDefault="00BA4DB3" w:rsidP="007D178D">
            <w:pPr>
              <w:keepNext/>
              <w:keepLines/>
              <w:tabs>
                <w:tab w:val="left" w:pos="-1440"/>
                <w:tab w:val="left" w:pos="-720"/>
              </w:tabs>
              <w:rPr>
                <w:sz w:val="20"/>
                <w:szCs w:val="20"/>
              </w:rPr>
            </w:pPr>
            <w:r w:rsidRPr="00A935AA">
              <w:rPr>
                <w:sz w:val="20"/>
                <w:szCs w:val="20"/>
              </w:rPr>
              <w:tab/>
            </w:r>
            <w:r w:rsidRPr="00243DDD">
              <w:rPr>
                <w:sz w:val="20"/>
                <w:szCs w:val="20"/>
              </w:rPr>
              <w:t>v. (35</w:t>
            </w:r>
            <w:r w:rsidR="00243DDD">
              <w:rPr>
                <w:sz w:val="20"/>
                <w:szCs w:val="20"/>
              </w:rPr>
              <w:t>064</w:t>
            </w:r>
            <w:r w:rsidRPr="00243DDD">
              <w:rPr>
                <w:sz w:val="20"/>
                <w:szCs w:val="20"/>
              </w:rPr>
              <w:t>)</w:t>
            </w:r>
          </w:p>
          <w:p w:rsidR="00BA4DB3" w:rsidRPr="00243DDD" w:rsidRDefault="00BA4DB3" w:rsidP="007D178D">
            <w:pPr>
              <w:keepNext/>
              <w:keepLines/>
              <w:tabs>
                <w:tab w:val="left" w:pos="-1440"/>
                <w:tab w:val="left" w:pos="-720"/>
              </w:tabs>
              <w:rPr>
                <w:sz w:val="20"/>
                <w:szCs w:val="20"/>
              </w:rPr>
            </w:pPr>
          </w:p>
          <w:p w:rsidR="00BA4DB3" w:rsidRPr="00500F85" w:rsidRDefault="00243DDD" w:rsidP="007D178D">
            <w:pPr>
              <w:keepNext/>
              <w:keepLines/>
              <w:tabs>
                <w:tab w:val="left" w:pos="-1440"/>
                <w:tab w:val="left" w:pos="-720"/>
              </w:tabs>
              <w:rPr>
                <w:b/>
                <w:sz w:val="20"/>
                <w:szCs w:val="20"/>
              </w:rPr>
            </w:pPr>
            <w:r w:rsidRPr="00500F85">
              <w:rPr>
                <w:b/>
                <w:sz w:val="20"/>
                <w:szCs w:val="20"/>
              </w:rPr>
              <w:t>Danny Doobay</w:t>
            </w:r>
            <w:r w:rsidR="00BA4DB3" w:rsidRPr="00500F85">
              <w:rPr>
                <w:b/>
                <w:sz w:val="20"/>
                <w:szCs w:val="20"/>
              </w:rPr>
              <w:t xml:space="preserve"> </w:t>
            </w:r>
            <w:r w:rsidRPr="00500F85">
              <w:rPr>
                <w:b/>
                <w:sz w:val="20"/>
                <w:szCs w:val="20"/>
              </w:rPr>
              <w:t xml:space="preserve">et al. </w:t>
            </w:r>
            <w:r w:rsidR="00BA4DB3" w:rsidRPr="00500F85">
              <w:rPr>
                <w:b/>
                <w:sz w:val="20"/>
                <w:szCs w:val="20"/>
              </w:rPr>
              <w:t>(Ont.)</w:t>
            </w:r>
          </w:p>
          <w:p w:rsidR="00BA4DB3" w:rsidRPr="00243DDD" w:rsidRDefault="00BA4DB3" w:rsidP="007D178D">
            <w:pPr>
              <w:keepNext/>
              <w:keepLines/>
              <w:tabs>
                <w:tab w:val="left" w:pos="-1440"/>
                <w:tab w:val="left" w:pos="-720"/>
              </w:tabs>
              <w:rPr>
                <w:sz w:val="20"/>
                <w:szCs w:val="20"/>
              </w:rPr>
            </w:pPr>
            <w:r w:rsidRPr="00500F85">
              <w:rPr>
                <w:sz w:val="20"/>
                <w:szCs w:val="20"/>
              </w:rPr>
              <w:tab/>
            </w:r>
            <w:r w:rsidR="00243DDD" w:rsidRPr="00243DDD">
              <w:rPr>
                <w:sz w:val="20"/>
                <w:szCs w:val="20"/>
              </w:rPr>
              <w:t>Simon Bieber</w:t>
            </w:r>
          </w:p>
          <w:p w:rsidR="00BA4DB3" w:rsidRPr="00243DDD" w:rsidRDefault="00BA4DB3" w:rsidP="007D178D">
            <w:pPr>
              <w:keepNext/>
              <w:keepLines/>
              <w:tabs>
                <w:tab w:val="left" w:pos="-1440"/>
                <w:tab w:val="left" w:pos="-720"/>
              </w:tabs>
              <w:rPr>
                <w:sz w:val="20"/>
                <w:szCs w:val="20"/>
              </w:rPr>
            </w:pPr>
            <w:r w:rsidRPr="00243DDD">
              <w:rPr>
                <w:sz w:val="20"/>
                <w:szCs w:val="20"/>
              </w:rPr>
              <w:tab/>
            </w:r>
            <w:r w:rsidR="00243DDD" w:rsidRPr="00243DDD">
              <w:rPr>
                <w:sz w:val="20"/>
                <w:szCs w:val="20"/>
              </w:rPr>
              <w:t>Wardle Daley Bernstein L</w:t>
            </w:r>
            <w:r w:rsidR="00243DDD">
              <w:rPr>
                <w:sz w:val="20"/>
                <w:szCs w:val="20"/>
              </w:rPr>
              <w:t>LP</w:t>
            </w:r>
          </w:p>
          <w:p w:rsidR="00BA4DB3" w:rsidRPr="00243DDD" w:rsidRDefault="00BA4DB3" w:rsidP="007D178D">
            <w:pPr>
              <w:keepNext/>
              <w:keepLines/>
              <w:tabs>
                <w:tab w:val="left" w:pos="-1440"/>
                <w:tab w:val="left" w:pos="-720"/>
              </w:tabs>
              <w:rPr>
                <w:sz w:val="20"/>
                <w:szCs w:val="20"/>
              </w:rPr>
            </w:pPr>
          </w:p>
          <w:p w:rsidR="00BA4DB3" w:rsidRPr="00A935AA" w:rsidRDefault="00BA4DB3" w:rsidP="00243DDD">
            <w:pPr>
              <w:rPr>
                <w:sz w:val="20"/>
                <w:szCs w:val="20"/>
              </w:rPr>
            </w:pPr>
            <w:r w:rsidRPr="00A935AA">
              <w:rPr>
                <w:sz w:val="20"/>
                <w:szCs w:val="20"/>
              </w:rPr>
              <w:t xml:space="preserve">FILING DATE: </w:t>
            </w:r>
            <w:r w:rsidR="00243DDD">
              <w:rPr>
                <w:sz w:val="20"/>
                <w:szCs w:val="20"/>
              </w:rPr>
              <w:t>06</w:t>
            </w:r>
            <w:r w:rsidRPr="00A935AA">
              <w:rPr>
                <w:sz w:val="20"/>
                <w:szCs w:val="20"/>
              </w:rPr>
              <w:t>.</w:t>
            </w:r>
            <w:r>
              <w:rPr>
                <w:sz w:val="20"/>
                <w:szCs w:val="20"/>
              </w:rPr>
              <w:t>11</w:t>
            </w:r>
            <w:r w:rsidRPr="00A935AA">
              <w:rPr>
                <w:sz w:val="20"/>
                <w:szCs w:val="20"/>
              </w:rPr>
              <w:t>.201</w:t>
            </w:r>
            <w:r>
              <w:rPr>
                <w:sz w:val="20"/>
                <w:szCs w:val="20"/>
              </w:rPr>
              <w:t>2</w:t>
            </w:r>
            <w:r w:rsidR="00DB239D" w:rsidRPr="00DB239D">
              <w:rPr>
                <w:sz w:val="20"/>
                <w:szCs w:val="20"/>
                <w:lang w:val="fr-CA"/>
              </w:rPr>
              <w:pict>
                <v:rect id="_x0000_i1030" style="width:108pt;height:1pt" o:hrpct="0" o:hralign="center" o:hrstd="t" o:hrnoshade="t" o:hr="t" fillcolor="black [3213]" stroked="f"/>
              </w:pict>
            </w:r>
          </w:p>
        </w:tc>
      </w:tr>
      <w:tr w:rsidR="00BA4DB3" w:rsidRPr="00A935AA" w:rsidTr="003B3977">
        <w:trPr>
          <w:cantSplit/>
        </w:trPr>
        <w:tc>
          <w:tcPr>
            <w:tcW w:w="4320" w:type="dxa"/>
            <w:shd w:val="clear" w:color="auto" w:fill="auto"/>
          </w:tcPr>
          <w:p w:rsidR="00500F85" w:rsidRPr="00354AA3" w:rsidRDefault="00500F85" w:rsidP="007D178D">
            <w:pPr>
              <w:rPr>
                <w:b/>
                <w:sz w:val="20"/>
                <w:szCs w:val="20"/>
                <w:lang w:val="fr-CA"/>
              </w:rPr>
            </w:pPr>
          </w:p>
          <w:p w:rsidR="00BA4DB3" w:rsidRPr="00354AA3" w:rsidRDefault="00500F85" w:rsidP="007D178D">
            <w:pPr>
              <w:rPr>
                <w:b/>
                <w:sz w:val="20"/>
                <w:szCs w:val="20"/>
                <w:lang w:val="fr-CA"/>
              </w:rPr>
            </w:pPr>
            <w:r w:rsidRPr="00354AA3">
              <w:rPr>
                <w:b/>
                <w:sz w:val="20"/>
                <w:szCs w:val="20"/>
                <w:lang w:val="fr-CA"/>
              </w:rPr>
              <w:t>Ma</w:t>
            </w:r>
            <w:r w:rsidR="00354AA3" w:rsidRPr="00354AA3">
              <w:rPr>
                <w:b/>
                <w:sz w:val="20"/>
                <w:szCs w:val="20"/>
                <w:lang w:val="fr-CA"/>
              </w:rPr>
              <w:t>rius</w:t>
            </w:r>
            <w:r w:rsidRPr="00354AA3">
              <w:rPr>
                <w:b/>
                <w:sz w:val="20"/>
                <w:szCs w:val="20"/>
                <w:lang w:val="fr-CA"/>
              </w:rPr>
              <w:t xml:space="preserve"> </w:t>
            </w:r>
            <w:r w:rsidR="00354AA3" w:rsidRPr="00354AA3">
              <w:rPr>
                <w:b/>
                <w:sz w:val="20"/>
                <w:szCs w:val="20"/>
                <w:lang w:val="fr-CA"/>
              </w:rPr>
              <w:t>Drexeler</w:t>
            </w:r>
          </w:p>
          <w:p w:rsidR="00BA4DB3" w:rsidRPr="00354AA3" w:rsidRDefault="00BA4DB3" w:rsidP="007D178D">
            <w:pPr>
              <w:tabs>
                <w:tab w:val="left" w:pos="-1440"/>
                <w:tab w:val="left" w:pos="-720"/>
              </w:tabs>
              <w:rPr>
                <w:sz w:val="20"/>
                <w:szCs w:val="20"/>
                <w:lang w:val="fr-CA"/>
              </w:rPr>
            </w:pPr>
            <w:r w:rsidRPr="00354AA3">
              <w:rPr>
                <w:sz w:val="20"/>
                <w:szCs w:val="20"/>
                <w:lang w:val="fr-CA"/>
              </w:rPr>
              <w:tab/>
            </w:r>
            <w:r w:rsidR="00500F85" w:rsidRPr="00354AA3">
              <w:rPr>
                <w:sz w:val="20"/>
                <w:szCs w:val="20"/>
                <w:lang w:val="fr-CA"/>
              </w:rPr>
              <w:t>Ma</w:t>
            </w:r>
            <w:r w:rsidR="00354AA3" w:rsidRPr="00354AA3">
              <w:rPr>
                <w:sz w:val="20"/>
                <w:szCs w:val="20"/>
                <w:lang w:val="fr-CA"/>
              </w:rPr>
              <w:t>rius Drexeler</w:t>
            </w:r>
          </w:p>
          <w:p w:rsidR="00BA4DB3" w:rsidRPr="00354AA3" w:rsidRDefault="00BA4DB3" w:rsidP="007D178D">
            <w:pPr>
              <w:tabs>
                <w:tab w:val="left" w:pos="-1440"/>
                <w:tab w:val="left" w:pos="-720"/>
              </w:tabs>
              <w:rPr>
                <w:sz w:val="20"/>
                <w:szCs w:val="20"/>
                <w:lang w:val="fr-CA"/>
              </w:rPr>
            </w:pPr>
            <w:r w:rsidRPr="00354AA3">
              <w:rPr>
                <w:sz w:val="20"/>
                <w:szCs w:val="20"/>
                <w:lang w:val="fr-CA"/>
              </w:rPr>
              <w:tab/>
            </w:r>
          </w:p>
          <w:p w:rsidR="00500F85" w:rsidRPr="00354AA3" w:rsidRDefault="00500F85" w:rsidP="00500F85">
            <w:pPr>
              <w:keepNext/>
              <w:keepLines/>
              <w:tabs>
                <w:tab w:val="left" w:pos="-1440"/>
                <w:tab w:val="left" w:pos="-720"/>
              </w:tabs>
              <w:rPr>
                <w:sz w:val="20"/>
                <w:szCs w:val="20"/>
                <w:lang w:val="fr-CA"/>
              </w:rPr>
            </w:pPr>
            <w:r w:rsidRPr="00354AA3">
              <w:rPr>
                <w:sz w:val="20"/>
                <w:szCs w:val="20"/>
                <w:lang w:val="fr-CA"/>
              </w:rPr>
              <w:tab/>
            </w:r>
            <w:r w:rsidR="00354AA3" w:rsidRPr="00354AA3">
              <w:rPr>
                <w:sz w:val="20"/>
                <w:szCs w:val="20"/>
                <w:lang w:val="fr-CA"/>
              </w:rPr>
              <w:t>c</w:t>
            </w:r>
            <w:r w:rsidRPr="00354AA3">
              <w:rPr>
                <w:sz w:val="20"/>
                <w:szCs w:val="20"/>
                <w:lang w:val="fr-CA"/>
              </w:rPr>
              <w:t>. (350</w:t>
            </w:r>
            <w:r w:rsidR="00354AA3">
              <w:rPr>
                <w:sz w:val="20"/>
                <w:szCs w:val="20"/>
                <w:lang w:val="fr-CA"/>
              </w:rPr>
              <w:t>91</w:t>
            </w:r>
            <w:r w:rsidRPr="00354AA3">
              <w:rPr>
                <w:sz w:val="20"/>
                <w:szCs w:val="20"/>
                <w:lang w:val="fr-CA"/>
              </w:rPr>
              <w:t>)</w:t>
            </w:r>
          </w:p>
          <w:p w:rsidR="00500F85" w:rsidRPr="00354AA3" w:rsidRDefault="00500F85" w:rsidP="00500F85">
            <w:pPr>
              <w:keepNext/>
              <w:keepLines/>
              <w:tabs>
                <w:tab w:val="left" w:pos="-1440"/>
                <w:tab w:val="left" w:pos="-720"/>
              </w:tabs>
              <w:rPr>
                <w:sz w:val="20"/>
                <w:szCs w:val="20"/>
                <w:lang w:val="fr-CA"/>
              </w:rPr>
            </w:pPr>
          </w:p>
          <w:p w:rsidR="00500F85" w:rsidRPr="00354AA3" w:rsidRDefault="00354AA3" w:rsidP="00500F85">
            <w:pPr>
              <w:keepNext/>
              <w:keepLines/>
              <w:tabs>
                <w:tab w:val="left" w:pos="-1440"/>
                <w:tab w:val="left" w:pos="-720"/>
              </w:tabs>
              <w:rPr>
                <w:b/>
                <w:sz w:val="20"/>
                <w:szCs w:val="20"/>
                <w:lang w:val="fr-CA"/>
              </w:rPr>
            </w:pPr>
            <w:r w:rsidRPr="00354AA3">
              <w:rPr>
                <w:b/>
                <w:sz w:val="20"/>
                <w:szCs w:val="20"/>
                <w:lang w:val="fr-CA"/>
              </w:rPr>
              <w:t>Procureur général du Québec</w:t>
            </w:r>
            <w:r w:rsidR="00500F85" w:rsidRPr="00354AA3">
              <w:rPr>
                <w:b/>
                <w:sz w:val="20"/>
                <w:szCs w:val="20"/>
                <w:lang w:val="fr-CA"/>
              </w:rPr>
              <w:t xml:space="preserve"> </w:t>
            </w:r>
            <w:r w:rsidRPr="00354AA3">
              <w:rPr>
                <w:b/>
                <w:sz w:val="20"/>
                <w:szCs w:val="20"/>
                <w:lang w:val="fr-CA"/>
              </w:rPr>
              <w:t xml:space="preserve">et autres </w:t>
            </w:r>
            <w:r w:rsidR="00500F85" w:rsidRPr="00354AA3">
              <w:rPr>
                <w:b/>
                <w:sz w:val="20"/>
                <w:szCs w:val="20"/>
                <w:lang w:val="fr-CA"/>
              </w:rPr>
              <w:t>(</w:t>
            </w:r>
            <w:r w:rsidRPr="00354AA3">
              <w:rPr>
                <w:b/>
                <w:sz w:val="20"/>
                <w:szCs w:val="20"/>
                <w:lang w:val="fr-CA"/>
              </w:rPr>
              <w:t>Qc</w:t>
            </w:r>
            <w:r w:rsidR="00500F85" w:rsidRPr="00354AA3">
              <w:rPr>
                <w:b/>
                <w:sz w:val="20"/>
                <w:szCs w:val="20"/>
                <w:lang w:val="fr-CA"/>
              </w:rPr>
              <w:t>)</w:t>
            </w:r>
          </w:p>
          <w:p w:rsidR="00500F85" w:rsidRPr="00354AA3" w:rsidRDefault="00500F85" w:rsidP="00500F85">
            <w:pPr>
              <w:keepNext/>
              <w:keepLines/>
              <w:tabs>
                <w:tab w:val="left" w:pos="-1440"/>
                <w:tab w:val="left" w:pos="-720"/>
              </w:tabs>
              <w:rPr>
                <w:sz w:val="20"/>
                <w:szCs w:val="20"/>
                <w:lang w:val="fr-CA"/>
              </w:rPr>
            </w:pPr>
            <w:r w:rsidRPr="00354AA3">
              <w:rPr>
                <w:sz w:val="20"/>
                <w:szCs w:val="20"/>
                <w:lang w:val="fr-CA"/>
              </w:rPr>
              <w:tab/>
            </w:r>
            <w:r w:rsidR="00354AA3" w:rsidRPr="00354AA3">
              <w:rPr>
                <w:sz w:val="20"/>
                <w:szCs w:val="20"/>
                <w:lang w:val="fr-CA"/>
              </w:rPr>
              <w:t>Céline Stehly</w:t>
            </w:r>
          </w:p>
          <w:p w:rsidR="00500F85" w:rsidRPr="00354AA3" w:rsidRDefault="00500F85" w:rsidP="00500F85">
            <w:pPr>
              <w:keepNext/>
              <w:keepLines/>
              <w:tabs>
                <w:tab w:val="left" w:pos="-1440"/>
                <w:tab w:val="left" w:pos="-720"/>
              </w:tabs>
              <w:rPr>
                <w:sz w:val="20"/>
                <w:szCs w:val="20"/>
                <w:lang w:val="fr-CA"/>
              </w:rPr>
            </w:pPr>
            <w:r w:rsidRPr="00354AA3">
              <w:rPr>
                <w:sz w:val="20"/>
                <w:szCs w:val="20"/>
                <w:lang w:val="fr-CA"/>
              </w:rPr>
              <w:tab/>
            </w:r>
            <w:r w:rsidR="00354AA3" w:rsidRPr="00354AA3">
              <w:rPr>
                <w:sz w:val="20"/>
                <w:szCs w:val="20"/>
                <w:lang w:val="fr-CA"/>
              </w:rPr>
              <w:t>Bern</w:t>
            </w:r>
            <w:r w:rsidRPr="00354AA3">
              <w:rPr>
                <w:sz w:val="20"/>
                <w:szCs w:val="20"/>
                <w:lang w:val="fr-CA"/>
              </w:rPr>
              <w:t>a</w:t>
            </w:r>
            <w:r w:rsidR="00354AA3" w:rsidRPr="00354AA3">
              <w:rPr>
                <w:sz w:val="20"/>
                <w:szCs w:val="20"/>
                <w:lang w:val="fr-CA"/>
              </w:rPr>
              <w:t>rd, Roy et Associés</w:t>
            </w:r>
          </w:p>
          <w:p w:rsidR="00500F85" w:rsidRPr="00354AA3" w:rsidRDefault="00500F85" w:rsidP="00500F85">
            <w:pPr>
              <w:keepNext/>
              <w:keepLines/>
              <w:tabs>
                <w:tab w:val="left" w:pos="-1440"/>
                <w:tab w:val="left" w:pos="-720"/>
              </w:tabs>
              <w:rPr>
                <w:sz w:val="20"/>
                <w:szCs w:val="20"/>
                <w:lang w:val="fr-CA"/>
              </w:rPr>
            </w:pPr>
          </w:p>
          <w:p w:rsidR="00BA4DB3" w:rsidRPr="00354AA3" w:rsidRDefault="00500F85" w:rsidP="00500F85">
            <w:pPr>
              <w:tabs>
                <w:tab w:val="left" w:pos="-1440"/>
                <w:tab w:val="left" w:pos="-720"/>
              </w:tabs>
              <w:rPr>
                <w:sz w:val="20"/>
                <w:szCs w:val="20"/>
                <w:lang w:val="fr-CA"/>
              </w:rPr>
            </w:pPr>
            <w:r w:rsidRPr="00354AA3">
              <w:rPr>
                <w:sz w:val="20"/>
                <w:szCs w:val="20"/>
                <w:lang w:val="fr-CA"/>
              </w:rPr>
              <w:t>DATE</w:t>
            </w:r>
            <w:r w:rsidR="00354AA3" w:rsidRPr="00354AA3">
              <w:rPr>
                <w:sz w:val="20"/>
                <w:szCs w:val="20"/>
                <w:lang w:val="fr-CA"/>
              </w:rPr>
              <w:t xml:space="preserve"> DE PRODUCTION </w:t>
            </w:r>
            <w:r w:rsidRPr="00354AA3">
              <w:rPr>
                <w:sz w:val="20"/>
                <w:szCs w:val="20"/>
                <w:lang w:val="fr-CA"/>
              </w:rPr>
              <w:t xml:space="preserve">: </w:t>
            </w:r>
            <w:r w:rsidR="00354AA3" w:rsidRPr="00354AA3">
              <w:rPr>
                <w:sz w:val="20"/>
                <w:szCs w:val="20"/>
                <w:lang w:val="fr-CA"/>
              </w:rPr>
              <w:t>08</w:t>
            </w:r>
            <w:r w:rsidRPr="00354AA3">
              <w:rPr>
                <w:sz w:val="20"/>
                <w:szCs w:val="20"/>
                <w:lang w:val="fr-CA"/>
              </w:rPr>
              <w:t>.11.2012</w:t>
            </w:r>
          </w:p>
          <w:p w:rsidR="00BA4DB3" w:rsidRPr="00A935AA" w:rsidRDefault="00DB239D" w:rsidP="007D178D">
            <w:pPr>
              <w:rPr>
                <w:sz w:val="20"/>
                <w:szCs w:val="20"/>
              </w:rPr>
            </w:pPr>
            <w:r w:rsidRPr="00DB239D">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tc>
        <w:tc>
          <w:tcPr>
            <w:tcW w:w="4320" w:type="dxa"/>
            <w:shd w:val="clear" w:color="auto" w:fill="auto"/>
          </w:tcPr>
          <w:p w:rsidR="00BA4DB3" w:rsidRPr="00A935AA" w:rsidRDefault="00500F85" w:rsidP="007D178D">
            <w:pPr>
              <w:keepNext/>
              <w:keepLines/>
              <w:tabs>
                <w:tab w:val="left" w:pos="-1440"/>
                <w:tab w:val="left" w:pos="-720"/>
              </w:tabs>
              <w:rPr>
                <w:b/>
                <w:sz w:val="20"/>
                <w:szCs w:val="20"/>
              </w:rPr>
            </w:pPr>
            <w:r>
              <w:rPr>
                <w:b/>
                <w:sz w:val="20"/>
                <w:szCs w:val="20"/>
              </w:rPr>
              <w:t>Eli Lilly Canada Inc. et al.</w:t>
            </w:r>
          </w:p>
          <w:p w:rsidR="00500F85" w:rsidRPr="00A935AA" w:rsidRDefault="00500F85" w:rsidP="00500F85">
            <w:pPr>
              <w:tabs>
                <w:tab w:val="left" w:pos="-1440"/>
                <w:tab w:val="left" w:pos="-720"/>
              </w:tabs>
              <w:rPr>
                <w:sz w:val="20"/>
                <w:szCs w:val="20"/>
              </w:rPr>
            </w:pPr>
            <w:r w:rsidRPr="00A935AA">
              <w:rPr>
                <w:sz w:val="20"/>
                <w:szCs w:val="20"/>
              </w:rPr>
              <w:tab/>
            </w:r>
            <w:r>
              <w:rPr>
                <w:sz w:val="20"/>
                <w:szCs w:val="20"/>
              </w:rPr>
              <w:t>Anthony G. Creber</w:t>
            </w:r>
          </w:p>
          <w:p w:rsidR="00500F85" w:rsidRPr="00A935AA" w:rsidRDefault="00500F85" w:rsidP="00500F85">
            <w:pPr>
              <w:tabs>
                <w:tab w:val="left" w:pos="-1440"/>
                <w:tab w:val="left" w:pos="-720"/>
              </w:tabs>
              <w:rPr>
                <w:sz w:val="20"/>
                <w:szCs w:val="20"/>
              </w:rPr>
            </w:pPr>
            <w:r w:rsidRPr="00A935AA">
              <w:rPr>
                <w:sz w:val="20"/>
                <w:szCs w:val="20"/>
              </w:rPr>
              <w:tab/>
            </w:r>
            <w:r>
              <w:rPr>
                <w:sz w:val="20"/>
                <w:szCs w:val="20"/>
              </w:rPr>
              <w:t>Gowling Lafleur Henderson LLP</w:t>
            </w:r>
          </w:p>
          <w:p w:rsidR="00500F85" w:rsidRPr="00A935AA" w:rsidRDefault="00500F85" w:rsidP="00500F85">
            <w:pPr>
              <w:tabs>
                <w:tab w:val="left" w:pos="-1440"/>
                <w:tab w:val="left" w:pos="-720"/>
              </w:tabs>
              <w:rPr>
                <w:sz w:val="20"/>
                <w:szCs w:val="20"/>
              </w:rPr>
            </w:pPr>
          </w:p>
          <w:p w:rsidR="00500F85" w:rsidRPr="00A935AA" w:rsidRDefault="00500F85" w:rsidP="00500F85">
            <w:pPr>
              <w:tabs>
                <w:tab w:val="left" w:pos="-1440"/>
                <w:tab w:val="left" w:pos="-720"/>
              </w:tabs>
              <w:rPr>
                <w:sz w:val="20"/>
                <w:szCs w:val="20"/>
              </w:rPr>
            </w:pPr>
            <w:r w:rsidRPr="00A935AA">
              <w:rPr>
                <w:sz w:val="20"/>
                <w:szCs w:val="20"/>
              </w:rPr>
              <w:tab/>
              <w:t>v. (3</w:t>
            </w:r>
            <w:r>
              <w:rPr>
                <w:sz w:val="20"/>
                <w:szCs w:val="20"/>
              </w:rPr>
              <w:t>5067</w:t>
            </w:r>
            <w:r w:rsidRPr="00A935AA">
              <w:rPr>
                <w:sz w:val="20"/>
                <w:szCs w:val="20"/>
              </w:rPr>
              <w:t>)</w:t>
            </w:r>
          </w:p>
          <w:p w:rsidR="00500F85" w:rsidRPr="00A935AA" w:rsidRDefault="00500F85" w:rsidP="00500F85">
            <w:pPr>
              <w:tabs>
                <w:tab w:val="left" w:pos="-1440"/>
                <w:tab w:val="left" w:pos="-720"/>
              </w:tabs>
              <w:rPr>
                <w:sz w:val="20"/>
                <w:szCs w:val="20"/>
              </w:rPr>
            </w:pPr>
          </w:p>
          <w:p w:rsidR="00500F85" w:rsidRPr="00A935AA" w:rsidRDefault="00500F85" w:rsidP="00500F85">
            <w:pPr>
              <w:tabs>
                <w:tab w:val="left" w:pos="-1440"/>
                <w:tab w:val="left" w:pos="-720"/>
              </w:tabs>
              <w:rPr>
                <w:b/>
                <w:sz w:val="20"/>
                <w:szCs w:val="20"/>
              </w:rPr>
            </w:pPr>
            <w:r>
              <w:rPr>
                <w:b/>
                <w:sz w:val="20"/>
                <w:szCs w:val="20"/>
              </w:rPr>
              <w:t xml:space="preserve">Novopharm Limited </w:t>
            </w:r>
            <w:r w:rsidRPr="00A935AA">
              <w:rPr>
                <w:b/>
                <w:sz w:val="20"/>
                <w:szCs w:val="20"/>
              </w:rPr>
              <w:t>(</w:t>
            </w:r>
            <w:r>
              <w:rPr>
                <w:b/>
                <w:sz w:val="20"/>
                <w:szCs w:val="20"/>
              </w:rPr>
              <w:t>F</w:t>
            </w:r>
            <w:r w:rsidRPr="00A935AA">
              <w:rPr>
                <w:b/>
                <w:sz w:val="20"/>
                <w:szCs w:val="20"/>
              </w:rPr>
              <w:t>.C.)</w:t>
            </w:r>
          </w:p>
          <w:p w:rsidR="00500F85" w:rsidRPr="00A935AA" w:rsidRDefault="00500F85" w:rsidP="00500F85">
            <w:pPr>
              <w:tabs>
                <w:tab w:val="left" w:pos="-1440"/>
                <w:tab w:val="left" w:pos="-720"/>
              </w:tabs>
              <w:rPr>
                <w:sz w:val="20"/>
                <w:szCs w:val="20"/>
              </w:rPr>
            </w:pPr>
            <w:r w:rsidRPr="00A935AA">
              <w:rPr>
                <w:sz w:val="20"/>
                <w:szCs w:val="20"/>
              </w:rPr>
              <w:tab/>
            </w:r>
            <w:r>
              <w:rPr>
                <w:sz w:val="20"/>
                <w:szCs w:val="20"/>
              </w:rPr>
              <w:t>Jonathan Stainsby</w:t>
            </w:r>
          </w:p>
          <w:p w:rsidR="00500F85" w:rsidRPr="00A935AA" w:rsidRDefault="00500F85" w:rsidP="00500F85">
            <w:pPr>
              <w:tabs>
                <w:tab w:val="left" w:pos="-1440"/>
                <w:tab w:val="left" w:pos="-720"/>
              </w:tabs>
              <w:rPr>
                <w:sz w:val="20"/>
                <w:szCs w:val="20"/>
              </w:rPr>
            </w:pPr>
            <w:r w:rsidRPr="00A935AA">
              <w:rPr>
                <w:sz w:val="20"/>
                <w:szCs w:val="20"/>
              </w:rPr>
              <w:tab/>
            </w:r>
            <w:r>
              <w:rPr>
                <w:sz w:val="20"/>
                <w:szCs w:val="20"/>
              </w:rPr>
              <w:t>Heenan Blaikie</w:t>
            </w:r>
          </w:p>
          <w:p w:rsidR="00500F85" w:rsidRPr="00A935AA" w:rsidRDefault="00500F85" w:rsidP="00500F85">
            <w:pPr>
              <w:tabs>
                <w:tab w:val="left" w:pos="-1440"/>
                <w:tab w:val="left" w:pos="-720"/>
              </w:tabs>
              <w:rPr>
                <w:sz w:val="20"/>
                <w:szCs w:val="20"/>
              </w:rPr>
            </w:pPr>
          </w:p>
          <w:p w:rsidR="00500F85" w:rsidRPr="00A935AA" w:rsidRDefault="00500F85" w:rsidP="00500F85">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11</w:t>
            </w:r>
            <w:r w:rsidRPr="00A935AA">
              <w:rPr>
                <w:sz w:val="20"/>
                <w:szCs w:val="20"/>
              </w:rPr>
              <w:t>.201</w:t>
            </w:r>
            <w:r>
              <w:rPr>
                <w:sz w:val="20"/>
                <w:szCs w:val="20"/>
              </w:rPr>
              <w:t>2</w:t>
            </w:r>
          </w:p>
          <w:p w:rsidR="00BA4DB3" w:rsidRPr="00A935AA" w:rsidRDefault="00DB239D" w:rsidP="007D178D">
            <w:pPr>
              <w:rPr>
                <w:sz w:val="20"/>
                <w:szCs w:val="20"/>
              </w:rPr>
            </w:pPr>
            <w:r w:rsidRPr="00DB239D">
              <w:rPr>
                <w:sz w:val="20"/>
                <w:szCs w:val="20"/>
                <w:lang w:val="fr-CA"/>
              </w:rPr>
              <w:pict>
                <v:rect id="_x0000_i1032" style="width:108pt;height:1pt" o:hrpct="0" o:hralign="center" o:hrstd="t" o:hrnoshade="t" o:hr="t" fillcolor="black [3213]" stroked="f"/>
              </w:pict>
            </w:r>
          </w:p>
        </w:tc>
      </w:tr>
      <w:tr w:rsidR="00354AA3" w:rsidRPr="00A935AA" w:rsidTr="003B3977">
        <w:trPr>
          <w:cantSplit/>
        </w:trPr>
        <w:tc>
          <w:tcPr>
            <w:tcW w:w="4320" w:type="dxa"/>
            <w:shd w:val="clear" w:color="auto" w:fill="auto"/>
          </w:tcPr>
          <w:p w:rsidR="00354AA3" w:rsidRPr="00B9214A" w:rsidRDefault="00354AA3" w:rsidP="007D178D">
            <w:pPr>
              <w:rPr>
                <w:sz w:val="20"/>
                <w:szCs w:val="20"/>
                <w:lang w:val="fr-CA"/>
              </w:rPr>
            </w:pPr>
            <w:r w:rsidRPr="00B9214A">
              <w:rPr>
                <w:b/>
                <w:sz w:val="20"/>
                <w:szCs w:val="20"/>
                <w:lang w:val="fr-CA"/>
              </w:rPr>
              <w:t>Ville de Malartic</w:t>
            </w:r>
          </w:p>
          <w:p w:rsidR="00354AA3" w:rsidRPr="00B9214A" w:rsidRDefault="00354AA3" w:rsidP="007D178D">
            <w:pPr>
              <w:rPr>
                <w:sz w:val="20"/>
                <w:szCs w:val="20"/>
                <w:lang w:val="fr-CA"/>
              </w:rPr>
            </w:pPr>
            <w:r w:rsidRPr="00B9214A">
              <w:rPr>
                <w:sz w:val="20"/>
                <w:szCs w:val="20"/>
                <w:lang w:val="fr-CA"/>
              </w:rPr>
              <w:tab/>
              <w:t>Stephan Ferron</w:t>
            </w:r>
          </w:p>
          <w:p w:rsidR="00354AA3" w:rsidRPr="00B9214A" w:rsidRDefault="00354AA3" w:rsidP="007D178D">
            <w:pPr>
              <w:rPr>
                <w:sz w:val="20"/>
                <w:szCs w:val="20"/>
                <w:lang w:val="fr-CA"/>
              </w:rPr>
            </w:pPr>
            <w:r w:rsidRPr="00B9214A">
              <w:rPr>
                <w:sz w:val="20"/>
                <w:szCs w:val="20"/>
                <w:lang w:val="fr-CA"/>
              </w:rPr>
              <w:tab/>
              <w:t>Cain Lamarre Casgrain Wells</w:t>
            </w:r>
          </w:p>
          <w:p w:rsidR="00354AA3" w:rsidRPr="00B9214A" w:rsidRDefault="00354AA3" w:rsidP="007D178D">
            <w:pPr>
              <w:rPr>
                <w:sz w:val="20"/>
                <w:szCs w:val="20"/>
                <w:lang w:val="fr-CA"/>
              </w:rPr>
            </w:pPr>
          </w:p>
          <w:p w:rsidR="00354AA3" w:rsidRPr="00B9214A" w:rsidRDefault="00354AA3" w:rsidP="007D178D">
            <w:pPr>
              <w:rPr>
                <w:sz w:val="20"/>
                <w:szCs w:val="20"/>
                <w:lang w:val="fr-CA"/>
              </w:rPr>
            </w:pPr>
            <w:r w:rsidRPr="00B9214A">
              <w:rPr>
                <w:sz w:val="20"/>
                <w:szCs w:val="20"/>
                <w:lang w:val="fr-CA"/>
              </w:rPr>
              <w:tab/>
              <w:t>c. (35066)</w:t>
            </w:r>
          </w:p>
          <w:p w:rsidR="00354AA3" w:rsidRPr="00B9214A" w:rsidRDefault="00354AA3" w:rsidP="007D178D">
            <w:pPr>
              <w:rPr>
                <w:sz w:val="20"/>
                <w:szCs w:val="20"/>
                <w:lang w:val="fr-CA"/>
              </w:rPr>
            </w:pPr>
          </w:p>
          <w:p w:rsidR="00354AA3" w:rsidRDefault="00354AA3" w:rsidP="007D178D">
            <w:pPr>
              <w:rPr>
                <w:sz w:val="20"/>
                <w:szCs w:val="20"/>
                <w:lang w:val="fr-CA"/>
              </w:rPr>
            </w:pPr>
            <w:r w:rsidRPr="00354AA3">
              <w:rPr>
                <w:b/>
                <w:sz w:val="20"/>
                <w:szCs w:val="20"/>
                <w:lang w:val="fr-CA"/>
              </w:rPr>
              <w:t>Procureur général du Québec et autres (Qc)</w:t>
            </w:r>
          </w:p>
          <w:p w:rsidR="00354AA3" w:rsidRDefault="00354AA3" w:rsidP="007D178D">
            <w:pPr>
              <w:rPr>
                <w:sz w:val="20"/>
                <w:szCs w:val="20"/>
                <w:lang w:val="fr-CA"/>
              </w:rPr>
            </w:pPr>
            <w:r>
              <w:rPr>
                <w:sz w:val="20"/>
                <w:szCs w:val="20"/>
                <w:lang w:val="fr-CA"/>
              </w:rPr>
              <w:tab/>
              <w:t>Nathalie Fiset</w:t>
            </w:r>
          </w:p>
          <w:p w:rsidR="00354AA3" w:rsidRDefault="00354AA3" w:rsidP="007D178D">
            <w:pPr>
              <w:rPr>
                <w:sz w:val="20"/>
                <w:szCs w:val="20"/>
                <w:lang w:val="fr-CA"/>
              </w:rPr>
            </w:pPr>
            <w:r>
              <w:rPr>
                <w:sz w:val="20"/>
                <w:szCs w:val="20"/>
                <w:lang w:val="fr-CA"/>
              </w:rPr>
              <w:tab/>
            </w:r>
            <w:r w:rsidRPr="00354AA3">
              <w:rPr>
                <w:sz w:val="20"/>
                <w:szCs w:val="20"/>
                <w:lang w:val="fr-CA"/>
              </w:rPr>
              <w:t>Bernard, Roy et Associés</w:t>
            </w:r>
          </w:p>
          <w:p w:rsidR="00354AA3" w:rsidRDefault="00354AA3" w:rsidP="007D178D">
            <w:pPr>
              <w:rPr>
                <w:sz w:val="20"/>
                <w:szCs w:val="20"/>
                <w:lang w:val="fr-CA"/>
              </w:rPr>
            </w:pPr>
          </w:p>
          <w:p w:rsidR="00354AA3" w:rsidRDefault="00354AA3" w:rsidP="00354AA3">
            <w:pPr>
              <w:rPr>
                <w:sz w:val="20"/>
                <w:szCs w:val="20"/>
                <w:lang w:val="fr-CA"/>
              </w:rPr>
            </w:pPr>
            <w:r>
              <w:rPr>
                <w:sz w:val="20"/>
                <w:szCs w:val="20"/>
                <w:lang w:val="fr-CA"/>
              </w:rPr>
              <w:t>DATE DE PRODUCTION : 09.11.2012</w:t>
            </w:r>
          </w:p>
          <w:p w:rsidR="00354AA3" w:rsidRPr="00354AA3" w:rsidRDefault="00DB239D" w:rsidP="00354AA3">
            <w:pPr>
              <w:rPr>
                <w:sz w:val="20"/>
                <w:szCs w:val="20"/>
                <w:lang w:val="fr-CA"/>
              </w:rPr>
            </w:pPr>
            <w:r w:rsidRPr="00DB239D">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p w:rsidR="00354AA3" w:rsidRPr="00354AA3" w:rsidRDefault="00354AA3" w:rsidP="00242AEE">
            <w:pPr>
              <w:jc w:val="center"/>
              <w:rPr>
                <w:sz w:val="20"/>
                <w:szCs w:val="20"/>
                <w:lang w:val="fr-CA"/>
              </w:rPr>
            </w:pPr>
          </w:p>
        </w:tc>
        <w:tc>
          <w:tcPr>
            <w:tcW w:w="4320" w:type="dxa"/>
            <w:shd w:val="clear" w:color="auto" w:fill="auto"/>
          </w:tcPr>
          <w:p w:rsidR="00354AA3" w:rsidRDefault="00354AA3" w:rsidP="007D178D">
            <w:pPr>
              <w:keepNext/>
              <w:keepLines/>
              <w:tabs>
                <w:tab w:val="left" w:pos="-1440"/>
                <w:tab w:val="left" w:pos="-720"/>
              </w:tabs>
              <w:rPr>
                <w:sz w:val="20"/>
                <w:szCs w:val="20"/>
              </w:rPr>
            </w:pPr>
            <w:r>
              <w:rPr>
                <w:b/>
                <w:sz w:val="20"/>
                <w:szCs w:val="20"/>
              </w:rPr>
              <w:t>Mirza Nammo</w:t>
            </w:r>
          </w:p>
          <w:p w:rsidR="00354AA3" w:rsidRPr="00A935AA" w:rsidRDefault="00354AA3" w:rsidP="00354AA3">
            <w:pPr>
              <w:tabs>
                <w:tab w:val="left" w:pos="-1440"/>
                <w:tab w:val="left" w:pos="-720"/>
              </w:tabs>
              <w:rPr>
                <w:sz w:val="20"/>
                <w:szCs w:val="20"/>
              </w:rPr>
            </w:pPr>
            <w:r w:rsidRPr="00A935AA">
              <w:rPr>
                <w:sz w:val="20"/>
                <w:szCs w:val="20"/>
              </w:rPr>
              <w:tab/>
            </w:r>
            <w:r>
              <w:rPr>
                <w:sz w:val="20"/>
                <w:szCs w:val="20"/>
              </w:rPr>
              <w:t>Mirza Nammo</w:t>
            </w:r>
          </w:p>
          <w:p w:rsidR="00354AA3" w:rsidRPr="00A935AA" w:rsidRDefault="00354AA3" w:rsidP="00354AA3">
            <w:pPr>
              <w:tabs>
                <w:tab w:val="left" w:pos="-1440"/>
                <w:tab w:val="left" w:pos="-720"/>
              </w:tabs>
              <w:rPr>
                <w:sz w:val="20"/>
                <w:szCs w:val="20"/>
              </w:rPr>
            </w:pPr>
            <w:r w:rsidRPr="00A935AA">
              <w:rPr>
                <w:sz w:val="20"/>
                <w:szCs w:val="20"/>
              </w:rPr>
              <w:tab/>
            </w:r>
          </w:p>
          <w:p w:rsidR="00354AA3" w:rsidRPr="00243DDD" w:rsidRDefault="00354AA3" w:rsidP="00354AA3">
            <w:pPr>
              <w:keepNext/>
              <w:keepLines/>
              <w:tabs>
                <w:tab w:val="left" w:pos="-1440"/>
                <w:tab w:val="left" w:pos="-720"/>
              </w:tabs>
              <w:rPr>
                <w:sz w:val="20"/>
                <w:szCs w:val="20"/>
              </w:rPr>
            </w:pPr>
            <w:r w:rsidRPr="00A935AA">
              <w:rPr>
                <w:sz w:val="20"/>
                <w:szCs w:val="20"/>
              </w:rPr>
              <w:tab/>
            </w:r>
            <w:r w:rsidRPr="00243DDD">
              <w:rPr>
                <w:sz w:val="20"/>
                <w:szCs w:val="20"/>
              </w:rPr>
              <w:t>v. (35</w:t>
            </w:r>
            <w:r>
              <w:rPr>
                <w:sz w:val="20"/>
                <w:szCs w:val="20"/>
              </w:rPr>
              <w:t>075</w:t>
            </w:r>
            <w:r w:rsidRPr="00243DDD">
              <w:rPr>
                <w:sz w:val="20"/>
                <w:szCs w:val="20"/>
              </w:rPr>
              <w:t>)</w:t>
            </w:r>
          </w:p>
          <w:p w:rsidR="00354AA3" w:rsidRPr="00243DDD" w:rsidRDefault="00354AA3" w:rsidP="00354AA3">
            <w:pPr>
              <w:keepNext/>
              <w:keepLines/>
              <w:tabs>
                <w:tab w:val="left" w:pos="-1440"/>
                <w:tab w:val="left" w:pos="-720"/>
              </w:tabs>
              <w:rPr>
                <w:sz w:val="20"/>
                <w:szCs w:val="20"/>
              </w:rPr>
            </w:pPr>
          </w:p>
          <w:p w:rsidR="00354AA3" w:rsidRPr="00243DDD" w:rsidRDefault="00354AA3" w:rsidP="00354AA3">
            <w:pPr>
              <w:keepNext/>
              <w:keepLines/>
              <w:tabs>
                <w:tab w:val="left" w:pos="-1440"/>
                <w:tab w:val="left" w:pos="-720"/>
              </w:tabs>
              <w:rPr>
                <w:b/>
                <w:sz w:val="20"/>
                <w:szCs w:val="20"/>
              </w:rPr>
            </w:pPr>
            <w:r>
              <w:rPr>
                <w:b/>
                <w:sz w:val="20"/>
                <w:szCs w:val="20"/>
              </w:rPr>
              <w:t>Law Enforcement Review Board</w:t>
            </w:r>
            <w:r w:rsidRPr="00243DDD">
              <w:rPr>
                <w:b/>
                <w:sz w:val="20"/>
                <w:szCs w:val="20"/>
              </w:rPr>
              <w:t xml:space="preserve"> (</w:t>
            </w:r>
            <w:r>
              <w:rPr>
                <w:b/>
                <w:sz w:val="20"/>
                <w:szCs w:val="20"/>
              </w:rPr>
              <w:t>Al</w:t>
            </w:r>
            <w:r w:rsidRPr="00243DDD">
              <w:rPr>
                <w:b/>
                <w:sz w:val="20"/>
                <w:szCs w:val="20"/>
              </w:rPr>
              <w:t>t</w:t>
            </w:r>
            <w:r>
              <w:rPr>
                <w:b/>
                <w:sz w:val="20"/>
                <w:szCs w:val="20"/>
              </w:rPr>
              <w:t>a</w:t>
            </w:r>
            <w:r w:rsidRPr="00243DDD">
              <w:rPr>
                <w:b/>
                <w:sz w:val="20"/>
                <w:szCs w:val="20"/>
              </w:rPr>
              <w:t>.)</w:t>
            </w:r>
          </w:p>
          <w:p w:rsidR="00354AA3" w:rsidRPr="00243DDD" w:rsidRDefault="00354AA3" w:rsidP="00354AA3">
            <w:pPr>
              <w:keepNext/>
              <w:keepLines/>
              <w:tabs>
                <w:tab w:val="left" w:pos="-1440"/>
                <w:tab w:val="left" w:pos="-720"/>
              </w:tabs>
              <w:rPr>
                <w:sz w:val="20"/>
                <w:szCs w:val="20"/>
              </w:rPr>
            </w:pPr>
            <w:r w:rsidRPr="00243DDD">
              <w:rPr>
                <w:sz w:val="20"/>
                <w:szCs w:val="20"/>
              </w:rPr>
              <w:tab/>
            </w:r>
            <w:r>
              <w:rPr>
                <w:sz w:val="20"/>
                <w:szCs w:val="20"/>
              </w:rPr>
              <w:t>Sean McDonough</w:t>
            </w:r>
          </w:p>
          <w:p w:rsidR="00354AA3" w:rsidRPr="00243DDD" w:rsidRDefault="00354AA3" w:rsidP="00354AA3">
            <w:pPr>
              <w:keepNext/>
              <w:keepLines/>
              <w:tabs>
                <w:tab w:val="left" w:pos="-1440"/>
                <w:tab w:val="left" w:pos="-720"/>
              </w:tabs>
              <w:rPr>
                <w:sz w:val="20"/>
                <w:szCs w:val="20"/>
              </w:rPr>
            </w:pPr>
            <w:r w:rsidRPr="00243DDD">
              <w:rPr>
                <w:sz w:val="20"/>
                <w:szCs w:val="20"/>
              </w:rPr>
              <w:tab/>
            </w:r>
            <w:r>
              <w:rPr>
                <w:sz w:val="20"/>
                <w:szCs w:val="20"/>
              </w:rPr>
              <w:t>A.G. of Alberta</w:t>
            </w:r>
          </w:p>
          <w:p w:rsidR="00354AA3" w:rsidRPr="00243DDD" w:rsidRDefault="00354AA3" w:rsidP="00354AA3">
            <w:pPr>
              <w:keepNext/>
              <w:keepLines/>
              <w:tabs>
                <w:tab w:val="left" w:pos="-1440"/>
                <w:tab w:val="left" w:pos="-720"/>
              </w:tabs>
              <w:rPr>
                <w:sz w:val="20"/>
                <w:szCs w:val="20"/>
              </w:rPr>
            </w:pPr>
          </w:p>
          <w:p w:rsidR="00354AA3" w:rsidRPr="00A935AA" w:rsidRDefault="00354AA3" w:rsidP="00354AA3">
            <w:pPr>
              <w:tabs>
                <w:tab w:val="left" w:pos="-1440"/>
                <w:tab w:val="left" w:pos="-720"/>
              </w:tabs>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11</w:t>
            </w:r>
            <w:r w:rsidRPr="00A935AA">
              <w:rPr>
                <w:sz w:val="20"/>
                <w:szCs w:val="20"/>
              </w:rPr>
              <w:t>.201</w:t>
            </w:r>
            <w:r>
              <w:rPr>
                <w:sz w:val="20"/>
                <w:szCs w:val="20"/>
              </w:rPr>
              <w:t>2</w:t>
            </w:r>
          </w:p>
          <w:p w:rsidR="00354AA3" w:rsidRDefault="00DB239D" w:rsidP="007D178D">
            <w:pPr>
              <w:keepNext/>
              <w:keepLines/>
              <w:tabs>
                <w:tab w:val="left" w:pos="-1440"/>
                <w:tab w:val="left" w:pos="-720"/>
              </w:tabs>
              <w:rPr>
                <w:sz w:val="20"/>
                <w:szCs w:val="20"/>
                <w:lang w:val="fr-CA"/>
              </w:rPr>
            </w:pPr>
            <w:r w:rsidRPr="00DB239D">
              <w:rPr>
                <w:sz w:val="20"/>
                <w:szCs w:val="20"/>
                <w:lang w:val="fr-CA"/>
              </w:rPr>
              <w:pict>
                <v:rect id="_x0000_i1034" style="width:108pt;height:1pt" o:hrpct="0" o:hralign="center" o:hrstd="t" o:hrnoshade="t" o:hr="t" fillcolor="black [3213]" stroked="f"/>
              </w:pict>
            </w:r>
          </w:p>
          <w:p w:rsidR="00354AA3" w:rsidRPr="00354AA3" w:rsidRDefault="00354AA3" w:rsidP="007D178D">
            <w:pPr>
              <w:keepNext/>
              <w:keepLines/>
              <w:tabs>
                <w:tab w:val="left" w:pos="-1440"/>
                <w:tab w:val="left" w:pos="-720"/>
              </w:tabs>
              <w:rPr>
                <w:sz w:val="20"/>
                <w:szCs w:val="20"/>
              </w:rPr>
            </w:pPr>
          </w:p>
        </w:tc>
      </w:tr>
      <w:tr w:rsidR="00BA4DB3" w:rsidRPr="001D43E1" w:rsidTr="003B3977">
        <w:trPr>
          <w:cantSplit/>
        </w:trPr>
        <w:tc>
          <w:tcPr>
            <w:tcW w:w="4320" w:type="dxa"/>
            <w:shd w:val="clear" w:color="auto" w:fill="auto"/>
          </w:tcPr>
          <w:p w:rsidR="005136CC" w:rsidRDefault="005136CC" w:rsidP="007D178D">
            <w:pPr>
              <w:rPr>
                <w:b/>
                <w:sz w:val="20"/>
                <w:szCs w:val="20"/>
                <w:lang w:val="fr-CA"/>
              </w:rPr>
            </w:pPr>
          </w:p>
          <w:p w:rsidR="00BA4DB3" w:rsidRPr="00500F85" w:rsidRDefault="00500F85" w:rsidP="007D178D">
            <w:pPr>
              <w:rPr>
                <w:b/>
                <w:sz w:val="20"/>
                <w:szCs w:val="20"/>
                <w:lang w:val="fr-CA"/>
              </w:rPr>
            </w:pPr>
            <w:r w:rsidRPr="00500F85">
              <w:rPr>
                <w:b/>
                <w:sz w:val="20"/>
                <w:szCs w:val="20"/>
                <w:lang w:val="fr-CA"/>
              </w:rPr>
              <w:t>Francis Proulx</w:t>
            </w:r>
          </w:p>
          <w:p w:rsidR="00BA4DB3" w:rsidRPr="00500F85" w:rsidRDefault="00BA4DB3" w:rsidP="007D178D">
            <w:pPr>
              <w:tabs>
                <w:tab w:val="left" w:pos="-1440"/>
                <w:tab w:val="left" w:pos="-720"/>
              </w:tabs>
              <w:rPr>
                <w:sz w:val="20"/>
                <w:szCs w:val="20"/>
                <w:lang w:val="fr-CA"/>
              </w:rPr>
            </w:pPr>
            <w:r w:rsidRPr="00500F85">
              <w:rPr>
                <w:sz w:val="20"/>
                <w:szCs w:val="20"/>
                <w:lang w:val="fr-CA"/>
              </w:rPr>
              <w:tab/>
            </w:r>
            <w:r w:rsidR="00500F85" w:rsidRPr="00500F85">
              <w:rPr>
                <w:sz w:val="20"/>
                <w:szCs w:val="20"/>
                <w:lang w:val="fr-CA"/>
              </w:rPr>
              <w:t>René Duval</w:t>
            </w:r>
          </w:p>
          <w:p w:rsidR="00BA4DB3" w:rsidRPr="00500F85" w:rsidRDefault="00BA4DB3" w:rsidP="007D178D">
            <w:pPr>
              <w:tabs>
                <w:tab w:val="left" w:pos="-1440"/>
                <w:tab w:val="left" w:pos="-720"/>
              </w:tabs>
              <w:rPr>
                <w:sz w:val="20"/>
                <w:szCs w:val="20"/>
                <w:lang w:val="fr-CA"/>
              </w:rPr>
            </w:pPr>
            <w:r w:rsidRPr="00500F85">
              <w:rPr>
                <w:sz w:val="20"/>
                <w:szCs w:val="20"/>
                <w:lang w:val="fr-CA"/>
              </w:rPr>
              <w:tab/>
            </w:r>
            <w:r w:rsidR="00500F85" w:rsidRPr="00500F85">
              <w:rPr>
                <w:sz w:val="20"/>
                <w:szCs w:val="20"/>
                <w:lang w:val="fr-CA"/>
              </w:rPr>
              <w:t>Duval Lauzon Ménard</w:t>
            </w:r>
          </w:p>
          <w:p w:rsidR="00BA4DB3" w:rsidRPr="00500F85" w:rsidRDefault="00BA4DB3" w:rsidP="007D178D">
            <w:pPr>
              <w:tabs>
                <w:tab w:val="left" w:pos="-1440"/>
                <w:tab w:val="left" w:pos="-720"/>
              </w:tabs>
              <w:rPr>
                <w:sz w:val="20"/>
                <w:szCs w:val="20"/>
                <w:lang w:val="fr-CA"/>
              </w:rPr>
            </w:pPr>
          </w:p>
          <w:p w:rsidR="00BA4DB3" w:rsidRPr="00BD154A" w:rsidRDefault="00BA4DB3" w:rsidP="007D178D">
            <w:pPr>
              <w:tabs>
                <w:tab w:val="left" w:pos="-1440"/>
                <w:tab w:val="left" w:pos="-720"/>
              </w:tabs>
              <w:rPr>
                <w:sz w:val="20"/>
                <w:szCs w:val="20"/>
              </w:rPr>
            </w:pPr>
            <w:r w:rsidRPr="00500F85">
              <w:rPr>
                <w:sz w:val="20"/>
                <w:szCs w:val="20"/>
                <w:lang w:val="fr-CA"/>
              </w:rPr>
              <w:tab/>
            </w:r>
            <w:r w:rsidRPr="00BD154A">
              <w:rPr>
                <w:sz w:val="20"/>
                <w:szCs w:val="20"/>
              </w:rPr>
              <w:t>v. (35</w:t>
            </w:r>
            <w:r w:rsidR="00500F85" w:rsidRPr="00BD154A">
              <w:rPr>
                <w:sz w:val="20"/>
                <w:szCs w:val="20"/>
              </w:rPr>
              <w:t>070</w:t>
            </w:r>
            <w:r w:rsidRPr="00BD154A">
              <w:rPr>
                <w:sz w:val="20"/>
                <w:szCs w:val="20"/>
              </w:rPr>
              <w:t>)</w:t>
            </w:r>
          </w:p>
          <w:p w:rsidR="00BA4DB3" w:rsidRPr="00BD154A" w:rsidRDefault="00BA4DB3" w:rsidP="007D178D">
            <w:pPr>
              <w:tabs>
                <w:tab w:val="left" w:pos="-1440"/>
                <w:tab w:val="left" w:pos="-720"/>
              </w:tabs>
              <w:rPr>
                <w:sz w:val="20"/>
                <w:szCs w:val="20"/>
              </w:rPr>
            </w:pPr>
          </w:p>
          <w:p w:rsidR="00BA4DB3" w:rsidRPr="00BD154A" w:rsidRDefault="00500F85" w:rsidP="007D178D">
            <w:pPr>
              <w:tabs>
                <w:tab w:val="left" w:pos="-1440"/>
                <w:tab w:val="left" w:pos="-720"/>
              </w:tabs>
              <w:rPr>
                <w:b/>
                <w:sz w:val="20"/>
                <w:szCs w:val="20"/>
              </w:rPr>
            </w:pPr>
            <w:r w:rsidRPr="00BD154A">
              <w:rPr>
                <w:b/>
                <w:sz w:val="20"/>
                <w:szCs w:val="20"/>
              </w:rPr>
              <w:t xml:space="preserve">Her Majesty the Queen </w:t>
            </w:r>
            <w:r w:rsidR="00BA4DB3" w:rsidRPr="00BD154A">
              <w:rPr>
                <w:b/>
                <w:sz w:val="20"/>
                <w:szCs w:val="20"/>
              </w:rPr>
              <w:t>(</w:t>
            </w:r>
            <w:r w:rsidRPr="00BD154A">
              <w:rPr>
                <w:b/>
                <w:sz w:val="20"/>
                <w:szCs w:val="20"/>
              </w:rPr>
              <w:t>Que.</w:t>
            </w:r>
            <w:r w:rsidR="00BA4DB3" w:rsidRPr="00BD154A">
              <w:rPr>
                <w:b/>
                <w:sz w:val="20"/>
                <w:szCs w:val="20"/>
              </w:rPr>
              <w:t>)</w:t>
            </w:r>
          </w:p>
          <w:p w:rsidR="00BA4DB3" w:rsidRPr="00500F85" w:rsidRDefault="00BA4DB3" w:rsidP="007D178D">
            <w:pPr>
              <w:tabs>
                <w:tab w:val="left" w:pos="-1440"/>
                <w:tab w:val="left" w:pos="-720"/>
              </w:tabs>
              <w:rPr>
                <w:sz w:val="20"/>
                <w:szCs w:val="20"/>
                <w:lang w:val="fr-CA"/>
              </w:rPr>
            </w:pPr>
            <w:r w:rsidRPr="00BD154A">
              <w:rPr>
                <w:sz w:val="20"/>
                <w:szCs w:val="20"/>
              </w:rPr>
              <w:tab/>
            </w:r>
            <w:r w:rsidR="00500F85" w:rsidRPr="00500F85">
              <w:rPr>
                <w:sz w:val="20"/>
                <w:szCs w:val="20"/>
                <w:lang w:val="fr-CA"/>
              </w:rPr>
              <w:t>Annie Landreville</w:t>
            </w:r>
          </w:p>
          <w:p w:rsidR="00BA4DB3" w:rsidRPr="00500F85" w:rsidRDefault="00BA4DB3" w:rsidP="007D178D">
            <w:pPr>
              <w:tabs>
                <w:tab w:val="left" w:pos="-1440"/>
                <w:tab w:val="left" w:pos="-720"/>
              </w:tabs>
              <w:rPr>
                <w:sz w:val="20"/>
                <w:szCs w:val="20"/>
                <w:lang w:val="fr-CA"/>
              </w:rPr>
            </w:pPr>
            <w:r w:rsidRPr="00500F85">
              <w:rPr>
                <w:sz w:val="20"/>
                <w:szCs w:val="20"/>
                <w:lang w:val="fr-CA"/>
              </w:rPr>
              <w:tab/>
            </w:r>
            <w:r w:rsidR="00500F85" w:rsidRPr="00500F85">
              <w:rPr>
                <w:sz w:val="20"/>
                <w:szCs w:val="20"/>
                <w:lang w:val="fr-CA"/>
              </w:rPr>
              <w:t>Poursuite</w:t>
            </w:r>
            <w:r w:rsidR="00500F85">
              <w:rPr>
                <w:sz w:val="20"/>
                <w:szCs w:val="20"/>
                <w:lang w:val="fr-CA"/>
              </w:rPr>
              <w:t>s</w:t>
            </w:r>
            <w:r w:rsidR="00500F85" w:rsidRPr="00500F85">
              <w:rPr>
                <w:sz w:val="20"/>
                <w:szCs w:val="20"/>
                <w:lang w:val="fr-CA"/>
              </w:rPr>
              <w:t xml:space="preserve"> crimi</w:t>
            </w:r>
            <w:r w:rsidR="00500F85">
              <w:rPr>
                <w:sz w:val="20"/>
                <w:szCs w:val="20"/>
                <w:lang w:val="fr-CA"/>
              </w:rPr>
              <w:t xml:space="preserve">nelles et pénales du </w:t>
            </w:r>
            <w:r w:rsidR="00500F85">
              <w:rPr>
                <w:sz w:val="20"/>
                <w:szCs w:val="20"/>
                <w:lang w:val="fr-CA"/>
              </w:rPr>
              <w:tab/>
              <w:t>Québec</w:t>
            </w:r>
          </w:p>
          <w:p w:rsidR="00BA4DB3" w:rsidRPr="00500F85" w:rsidRDefault="00BA4DB3" w:rsidP="007D178D">
            <w:pPr>
              <w:tabs>
                <w:tab w:val="left" w:pos="-1440"/>
                <w:tab w:val="left" w:pos="-720"/>
              </w:tabs>
              <w:rPr>
                <w:sz w:val="20"/>
                <w:szCs w:val="20"/>
                <w:lang w:val="fr-CA"/>
              </w:rPr>
            </w:pPr>
          </w:p>
          <w:p w:rsidR="00BA4DB3" w:rsidRPr="00A935AA" w:rsidRDefault="00BA4DB3" w:rsidP="007D178D">
            <w:pPr>
              <w:rPr>
                <w:sz w:val="20"/>
                <w:szCs w:val="20"/>
              </w:rPr>
            </w:pPr>
            <w:r w:rsidRPr="00A935AA">
              <w:rPr>
                <w:sz w:val="20"/>
                <w:szCs w:val="20"/>
              </w:rPr>
              <w:t xml:space="preserve">FILING DATE: </w:t>
            </w:r>
            <w:r w:rsidR="00500F85">
              <w:rPr>
                <w:sz w:val="20"/>
                <w:szCs w:val="20"/>
              </w:rPr>
              <w:t>15</w:t>
            </w:r>
            <w:r w:rsidRPr="00A935AA">
              <w:rPr>
                <w:sz w:val="20"/>
                <w:szCs w:val="20"/>
              </w:rPr>
              <w:t>.</w:t>
            </w:r>
            <w:r>
              <w:rPr>
                <w:sz w:val="20"/>
                <w:szCs w:val="20"/>
              </w:rPr>
              <w:t>11</w:t>
            </w:r>
            <w:r w:rsidRPr="00A935AA">
              <w:rPr>
                <w:sz w:val="20"/>
                <w:szCs w:val="20"/>
              </w:rPr>
              <w:t>.201</w:t>
            </w:r>
            <w:r>
              <w:rPr>
                <w:sz w:val="20"/>
                <w:szCs w:val="20"/>
              </w:rPr>
              <w:t>2</w:t>
            </w:r>
          </w:p>
          <w:p w:rsidR="00BA4DB3" w:rsidRPr="00A935AA" w:rsidRDefault="00DB239D" w:rsidP="007D178D">
            <w:pPr>
              <w:rPr>
                <w:sz w:val="20"/>
                <w:szCs w:val="20"/>
              </w:rPr>
            </w:pPr>
            <w:r w:rsidRPr="00DB239D">
              <w:rPr>
                <w:sz w:val="20"/>
                <w:szCs w:val="20"/>
                <w:lang w:val="fr-CA"/>
              </w:rPr>
              <w:pict>
                <v:rect id="_x0000_i1035" style="width:108pt;height:1pt" o:hrpct="0" o:hralign="center" o:hrstd="t" o:hrnoshade="t" o:hr="t" fillcolor="black [3213]" stroked="f"/>
              </w:pict>
            </w:r>
          </w:p>
        </w:tc>
        <w:tc>
          <w:tcPr>
            <w:tcW w:w="1181" w:type="dxa"/>
            <w:shd w:val="clear" w:color="auto" w:fill="auto"/>
          </w:tcPr>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p w:rsidR="00BA4DB3" w:rsidRPr="00A935AA" w:rsidRDefault="00BA4DB3" w:rsidP="00242AEE">
            <w:pPr>
              <w:jc w:val="center"/>
              <w:rPr>
                <w:sz w:val="20"/>
                <w:szCs w:val="20"/>
              </w:rPr>
            </w:pPr>
          </w:p>
        </w:tc>
        <w:tc>
          <w:tcPr>
            <w:tcW w:w="4320" w:type="dxa"/>
            <w:shd w:val="clear" w:color="auto" w:fill="auto"/>
          </w:tcPr>
          <w:p w:rsidR="00BA4DB3" w:rsidRPr="00500F85" w:rsidRDefault="00500F85" w:rsidP="007D178D">
            <w:pPr>
              <w:keepNext/>
              <w:keepLines/>
              <w:tabs>
                <w:tab w:val="left" w:pos="-1440"/>
                <w:tab w:val="left" w:pos="-720"/>
              </w:tabs>
              <w:rPr>
                <w:b/>
                <w:sz w:val="20"/>
                <w:szCs w:val="20"/>
                <w:lang w:val="fr-CA"/>
              </w:rPr>
            </w:pPr>
            <w:r w:rsidRPr="00500F85">
              <w:rPr>
                <w:b/>
                <w:sz w:val="20"/>
                <w:szCs w:val="20"/>
                <w:lang w:val="fr-CA"/>
              </w:rPr>
              <w:t>Réjeane Bélanger et autres</w:t>
            </w:r>
          </w:p>
          <w:p w:rsidR="00BA4DB3" w:rsidRPr="00500F85" w:rsidRDefault="00BA4DB3" w:rsidP="007D178D">
            <w:pPr>
              <w:keepNext/>
              <w:keepLines/>
              <w:tabs>
                <w:tab w:val="left" w:pos="-1440"/>
                <w:tab w:val="left" w:pos="-720"/>
              </w:tabs>
              <w:rPr>
                <w:sz w:val="20"/>
                <w:szCs w:val="20"/>
                <w:lang w:val="fr-CA"/>
              </w:rPr>
            </w:pPr>
            <w:r w:rsidRPr="00500F85">
              <w:rPr>
                <w:sz w:val="20"/>
                <w:szCs w:val="20"/>
                <w:lang w:val="fr-CA"/>
              </w:rPr>
              <w:tab/>
            </w:r>
            <w:r w:rsidR="00500F85" w:rsidRPr="00500F85">
              <w:rPr>
                <w:sz w:val="20"/>
                <w:szCs w:val="20"/>
                <w:lang w:val="fr-CA"/>
              </w:rPr>
              <w:t>Marc Lalonde</w:t>
            </w:r>
          </w:p>
          <w:p w:rsidR="00BA4DB3" w:rsidRPr="00500F85" w:rsidRDefault="00BA4DB3" w:rsidP="007D178D">
            <w:pPr>
              <w:keepNext/>
              <w:keepLines/>
              <w:tabs>
                <w:tab w:val="left" w:pos="-1440"/>
                <w:tab w:val="left" w:pos="-720"/>
              </w:tabs>
              <w:rPr>
                <w:sz w:val="20"/>
                <w:szCs w:val="20"/>
                <w:lang w:val="fr-CA"/>
              </w:rPr>
            </w:pPr>
            <w:r w:rsidRPr="00500F85">
              <w:rPr>
                <w:sz w:val="20"/>
                <w:szCs w:val="20"/>
                <w:lang w:val="fr-CA"/>
              </w:rPr>
              <w:tab/>
            </w:r>
            <w:r w:rsidR="00500F85">
              <w:rPr>
                <w:sz w:val="20"/>
                <w:szCs w:val="20"/>
                <w:lang w:val="fr-CA"/>
              </w:rPr>
              <w:t>Bélanger</w:t>
            </w:r>
            <w:r w:rsidR="00F73FC2">
              <w:rPr>
                <w:sz w:val="20"/>
                <w:szCs w:val="20"/>
                <w:lang w:val="fr-CA"/>
              </w:rPr>
              <w:t>,</w:t>
            </w:r>
            <w:r w:rsidR="00500F85">
              <w:rPr>
                <w:sz w:val="20"/>
                <w:szCs w:val="20"/>
                <w:lang w:val="fr-CA"/>
              </w:rPr>
              <w:t xml:space="preserve"> Sauvé</w:t>
            </w:r>
          </w:p>
          <w:p w:rsidR="00BA4DB3" w:rsidRPr="00500F85" w:rsidRDefault="00BA4DB3" w:rsidP="007D178D">
            <w:pPr>
              <w:keepNext/>
              <w:keepLines/>
              <w:tabs>
                <w:tab w:val="left" w:pos="-1440"/>
                <w:tab w:val="left" w:pos="-720"/>
              </w:tabs>
              <w:rPr>
                <w:sz w:val="20"/>
                <w:szCs w:val="20"/>
                <w:lang w:val="fr-CA"/>
              </w:rPr>
            </w:pPr>
          </w:p>
          <w:p w:rsidR="00BA4DB3" w:rsidRPr="00A935AA" w:rsidRDefault="00BA4DB3" w:rsidP="007D178D">
            <w:pPr>
              <w:keepNext/>
              <w:keepLines/>
              <w:tabs>
                <w:tab w:val="left" w:pos="-1440"/>
                <w:tab w:val="left" w:pos="-720"/>
              </w:tabs>
              <w:rPr>
                <w:sz w:val="20"/>
                <w:szCs w:val="20"/>
                <w:lang w:val="fr-CA"/>
              </w:rPr>
            </w:pPr>
            <w:r w:rsidRPr="00500F85">
              <w:rPr>
                <w:sz w:val="20"/>
                <w:szCs w:val="20"/>
                <w:lang w:val="fr-CA"/>
              </w:rPr>
              <w:tab/>
            </w:r>
            <w:r w:rsidR="00500F85">
              <w:rPr>
                <w:sz w:val="20"/>
                <w:szCs w:val="20"/>
                <w:lang w:val="fr-CA"/>
              </w:rPr>
              <w:t>c</w:t>
            </w:r>
            <w:r w:rsidRPr="00A935AA">
              <w:rPr>
                <w:sz w:val="20"/>
                <w:szCs w:val="20"/>
                <w:lang w:val="fr-CA"/>
              </w:rPr>
              <w:t>. (3</w:t>
            </w:r>
            <w:r>
              <w:rPr>
                <w:sz w:val="20"/>
                <w:szCs w:val="20"/>
                <w:lang w:val="fr-CA"/>
              </w:rPr>
              <w:t>5</w:t>
            </w:r>
            <w:r w:rsidR="00500F85">
              <w:rPr>
                <w:sz w:val="20"/>
                <w:szCs w:val="20"/>
                <w:lang w:val="fr-CA"/>
              </w:rPr>
              <w:t>073</w:t>
            </w:r>
            <w:r w:rsidRPr="00A935AA">
              <w:rPr>
                <w:sz w:val="20"/>
                <w:szCs w:val="20"/>
                <w:lang w:val="fr-CA"/>
              </w:rPr>
              <w:t>)</w:t>
            </w:r>
          </w:p>
          <w:p w:rsidR="00BA4DB3" w:rsidRPr="00A935AA" w:rsidRDefault="00BA4DB3" w:rsidP="007D178D">
            <w:pPr>
              <w:keepNext/>
              <w:keepLines/>
              <w:tabs>
                <w:tab w:val="left" w:pos="-1440"/>
                <w:tab w:val="left" w:pos="-720"/>
              </w:tabs>
              <w:rPr>
                <w:sz w:val="20"/>
                <w:szCs w:val="20"/>
                <w:lang w:val="fr-CA"/>
              </w:rPr>
            </w:pPr>
          </w:p>
          <w:p w:rsidR="00BA4DB3" w:rsidRPr="00A935AA" w:rsidRDefault="00500F85" w:rsidP="007D178D">
            <w:pPr>
              <w:keepNext/>
              <w:keepLines/>
              <w:tabs>
                <w:tab w:val="left" w:pos="-1440"/>
                <w:tab w:val="left" w:pos="-720"/>
              </w:tabs>
              <w:rPr>
                <w:b/>
                <w:sz w:val="20"/>
                <w:szCs w:val="20"/>
                <w:lang w:val="fr-CA"/>
              </w:rPr>
            </w:pPr>
            <w:r>
              <w:rPr>
                <w:b/>
                <w:sz w:val="20"/>
                <w:szCs w:val="20"/>
                <w:lang w:val="fr-CA"/>
              </w:rPr>
              <w:t>Procureur général du Québec et autres</w:t>
            </w:r>
            <w:r w:rsidR="00BA4DB3" w:rsidRPr="00A935AA">
              <w:rPr>
                <w:b/>
                <w:sz w:val="20"/>
                <w:szCs w:val="20"/>
                <w:lang w:val="fr-CA"/>
              </w:rPr>
              <w:t xml:space="preserve"> (</w:t>
            </w:r>
            <w:r>
              <w:rPr>
                <w:b/>
                <w:sz w:val="20"/>
                <w:szCs w:val="20"/>
                <w:lang w:val="fr-CA"/>
              </w:rPr>
              <w:t>Qc</w:t>
            </w:r>
            <w:r w:rsidR="00BA4DB3" w:rsidRPr="00A935AA">
              <w:rPr>
                <w:b/>
                <w:sz w:val="20"/>
                <w:szCs w:val="20"/>
                <w:lang w:val="fr-CA"/>
              </w:rPr>
              <w:t>)</w:t>
            </w:r>
          </w:p>
          <w:p w:rsidR="00BA4DB3" w:rsidRPr="00A935AA" w:rsidRDefault="00BA4DB3" w:rsidP="007D178D">
            <w:pPr>
              <w:keepNext/>
              <w:keepLines/>
              <w:tabs>
                <w:tab w:val="left" w:pos="-1440"/>
                <w:tab w:val="left" w:pos="-720"/>
              </w:tabs>
              <w:rPr>
                <w:sz w:val="20"/>
                <w:szCs w:val="20"/>
                <w:lang w:val="fr-CA"/>
              </w:rPr>
            </w:pPr>
            <w:r w:rsidRPr="00A935AA">
              <w:rPr>
                <w:sz w:val="20"/>
                <w:szCs w:val="20"/>
                <w:lang w:val="fr-CA"/>
              </w:rPr>
              <w:tab/>
            </w:r>
            <w:r w:rsidR="009A1A51">
              <w:rPr>
                <w:sz w:val="20"/>
                <w:szCs w:val="20"/>
                <w:lang w:val="fr-CA"/>
              </w:rPr>
              <w:t>Mélanie Paradis</w:t>
            </w:r>
          </w:p>
          <w:p w:rsidR="00BA4DB3" w:rsidRPr="00A935AA" w:rsidRDefault="00BA4DB3" w:rsidP="007D178D">
            <w:pPr>
              <w:keepNext/>
              <w:keepLines/>
              <w:tabs>
                <w:tab w:val="left" w:pos="-1440"/>
                <w:tab w:val="left" w:pos="-720"/>
              </w:tabs>
              <w:rPr>
                <w:sz w:val="20"/>
                <w:szCs w:val="20"/>
                <w:lang w:val="fr-CA"/>
              </w:rPr>
            </w:pPr>
            <w:r w:rsidRPr="00A935AA">
              <w:rPr>
                <w:sz w:val="20"/>
                <w:szCs w:val="20"/>
                <w:lang w:val="fr-CA"/>
              </w:rPr>
              <w:tab/>
            </w:r>
            <w:r w:rsidR="009A1A51">
              <w:rPr>
                <w:sz w:val="20"/>
                <w:szCs w:val="20"/>
                <w:lang w:val="fr-CA"/>
              </w:rPr>
              <w:t>Chamberland, Gagnon</w:t>
            </w:r>
          </w:p>
          <w:p w:rsidR="00BA4DB3" w:rsidRPr="00A935AA" w:rsidRDefault="00BA4DB3" w:rsidP="007D178D">
            <w:pPr>
              <w:keepNext/>
              <w:keepLines/>
              <w:tabs>
                <w:tab w:val="left" w:pos="-1440"/>
                <w:tab w:val="left" w:pos="-720"/>
              </w:tabs>
              <w:rPr>
                <w:sz w:val="20"/>
                <w:szCs w:val="20"/>
                <w:lang w:val="fr-CA"/>
              </w:rPr>
            </w:pPr>
          </w:p>
          <w:p w:rsidR="00BA4DB3" w:rsidRPr="00500F85" w:rsidRDefault="00BA4DB3" w:rsidP="009A1A51">
            <w:pPr>
              <w:rPr>
                <w:sz w:val="20"/>
                <w:szCs w:val="20"/>
                <w:lang w:val="fr-CA"/>
              </w:rPr>
            </w:pPr>
            <w:r w:rsidRPr="00500F85">
              <w:rPr>
                <w:sz w:val="20"/>
                <w:szCs w:val="20"/>
                <w:lang w:val="fr-CA"/>
              </w:rPr>
              <w:t>DATE</w:t>
            </w:r>
            <w:r w:rsidR="009A1A51">
              <w:rPr>
                <w:sz w:val="20"/>
                <w:szCs w:val="20"/>
                <w:lang w:val="fr-CA"/>
              </w:rPr>
              <w:t xml:space="preserve"> DE PRODUCTION </w:t>
            </w:r>
            <w:r w:rsidRPr="00500F85">
              <w:rPr>
                <w:sz w:val="20"/>
                <w:szCs w:val="20"/>
                <w:lang w:val="fr-CA"/>
              </w:rPr>
              <w:t xml:space="preserve">: </w:t>
            </w:r>
            <w:r w:rsidR="009A1A51">
              <w:rPr>
                <w:sz w:val="20"/>
                <w:szCs w:val="20"/>
                <w:lang w:val="fr-CA"/>
              </w:rPr>
              <w:t>15</w:t>
            </w:r>
            <w:r w:rsidRPr="00500F85">
              <w:rPr>
                <w:sz w:val="20"/>
                <w:szCs w:val="20"/>
                <w:lang w:val="fr-CA"/>
              </w:rPr>
              <w:t>.11.2012</w:t>
            </w:r>
            <w:r w:rsidR="00DB239D" w:rsidRPr="00DB239D">
              <w:rPr>
                <w:sz w:val="20"/>
                <w:szCs w:val="20"/>
                <w:lang w:val="fr-CA"/>
              </w:rPr>
              <w:pict>
                <v:rect id="_x0000_i1036" style="width:108pt;height:1pt" o:hrpct="0" o:hralign="center" o:hrstd="t" o:hrnoshade="t" o:hr="t" fillcolor="black [3213]" stroked="f"/>
              </w:pict>
            </w:r>
          </w:p>
        </w:tc>
      </w:tr>
    </w:tbl>
    <w:p w:rsidR="006C3F47" w:rsidRPr="00500F85" w:rsidRDefault="006C3F47" w:rsidP="0095096B">
      <w:pPr>
        <w:tabs>
          <w:tab w:val="right" w:pos="9360"/>
        </w:tabs>
        <w:rPr>
          <w:sz w:val="20"/>
          <w:szCs w:val="20"/>
          <w:lang w:val="fr-CA"/>
        </w:rPr>
      </w:pPr>
    </w:p>
    <w:p w:rsidR="00242AEE" w:rsidRPr="00500F85" w:rsidRDefault="00242AEE" w:rsidP="0095096B">
      <w:pPr>
        <w:tabs>
          <w:tab w:val="right" w:pos="9360"/>
        </w:tabs>
        <w:rPr>
          <w:sz w:val="20"/>
          <w:szCs w:val="20"/>
          <w:lang w:val="fr-CA"/>
        </w:rPr>
      </w:pPr>
    </w:p>
    <w:p w:rsidR="00242AEE" w:rsidRPr="00500F85" w:rsidRDefault="00242AEE" w:rsidP="0095096B">
      <w:pPr>
        <w:tabs>
          <w:tab w:val="right" w:pos="9360"/>
        </w:tabs>
        <w:rPr>
          <w:sz w:val="20"/>
          <w:szCs w:val="20"/>
          <w:lang w:val="fr-CA"/>
        </w:rPr>
        <w:sectPr w:rsidR="00242AEE" w:rsidRPr="00500F85" w:rsidSect="005A7374">
          <w:headerReference w:type="default" r:id="rId16"/>
          <w:footerReference w:type="default" r:id="rId17"/>
          <w:headerReference w:type="first" r:id="rId18"/>
          <w:footerReference w:type="first" r:id="rId19"/>
          <w:pgSz w:w="12240" w:h="15840"/>
          <w:pgMar w:top="720" w:right="965" w:bottom="1080" w:left="1656" w:header="706" w:footer="706" w:gutter="0"/>
          <w:pgNumType w:start="178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D43E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E057FF" w:rsidP="004B7F60">
      <w:pPr>
        <w:widowControl w:val="0"/>
        <w:rPr>
          <w:b/>
          <w:sz w:val="20"/>
          <w:szCs w:val="20"/>
        </w:rPr>
      </w:pPr>
      <w:r>
        <w:rPr>
          <w:b/>
          <w:sz w:val="20"/>
          <w:szCs w:val="20"/>
        </w:rPr>
        <w:t>N</w:t>
      </w:r>
      <w:r w:rsidR="004B7F60">
        <w:rPr>
          <w:b/>
          <w:sz w:val="20"/>
          <w:szCs w:val="20"/>
        </w:rPr>
        <w:t>O</w:t>
      </w:r>
      <w:r>
        <w:rPr>
          <w:b/>
          <w:sz w:val="20"/>
          <w:szCs w:val="20"/>
        </w:rPr>
        <w:t>VEM</w:t>
      </w:r>
      <w:r w:rsidR="004B7F60">
        <w:rPr>
          <w:b/>
          <w:sz w:val="20"/>
          <w:szCs w:val="20"/>
        </w:rPr>
        <w:t>BER</w:t>
      </w:r>
      <w:r w:rsidR="004B7F60" w:rsidRPr="00C50A5C">
        <w:rPr>
          <w:b/>
          <w:sz w:val="20"/>
          <w:szCs w:val="20"/>
        </w:rPr>
        <w:t xml:space="preserve"> </w:t>
      </w:r>
      <w:r>
        <w:rPr>
          <w:b/>
          <w:sz w:val="20"/>
          <w:szCs w:val="20"/>
        </w:rPr>
        <w:t>1</w:t>
      </w:r>
      <w:r w:rsidR="0062714A">
        <w:rPr>
          <w:b/>
          <w:sz w:val="20"/>
          <w:szCs w:val="20"/>
        </w:rPr>
        <w:t>9</w:t>
      </w:r>
      <w:r w:rsidR="004B7F60" w:rsidRPr="00C50A5C">
        <w:rPr>
          <w:b/>
          <w:sz w:val="20"/>
          <w:szCs w:val="20"/>
        </w:rPr>
        <w:t>, 201</w:t>
      </w:r>
      <w:r w:rsidR="0062714A">
        <w:rPr>
          <w:b/>
          <w:sz w:val="20"/>
          <w:szCs w:val="20"/>
        </w:rPr>
        <w:t>2</w:t>
      </w:r>
      <w:r w:rsidR="004B7F60" w:rsidRPr="00C50A5C">
        <w:rPr>
          <w:b/>
          <w:sz w:val="20"/>
          <w:szCs w:val="20"/>
        </w:rPr>
        <w:t xml:space="preserve"> / LE </w:t>
      </w:r>
      <w:r>
        <w:rPr>
          <w:b/>
          <w:sz w:val="20"/>
          <w:szCs w:val="20"/>
        </w:rPr>
        <w:t>1</w:t>
      </w:r>
      <w:r w:rsidR="0062714A">
        <w:rPr>
          <w:b/>
          <w:sz w:val="20"/>
          <w:szCs w:val="20"/>
        </w:rPr>
        <w:t>9</w:t>
      </w:r>
      <w:r w:rsidR="004B7F60">
        <w:rPr>
          <w:b/>
          <w:sz w:val="20"/>
          <w:szCs w:val="20"/>
        </w:rPr>
        <w:t xml:space="preserve"> </w:t>
      </w:r>
      <w:r>
        <w:rPr>
          <w:b/>
          <w:sz w:val="20"/>
          <w:szCs w:val="20"/>
        </w:rPr>
        <w:t>N</w:t>
      </w:r>
      <w:r w:rsidR="004B7F60">
        <w:rPr>
          <w:b/>
          <w:sz w:val="20"/>
          <w:szCs w:val="20"/>
        </w:rPr>
        <w:t>O</w:t>
      </w:r>
      <w:r>
        <w:rPr>
          <w:b/>
          <w:sz w:val="20"/>
          <w:szCs w:val="20"/>
        </w:rPr>
        <w:t>VEM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746B98" w:rsidP="004B7F60">
      <w:pPr>
        <w:pStyle w:val="ListParagraph"/>
        <w:widowControl w:val="0"/>
        <w:numPr>
          <w:ilvl w:val="0"/>
          <w:numId w:val="1"/>
        </w:numPr>
        <w:ind w:hanging="720"/>
        <w:jc w:val="both"/>
        <w:rPr>
          <w:sz w:val="20"/>
          <w:szCs w:val="20"/>
        </w:rPr>
      </w:pPr>
      <w:r w:rsidRPr="00746B98">
        <w:rPr>
          <w:i/>
          <w:sz w:val="20"/>
          <w:szCs w:val="20"/>
        </w:rPr>
        <w:t>Trevor Middleton v. Her Majesty the Queen</w:t>
      </w:r>
      <w:r w:rsidRPr="00746B98">
        <w:rPr>
          <w:sz w:val="20"/>
          <w:szCs w:val="20"/>
        </w:rPr>
        <w:t xml:space="preserve"> (Ont.) (Crim</w:t>
      </w:r>
      <w:r>
        <w:rPr>
          <w:sz w:val="20"/>
          <w:szCs w:val="20"/>
        </w:rPr>
        <w:t>.</w:t>
      </w:r>
      <w:r w:rsidRPr="00746B98">
        <w:rPr>
          <w:sz w:val="20"/>
          <w:szCs w:val="20"/>
        </w:rPr>
        <w:t>) (By Leave)</w:t>
      </w:r>
      <w:r w:rsidRPr="00C50A5C">
        <w:rPr>
          <w:sz w:val="20"/>
          <w:szCs w:val="20"/>
        </w:rPr>
        <w:t xml:space="preserve"> </w:t>
      </w:r>
      <w:r w:rsidR="004B7F60" w:rsidRPr="00C50A5C">
        <w:rPr>
          <w:sz w:val="20"/>
          <w:szCs w:val="20"/>
        </w:rPr>
        <w:t>(3</w:t>
      </w:r>
      <w:r>
        <w:rPr>
          <w:sz w:val="20"/>
          <w:szCs w:val="20"/>
        </w:rPr>
        <w:t>50</w:t>
      </w:r>
      <w:r w:rsidR="004B7F60">
        <w:rPr>
          <w:sz w:val="20"/>
          <w:szCs w:val="20"/>
        </w:rPr>
        <w:t>21</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746B98" w:rsidP="004B7F60">
      <w:pPr>
        <w:pStyle w:val="ListParagraph"/>
        <w:widowControl w:val="0"/>
        <w:numPr>
          <w:ilvl w:val="0"/>
          <w:numId w:val="1"/>
        </w:numPr>
        <w:ind w:hanging="720"/>
        <w:jc w:val="both"/>
        <w:rPr>
          <w:sz w:val="20"/>
          <w:szCs w:val="20"/>
        </w:rPr>
      </w:pPr>
      <w:r w:rsidRPr="00746B98">
        <w:rPr>
          <w:i/>
          <w:sz w:val="20"/>
          <w:szCs w:val="20"/>
        </w:rPr>
        <w:t>299 Burrard Residential Limited Partnership v. Soroor Essalat</w:t>
      </w:r>
      <w:r w:rsidRPr="00746B98">
        <w:rPr>
          <w:sz w:val="20"/>
          <w:szCs w:val="20"/>
        </w:rPr>
        <w:t xml:space="preserve"> (B.C.) (Civil) (By Leave)</w:t>
      </w:r>
      <w:r w:rsidRPr="00C612D0">
        <w:rPr>
          <w:sz w:val="20"/>
          <w:szCs w:val="20"/>
        </w:rPr>
        <w:t xml:space="preserve"> </w:t>
      </w:r>
      <w:r w:rsidR="004B7F60" w:rsidRPr="00C612D0">
        <w:rPr>
          <w:sz w:val="20"/>
          <w:szCs w:val="20"/>
        </w:rPr>
        <w:t>(34</w:t>
      </w:r>
      <w:r>
        <w:rPr>
          <w:sz w:val="20"/>
          <w:szCs w:val="20"/>
        </w:rPr>
        <w:t>968</w:t>
      </w:r>
      <w:r w:rsidR="004B7F60" w:rsidRPr="00C612D0">
        <w:rPr>
          <w:sz w:val="20"/>
          <w:szCs w:val="20"/>
        </w:rPr>
        <w:t>)</w:t>
      </w:r>
    </w:p>
    <w:p w:rsidR="004B7F60" w:rsidRDefault="004B7F60" w:rsidP="004B7F60">
      <w:pPr>
        <w:widowControl w:val="0"/>
        <w:jc w:val="both"/>
        <w:rPr>
          <w:sz w:val="20"/>
          <w:szCs w:val="20"/>
        </w:rPr>
      </w:pPr>
    </w:p>
    <w:p w:rsidR="00746B98" w:rsidRDefault="00746B98" w:rsidP="004B7F60">
      <w:pPr>
        <w:widowControl w:val="0"/>
        <w:jc w:val="both"/>
        <w:rPr>
          <w:sz w:val="20"/>
          <w:szCs w:val="20"/>
        </w:rPr>
      </w:pPr>
    </w:p>
    <w:p w:rsidR="00746B98" w:rsidRPr="00C50A5C" w:rsidRDefault="00746B98" w:rsidP="00746B9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746B98" w:rsidRPr="00C50A5C" w:rsidRDefault="00746B98" w:rsidP="00746B9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746B98" w:rsidRPr="00746B98" w:rsidRDefault="00746B98" w:rsidP="004B7F60">
      <w:pPr>
        <w:widowControl w:val="0"/>
        <w:jc w:val="both"/>
        <w:rPr>
          <w:sz w:val="20"/>
          <w:szCs w:val="20"/>
          <w:lang w:val="fr-CA"/>
        </w:rPr>
      </w:pPr>
    </w:p>
    <w:p w:rsidR="004B7F60" w:rsidRPr="00746B98" w:rsidRDefault="00746B98" w:rsidP="004B7F60">
      <w:pPr>
        <w:pStyle w:val="ListParagraph"/>
        <w:widowControl w:val="0"/>
        <w:numPr>
          <w:ilvl w:val="0"/>
          <w:numId w:val="1"/>
        </w:numPr>
        <w:ind w:hanging="720"/>
        <w:jc w:val="both"/>
        <w:rPr>
          <w:sz w:val="20"/>
          <w:szCs w:val="20"/>
          <w:lang w:val="fr-CA"/>
        </w:rPr>
      </w:pPr>
      <w:r w:rsidRPr="00746B98">
        <w:rPr>
          <w:i/>
          <w:sz w:val="20"/>
          <w:szCs w:val="20"/>
          <w:lang w:val="fr-CA"/>
        </w:rPr>
        <w:t>Gusman Alexandre c. Sa Majesté la Reine</w:t>
      </w:r>
      <w:r w:rsidRPr="00746B98">
        <w:rPr>
          <w:sz w:val="20"/>
          <w:szCs w:val="20"/>
          <w:lang w:val="fr-CA"/>
        </w:rPr>
        <w:t xml:space="preserve"> (Qc) (Crim</w:t>
      </w:r>
      <w:r>
        <w:rPr>
          <w:sz w:val="20"/>
          <w:szCs w:val="20"/>
          <w:lang w:val="fr-CA"/>
        </w:rPr>
        <w:t>.</w:t>
      </w:r>
      <w:r w:rsidRPr="00746B98">
        <w:rPr>
          <w:sz w:val="20"/>
          <w:szCs w:val="20"/>
          <w:lang w:val="fr-CA"/>
        </w:rPr>
        <w:t>) (Autorisation)</w:t>
      </w:r>
      <w:r>
        <w:rPr>
          <w:sz w:val="20"/>
          <w:szCs w:val="20"/>
          <w:lang w:val="fr-CA"/>
        </w:rPr>
        <w:t xml:space="preserve"> </w:t>
      </w:r>
      <w:r w:rsidR="004B7F60" w:rsidRPr="00746B98">
        <w:rPr>
          <w:sz w:val="20"/>
          <w:szCs w:val="20"/>
          <w:lang w:val="fr-CA"/>
        </w:rPr>
        <w:t>(349</w:t>
      </w:r>
      <w:r w:rsidRPr="00746B98">
        <w:rPr>
          <w:sz w:val="20"/>
          <w:szCs w:val="20"/>
          <w:lang w:val="fr-CA"/>
        </w:rPr>
        <w:t>98</w:t>
      </w:r>
      <w:r w:rsidR="004B7F60" w:rsidRPr="00746B98">
        <w:rPr>
          <w:sz w:val="20"/>
          <w:szCs w:val="20"/>
          <w:lang w:val="fr-CA"/>
        </w:rPr>
        <w:t>)</w:t>
      </w:r>
    </w:p>
    <w:p w:rsidR="004B7F60" w:rsidRPr="00746B98" w:rsidRDefault="004B7F60" w:rsidP="004B7F60">
      <w:pPr>
        <w:widowControl w:val="0"/>
        <w:rPr>
          <w:sz w:val="20"/>
          <w:szCs w:val="20"/>
          <w:lang w:val="fr-CA"/>
        </w:rPr>
      </w:pPr>
    </w:p>
    <w:p w:rsidR="004B7F60" w:rsidRPr="00746B98" w:rsidRDefault="00746B98" w:rsidP="004B7F60">
      <w:pPr>
        <w:pStyle w:val="ListParagraph"/>
        <w:widowControl w:val="0"/>
        <w:numPr>
          <w:ilvl w:val="0"/>
          <w:numId w:val="1"/>
        </w:numPr>
        <w:ind w:hanging="720"/>
        <w:jc w:val="both"/>
        <w:rPr>
          <w:sz w:val="20"/>
          <w:szCs w:val="20"/>
          <w:lang w:val="fr-CA"/>
        </w:rPr>
      </w:pPr>
      <w:r w:rsidRPr="00746B98">
        <w:rPr>
          <w:i/>
          <w:sz w:val="20"/>
          <w:szCs w:val="20"/>
          <w:lang w:val="fr-CA"/>
        </w:rPr>
        <w:t>Gusman Alexandre c. Sa Majesté la Reine</w:t>
      </w:r>
      <w:r w:rsidRPr="00746B98">
        <w:rPr>
          <w:sz w:val="20"/>
          <w:szCs w:val="20"/>
          <w:lang w:val="fr-CA"/>
        </w:rPr>
        <w:t xml:space="preserve"> (Qc) (Crim</w:t>
      </w:r>
      <w:r>
        <w:rPr>
          <w:sz w:val="20"/>
          <w:szCs w:val="20"/>
          <w:lang w:val="fr-CA"/>
        </w:rPr>
        <w:t>.</w:t>
      </w:r>
      <w:r w:rsidRPr="00746B98">
        <w:rPr>
          <w:sz w:val="20"/>
          <w:szCs w:val="20"/>
          <w:lang w:val="fr-CA"/>
        </w:rPr>
        <w:t xml:space="preserve">) (Autorisation) </w:t>
      </w:r>
      <w:r w:rsidR="004B7F60" w:rsidRPr="00746B98">
        <w:rPr>
          <w:sz w:val="20"/>
          <w:szCs w:val="20"/>
          <w:lang w:val="fr-CA"/>
        </w:rPr>
        <w:t>(3</w:t>
      </w:r>
      <w:r w:rsidRPr="00746B98">
        <w:rPr>
          <w:sz w:val="20"/>
          <w:szCs w:val="20"/>
          <w:lang w:val="fr-CA"/>
        </w:rPr>
        <w:t>5019</w:t>
      </w:r>
      <w:r w:rsidR="004B7F60" w:rsidRPr="00746B98">
        <w:rPr>
          <w:sz w:val="20"/>
          <w:szCs w:val="20"/>
          <w:lang w:val="fr-CA"/>
        </w:rPr>
        <w:t>)</w:t>
      </w:r>
    </w:p>
    <w:p w:rsidR="004B7F60" w:rsidRPr="00C16CB3" w:rsidRDefault="004B7F60" w:rsidP="004B7F60">
      <w:pPr>
        <w:widowControl w:val="0"/>
        <w:jc w:val="both"/>
        <w:rPr>
          <w:sz w:val="20"/>
          <w:szCs w:val="20"/>
          <w:lang w:val="fr-CA"/>
        </w:rPr>
      </w:pPr>
    </w:p>
    <w:p w:rsidR="004B7F60" w:rsidRPr="00C612D0" w:rsidRDefault="00746B98" w:rsidP="004B7F60">
      <w:pPr>
        <w:pStyle w:val="ListParagraph"/>
        <w:widowControl w:val="0"/>
        <w:numPr>
          <w:ilvl w:val="0"/>
          <w:numId w:val="1"/>
        </w:numPr>
        <w:ind w:hanging="720"/>
        <w:jc w:val="both"/>
        <w:rPr>
          <w:sz w:val="20"/>
          <w:szCs w:val="20"/>
          <w:lang w:val="fr-CA"/>
        </w:rPr>
      </w:pPr>
      <w:r w:rsidRPr="00746B98">
        <w:rPr>
          <w:i/>
          <w:sz w:val="20"/>
          <w:szCs w:val="20"/>
          <w:lang w:val="fr-CA"/>
        </w:rPr>
        <w:t>Sobeys Québec Inc. c. Commission de la santé et de la sécurité du travail</w:t>
      </w:r>
      <w:r w:rsidRPr="00746B98">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(34</w:t>
      </w:r>
      <w:r>
        <w:rPr>
          <w:sz w:val="20"/>
          <w:szCs w:val="20"/>
          <w:lang w:val="fr-CA"/>
        </w:rPr>
        <w:t>989</w:t>
      </w:r>
      <w:r w:rsidR="004B7F60" w:rsidRPr="00C612D0">
        <w:rPr>
          <w:sz w:val="20"/>
          <w:szCs w:val="20"/>
          <w:lang w:val="fr-CA"/>
        </w:rPr>
        <w:t>)</w:t>
      </w:r>
    </w:p>
    <w:p w:rsidR="004B7F60" w:rsidRDefault="004B7F60" w:rsidP="004B7F60">
      <w:pPr>
        <w:widowControl w:val="0"/>
        <w:rPr>
          <w:sz w:val="20"/>
          <w:szCs w:val="20"/>
          <w:lang w:val="fr-CA"/>
        </w:rPr>
      </w:pPr>
    </w:p>
    <w:p w:rsidR="00746B98" w:rsidRDefault="00746B98" w:rsidP="004B7F60">
      <w:pPr>
        <w:widowControl w:val="0"/>
        <w:rPr>
          <w:sz w:val="20"/>
          <w:szCs w:val="20"/>
          <w:lang w:val="fr-CA"/>
        </w:rPr>
      </w:pPr>
    </w:p>
    <w:p w:rsidR="00746B98" w:rsidRPr="00C50A5C" w:rsidRDefault="00746B98" w:rsidP="00746B98">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746B98" w:rsidRPr="00C50A5C" w:rsidRDefault="00746B98" w:rsidP="00746B98">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746B98" w:rsidRPr="00C50A5C" w:rsidRDefault="00746B98" w:rsidP="00746B98">
      <w:pPr>
        <w:widowControl w:val="0"/>
        <w:rPr>
          <w:sz w:val="20"/>
          <w:szCs w:val="20"/>
          <w:lang w:val="fr-CA"/>
        </w:rPr>
      </w:pPr>
    </w:p>
    <w:p w:rsidR="004B7F60" w:rsidRPr="00746B98" w:rsidRDefault="00746B98" w:rsidP="004B7F60">
      <w:pPr>
        <w:pStyle w:val="ListParagraph"/>
        <w:widowControl w:val="0"/>
        <w:numPr>
          <w:ilvl w:val="0"/>
          <w:numId w:val="1"/>
        </w:numPr>
        <w:ind w:hanging="720"/>
        <w:jc w:val="both"/>
        <w:rPr>
          <w:sz w:val="20"/>
          <w:szCs w:val="20"/>
        </w:rPr>
      </w:pPr>
      <w:r w:rsidRPr="00746B98">
        <w:rPr>
          <w:i/>
          <w:sz w:val="20"/>
          <w:szCs w:val="20"/>
        </w:rPr>
        <w:t>Larry Peter Klippenstein v. Attorney General of Manitoba</w:t>
      </w:r>
      <w:r w:rsidRPr="00746B98">
        <w:rPr>
          <w:sz w:val="20"/>
          <w:szCs w:val="20"/>
        </w:rPr>
        <w:t xml:space="preserve"> (Man.) (Civil) (By Leave) </w:t>
      </w:r>
      <w:r w:rsidR="004B7F60" w:rsidRPr="00746B98">
        <w:rPr>
          <w:sz w:val="20"/>
          <w:szCs w:val="20"/>
        </w:rPr>
        <w:t>(35</w:t>
      </w:r>
      <w:r w:rsidRPr="00746B98">
        <w:rPr>
          <w:sz w:val="20"/>
          <w:szCs w:val="20"/>
        </w:rPr>
        <w:t>036</w:t>
      </w:r>
      <w:r w:rsidR="004B7F60" w:rsidRPr="00746B98">
        <w:rPr>
          <w:sz w:val="20"/>
          <w:szCs w:val="20"/>
        </w:rPr>
        <w:t>)</w:t>
      </w:r>
    </w:p>
    <w:p w:rsidR="004B7F60" w:rsidRPr="00746B98" w:rsidRDefault="004B7F60" w:rsidP="004B7F60">
      <w:pPr>
        <w:widowControl w:val="0"/>
        <w:jc w:val="both"/>
        <w:rPr>
          <w:sz w:val="20"/>
          <w:szCs w:val="20"/>
        </w:rPr>
      </w:pPr>
    </w:p>
    <w:p w:rsidR="004B7F60" w:rsidRPr="00115C9E" w:rsidRDefault="00746B98" w:rsidP="004B7F60">
      <w:pPr>
        <w:pStyle w:val="ListParagraph"/>
        <w:widowControl w:val="0"/>
        <w:numPr>
          <w:ilvl w:val="0"/>
          <w:numId w:val="1"/>
        </w:numPr>
        <w:ind w:hanging="720"/>
        <w:jc w:val="both"/>
        <w:rPr>
          <w:sz w:val="20"/>
          <w:szCs w:val="20"/>
          <w:lang w:val="fr-CA"/>
        </w:rPr>
      </w:pPr>
      <w:r w:rsidRPr="00746B98">
        <w:rPr>
          <w:i/>
          <w:sz w:val="20"/>
          <w:szCs w:val="20"/>
        </w:rPr>
        <w:t>Brad William MacDonald v. Attorney General of Nova Scotia, representing Her Majesty the Queen in Right of the Province of Nova Scotia</w:t>
      </w:r>
      <w:r w:rsidRPr="00746B98">
        <w:rPr>
          <w:sz w:val="20"/>
          <w:szCs w:val="20"/>
        </w:rPr>
        <w:t xml:space="preserve"> (N.S.) (Civil) (By Leave)</w:t>
      </w:r>
      <w:r>
        <w:rPr>
          <w:sz w:val="20"/>
          <w:szCs w:val="20"/>
        </w:rPr>
        <w:t xml:space="preserve"> </w:t>
      </w:r>
      <w:r w:rsidR="004B7F60" w:rsidRPr="00115C9E">
        <w:rPr>
          <w:sz w:val="20"/>
          <w:szCs w:val="20"/>
          <w:lang w:val="fr-CA"/>
        </w:rPr>
        <w:t>(34</w:t>
      </w:r>
      <w:r>
        <w:rPr>
          <w:sz w:val="20"/>
          <w:szCs w:val="20"/>
          <w:lang w:val="fr-CA"/>
        </w:rPr>
        <w:t>990</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50A5C" w:rsidRDefault="00746B98" w:rsidP="004B7F60">
      <w:pPr>
        <w:pStyle w:val="ListParagraph"/>
        <w:widowControl w:val="0"/>
        <w:numPr>
          <w:ilvl w:val="0"/>
          <w:numId w:val="1"/>
        </w:numPr>
        <w:ind w:hanging="720"/>
        <w:jc w:val="both"/>
        <w:rPr>
          <w:sz w:val="20"/>
          <w:szCs w:val="20"/>
          <w:lang w:val="fr-CA"/>
        </w:rPr>
      </w:pPr>
      <w:r w:rsidRPr="00746B98">
        <w:rPr>
          <w:i/>
          <w:sz w:val="20"/>
          <w:szCs w:val="20"/>
        </w:rPr>
        <w:t>Robert Andrew McBride v. Her Majesty the Queen in Right of Canada as represented by the Minister of National Defence et al.</w:t>
      </w:r>
      <w:r w:rsidRPr="00746B98">
        <w:rPr>
          <w:sz w:val="20"/>
          <w:szCs w:val="20"/>
        </w:rPr>
        <w:t xml:space="preserve"> (F.C.)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Pr>
          <w:sz w:val="20"/>
          <w:szCs w:val="20"/>
          <w:lang w:val="fr-CA"/>
        </w:rPr>
        <w:t>96</w:t>
      </w:r>
      <w:r w:rsidR="004B7F60">
        <w:rPr>
          <w:sz w:val="20"/>
          <w:szCs w:val="20"/>
          <w:lang w:val="fr-CA"/>
        </w:rPr>
        <w:t>3</w:t>
      </w:r>
      <w:r w:rsidR="004B7F60" w:rsidRPr="00C50A5C">
        <w:rPr>
          <w:sz w:val="20"/>
          <w:szCs w:val="20"/>
          <w:lang w:val="fr-CA"/>
        </w:rPr>
        <w:t>)</w:t>
      </w:r>
    </w:p>
    <w:p w:rsidR="004B7F60" w:rsidRDefault="004B7F60" w:rsidP="004B7F60">
      <w:pPr>
        <w:widowControl w:val="0"/>
        <w:rPr>
          <w:sz w:val="20"/>
          <w:szCs w:val="20"/>
          <w:lang w:val="fr-CA"/>
        </w:rPr>
      </w:pPr>
    </w:p>
    <w:p w:rsidR="002E2327" w:rsidRPr="00C50A5C" w:rsidRDefault="00DB239D" w:rsidP="002E2327">
      <w:pPr>
        <w:widowControl w:val="0"/>
        <w:rPr>
          <w:sz w:val="20"/>
          <w:szCs w:val="20"/>
        </w:rPr>
      </w:pPr>
      <w:r w:rsidRPr="00DB239D">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D43E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BD154A" w:rsidP="008D292F">
      <w:pPr>
        <w:rPr>
          <w:b/>
          <w:sz w:val="20"/>
          <w:szCs w:val="20"/>
        </w:rPr>
      </w:pPr>
      <w:r>
        <w:rPr>
          <w:b/>
          <w:sz w:val="20"/>
          <w:szCs w:val="20"/>
        </w:rPr>
        <w:t>NOVEMBER</w:t>
      </w:r>
      <w:r w:rsidR="008D292F" w:rsidRPr="00C50A5C">
        <w:rPr>
          <w:b/>
          <w:sz w:val="20"/>
          <w:szCs w:val="20"/>
        </w:rPr>
        <w:t xml:space="preserve"> 2</w:t>
      </w:r>
      <w:r>
        <w:rPr>
          <w:b/>
          <w:sz w:val="20"/>
          <w:szCs w:val="20"/>
        </w:rPr>
        <w:t>2</w:t>
      </w:r>
      <w:r w:rsidR="008D292F" w:rsidRPr="00C50A5C">
        <w:rPr>
          <w:b/>
          <w:sz w:val="20"/>
          <w:szCs w:val="20"/>
        </w:rPr>
        <w:t>, 201</w:t>
      </w:r>
      <w:r w:rsidR="004E1E0A">
        <w:rPr>
          <w:b/>
          <w:sz w:val="20"/>
          <w:szCs w:val="20"/>
        </w:rPr>
        <w:t>2</w:t>
      </w:r>
      <w:r w:rsidR="008D292F" w:rsidRPr="00C50A5C">
        <w:rPr>
          <w:b/>
          <w:sz w:val="20"/>
          <w:szCs w:val="20"/>
        </w:rPr>
        <w:t xml:space="preserve"> / LE 2</w:t>
      </w:r>
      <w:r>
        <w:rPr>
          <w:b/>
          <w:sz w:val="20"/>
          <w:szCs w:val="20"/>
        </w:rPr>
        <w:t>2 NO</w:t>
      </w:r>
      <w:r w:rsidR="008D292F" w:rsidRPr="00C50A5C">
        <w:rPr>
          <w:b/>
          <w:sz w:val="20"/>
          <w:szCs w:val="20"/>
        </w:rPr>
        <w:t>V</w:t>
      </w:r>
      <w:r>
        <w:rPr>
          <w:b/>
          <w:sz w:val="20"/>
          <w:szCs w:val="20"/>
        </w:rPr>
        <w:t>EMB</w:t>
      </w:r>
      <w:r w:rsidR="008D292F" w:rsidRPr="00C50A5C">
        <w:rPr>
          <w:b/>
          <w:sz w:val="20"/>
          <w:szCs w:val="20"/>
        </w:rPr>
        <w:t>R</w:t>
      </w:r>
      <w:r>
        <w:rPr>
          <w:b/>
          <w:sz w:val="20"/>
          <w:szCs w:val="20"/>
        </w:rPr>
        <w:t>E</w:t>
      </w:r>
      <w:r w:rsidR="008D292F" w:rsidRPr="00C50A5C">
        <w:rPr>
          <w:b/>
          <w:sz w:val="20"/>
          <w:szCs w:val="20"/>
        </w:rPr>
        <w:t xml:space="preserve"> 201</w:t>
      </w:r>
      <w:r w:rsidR="004E1E0A">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14A" w:rsidRPr="005B715A" w:rsidTr="00066741">
        <w:trPr>
          <w:cantSplit/>
        </w:trPr>
        <w:tc>
          <w:tcPr>
            <w:tcW w:w="1458" w:type="dxa"/>
          </w:tcPr>
          <w:p w:rsidR="00B9214A" w:rsidRPr="005B715A" w:rsidRDefault="00B9214A" w:rsidP="00066741">
            <w:pPr>
              <w:rPr>
                <w:sz w:val="20"/>
                <w:szCs w:val="20"/>
              </w:rPr>
            </w:pPr>
            <w:r w:rsidRPr="005B715A">
              <w:rPr>
                <w:rStyle w:val="SCCFileNumberChar"/>
                <w:sz w:val="20"/>
                <w:szCs w:val="20"/>
              </w:rPr>
              <w:t>33996</w:t>
            </w:r>
          </w:p>
          <w:p w:rsidR="00B9214A" w:rsidRPr="005B715A" w:rsidRDefault="00B9214A" w:rsidP="00066741">
            <w:pPr>
              <w:rPr>
                <w:b/>
                <w:sz w:val="20"/>
                <w:szCs w:val="20"/>
                <w:lang w:val="fr-CA"/>
              </w:rPr>
            </w:pPr>
          </w:p>
        </w:tc>
        <w:tc>
          <w:tcPr>
            <w:tcW w:w="8118" w:type="dxa"/>
          </w:tcPr>
          <w:p w:rsidR="00B9214A" w:rsidRPr="005B715A" w:rsidRDefault="00B9214A" w:rsidP="00066741">
            <w:pPr>
              <w:rPr>
                <w:sz w:val="20"/>
                <w:szCs w:val="20"/>
              </w:rPr>
            </w:pPr>
            <w:r w:rsidRPr="005B715A">
              <w:rPr>
                <w:rStyle w:val="SCCLsocChar"/>
                <w:sz w:val="20"/>
                <w:szCs w:val="20"/>
                <w:lang w:val="en-CA"/>
              </w:rPr>
              <w:t>Brett Matthew John Bykowski v. Her Majesty the Queen</w:t>
            </w:r>
            <w:r w:rsidRPr="005B715A">
              <w:rPr>
                <w:sz w:val="20"/>
                <w:szCs w:val="20"/>
              </w:rPr>
              <w:t xml:space="preserve"> (Alta.) (Criminal) (By Leave)</w:t>
            </w:r>
          </w:p>
          <w:p w:rsidR="00B9214A" w:rsidRPr="005B715A" w:rsidRDefault="00B9214A" w:rsidP="00066741">
            <w:pPr>
              <w:rPr>
                <w:sz w:val="20"/>
                <w:szCs w:val="20"/>
              </w:rPr>
            </w:pPr>
          </w:p>
        </w:tc>
      </w:tr>
      <w:tr w:rsidR="00B9214A" w:rsidRPr="005B715A" w:rsidTr="00066741">
        <w:trPr>
          <w:cantSplit/>
        </w:trPr>
        <w:tc>
          <w:tcPr>
            <w:tcW w:w="1458" w:type="dxa"/>
          </w:tcPr>
          <w:p w:rsidR="00B9214A" w:rsidRPr="005B715A" w:rsidRDefault="00B9214A" w:rsidP="00066741">
            <w:pPr>
              <w:rPr>
                <w:sz w:val="20"/>
                <w:szCs w:val="20"/>
              </w:rPr>
            </w:pPr>
            <w:r w:rsidRPr="005B715A">
              <w:rPr>
                <w:sz w:val="20"/>
                <w:szCs w:val="20"/>
              </w:rPr>
              <w:t>Coram :</w:t>
            </w:r>
          </w:p>
        </w:tc>
        <w:tc>
          <w:tcPr>
            <w:tcW w:w="8118" w:type="dxa"/>
          </w:tcPr>
          <w:p w:rsidR="00B9214A" w:rsidRPr="005B715A" w:rsidRDefault="00B9214A" w:rsidP="00066741">
            <w:pPr>
              <w:rPr>
                <w:sz w:val="20"/>
                <w:szCs w:val="20"/>
              </w:rPr>
            </w:pPr>
            <w:r w:rsidRPr="005B715A">
              <w:rPr>
                <w:rStyle w:val="SCCCoramChar"/>
                <w:sz w:val="20"/>
                <w:szCs w:val="20"/>
                <w:lang w:val="en-CA"/>
              </w:rPr>
              <w:t>Fish, Rothstein and Cromwell JJ.</w:t>
            </w:r>
          </w:p>
          <w:p w:rsidR="00B9214A" w:rsidRPr="005B715A" w:rsidRDefault="00B9214A" w:rsidP="00066741">
            <w:pPr>
              <w:rPr>
                <w:sz w:val="20"/>
                <w:szCs w:val="20"/>
                <w:u w:val="single"/>
              </w:rPr>
            </w:pPr>
          </w:p>
        </w:tc>
      </w:tr>
      <w:tr w:rsidR="00B9214A" w:rsidRPr="001D43E1" w:rsidTr="00066741">
        <w:trPr>
          <w:cantSplit/>
        </w:trPr>
        <w:tc>
          <w:tcPr>
            <w:tcW w:w="9576" w:type="dxa"/>
            <w:gridSpan w:val="2"/>
          </w:tcPr>
          <w:p w:rsidR="00B9214A" w:rsidRPr="005B715A" w:rsidRDefault="00B9214A" w:rsidP="00066741">
            <w:pPr>
              <w:pStyle w:val="SCCShortJudgment"/>
              <w:rPr>
                <w:szCs w:val="20"/>
              </w:rPr>
            </w:pPr>
            <w:r w:rsidRPr="005B715A">
              <w:rPr>
                <w:szCs w:val="20"/>
              </w:rPr>
              <w:t xml:space="preserve">Pursuant to subsection 43 (1.1) of </w:t>
            </w:r>
            <w:r w:rsidRPr="002A69F2">
              <w:rPr>
                <w:i/>
                <w:szCs w:val="20"/>
              </w:rPr>
              <w:t>The Supreme Court Act</w:t>
            </w:r>
            <w:r w:rsidRPr="005B715A">
              <w:rPr>
                <w:szCs w:val="20"/>
              </w:rPr>
              <w:t xml:space="preserve">, the case forming the basis of the application for leave to appeal from the judgment of the Court of Appeal of Alberta (Edmonton), Number 0903-0233-A, 2010 ABCA 335, dated November 4, 2010, is remanded to the Court of Appeal of Alberta for disposition in accordance with </w:t>
            </w:r>
            <w:r w:rsidRPr="002A69F2">
              <w:rPr>
                <w:i/>
                <w:szCs w:val="20"/>
              </w:rPr>
              <w:t>R. v. Dineley</w:t>
            </w:r>
            <w:r w:rsidRPr="005B715A">
              <w:rPr>
                <w:szCs w:val="20"/>
              </w:rPr>
              <w:t>, 2012 SCC 58.</w:t>
            </w:r>
          </w:p>
          <w:p w:rsidR="00B9214A" w:rsidRPr="005B715A" w:rsidRDefault="00B9214A" w:rsidP="00066741">
            <w:pPr>
              <w:pStyle w:val="SCCShortJudgment"/>
              <w:ind w:firstLine="0"/>
              <w:rPr>
                <w:szCs w:val="20"/>
              </w:rPr>
            </w:pPr>
          </w:p>
          <w:p w:rsidR="00B9214A" w:rsidRPr="005B715A" w:rsidRDefault="00B9214A" w:rsidP="00066741">
            <w:pPr>
              <w:pStyle w:val="SCCShortJudgment"/>
              <w:rPr>
                <w:szCs w:val="20"/>
                <w:lang w:val="fr-CA"/>
              </w:rPr>
            </w:pPr>
            <w:r w:rsidRPr="005B715A">
              <w:rPr>
                <w:szCs w:val="20"/>
                <w:lang w:val="fr-CA"/>
              </w:rPr>
              <w:t xml:space="preserve">Conformément au paragraphe 43 (1.1) de la </w:t>
            </w:r>
            <w:r w:rsidRPr="002A69F2">
              <w:rPr>
                <w:i/>
                <w:szCs w:val="20"/>
                <w:lang w:val="fr-CA"/>
              </w:rPr>
              <w:t>Loi sur la Cour suprême</w:t>
            </w:r>
            <w:r w:rsidRPr="005B715A">
              <w:rPr>
                <w:szCs w:val="20"/>
                <w:lang w:val="fr-CA"/>
              </w:rPr>
              <w:t xml:space="preserve">, l’affaire à l’origine de la  demande d’autorisation d’appel de l’arrêt de la Cour d’appel de l’Alberta (Edmonton), numéro 0903-0233-A, 2010 ABCA 335, daté du 4 novembre 2010, est renvoyée à la Cour d’appel de l’Alberta pour qu’elle statue en conformité avec l’arrêt </w:t>
            </w:r>
            <w:r w:rsidRPr="002A69F2">
              <w:rPr>
                <w:i/>
                <w:szCs w:val="20"/>
                <w:lang w:val="fr-CA"/>
              </w:rPr>
              <w:t>R. c. Dineley</w:t>
            </w:r>
            <w:r w:rsidRPr="005B715A">
              <w:rPr>
                <w:szCs w:val="20"/>
                <w:lang w:val="fr-CA"/>
              </w:rPr>
              <w:t>, 2012 SCC 58.</w:t>
            </w:r>
          </w:p>
        </w:tc>
      </w:tr>
    </w:tbl>
    <w:p w:rsidR="00441FC4" w:rsidRPr="00B9214A" w:rsidRDefault="00441FC4" w:rsidP="008D292F">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8D292F">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 xml:space="preserve">Legislation — Interpretation — Retrospective or prospective application of amendments — Evidence — Operating a motor vehicle with a blood alcohol concentration exceeding 80 mg alcohol in 100 ml blood — Amendment to </w:t>
            </w:r>
            <w:r w:rsidRPr="00354440">
              <w:rPr>
                <w:rFonts w:eastAsia="Calibri"/>
                <w:i/>
                <w:iCs/>
                <w:sz w:val="20"/>
              </w:rPr>
              <w:t>Criminal Code</w:t>
            </w:r>
            <w:r w:rsidRPr="00354440">
              <w:rPr>
                <w:rFonts w:eastAsia="Calibri"/>
                <w:sz w:val="20"/>
              </w:rPr>
              <w:t xml:space="preserve"> precludes testimony with respect to accused's alcohol consumption or rate of elimination or a calculation of blood alcohol concentration premised on those factors from being evidence of a problem with the breath testing equipment or testing procedure — Whether the amendments to ss. 258(1)(c) and 258(1)(d.01) of the </w:t>
            </w:r>
            <w:r w:rsidRPr="00354440">
              <w:rPr>
                <w:rFonts w:eastAsia="Calibri"/>
                <w:i/>
                <w:sz w:val="20"/>
              </w:rPr>
              <w:t>Criminal Code</w:t>
            </w:r>
            <w:r w:rsidRPr="00354440">
              <w:rPr>
                <w:rFonts w:eastAsia="Calibri"/>
                <w:sz w:val="20"/>
              </w:rPr>
              <w:t xml:space="preserve"> which came into force July 2, 2008, are retroactive or retrospective, or not.</w:t>
            </w:r>
          </w:p>
        </w:tc>
      </w:tr>
      <w:tr w:rsidR="00441FC4" w:rsidRPr="00354440" w:rsidTr="00441FC4">
        <w:tc>
          <w:tcPr>
            <w:tcW w:w="5000" w:type="pct"/>
            <w:gridSpan w:val="3"/>
          </w:tcPr>
          <w:p w:rsidR="00441FC4" w:rsidRPr="00354440" w:rsidRDefault="00441FC4" w:rsidP="00441FC4">
            <w:pPr>
              <w:jc w:val="both"/>
              <w:rPr>
                <w:rFonts w:eastAsia="Calibri"/>
                <w:sz w:val="20"/>
              </w:rPr>
            </w:pPr>
          </w:p>
        </w:tc>
      </w:tr>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 xml:space="preserve">On February 23, 2008, the applicant failed a breath test and was charged with driving with a blood alcohol concentration in excess of the legal limit. Prior to trial, defence counsel notified the Crown that the defence intended to lead a Carter defence (evidence related to alcohol consumption and expert opinion that the applicant’s blood alcohol concentration would have been within the legal limit).  When trial commenced, amendments on July 2, 2008, to the </w:t>
            </w:r>
            <w:r w:rsidRPr="00354440">
              <w:rPr>
                <w:rFonts w:eastAsia="Calibri"/>
                <w:i/>
                <w:sz w:val="20"/>
              </w:rPr>
              <w:t>Criminal Code</w:t>
            </w:r>
            <w:r w:rsidRPr="00354440">
              <w:rPr>
                <w:rFonts w:eastAsia="Calibri"/>
                <w:sz w:val="20"/>
              </w:rPr>
              <w:t xml:space="preserve"> had eliminated the Carter defence.  The Crown submitted that the amendments applied retrospectively to offences committed before the date on which the amendments became effective and the Carter defence was no longer available.  The trial judge allowed the defence to proceed.  The applicant was acquitted.  The summary conviction appeal judge reversed the decision of the trial judge and directed a new trial.   The Court of Appeal dismissed an appeal.</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October 27, 2008</w:t>
            </w:r>
          </w:p>
          <w:p w:rsidR="00441FC4" w:rsidRPr="00354440" w:rsidRDefault="00441FC4" w:rsidP="00441FC4">
            <w:pPr>
              <w:jc w:val="both"/>
              <w:rPr>
                <w:rFonts w:eastAsia="Calibri"/>
                <w:sz w:val="20"/>
              </w:rPr>
            </w:pPr>
            <w:r w:rsidRPr="00354440">
              <w:rPr>
                <w:rFonts w:eastAsia="Calibri"/>
                <w:sz w:val="20"/>
              </w:rPr>
              <w:t>Provincial Court of Alberta</w:t>
            </w:r>
          </w:p>
          <w:p w:rsidR="00441FC4" w:rsidRPr="00354440" w:rsidRDefault="00441FC4" w:rsidP="00441FC4">
            <w:pPr>
              <w:jc w:val="both"/>
              <w:rPr>
                <w:rFonts w:eastAsia="Calibri"/>
                <w:sz w:val="20"/>
              </w:rPr>
            </w:pPr>
            <w:r w:rsidRPr="00354440">
              <w:rPr>
                <w:rFonts w:eastAsia="Calibri"/>
                <w:sz w:val="20"/>
              </w:rPr>
              <w:t>(Myers J.)</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Acquittal of charge of operating a motor vehicle with a blood alcohol concentration exceeding 80 mg alcohol in 100 ml blood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May 29, 2009</w:t>
            </w:r>
          </w:p>
          <w:p w:rsidR="00441FC4" w:rsidRPr="00354440" w:rsidRDefault="00441FC4" w:rsidP="00441FC4">
            <w:pPr>
              <w:jc w:val="both"/>
              <w:rPr>
                <w:rFonts w:eastAsia="Calibri"/>
                <w:sz w:val="20"/>
              </w:rPr>
            </w:pPr>
            <w:r w:rsidRPr="00354440">
              <w:rPr>
                <w:rFonts w:eastAsia="Calibri"/>
                <w:sz w:val="20"/>
              </w:rPr>
              <w:t>Court of Queen’s Bench of Alberta</w:t>
            </w:r>
          </w:p>
          <w:p w:rsidR="00441FC4" w:rsidRPr="00354440" w:rsidRDefault="00441FC4" w:rsidP="00441FC4">
            <w:pPr>
              <w:jc w:val="both"/>
              <w:rPr>
                <w:rFonts w:eastAsia="Calibri"/>
                <w:sz w:val="20"/>
              </w:rPr>
            </w:pPr>
            <w:r w:rsidRPr="00354440">
              <w:rPr>
                <w:rFonts w:eastAsia="Calibri"/>
                <w:sz w:val="20"/>
              </w:rPr>
              <w:t>(Lee J.)</w:t>
            </w:r>
          </w:p>
          <w:p w:rsidR="00441FC4" w:rsidRPr="00354440" w:rsidRDefault="00441FC4" w:rsidP="00441FC4">
            <w:pPr>
              <w:jc w:val="both"/>
              <w:rPr>
                <w:rFonts w:eastAsia="Calibri"/>
                <w:sz w:val="20"/>
              </w:rPr>
            </w:pPr>
            <w:r w:rsidRPr="00354440">
              <w:rPr>
                <w:rFonts w:eastAsia="Calibri"/>
                <w:sz w:val="20"/>
              </w:rPr>
              <w:t>2009 ABQB 461</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Summary conviction appeal allowed, acquittal set aside, new trial ordered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November 4, 2010</w:t>
            </w:r>
          </w:p>
          <w:p w:rsidR="00441FC4" w:rsidRPr="00354440" w:rsidRDefault="00441FC4" w:rsidP="00441FC4">
            <w:pPr>
              <w:jc w:val="both"/>
              <w:rPr>
                <w:rFonts w:eastAsia="Calibri"/>
                <w:sz w:val="20"/>
              </w:rPr>
            </w:pPr>
            <w:r w:rsidRPr="00354440">
              <w:rPr>
                <w:rFonts w:eastAsia="Calibri"/>
                <w:sz w:val="20"/>
              </w:rPr>
              <w:t>Court of Appeal of Alberta (Edmonton)</w:t>
            </w:r>
          </w:p>
          <w:p w:rsidR="00441FC4" w:rsidRPr="00354440" w:rsidRDefault="00441FC4" w:rsidP="00441FC4">
            <w:pPr>
              <w:jc w:val="both"/>
              <w:rPr>
                <w:rFonts w:eastAsia="Calibri"/>
                <w:sz w:val="20"/>
              </w:rPr>
            </w:pPr>
            <w:r w:rsidRPr="00354440">
              <w:rPr>
                <w:rFonts w:eastAsia="Calibri"/>
                <w:sz w:val="20"/>
              </w:rPr>
              <w:t>(Côté, Picard, Slatter JJ.A.)</w:t>
            </w:r>
          </w:p>
          <w:p w:rsidR="00441FC4" w:rsidRPr="00354440" w:rsidRDefault="00441FC4" w:rsidP="00441FC4">
            <w:pPr>
              <w:jc w:val="both"/>
              <w:rPr>
                <w:rFonts w:eastAsia="Calibri"/>
                <w:sz w:val="20"/>
              </w:rPr>
            </w:pPr>
            <w:r w:rsidRPr="00354440">
              <w:rPr>
                <w:rFonts w:eastAsia="Calibri"/>
                <w:sz w:val="20"/>
              </w:rPr>
              <w:t>2010 ABCA 335</w:t>
            </w:r>
          </w:p>
          <w:p w:rsidR="00441FC4" w:rsidRPr="00354440" w:rsidRDefault="00441FC4" w:rsidP="00441FC4">
            <w:pPr>
              <w:jc w:val="both"/>
              <w:rPr>
                <w:rFonts w:eastAsia="Calibri"/>
                <w:sz w:val="20"/>
              </w:rPr>
            </w:pPr>
            <w:r w:rsidRPr="00354440">
              <w:rPr>
                <w:rFonts w:eastAsia="Calibri"/>
                <w:sz w:val="20"/>
              </w:rPr>
              <w:t>Docket: 0903</w:t>
            </w:r>
            <w:r w:rsidRPr="00354440">
              <w:rPr>
                <w:rFonts w:eastAsia="Calibri"/>
                <w:sz w:val="20"/>
              </w:rPr>
              <w:noBreakHyphen/>
              <w:t>0233</w:t>
            </w:r>
            <w:r w:rsidRPr="00354440">
              <w:rPr>
                <w:rFonts w:eastAsia="Calibri"/>
                <w:sz w:val="20"/>
              </w:rPr>
              <w:noBreakHyphen/>
              <w:t>A</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Appeal dismissed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December 31, 2010</w:t>
            </w:r>
          </w:p>
          <w:p w:rsidR="00441FC4" w:rsidRPr="00354440" w:rsidRDefault="00441FC4" w:rsidP="00441FC4">
            <w:pPr>
              <w:jc w:val="both"/>
              <w:rPr>
                <w:rFonts w:eastAsia="Calibri"/>
                <w:sz w:val="20"/>
              </w:rPr>
            </w:pPr>
            <w:r w:rsidRPr="00354440">
              <w:rPr>
                <w:rFonts w:eastAsia="Calibri"/>
                <w:sz w:val="20"/>
              </w:rPr>
              <w:t>Supreme Court of Canada</w:t>
            </w: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Application for leave to appeal filed</w:t>
            </w:r>
          </w:p>
          <w:p w:rsidR="00441FC4" w:rsidRPr="00354440" w:rsidRDefault="00441FC4" w:rsidP="00441FC4">
            <w:pPr>
              <w:jc w:val="both"/>
              <w:rPr>
                <w:rFonts w:eastAsia="Calibri"/>
                <w:sz w:val="20"/>
              </w:rPr>
            </w:pPr>
          </w:p>
        </w:tc>
      </w:tr>
    </w:tbl>
    <w:p w:rsidR="00441FC4" w:rsidRDefault="00441FC4" w:rsidP="008D292F">
      <w:pPr>
        <w:rPr>
          <w:sz w:val="20"/>
          <w:szCs w:val="20"/>
        </w:rPr>
      </w:pPr>
    </w:p>
    <w:p w:rsidR="00441FC4" w:rsidRPr="00C50A5C" w:rsidRDefault="00DB239D" w:rsidP="00441FC4">
      <w:pPr>
        <w:rPr>
          <w:sz w:val="20"/>
          <w:szCs w:val="20"/>
        </w:rPr>
      </w:pPr>
      <w:r w:rsidRPr="00DB239D">
        <w:rPr>
          <w:sz w:val="20"/>
          <w:szCs w:val="20"/>
          <w:lang w:val="fr-CA"/>
        </w:rPr>
        <w:pict>
          <v:rect id="_x0000_i1042"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8D292F">
      <w:pPr>
        <w:rPr>
          <w:sz w:val="20"/>
          <w:szCs w:val="20"/>
        </w:rPr>
      </w:pPr>
    </w:p>
    <w:tbl>
      <w:tblPr>
        <w:tblW w:w="4952" w:type="pct"/>
        <w:tblInd w:w="2" w:type="dxa"/>
        <w:tblLayout w:type="fixed"/>
        <w:tblCellMar>
          <w:left w:w="0" w:type="dxa"/>
          <w:bottom w:w="99" w:type="dxa"/>
          <w:right w:w="0" w:type="dxa"/>
        </w:tblCellMar>
        <w:tblLook w:val="00A0"/>
      </w:tblPr>
      <w:tblGrid>
        <w:gridCol w:w="4554"/>
        <w:gridCol w:w="514"/>
        <w:gridCol w:w="4459"/>
      </w:tblGrid>
      <w:tr w:rsidR="00441FC4" w:rsidRPr="009E192B"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Législation — Interprétation — Application rétroactive ou prospective de modifications — Preuve — Conduite d’un véhicule à moteur avec une alcoolémie qui dépasse 80 mg d’alcool par 100 ml de sang — Une modification au</w:t>
            </w:r>
            <w:r w:rsidRPr="00354440">
              <w:rPr>
                <w:rFonts w:eastAsia="Calibri"/>
                <w:i/>
                <w:iCs/>
                <w:sz w:val="20"/>
                <w:lang w:val="fr-CA"/>
              </w:rPr>
              <w:t xml:space="preserve"> Code criminel</w:t>
            </w:r>
            <w:r w:rsidRPr="00354440">
              <w:rPr>
                <w:rFonts w:eastAsia="Calibri"/>
                <w:sz w:val="20"/>
                <w:lang w:val="fr-CA"/>
              </w:rPr>
              <w:t xml:space="preserve"> rend irrecevable le témoignage relatif à la consommation ou au taux d’élimination d’alcool par l’accusé ou un calcul de l’alcoolémie fondé sur ces facteurs comme preuve du mauvais fonctionnement ou de l’utilisation incorrecte de l’alcootest — Les modifications apportées aux al. 258(1)</w:t>
            </w:r>
            <w:r w:rsidRPr="00354440">
              <w:rPr>
                <w:rFonts w:eastAsia="Calibri"/>
                <w:i/>
                <w:iCs/>
                <w:sz w:val="20"/>
                <w:lang w:val="fr-CA"/>
              </w:rPr>
              <w:t>c</w:t>
            </w:r>
            <w:r w:rsidRPr="00354440">
              <w:rPr>
                <w:rFonts w:eastAsia="Calibri"/>
                <w:sz w:val="20"/>
                <w:lang w:val="fr-CA"/>
              </w:rPr>
              <w:t>) et 258(1</w:t>
            </w:r>
            <w:proofErr w:type="gramStart"/>
            <w:r w:rsidRPr="00354440">
              <w:rPr>
                <w:rFonts w:eastAsia="Calibri"/>
                <w:sz w:val="20"/>
                <w:lang w:val="fr-CA"/>
              </w:rPr>
              <w:t>)</w:t>
            </w:r>
            <w:r w:rsidRPr="00354440">
              <w:rPr>
                <w:rFonts w:eastAsia="Calibri"/>
                <w:i/>
                <w:iCs/>
                <w:sz w:val="20"/>
                <w:lang w:val="fr-CA"/>
              </w:rPr>
              <w:t>d.01</w:t>
            </w:r>
            <w:proofErr w:type="gramEnd"/>
            <w:r w:rsidRPr="00354440">
              <w:rPr>
                <w:rFonts w:eastAsia="Calibri"/>
                <w:sz w:val="20"/>
                <w:lang w:val="fr-CA"/>
              </w:rPr>
              <w:t>) du</w:t>
            </w:r>
            <w:r w:rsidRPr="00354440">
              <w:rPr>
                <w:rFonts w:eastAsia="Calibri"/>
                <w:i/>
                <w:iCs/>
                <w:sz w:val="20"/>
                <w:lang w:val="fr-CA"/>
              </w:rPr>
              <w:t xml:space="preserve"> Code criminel</w:t>
            </w:r>
            <w:r w:rsidRPr="00354440">
              <w:rPr>
                <w:rFonts w:eastAsia="Calibri"/>
                <w:sz w:val="20"/>
                <w:lang w:val="fr-CA"/>
              </w:rPr>
              <w:t xml:space="preserve"> qui sont entrées en vigueur le 2 juillet 2008 sont</w:t>
            </w:r>
            <w:r w:rsidRPr="00354440">
              <w:rPr>
                <w:rFonts w:eastAsia="Calibri"/>
                <w:sz w:val="20"/>
                <w:lang w:val="fr-CA"/>
              </w:rPr>
              <w:noBreakHyphen/>
              <w:t>elles rétroactives ou non?</w:t>
            </w:r>
          </w:p>
        </w:tc>
      </w:tr>
      <w:tr w:rsidR="00441FC4" w:rsidRPr="009E192B" w:rsidTr="00441FC4">
        <w:tc>
          <w:tcPr>
            <w:tcW w:w="5000" w:type="pct"/>
            <w:gridSpan w:val="3"/>
          </w:tcPr>
          <w:p w:rsidR="00441FC4" w:rsidRPr="00354440" w:rsidRDefault="00441FC4" w:rsidP="00441FC4">
            <w:pPr>
              <w:jc w:val="both"/>
              <w:rPr>
                <w:rFonts w:eastAsia="Calibri"/>
                <w:sz w:val="20"/>
                <w:lang w:val="fr-CA"/>
              </w:rPr>
            </w:pPr>
          </w:p>
        </w:tc>
      </w:tr>
      <w:tr w:rsidR="00441FC4" w:rsidRPr="00354440"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Le 23 février 2008, le demandeur a échoué un alcootest et a été accusé de conduite alors que son alcoolémie dépassait la limite légale.  Avant le procès, l’avocat de la défense a avisé le ministère public qu’il entendait présenter une défense Carter (une défense liée à la consommation d’alcool et un avis d’expert selon lequel l’alcoolémie du demandeur aurait été en deçà de la limite légale).  Lorsque le procès a commencé, des modifications apportées le 2 juillet 2008 au</w:t>
            </w:r>
            <w:r w:rsidRPr="00354440">
              <w:rPr>
                <w:rFonts w:eastAsia="Calibri"/>
                <w:i/>
                <w:iCs/>
                <w:sz w:val="20"/>
                <w:lang w:val="fr-CA"/>
              </w:rPr>
              <w:t xml:space="preserve"> Code criminel</w:t>
            </w:r>
            <w:r w:rsidRPr="00354440">
              <w:rPr>
                <w:rFonts w:eastAsia="Calibri"/>
                <w:sz w:val="20"/>
                <w:lang w:val="fr-CA"/>
              </w:rPr>
              <w:t xml:space="preserve"> avaient éliminé la défense Carter.  Le ministère public a plaidé que les modifications s’appliquaient rétroactivement aux infractions commises avant la date d’entrée en vigueur des modifications et que la défense Carter n’était plus recevable.  Le juge du procès a permis à la défense de procéder.  Le demandeur a été acquitté. Le juge saisi de l’appel en matière de poursuites sommaires a infirmé la décision du juge du procès et a ordonné un nouveau procès. La Cour d’appel a rejeté l’appel.  </w:t>
            </w:r>
          </w:p>
          <w:p w:rsidR="00441FC4" w:rsidRPr="00354440" w:rsidRDefault="00441FC4" w:rsidP="00441FC4">
            <w:pPr>
              <w:jc w:val="both"/>
              <w:rPr>
                <w:rFonts w:eastAsia="Calibri"/>
                <w:sz w:val="20"/>
                <w:lang w:val="fr-CA"/>
              </w:rPr>
            </w:pPr>
          </w:p>
        </w:tc>
      </w:tr>
      <w:tr w:rsidR="00441FC4" w:rsidRPr="001D43E1"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27 octobre 2008</w:t>
            </w:r>
          </w:p>
          <w:p w:rsidR="00441FC4" w:rsidRPr="00354440" w:rsidRDefault="00441FC4" w:rsidP="00441FC4">
            <w:pPr>
              <w:jc w:val="both"/>
              <w:rPr>
                <w:rFonts w:eastAsia="Calibri"/>
                <w:sz w:val="20"/>
                <w:lang w:val="fr-CA"/>
              </w:rPr>
            </w:pPr>
            <w:r w:rsidRPr="00354440">
              <w:rPr>
                <w:rFonts w:eastAsia="Calibri"/>
                <w:sz w:val="20"/>
                <w:lang w:val="fr-CA"/>
              </w:rPr>
              <w:t>Cour provinciale de l’Alberta</w:t>
            </w:r>
          </w:p>
          <w:p w:rsidR="00441FC4" w:rsidRPr="00354440" w:rsidRDefault="00441FC4" w:rsidP="00441FC4">
            <w:pPr>
              <w:jc w:val="both"/>
              <w:rPr>
                <w:rFonts w:eastAsia="Calibri"/>
                <w:sz w:val="20"/>
                <w:lang w:val="fr-CA"/>
              </w:rPr>
            </w:pPr>
            <w:r w:rsidRPr="00354440">
              <w:rPr>
                <w:rFonts w:eastAsia="Calibri"/>
                <w:sz w:val="20"/>
                <w:lang w:val="fr-CA"/>
              </w:rPr>
              <w:t>(Juge Myers)</w:t>
            </w:r>
          </w:p>
          <w:p w:rsidR="00441FC4" w:rsidRPr="00354440" w:rsidRDefault="00441FC4" w:rsidP="00441FC4">
            <w:pPr>
              <w:jc w:val="both"/>
              <w:rPr>
                <w:rFonts w:eastAsia="Calibri"/>
                <w:sz w:val="20"/>
                <w:lang w:val="fr-CA"/>
              </w:rPr>
            </w:pP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Acquittement sur une accusation de conduite d’un véhicule à moteur avec une alcoolémie qui dépassait 80 mg d’alcool par 100 ml de sang</w:t>
            </w:r>
          </w:p>
          <w:p w:rsidR="00441FC4" w:rsidRPr="00354440" w:rsidRDefault="00441FC4" w:rsidP="00441FC4">
            <w:pPr>
              <w:jc w:val="both"/>
              <w:rPr>
                <w:rFonts w:eastAsia="Calibri"/>
                <w:sz w:val="20"/>
                <w:lang w:val="fr-CA"/>
              </w:rPr>
            </w:pPr>
          </w:p>
        </w:tc>
      </w:tr>
      <w:tr w:rsidR="00441FC4" w:rsidRPr="001D43E1"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29 mai 2009</w:t>
            </w:r>
          </w:p>
          <w:p w:rsidR="00441FC4" w:rsidRPr="00354440" w:rsidRDefault="00441FC4" w:rsidP="00441FC4">
            <w:pPr>
              <w:jc w:val="both"/>
              <w:rPr>
                <w:rFonts w:eastAsia="Calibri"/>
                <w:sz w:val="20"/>
                <w:lang w:val="fr-CA"/>
              </w:rPr>
            </w:pPr>
            <w:r w:rsidRPr="00354440">
              <w:rPr>
                <w:rFonts w:eastAsia="Calibri"/>
                <w:sz w:val="20"/>
                <w:lang w:val="fr-CA"/>
              </w:rPr>
              <w:t>Cour du Banc de la Reine de l’Alberta</w:t>
            </w:r>
          </w:p>
          <w:p w:rsidR="00441FC4" w:rsidRPr="00354440" w:rsidRDefault="00441FC4" w:rsidP="00441FC4">
            <w:pPr>
              <w:jc w:val="both"/>
              <w:rPr>
                <w:rFonts w:eastAsia="Calibri"/>
                <w:sz w:val="20"/>
                <w:lang w:val="fr-CA"/>
              </w:rPr>
            </w:pPr>
            <w:r w:rsidRPr="00354440">
              <w:rPr>
                <w:rFonts w:eastAsia="Calibri"/>
                <w:sz w:val="20"/>
                <w:lang w:val="fr-CA"/>
              </w:rPr>
              <w:t>(Juge Lee)</w:t>
            </w:r>
          </w:p>
          <w:p w:rsidR="00441FC4" w:rsidRPr="00354440" w:rsidRDefault="00441FC4" w:rsidP="00441FC4">
            <w:pPr>
              <w:jc w:val="both"/>
              <w:rPr>
                <w:rFonts w:eastAsia="Calibri"/>
                <w:sz w:val="20"/>
                <w:lang w:val="fr-CA"/>
              </w:rPr>
            </w:pPr>
            <w:r w:rsidRPr="00354440">
              <w:rPr>
                <w:rFonts w:eastAsia="Calibri"/>
                <w:sz w:val="20"/>
                <w:lang w:val="fr-CA"/>
              </w:rPr>
              <w:t>2009 ABQB 461</w:t>
            </w:r>
          </w:p>
          <w:p w:rsidR="00441FC4" w:rsidRPr="00354440" w:rsidRDefault="00441FC4" w:rsidP="00441FC4">
            <w:pPr>
              <w:jc w:val="both"/>
              <w:rPr>
                <w:rFonts w:eastAsia="Calibri"/>
                <w:sz w:val="20"/>
                <w:lang w:val="fr-CA"/>
              </w:rPr>
            </w:pP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Appel en matière de poursuites sommaires accueilli, acquittement annulé, nouveau procès ordonné</w:t>
            </w:r>
          </w:p>
          <w:p w:rsidR="00441FC4" w:rsidRPr="00354440" w:rsidRDefault="00441FC4" w:rsidP="00441FC4">
            <w:pPr>
              <w:jc w:val="both"/>
              <w:rPr>
                <w:rFonts w:eastAsia="Calibri"/>
                <w:sz w:val="20"/>
                <w:lang w:val="fr-CA"/>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4 novembre 2010</w:t>
            </w:r>
          </w:p>
          <w:p w:rsidR="00441FC4" w:rsidRPr="00354440" w:rsidRDefault="00441FC4" w:rsidP="00441FC4">
            <w:pPr>
              <w:jc w:val="both"/>
              <w:rPr>
                <w:rFonts w:eastAsia="Calibri"/>
                <w:sz w:val="20"/>
                <w:lang w:val="fr-CA"/>
              </w:rPr>
            </w:pPr>
            <w:r w:rsidRPr="00354440">
              <w:rPr>
                <w:rFonts w:eastAsia="Calibri"/>
                <w:sz w:val="20"/>
                <w:lang w:val="fr-CA"/>
              </w:rPr>
              <w:t>Cour d’appel de l’Alberta (Edmonton)</w:t>
            </w:r>
          </w:p>
          <w:p w:rsidR="00441FC4" w:rsidRPr="00354440" w:rsidRDefault="00441FC4" w:rsidP="00441FC4">
            <w:pPr>
              <w:jc w:val="both"/>
              <w:rPr>
                <w:rFonts w:eastAsia="Calibri"/>
                <w:sz w:val="20"/>
                <w:lang w:val="fr-CA"/>
              </w:rPr>
            </w:pPr>
            <w:r w:rsidRPr="00354440">
              <w:rPr>
                <w:rFonts w:eastAsia="Calibri"/>
                <w:sz w:val="20"/>
                <w:lang w:val="fr-CA"/>
              </w:rPr>
              <w:t>(Juges Côté, Picard et Slatter)</w:t>
            </w:r>
          </w:p>
          <w:p w:rsidR="00441FC4" w:rsidRPr="00354440" w:rsidRDefault="00441FC4" w:rsidP="00441FC4">
            <w:pPr>
              <w:jc w:val="both"/>
              <w:rPr>
                <w:rFonts w:eastAsia="Calibri"/>
                <w:sz w:val="20"/>
              </w:rPr>
            </w:pPr>
            <w:r w:rsidRPr="00354440">
              <w:rPr>
                <w:rFonts w:eastAsia="Calibri"/>
                <w:sz w:val="20"/>
              </w:rPr>
              <w:t>2010 ABCA 335</w:t>
            </w:r>
          </w:p>
          <w:p w:rsidR="00441FC4" w:rsidRPr="00354440" w:rsidRDefault="00441FC4" w:rsidP="00441FC4">
            <w:pPr>
              <w:jc w:val="both"/>
              <w:rPr>
                <w:rFonts w:eastAsia="Calibri"/>
                <w:sz w:val="20"/>
              </w:rPr>
            </w:pPr>
            <w:r w:rsidRPr="00354440">
              <w:rPr>
                <w:rFonts w:eastAsia="Calibri"/>
                <w:sz w:val="20"/>
              </w:rPr>
              <w:t>N</w:t>
            </w:r>
            <w:r w:rsidRPr="00354440">
              <w:rPr>
                <w:rFonts w:eastAsia="Calibri"/>
                <w:sz w:val="20"/>
                <w:vertAlign w:val="superscript"/>
              </w:rPr>
              <w:t>o</w:t>
            </w:r>
            <w:r w:rsidRPr="00354440">
              <w:rPr>
                <w:rFonts w:eastAsia="Calibri"/>
                <w:sz w:val="20"/>
              </w:rPr>
              <w:t xml:space="preserve"> du greffe : 0903</w:t>
            </w:r>
            <w:r w:rsidRPr="00354440">
              <w:rPr>
                <w:rFonts w:eastAsia="Calibri"/>
                <w:sz w:val="20"/>
              </w:rPr>
              <w:noBreakHyphen/>
              <w:t>0233</w:t>
            </w:r>
            <w:r w:rsidRPr="00354440">
              <w:rPr>
                <w:rFonts w:eastAsia="Calibri"/>
                <w:sz w:val="20"/>
              </w:rPr>
              <w:noBreakHyphen/>
              <w:t>A</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Appel rejeté</w:t>
            </w:r>
          </w:p>
          <w:p w:rsidR="00441FC4" w:rsidRPr="00354440" w:rsidRDefault="00441FC4" w:rsidP="00441FC4">
            <w:pPr>
              <w:jc w:val="both"/>
              <w:rPr>
                <w:rFonts w:eastAsia="Calibri"/>
                <w:sz w:val="20"/>
                <w:lang w:val="fr-CA"/>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31 décembre 2010</w:t>
            </w:r>
          </w:p>
          <w:p w:rsidR="00441FC4" w:rsidRPr="00354440" w:rsidRDefault="00441FC4" w:rsidP="00441FC4">
            <w:pPr>
              <w:jc w:val="both"/>
              <w:rPr>
                <w:rFonts w:eastAsia="Calibri"/>
                <w:sz w:val="20"/>
                <w:lang w:val="fr-CA"/>
              </w:rPr>
            </w:pPr>
            <w:r w:rsidRPr="00354440">
              <w:rPr>
                <w:rFonts w:eastAsia="Calibri"/>
                <w:sz w:val="20"/>
                <w:lang w:val="fr-CA"/>
              </w:rPr>
              <w:t>Cour suprême du Canada</w:t>
            </w: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Demande d’autorisation d’appel, déposée</w:t>
            </w:r>
          </w:p>
          <w:p w:rsidR="00441FC4" w:rsidRPr="00354440" w:rsidRDefault="00441FC4" w:rsidP="00441FC4">
            <w:pPr>
              <w:jc w:val="both"/>
              <w:rPr>
                <w:rFonts w:eastAsia="Calibri"/>
                <w:sz w:val="20"/>
                <w:lang w:val="fr-CA"/>
              </w:rPr>
            </w:pPr>
          </w:p>
        </w:tc>
      </w:tr>
    </w:tbl>
    <w:p w:rsidR="00441FC4" w:rsidRDefault="00441FC4" w:rsidP="008D292F">
      <w:pPr>
        <w:rPr>
          <w:sz w:val="20"/>
          <w:szCs w:val="20"/>
        </w:rPr>
      </w:pPr>
    </w:p>
    <w:p w:rsidR="00441FC4" w:rsidRDefault="00DB239D" w:rsidP="008D292F">
      <w:pPr>
        <w:rPr>
          <w:sz w:val="20"/>
          <w:szCs w:val="20"/>
          <w:lang w:val="fr-CA"/>
        </w:rPr>
      </w:pPr>
      <w:r w:rsidRPr="00DB239D">
        <w:rPr>
          <w:sz w:val="20"/>
          <w:szCs w:val="20"/>
          <w:lang w:val="fr-CA"/>
        </w:rPr>
        <w:pict>
          <v:rect id="_x0000_i1043" style="width:2in;height:1pt" o:hrpct="0" o:hralign="center" o:hrstd="t" o:hrnoshade="t" o:hr="t" fillcolor="black [3213]" stroked="f"/>
        </w:pict>
      </w:r>
    </w:p>
    <w:p w:rsidR="00B9214A" w:rsidRDefault="00B9214A">
      <w:pPr>
        <w:rPr>
          <w:sz w:val="20"/>
          <w:szCs w:val="20"/>
          <w:lang w:val="fr-CA"/>
        </w:rPr>
      </w:pPr>
    </w:p>
    <w:p w:rsidR="00B9214A" w:rsidRDefault="00B9214A">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14A" w:rsidRPr="001D43E1" w:rsidTr="00066741">
        <w:trPr>
          <w:cantSplit/>
        </w:trPr>
        <w:tc>
          <w:tcPr>
            <w:tcW w:w="1458" w:type="dxa"/>
          </w:tcPr>
          <w:p w:rsidR="00B9214A" w:rsidRPr="005B715A" w:rsidRDefault="00B9214A" w:rsidP="00066741">
            <w:pPr>
              <w:rPr>
                <w:sz w:val="20"/>
                <w:szCs w:val="20"/>
              </w:rPr>
            </w:pPr>
            <w:r w:rsidRPr="005B715A">
              <w:rPr>
                <w:rStyle w:val="SCCFileNumberChar"/>
                <w:sz w:val="20"/>
                <w:szCs w:val="20"/>
              </w:rPr>
              <w:t>33998</w:t>
            </w:r>
          </w:p>
          <w:p w:rsidR="00B9214A" w:rsidRPr="005B715A" w:rsidRDefault="00B9214A" w:rsidP="00066741">
            <w:pPr>
              <w:rPr>
                <w:b/>
                <w:sz w:val="20"/>
                <w:szCs w:val="20"/>
                <w:lang w:val="fr-CA"/>
              </w:rPr>
            </w:pPr>
          </w:p>
        </w:tc>
        <w:tc>
          <w:tcPr>
            <w:tcW w:w="8118" w:type="dxa"/>
          </w:tcPr>
          <w:p w:rsidR="00B9214A" w:rsidRPr="005B715A" w:rsidRDefault="00B9214A" w:rsidP="00066741">
            <w:pPr>
              <w:rPr>
                <w:sz w:val="20"/>
                <w:szCs w:val="20"/>
                <w:lang w:val="fr-CA"/>
              </w:rPr>
            </w:pPr>
            <w:r w:rsidRPr="005B715A">
              <w:rPr>
                <w:rStyle w:val="SCCLsocChar"/>
                <w:sz w:val="20"/>
                <w:szCs w:val="20"/>
              </w:rPr>
              <w:t>Sylvain Loiseau c. Sa Majesté la Reine</w:t>
            </w:r>
            <w:r w:rsidRPr="005B715A">
              <w:rPr>
                <w:sz w:val="20"/>
                <w:szCs w:val="20"/>
                <w:lang w:val="fr-CA"/>
              </w:rPr>
              <w:t xml:space="preserve"> (Qc) (Criminelle) (Autorisation)</w:t>
            </w:r>
          </w:p>
          <w:p w:rsidR="00B9214A" w:rsidRPr="005B715A" w:rsidRDefault="00B9214A" w:rsidP="00066741">
            <w:pPr>
              <w:rPr>
                <w:sz w:val="20"/>
                <w:szCs w:val="20"/>
                <w:lang w:val="fr-CA"/>
              </w:rPr>
            </w:pPr>
          </w:p>
        </w:tc>
      </w:tr>
      <w:tr w:rsidR="00B9214A" w:rsidRPr="001D43E1" w:rsidTr="00066741">
        <w:trPr>
          <w:cantSplit/>
        </w:trPr>
        <w:tc>
          <w:tcPr>
            <w:tcW w:w="1458" w:type="dxa"/>
          </w:tcPr>
          <w:p w:rsidR="00B9214A" w:rsidRPr="005B715A" w:rsidRDefault="00B9214A" w:rsidP="00066741">
            <w:pPr>
              <w:rPr>
                <w:sz w:val="20"/>
                <w:szCs w:val="20"/>
              </w:rPr>
            </w:pPr>
            <w:r w:rsidRPr="005B715A">
              <w:rPr>
                <w:sz w:val="20"/>
                <w:szCs w:val="20"/>
              </w:rPr>
              <w:t>Coram :</w:t>
            </w:r>
          </w:p>
        </w:tc>
        <w:tc>
          <w:tcPr>
            <w:tcW w:w="8118" w:type="dxa"/>
          </w:tcPr>
          <w:p w:rsidR="00B9214A" w:rsidRPr="005B715A" w:rsidRDefault="00B9214A" w:rsidP="00066741">
            <w:pPr>
              <w:rPr>
                <w:sz w:val="20"/>
                <w:szCs w:val="20"/>
                <w:lang w:val="fr-CA"/>
              </w:rPr>
            </w:pPr>
            <w:r w:rsidRPr="005B715A">
              <w:rPr>
                <w:rStyle w:val="SCCCoramChar"/>
                <w:sz w:val="20"/>
                <w:szCs w:val="20"/>
              </w:rPr>
              <w:t>La juge en chef McLachlin et les juges Abella et Cromwell</w:t>
            </w:r>
          </w:p>
          <w:p w:rsidR="00B9214A" w:rsidRPr="005B715A" w:rsidRDefault="00B9214A" w:rsidP="00066741">
            <w:pPr>
              <w:rPr>
                <w:sz w:val="20"/>
                <w:szCs w:val="20"/>
                <w:u w:val="single"/>
                <w:lang w:val="fr-CA"/>
              </w:rPr>
            </w:pPr>
          </w:p>
        </w:tc>
      </w:tr>
      <w:tr w:rsidR="00B9214A" w:rsidRPr="005B715A" w:rsidTr="00066741">
        <w:trPr>
          <w:cantSplit/>
        </w:trPr>
        <w:tc>
          <w:tcPr>
            <w:tcW w:w="9576" w:type="dxa"/>
            <w:gridSpan w:val="2"/>
          </w:tcPr>
          <w:p w:rsidR="00B9214A" w:rsidRPr="005B715A" w:rsidRDefault="00B9214A" w:rsidP="00066741">
            <w:pPr>
              <w:pStyle w:val="SCCShortJudgment"/>
              <w:rPr>
                <w:szCs w:val="20"/>
                <w:lang w:val="fr-CA"/>
              </w:rPr>
            </w:pPr>
            <w:r w:rsidRPr="005B715A">
              <w:rPr>
                <w:szCs w:val="20"/>
                <w:lang w:val="fr-CA"/>
              </w:rPr>
              <w:t xml:space="preserve">Conformément au paragraphe 43 (1.1) de la </w:t>
            </w:r>
            <w:r w:rsidRPr="00C44E08">
              <w:rPr>
                <w:i/>
                <w:szCs w:val="20"/>
                <w:lang w:val="fr-CA"/>
              </w:rPr>
              <w:t>Loi sur la Cour suprême</w:t>
            </w:r>
            <w:r w:rsidRPr="005B715A">
              <w:rPr>
                <w:szCs w:val="20"/>
                <w:lang w:val="fr-CA"/>
              </w:rPr>
              <w:t xml:space="preserve">, l’affaire à l’origine de la demande d’autorisation d’appel de l’arrêt de la Cour d’appel du Québec (Montréal), numéro 500-10-004500-094, 2010 QCCA 1872, daté du 19 octobre 2010, est renvoyée à la Cour d’appel du Québec pour qu’elle statue en conformité avec l’arrêt </w:t>
            </w:r>
            <w:r w:rsidRPr="00C44E08">
              <w:rPr>
                <w:i/>
                <w:szCs w:val="20"/>
                <w:lang w:val="fr-CA"/>
              </w:rPr>
              <w:t>R. c. Dineley</w:t>
            </w:r>
            <w:r w:rsidRPr="005B715A">
              <w:rPr>
                <w:szCs w:val="20"/>
                <w:lang w:val="fr-CA"/>
              </w:rPr>
              <w:t>, 2012 SCC 58.</w:t>
            </w:r>
          </w:p>
          <w:p w:rsidR="00B9214A" w:rsidRPr="005B715A" w:rsidRDefault="00B9214A" w:rsidP="00066741">
            <w:pPr>
              <w:pStyle w:val="SCCShortJudgment"/>
              <w:ind w:firstLine="0"/>
              <w:rPr>
                <w:szCs w:val="20"/>
                <w:lang w:val="fr-CA"/>
              </w:rPr>
            </w:pPr>
          </w:p>
          <w:p w:rsidR="00B9214A" w:rsidRPr="005B715A" w:rsidRDefault="00B9214A" w:rsidP="00066741">
            <w:pPr>
              <w:pStyle w:val="SCCShortJudgment"/>
              <w:rPr>
                <w:szCs w:val="20"/>
              </w:rPr>
            </w:pPr>
            <w:r w:rsidRPr="005B715A">
              <w:rPr>
                <w:szCs w:val="20"/>
              </w:rPr>
              <w:t xml:space="preserve">Pursuant to subsection 43 (1.1) of </w:t>
            </w:r>
            <w:r w:rsidRPr="00C44E08">
              <w:rPr>
                <w:i/>
                <w:szCs w:val="20"/>
              </w:rPr>
              <w:t>The Supreme Court Act</w:t>
            </w:r>
            <w:r w:rsidRPr="005B715A">
              <w:rPr>
                <w:szCs w:val="20"/>
              </w:rPr>
              <w:t xml:space="preserve">, the case forming the basis of the application for leave to appeal from the judgment of the Court of Appeal of Quebec (Montréal), Number 500-10-004500-094, 2010 QCCA 1872, dated October 19, 2010, is remanded to the Court of Appeal of Quebec for disposition in accordance with </w:t>
            </w:r>
            <w:r w:rsidRPr="00C44E08">
              <w:rPr>
                <w:i/>
                <w:szCs w:val="20"/>
              </w:rPr>
              <w:t>R. v. Dineley</w:t>
            </w:r>
            <w:r w:rsidRPr="005B715A">
              <w:rPr>
                <w:szCs w:val="20"/>
              </w:rPr>
              <w:t>, 2012 SCC 58.</w:t>
            </w:r>
          </w:p>
        </w:tc>
      </w:tr>
    </w:tbl>
    <w:p w:rsidR="00441FC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 xml:space="preserve">Criminal law – </w:t>
            </w:r>
            <w:r w:rsidR="00DB239D" w:rsidRPr="00354440">
              <w:rPr>
                <w:rFonts w:eastAsia="Calibri"/>
                <w:sz w:val="20"/>
              </w:rPr>
              <w:fldChar w:fldCharType="begin"/>
            </w:r>
            <w:r w:rsidRPr="00354440">
              <w:rPr>
                <w:rFonts w:eastAsia="Calibri"/>
                <w:sz w:val="20"/>
              </w:rPr>
              <w:instrText xml:space="preserve"> SEQ CHAPTER \h \r 1</w:instrText>
            </w:r>
            <w:r w:rsidR="00DB239D" w:rsidRPr="00354440">
              <w:rPr>
                <w:rFonts w:eastAsia="Calibri"/>
                <w:sz w:val="20"/>
              </w:rPr>
              <w:fldChar w:fldCharType="end"/>
            </w:r>
            <w:r w:rsidRPr="00354440">
              <w:rPr>
                <w:rFonts w:eastAsia="Calibri"/>
                <w:sz w:val="20"/>
              </w:rPr>
              <w:t xml:space="preserve">Legislation – Interpretation – Retrospective or prospective application of amendments – Evidence – Presumption of identity – </w:t>
            </w:r>
            <w:r w:rsidRPr="00354440">
              <w:rPr>
                <w:rFonts w:eastAsia="Calibri"/>
                <w:i/>
                <w:sz w:val="20"/>
              </w:rPr>
              <w:t>Carter</w:t>
            </w:r>
            <w:r w:rsidRPr="00354440">
              <w:rPr>
                <w:rFonts w:eastAsia="Calibri"/>
                <w:sz w:val="20"/>
              </w:rPr>
              <w:t xml:space="preserve"> defence – Applicant charged with operating motor vehicle while impaired and operating motor vehicle with blood alcohol level exceeding 80 mg of alcohol in 100 ml of blood – Amendment to </w:t>
            </w:r>
            <w:r w:rsidRPr="00354440">
              <w:rPr>
                <w:rFonts w:eastAsia="Calibri"/>
                <w:i/>
                <w:sz w:val="20"/>
              </w:rPr>
              <w:t>Criminal Code</w:t>
            </w:r>
            <w:r w:rsidRPr="00354440">
              <w:rPr>
                <w:rFonts w:eastAsia="Calibri"/>
                <w:i/>
                <w:iCs/>
                <w:sz w:val="20"/>
              </w:rPr>
              <w:t xml:space="preserve"> </w:t>
            </w:r>
            <w:r w:rsidRPr="00354440">
              <w:rPr>
                <w:rFonts w:eastAsia="Calibri"/>
                <w:iCs/>
                <w:sz w:val="20"/>
              </w:rPr>
              <w:t>making testimony concerning accused’s alcohol consumption or elimination rate or calculation of blood alcohol level based on those factors inadmissible as evidence of problem with equipment or method used to administer breathalyser</w:t>
            </w:r>
            <w:r w:rsidRPr="00354440">
              <w:rPr>
                <w:rFonts w:eastAsia="Calibri"/>
                <w:sz w:val="20"/>
              </w:rPr>
              <w:t xml:space="preserve"> – Whether amendment applies retrospectively to offences committed before date it came into force in cases where trial began or was continued after that date – </w:t>
            </w:r>
            <w:r w:rsidRPr="00354440">
              <w:rPr>
                <w:rFonts w:eastAsia="Calibri"/>
                <w:i/>
                <w:sz w:val="20"/>
              </w:rPr>
              <w:t>Criminal Code</w:t>
            </w:r>
            <w:r w:rsidRPr="00354440">
              <w:rPr>
                <w:rFonts w:eastAsia="Calibri"/>
                <w:sz w:val="20"/>
              </w:rPr>
              <w:t>, R.S.C. 1985, c. C</w:t>
            </w:r>
            <w:r w:rsidRPr="00354440">
              <w:rPr>
                <w:rFonts w:eastAsia="Calibri"/>
                <w:sz w:val="20"/>
              </w:rPr>
              <w:noBreakHyphen/>
              <w:t>46, ss. 253(</w:t>
            </w:r>
            <w:r w:rsidRPr="00354440">
              <w:rPr>
                <w:rFonts w:eastAsia="Calibri"/>
                <w:i/>
                <w:sz w:val="20"/>
              </w:rPr>
              <w:t>b</w:t>
            </w:r>
            <w:r w:rsidRPr="00354440">
              <w:rPr>
                <w:rFonts w:eastAsia="Calibri"/>
                <w:sz w:val="20"/>
              </w:rPr>
              <w:t xml:space="preserve">), 255 and </w:t>
            </w:r>
            <w:r w:rsidR="00DB239D" w:rsidRPr="00354440">
              <w:rPr>
                <w:rFonts w:eastAsia="Calibri"/>
                <w:sz w:val="20"/>
              </w:rPr>
              <w:fldChar w:fldCharType="begin"/>
            </w:r>
            <w:r w:rsidRPr="00354440">
              <w:rPr>
                <w:rFonts w:eastAsia="Calibri"/>
                <w:sz w:val="20"/>
              </w:rPr>
              <w:instrText xml:space="preserve"> SEQ CHAPTER \h \r 1</w:instrText>
            </w:r>
            <w:r w:rsidR="00DB239D" w:rsidRPr="00354440">
              <w:rPr>
                <w:rFonts w:eastAsia="Calibri"/>
                <w:sz w:val="20"/>
              </w:rPr>
              <w:fldChar w:fldCharType="end"/>
            </w:r>
            <w:r w:rsidRPr="00354440">
              <w:rPr>
                <w:rFonts w:eastAsia="Calibri"/>
                <w:sz w:val="20"/>
              </w:rPr>
              <w:t>258(1).</w:t>
            </w:r>
          </w:p>
        </w:tc>
      </w:tr>
      <w:tr w:rsidR="00441FC4" w:rsidRPr="00354440" w:rsidTr="00441FC4">
        <w:tc>
          <w:tcPr>
            <w:tcW w:w="5000" w:type="pct"/>
            <w:gridSpan w:val="3"/>
          </w:tcPr>
          <w:p w:rsidR="00441FC4" w:rsidRPr="00354440" w:rsidRDefault="00441FC4" w:rsidP="00441FC4">
            <w:pPr>
              <w:jc w:val="both"/>
              <w:rPr>
                <w:rFonts w:eastAsia="Calibri"/>
                <w:sz w:val="20"/>
              </w:rPr>
            </w:pPr>
          </w:p>
        </w:tc>
      </w:tr>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 xml:space="preserve">The applicant, Mr. Loiseau, was charged in January 2007 with operating a motor vehicle while impaired and operating a motor vehicle with a blood alcohol level exceeding 80 milligrams in 100 millilitres of blood.  At the time those offences were committed, s. 258(1) of the </w:t>
            </w:r>
            <w:r w:rsidRPr="00354440">
              <w:rPr>
                <w:rFonts w:eastAsia="Calibri"/>
                <w:i/>
                <w:sz w:val="20"/>
              </w:rPr>
              <w:t>Criminal Code</w:t>
            </w:r>
            <w:r w:rsidRPr="00354440">
              <w:rPr>
                <w:rFonts w:eastAsia="Calibri"/>
                <w:sz w:val="20"/>
              </w:rPr>
              <w:t xml:space="preserve"> provided for a defence to those charges based on an accused’s consumption scenario (</w:t>
            </w:r>
            <w:r w:rsidRPr="00354440">
              <w:rPr>
                <w:rFonts w:eastAsia="Calibri"/>
                <w:i/>
                <w:sz w:val="20"/>
              </w:rPr>
              <w:t>Carter</w:t>
            </w:r>
            <w:r w:rsidRPr="00354440">
              <w:rPr>
                <w:rFonts w:eastAsia="Calibri"/>
                <w:sz w:val="20"/>
              </w:rPr>
              <w:t xml:space="preserve"> defence).  In July 2008, before Mr. Loiseau’s trial was held, legislative amendments limiting the defence based on the accused’s consumption scenario came into force.  In the absence of any transitional provision or parliamentary debates explicitly discussing the temporal effect of the amendments, the issue that arose was whether the amendments applied to pending cases.  The Municipal Court of Montréal rejected the Crown’s position that the new version of s. 258(1) had retrospective effect.  Mr. Loiseau therefore presented evidence to the contrary that was supported by a credible consumption scenario and by expert evidence showing that his blood alcohol level was lower than indicated by the breathalyser results.  He was acquitted.  The Superior Court dismissed the appeal.  The Court of Appeal allowed the appeal and ordered a new trial. </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February 6, 2009</w:t>
            </w:r>
          </w:p>
          <w:p w:rsidR="00441FC4" w:rsidRPr="00354440" w:rsidRDefault="00441FC4" w:rsidP="00441FC4">
            <w:pPr>
              <w:jc w:val="both"/>
              <w:rPr>
                <w:rFonts w:eastAsia="Calibri"/>
                <w:sz w:val="20"/>
              </w:rPr>
            </w:pPr>
            <w:r w:rsidRPr="00354440">
              <w:rPr>
                <w:rFonts w:eastAsia="Calibri"/>
                <w:sz w:val="20"/>
              </w:rPr>
              <w:t>Municipal Court of Montréal</w:t>
            </w:r>
          </w:p>
          <w:p w:rsidR="00441FC4" w:rsidRPr="00354440" w:rsidRDefault="00441FC4" w:rsidP="00441FC4">
            <w:pPr>
              <w:jc w:val="both"/>
              <w:rPr>
                <w:rFonts w:eastAsia="Calibri"/>
                <w:sz w:val="20"/>
              </w:rPr>
            </w:pPr>
            <w:r w:rsidRPr="00354440">
              <w:rPr>
                <w:rFonts w:eastAsia="Calibri"/>
                <w:sz w:val="20"/>
              </w:rPr>
              <w:t>(Judge Baribeau)</w:t>
            </w:r>
          </w:p>
          <w:p w:rsidR="00441FC4" w:rsidRPr="00354440" w:rsidRDefault="00441FC4" w:rsidP="00441FC4">
            <w:pPr>
              <w:jc w:val="both"/>
              <w:rPr>
                <w:rFonts w:eastAsia="Calibri"/>
                <w:sz w:val="20"/>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Applicant acquitted of impaired driving and operating motor vehicle with blood alcohol level exceeding 80 mg of alcohol in 100 ml of blood</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October 1, 2009</w:t>
            </w:r>
          </w:p>
          <w:p w:rsidR="00441FC4" w:rsidRPr="00354440" w:rsidRDefault="00441FC4" w:rsidP="00441FC4">
            <w:pPr>
              <w:jc w:val="both"/>
              <w:rPr>
                <w:rFonts w:eastAsia="Calibri"/>
                <w:sz w:val="20"/>
              </w:rPr>
            </w:pPr>
            <w:r w:rsidRPr="00354440">
              <w:rPr>
                <w:rFonts w:eastAsia="Calibri"/>
                <w:sz w:val="20"/>
              </w:rPr>
              <w:t>Quebec Superior Court</w:t>
            </w:r>
          </w:p>
          <w:p w:rsidR="00441FC4" w:rsidRPr="00354440" w:rsidRDefault="00441FC4" w:rsidP="00441FC4">
            <w:pPr>
              <w:jc w:val="both"/>
              <w:rPr>
                <w:rFonts w:eastAsia="Calibri"/>
                <w:sz w:val="20"/>
              </w:rPr>
            </w:pPr>
            <w:r w:rsidRPr="00354440">
              <w:rPr>
                <w:rFonts w:eastAsia="Calibri"/>
                <w:sz w:val="20"/>
              </w:rPr>
              <w:t>(Buffoni J.)</w:t>
            </w:r>
          </w:p>
          <w:p w:rsidR="00441FC4" w:rsidRPr="00354440" w:rsidRDefault="00441FC4" w:rsidP="00441FC4">
            <w:pPr>
              <w:jc w:val="both"/>
              <w:rPr>
                <w:rFonts w:eastAsia="Calibri"/>
                <w:sz w:val="20"/>
              </w:rPr>
            </w:pPr>
            <w:r w:rsidRPr="00354440">
              <w:rPr>
                <w:rFonts w:eastAsia="Calibri"/>
                <w:sz w:val="20"/>
              </w:rPr>
              <w:t>2009 QCCS 4631</w:t>
            </w:r>
          </w:p>
          <w:p w:rsidR="00441FC4" w:rsidRPr="00354440" w:rsidRDefault="00441FC4" w:rsidP="00441FC4">
            <w:pPr>
              <w:jc w:val="both"/>
              <w:rPr>
                <w:rFonts w:eastAsia="Calibri"/>
                <w:sz w:val="20"/>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Appeal dismissed</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October 19, 2010</w:t>
            </w:r>
          </w:p>
          <w:p w:rsidR="00441FC4" w:rsidRPr="00354440" w:rsidRDefault="00441FC4" w:rsidP="00441FC4">
            <w:pPr>
              <w:jc w:val="both"/>
              <w:rPr>
                <w:rFonts w:eastAsia="Calibri"/>
                <w:sz w:val="20"/>
              </w:rPr>
            </w:pPr>
            <w:r w:rsidRPr="00354440">
              <w:rPr>
                <w:rFonts w:eastAsia="Calibri"/>
                <w:sz w:val="20"/>
              </w:rPr>
              <w:t>Quebec Court of Appeal</w:t>
            </w:r>
          </w:p>
          <w:p w:rsidR="00441FC4" w:rsidRPr="00354440" w:rsidRDefault="00441FC4" w:rsidP="00441FC4">
            <w:pPr>
              <w:jc w:val="both"/>
              <w:rPr>
                <w:rFonts w:eastAsia="Calibri"/>
                <w:sz w:val="20"/>
              </w:rPr>
            </w:pPr>
            <w:r w:rsidRPr="00354440">
              <w:rPr>
                <w:rFonts w:eastAsia="Calibri"/>
                <w:sz w:val="20"/>
              </w:rPr>
              <w:t>(Dalphond, Hilton and Bich [dissenting] JJ.A.)</w:t>
            </w:r>
          </w:p>
          <w:p w:rsidR="00441FC4" w:rsidRPr="00354440" w:rsidRDefault="00441FC4" w:rsidP="00441FC4">
            <w:pPr>
              <w:jc w:val="both"/>
              <w:rPr>
                <w:rFonts w:eastAsia="Calibri"/>
                <w:sz w:val="20"/>
              </w:rPr>
            </w:pPr>
            <w:r w:rsidRPr="00354440">
              <w:rPr>
                <w:rFonts w:eastAsia="Calibri"/>
                <w:sz w:val="20"/>
              </w:rPr>
              <w:t>2010 QCCA 1872</w:t>
            </w:r>
          </w:p>
          <w:p w:rsidR="00441FC4" w:rsidRPr="00354440" w:rsidRDefault="00441FC4" w:rsidP="00441FC4">
            <w:pPr>
              <w:jc w:val="both"/>
              <w:rPr>
                <w:rFonts w:eastAsia="Calibri"/>
                <w:sz w:val="20"/>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Appeal allowed</w:t>
            </w: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December 20, 2010</w:t>
            </w:r>
          </w:p>
          <w:p w:rsidR="00441FC4" w:rsidRPr="00354440" w:rsidRDefault="00441FC4" w:rsidP="00441FC4">
            <w:pPr>
              <w:jc w:val="both"/>
              <w:rPr>
                <w:rFonts w:eastAsia="Calibri"/>
                <w:sz w:val="20"/>
              </w:rPr>
            </w:pPr>
            <w:r w:rsidRPr="00354440">
              <w:rPr>
                <w:rFonts w:eastAsia="Calibri"/>
                <w:sz w:val="20"/>
              </w:rPr>
              <w:t>Supreme Court of Canada</w:t>
            </w: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44"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41FC4" w:rsidRPr="00354440"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 xml:space="preserve">Droit criminel – </w:t>
            </w:r>
            <w:r w:rsidR="00DB239D" w:rsidRPr="00DB239D">
              <w:rPr>
                <w:rFonts w:eastAsia="Calibri"/>
                <w:sz w:val="20"/>
              </w:rPr>
              <w:fldChar w:fldCharType="begin"/>
            </w:r>
            <w:r w:rsidRPr="00354440">
              <w:rPr>
                <w:rFonts w:eastAsia="Calibri"/>
                <w:sz w:val="20"/>
                <w:lang w:val="fr-CA"/>
              </w:rPr>
              <w:instrText xml:space="preserve"> SEQ CHAPTER \h \r 1</w:instrText>
            </w:r>
            <w:r w:rsidR="00DB239D" w:rsidRPr="00354440">
              <w:rPr>
                <w:rFonts w:eastAsia="Calibri"/>
                <w:sz w:val="20"/>
                <w:lang w:val="fr-CA"/>
              </w:rPr>
              <w:fldChar w:fldCharType="end"/>
            </w:r>
            <w:r w:rsidRPr="00354440">
              <w:rPr>
                <w:rFonts w:eastAsia="Calibri"/>
                <w:sz w:val="20"/>
                <w:lang w:val="fr-CA"/>
              </w:rPr>
              <w:t xml:space="preserve">Législation – Interprétation – Application rétrospective ou prospective de modifications – Preuve – Présomption d’identité – Défense de type </w:t>
            </w:r>
            <w:r w:rsidRPr="00354440">
              <w:rPr>
                <w:rFonts w:eastAsia="Calibri"/>
                <w:i/>
                <w:sz w:val="20"/>
                <w:lang w:val="fr-CA"/>
              </w:rPr>
              <w:t>Carter</w:t>
            </w:r>
            <w:r w:rsidRPr="00354440">
              <w:rPr>
                <w:rFonts w:eastAsia="Calibri"/>
                <w:sz w:val="20"/>
                <w:lang w:val="fr-CA"/>
              </w:rPr>
              <w:t xml:space="preserve"> – Demandeur inculpé d’avoir conduit un véhicule à moteur alors que ses facultés étaient affaiblies et d’avoir conduit un véhicule à moteur avec une alcoolémie qui dépassait 80 mg d’alcool par 100 ml de sang – Une modification au </w:t>
            </w:r>
            <w:r w:rsidRPr="00354440">
              <w:rPr>
                <w:rFonts w:eastAsia="Calibri"/>
                <w:i/>
                <w:iCs/>
                <w:sz w:val="20"/>
                <w:lang w:val="fr-CA"/>
              </w:rPr>
              <w:t xml:space="preserve">Code criminel </w:t>
            </w:r>
            <w:r w:rsidRPr="00354440">
              <w:rPr>
                <w:rFonts w:eastAsia="Calibri"/>
                <w:sz w:val="20"/>
                <w:lang w:val="fr-CA"/>
              </w:rPr>
              <w:t>rend irrecevable le témoignage sur la consommation ou le taux d’élimination d’alcool de l’accusé ou le calcul de l’alcoolémie fondé sur ces facteurs pour servir de preuve d’un problème concernant le matériel ou la méthode d’administration de l’alcootest – La modification s’applique</w:t>
            </w:r>
            <w:r w:rsidRPr="00354440">
              <w:rPr>
                <w:rFonts w:eastAsia="Calibri"/>
                <w:sz w:val="20"/>
                <w:lang w:val="fr-CA"/>
              </w:rPr>
              <w:noBreakHyphen/>
              <w:t>t</w:t>
            </w:r>
            <w:r w:rsidRPr="00354440">
              <w:rPr>
                <w:rFonts w:eastAsia="Calibri"/>
                <w:sz w:val="20"/>
                <w:lang w:val="fr-CA"/>
              </w:rPr>
              <w:noBreakHyphen/>
              <w:t xml:space="preserve">elle rétrospectivement aux infractions commises avant la date d’entrée en vigueur dans le cas de procès qui ont débuté ou qui se sont poursuivis après cette date? – </w:t>
            </w:r>
            <w:r w:rsidRPr="00354440">
              <w:rPr>
                <w:rFonts w:eastAsia="Calibri"/>
                <w:i/>
                <w:sz w:val="20"/>
                <w:lang w:val="fr-CA"/>
              </w:rPr>
              <w:t>Code criminel</w:t>
            </w:r>
            <w:r w:rsidRPr="00354440">
              <w:rPr>
                <w:rFonts w:eastAsia="Calibri"/>
                <w:sz w:val="20"/>
                <w:lang w:val="fr-CA"/>
              </w:rPr>
              <w:t>, L.R.C. 1985, ch. C</w:t>
            </w:r>
            <w:r w:rsidRPr="00354440">
              <w:rPr>
                <w:rFonts w:eastAsia="Calibri"/>
                <w:sz w:val="20"/>
                <w:lang w:val="fr-CA"/>
              </w:rPr>
              <w:noBreakHyphen/>
              <w:t xml:space="preserve">46, art. 253b), 255 et </w:t>
            </w:r>
            <w:r w:rsidR="00DB239D" w:rsidRPr="00DB239D">
              <w:rPr>
                <w:rFonts w:eastAsia="Calibri"/>
                <w:sz w:val="20"/>
              </w:rPr>
              <w:fldChar w:fldCharType="begin"/>
            </w:r>
            <w:r w:rsidRPr="00354440">
              <w:rPr>
                <w:rFonts w:eastAsia="Calibri"/>
                <w:sz w:val="20"/>
                <w:lang w:val="fr-CA"/>
              </w:rPr>
              <w:instrText xml:space="preserve"> SEQ CHAPTER \h \r 1</w:instrText>
            </w:r>
            <w:r w:rsidR="00DB239D" w:rsidRPr="00354440">
              <w:rPr>
                <w:rFonts w:eastAsia="Calibri"/>
                <w:sz w:val="20"/>
                <w:lang w:val="fr-CA"/>
              </w:rPr>
              <w:fldChar w:fldCharType="end"/>
            </w:r>
            <w:r w:rsidRPr="00354440">
              <w:rPr>
                <w:rFonts w:eastAsia="Calibri"/>
                <w:sz w:val="20"/>
                <w:lang w:val="fr-CA"/>
              </w:rPr>
              <w:t>258(1).</w:t>
            </w:r>
          </w:p>
        </w:tc>
      </w:tr>
      <w:tr w:rsidR="00441FC4" w:rsidRPr="00354440" w:rsidTr="00441FC4">
        <w:tc>
          <w:tcPr>
            <w:tcW w:w="5000" w:type="pct"/>
            <w:gridSpan w:val="3"/>
          </w:tcPr>
          <w:p w:rsidR="00441FC4" w:rsidRPr="00354440" w:rsidRDefault="00441FC4" w:rsidP="00441FC4">
            <w:pPr>
              <w:jc w:val="both"/>
              <w:rPr>
                <w:rFonts w:eastAsia="Calibri"/>
                <w:sz w:val="20"/>
                <w:lang w:val="fr-CA"/>
              </w:rPr>
            </w:pPr>
          </w:p>
        </w:tc>
      </w:tr>
      <w:tr w:rsidR="00441FC4" w:rsidRPr="001D43E1"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 xml:space="preserve">Monsieur Loiseau, demandeur, est inculpé en janvier 2007 d’avoir conduit un véhicule alors que ses facultés étaient affaiblies et d’avoir conduit un véhicule alors que le taux de son alcoolémie dépassait 80 milligrammes d’alcool par 100 millilitres de sang.  Au moment de la perpétration des infractions, l’art. 258(1) du </w:t>
            </w:r>
            <w:r w:rsidRPr="00354440">
              <w:rPr>
                <w:rFonts w:eastAsia="Calibri"/>
                <w:i/>
                <w:sz w:val="20"/>
                <w:lang w:val="fr-CA"/>
              </w:rPr>
              <w:t>Code criminel</w:t>
            </w:r>
            <w:r w:rsidRPr="00354440">
              <w:rPr>
                <w:rFonts w:eastAsia="Calibri"/>
                <w:sz w:val="20"/>
                <w:lang w:val="fr-CA"/>
              </w:rPr>
              <w:t xml:space="preserve"> prévoyait, face à ces accusations, une défense fondée sur le scénario de consommation d’un accusé (défense de type </w:t>
            </w:r>
            <w:r w:rsidRPr="00354440">
              <w:rPr>
                <w:rFonts w:eastAsia="Calibri"/>
                <w:i/>
                <w:sz w:val="20"/>
                <w:lang w:val="fr-CA"/>
              </w:rPr>
              <w:t>Carter</w:t>
            </w:r>
            <w:r w:rsidRPr="00354440">
              <w:rPr>
                <w:rFonts w:eastAsia="Calibri"/>
                <w:sz w:val="20"/>
                <w:lang w:val="fr-CA"/>
              </w:rPr>
              <w:t xml:space="preserve">).  En juillet 2008, soit avant la tenue du procès de M. Loiseau, entrent en vigueur des modifications législatives qui limitent la défense fondée sur le scénario de consommation du prévenu.  En l’absence de disposition transitoire et de débats parlementaires traitant explicitement de l’effet temporel des amendements, la question s’est posée de savoir si ces amendements s’appliquent ou non aux affaires pendantes.  La Cour municipale de Montréal rejette la position du ministère public selon laquelle la nouvelle version de l’art. 258(1) a un effet rétrospectif.  En conséquence, M. Loiseau présente une preuve contraire soutenue par un scénario de consommation crédible et appuyée par une preuve d’expert démontrant une alcoolémie inférieure à ce que les alcootests avaient révélé.  Il est acquitté.  La Cour supérieure rejette l’appel.  La Cour d’appel accueille l’appel et ordonne la tenue d’un nouveau procès. </w:t>
            </w:r>
          </w:p>
          <w:p w:rsidR="00441FC4" w:rsidRPr="00354440" w:rsidRDefault="00441FC4" w:rsidP="00441FC4">
            <w:pPr>
              <w:jc w:val="both"/>
              <w:rPr>
                <w:rFonts w:eastAsia="Calibri"/>
                <w:sz w:val="20"/>
                <w:lang w:val="fr-CA"/>
              </w:rPr>
            </w:pPr>
          </w:p>
        </w:tc>
      </w:tr>
      <w:tr w:rsidR="00441FC4" w:rsidRPr="001D43E1" w:rsidTr="00441FC4">
        <w:tc>
          <w:tcPr>
            <w:tcW w:w="2427" w:type="pct"/>
          </w:tcPr>
          <w:p w:rsidR="00441FC4" w:rsidRPr="00354440" w:rsidRDefault="00441FC4" w:rsidP="00441FC4">
            <w:pPr>
              <w:jc w:val="both"/>
              <w:rPr>
                <w:rFonts w:eastAsia="Calibri"/>
                <w:sz w:val="20"/>
                <w:lang w:val="fr-CA"/>
              </w:rPr>
            </w:pPr>
            <w:r w:rsidRPr="00354440">
              <w:rPr>
                <w:rFonts w:eastAsia="Calibri"/>
                <w:sz w:val="20"/>
                <w:lang w:val="fr-CA"/>
              </w:rPr>
              <w:t>Le 6 février 2009</w:t>
            </w:r>
          </w:p>
          <w:p w:rsidR="00441FC4" w:rsidRPr="00354440" w:rsidRDefault="00441FC4" w:rsidP="00441FC4">
            <w:pPr>
              <w:jc w:val="both"/>
              <w:rPr>
                <w:rFonts w:eastAsia="Calibri"/>
                <w:sz w:val="20"/>
                <w:lang w:val="fr-CA"/>
              </w:rPr>
            </w:pPr>
            <w:r w:rsidRPr="00354440">
              <w:rPr>
                <w:rFonts w:eastAsia="Calibri"/>
                <w:sz w:val="20"/>
                <w:lang w:val="fr-CA"/>
              </w:rPr>
              <w:t>Cour municipale de Montréal</w:t>
            </w:r>
          </w:p>
          <w:p w:rsidR="00441FC4" w:rsidRPr="00354440" w:rsidRDefault="00441FC4" w:rsidP="00441FC4">
            <w:pPr>
              <w:jc w:val="both"/>
              <w:rPr>
                <w:rFonts w:eastAsia="Calibri"/>
                <w:sz w:val="20"/>
                <w:lang w:val="fr-CA"/>
              </w:rPr>
            </w:pPr>
            <w:r w:rsidRPr="00354440">
              <w:rPr>
                <w:rFonts w:eastAsia="Calibri"/>
                <w:sz w:val="20"/>
                <w:lang w:val="fr-CA"/>
              </w:rPr>
              <w:t>(La juge Baribeau)</w:t>
            </w:r>
          </w:p>
          <w:p w:rsidR="00441FC4" w:rsidRPr="00354440" w:rsidRDefault="00441FC4" w:rsidP="00441FC4">
            <w:pPr>
              <w:jc w:val="both"/>
              <w:rPr>
                <w:rFonts w:eastAsia="Calibri"/>
                <w:sz w:val="20"/>
                <w:lang w:val="fr-CA"/>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Demandeur acquitté de l’infraction de conduite avec facultés affaiblies et d’avoir conduit un véhicule à moteur alors que son taux d’alcoolémie dépassait 80 mg d’alcool par 100 ml de sang</w:t>
            </w:r>
          </w:p>
          <w:p w:rsidR="00441FC4" w:rsidRPr="00354440" w:rsidRDefault="00441FC4" w:rsidP="00441FC4">
            <w:pPr>
              <w:jc w:val="both"/>
              <w:rPr>
                <w:rFonts w:eastAsia="Calibri"/>
                <w:sz w:val="20"/>
                <w:lang w:val="fr-CA"/>
              </w:rPr>
            </w:pPr>
          </w:p>
        </w:tc>
      </w:tr>
      <w:tr w:rsidR="00441FC4" w:rsidRPr="00354440" w:rsidTr="00441FC4">
        <w:tc>
          <w:tcPr>
            <w:tcW w:w="2427" w:type="pct"/>
          </w:tcPr>
          <w:p w:rsidR="00441FC4" w:rsidRPr="00354440" w:rsidRDefault="00441FC4" w:rsidP="00441FC4">
            <w:pPr>
              <w:jc w:val="both"/>
              <w:rPr>
                <w:rFonts w:eastAsia="Calibri"/>
                <w:sz w:val="20"/>
                <w:lang w:val="fr-CA"/>
              </w:rPr>
            </w:pPr>
            <w:r w:rsidRPr="00354440">
              <w:rPr>
                <w:rFonts w:eastAsia="Calibri"/>
                <w:sz w:val="20"/>
                <w:lang w:val="fr-CA"/>
              </w:rPr>
              <w:t>Le 1 octobre 2009</w:t>
            </w:r>
          </w:p>
          <w:p w:rsidR="00441FC4" w:rsidRPr="00354440" w:rsidRDefault="00441FC4" w:rsidP="00441FC4">
            <w:pPr>
              <w:jc w:val="both"/>
              <w:rPr>
                <w:rFonts w:eastAsia="Calibri"/>
                <w:sz w:val="20"/>
                <w:lang w:val="fr-CA"/>
              </w:rPr>
            </w:pPr>
            <w:r w:rsidRPr="00354440">
              <w:rPr>
                <w:rFonts w:eastAsia="Calibri"/>
                <w:sz w:val="20"/>
                <w:lang w:val="fr-CA"/>
              </w:rPr>
              <w:t>Cour supérieure du Québec</w:t>
            </w:r>
          </w:p>
          <w:p w:rsidR="00441FC4" w:rsidRPr="00354440" w:rsidRDefault="00441FC4" w:rsidP="00441FC4">
            <w:pPr>
              <w:jc w:val="both"/>
              <w:rPr>
                <w:rFonts w:eastAsia="Calibri"/>
                <w:sz w:val="20"/>
                <w:lang w:val="fr-CA"/>
              </w:rPr>
            </w:pPr>
            <w:r w:rsidRPr="00354440">
              <w:rPr>
                <w:rFonts w:eastAsia="Calibri"/>
                <w:sz w:val="20"/>
                <w:lang w:val="fr-CA"/>
              </w:rPr>
              <w:t>(Le juge Buffoni)</w:t>
            </w:r>
          </w:p>
          <w:p w:rsidR="00441FC4" w:rsidRPr="00354440" w:rsidRDefault="00441FC4" w:rsidP="00441FC4">
            <w:pPr>
              <w:jc w:val="both"/>
              <w:rPr>
                <w:rFonts w:eastAsia="Calibri"/>
                <w:sz w:val="20"/>
                <w:lang w:val="fr-CA"/>
              </w:rPr>
            </w:pPr>
            <w:r w:rsidRPr="00354440">
              <w:rPr>
                <w:rFonts w:eastAsia="Calibri"/>
                <w:sz w:val="20"/>
                <w:lang w:val="fr-CA"/>
              </w:rPr>
              <w:t>2009 QCCS 4631</w:t>
            </w:r>
          </w:p>
          <w:p w:rsidR="00441FC4" w:rsidRPr="00354440" w:rsidRDefault="00441FC4" w:rsidP="00441FC4">
            <w:pPr>
              <w:jc w:val="both"/>
              <w:rPr>
                <w:rFonts w:eastAsia="Calibri"/>
                <w:sz w:val="20"/>
                <w:lang w:val="fr-CA"/>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Appel rejeté</w:t>
            </w:r>
          </w:p>
          <w:p w:rsidR="00441FC4" w:rsidRPr="00354440" w:rsidRDefault="00441FC4" w:rsidP="00441FC4">
            <w:pPr>
              <w:jc w:val="both"/>
              <w:rPr>
                <w:rFonts w:eastAsia="Calibri"/>
                <w:sz w:val="20"/>
                <w:lang w:val="fr-CA"/>
              </w:rPr>
            </w:pPr>
          </w:p>
        </w:tc>
      </w:tr>
      <w:tr w:rsidR="00441FC4" w:rsidRPr="00354440" w:rsidTr="00441FC4">
        <w:tc>
          <w:tcPr>
            <w:tcW w:w="2427" w:type="pct"/>
          </w:tcPr>
          <w:p w:rsidR="00441FC4" w:rsidRPr="00354440" w:rsidRDefault="00441FC4" w:rsidP="00441FC4">
            <w:pPr>
              <w:jc w:val="both"/>
              <w:rPr>
                <w:rFonts w:eastAsia="Calibri"/>
                <w:sz w:val="20"/>
                <w:lang w:val="fr-CA"/>
              </w:rPr>
            </w:pPr>
            <w:r w:rsidRPr="00354440">
              <w:rPr>
                <w:rFonts w:eastAsia="Calibri"/>
                <w:sz w:val="20"/>
                <w:lang w:val="fr-CA"/>
              </w:rPr>
              <w:t>Le 19 octobre 2010</w:t>
            </w:r>
          </w:p>
          <w:p w:rsidR="00441FC4" w:rsidRPr="00354440" w:rsidRDefault="00441FC4" w:rsidP="00441FC4">
            <w:pPr>
              <w:jc w:val="both"/>
              <w:rPr>
                <w:rFonts w:eastAsia="Calibri"/>
                <w:sz w:val="20"/>
                <w:lang w:val="fr-CA"/>
              </w:rPr>
            </w:pPr>
            <w:r w:rsidRPr="00354440">
              <w:rPr>
                <w:rFonts w:eastAsia="Calibri"/>
                <w:sz w:val="20"/>
                <w:lang w:val="fr-CA"/>
              </w:rPr>
              <w:t>Cour d’appel du Québec</w:t>
            </w:r>
          </w:p>
          <w:p w:rsidR="00441FC4" w:rsidRPr="00354440" w:rsidRDefault="00441FC4" w:rsidP="00441FC4">
            <w:pPr>
              <w:jc w:val="both"/>
              <w:rPr>
                <w:rFonts w:eastAsia="Calibri"/>
                <w:sz w:val="20"/>
                <w:lang w:val="fr-CA"/>
              </w:rPr>
            </w:pPr>
            <w:r w:rsidRPr="00354440">
              <w:rPr>
                <w:rFonts w:eastAsia="Calibri"/>
                <w:sz w:val="20"/>
                <w:lang w:val="fr-CA"/>
              </w:rPr>
              <w:t>(Les juges Dalphond, Hilton et Bich [dissidente])</w:t>
            </w:r>
          </w:p>
          <w:p w:rsidR="00441FC4" w:rsidRPr="00354440" w:rsidRDefault="00441FC4" w:rsidP="00441FC4">
            <w:pPr>
              <w:jc w:val="both"/>
              <w:rPr>
                <w:rFonts w:eastAsia="Calibri"/>
                <w:sz w:val="20"/>
                <w:lang w:val="fr-CA"/>
              </w:rPr>
            </w:pPr>
            <w:r w:rsidRPr="00354440">
              <w:rPr>
                <w:rFonts w:eastAsia="Calibri"/>
                <w:sz w:val="20"/>
                <w:lang w:val="fr-CA"/>
              </w:rPr>
              <w:t>2010 QCCA 1872</w:t>
            </w:r>
          </w:p>
          <w:p w:rsidR="00441FC4" w:rsidRPr="00354440" w:rsidRDefault="00441FC4" w:rsidP="00441FC4">
            <w:pPr>
              <w:jc w:val="both"/>
              <w:rPr>
                <w:rFonts w:eastAsia="Calibri"/>
                <w:sz w:val="20"/>
                <w:lang w:val="fr-CA"/>
              </w:rPr>
            </w:pPr>
          </w:p>
        </w:tc>
        <w:tc>
          <w:tcPr>
            <w:tcW w:w="243" w:type="pct"/>
          </w:tcPr>
          <w:p w:rsidR="00441FC4" w:rsidRPr="00354440" w:rsidRDefault="00441FC4" w:rsidP="00441FC4">
            <w:pPr>
              <w:jc w:val="both"/>
              <w:rPr>
                <w:rFonts w:eastAsia="Calibri"/>
                <w:sz w:val="20"/>
                <w:lang w:val="fr-CA"/>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Appel accueilli</w:t>
            </w:r>
          </w:p>
        </w:tc>
      </w:tr>
      <w:tr w:rsidR="00441FC4" w:rsidRPr="00354440" w:rsidTr="00441FC4">
        <w:tc>
          <w:tcPr>
            <w:tcW w:w="2427" w:type="pct"/>
          </w:tcPr>
          <w:p w:rsidR="00441FC4" w:rsidRPr="00354440" w:rsidRDefault="00441FC4" w:rsidP="00441FC4">
            <w:pPr>
              <w:jc w:val="both"/>
              <w:rPr>
                <w:rFonts w:eastAsia="Calibri"/>
                <w:sz w:val="20"/>
                <w:lang w:val="fr-CA"/>
              </w:rPr>
            </w:pPr>
            <w:r w:rsidRPr="00354440">
              <w:rPr>
                <w:rFonts w:eastAsia="Calibri"/>
                <w:sz w:val="20"/>
                <w:lang w:val="fr-CA"/>
              </w:rPr>
              <w:t>Le 20 décembre 2010</w:t>
            </w:r>
          </w:p>
          <w:p w:rsidR="00441FC4" w:rsidRPr="00354440" w:rsidRDefault="00441FC4" w:rsidP="00441FC4">
            <w:pPr>
              <w:jc w:val="both"/>
              <w:rPr>
                <w:rFonts w:eastAsia="Calibri"/>
                <w:sz w:val="20"/>
                <w:lang w:val="fr-CA"/>
              </w:rPr>
            </w:pPr>
            <w:r w:rsidRPr="00354440">
              <w:rPr>
                <w:rFonts w:eastAsia="Calibri"/>
                <w:sz w:val="20"/>
                <w:lang w:val="fr-CA"/>
              </w:rPr>
              <w:t>Cour suprême du Canada</w:t>
            </w:r>
          </w:p>
        </w:tc>
        <w:tc>
          <w:tcPr>
            <w:tcW w:w="243" w:type="pct"/>
          </w:tcPr>
          <w:p w:rsidR="00441FC4" w:rsidRPr="00354440" w:rsidRDefault="00441FC4" w:rsidP="00441FC4">
            <w:pPr>
              <w:jc w:val="both"/>
              <w:rPr>
                <w:rFonts w:eastAsia="Calibri"/>
                <w:sz w:val="20"/>
                <w:lang w:val="fr-CA"/>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Demande d'autorisation d'appel déposée</w:t>
            </w: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45"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14A" w:rsidRPr="005B715A" w:rsidTr="00066741">
        <w:trPr>
          <w:cantSplit/>
        </w:trPr>
        <w:tc>
          <w:tcPr>
            <w:tcW w:w="1458" w:type="dxa"/>
          </w:tcPr>
          <w:p w:rsidR="00B9214A" w:rsidRPr="005B715A" w:rsidRDefault="00B9214A" w:rsidP="00066741">
            <w:pPr>
              <w:rPr>
                <w:sz w:val="20"/>
                <w:szCs w:val="20"/>
              </w:rPr>
            </w:pPr>
            <w:r w:rsidRPr="005B715A">
              <w:rPr>
                <w:rStyle w:val="SCCFileNumberChar"/>
                <w:sz w:val="20"/>
                <w:szCs w:val="20"/>
              </w:rPr>
              <w:t>34018</w:t>
            </w:r>
          </w:p>
          <w:p w:rsidR="00B9214A" w:rsidRPr="005B715A" w:rsidRDefault="00B9214A" w:rsidP="00066741">
            <w:pPr>
              <w:rPr>
                <w:b/>
                <w:sz w:val="20"/>
                <w:szCs w:val="20"/>
                <w:lang w:val="fr-CA"/>
              </w:rPr>
            </w:pPr>
          </w:p>
        </w:tc>
        <w:tc>
          <w:tcPr>
            <w:tcW w:w="8118" w:type="dxa"/>
          </w:tcPr>
          <w:p w:rsidR="00B9214A" w:rsidRPr="005B715A" w:rsidRDefault="00B9214A" w:rsidP="00066741">
            <w:pPr>
              <w:rPr>
                <w:sz w:val="20"/>
                <w:szCs w:val="20"/>
              </w:rPr>
            </w:pPr>
            <w:r w:rsidRPr="005B715A">
              <w:rPr>
                <w:rStyle w:val="SCCLsocChar"/>
                <w:sz w:val="20"/>
                <w:szCs w:val="20"/>
                <w:lang w:val="en-CA"/>
              </w:rPr>
              <w:t>Ashley Anne Houde v. Her Majesty the Queen</w:t>
            </w:r>
            <w:r w:rsidRPr="005B715A">
              <w:rPr>
                <w:sz w:val="20"/>
                <w:szCs w:val="20"/>
              </w:rPr>
              <w:t xml:space="preserve"> (Alta.) (Criminal) (By Leave)</w:t>
            </w:r>
          </w:p>
          <w:p w:rsidR="00B9214A" w:rsidRPr="005B715A" w:rsidRDefault="00B9214A" w:rsidP="00066741">
            <w:pPr>
              <w:rPr>
                <w:sz w:val="20"/>
                <w:szCs w:val="20"/>
              </w:rPr>
            </w:pPr>
          </w:p>
        </w:tc>
      </w:tr>
      <w:tr w:rsidR="00B9214A" w:rsidRPr="005B715A" w:rsidTr="00066741">
        <w:trPr>
          <w:cantSplit/>
        </w:trPr>
        <w:tc>
          <w:tcPr>
            <w:tcW w:w="1458" w:type="dxa"/>
          </w:tcPr>
          <w:p w:rsidR="00B9214A" w:rsidRPr="005B715A" w:rsidRDefault="00B9214A" w:rsidP="00066741">
            <w:pPr>
              <w:rPr>
                <w:sz w:val="20"/>
                <w:szCs w:val="20"/>
              </w:rPr>
            </w:pPr>
            <w:r w:rsidRPr="005B715A">
              <w:rPr>
                <w:sz w:val="20"/>
                <w:szCs w:val="20"/>
              </w:rPr>
              <w:t>Coram :</w:t>
            </w:r>
          </w:p>
        </w:tc>
        <w:tc>
          <w:tcPr>
            <w:tcW w:w="8118" w:type="dxa"/>
          </w:tcPr>
          <w:p w:rsidR="00B9214A" w:rsidRPr="005B715A" w:rsidRDefault="00B9214A" w:rsidP="00066741">
            <w:pPr>
              <w:rPr>
                <w:sz w:val="20"/>
                <w:szCs w:val="20"/>
              </w:rPr>
            </w:pPr>
            <w:r w:rsidRPr="005B715A">
              <w:rPr>
                <w:rStyle w:val="SCCCoramChar"/>
                <w:sz w:val="20"/>
                <w:szCs w:val="20"/>
                <w:lang w:val="en-CA"/>
              </w:rPr>
              <w:t>Fish, Rothstein and Cromwell JJ.</w:t>
            </w:r>
          </w:p>
          <w:p w:rsidR="00B9214A" w:rsidRPr="005B715A" w:rsidRDefault="00B9214A" w:rsidP="00066741">
            <w:pPr>
              <w:rPr>
                <w:sz w:val="20"/>
                <w:szCs w:val="20"/>
                <w:u w:val="single"/>
              </w:rPr>
            </w:pPr>
          </w:p>
        </w:tc>
      </w:tr>
      <w:tr w:rsidR="00B9214A" w:rsidRPr="001D43E1" w:rsidTr="00066741">
        <w:trPr>
          <w:cantSplit/>
        </w:trPr>
        <w:tc>
          <w:tcPr>
            <w:tcW w:w="9576" w:type="dxa"/>
            <w:gridSpan w:val="2"/>
          </w:tcPr>
          <w:p w:rsidR="00B9214A" w:rsidRPr="005B715A" w:rsidRDefault="00B9214A" w:rsidP="00066741">
            <w:pPr>
              <w:pStyle w:val="SCCShortJudgment"/>
              <w:rPr>
                <w:szCs w:val="20"/>
              </w:rPr>
            </w:pPr>
            <w:r w:rsidRPr="005B715A">
              <w:rPr>
                <w:szCs w:val="20"/>
              </w:rPr>
              <w:t xml:space="preserve">Pursuant to subsection 43 (1.1) of </w:t>
            </w:r>
            <w:r w:rsidRPr="00D77929">
              <w:rPr>
                <w:i/>
                <w:szCs w:val="20"/>
              </w:rPr>
              <w:t>The Supreme Court Act</w:t>
            </w:r>
            <w:r w:rsidRPr="005B715A">
              <w:rPr>
                <w:szCs w:val="20"/>
              </w:rPr>
              <w:t xml:space="preserve">, the case forming the basis of the application for leave to appeal from the judgment of the Court of Appeal of Alberta (Edmonton), Number 0903-0149-A, 2010 ABCA 335, dated November 4, 2010, is remanded to the Court of Appeal of Alberta for disposition in accordance with </w:t>
            </w:r>
            <w:r w:rsidRPr="00D77929">
              <w:rPr>
                <w:i/>
                <w:szCs w:val="20"/>
              </w:rPr>
              <w:t>R. v. Dineley</w:t>
            </w:r>
            <w:r w:rsidRPr="005B715A">
              <w:rPr>
                <w:szCs w:val="20"/>
              </w:rPr>
              <w:t>, 2012 SCC 58.</w:t>
            </w:r>
          </w:p>
          <w:p w:rsidR="00B9214A" w:rsidRPr="005B715A" w:rsidRDefault="00B9214A" w:rsidP="00066741">
            <w:pPr>
              <w:pStyle w:val="SCCShortJudgment"/>
              <w:ind w:firstLine="0"/>
              <w:rPr>
                <w:szCs w:val="20"/>
              </w:rPr>
            </w:pPr>
          </w:p>
          <w:p w:rsidR="00B9214A" w:rsidRPr="005B715A" w:rsidRDefault="00B9214A" w:rsidP="00066741">
            <w:pPr>
              <w:pStyle w:val="SCCShortJudgment"/>
              <w:rPr>
                <w:szCs w:val="20"/>
                <w:lang w:val="fr-CA"/>
              </w:rPr>
            </w:pPr>
            <w:r w:rsidRPr="005B715A">
              <w:rPr>
                <w:szCs w:val="20"/>
                <w:lang w:val="fr-CA"/>
              </w:rPr>
              <w:t xml:space="preserve">Conformément au paragraphe 43 (1.1) de la </w:t>
            </w:r>
            <w:r w:rsidRPr="00D77929">
              <w:rPr>
                <w:i/>
                <w:szCs w:val="20"/>
                <w:lang w:val="fr-CA"/>
              </w:rPr>
              <w:t>Loi sur la Cour suprême</w:t>
            </w:r>
            <w:r w:rsidRPr="005B715A">
              <w:rPr>
                <w:szCs w:val="20"/>
                <w:lang w:val="fr-CA"/>
              </w:rPr>
              <w:t xml:space="preserve">, l’affaire à l’origine de la  demande d’autorisation d’appel de l’arrêt de la Cour d’appel de l’Alberta (Edmonton), numéro 0903-0149-A, 2010 ABCA 335, daté du 4 novembre 2010, est renvoyée à la Cour d’appel de l’Alberta pour qu’elle statue en conformité avec l’arrêt </w:t>
            </w:r>
            <w:r w:rsidRPr="00D77929">
              <w:rPr>
                <w:i/>
                <w:szCs w:val="20"/>
                <w:lang w:val="fr-CA"/>
              </w:rPr>
              <w:t>R. c. Dineley</w:t>
            </w:r>
            <w:r w:rsidRPr="005B715A">
              <w:rPr>
                <w:szCs w:val="20"/>
                <w:lang w:val="fr-CA"/>
              </w:rPr>
              <w:t xml:space="preserve">, 2012 SCC 58. </w:t>
            </w:r>
          </w:p>
        </w:tc>
      </w:tr>
    </w:tbl>
    <w:p w:rsidR="00441FC4" w:rsidRPr="00B9214A"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 xml:space="preserve">Legislation — Interpretation — Retrospective or prospective application of amendments — Evidence — Operating a motor vehicle with a blood alcohol concentration exceeding 80 mg alcohol in 100 ml blood — Amendment to </w:t>
            </w:r>
            <w:r w:rsidRPr="00354440">
              <w:rPr>
                <w:rFonts w:eastAsia="Calibri"/>
                <w:i/>
                <w:iCs/>
                <w:sz w:val="20"/>
              </w:rPr>
              <w:t>Criminal Code</w:t>
            </w:r>
            <w:r w:rsidRPr="00354440">
              <w:rPr>
                <w:rFonts w:eastAsia="Calibri"/>
                <w:sz w:val="20"/>
              </w:rPr>
              <w:t xml:space="preserve"> precludes testimony with respect to accused's alcohol consumption or rate of elimination or a calculation of blood alcohol concentration premised on those factors from being evidence of a problem with the breath testing equipment or testing procedure — Whether the amendments to ss. 258(1)(c) and 258(1)(d.01) of the </w:t>
            </w:r>
            <w:r w:rsidRPr="00354440">
              <w:rPr>
                <w:rFonts w:eastAsia="Calibri"/>
                <w:i/>
                <w:sz w:val="20"/>
              </w:rPr>
              <w:t>Criminal Code</w:t>
            </w:r>
            <w:r w:rsidRPr="00354440">
              <w:rPr>
                <w:rFonts w:eastAsia="Calibri"/>
                <w:sz w:val="20"/>
              </w:rPr>
              <w:t xml:space="preserve"> which came into force July 2, 2008, are retroactive or retrospective, or not.</w:t>
            </w:r>
          </w:p>
        </w:tc>
      </w:tr>
      <w:tr w:rsidR="00441FC4" w:rsidRPr="00354440" w:rsidTr="00441FC4">
        <w:tc>
          <w:tcPr>
            <w:tcW w:w="5000" w:type="pct"/>
            <w:gridSpan w:val="3"/>
          </w:tcPr>
          <w:p w:rsidR="00441FC4" w:rsidRPr="00354440" w:rsidRDefault="00441FC4" w:rsidP="00441FC4">
            <w:pPr>
              <w:jc w:val="both"/>
              <w:rPr>
                <w:rFonts w:eastAsia="Calibri"/>
                <w:sz w:val="20"/>
              </w:rPr>
            </w:pPr>
          </w:p>
        </w:tc>
      </w:tr>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 xml:space="preserve">On January 25, 2007, the applicant failed a breath test and was charged with driving with a blood alcohol concentration in excess of the legal limit. Trial commenced November 19, 2007, and was adjourned.  The defence intended to lead a “Carter” defence (evidence related to alcohol consumption and expert opinion that the applicant’s blood alcohol concentration would have been within the legal limit).  When trial resumed, amendments on July 2, 2008, to the </w:t>
            </w:r>
            <w:r w:rsidRPr="00354440">
              <w:rPr>
                <w:rFonts w:eastAsia="Calibri"/>
                <w:i/>
                <w:sz w:val="20"/>
              </w:rPr>
              <w:t>Criminal Code</w:t>
            </w:r>
            <w:r w:rsidRPr="00354440">
              <w:rPr>
                <w:rFonts w:eastAsia="Calibri"/>
                <w:sz w:val="20"/>
              </w:rPr>
              <w:t xml:space="preserve"> had eliminated the Carter defence.  The Crown submitted that the amendments applied and the Carter defence was no longer available.  The trial judge allowed the defence to proceed.  The Crown conceded that, if the defence applies, the offence is not made out.  The applicant was acquitted.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October 20, 2008</w:t>
            </w:r>
          </w:p>
          <w:p w:rsidR="00441FC4" w:rsidRPr="00354440" w:rsidRDefault="00441FC4" w:rsidP="00441FC4">
            <w:pPr>
              <w:jc w:val="both"/>
              <w:rPr>
                <w:rFonts w:eastAsia="Calibri"/>
                <w:sz w:val="20"/>
              </w:rPr>
            </w:pPr>
            <w:r w:rsidRPr="00354440">
              <w:rPr>
                <w:rFonts w:eastAsia="Calibri"/>
                <w:sz w:val="20"/>
              </w:rPr>
              <w:t>Provincial Court of Alberta</w:t>
            </w:r>
          </w:p>
          <w:p w:rsidR="00441FC4" w:rsidRPr="00354440" w:rsidRDefault="00441FC4" w:rsidP="00441FC4">
            <w:pPr>
              <w:jc w:val="both"/>
              <w:rPr>
                <w:rFonts w:eastAsia="Calibri"/>
                <w:sz w:val="20"/>
              </w:rPr>
            </w:pPr>
            <w:r w:rsidRPr="00354440">
              <w:rPr>
                <w:rFonts w:eastAsia="Calibri"/>
                <w:sz w:val="20"/>
              </w:rPr>
              <w:t>(Fuller J.)</w:t>
            </w:r>
          </w:p>
          <w:p w:rsidR="00441FC4" w:rsidRPr="00354440" w:rsidRDefault="00441FC4" w:rsidP="00441FC4">
            <w:pPr>
              <w:jc w:val="both"/>
              <w:rPr>
                <w:rFonts w:eastAsia="Calibri"/>
                <w:sz w:val="20"/>
              </w:rPr>
            </w:pPr>
            <w:r w:rsidRPr="00354440">
              <w:rPr>
                <w:rFonts w:eastAsia="Calibri"/>
                <w:sz w:val="20"/>
              </w:rPr>
              <w:t>2008 ABPC 280</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Acquittal of charge of operating a motor vehicle with a blood alcohol concentration exceeding 80 mg alcohol in 100 ml blood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May 4, 2009</w:t>
            </w:r>
          </w:p>
          <w:p w:rsidR="00441FC4" w:rsidRPr="00354440" w:rsidRDefault="00441FC4" w:rsidP="00441FC4">
            <w:pPr>
              <w:jc w:val="both"/>
              <w:rPr>
                <w:rFonts w:eastAsia="Calibri"/>
                <w:sz w:val="20"/>
              </w:rPr>
            </w:pPr>
            <w:r w:rsidRPr="00354440">
              <w:rPr>
                <w:rFonts w:eastAsia="Calibri"/>
                <w:sz w:val="20"/>
              </w:rPr>
              <w:t>Court of Queen’s Bench of Alberta</w:t>
            </w:r>
          </w:p>
          <w:p w:rsidR="00441FC4" w:rsidRPr="00354440" w:rsidRDefault="00441FC4" w:rsidP="00441FC4">
            <w:pPr>
              <w:jc w:val="both"/>
              <w:rPr>
                <w:rFonts w:eastAsia="Calibri"/>
                <w:sz w:val="20"/>
              </w:rPr>
            </w:pPr>
            <w:r w:rsidRPr="00354440">
              <w:rPr>
                <w:rFonts w:eastAsia="Calibri"/>
                <w:sz w:val="20"/>
              </w:rPr>
              <w:t>(Read J.)</w:t>
            </w:r>
          </w:p>
          <w:p w:rsidR="00441FC4" w:rsidRPr="00354440" w:rsidRDefault="00441FC4" w:rsidP="00441FC4">
            <w:pPr>
              <w:jc w:val="both"/>
              <w:rPr>
                <w:rFonts w:eastAsia="Calibri"/>
                <w:sz w:val="20"/>
              </w:rPr>
            </w:pPr>
            <w:r w:rsidRPr="00354440">
              <w:rPr>
                <w:rFonts w:eastAsia="Calibri"/>
                <w:sz w:val="20"/>
              </w:rPr>
              <w:t>2009 ABQB 269</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Summary conviction appeal allowed, acquittal set aside, new trial ordered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November 4, 2010</w:t>
            </w:r>
          </w:p>
          <w:p w:rsidR="00441FC4" w:rsidRPr="00354440" w:rsidRDefault="00441FC4" w:rsidP="00441FC4">
            <w:pPr>
              <w:jc w:val="both"/>
              <w:rPr>
                <w:rFonts w:eastAsia="Calibri"/>
                <w:sz w:val="20"/>
              </w:rPr>
            </w:pPr>
            <w:r w:rsidRPr="00354440">
              <w:rPr>
                <w:rFonts w:eastAsia="Calibri"/>
                <w:sz w:val="20"/>
              </w:rPr>
              <w:t>Court of Appeal of Alberta (Edmonton)</w:t>
            </w:r>
          </w:p>
          <w:p w:rsidR="00441FC4" w:rsidRPr="00354440" w:rsidRDefault="00441FC4" w:rsidP="00441FC4">
            <w:pPr>
              <w:jc w:val="both"/>
              <w:rPr>
                <w:rFonts w:eastAsia="Calibri"/>
                <w:sz w:val="20"/>
              </w:rPr>
            </w:pPr>
            <w:r w:rsidRPr="00354440">
              <w:rPr>
                <w:rFonts w:eastAsia="Calibri"/>
                <w:sz w:val="20"/>
              </w:rPr>
              <w:t>(Côté, Picard, Slatter JJ.A.)</w:t>
            </w:r>
          </w:p>
          <w:p w:rsidR="00441FC4" w:rsidRPr="00354440" w:rsidRDefault="00441FC4" w:rsidP="00441FC4">
            <w:pPr>
              <w:jc w:val="both"/>
              <w:rPr>
                <w:rFonts w:eastAsia="Calibri"/>
                <w:sz w:val="20"/>
              </w:rPr>
            </w:pPr>
            <w:r w:rsidRPr="00354440">
              <w:rPr>
                <w:rFonts w:eastAsia="Calibri"/>
                <w:sz w:val="20"/>
              </w:rPr>
              <w:t>2010 ABCA 335</w:t>
            </w:r>
          </w:p>
          <w:p w:rsidR="00441FC4" w:rsidRPr="00354440" w:rsidRDefault="00441FC4" w:rsidP="00441FC4">
            <w:pPr>
              <w:jc w:val="both"/>
              <w:rPr>
                <w:rFonts w:eastAsia="Calibri"/>
                <w:sz w:val="20"/>
              </w:rPr>
            </w:pPr>
            <w:r w:rsidRPr="00354440">
              <w:rPr>
                <w:rFonts w:eastAsia="Calibri"/>
                <w:sz w:val="20"/>
              </w:rPr>
              <w:t>Docket: 0903-0149-A</w:t>
            </w:r>
          </w:p>
          <w:p w:rsidR="00441FC4" w:rsidRPr="00354440" w:rsidRDefault="00441FC4" w:rsidP="00441FC4">
            <w:pPr>
              <w:jc w:val="both"/>
              <w:rPr>
                <w:rFonts w:eastAsia="Calibri"/>
                <w:sz w:val="20"/>
              </w:rPr>
            </w:pP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Appeal dismissed</w:t>
            </w:r>
          </w:p>
          <w:p w:rsidR="00441FC4" w:rsidRPr="00354440" w:rsidRDefault="00441FC4" w:rsidP="00441FC4">
            <w:pPr>
              <w:jc w:val="both"/>
              <w:rPr>
                <w:rFonts w:eastAsia="Calibri"/>
                <w:sz w:val="20"/>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rPr>
            </w:pPr>
            <w:r w:rsidRPr="00354440">
              <w:rPr>
                <w:rFonts w:eastAsia="Calibri"/>
                <w:sz w:val="20"/>
              </w:rPr>
              <w:t>December 31, 2010</w:t>
            </w:r>
          </w:p>
          <w:p w:rsidR="00441FC4" w:rsidRPr="00354440" w:rsidRDefault="00441FC4" w:rsidP="00441FC4">
            <w:pPr>
              <w:jc w:val="both"/>
              <w:rPr>
                <w:rFonts w:eastAsia="Calibri"/>
                <w:sz w:val="20"/>
              </w:rPr>
            </w:pPr>
            <w:r w:rsidRPr="00354440">
              <w:rPr>
                <w:rFonts w:eastAsia="Calibri"/>
                <w:sz w:val="20"/>
              </w:rPr>
              <w:t>Supreme Court of Canada</w:t>
            </w:r>
          </w:p>
        </w:tc>
        <w:tc>
          <w:tcPr>
            <w:tcW w:w="270" w:type="pct"/>
          </w:tcPr>
          <w:p w:rsidR="00441FC4" w:rsidRPr="00354440" w:rsidRDefault="00441FC4" w:rsidP="00441FC4">
            <w:pPr>
              <w:jc w:val="both"/>
              <w:rPr>
                <w:rFonts w:eastAsia="Calibri"/>
                <w:sz w:val="20"/>
              </w:rPr>
            </w:pPr>
          </w:p>
        </w:tc>
        <w:tc>
          <w:tcPr>
            <w:tcW w:w="2340" w:type="pct"/>
          </w:tcPr>
          <w:p w:rsidR="00441FC4" w:rsidRPr="00354440" w:rsidRDefault="00441FC4" w:rsidP="00441FC4">
            <w:pPr>
              <w:jc w:val="both"/>
              <w:rPr>
                <w:rFonts w:eastAsia="Calibri"/>
                <w:sz w:val="20"/>
              </w:rPr>
            </w:pPr>
            <w:r w:rsidRPr="00354440">
              <w:rPr>
                <w:rFonts w:eastAsia="Calibri"/>
                <w:sz w:val="20"/>
              </w:rPr>
              <w:t>Application for leave to appeal filed</w:t>
            </w:r>
          </w:p>
          <w:p w:rsidR="00441FC4" w:rsidRPr="00354440" w:rsidRDefault="00441FC4" w:rsidP="00441FC4">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46"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441FC4" w:rsidRPr="001D43E1"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 xml:space="preserve">Législation — Interprétation — </w:t>
            </w:r>
            <w:bookmarkStart w:id="1" w:name="_GoBack"/>
            <w:bookmarkEnd w:id="1"/>
            <w:r w:rsidRPr="00354440">
              <w:rPr>
                <w:rFonts w:eastAsia="Calibri"/>
                <w:sz w:val="20"/>
                <w:lang w:val="fr-CA"/>
              </w:rPr>
              <w:t xml:space="preserve">Application rétrospective ou prospective de modifications — Preuve — Conduite d’un véhicule à moteur avec alcoolémie supérieure à </w:t>
            </w:r>
            <w:r w:rsidRPr="00354440">
              <w:rPr>
                <w:rFonts w:eastAsia="Calibri"/>
                <w:color w:val="000000"/>
                <w:sz w:val="20"/>
                <w:lang w:val="fr-CA"/>
              </w:rPr>
              <w:t>quatre</w:t>
            </w:r>
            <w:r w:rsidRPr="00354440">
              <w:rPr>
                <w:rFonts w:eastAsia="Calibri"/>
                <w:color w:val="000000"/>
                <w:sz w:val="20"/>
                <w:lang w:val="fr-CA"/>
              </w:rPr>
              <w:noBreakHyphen/>
              <w:t>vingts milligrammes d'alcool par cent millilitres de sang</w:t>
            </w:r>
            <w:r w:rsidRPr="00354440">
              <w:rPr>
                <w:rFonts w:eastAsia="Calibri"/>
                <w:sz w:val="20"/>
                <w:lang w:val="fr-CA"/>
              </w:rPr>
              <w:t xml:space="preserve"> — La modification apportée au </w:t>
            </w:r>
            <w:r w:rsidRPr="00354440">
              <w:rPr>
                <w:rFonts w:eastAsia="Calibri"/>
                <w:i/>
                <w:iCs/>
                <w:sz w:val="20"/>
                <w:lang w:val="fr-CA"/>
              </w:rPr>
              <w:t>Code criminel</w:t>
            </w:r>
            <w:r w:rsidRPr="00354440">
              <w:rPr>
                <w:rFonts w:eastAsia="Calibri"/>
                <w:sz w:val="20"/>
                <w:lang w:val="fr-CA"/>
              </w:rPr>
              <w:t xml:space="preserve"> interdit que le témoignage relatif à la consommation d’alcool de l’accusée ou le témoignage relatif au taux d’élimination ou le calcul de l’alcoolémie reposant sur ces facteurs soient soumis en preuve de l’existence d’un problème avec l’alcootest ou la procédure d’alcootest — Les modifications apportées à l’alinéa 258(1)</w:t>
            </w:r>
            <w:r w:rsidRPr="00354440">
              <w:rPr>
                <w:rFonts w:eastAsia="Calibri"/>
                <w:i/>
                <w:sz w:val="20"/>
                <w:lang w:val="fr-CA"/>
              </w:rPr>
              <w:t>c</w:t>
            </w:r>
            <w:r w:rsidRPr="00354440">
              <w:rPr>
                <w:rFonts w:eastAsia="Calibri"/>
                <w:sz w:val="20"/>
                <w:lang w:val="fr-CA"/>
              </w:rPr>
              <w:t>) et à l’alinéa 258(1)</w:t>
            </w:r>
            <w:r w:rsidRPr="00354440">
              <w:rPr>
                <w:rFonts w:eastAsia="Calibri"/>
                <w:i/>
                <w:sz w:val="20"/>
                <w:lang w:val="fr-CA"/>
              </w:rPr>
              <w:t>d.01</w:t>
            </w:r>
            <w:r w:rsidRPr="00354440">
              <w:rPr>
                <w:rFonts w:eastAsia="Calibri"/>
                <w:sz w:val="20"/>
                <w:lang w:val="fr-CA"/>
              </w:rPr>
              <w:t xml:space="preserve">) du </w:t>
            </w:r>
            <w:r w:rsidRPr="00354440">
              <w:rPr>
                <w:rFonts w:eastAsia="Calibri"/>
                <w:i/>
                <w:sz w:val="20"/>
                <w:lang w:val="fr-CA"/>
              </w:rPr>
              <w:t>Code criminel</w:t>
            </w:r>
            <w:r w:rsidRPr="00354440">
              <w:rPr>
                <w:rFonts w:eastAsia="Calibri"/>
                <w:sz w:val="20"/>
                <w:lang w:val="fr-CA"/>
              </w:rPr>
              <w:t xml:space="preserve"> qui sont entrées en vigueur le 2 juillet 2008 s’appliquent</w:t>
            </w:r>
            <w:r w:rsidRPr="00354440">
              <w:rPr>
                <w:rFonts w:eastAsia="Calibri"/>
                <w:sz w:val="20"/>
                <w:lang w:val="fr-CA"/>
              </w:rPr>
              <w:noBreakHyphen/>
              <w:t>elles rétroactivement ou rétrospectivement?</w:t>
            </w:r>
          </w:p>
        </w:tc>
      </w:tr>
      <w:tr w:rsidR="00441FC4" w:rsidRPr="001D43E1" w:rsidTr="00441FC4">
        <w:tc>
          <w:tcPr>
            <w:tcW w:w="5000" w:type="pct"/>
            <w:gridSpan w:val="3"/>
          </w:tcPr>
          <w:p w:rsidR="00441FC4" w:rsidRPr="00354440" w:rsidRDefault="00441FC4" w:rsidP="00441FC4">
            <w:pPr>
              <w:jc w:val="both"/>
              <w:rPr>
                <w:rFonts w:eastAsia="Calibri"/>
                <w:sz w:val="20"/>
                <w:lang w:val="fr-CA"/>
              </w:rPr>
            </w:pPr>
          </w:p>
        </w:tc>
      </w:tr>
      <w:tr w:rsidR="00441FC4" w:rsidRPr="00354440"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 xml:space="preserve">Le 25 janvier 2007, la demanderesse a échoué un alcootest et a été accusée de conduite avec une alcoolémie dépassant la limite prescrite par la loi.  Le procès a commencé le 19 novembre 2007, puis il a été ajourné.  La défense entendait produire une défense « Carter » (preuve liée à la consommation d’alcool et avis d’expert que l’alcoolémie de la demanderesse ne dépassait pas la limite prescrite par la loi).  Lorsque le procès a repris, la défense Carter n’existait plus car elle avait été éliminée par des modifications apportées au </w:t>
            </w:r>
            <w:r w:rsidRPr="00354440">
              <w:rPr>
                <w:rFonts w:eastAsia="Calibri"/>
                <w:i/>
                <w:sz w:val="20"/>
                <w:lang w:val="fr-CA"/>
              </w:rPr>
              <w:t>Code criminel</w:t>
            </w:r>
            <w:r w:rsidRPr="00354440">
              <w:rPr>
                <w:rFonts w:eastAsia="Calibri"/>
                <w:sz w:val="20"/>
                <w:lang w:val="fr-CA"/>
              </w:rPr>
              <w:t xml:space="preserve"> le 2 juillet 2008.  La Couronne a prétendu que les modifications s’appliquaient et que la défense Carter n’existait plus.  Le juge de première instance a permis à la défense de procéder.  La Couronne a reconnu que si le moyen de défense s’appliquait, la perpétration de l’infraction ne pouvait pas être établie.  La demanderesse a été acquittée.</w:t>
            </w:r>
          </w:p>
          <w:p w:rsidR="00441FC4" w:rsidRPr="00354440" w:rsidRDefault="00441FC4" w:rsidP="00441FC4">
            <w:pPr>
              <w:jc w:val="both"/>
              <w:rPr>
                <w:rFonts w:eastAsia="Calibri"/>
                <w:sz w:val="20"/>
                <w:lang w:val="fr-CA"/>
              </w:rPr>
            </w:pPr>
          </w:p>
        </w:tc>
      </w:tr>
      <w:tr w:rsidR="00441FC4" w:rsidRPr="001D43E1"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20 octobre 2008</w:t>
            </w:r>
          </w:p>
          <w:p w:rsidR="00441FC4" w:rsidRPr="00354440" w:rsidRDefault="00441FC4" w:rsidP="00441FC4">
            <w:pPr>
              <w:jc w:val="both"/>
              <w:rPr>
                <w:rFonts w:eastAsia="Calibri"/>
                <w:sz w:val="20"/>
                <w:lang w:val="fr-CA"/>
              </w:rPr>
            </w:pPr>
            <w:r w:rsidRPr="00354440">
              <w:rPr>
                <w:rFonts w:eastAsia="Calibri"/>
                <w:sz w:val="20"/>
                <w:lang w:val="fr-CA"/>
              </w:rPr>
              <w:t>Cour provinciale de l’Alberta</w:t>
            </w:r>
          </w:p>
          <w:p w:rsidR="00441FC4" w:rsidRPr="00354440" w:rsidRDefault="00441FC4" w:rsidP="00441FC4">
            <w:pPr>
              <w:jc w:val="both"/>
              <w:rPr>
                <w:rFonts w:eastAsia="Calibri"/>
                <w:sz w:val="20"/>
                <w:lang w:val="fr-CA"/>
              </w:rPr>
            </w:pPr>
            <w:r w:rsidRPr="00354440">
              <w:rPr>
                <w:rFonts w:eastAsia="Calibri"/>
                <w:sz w:val="20"/>
                <w:lang w:val="fr-CA"/>
              </w:rPr>
              <w:t>(Juge Fuller)</w:t>
            </w:r>
          </w:p>
          <w:p w:rsidR="00441FC4" w:rsidRPr="00354440" w:rsidRDefault="00441FC4" w:rsidP="00441FC4">
            <w:pPr>
              <w:jc w:val="both"/>
              <w:rPr>
                <w:rFonts w:eastAsia="Calibri"/>
                <w:sz w:val="20"/>
                <w:lang w:val="fr-CA"/>
              </w:rPr>
            </w:pPr>
            <w:r w:rsidRPr="00354440">
              <w:rPr>
                <w:rFonts w:eastAsia="Calibri"/>
                <w:sz w:val="20"/>
                <w:lang w:val="fr-CA"/>
              </w:rPr>
              <w:t>2008 ABPC 280</w:t>
            </w:r>
          </w:p>
          <w:p w:rsidR="00441FC4" w:rsidRPr="00354440" w:rsidRDefault="00441FC4" w:rsidP="00441FC4">
            <w:pPr>
              <w:jc w:val="both"/>
              <w:rPr>
                <w:rFonts w:eastAsia="Calibri"/>
                <w:sz w:val="20"/>
                <w:lang w:val="fr-CA"/>
              </w:rPr>
            </w:pP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 xml:space="preserve">Acquittement de l’accusation de conduite d’un véhicule à moteur avec une alcoolémie supérieure à </w:t>
            </w:r>
            <w:r w:rsidRPr="00354440">
              <w:rPr>
                <w:rFonts w:eastAsia="Calibri"/>
                <w:color w:val="000000"/>
                <w:sz w:val="20"/>
                <w:lang w:val="fr-CA"/>
              </w:rPr>
              <w:t>quatre</w:t>
            </w:r>
            <w:r w:rsidRPr="00354440">
              <w:rPr>
                <w:rFonts w:eastAsia="Calibri"/>
                <w:color w:val="000000"/>
                <w:sz w:val="20"/>
                <w:lang w:val="fr-CA"/>
              </w:rPr>
              <w:noBreakHyphen/>
              <w:t>vingts milligrammes d'alcool par cent millilitres de sang</w:t>
            </w:r>
          </w:p>
          <w:p w:rsidR="00441FC4" w:rsidRPr="00354440" w:rsidRDefault="00441FC4" w:rsidP="00441FC4">
            <w:pPr>
              <w:jc w:val="both"/>
              <w:rPr>
                <w:rFonts w:eastAsia="Calibri"/>
                <w:sz w:val="20"/>
                <w:lang w:val="fr-CA"/>
              </w:rPr>
            </w:pPr>
          </w:p>
        </w:tc>
      </w:tr>
      <w:tr w:rsidR="00441FC4" w:rsidRPr="001D43E1"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4 mai 2009</w:t>
            </w:r>
          </w:p>
          <w:p w:rsidR="00441FC4" w:rsidRPr="00354440" w:rsidRDefault="00441FC4" w:rsidP="00441FC4">
            <w:pPr>
              <w:jc w:val="both"/>
              <w:rPr>
                <w:rFonts w:eastAsia="Calibri"/>
                <w:sz w:val="20"/>
                <w:lang w:val="fr-CA"/>
              </w:rPr>
            </w:pPr>
            <w:r w:rsidRPr="00354440">
              <w:rPr>
                <w:rFonts w:eastAsia="Calibri"/>
                <w:sz w:val="20"/>
                <w:lang w:val="fr-CA"/>
              </w:rPr>
              <w:t>Cour du Banc de la Reine de l’Alberta</w:t>
            </w:r>
          </w:p>
          <w:p w:rsidR="00441FC4" w:rsidRPr="00354440" w:rsidRDefault="00441FC4" w:rsidP="00441FC4">
            <w:pPr>
              <w:jc w:val="both"/>
              <w:rPr>
                <w:rFonts w:eastAsia="Calibri"/>
                <w:sz w:val="20"/>
                <w:lang w:val="fr-CA"/>
              </w:rPr>
            </w:pPr>
            <w:r w:rsidRPr="00354440">
              <w:rPr>
                <w:rFonts w:eastAsia="Calibri"/>
                <w:sz w:val="20"/>
                <w:lang w:val="fr-CA"/>
              </w:rPr>
              <w:t>(Juge Read)</w:t>
            </w:r>
          </w:p>
          <w:p w:rsidR="00441FC4" w:rsidRPr="00354440" w:rsidRDefault="00441FC4" w:rsidP="00441FC4">
            <w:pPr>
              <w:jc w:val="both"/>
              <w:rPr>
                <w:rFonts w:eastAsia="Calibri"/>
                <w:sz w:val="20"/>
                <w:lang w:val="fr-CA"/>
              </w:rPr>
            </w:pPr>
            <w:r w:rsidRPr="00354440">
              <w:rPr>
                <w:rFonts w:eastAsia="Calibri"/>
                <w:sz w:val="20"/>
                <w:lang w:val="fr-CA"/>
              </w:rPr>
              <w:t>2009 ABQB 269</w:t>
            </w:r>
          </w:p>
          <w:p w:rsidR="00441FC4" w:rsidRPr="00354440" w:rsidRDefault="00441FC4" w:rsidP="00441FC4">
            <w:pPr>
              <w:jc w:val="both"/>
              <w:rPr>
                <w:rFonts w:eastAsia="Calibri"/>
                <w:sz w:val="20"/>
                <w:lang w:val="fr-CA"/>
              </w:rPr>
            </w:pP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Appel de la déclaration sommaire de culpabilité accueilli, acquittement annulé, tenue d’un nouveau procès ordonnée</w:t>
            </w:r>
          </w:p>
          <w:p w:rsidR="00441FC4" w:rsidRPr="00354440" w:rsidRDefault="00441FC4" w:rsidP="00441FC4">
            <w:pPr>
              <w:jc w:val="both"/>
              <w:rPr>
                <w:rFonts w:eastAsia="Calibri"/>
                <w:sz w:val="20"/>
                <w:lang w:val="fr-CA"/>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4 novembre 2010</w:t>
            </w:r>
          </w:p>
          <w:p w:rsidR="00441FC4" w:rsidRPr="00354440" w:rsidRDefault="00441FC4" w:rsidP="00441FC4">
            <w:pPr>
              <w:jc w:val="both"/>
              <w:rPr>
                <w:rFonts w:eastAsia="Calibri"/>
                <w:sz w:val="20"/>
                <w:lang w:val="fr-CA"/>
              </w:rPr>
            </w:pPr>
            <w:r w:rsidRPr="00354440">
              <w:rPr>
                <w:rFonts w:eastAsia="Calibri"/>
                <w:sz w:val="20"/>
                <w:lang w:val="fr-CA"/>
              </w:rPr>
              <w:t>Cour d’appel de l’Alberta (Edmonton)</w:t>
            </w:r>
          </w:p>
          <w:p w:rsidR="00441FC4" w:rsidRPr="00354440" w:rsidRDefault="00441FC4" w:rsidP="00441FC4">
            <w:pPr>
              <w:jc w:val="both"/>
              <w:rPr>
                <w:rFonts w:eastAsia="Calibri"/>
                <w:sz w:val="20"/>
                <w:lang w:val="fr-CA"/>
              </w:rPr>
            </w:pPr>
            <w:r w:rsidRPr="00354440">
              <w:rPr>
                <w:rFonts w:eastAsia="Calibri"/>
                <w:sz w:val="20"/>
                <w:lang w:val="fr-CA"/>
              </w:rPr>
              <w:t>(Juges Côté, Picard et Slatter)</w:t>
            </w:r>
          </w:p>
          <w:p w:rsidR="00441FC4" w:rsidRPr="00354440" w:rsidRDefault="00441FC4" w:rsidP="00441FC4">
            <w:pPr>
              <w:jc w:val="both"/>
              <w:rPr>
                <w:rFonts w:eastAsia="Calibri"/>
                <w:sz w:val="20"/>
                <w:lang w:val="fr-CA"/>
              </w:rPr>
            </w:pPr>
            <w:r w:rsidRPr="00354440">
              <w:rPr>
                <w:rFonts w:eastAsia="Calibri"/>
                <w:sz w:val="20"/>
                <w:lang w:val="fr-CA"/>
              </w:rPr>
              <w:t>2010 ABCA 335</w:t>
            </w:r>
          </w:p>
          <w:p w:rsidR="00441FC4" w:rsidRPr="00354440" w:rsidRDefault="00441FC4" w:rsidP="00441FC4">
            <w:pPr>
              <w:jc w:val="both"/>
              <w:rPr>
                <w:rFonts w:eastAsia="Calibri"/>
                <w:sz w:val="20"/>
                <w:lang w:val="fr-CA"/>
              </w:rPr>
            </w:pPr>
            <w:r w:rsidRPr="00354440">
              <w:rPr>
                <w:rFonts w:eastAsia="Calibri"/>
                <w:sz w:val="20"/>
                <w:lang w:val="fr-CA"/>
              </w:rPr>
              <w:t>Dossier : 0903</w:t>
            </w:r>
            <w:r w:rsidRPr="00354440">
              <w:rPr>
                <w:rFonts w:eastAsia="Calibri"/>
                <w:sz w:val="20"/>
                <w:lang w:val="fr-CA"/>
              </w:rPr>
              <w:noBreakHyphen/>
              <w:t>0149</w:t>
            </w:r>
            <w:r w:rsidRPr="00354440">
              <w:rPr>
                <w:rFonts w:eastAsia="Calibri"/>
                <w:sz w:val="20"/>
                <w:lang w:val="fr-CA"/>
              </w:rPr>
              <w:noBreakHyphen/>
              <w:t>A</w:t>
            </w:r>
          </w:p>
          <w:p w:rsidR="00441FC4" w:rsidRPr="00354440" w:rsidRDefault="00441FC4" w:rsidP="00441FC4">
            <w:pPr>
              <w:jc w:val="both"/>
              <w:rPr>
                <w:rFonts w:eastAsia="Calibri"/>
                <w:sz w:val="20"/>
                <w:lang w:val="fr-CA"/>
              </w:rPr>
            </w:pP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Appel rejeté</w:t>
            </w:r>
          </w:p>
          <w:p w:rsidR="00441FC4" w:rsidRPr="00354440" w:rsidRDefault="00441FC4" w:rsidP="00441FC4">
            <w:pPr>
              <w:jc w:val="both"/>
              <w:rPr>
                <w:rFonts w:eastAsia="Calibri"/>
                <w:sz w:val="20"/>
                <w:lang w:val="fr-CA"/>
              </w:rPr>
            </w:pPr>
          </w:p>
        </w:tc>
      </w:tr>
      <w:tr w:rsidR="00441FC4" w:rsidRPr="00354440" w:rsidTr="00441FC4">
        <w:tblPrEx>
          <w:tblCellMar>
            <w:bottom w:w="0" w:type="dxa"/>
          </w:tblCellMar>
        </w:tblPrEx>
        <w:tc>
          <w:tcPr>
            <w:tcW w:w="2390" w:type="pct"/>
          </w:tcPr>
          <w:p w:rsidR="00441FC4" w:rsidRPr="00354440" w:rsidRDefault="00441FC4" w:rsidP="00441FC4">
            <w:pPr>
              <w:jc w:val="both"/>
              <w:rPr>
                <w:rFonts w:eastAsia="Calibri"/>
                <w:sz w:val="20"/>
                <w:lang w:val="fr-CA"/>
              </w:rPr>
            </w:pPr>
            <w:r w:rsidRPr="00354440">
              <w:rPr>
                <w:rFonts w:eastAsia="Calibri"/>
                <w:sz w:val="20"/>
                <w:lang w:val="fr-CA"/>
              </w:rPr>
              <w:t>31 décembre 2010</w:t>
            </w:r>
          </w:p>
          <w:p w:rsidR="00441FC4" w:rsidRPr="00354440" w:rsidRDefault="00441FC4" w:rsidP="00441FC4">
            <w:pPr>
              <w:jc w:val="both"/>
              <w:rPr>
                <w:rFonts w:eastAsia="Calibri"/>
                <w:sz w:val="20"/>
                <w:lang w:val="fr-CA"/>
              </w:rPr>
            </w:pPr>
            <w:r w:rsidRPr="00354440">
              <w:rPr>
                <w:rFonts w:eastAsia="Calibri"/>
                <w:sz w:val="20"/>
                <w:lang w:val="fr-CA"/>
              </w:rPr>
              <w:t>Cour suprême du Canada</w:t>
            </w:r>
          </w:p>
        </w:tc>
        <w:tc>
          <w:tcPr>
            <w:tcW w:w="270" w:type="pct"/>
          </w:tcPr>
          <w:p w:rsidR="00441FC4" w:rsidRPr="00354440" w:rsidRDefault="00441FC4" w:rsidP="00441FC4">
            <w:pPr>
              <w:jc w:val="both"/>
              <w:rPr>
                <w:rFonts w:eastAsia="Calibri"/>
                <w:sz w:val="20"/>
                <w:lang w:val="fr-CA"/>
              </w:rPr>
            </w:pPr>
          </w:p>
        </w:tc>
        <w:tc>
          <w:tcPr>
            <w:tcW w:w="2340" w:type="pct"/>
          </w:tcPr>
          <w:p w:rsidR="00441FC4" w:rsidRPr="00354440" w:rsidRDefault="00441FC4" w:rsidP="00441FC4">
            <w:pPr>
              <w:jc w:val="both"/>
              <w:rPr>
                <w:rFonts w:eastAsia="Calibri"/>
                <w:sz w:val="20"/>
                <w:lang w:val="fr-CA"/>
              </w:rPr>
            </w:pPr>
            <w:r w:rsidRPr="00354440">
              <w:rPr>
                <w:rFonts w:eastAsia="Calibri"/>
                <w:sz w:val="20"/>
                <w:lang w:val="fr-CA"/>
              </w:rPr>
              <w:t>Demande d’autorisation d’appel déposée</w:t>
            </w:r>
          </w:p>
          <w:p w:rsidR="00441FC4" w:rsidRPr="00354440" w:rsidRDefault="00441FC4" w:rsidP="00441FC4">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47"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14A" w:rsidRPr="005B715A" w:rsidTr="00066741">
        <w:trPr>
          <w:cantSplit/>
        </w:trPr>
        <w:tc>
          <w:tcPr>
            <w:tcW w:w="1458" w:type="dxa"/>
          </w:tcPr>
          <w:p w:rsidR="00B9214A" w:rsidRPr="005B715A" w:rsidRDefault="00B9214A" w:rsidP="00066741">
            <w:pPr>
              <w:rPr>
                <w:sz w:val="20"/>
                <w:szCs w:val="20"/>
              </w:rPr>
            </w:pPr>
            <w:r w:rsidRPr="005B715A">
              <w:rPr>
                <w:rStyle w:val="SCCFileNumberChar"/>
                <w:sz w:val="20"/>
                <w:szCs w:val="20"/>
              </w:rPr>
              <w:t>34072</w:t>
            </w:r>
          </w:p>
          <w:p w:rsidR="00B9214A" w:rsidRPr="005B715A" w:rsidRDefault="00B9214A" w:rsidP="00066741">
            <w:pPr>
              <w:rPr>
                <w:b/>
                <w:sz w:val="20"/>
                <w:szCs w:val="20"/>
                <w:lang w:val="fr-CA"/>
              </w:rPr>
            </w:pPr>
          </w:p>
        </w:tc>
        <w:tc>
          <w:tcPr>
            <w:tcW w:w="8118" w:type="dxa"/>
          </w:tcPr>
          <w:p w:rsidR="00B9214A" w:rsidRPr="005B715A" w:rsidRDefault="00B9214A" w:rsidP="00066741">
            <w:pPr>
              <w:rPr>
                <w:sz w:val="20"/>
                <w:szCs w:val="20"/>
              </w:rPr>
            </w:pPr>
            <w:r w:rsidRPr="005B715A">
              <w:rPr>
                <w:rStyle w:val="SCCLsocChar"/>
                <w:sz w:val="20"/>
                <w:szCs w:val="20"/>
                <w:lang w:val="en-CA"/>
              </w:rPr>
              <w:t>Carol Truong v. Her Majesty the Queen</w:t>
            </w:r>
            <w:r w:rsidRPr="005B715A">
              <w:rPr>
                <w:sz w:val="20"/>
                <w:szCs w:val="20"/>
              </w:rPr>
              <w:t xml:space="preserve"> (B.C.) (Criminal) (By Leave)</w:t>
            </w:r>
          </w:p>
          <w:p w:rsidR="00B9214A" w:rsidRPr="005B715A" w:rsidRDefault="00B9214A" w:rsidP="00066741">
            <w:pPr>
              <w:rPr>
                <w:sz w:val="20"/>
                <w:szCs w:val="20"/>
              </w:rPr>
            </w:pPr>
          </w:p>
        </w:tc>
      </w:tr>
      <w:tr w:rsidR="00B9214A" w:rsidRPr="005B715A" w:rsidTr="00066741">
        <w:trPr>
          <w:cantSplit/>
        </w:trPr>
        <w:tc>
          <w:tcPr>
            <w:tcW w:w="1458" w:type="dxa"/>
          </w:tcPr>
          <w:p w:rsidR="00B9214A" w:rsidRPr="005B715A" w:rsidRDefault="00B9214A" w:rsidP="00066741">
            <w:pPr>
              <w:rPr>
                <w:sz w:val="20"/>
                <w:szCs w:val="20"/>
              </w:rPr>
            </w:pPr>
            <w:r w:rsidRPr="005B715A">
              <w:rPr>
                <w:sz w:val="20"/>
                <w:szCs w:val="20"/>
              </w:rPr>
              <w:t>Coram :</w:t>
            </w:r>
          </w:p>
        </w:tc>
        <w:tc>
          <w:tcPr>
            <w:tcW w:w="8118" w:type="dxa"/>
          </w:tcPr>
          <w:p w:rsidR="00B9214A" w:rsidRPr="005B715A" w:rsidRDefault="00B9214A" w:rsidP="00066741">
            <w:pPr>
              <w:rPr>
                <w:sz w:val="20"/>
                <w:szCs w:val="20"/>
              </w:rPr>
            </w:pPr>
            <w:r w:rsidRPr="005B715A">
              <w:rPr>
                <w:rStyle w:val="SCCCoramChar"/>
                <w:sz w:val="20"/>
                <w:szCs w:val="20"/>
                <w:lang w:val="en-CA"/>
              </w:rPr>
              <w:t>Fish, Rothstein and Cromwell JJ.</w:t>
            </w:r>
          </w:p>
          <w:p w:rsidR="00B9214A" w:rsidRPr="005B715A" w:rsidRDefault="00B9214A" w:rsidP="00066741">
            <w:pPr>
              <w:rPr>
                <w:sz w:val="20"/>
                <w:szCs w:val="20"/>
                <w:u w:val="single"/>
              </w:rPr>
            </w:pPr>
          </w:p>
        </w:tc>
      </w:tr>
      <w:tr w:rsidR="00B9214A" w:rsidRPr="001D43E1" w:rsidTr="00066741">
        <w:trPr>
          <w:cantSplit/>
        </w:trPr>
        <w:tc>
          <w:tcPr>
            <w:tcW w:w="9576" w:type="dxa"/>
            <w:gridSpan w:val="2"/>
          </w:tcPr>
          <w:p w:rsidR="00B9214A" w:rsidRPr="005B715A" w:rsidRDefault="00B9214A" w:rsidP="00066741">
            <w:pPr>
              <w:pStyle w:val="SCCShortJudgment"/>
              <w:rPr>
                <w:szCs w:val="20"/>
              </w:rPr>
            </w:pPr>
            <w:r w:rsidRPr="005B715A">
              <w:rPr>
                <w:szCs w:val="20"/>
              </w:rPr>
              <w:t xml:space="preserve">Pursuant to subsection 43 (1.1) of </w:t>
            </w:r>
            <w:r w:rsidRPr="00D643FB">
              <w:rPr>
                <w:i/>
                <w:szCs w:val="20"/>
              </w:rPr>
              <w:t>The Supreme Court Act</w:t>
            </w:r>
            <w:r w:rsidRPr="005B715A">
              <w:rPr>
                <w:szCs w:val="20"/>
              </w:rPr>
              <w:t xml:space="preserve">, the case forming the basis of the application for leave to appeal from the judgment of the Court of Appeal for British Columbia (Victoria), Number CA036811, 2010 BCCA 536, dated November 30, 2010, is remanded to the Court of Appeal of British Columbia for disposition in accordance with </w:t>
            </w:r>
            <w:r w:rsidRPr="00D643FB">
              <w:rPr>
                <w:i/>
                <w:szCs w:val="20"/>
              </w:rPr>
              <w:t>R. v. Dineley</w:t>
            </w:r>
            <w:r w:rsidRPr="005B715A">
              <w:rPr>
                <w:szCs w:val="20"/>
              </w:rPr>
              <w:t>, 2012 SCC 58.</w:t>
            </w:r>
          </w:p>
          <w:p w:rsidR="00B9214A" w:rsidRPr="005B715A" w:rsidRDefault="00B9214A" w:rsidP="00066741">
            <w:pPr>
              <w:pStyle w:val="SCCShortJudgment"/>
              <w:ind w:firstLine="0"/>
              <w:rPr>
                <w:szCs w:val="20"/>
              </w:rPr>
            </w:pPr>
          </w:p>
          <w:p w:rsidR="00B9214A" w:rsidRPr="005B715A" w:rsidRDefault="00B9214A" w:rsidP="00066741">
            <w:pPr>
              <w:pStyle w:val="SCCShortJudgment"/>
              <w:rPr>
                <w:szCs w:val="20"/>
                <w:lang w:val="fr-CA"/>
              </w:rPr>
            </w:pPr>
            <w:r w:rsidRPr="005B715A">
              <w:rPr>
                <w:szCs w:val="20"/>
                <w:lang w:val="fr-CA"/>
              </w:rPr>
              <w:t xml:space="preserve">Conformément au paragraphe 43 (1.1) de la </w:t>
            </w:r>
            <w:r w:rsidRPr="00D643FB">
              <w:rPr>
                <w:i/>
                <w:szCs w:val="20"/>
                <w:lang w:val="fr-CA"/>
              </w:rPr>
              <w:t>Loi sur la Cour suprême</w:t>
            </w:r>
            <w:r w:rsidRPr="005B715A">
              <w:rPr>
                <w:szCs w:val="20"/>
                <w:lang w:val="fr-CA"/>
              </w:rPr>
              <w:t xml:space="preserve">, l’affaire à l’origine de la  demande d’autorisation d’appel de l’arrêt de la Cour d’appel de la Colombie-Britannique (Victoria), numéro CA036811, 2010 BCCA 536, daté du 30 novembre 2010, est renvoyée à la Cour d’appel de la Colombie-Britannique pour qu’elle statue en conformité avec l’arrêt </w:t>
            </w:r>
            <w:r w:rsidRPr="00D643FB">
              <w:rPr>
                <w:i/>
                <w:szCs w:val="20"/>
                <w:lang w:val="fr-CA"/>
              </w:rPr>
              <w:t>R. c. Dineley</w:t>
            </w:r>
            <w:r w:rsidRPr="005B715A">
              <w:rPr>
                <w:szCs w:val="20"/>
                <w:lang w:val="fr-CA"/>
              </w:rPr>
              <w:t>, 2012 SCC 58.</w:t>
            </w:r>
          </w:p>
        </w:tc>
      </w:tr>
    </w:tbl>
    <w:p w:rsidR="00441FC4" w:rsidRPr="00B9214A"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Legislation — Interpretation — Retrospective or prospective application of amendments — Evidence — Operating a motor vehicle with a blood alcohol concentration exceeding 80 mg alcohol in 100 ml blood — Whether the Court of Appeal erred in law in holding that ss. 258(1</w:t>
            </w:r>
            <w:proofErr w:type="gramStart"/>
            <w:r w:rsidRPr="00354440">
              <w:rPr>
                <w:rFonts w:eastAsia="Calibri"/>
                <w:sz w:val="20"/>
              </w:rPr>
              <w:t>)(</w:t>
            </w:r>
            <w:proofErr w:type="gramEnd"/>
            <w:r w:rsidRPr="00354440">
              <w:rPr>
                <w:rFonts w:eastAsia="Calibri"/>
                <w:sz w:val="20"/>
              </w:rPr>
              <w:t xml:space="preserve">c), (d.1) of the </w:t>
            </w:r>
            <w:r w:rsidRPr="00354440">
              <w:rPr>
                <w:rFonts w:eastAsia="Calibri"/>
                <w:i/>
                <w:sz w:val="20"/>
              </w:rPr>
              <w:t>Criminal Code</w:t>
            </w:r>
            <w:r w:rsidRPr="00354440">
              <w:rPr>
                <w:rFonts w:eastAsia="Calibri"/>
                <w:sz w:val="20"/>
              </w:rPr>
              <w:t xml:space="preserve">, as amended by the </w:t>
            </w:r>
            <w:r w:rsidRPr="00354440">
              <w:rPr>
                <w:rFonts w:eastAsia="Calibri"/>
                <w:i/>
                <w:sz w:val="20"/>
              </w:rPr>
              <w:t>Tackling Violent Crime Act</w:t>
            </w:r>
            <w:r w:rsidRPr="00354440">
              <w:rPr>
                <w:rFonts w:eastAsia="Calibri"/>
                <w:sz w:val="20"/>
              </w:rPr>
              <w:t>, R.S. c. C</w:t>
            </w:r>
            <w:r w:rsidRPr="00354440">
              <w:rPr>
                <w:rFonts w:eastAsia="Calibri"/>
                <w:sz w:val="20"/>
              </w:rPr>
              <w:noBreakHyphen/>
              <w:t>46 on July 2, 2008, operate retrospectively and thereby apply to the Applicant’s case.</w:t>
            </w:r>
          </w:p>
          <w:p w:rsidR="00441FC4" w:rsidRPr="00354440" w:rsidRDefault="00441FC4" w:rsidP="00441FC4">
            <w:pPr>
              <w:jc w:val="both"/>
              <w:rPr>
                <w:rFonts w:eastAsia="Calibri"/>
                <w:sz w:val="20"/>
              </w:rPr>
            </w:pPr>
          </w:p>
        </w:tc>
      </w:tr>
      <w:tr w:rsidR="00441FC4" w:rsidRPr="00354440" w:rsidTr="00441FC4">
        <w:tc>
          <w:tcPr>
            <w:tcW w:w="5000" w:type="pct"/>
            <w:gridSpan w:val="3"/>
          </w:tcPr>
          <w:p w:rsidR="00441FC4" w:rsidRPr="00354440" w:rsidRDefault="00441FC4" w:rsidP="00441FC4">
            <w:pPr>
              <w:jc w:val="both"/>
              <w:rPr>
                <w:rFonts w:eastAsia="Calibri"/>
                <w:sz w:val="20"/>
              </w:rPr>
            </w:pPr>
            <w:r w:rsidRPr="00354440">
              <w:rPr>
                <w:rFonts w:eastAsia="Calibri"/>
                <w:sz w:val="20"/>
              </w:rPr>
              <w:t>The Applicant was charged with impaired driving and driving with a blood alcohol level over the legal limit.  The date of the alleged offence was July 6, 2007.  On June 17, 2008, the trial date of July 24, 2008 was confirmed and she confirmed her intention to call expert evidence to provide evidence to the contrary.  On July 2, 2008, Bill C</w:t>
            </w:r>
            <w:r w:rsidRPr="00354440">
              <w:rPr>
                <w:rFonts w:eastAsia="Calibri"/>
                <w:sz w:val="20"/>
              </w:rPr>
              <w:noBreakHyphen/>
              <w:t>2 came into force, thereby altering the nature of the evidence required in order to rebut the presumption of accuracy of the breath tests. The Applicant’s trial was held on July 24, 2008.  The trial judge held that the amendments were prospective in nature. He allowed the Applicant to bring forth the evidence to the contrary and found the Applicant not guilty.  The summary conviction appeal judge disagreed.  She instead found that the amendments were retrospective in nature, allowed the appeal and ordered a new trial.  The Court of Appeal dismissed the appeal.</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August 8, 2008</w:t>
            </w:r>
          </w:p>
          <w:p w:rsidR="00441FC4" w:rsidRPr="00354440" w:rsidRDefault="00441FC4" w:rsidP="00441FC4">
            <w:pPr>
              <w:jc w:val="both"/>
              <w:rPr>
                <w:rFonts w:eastAsia="Calibri"/>
                <w:sz w:val="20"/>
              </w:rPr>
            </w:pPr>
            <w:r w:rsidRPr="00354440">
              <w:rPr>
                <w:rFonts w:eastAsia="Calibri"/>
                <w:sz w:val="20"/>
              </w:rPr>
              <w:t>British Columbia Provincial Court</w:t>
            </w:r>
          </w:p>
          <w:p w:rsidR="00441FC4" w:rsidRPr="00354440" w:rsidRDefault="00441FC4" w:rsidP="00441FC4">
            <w:pPr>
              <w:jc w:val="both"/>
              <w:rPr>
                <w:rFonts w:eastAsia="Calibri"/>
                <w:sz w:val="20"/>
              </w:rPr>
            </w:pPr>
            <w:r w:rsidRPr="00354440">
              <w:rPr>
                <w:rFonts w:eastAsia="Calibri"/>
                <w:sz w:val="20"/>
              </w:rPr>
              <w:t>(Hubbard J.)</w:t>
            </w:r>
          </w:p>
          <w:p w:rsidR="00441FC4" w:rsidRPr="00354440" w:rsidRDefault="00441FC4" w:rsidP="00441FC4">
            <w:pPr>
              <w:jc w:val="both"/>
              <w:rPr>
                <w:rFonts w:eastAsia="Calibri"/>
                <w:sz w:val="20"/>
              </w:rPr>
            </w:pPr>
            <w:r w:rsidRPr="00354440">
              <w:rPr>
                <w:rFonts w:eastAsia="Calibri"/>
                <w:sz w:val="20"/>
              </w:rPr>
              <w:t>Neutral citation: 2008 BCPC 284</w:t>
            </w:r>
          </w:p>
          <w:p w:rsidR="00441FC4" w:rsidRPr="00354440" w:rsidRDefault="00441FC4" w:rsidP="00441FC4">
            <w:pPr>
              <w:jc w:val="both"/>
              <w:rPr>
                <w:rFonts w:eastAsia="Calibri"/>
                <w:sz w:val="20"/>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 xml:space="preserve">Not guilty of operating a motor vehicle with a blood alcohol concentration exceeding 80 mg alcohol in 100 ml blood contrary to s. 258 of the </w:t>
            </w:r>
            <w:r w:rsidRPr="00354440">
              <w:rPr>
                <w:rFonts w:eastAsia="Calibri"/>
                <w:i/>
                <w:sz w:val="20"/>
              </w:rPr>
              <w:t>Criminal Code</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January 12, 2009</w:t>
            </w:r>
          </w:p>
          <w:p w:rsidR="00441FC4" w:rsidRPr="00354440" w:rsidRDefault="00441FC4" w:rsidP="00441FC4">
            <w:pPr>
              <w:jc w:val="both"/>
              <w:rPr>
                <w:rFonts w:eastAsia="Calibri"/>
                <w:sz w:val="20"/>
              </w:rPr>
            </w:pPr>
            <w:r w:rsidRPr="00354440">
              <w:rPr>
                <w:rFonts w:eastAsia="Calibri"/>
                <w:sz w:val="20"/>
              </w:rPr>
              <w:t>Supreme Court of British Columbia</w:t>
            </w:r>
          </w:p>
          <w:p w:rsidR="00441FC4" w:rsidRPr="00354440" w:rsidRDefault="00441FC4" w:rsidP="00441FC4">
            <w:pPr>
              <w:jc w:val="both"/>
              <w:rPr>
                <w:rFonts w:eastAsia="Calibri"/>
                <w:sz w:val="20"/>
              </w:rPr>
            </w:pPr>
            <w:r w:rsidRPr="00354440">
              <w:rPr>
                <w:rFonts w:eastAsia="Calibri"/>
                <w:sz w:val="20"/>
              </w:rPr>
              <w:t>(Stromberg</w:t>
            </w:r>
            <w:r w:rsidRPr="00354440">
              <w:rPr>
                <w:rFonts w:eastAsia="Calibri"/>
                <w:sz w:val="20"/>
              </w:rPr>
              <w:noBreakHyphen/>
              <w:t>Stein J.)</w:t>
            </w:r>
          </w:p>
          <w:p w:rsidR="00441FC4" w:rsidRPr="00354440" w:rsidRDefault="00441FC4" w:rsidP="00441FC4">
            <w:pPr>
              <w:jc w:val="both"/>
              <w:rPr>
                <w:rFonts w:eastAsia="Calibri"/>
                <w:sz w:val="20"/>
              </w:rPr>
            </w:pPr>
            <w:r w:rsidRPr="00354440">
              <w:rPr>
                <w:rFonts w:eastAsia="Calibri"/>
                <w:sz w:val="20"/>
              </w:rPr>
              <w:t>Neutral citation: 2009 BCSC 22</w:t>
            </w:r>
          </w:p>
          <w:p w:rsidR="00441FC4" w:rsidRPr="00354440" w:rsidRDefault="00441FC4" w:rsidP="00441FC4">
            <w:pPr>
              <w:jc w:val="both"/>
              <w:rPr>
                <w:rFonts w:eastAsia="Calibri"/>
                <w:sz w:val="20"/>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Appeal allowed and new trial ordered.</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November 30, 2010</w:t>
            </w:r>
          </w:p>
          <w:p w:rsidR="00441FC4" w:rsidRPr="00354440" w:rsidRDefault="00441FC4" w:rsidP="00441FC4">
            <w:pPr>
              <w:jc w:val="both"/>
              <w:rPr>
                <w:rFonts w:eastAsia="Calibri"/>
                <w:sz w:val="20"/>
              </w:rPr>
            </w:pPr>
            <w:r w:rsidRPr="00354440">
              <w:rPr>
                <w:rFonts w:eastAsia="Calibri"/>
                <w:sz w:val="20"/>
              </w:rPr>
              <w:t>Court of Appeal for British Columbia (Victoria)</w:t>
            </w:r>
          </w:p>
          <w:p w:rsidR="00441FC4" w:rsidRPr="00354440" w:rsidRDefault="00441FC4" w:rsidP="00441FC4">
            <w:pPr>
              <w:jc w:val="both"/>
              <w:rPr>
                <w:rFonts w:eastAsia="Calibri"/>
                <w:sz w:val="20"/>
              </w:rPr>
            </w:pPr>
            <w:r w:rsidRPr="00354440">
              <w:rPr>
                <w:rFonts w:eastAsia="Calibri"/>
                <w:sz w:val="20"/>
              </w:rPr>
              <w:t>(Donald, Low and Neilson JJ.A.)</w:t>
            </w:r>
          </w:p>
          <w:p w:rsidR="00441FC4" w:rsidRPr="00354440" w:rsidRDefault="00441FC4" w:rsidP="00441FC4">
            <w:pPr>
              <w:jc w:val="both"/>
              <w:rPr>
                <w:rFonts w:eastAsia="Calibri"/>
                <w:sz w:val="20"/>
              </w:rPr>
            </w:pPr>
            <w:r w:rsidRPr="00354440">
              <w:rPr>
                <w:rFonts w:eastAsia="Calibri"/>
                <w:sz w:val="20"/>
              </w:rPr>
              <w:t>Neutral citation: 2010 BCCA 536</w:t>
            </w:r>
          </w:p>
          <w:p w:rsidR="00441FC4" w:rsidRPr="00354440" w:rsidRDefault="00441FC4" w:rsidP="00441FC4">
            <w:pPr>
              <w:jc w:val="both"/>
              <w:rPr>
                <w:rFonts w:eastAsia="Calibri"/>
                <w:sz w:val="20"/>
              </w:rPr>
            </w:pP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Appeal dismissed</w:t>
            </w:r>
          </w:p>
          <w:p w:rsidR="00441FC4" w:rsidRPr="00354440" w:rsidRDefault="00441FC4" w:rsidP="00441FC4">
            <w:pPr>
              <w:jc w:val="both"/>
              <w:rPr>
                <w:rFonts w:eastAsia="Calibri"/>
                <w:sz w:val="20"/>
              </w:rPr>
            </w:pPr>
          </w:p>
        </w:tc>
      </w:tr>
      <w:tr w:rsidR="00441FC4" w:rsidRPr="00354440" w:rsidTr="00441FC4">
        <w:tc>
          <w:tcPr>
            <w:tcW w:w="2427" w:type="pct"/>
          </w:tcPr>
          <w:p w:rsidR="00441FC4" w:rsidRPr="00354440" w:rsidRDefault="00441FC4" w:rsidP="00441FC4">
            <w:pPr>
              <w:jc w:val="both"/>
              <w:rPr>
                <w:rFonts w:eastAsia="Calibri"/>
                <w:sz w:val="20"/>
              </w:rPr>
            </w:pPr>
            <w:r w:rsidRPr="00354440">
              <w:rPr>
                <w:rFonts w:eastAsia="Calibri"/>
                <w:sz w:val="20"/>
              </w:rPr>
              <w:t>January 27, 2011</w:t>
            </w:r>
          </w:p>
          <w:p w:rsidR="00441FC4" w:rsidRPr="00354440" w:rsidRDefault="00441FC4" w:rsidP="00441FC4">
            <w:pPr>
              <w:jc w:val="both"/>
              <w:rPr>
                <w:rFonts w:eastAsia="Calibri"/>
                <w:sz w:val="20"/>
              </w:rPr>
            </w:pPr>
            <w:r w:rsidRPr="00354440">
              <w:rPr>
                <w:rFonts w:eastAsia="Calibri"/>
                <w:sz w:val="20"/>
              </w:rPr>
              <w:t>Supreme Court of Canada</w:t>
            </w:r>
          </w:p>
        </w:tc>
        <w:tc>
          <w:tcPr>
            <w:tcW w:w="243" w:type="pct"/>
          </w:tcPr>
          <w:p w:rsidR="00441FC4" w:rsidRPr="00354440" w:rsidRDefault="00441FC4" w:rsidP="00441FC4">
            <w:pPr>
              <w:jc w:val="both"/>
              <w:rPr>
                <w:rFonts w:eastAsia="Calibri"/>
                <w:sz w:val="20"/>
              </w:rPr>
            </w:pPr>
          </w:p>
        </w:tc>
        <w:tc>
          <w:tcPr>
            <w:tcW w:w="2330" w:type="pct"/>
          </w:tcPr>
          <w:p w:rsidR="00441FC4" w:rsidRPr="00354440" w:rsidRDefault="00441FC4" w:rsidP="00441FC4">
            <w:pPr>
              <w:jc w:val="both"/>
              <w:rPr>
                <w:rFonts w:eastAsia="Calibri"/>
                <w:sz w:val="20"/>
              </w:rPr>
            </w:pPr>
            <w:r w:rsidRPr="00354440">
              <w:rPr>
                <w:rFonts w:eastAsia="Calibri"/>
                <w:sz w:val="20"/>
              </w:rPr>
              <w:t>Application for leave to appeal filed</w:t>
            </w:r>
          </w:p>
          <w:p w:rsidR="00441FC4" w:rsidRPr="00354440" w:rsidRDefault="00441FC4" w:rsidP="00441FC4">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48"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441FC4" w:rsidRPr="001D43E1"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Législation — Interprétation — Application rétroactive ou prospective de modifications — Preuve — Conduite d'un véhicule à moteur avec une alcoolémie supérieure à 80 mg d'alcool dans 100 ml de sang — La Cour d'appel a</w:t>
            </w:r>
            <w:r w:rsidRPr="00354440">
              <w:rPr>
                <w:rFonts w:eastAsia="Calibri"/>
                <w:sz w:val="20"/>
                <w:lang w:val="fr-CA"/>
              </w:rPr>
              <w:noBreakHyphen/>
              <w:t>t</w:t>
            </w:r>
            <w:r w:rsidRPr="00354440">
              <w:rPr>
                <w:rFonts w:eastAsia="Calibri"/>
                <w:sz w:val="20"/>
                <w:lang w:val="fr-CA"/>
              </w:rPr>
              <w:noBreakHyphen/>
              <w:t>elle commis une erreur de droit en statuant que les al. 258(1)</w:t>
            </w:r>
            <w:r w:rsidRPr="00354440">
              <w:rPr>
                <w:rFonts w:eastAsia="Calibri"/>
                <w:i/>
                <w:iCs/>
                <w:sz w:val="20"/>
                <w:lang w:val="fr-CA"/>
              </w:rPr>
              <w:t>c</w:t>
            </w:r>
            <w:r w:rsidRPr="00354440">
              <w:rPr>
                <w:rFonts w:eastAsia="Calibri"/>
                <w:sz w:val="20"/>
                <w:lang w:val="fr-CA"/>
              </w:rPr>
              <w:t xml:space="preserve">) et </w:t>
            </w:r>
            <w:r w:rsidRPr="00354440">
              <w:rPr>
                <w:rFonts w:eastAsia="Calibri"/>
                <w:i/>
                <w:iCs/>
                <w:sz w:val="20"/>
                <w:lang w:val="fr-CA"/>
              </w:rPr>
              <w:t>d.1</w:t>
            </w:r>
            <w:r w:rsidRPr="00354440">
              <w:rPr>
                <w:rFonts w:eastAsia="Calibri"/>
                <w:sz w:val="20"/>
                <w:lang w:val="fr-CA"/>
              </w:rPr>
              <w:t>) du</w:t>
            </w:r>
            <w:r w:rsidRPr="00354440">
              <w:rPr>
                <w:rFonts w:eastAsia="Calibri"/>
                <w:i/>
                <w:iCs/>
                <w:sz w:val="20"/>
                <w:lang w:val="fr-CA"/>
              </w:rPr>
              <w:t xml:space="preserve"> Code criminel</w:t>
            </w:r>
            <w:r w:rsidRPr="00354440">
              <w:rPr>
                <w:rFonts w:eastAsia="Calibri"/>
                <w:sz w:val="20"/>
                <w:lang w:val="fr-CA"/>
              </w:rPr>
              <w:t>, modifiés par la</w:t>
            </w:r>
            <w:r w:rsidRPr="00354440">
              <w:rPr>
                <w:rFonts w:eastAsia="Calibri"/>
                <w:i/>
                <w:iCs/>
                <w:sz w:val="20"/>
                <w:lang w:val="fr-CA"/>
              </w:rPr>
              <w:t xml:space="preserve"> Loi sur la lutte aux crimes violents</w:t>
            </w:r>
            <w:r w:rsidRPr="00354440">
              <w:rPr>
                <w:rFonts w:eastAsia="Calibri"/>
                <w:sz w:val="20"/>
                <w:lang w:val="fr-CA"/>
              </w:rPr>
              <w:t>, L.R. ch. C</w:t>
            </w:r>
            <w:r w:rsidRPr="00354440">
              <w:rPr>
                <w:rFonts w:eastAsia="Calibri"/>
                <w:sz w:val="20"/>
                <w:lang w:val="fr-CA"/>
              </w:rPr>
              <w:noBreakHyphen/>
              <w:t>46 le 2 juillet 2008, avaient un effet rétroactif, si bien qu'ils s'appliquent au cas de la demanderesse?</w:t>
            </w:r>
          </w:p>
          <w:p w:rsidR="00441FC4" w:rsidRPr="00354440" w:rsidRDefault="00441FC4" w:rsidP="00441FC4">
            <w:pPr>
              <w:jc w:val="both"/>
              <w:rPr>
                <w:rFonts w:eastAsia="Calibri"/>
                <w:sz w:val="20"/>
                <w:lang w:val="fr-CA"/>
              </w:rPr>
            </w:pPr>
          </w:p>
        </w:tc>
      </w:tr>
      <w:tr w:rsidR="00441FC4" w:rsidRPr="00354440" w:rsidTr="00441FC4">
        <w:tc>
          <w:tcPr>
            <w:tcW w:w="5000" w:type="pct"/>
            <w:gridSpan w:val="3"/>
          </w:tcPr>
          <w:p w:rsidR="00441FC4" w:rsidRPr="00354440" w:rsidRDefault="00441FC4" w:rsidP="00441FC4">
            <w:pPr>
              <w:jc w:val="both"/>
              <w:rPr>
                <w:rFonts w:eastAsia="Calibri"/>
                <w:sz w:val="20"/>
                <w:lang w:val="fr-CA"/>
              </w:rPr>
            </w:pPr>
            <w:r w:rsidRPr="00354440">
              <w:rPr>
                <w:rFonts w:eastAsia="Calibri"/>
                <w:sz w:val="20"/>
                <w:lang w:val="fr-CA"/>
              </w:rPr>
              <w:t>La demanderesse a été accusée de conduite avec facultés affaiblies et avec une alcoolémie supérieure à la limite légale.  L'infraction aurait été commise le 6 juillet 2007.  Le 17 juin 2008, la date du procès du 24 juillet 2008 a été confirmée et la demanderesse a confirmé son intention de présenter une preuve d'expert contraire.  Le 2 juillet 2008, le projet de loi C</w:t>
            </w:r>
            <w:r w:rsidRPr="00354440">
              <w:rPr>
                <w:rFonts w:eastAsia="Calibri"/>
                <w:sz w:val="20"/>
                <w:lang w:val="fr-CA"/>
              </w:rPr>
              <w:noBreakHyphen/>
              <w:t>2 est entré en vigueur, modifiant ainsi la nature de la preuve nécessaire pour réfuter la présomption d'exactitude des alcootests.  La demanderesse a subi son procès le 24 juillet 2008.  Le juge du procès a statué que les modifications étaient de nature prospective.  Il a permis à la demanderesse de présenter une preuve contraire et l’a déclaré non coupable.  La juge saisie de l'appel en matière de poursuite sommaire n'était pas de cet avis.  Elle a conclu plutôt que les modifications étaient de nature rétroactive, elle a accueilli l'appel et elle ordonnée un nouveau procès.  La Cour d'appel a rejeté l'appel.</w:t>
            </w:r>
          </w:p>
          <w:p w:rsidR="00441FC4" w:rsidRPr="00354440" w:rsidRDefault="00441FC4" w:rsidP="00441FC4">
            <w:pPr>
              <w:jc w:val="both"/>
              <w:rPr>
                <w:rFonts w:eastAsia="Calibri"/>
                <w:sz w:val="20"/>
                <w:lang w:val="fr-CA"/>
              </w:rPr>
            </w:pPr>
          </w:p>
        </w:tc>
      </w:tr>
      <w:tr w:rsidR="00441FC4" w:rsidRPr="00354440" w:rsidTr="00441FC4">
        <w:trPr>
          <w:trHeight w:val="908"/>
        </w:trPr>
        <w:tc>
          <w:tcPr>
            <w:tcW w:w="2427" w:type="pct"/>
          </w:tcPr>
          <w:p w:rsidR="00441FC4" w:rsidRPr="00354440" w:rsidRDefault="00441FC4" w:rsidP="00441FC4">
            <w:pPr>
              <w:jc w:val="both"/>
              <w:rPr>
                <w:rFonts w:eastAsia="Calibri"/>
                <w:sz w:val="20"/>
                <w:lang w:val="fr-CA"/>
              </w:rPr>
            </w:pPr>
            <w:r w:rsidRPr="00354440">
              <w:rPr>
                <w:rFonts w:eastAsia="Calibri"/>
                <w:sz w:val="20"/>
                <w:lang w:val="fr-CA"/>
              </w:rPr>
              <w:t>8 août 2008</w:t>
            </w:r>
          </w:p>
          <w:p w:rsidR="00441FC4" w:rsidRPr="00354440" w:rsidRDefault="00441FC4" w:rsidP="00441FC4">
            <w:pPr>
              <w:jc w:val="both"/>
              <w:rPr>
                <w:rFonts w:eastAsia="Calibri"/>
                <w:sz w:val="20"/>
                <w:lang w:val="fr-CA"/>
              </w:rPr>
            </w:pPr>
            <w:r w:rsidRPr="00354440">
              <w:rPr>
                <w:rFonts w:eastAsia="Calibri"/>
                <w:sz w:val="20"/>
                <w:lang w:val="fr-CA"/>
              </w:rPr>
              <w:t>Cour provinciale de la Colombie</w:t>
            </w:r>
            <w:r w:rsidRPr="00354440">
              <w:rPr>
                <w:rFonts w:eastAsia="Calibri"/>
                <w:sz w:val="20"/>
                <w:lang w:val="fr-CA"/>
              </w:rPr>
              <w:noBreakHyphen/>
              <w:t xml:space="preserve">Britannique </w:t>
            </w:r>
          </w:p>
          <w:p w:rsidR="00441FC4" w:rsidRPr="00354440" w:rsidRDefault="00441FC4" w:rsidP="00441FC4">
            <w:pPr>
              <w:jc w:val="both"/>
              <w:rPr>
                <w:rFonts w:eastAsia="Calibri"/>
                <w:sz w:val="20"/>
                <w:lang w:val="fr-CA"/>
              </w:rPr>
            </w:pPr>
            <w:r w:rsidRPr="00354440">
              <w:rPr>
                <w:rFonts w:eastAsia="Calibri"/>
                <w:sz w:val="20"/>
                <w:lang w:val="fr-CA"/>
              </w:rPr>
              <w:t>(Juge Hubbard)</w:t>
            </w:r>
          </w:p>
          <w:p w:rsidR="00441FC4" w:rsidRPr="00354440" w:rsidRDefault="00441FC4" w:rsidP="00441FC4">
            <w:pPr>
              <w:jc w:val="both"/>
              <w:rPr>
                <w:rFonts w:eastAsia="Calibri"/>
                <w:sz w:val="20"/>
                <w:lang w:val="fr-CA"/>
              </w:rPr>
            </w:pPr>
            <w:r w:rsidRPr="00354440">
              <w:rPr>
                <w:rFonts w:eastAsia="Calibri"/>
                <w:sz w:val="20"/>
                <w:lang w:val="fr-CA"/>
              </w:rPr>
              <w:t>Référence neutre : 2008 BCPC 284</w:t>
            </w:r>
          </w:p>
          <w:p w:rsidR="00441FC4" w:rsidRPr="00354440" w:rsidRDefault="00441FC4" w:rsidP="00441FC4">
            <w:pPr>
              <w:jc w:val="both"/>
              <w:rPr>
                <w:rFonts w:eastAsia="Calibri"/>
                <w:sz w:val="20"/>
                <w:lang w:val="fr-CA"/>
              </w:rPr>
            </w:pPr>
          </w:p>
        </w:tc>
        <w:tc>
          <w:tcPr>
            <w:tcW w:w="243" w:type="pct"/>
            <w:vMerge w:val="restart"/>
          </w:tcPr>
          <w:p w:rsidR="00441FC4" w:rsidRPr="00354440" w:rsidRDefault="00441FC4" w:rsidP="00441FC4">
            <w:pPr>
              <w:jc w:val="both"/>
              <w:rPr>
                <w:rFonts w:eastAsia="Calibri"/>
                <w:sz w:val="20"/>
                <w:lang w:val="fr-CA"/>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Demanderesse déclarée non coupable d'avoir conduit un véhicule à moteur avec une alcoolémie supérieure à 80 mg d'alcool dans 100 ml de sang, contrairement à l'art. 258 du</w:t>
            </w:r>
            <w:r w:rsidRPr="00354440">
              <w:rPr>
                <w:rFonts w:eastAsia="Calibri"/>
                <w:i/>
                <w:iCs/>
                <w:sz w:val="20"/>
                <w:lang w:val="fr-CA"/>
              </w:rPr>
              <w:t xml:space="preserve"> Code criminel</w:t>
            </w:r>
          </w:p>
          <w:p w:rsidR="00441FC4" w:rsidRPr="00354440" w:rsidRDefault="00441FC4" w:rsidP="00441FC4">
            <w:pPr>
              <w:jc w:val="both"/>
              <w:rPr>
                <w:rFonts w:eastAsia="Calibri"/>
                <w:sz w:val="20"/>
                <w:lang w:val="fr-CA"/>
              </w:rPr>
            </w:pPr>
          </w:p>
        </w:tc>
      </w:tr>
      <w:tr w:rsidR="00441FC4" w:rsidRPr="001D43E1" w:rsidTr="00441FC4">
        <w:trPr>
          <w:trHeight w:val="908"/>
        </w:trPr>
        <w:tc>
          <w:tcPr>
            <w:tcW w:w="2427" w:type="pct"/>
          </w:tcPr>
          <w:p w:rsidR="00441FC4" w:rsidRPr="00354440" w:rsidRDefault="00441FC4" w:rsidP="00441FC4">
            <w:pPr>
              <w:jc w:val="both"/>
              <w:rPr>
                <w:rFonts w:eastAsia="Calibri"/>
                <w:sz w:val="20"/>
                <w:lang w:val="fr-CA"/>
              </w:rPr>
            </w:pPr>
            <w:r w:rsidRPr="00354440">
              <w:rPr>
                <w:rFonts w:eastAsia="Calibri"/>
                <w:sz w:val="20"/>
                <w:lang w:val="fr-CA"/>
              </w:rPr>
              <w:t>12 janvier 2009</w:t>
            </w:r>
          </w:p>
          <w:p w:rsidR="00441FC4" w:rsidRPr="00354440" w:rsidRDefault="00441FC4" w:rsidP="00441FC4">
            <w:pPr>
              <w:jc w:val="both"/>
              <w:rPr>
                <w:rFonts w:eastAsia="Calibri"/>
                <w:sz w:val="20"/>
                <w:lang w:val="fr-CA"/>
              </w:rPr>
            </w:pPr>
            <w:r w:rsidRPr="00354440">
              <w:rPr>
                <w:rFonts w:eastAsia="Calibri"/>
                <w:sz w:val="20"/>
                <w:lang w:val="fr-CA"/>
              </w:rPr>
              <w:t>Cour suprême de la Colombie</w:t>
            </w:r>
            <w:r w:rsidRPr="00354440">
              <w:rPr>
                <w:rFonts w:eastAsia="Calibri"/>
                <w:sz w:val="20"/>
                <w:lang w:val="fr-CA"/>
              </w:rPr>
              <w:noBreakHyphen/>
              <w:t xml:space="preserve">Britannique </w:t>
            </w:r>
          </w:p>
          <w:p w:rsidR="00441FC4" w:rsidRPr="00354440" w:rsidRDefault="00441FC4" w:rsidP="00441FC4">
            <w:pPr>
              <w:jc w:val="both"/>
              <w:rPr>
                <w:rFonts w:eastAsia="Calibri"/>
                <w:sz w:val="20"/>
                <w:lang w:val="fr-CA"/>
              </w:rPr>
            </w:pPr>
            <w:r w:rsidRPr="00354440">
              <w:rPr>
                <w:rFonts w:eastAsia="Calibri"/>
                <w:sz w:val="20"/>
                <w:lang w:val="fr-CA"/>
              </w:rPr>
              <w:t>(Juge Stromberg</w:t>
            </w:r>
            <w:r w:rsidRPr="00354440">
              <w:rPr>
                <w:rFonts w:eastAsia="Calibri"/>
                <w:sz w:val="20"/>
                <w:lang w:val="fr-CA"/>
              </w:rPr>
              <w:noBreakHyphen/>
              <w:t>Stein)</w:t>
            </w:r>
          </w:p>
          <w:p w:rsidR="00441FC4" w:rsidRPr="00354440" w:rsidRDefault="00441FC4" w:rsidP="00441FC4">
            <w:pPr>
              <w:jc w:val="both"/>
              <w:rPr>
                <w:rFonts w:eastAsia="Calibri"/>
                <w:sz w:val="20"/>
                <w:lang w:val="fr-CA"/>
              </w:rPr>
            </w:pPr>
            <w:r w:rsidRPr="00354440">
              <w:rPr>
                <w:rFonts w:eastAsia="Calibri"/>
                <w:sz w:val="20"/>
                <w:lang w:val="fr-CA"/>
              </w:rPr>
              <w:t>Référence neutre : 2009 BCSC 22</w:t>
            </w:r>
          </w:p>
          <w:p w:rsidR="00441FC4" w:rsidRPr="00354440" w:rsidRDefault="00441FC4" w:rsidP="00441FC4">
            <w:pPr>
              <w:jc w:val="both"/>
              <w:rPr>
                <w:rFonts w:eastAsia="Calibri"/>
                <w:sz w:val="20"/>
                <w:lang w:val="fr-CA"/>
              </w:rPr>
            </w:pPr>
          </w:p>
        </w:tc>
        <w:tc>
          <w:tcPr>
            <w:tcW w:w="243" w:type="pct"/>
            <w:vMerge/>
          </w:tcPr>
          <w:p w:rsidR="00441FC4" w:rsidRPr="00354440" w:rsidRDefault="00441FC4" w:rsidP="00441FC4">
            <w:pPr>
              <w:jc w:val="both"/>
              <w:rPr>
                <w:rFonts w:eastAsia="Calibri"/>
                <w:sz w:val="20"/>
                <w:lang w:val="fr-CA"/>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Appel accueilli et nouveau procès ordonné.</w:t>
            </w:r>
          </w:p>
          <w:p w:rsidR="00441FC4" w:rsidRPr="00354440" w:rsidRDefault="00441FC4" w:rsidP="00441FC4">
            <w:pPr>
              <w:jc w:val="both"/>
              <w:rPr>
                <w:rFonts w:eastAsia="Calibri"/>
                <w:sz w:val="20"/>
                <w:lang w:val="fr-CA"/>
              </w:rPr>
            </w:pPr>
          </w:p>
        </w:tc>
      </w:tr>
      <w:tr w:rsidR="00441FC4" w:rsidRPr="00354440" w:rsidTr="00441FC4">
        <w:tc>
          <w:tcPr>
            <w:tcW w:w="2427" w:type="pct"/>
          </w:tcPr>
          <w:p w:rsidR="00441FC4" w:rsidRPr="00354440" w:rsidRDefault="00441FC4" w:rsidP="00441FC4">
            <w:pPr>
              <w:jc w:val="both"/>
              <w:rPr>
                <w:rFonts w:eastAsia="Calibri"/>
                <w:sz w:val="20"/>
                <w:lang w:val="fr-CA"/>
              </w:rPr>
            </w:pPr>
            <w:r w:rsidRPr="00354440">
              <w:rPr>
                <w:rFonts w:eastAsia="Calibri"/>
                <w:sz w:val="20"/>
                <w:lang w:val="fr-CA"/>
              </w:rPr>
              <w:t>30 novembre 2010</w:t>
            </w:r>
          </w:p>
          <w:p w:rsidR="00441FC4" w:rsidRPr="00354440" w:rsidRDefault="00441FC4" w:rsidP="00441FC4">
            <w:pPr>
              <w:jc w:val="both"/>
              <w:rPr>
                <w:rFonts w:eastAsia="Calibri"/>
                <w:sz w:val="20"/>
                <w:lang w:val="fr-CA"/>
              </w:rPr>
            </w:pPr>
            <w:r w:rsidRPr="00354440">
              <w:rPr>
                <w:rFonts w:eastAsia="Calibri"/>
                <w:sz w:val="20"/>
                <w:lang w:val="fr-CA"/>
              </w:rPr>
              <w:t>Cour d'appel de la Colombie</w:t>
            </w:r>
            <w:r w:rsidRPr="00354440">
              <w:rPr>
                <w:rFonts w:eastAsia="Calibri"/>
                <w:sz w:val="20"/>
                <w:lang w:val="fr-CA"/>
              </w:rPr>
              <w:noBreakHyphen/>
              <w:t>Britannique (Victoria)</w:t>
            </w:r>
          </w:p>
          <w:p w:rsidR="00441FC4" w:rsidRPr="00354440" w:rsidRDefault="00441FC4" w:rsidP="00441FC4">
            <w:pPr>
              <w:jc w:val="both"/>
              <w:rPr>
                <w:rFonts w:eastAsia="Calibri"/>
                <w:sz w:val="20"/>
                <w:lang w:val="fr-CA"/>
              </w:rPr>
            </w:pPr>
            <w:r w:rsidRPr="00354440">
              <w:rPr>
                <w:rFonts w:eastAsia="Calibri"/>
                <w:sz w:val="20"/>
                <w:lang w:val="fr-CA"/>
              </w:rPr>
              <w:t>(Juges Donald, Low et Neilson)</w:t>
            </w:r>
          </w:p>
          <w:p w:rsidR="00441FC4" w:rsidRPr="00354440" w:rsidRDefault="00441FC4" w:rsidP="00441FC4">
            <w:pPr>
              <w:jc w:val="both"/>
              <w:rPr>
                <w:rFonts w:eastAsia="Calibri"/>
                <w:sz w:val="20"/>
                <w:lang w:val="fr-CA"/>
              </w:rPr>
            </w:pPr>
            <w:r w:rsidRPr="00354440">
              <w:rPr>
                <w:rFonts w:eastAsia="Calibri"/>
                <w:sz w:val="20"/>
                <w:lang w:val="fr-CA"/>
              </w:rPr>
              <w:t>Référence neutre : 2010 BCCA 536</w:t>
            </w:r>
          </w:p>
          <w:p w:rsidR="00441FC4" w:rsidRPr="00354440" w:rsidRDefault="00441FC4" w:rsidP="00441FC4">
            <w:pPr>
              <w:jc w:val="both"/>
              <w:rPr>
                <w:rFonts w:eastAsia="Calibri"/>
                <w:sz w:val="20"/>
                <w:lang w:val="fr-CA"/>
              </w:rPr>
            </w:pPr>
          </w:p>
        </w:tc>
        <w:tc>
          <w:tcPr>
            <w:tcW w:w="243" w:type="pct"/>
          </w:tcPr>
          <w:p w:rsidR="00441FC4" w:rsidRPr="00354440" w:rsidRDefault="00441FC4" w:rsidP="00441FC4">
            <w:pPr>
              <w:jc w:val="both"/>
              <w:rPr>
                <w:rFonts w:eastAsia="Calibri"/>
                <w:sz w:val="20"/>
                <w:lang w:val="fr-CA"/>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Appel rejeté</w:t>
            </w:r>
          </w:p>
          <w:p w:rsidR="00441FC4" w:rsidRPr="00354440" w:rsidRDefault="00441FC4" w:rsidP="00441FC4">
            <w:pPr>
              <w:jc w:val="both"/>
              <w:rPr>
                <w:rFonts w:eastAsia="Calibri"/>
                <w:sz w:val="20"/>
                <w:lang w:val="fr-CA"/>
              </w:rPr>
            </w:pPr>
          </w:p>
        </w:tc>
      </w:tr>
      <w:tr w:rsidR="00441FC4" w:rsidRPr="00354440" w:rsidTr="00441FC4">
        <w:tc>
          <w:tcPr>
            <w:tcW w:w="2427" w:type="pct"/>
          </w:tcPr>
          <w:p w:rsidR="00441FC4" w:rsidRPr="00354440" w:rsidRDefault="00441FC4" w:rsidP="00441FC4">
            <w:pPr>
              <w:jc w:val="both"/>
              <w:rPr>
                <w:rFonts w:eastAsia="Calibri"/>
                <w:sz w:val="20"/>
                <w:lang w:val="fr-CA"/>
              </w:rPr>
            </w:pPr>
            <w:r w:rsidRPr="00354440">
              <w:rPr>
                <w:rFonts w:eastAsia="Calibri"/>
                <w:sz w:val="20"/>
                <w:lang w:val="fr-CA"/>
              </w:rPr>
              <w:t>27 janvier 2011</w:t>
            </w:r>
          </w:p>
          <w:p w:rsidR="00441FC4" w:rsidRPr="00354440" w:rsidRDefault="00441FC4" w:rsidP="00441FC4">
            <w:pPr>
              <w:jc w:val="both"/>
              <w:rPr>
                <w:rFonts w:eastAsia="Calibri"/>
                <w:sz w:val="20"/>
                <w:lang w:val="fr-CA"/>
              </w:rPr>
            </w:pPr>
            <w:r w:rsidRPr="00354440">
              <w:rPr>
                <w:rFonts w:eastAsia="Calibri"/>
                <w:sz w:val="20"/>
                <w:lang w:val="fr-CA"/>
              </w:rPr>
              <w:t>Cour suprême du Canada</w:t>
            </w:r>
          </w:p>
        </w:tc>
        <w:tc>
          <w:tcPr>
            <w:tcW w:w="243" w:type="pct"/>
          </w:tcPr>
          <w:p w:rsidR="00441FC4" w:rsidRPr="00354440" w:rsidRDefault="00441FC4" w:rsidP="00441FC4">
            <w:pPr>
              <w:jc w:val="both"/>
              <w:rPr>
                <w:rFonts w:eastAsia="Calibri"/>
                <w:sz w:val="20"/>
                <w:lang w:val="fr-CA"/>
              </w:rPr>
            </w:pPr>
          </w:p>
        </w:tc>
        <w:tc>
          <w:tcPr>
            <w:tcW w:w="2330" w:type="pct"/>
          </w:tcPr>
          <w:p w:rsidR="00441FC4" w:rsidRPr="00354440" w:rsidRDefault="00441FC4" w:rsidP="00441FC4">
            <w:pPr>
              <w:jc w:val="both"/>
              <w:rPr>
                <w:rFonts w:eastAsia="Calibri"/>
                <w:sz w:val="20"/>
                <w:lang w:val="fr-CA"/>
              </w:rPr>
            </w:pPr>
            <w:r w:rsidRPr="00354440">
              <w:rPr>
                <w:rFonts w:eastAsia="Calibri"/>
                <w:sz w:val="20"/>
                <w:lang w:val="fr-CA"/>
              </w:rPr>
              <w:t>Demande d'autorisation d'appel, déposée</w:t>
            </w:r>
          </w:p>
          <w:p w:rsidR="00441FC4" w:rsidRPr="00354440" w:rsidRDefault="00441FC4" w:rsidP="00441FC4">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49"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14A" w:rsidRPr="00B9214A" w:rsidTr="00066741">
        <w:trPr>
          <w:cantSplit/>
        </w:trPr>
        <w:tc>
          <w:tcPr>
            <w:tcW w:w="1458" w:type="dxa"/>
          </w:tcPr>
          <w:p w:rsidR="00B9214A" w:rsidRPr="00B9214A" w:rsidRDefault="00B9214A" w:rsidP="00066741">
            <w:pPr>
              <w:rPr>
                <w:sz w:val="20"/>
                <w:szCs w:val="20"/>
              </w:rPr>
            </w:pPr>
            <w:r w:rsidRPr="00B9214A">
              <w:rPr>
                <w:rStyle w:val="SCCFileNumberChar"/>
                <w:sz w:val="20"/>
                <w:szCs w:val="20"/>
              </w:rPr>
              <w:t>34607</w:t>
            </w:r>
          </w:p>
          <w:p w:rsidR="00B9214A" w:rsidRPr="00B9214A" w:rsidRDefault="00B9214A" w:rsidP="00066741">
            <w:pPr>
              <w:rPr>
                <w:b/>
                <w:sz w:val="20"/>
                <w:szCs w:val="20"/>
                <w:lang w:val="fr-CA"/>
              </w:rPr>
            </w:pPr>
          </w:p>
        </w:tc>
        <w:tc>
          <w:tcPr>
            <w:tcW w:w="8118" w:type="dxa"/>
          </w:tcPr>
          <w:p w:rsidR="00B9214A" w:rsidRPr="00B9214A" w:rsidRDefault="00B9214A" w:rsidP="00066741">
            <w:pPr>
              <w:jc w:val="both"/>
              <w:rPr>
                <w:sz w:val="20"/>
                <w:szCs w:val="20"/>
              </w:rPr>
            </w:pPr>
            <w:r w:rsidRPr="00B9214A">
              <w:rPr>
                <w:rStyle w:val="SCCLsocChar"/>
                <w:sz w:val="20"/>
                <w:szCs w:val="20"/>
                <w:lang w:val="en-CA"/>
              </w:rPr>
              <w:t>Diane Knopf, Warden of Mission Institution</w:t>
            </w:r>
            <w:r w:rsidR="00951458">
              <w:rPr>
                <w:rStyle w:val="SCCLsocChar"/>
                <w:sz w:val="20"/>
                <w:szCs w:val="20"/>
                <w:lang w:val="en-CA"/>
              </w:rPr>
              <w:t xml:space="preserve"> and</w:t>
            </w:r>
            <w:r w:rsidRPr="00B9214A">
              <w:rPr>
                <w:rStyle w:val="SCCLsocChar"/>
                <w:sz w:val="20"/>
                <w:szCs w:val="20"/>
                <w:lang w:val="en-CA"/>
              </w:rPr>
              <w:t xml:space="preserve"> Howard Massey, Warden of Kent Institution v. Jonathan Zuria</w:t>
            </w:r>
            <w:r w:rsidRPr="00B9214A">
              <w:rPr>
                <w:sz w:val="20"/>
                <w:szCs w:val="20"/>
              </w:rPr>
              <w:t xml:space="preserve"> (B.C.) (Criminal) (By Leave)</w:t>
            </w:r>
          </w:p>
          <w:p w:rsidR="00B9214A" w:rsidRPr="00B9214A" w:rsidRDefault="00B9214A" w:rsidP="00066741">
            <w:pPr>
              <w:rPr>
                <w:sz w:val="20"/>
                <w:szCs w:val="20"/>
              </w:rPr>
            </w:pPr>
          </w:p>
        </w:tc>
      </w:tr>
      <w:tr w:rsidR="00B9214A" w:rsidRPr="00B9214A" w:rsidTr="00066741">
        <w:trPr>
          <w:cantSplit/>
        </w:trPr>
        <w:tc>
          <w:tcPr>
            <w:tcW w:w="1458" w:type="dxa"/>
          </w:tcPr>
          <w:p w:rsidR="00B9214A" w:rsidRPr="00B9214A" w:rsidRDefault="00B9214A" w:rsidP="00066741">
            <w:pPr>
              <w:rPr>
                <w:sz w:val="20"/>
                <w:szCs w:val="20"/>
              </w:rPr>
            </w:pPr>
            <w:r w:rsidRPr="00B9214A">
              <w:rPr>
                <w:sz w:val="20"/>
                <w:szCs w:val="20"/>
              </w:rPr>
              <w:t>Coram :</w:t>
            </w:r>
          </w:p>
        </w:tc>
        <w:tc>
          <w:tcPr>
            <w:tcW w:w="8118" w:type="dxa"/>
          </w:tcPr>
          <w:p w:rsidR="00B9214A" w:rsidRPr="00B9214A" w:rsidRDefault="00B9214A" w:rsidP="00066741">
            <w:pPr>
              <w:rPr>
                <w:sz w:val="20"/>
                <w:szCs w:val="20"/>
              </w:rPr>
            </w:pPr>
            <w:r w:rsidRPr="00B9214A">
              <w:rPr>
                <w:rStyle w:val="SCCCoramChar"/>
                <w:sz w:val="20"/>
                <w:szCs w:val="20"/>
                <w:lang w:val="en-CA"/>
              </w:rPr>
              <w:t>McLachlin C.J. and Rothstein and Moldaver JJ.</w:t>
            </w:r>
          </w:p>
          <w:p w:rsidR="00B9214A" w:rsidRPr="00B9214A" w:rsidRDefault="00B9214A" w:rsidP="00066741">
            <w:pPr>
              <w:rPr>
                <w:sz w:val="20"/>
                <w:szCs w:val="20"/>
                <w:u w:val="single"/>
              </w:rPr>
            </w:pPr>
          </w:p>
        </w:tc>
      </w:tr>
      <w:tr w:rsidR="00B9214A" w:rsidRPr="001D43E1" w:rsidTr="00066741">
        <w:trPr>
          <w:cantSplit/>
        </w:trPr>
        <w:tc>
          <w:tcPr>
            <w:tcW w:w="9576" w:type="dxa"/>
            <w:gridSpan w:val="2"/>
          </w:tcPr>
          <w:p w:rsidR="00B9214A" w:rsidRPr="00B9214A" w:rsidRDefault="00B9214A" w:rsidP="00066741">
            <w:pPr>
              <w:pStyle w:val="SCCShortJudgment"/>
              <w:rPr>
                <w:szCs w:val="20"/>
              </w:rPr>
            </w:pPr>
            <w:r w:rsidRPr="00B9214A">
              <w:rPr>
                <w:szCs w:val="20"/>
              </w:rPr>
              <w:t>The application for leave to appeal from the judgment of the Court of Appeal for British Columbia (Vancouver), Number CA038352, 2011 BCCA 452, dated November 9, 2011, is granted with costs in the cause.</w:t>
            </w:r>
          </w:p>
          <w:p w:rsidR="00B9214A" w:rsidRPr="00B9214A" w:rsidRDefault="00B9214A" w:rsidP="00066741">
            <w:pPr>
              <w:pStyle w:val="SCCShortJudgment"/>
              <w:ind w:firstLine="0"/>
              <w:rPr>
                <w:szCs w:val="20"/>
              </w:rPr>
            </w:pPr>
          </w:p>
          <w:p w:rsidR="00B9214A" w:rsidRPr="00B9214A" w:rsidRDefault="00B9214A" w:rsidP="00066741">
            <w:pPr>
              <w:pStyle w:val="SCCShortJudgment"/>
              <w:rPr>
                <w:szCs w:val="20"/>
                <w:lang w:val="fr-CA"/>
              </w:rPr>
            </w:pPr>
            <w:r w:rsidRPr="00B9214A">
              <w:rPr>
                <w:szCs w:val="20"/>
                <w:lang w:val="fr-CA"/>
              </w:rPr>
              <w:t>La demande d’autorisation d’appel de l’arrêt de la Cour d’appel de la Colombie-Britannique (Vancouver), numéro CA038352, 2011 BCCA 452, daté du 9 novembre 2011, est accueillie avec dépens suivant l’issue de la cause.</w:t>
            </w:r>
          </w:p>
        </w:tc>
      </w:tr>
    </w:tbl>
    <w:p w:rsidR="00441FC4" w:rsidRPr="00B9214A"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47F84" w:rsidRPr="00354440" w:rsidTr="005F26F2">
        <w:tc>
          <w:tcPr>
            <w:tcW w:w="5000" w:type="pct"/>
            <w:gridSpan w:val="3"/>
          </w:tcPr>
          <w:p w:rsidR="00F47F84" w:rsidRPr="00354440" w:rsidRDefault="00F47F84" w:rsidP="005F26F2">
            <w:pPr>
              <w:jc w:val="both"/>
              <w:rPr>
                <w:rFonts w:eastAsia="Calibri"/>
                <w:sz w:val="20"/>
              </w:rPr>
            </w:pPr>
            <w:r w:rsidRPr="00354440">
              <w:rPr>
                <w:rFonts w:eastAsia="Calibri"/>
                <w:i/>
                <w:sz w:val="20"/>
              </w:rPr>
              <w:t>Charter of Rights and Freedoms</w:t>
            </w:r>
            <w:r w:rsidRPr="00354440">
              <w:rPr>
                <w:rFonts w:eastAsia="Calibri"/>
                <w:sz w:val="20"/>
              </w:rPr>
              <w:t xml:space="preserve"> </w:t>
            </w:r>
            <w:r w:rsidRPr="00354440">
              <w:rPr>
                <w:rFonts w:eastAsia="Calibri"/>
                <w:sz w:val="20"/>
              </w:rPr>
              <w:noBreakHyphen/>
              <w:t xml:space="preserve"> Arbitrary detention </w:t>
            </w:r>
            <w:r w:rsidRPr="00354440">
              <w:rPr>
                <w:rFonts w:eastAsia="Calibri"/>
                <w:sz w:val="20"/>
              </w:rPr>
              <w:noBreakHyphen/>
              <w:t xml:space="preserve"> Principles of fundamental justice </w:t>
            </w:r>
            <w:r w:rsidRPr="00354440">
              <w:rPr>
                <w:rFonts w:eastAsia="Calibri"/>
                <w:sz w:val="20"/>
              </w:rPr>
              <w:noBreakHyphen/>
              <w:t xml:space="preserve"> Prerogative writs </w:t>
            </w:r>
            <w:r w:rsidRPr="00354440">
              <w:rPr>
                <w:rFonts w:eastAsia="Calibri"/>
                <w:sz w:val="20"/>
              </w:rPr>
              <w:noBreakHyphen/>
              <w:t xml:space="preserve"> </w:t>
            </w:r>
            <w:r w:rsidRPr="00354440">
              <w:rPr>
                <w:rFonts w:eastAsia="Calibri"/>
                <w:i/>
                <w:sz w:val="20"/>
              </w:rPr>
              <w:t>Habeas corpus</w:t>
            </w:r>
            <w:r w:rsidRPr="00354440">
              <w:rPr>
                <w:rFonts w:eastAsia="Calibri"/>
                <w:sz w:val="20"/>
              </w:rPr>
              <w:t xml:space="preserve"> </w:t>
            </w:r>
            <w:r w:rsidRPr="00354440">
              <w:rPr>
                <w:rFonts w:eastAsia="Calibri"/>
                <w:sz w:val="20"/>
              </w:rPr>
              <w:noBreakHyphen/>
              <w:t xml:space="preserve"> Prisons </w:t>
            </w:r>
            <w:r w:rsidRPr="00354440">
              <w:rPr>
                <w:rFonts w:eastAsia="Calibri"/>
                <w:sz w:val="20"/>
              </w:rPr>
              <w:noBreakHyphen/>
              <w:t xml:space="preserve"> Disclosure required during reclassification and transfer of inmates </w:t>
            </w:r>
            <w:r w:rsidRPr="00354440">
              <w:rPr>
                <w:rFonts w:eastAsia="Calibri"/>
                <w:sz w:val="20"/>
              </w:rPr>
              <w:noBreakHyphen/>
              <w:t xml:space="preserve"> Whether an application for release by way of </w:t>
            </w:r>
            <w:r w:rsidRPr="00354440">
              <w:rPr>
                <w:rFonts w:eastAsia="Calibri"/>
                <w:i/>
                <w:sz w:val="20"/>
              </w:rPr>
              <w:t>habeas corpus</w:t>
            </w:r>
            <w:r w:rsidRPr="00354440">
              <w:rPr>
                <w:rFonts w:eastAsia="Calibri"/>
                <w:sz w:val="20"/>
              </w:rPr>
              <w:t xml:space="preserve"> is substantively the same in scope as a judicial review of the decision resulting in the deprivation of liberty </w:t>
            </w:r>
            <w:r w:rsidRPr="00354440">
              <w:rPr>
                <w:rFonts w:eastAsia="Calibri"/>
                <w:sz w:val="20"/>
              </w:rPr>
              <w:noBreakHyphen/>
              <w:t xml:space="preserve"> Whether the same grounds as in judicial review and the same standard of review analysis apply in the context of an application for </w:t>
            </w:r>
            <w:r w:rsidRPr="00354440">
              <w:rPr>
                <w:rFonts w:eastAsia="Calibri"/>
                <w:i/>
                <w:sz w:val="20"/>
              </w:rPr>
              <w:t>habeas corpus</w:t>
            </w:r>
            <w:r w:rsidRPr="00354440">
              <w:rPr>
                <w:rFonts w:eastAsia="Calibri"/>
                <w:sz w:val="20"/>
              </w:rPr>
              <w:t xml:space="preserve"> </w:t>
            </w:r>
            <w:r w:rsidRPr="00354440">
              <w:rPr>
                <w:rFonts w:eastAsia="Calibri"/>
                <w:sz w:val="20"/>
              </w:rPr>
              <w:noBreakHyphen/>
              <w:t xml:space="preserve"> Where an inmate is the subject of a transfer, whether procedural fairness requires disclosure of sufficient information to meaningfully respond or all of the information considered by the warden or, if information is withheld, that the warden justify the withholding.</w:t>
            </w:r>
          </w:p>
        </w:tc>
      </w:tr>
      <w:tr w:rsidR="00F47F84" w:rsidRPr="00354440" w:rsidTr="005F26F2">
        <w:tc>
          <w:tcPr>
            <w:tcW w:w="5000" w:type="pct"/>
            <w:gridSpan w:val="3"/>
          </w:tcPr>
          <w:p w:rsidR="00F47F84" w:rsidRPr="00354440" w:rsidRDefault="00F47F84" w:rsidP="005F26F2">
            <w:pPr>
              <w:jc w:val="both"/>
              <w:rPr>
                <w:rFonts w:eastAsia="Calibri"/>
                <w:sz w:val="20"/>
              </w:rPr>
            </w:pPr>
          </w:p>
        </w:tc>
      </w:tr>
      <w:tr w:rsidR="00F47F84" w:rsidRPr="00354440" w:rsidTr="005F26F2">
        <w:tc>
          <w:tcPr>
            <w:tcW w:w="5000" w:type="pct"/>
            <w:gridSpan w:val="3"/>
          </w:tcPr>
          <w:p w:rsidR="00F47F84" w:rsidRPr="00354440" w:rsidRDefault="00F47F84" w:rsidP="005F26F2">
            <w:pPr>
              <w:jc w:val="both"/>
              <w:rPr>
                <w:rFonts w:eastAsia="Calibri"/>
                <w:sz w:val="20"/>
              </w:rPr>
            </w:pPr>
            <w:r w:rsidRPr="00354440">
              <w:rPr>
                <w:rFonts w:eastAsia="Calibri"/>
                <w:sz w:val="20"/>
              </w:rPr>
              <w:t xml:space="preserve">The respondent was an inmate, classified as a medium security risk, and serving his sentence at Mission Institute, a medium security facility.  On September 23, 2009, another inmate at Mission Institute was stabbed.  Mission’s security intelligence department investigated.  Unidentified sources and two anonymous tips alleged that the respondent and one other inmate were hired by a third inmate to carry out the stabbing and payment for the stabbing was 3 grams of heroin.  The findings were reported to the Warden of Mission Institute in a Security Intelligence Report.  The warden ordered the respondent’s involuntary, emergency transfer to Kent Institute, a maximum security facility.  The respondent received a Notice of Emergency Involuntary Transfer Recommendation and an Assessment for Decision and was given an opportunity to make representations.  He made submissions and in part objected to the adequacy of disclosure of the information relied upon by the warden.  The warden then provided notice of a final decision reclassifying him as a maximum security risk and confirming his transfer to Kent.  </w:t>
            </w:r>
          </w:p>
          <w:p w:rsidR="00F47F84" w:rsidRPr="00354440" w:rsidRDefault="00F47F84" w:rsidP="005F26F2">
            <w:pPr>
              <w:jc w:val="both"/>
              <w:rPr>
                <w:rFonts w:eastAsia="Calibri"/>
                <w:sz w:val="20"/>
              </w:rPr>
            </w:pPr>
          </w:p>
        </w:tc>
      </w:tr>
      <w:tr w:rsidR="00F47F84" w:rsidRPr="00354440" w:rsidTr="005F26F2">
        <w:tc>
          <w:tcPr>
            <w:tcW w:w="2427" w:type="pct"/>
          </w:tcPr>
          <w:p w:rsidR="00F47F84" w:rsidRPr="00354440" w:rsidRDefault="00F47F84" w:rsidP="005F26F2">
            <w:pPr>
              <w:jc w:val="both"/>
              <w:rPr>
                <w:rFonts w:eastAsia="Calibri"/>
                <w:sz w:val="20"/>
              </w:rPr>
            </w:pPr>
            <w:r w:rsidRPr="00354440">
              <w:rPr>
                <w:rFonts w:eastAsia="Calibri"/>
                <w:sz w:val="20"/>
              </w:rPr>
              <w:t>July 12, 2010</w:t>
            </w:r>
          </w:p>
          <w:p w:rsidR="00F47F84" w:rsidRPr="00354440" w:rsidRDefault="00F47F84" w:rsidP="005F26F2">
            <w:pPr>
              <w:jc w:val="both"/>
              <w:rPr>
                <w:rFonts w:eastAsia="Calibri"/>
                <w:sz w:val="20"/>
              </w:rPr>
            </w:pPr>
            <w:r w:rsidRPr="00354440">
              <w:rPr>
                <w:rFonts w:eastAsia="Calibri"/>
                <w:sz w:val="20"/>
              </w:rPr>
              <w:t>Supreme Court of British Columbia</w:t>
            </w:r>
          </w:p>
          <w:p w:rsidR="00F47F84" w:rsidRPr="00354440" w:rsidRDefault="00F47F84" w:rsidP="005F26F2">
            <w:pPr>
              <w:jc w:val="both"/>
              <w:rPr>
                <w:rFonts w:eastAsia="Calibri"/>
                <w:sz w:val="20"/>
              </w:rPr>
            </w:pPr>
            <w:r w:rsidRPr="00354440">
              <w:rPr>
                <w:rFonts w:eastAsia="Calibri"/>
                <w:sz w:val="20"/>
              </w:rPr>
              <w:t>(Smart J.)</w:t>
            </w:r>
          </w:p>
          <w:p w:rsidR="00F47F84" w:rsidRPr="00354440" w:rsidRDefault="00F47F84" w:rsidP="005F26F2">
            <w:pPr>
              <w:jc w:val="both"/>
              <w:rPr>
                <w:rFonts w:eastAsia="Calibri"/>
                <w:sz w:val="20"/>
              </w:rPr>
            </w:pPr>
            <w:r w:rsidRPr="00354440">
              <w:rPr>
                <w:rFonts w:eastAsia="Calibri"/>
                <w:sz w:val="20"/>
              </w:rPr>
              <w:t>2010 BCSC 970</w:t>
            </w:r>
          </w:p>
          <w:p w:rsidR="00F47F84" w:rsidRPr="00354440" w:rsidRDefault="00F47F84" w:rsidP="005F26F2">
            <w:pPr>
              <w:jc w:val="both"/>
              <w:rPr>
                <w:rFonts w:eastAsia="Calibri"/>
                <w:sz w:val="20"/>
              </w:rPr>
            </w:pPr>
          </w:p>
        </w:tc>
        <w:tc>
          <w:tcPr>
            <w:tcW w:w="243" w:type="pct"/>
          </w:tcPr>
          <w:p w:rsidR="00F47F84" w:rsidRPr="00354440" w:rsidRDefault="00F47F84" w:rsidP="005F26F2">
            <w:pPr>
              <w:jc w:val="both"/>
              <w:rPr>
                <w:rFonts w:eastAsia="Calibri"/>
                <w:sz w:val="20"/>
              </w:rPr>
            </w:pPr>
          </w:p>
        </w:tc>
        <w:tc>
          <w:tcPr>
            <w:tcW w:w="2330" w:type="pct"/>
          </w:tcPr>
          <w:p w:rsidR="00F47F84" w:rsidRPr="00354440" w:rsidRDefault="00F47F84" w:rsidP="005F26F2">
            <w:pPr>
              <w:jc w:val="both"/>
              <w:rPr>
                <w:rFonts w:eastAsia="Calibri"/>
                <w:sz w:val="20"/>
              </w:rPr>
            </w:pPr>
            <w:r w:rsidRPr="00354440">
              <w:rPr>
                <w:rFonts w:eastAsia="Calibri"/>
                <w:sz w:val="20"/>
              </w:rPr>
              <w:t xml:space="preserve">Application for </w:t>
            </w:r>
            <w:r w:rsidRPr="00354440">
              <w:rPr>
                <w:rFonts w:eastAsia="Calibri"/>
                <w:i/>
                <w:sz w:val="20"/>
              </w:rPr>
              <w:t>habeas corpus</w:t>
            </w:r>
            <w:r w:rsidRPr="00354440">
              <w:rPr>
                <w:rFonts w:eastAsia="Calibri"/>
                <w:sz w:val="20"/>
              </w:rPr>
              <w:t xml:space="preserve"> dismissed</w:t>
            </w:r>
          </w:p>
          <w:p w:rsidR="00F47F84" w:rsidRPr="00354440" w:rsidRDefault="00F47F84" w:rsidP="005F26F2">
            <w:pPr>
              <w:jc w:val="both"/>
              <w:rPr>
                <w:rFonts w:eastAsia="Calibri"/>
                <w:sz w:val="20"/>
              </w:rPr>
            </w:pPr>
          </w:p>
        </w:tc>
      </w:tr>
      <w:tr w:rsidR="00F47F84" w:rsidRPr="00354440" w:rsidTr="005F26F2">
        <w:tc>
          <w:tcPr>
            <w:tcW w:w="2427" w:type="pct"/>
          </w:tcPr>
          <w:p w:rsidR="00F47F84" w:rsidRPr="00354440" w:rsidRDefault="00F47F84" w:rsidP="005F26F2">
            <w:pPr>
              <w:jc w:val="both"/>
              <w:rPr>
                <w:rFonts w:eastAsia="Calibri"/>
                <w:sz w:val="20"/>
              </w:rPr>
            </w:pPr>
            <w:r w:rsidRPr="00354440">
              <w:rPr>
                <w:rFonts w:eastAsia="Calibri"/>
                <w:sz w:val="20"/>
              </w:rPr>
              <w:t>November 9, 2011</w:t>
            </w:r>
          </w:p>
          <w:p w:rsidR="00F47F84" w:rsidRPr="00354440" w:rsidRDefault="00F47F84" w:rsidP="005F26F2">
            <w:pPr>
              <w:jc w:val="both"/>
              <w:rPr>
                <w:rFonts w:eastAsia="Calibri"/>
                <w:sz w:val="20"/>
              </w:rPr>
            </w:pPr>
            <w:r w:rsidRPr="00354440">
              <w:rPr>
                <w:rFonts w:eastAsia="Calibri"/>
                <w:sz w:val="20"/>
              </w:rPr>
              <w:t>Court of Appeal for British Columbia (Vancouver)</w:t>
            </w:r>
          </w:p>
          <w:p w:rsidR="00F47F84" w:rsidRPr="00354440" w:rsidRDefault="00F47F84" w:rsidP="005F26F2">
            <w:pPr>
              <w:jc w:val="both"/>
              <w:rPr>
                <w:rFonts w:eastAsia="Calibri"/>
                <w:sz w:val="20"/>
              </w:rPr>
            </w:pPr>
            <w:r w:rsidRPr="00354440">
              <w:rPr>
                <w:rFonts w:eastAsia="Calibri"/>
                <w:sz w:val="20"/>
              </w:rPr>
              <w:t>(Smith, Chiasson, Groberman JJ.A.)</w:t>
            </w:r>
          </w:p>
          <w:p w:rsidR="00F47F84" w:rsidRPr="00354440" w:rsidRDefault="00F47F84" w:rsidP="005F26F2">
            <w:pPr>
              <w:jc w:val="both"/>
              <w:rPr>
                <w:rFonts w:eastAsia="Calibri"/>
                <w:sz w:val="20"/>
              </w:rPr>
            </w:pPr>
            <w:r w:rsidRPr="00354440">
              <w:rPr>
                <w:rFonts w:eastAsia="Calibri"/>
                <w:sz w:val="20"/>
              </w:rPr>
              <w:t>2011 BCCA 452, CA038352</w:t>
            </w:r>
          </w:p>
          <w:p w:rsidR="00F47F84" w:rsidRPr="00354440" w:rsidRDefault="00F47F84" w:rsidP="005F26F2">
            <w:pPr>
              <w:jc w:val="both"/>
              <w:rPr>
                <w:rFonts w:eastAsia="Calibri"/>
                <w:sz w:val="20"/>
              </w:rPr>
            </w:pPr>
          </w:p>
        </w:tc>
        <w:tc>
          <w:tcPr>
            <w:tcW w:w="243" w:type="pct"/>
          </w:tcPr>
          <w:p w:rsidR="00F47F84" w:rsidRPr="00354440" w:rsidRDefault="00F47F84" w:rsidP="005F26F2">
            <w:pPr>
              <w:jc w:val="both"/>
              <w:rPr>
                <w:rFonts w:eastAsia="Calibri"/>
                <w:sz w:val="20"/>
              </w:rPr>
            </w:pPr>
          </w:p>
        </w:tc>
        <w:tc>
          <w:tcPr>
            <w:tcW w:w="2330" w:type="pct"/>
          </w:tcPr>
          <w:p w:rsidR="00F47F84" w:rsidRPr="00354440" w:rsidRDefault="00F47F84" w:rsidP="005F26F2">
            <w:pPr>
              <w:jc w:val="both"/>
              <w:rPr>
                <w:rFonts w:eastAsia="Calibri"/>
                <w:sz w:val="20"/>
              </w:rPr>
            </w:pPr>
            <w:r w:rsidRPr="00354440">
              <w:rPr>
                <w:rFonts w:eastAsia="Calibri"/>
                <w:sz w:val="20"/>
              </w:rPr>
              <w:t xml:space="preserve">Appeal allowed, order dismissing application for </w:t>
            </w:r>
            <w:r w:rsidRPr="00354440">
              <w:rPr>
                <w:rFonts w:eastAsia="Calibri"/>
                <w:i/>
                <w:sz w:val="20"/>
              </w:rPr>
              <w:t>habeas corpus</w:t>
            </w:r>
            <w:r w:rsidRPr="00354440">
              <w:rPr>
                <w:rFonts w:eastAsia="Calibri"/>
                <w:sz w:val="20"/>
              </w:rPr>
              <w:t xml:space="preserve"> set aside, order respondent should be released from custody at Kent Institute and returned to custody in a medium security institution to be dealt with therein as the prison authorities consider to be appropriate </w:t>
            </w:r>
          </w:p>
          <w:p w:rsidR="00F47F84" w:rsidRPr="00354440" w:rsidRDefault="00F47F84" w:rsidP="005F26F2">
            <w:pPr>
              <w:jc w:val="both"/>
              <w:rPr>
                <w:rFonts w:eastAsia="Calibri"/>
                <w:sz w:val="20"/>
              </w:rPr>
            </w:pPr>
          </w:p>
        </w:tc>
      </w:tr>
      <w:tr w:rsidR="00F47F84" w:rsidRPr="00354440" w:rsidTr="005F26F2">
        <w:tc>
          <w:tcPr>
            <w:tcW w:w="2427" w:type="pct"/>
          </w:tcPr>
          <w:p w:rsidR="00F47F84" w:rsidRPr="00354440" w:rsidRDefault="00F47F84" w:rsidP="005F26F2">
            <w:pPr>
              <w:jc w:val="both"/>
              <w:rPr>
                <w:rFonts w:eastAsia="Calibri"/>
                <w:sz w:val="20"/>
              </w:rPr>
            </w:pPr>
            <w:r w:rsidRPr="00354440">
              <w:rPr>
                <w:rFonts w:eastAsia="Calibri"/>
                <w:sz w:val="20"/>
              </w:rPr>
              <w:t>January 9, 2012</w:t>
            </w:r>
          </w:p>
          <w:p w:rsidR="00F47F84" w:rsidRPr="00354440" w:rsidRDefault="00F47F84" w:rsidP="005F26F2">
            <w:pPr>
              <w:jc w:val="both"/>
              <w:rPr>
                <w:rFonts w:eastAsia="Calibri"/>
                <w:sz w:val="20"/>
              </w:rPr>
            </w:pPr>
            <w:r w:rsidRPr="00354440">
              <w:rPr>
                <w:rFonts w:eastAsia="Calibri"/>
                <w:sz w:val="20"/>
              </w:rPr>
              <w:t>Supreme Court of Canada</w:t>
            </w:r>
          </w:p>
        </w:tc>
        <w:tc>
          <w:tcPr>
            <w:tcW w:w="243" w:type="pct"/>
          </w:tcPr>
          <w:p w:rsidR="00F47F84" w:rsidRPr="00354440" w:rsidRDefault="00F47F84" w:rsidP="005F26F2">
            <w:pPr>
              <w:jc w:val="both"/>
              <w:rPr>
                <w:rFonts w:eastAsia="Calibri"/>
                <w:sz w:val="20"/>
              </w:rPr>
            </w:pPr>
          </w:p>
        </w:tc>
        <w:tc>
          <w:tcPr>
            <w:tcW w:w="2330" w:type="pct"/>
          </w:tcPr>
          <w:p w:rsidR="00F47F84" w:rsidRPr="00354440" w:rsidRDefault="00F47F84" w:rsidP="005F26F2">
            <w:pPr>
              <w:jc w:val="both"/>
              <w:rPr>
                <w:rFonts w:eastAsia="Calibri"/>
                <w:sz w:val="20"/>
              </w:rPr>
            </w:pPr>
            <w:r w:rsidRPr="00354440">
              <w:rPr>
                <w:rFonts w:eastAsia="Calibri"/>
                <w:sz w:val="20"/>
              </w:rPr>
              <w:t>Application for leave to appeal filed</w:t>
            </w:r>
          </w:p>
          <w:p w:rsidR="00F47F84" w:rsidRPr="00354440" w:rsidRDefault="00F47F84" w:rsidP="005F26F2">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50"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47F84" w:rsidRPr="001D43E1" w:rsidTr="005F26F2">
        <w:tc>
          <w:tcPr>
            <w:tcW w:w="5000" w:type="pct"/>
            <w:gridSpan w:val="3"/>
          </w:tcPr>
          <w:p w:rsidR="00F47F84" w:rsidRPr="00354440" w:rsidRDefault="00F47F84" w:rsidP="005F26F2">
            <w:pPr>
              <w:jc w:val="both"/>
              <w:rPr>
                <w:rFonts w:eastAsia="Calibri"/>
                <w:sz w:val="20"/>
                <w:lang w:val="fr-FR"/>
              </w:rPr>
            </w:pPr>
            <w:r w:rsidRPr="00354440">
              <w:rPr>
                <w:rFonts w:eastAsia="Calibri"/>
                <w:i/>
                <w:sz w:val="20"/>
                <w:lang w:val="fr-FR"/>
              </w:rPr>
              <w:t xml:space="preserve">Charte des droits et libertés </w:t>
            </w:r>
            <w:r w:rsidRPr="00354440">
              <w:rPr>
                <w:rFonts w:eastAsia="Calibri"/>
                <w:sz w:val="20"/>
                <w:lang w:val="fr-CA"/>
              </w:rPr>
              <w:noBreakHyphen/>
              <w:t xml:space="preserve"> Détention arbitraire </w:t>
            </w:r>
            <w:r w:rsidRPr="00354440">
              <w:rPr>
                <w:rFonts w:eastAsia="Calibri"/>
                <w:sz w:val="20"/>
                <w:lang w:val="fr-CA"/>
              </w:rPr>
              <w:noBreakHyphen/>
              <w:t xml:space="preserve"> Principes de justice fondamentale </w:t>
            </w:r>
            <w:r w:rsidRPr="00354440">
              <w:rPr>
                <w:rFonts w:eastAsia="Calibri"/>
                <w:sz w:val="20"/>
                <w:lang w:val="fr-CA"/>
              </w:rPr>
              <w:noBreakHyphen/>
              <w:t xml:space="preserve"> Brefs de prérogative </w:t>
            </w:r>
            <w:r w:rsidRPr="00354440">
              <w:rPr>
                <w:rFonts w:eastAsia="Calibri"/>
                <w:sz w:val="20"/>
                <w:lang w:val="fr-CA"/>
              </w:rPr>
              <w:noBreakHyphen/>
              <w:t xml:space="preserve"> </w:t>
            </w:r>
            <w:r w:rsidRPr="00354440">
              <w:rPr>
                <w:rFonts w:eastAsia="Calibri"/>
                <w:i/>
                <w:sz w:val="20"/>
                <w:lang w:val="fr-CA"/>
              </w:rPr>
              <w:t>Habeas corpus</w:t>
            </w:r>
            <w:r w:rsidRPr="00354440">
              <w:rPr>
                <w:rFonts w:eastAsia="Calibri"/>
                <w:sz w:val="20"/>
                <w:lang w:val="fr-CA"/>
              </w:rPr>
              <w:t xml:space="preserve"> </w:t>
            </w:r>
            <w:r w:rsidRPr="00354440">
              <w:rPr>
                <w:rFonts w:eastAsia="Calibri"/>
                <w:sz w:val="20"/>
                <w:lang w:val="fr-CA"/>
              </w:rPr>
              <w:noBreakHyphen/>
              <w:t xml:space="preserve"> Prisons </w:t>
            </w:r>
            <w:r w:rsidRPr="00354440">
              <w:rPr>
                <w:rFonts w:eastAsia="Calibri"/>
                <w:sz w:val="20"/>
                <w:lang w:val="fr-CA"/>
              </w:rPr>
              <w:noBreakHyphen/>
              <w:t xml:space="preserve"> Communication de renseignements nécessaire pendant le reclassement et le transfèrement des détenus </w:t>
            </w:r>
            <w:r w:rsidRPr="00354440">
              <w:rPr>
                <w:rFonts w:eastAsia="Calibri"/>
                <w:sz w:val="20"/>
                <w:lang w:val="fr-CA"/>
              </w:rPr>
              <w:noBreakHyphen/>
              <w:t xml:space="preserve"> Une demande de libération par voie d’</w:t>
            </w:r>
            <w:r w:rsidRPr="00354440">
              <w:rPr>
                <w:rFonts w:eastAsia="Calibri"/>
                <w:i/>
                <w:sz w:val="20"/>
                <w:lang w:val="fr-CA"/>
              </w:rPr>
              <w:t>habeas corpus</w:t>
            </w:r>
            <w:r w:rsidRPr="00354440">
              <w:rPr>
                <w:rFonts w:eastAsia="Calibri"/>
                <w:sz w:val="20"/>
                <w:lang w:val="fr-CA"/>
              </w:rPr>
              <w:t xml:space="preserve"> a</w:t>
            </w:r>
            <w:r w:rsidRPr="00354440">
              <w:rPr>
                <w:rFonts w:eastAsia="Calibri"/>
                <w:sz w:val="20"/>
                <w:lang w:val="fr-CA"/>
              </w:rPr>
              <w:noBreakHyphen/>
              <w:t>t</w:t>
            </w:r>
            <w:r w:rsidRPr="00354440">
              <w:rPr>
                <w:rFonts w:eastAsia="Calibri"/>
                <w:sz w:val="20"/>
                <w:lang w:val="fr-CA"/>
              </w:rPr>
              <w:noBreakHyphen/>
              <w:t xml:space="preserve">elle essentiellement la même portée qu’une demande de contrôle judiciaire de la décision qui entraîne une privation de liberté? </w:t>
            </w:r>
            <w:r w:rsidRPr="00354440">
              <w:rPr>
                <w:rFonts w:eastAsia="Calibri"/>
                <w:sz w:val="20"/>
                <w:lang w:val="fr-CA"/>
              </w:rPr>
              <w:noBreakHyphen/>
              <w:t xml:space="preserve"> Les mêmes motifs que ceux d’une demande de contrôle judiciaire et la même analyse de la norme de contrôle s’appliquent</w:t>
            </w:r>
            <w:r w:rsidRPr="00354440">
              <w:rPr>
                <w:rFonts w:eastAsia="Calibri"/>
                <w:sz w:val="20"/>
                <w:lang w:val="fr-CA"/>
              </w:rPr>
              <w:noBreakHyphen/>
              <w:t>ils dans le contexte d’une demande d’</w:t>
            </w:r>
            <w:r w:rsidRPr="00354440">
              <w:rPr>
                <w:rFonts w:eastAsia="Calibri"/>
                <w:i/>
                <w:sz w:val="20"/>
                <w:lang w:val="fr-CA"/>
              </w:rPr>
              <w:t>habeas corpus</w:t>
            </w:r>
            <w:r w:rsidRPr="00354440">
              <w:rPr>
                <w:rFonts w:eastAsia="Calibri"/>
                <w:sz w:val="20"/>
                <w:lang w:val="fr-CA"/>
              </w:rPr>
              <w:t xml:space="preserve">? </w:t>
            </w:r>
            <w:r w:rsidRPr="00354440">
              <w:rPr>
                <w:rFonts w:eastAsia="Calibri"/>
                <w:sz w:val="20"/>
                <w:lang w:val="fr-CA"/>
              </w:rPr>
              <w:noBreakHyphen/>
              <w:t xml:space="preserve"> Lorsqu’un détenu est l’objet d’un transfèrement, l’équité procédurale exige</w:t>
            </w:r>
            <w:r w:rsidRPr="00354440">
              <w:rPr>
                <w:rFonts w:eastAsia="Calibri"/>
                <w:sz w:val="20"/>
                <w:lang w:val="fr-CA"/>
              </w:rPr>
              <w:noBreakHyphen/>
              <w:t>t</w:t>
            </w:r>
            <w:r w:rsidRPr="00354440">
              <w:rPr>
                <w:rFonts w:eastAsia="Calibri"/>
                <w:sz w:val="20"/>
                <w:lang w:val="fr-CA"/>
              </w:rPr>
              <w:noBreakHyphen/>
              <w:t>elle la communication de renseignements suffisants pour répondre valablement ou bien la communication de tous les renseignements considérés par le directeur ou, si des renseignements sont retenus, oblige</w:t>
            </w:r>
            <w:r w:rsidRPr="00354440">
              <w:rPr>
                <w:rFonts w:eastAsia="Calibri"/>
                <w:sz w:val="20"/>
                <w:lang w:val="fr-CA"/>
              </w:rPr>
              <w:noBreakHyphen/>
              <w:t>t</w:t>
            </w:r>
            <w:r w:rsidRPr="00354440">
              <w:rPr>
                <w:rFonts w:eastAsia="Calibri"/>
                <w:sz w:val="20"/>
                <w:lang w:val="fr-CA"/>
              </w:rPr>
              <w:noBreakHyphen/>
              <w:t>elle le directeur à justifier sa décision de retenir les renseignements?</w:t>
            </w:r>
          </w:p>
        </w:tc>
      </w:tr>
      <w:tr w:rsidR="00F47F84" w:rsidRPr="001D43E1" w:rsidTr="005F26F2">
        <w:tc>
          <w:tcPr>
            <w:tcW w:w="5000" w:type="pct"/>
            <w:gridSpan w:val="3"/>
          </w:tcPr>
          <w:p w:rsidR="00F47F84" w:rsidRPr="00354440" w:rsidRDefault="00F47F84" w:rsidP="005F26F2">
            <w:pPr>
              <w:jc w:val="both"/>
              <w:rPr>
                <w:rFonts w:eastAsia="Calibri"/>
                <w:sz w:val="20"/>
                <w:lang w:val="fr-FR"/>
              </w:rPr>
            </w:pPr>
          </w:p>
        </w:tc>
      </w:tr>
      <w:tr w:rsidR="00F47F84" w:rsidRPr="001D43E1" w:rsidTr="005F26F2">
        <w:tc>
          <w:tcPr>
            <w:tcW w:w="5000" w:type="pct"/>
            <w:gridSpan w:val="3"/>
          </w:tcPr>
          <w:p w:rsidR="00F47F84" w:rsidRPr="00354440" w:rsidRDefault="00F47F84" w:rsidP="005F26F2">
            <w:pPr>
              <w:jc w:val="both"/>
              <w:rPr>
                <w:rFonts w:eastAsia="Calibri"/>
                <w:sz w:val="20"/>
                <w:lang w:val="fr-FR"/>
              </w:rPr>
            </w:pPr>
            <w:r w:rsidRPr="00354440">
              <w:rPr>
                <w:rFonts w:eastAsia="Calibri"/>
                <w:sz w:val="20"/>
                <w:lang w:val="fr-FR"/>
              </w:rPr>
              <w:t xml:space="preserve">L’intimé, un détenu classé comme présentant un risque moyen en matière de sécurité, purgeait sa peine à l’Établissement de Mission, un établissement à sécurité moyenne.  Le 23 septembre 2009, un autre détenu de l’Établissement de Mission a été poignardé.  Le service de renseignement de sécurité de Mission a fait enquête.  Selon des sources non identifiées et deux tuyaux anonymes, l’intimé et un autre détenu se sont vu payer 3 grammes d’héroïne par un troisième détenu pour poignarder la victime.  Les </w:t>
            </w:r>
            <w:r w:rsidRPr="00354440">
              <w:rPr>
                <w:rFonts w:eastAsia="Calibri"/>
                <w:sz w:val="20"/>
                <w:lang w:val="fr-CA"/>
              </w:rPr>
              <w:t xml:space="preserve">conclusions ont été communiquées à la directrice de l’Établissement de Mission dans un rapport sur les renseignements de sécurité.  La directrice a ordonné le transfèrement  non sollicité d’urgence de l’intimé à l’Établissement de Kent, un établissement à sécurité maximale.  L’intimé a reçu un avis de recommandation d’un transfèrement non sollicité d’urgence et une évaluation en vue d’une décision, et il s’est vu accorder l’occasion de présenter des observations.  Il a présenté des observations et a contesté en partie le caractère suffisant de la communication des renseignements sur lesquels la directrice s’était appuyée.  La directrice a ensuite fourni l’avis de décision finale qui le reclassait comme présentant un risque maximal en matière de sécurité et confirmait son transfèrement à Kent. </w:t>
            </w:r>
            <w:r w:rsidRPr="00354440">
              <w:rPr>
                <w:rFonts w:eastAsia="Calibri"/>
                <w:sz w:val="20"/>
                <w:lang w:val="fr-FR"/>
              </w:rPr>
              <w:t xml:space="preserve">  </w:t>
            </w:r>
          </w:p>
          <w:p w:rsidR="00F47F84" w:rsidRPr="00354440" w:rsidRDefault="00F47F84" w:rsidP="005F26F2">
            <w:pPr>
              <w:jc w:val="both"/>
              <w:rPr>
                <w:rFonts w:eastAsia="Calibri"/>
                <w:sz w:val="20"/>
                <w:lang w:val="fr-FR"/>
              </w:rPr>
            </w:pPr>
          </w:p>
        </w:tc>
      </w:tr>
      <w:tr w:rsidR="00F47F84" w:rsidRPr="00354440" w:rsidTr="005F26F2">
        <w:tc>
          <w:tcPr>
            <w:tcW w:w="2427" w:type="pct"/>
          </w:tcPr>
          <w:p w:rsidR="00F47F84" w:rsidRPr="00EF36FB" w:rsidRDefault="00F47F84" w:rsidP="005F26F2">
            <w:pPr>
              <w:jc w:val="both"/>
              <w:rPr>
                <w:rFonts w:eastAsia="Calibri"/>
                <w:sz w:val="20"/>
                <w:lang w:val="fr-CA"/>
              </w:rPr>
            </w:pPr>
            <w:r w:rsidRPr="00EF36FB">
              <w:rPr>
                <w:rFonts w:eastAsia="Calibri"/>
                <w:sz w:val="20"/>
                <w:lang w:val="fr-CA"/>
              </w:rPr>
              <w:t>12 juillet 2010</w:t>
            </w:r>
          </w:p>
          <w:p w:rsidR="00F47F84" w:rsidRPr="00EF36FB" w:rsidRDefault="00F47F84" w:rsidP="005F26F2">
            <w:pPr>
              <w:jc w:val="both"/>
              <w:rPr>
                <w:rFonts w:eastAsia="Calibri"/>
                <w:sz w:val="20"/>
                <w:lang w:val="fr-CA"/>
              </w:rPr>
            </w:pPr>
            <w:r w:rsidRPr="00EF36FB">
              <w:rPr>
                <w:rFonts w:eastAsia="Calibri"/>
                <w:sz w:val="20"/>
                <w:lang w:val="fr-CA"/>
              </w:rPr>
              <w:t>Cour suprême de la Colombie</w:t>
            </w:r>
            <w:r w:rsidRPr="00EF36FB">
              <w:rPr>
                <w:rFonts w:eastAsia="Calibri"/>
                <w:sz w:val="20"/>
                <w:lang w:val="fr-CA"/>
              </w:rPr>
              <w:noBreakHyphen/>
              <w:t>Britannique</w:t>
            </w:r>
          </w:p>
          <w:p w:rsidR="00F47F84" w:rsidRPr="00EF36FB" w:rsidRDefault="00F47F84" w:rsidP="005F26F2">
            <w:pPr>
              <w:jc w:val="both"/>
              <w:rPr>
                <w:rFonts w:eastAsia="Calibri"/>
                <w:sz w:val="20"/>
                <w:lang w:val="fr-CA"/>
              </w:rPr>
            </w:pPr>
            <w:r w:rsidRPr="00EF36FB">
              <w:rPr>
                <w:rFonts w:eastAsia="Calibri"/>
                <w:sz w:val="20"/>
                <w:lang w:val="fr-CA"/>
              </w:rPr>
              <w:t>(Juge Smart)</w:t>
            </w:r>
          </w:p>
          <w:p w:rsidR="00F47F84" w:rsidRPr="00EF36FB" w:rsidRDefault="00F47F84" w:rsidP="005F26F2">
            <w:pPr>
              <w:jc w:val="both"/>
              <w:rPr>
                <w:rFonts w:eastAsia="Calibri"/>
                <w:sz w:val="20"/>
                <w:lang w:val="fr-CA"/>
              </w:rPr>
            </w:pPr>
            <w:r w:rsidRPr="00EF36FB">
              <w:rPr>
                <w:rFonts w:eastAsia="Calibri"/>
                <w:sz w:val="20"/>
                <w:lang w:val="fr-CA"/>
              </w:rPr>
              <w:t>2010 BCSC 970</w:t>
            </w:r>
          </w:p>
          <w:p w:rsidR="00F47F84" w:rsidRPr="00354440" w:rsidRDefault="00F47F84" w:rsidP="005F26F2">
            <w:pPr>
              <w:jc w:val="both"/>
              <w:rPr>
                <w:rFonts w:eastAsia="Calibri"/>
                <w:sz w:val="20"/>
              </w:rPr>
            </w:pPr>
          </w:p>
        </w:tc>
        <w:tc>
          <w:tcPr>
            <w:tcW w:w="243" w:type="pct"/>
          </w:tcPr>
          <w:p w:rsidR="00F47F84" w:rsidRPr="00354440" w:rsidRDefault="00F47F84" w:rsidP="005F26F2">
            <w:pPr>
              <w:jc w:val="both"/>
              <w:rPr>
                <w:rFonts w:eastAsia="Calibri"/>
                <w:sz w:val="20"/>
              </w:rPr>
            </w:pPr>
          </w:p>
        </w:tc>
        <w:tc>
          <w:tcPr>
            <w:tcW w:w="2330" w:type="pct"/>
          </w:tcPr>
          <w:p w:rsidR="00F47F84" w:rsidRPr="00354440" w:rsidRDefault="00F47F84" w:rsidP="005F26F2">
            <w:pPr>
              <w:jc w:val="both"/>
              <w:rPr>
                <w:rFonts w:eastAsia="Calibri"/>
                <w:sz w:val="20"/>
                <w:lang w:val="fr-FR"/>
              </w:rPr>
            </w:pPr>
            <w:r w:rsidRPr="00354440">
              <w:rPr>
                <w:rFonts w:eastAsia="Calibri"/>
                <w:sz w:val="20"/>
                <w:lang w:val="fr-FR"/>
              </w:rPr>
              <w:t>Demande d’</w:t>
            </w:r>
            <w:r w:rsidRPr="00354440">
              <w:rPr>
                <w:rFonts w:eastAsia="Calibri"/>
                <w:i/>
                <w:sz w:val="20"/>
                <w:lang w:val="fr-FR"/>
              </w:rPr>
              <w:t>habeas corpus</w:t>
            </w:r>
            <w:r w:rsidRPr="00354440">
              <w:rPr>
                <w:rFonts w:eastAsia="Calibri"/>
                <w:sz w:val="20"/>
                <w:lang w:val="fr-FR"/>
              </w:rPr>
              <w:t xml:space="preserve"> rejetée</w:t>
            </w:r>
          </w:p>
          <w:p w:rsidR="00F47F84" w:rsidRPr="00354440" w:rsidRDefault="00F47F84" w:rsidP="005F26F2">
            <w:pPr>
              <w:jc w:val="both"/>
              <w:rPr>
                <w:rFonts w:eastAsia="Calibri"/>
                <w:sz w:val="20"/>
                <w:lang w:val="fr-FR"/>
              </w:rPr>
            </w:pPr>
          </w:p>
        </w:tc>
      </w:tr>
      <w:tr w:rsidR="00F47F84" w:rsidRPr="001D43E1" w:rsidTr="005F26F2">
        <w:tc>
          <w:tcPr>
            <w:tcW w:w="2427" w:type="pct"/>
          </w:tcPr>
          <w:p w:rsidR="00F47F84" w:rsidRPr="00EF36FB" w:rsidRDefault="00F47F84" w:rsidP="005F26F2">
            <w:pPr>
              <w:jc w:val="both"/>
              <w:rPr>
                <w:rFonts w:eastAsia="Calibri"/>
                <w:sz w:val="20"/>
                <w:lang w:val="fr-CA"/>
              </w:rPr>
            </w:pPr>
            <w:r w:rsidRPr="00EF36FB">
              <w:rPr>
                <w:rFonts w:eastAsia="Calibri"/>
                <w:sz w:val="20"/>
                <w:lang w:val="fr-CA"/>
              </w:rPr>
              <w:t>9 novembre 2011</w:t>
            </w:r>
          </w:p>
          <w:p w:rsidR="00F47F84" w:rsidRPr="00EF36FB" w:rsidRDefault="00F47F84" w:rsidP="005F26F2">
            <w:pPr>
              <w:jc w:val="both"/>
              <w:rPr>
                <w:rFonts w:eastAsia="Calibri"/>
                <w:sz w:val="20"/>
                <w:lang w:val="fr-CA"/>
              </w:rPr>
            </w:pPr>
            <w:r w:rsidRPr="00EF36FB">
              <w:rPr>
                <w:rFonts w:eastAsia="Calibri"/>
                <w:sz w:val="20"/>
                <w:lang w:val="fr-CA"/>
              </w:rPr>
              <w:t>Cour d’appel de la Colombie</w:t>
            </w:r>
            <w:r w:rsidRPr="00EF36FB">
              <w:rPr>
                <w:rFonts w:eastAsia="Calibri"/>
                <w:sz w:val="20"/>
                <w:lang w:val="fr-CA"/>
              </w:rPr>
              <w:noBreakHyphen/>
              <w:t>Britannique (Vancouver)</w:t>
            </w:r>
          </w:p>
          <w:p w:rsidR="00F47F84" w:rsidRPr="00EF36FB" w:rsidRDefault="00F47F84" w:rsidP="005F26F2">
            <w:pPr>
              <w:jc w:val="both"/>
              <w:rPr>
                <w:rFonts w:eastAsia="Calibri"/>
                <w:sz w:val="20"/>
                <w:lang w:val="fr-CA"/>
              </w:rPr>
            </w:pPr>
            <w:r w:rsidRPr="00EF36FB">
              <w:rPr>
                <w:rFonts w:eastAsia="Calibri"/>
                <w:sz w:val="20"/>
                <w:lang w:val="fr-CA"/>
              </w:rPr>
              <w:t>(Juges Smith, Chiasson et Groberman)</w:t>
            </w:r>
          </w:p>
          <w:p w:rsidR="00F47F84" w:rsidRPr="00EF36FB" w:rsidRDefault="00F47F84" w:rsidP="005F26F2">
            <w:pPr>
              <w:jc w:val="both"/>
              <w:rPr>
                <w:rFonts w:eastAsia="Calibri"/>
                <w:sz w:val="20"/>
                <w:lang w:val="fr-CA"/>
              </w:rPr>
            </w:pPr>
            <w:r w:rsidRPr="00EF36FB">
              <w:rPr>
                <w:rFonts w:eastAsia="Calibri"/>
                <w:sz w:val="20"/>
                <w:lang w:val="fr-CA"/>
              </w:rPr>
              <w:t>2011 BCCA 452, CA038352</w:t>
            </w:r>
          </w:p>
          <w:p w:rsidR="00F47F84" w:rsidRPr="00354440" w:rsidRDefault="00F47F84" w:rsidP="005F26F2">
            <w:pPr>
              <w:jc w:val="both"/>
              <w:rPr>
                <w:rFonts w:eastAsia="Calibri"/>
                <w:sz w:val="20"/>
              </w:rPr>
            </w:pPr>
          </w:p>
        </w:tc>
        <w:tc>
          <w:tcPr>
            <w:tcW w:w="243" w:type="pct"/>
          </w:tcPr>
          <w:p w:rsidR="00F47F84" w:rsidRPr="00354440" w:rsidRDefault="00F47F84" w:rsidP="005F26F2">
            <w:pPr>
              <w:jc w:val="both"/>
              <w:rPr>
                <w:rFonts w:eastAsia="Calibri"/>
                <w:sz w:val="20"/>
              </w:rPr>
            </w:pPr>
          </w:p>
        </w:tc>
        <w:tc>
          <w:tcPr>
            <w:tcW w:w="2330" w:type="pct"/>
          </w:tcPr>
          <w:p w:rsidR="00F47F84" w:rsidRPr="00354440" w:rsidRDefault="00F47F84" w:rsidP="005F26F2">
            <w:pPr>
              <w:jc w:val="both"/>
              <w:rPr>
                <w:rFonts w:eastAsia="Calibri"/>
                <w:sz w:val="20"/>
                <w:lang w:val="fr-FR"/>
              </w:rPr>
            </w:pPr>
            <w:r w:rsidRPr="00354440">
              <w:rPr>
                <w:rFonts w:eastAsia="Calibri"/>
                <w:sz w:val="20"/>
                <w:lang w:val="fr-FR"/>
              </w:rPr>
              <w:t>Appel accueilli, ordonnance rejetant la demande d’</w:t>
            </w:r>
            <w:r w:rsidRPr="00354440">
              <w:rPr>
                <w:rFonts w:eastAsia="Calibri"/>
                <w:i/>
                <w:sz w:val="20"/>
                <w:lang w:val="fr-FR"/>
              </w:rPr>
              <w:t>habeas corpus</w:t>
            </w:r>
            <w:r w:rsidRPr="00354440">
              <w:rPr>
                <w:rFonts w:eastAsia="Calibri"/>
                <w:sz w:val="20"/>
                <w:lang w:val="fr-FR"/>
              </w:rPr>
              <w:t xml:space="preserve"> annulée, ordonnance portant que l’intimé doit être libéré de l’Établissement de Kent et renvoyé sous garde dans un établissement à sécurité moyenne pour y être traité comme les autorités carcérales l’estiment indiqué </w:t>
            </w:r>
          </w:p>
          <w:p w:rsidR="00F47F84" w:rsidRPr="00354440" w:rsidRDefault="00F47F84" w:rsidP="005F26F2">
            <w:pPr>
              <w:jc w:val="both"/>
              <w:rPr>
                <w:rFonts w:eastAsia="Calibri"/>
                <w:sz w:val="20"/>
                <w:lang w:val="fr-FR"/>
              </w:rPr>
            </w:pPr>
          </w:p>
        </w:tc>
      </w:tr>
      <w:tr w:rsidR="00F47F84" w:rsidRPr="00354440" w:rsidTr="005F26F2">
        <w:tc>
          <w:tcPr>
            <w:tcW w:w="2427" w:type="pct"/>
          </w:tcPr>
          <w:p w:rsidR="00F47F84" w:rsidRPr="00354440" w:rsidRDefault="00F47F84" w:rsidP="005F26F2">
            <w:pPr>
              <w:jc w:val="both"/>
              <w:rPr>
                <w:rFonts w:eastAsia="Calibri"/>
                <w:sz w:val="20"/>
                <w:lang w:val="fr-FR"/>
              </w:rPr>
            </w:pPr>
            <w:r w:rsidRPr="00354440">
              <w:rPr>
                <w:rFonts w:eastAsia="Calibri"/>
                <w:sz w:val="20"/>
                <w:lang w:val="fr-FR"/>
              </w:rPr>
              <w:t>9 janvier 2012</w:t>
            </w:r>
          </w:p>
          <w:p w:rsidR="00F47F84" w:rsidRPr="00354440" w:rsidRDefault="00F47F84" w:rsidP="005F26F2">
            <w:pPr>
              <w:jc w:val="both"/>
              <w:rPr>
                <w:rFonts w:eastAsia="Calibri"/>
                <w:sz w:val="20"/>
                <w:lang w:val="fr-FR"/>
              </w:rPr>
            </w:pPr>
            <w:r w:rsidRPr="00354440">
              <w:rPr>
                <w:rFonts w:eastAsia="Calibri"/>
                <w:sz w:val="20"/>
                <w:lang w:val="fr-FR"/>
              </w:rPr>
              <w:t>Cour suprême du Canada</w:t>
            </w:r>
          </w:p>
        </w:tc>
        <w:tc>
          <w:tcPr>
            <w:tcW w:w="243" w:type="pct"/>
          </w:tcPr>
          <w:p w:rsidR="00F47F84" w:rsidRPr="00354440" w:rsidRDefault="00F47F84" w:rsidP="005F26F2">
            <w:pPr>
              <w:jc w:val="both"/>
              <w:rPr>
                <w:rFonts w:eastAsia="Calibri"/>
                <w:sz w:val="20"/>
                <w:lang w:val="fr-FR"/>
              </w:rPr>
            </w:pPr>
          </w:p>
        </w:tc>
        <w:tc>
          <w:tcPr>
            <w:tcW w:w="2330" w:type="pct"/>
          </w:tcPr>
          <w:p w:rsidR="00F47F84" w:rsidRPr="00EF36FB" w:rsidRDefault="00F47F84" w:rsidP="005F26F2">
            <w:pPr>
              <w:jc w:val="both"/>
              <w:rPr>
                <w:rFonts w:eastAsia="Calibri"/>
                <w:sz w:val="20"/>
                <w:lang w:val="fr-CA"/>
              </w:rPr>
            </w:pPr>
            <w:r w:rsidRPr="00EF36FB">
              <w:rPr>
                <w:rFonts w:eastAsia="Calibri"/>
                <w:sz w:val="20"/>
                <w:lang w:val="fr-CA"/>
              </w:rPr>
              <w:t xml:space="preserve">Demande d’autorisation d’appel déposée </w:t>
            </w:r>
          </w:p>
          <w:p w:rsidR="00F47F84" w:rsidRPr="00354440" w:rsidRDefault="00F47F84" w:rsidP="005F26F2">
            <w:pPr>
              <w:jc w:val="both"/>
              <w:rPr>
                <w:rFonts w:eastAsia="Calibri"/>
                <w:sz w:val="20"/>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51"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214A" w:rsidRPr="00ED4B6E" w:rsidTr="00066741">
        <w:trPr>
          <w:cantSplit/>
        </w:trPr>
        <w:tc>
          <w:tcPr>
            <w:tcW w:w="1458" w:type="dxa"/>
          </w:tcPr>
          <w:p w:rsidR="00B9214A" w:rsidRPr="00ED4B6E" w:rsidRDefault="00B9214A" w:rsidP="00066741">
            <w:pPr>
              <w:rPr>
                <w:sz w:val="20"/>
                <w:szCs w:val="20"/>
              </w:rPr>
            </w:pPr>
            <w:r w:rsidRPr="00ED4B6E">
              <w:rPr>
                <w:rStyle w:val="SCCFileNumberChar"/>
                <w:sz w:val="20"/>
                <w:szCs w:val="20"/>
              </w:rPr>
              <w:t>34608</w:t>
            </w:r>
          </w:p>
          <w:p w:rsidR="00B9214A" w:rsidRPr="00ED4B6E" w:rsidRDefault="00B9214A" w:rsidP="00066741">
            <w:pPr>
              <w:rPr>
                <w:b/>
                <w:sz w:val="20"/>
                <w:szCs w:val="20"/>
                <w:lang w:val="fr-CA"/>
              </w:rPr>
            </w:pPr>
          </w:p>
        </w:tc>
        <w:tc>
          <w:tcPr>
            <w:tcW w:w="8118" w:type="dxa"/>
          </w:tcPr>
          <w:p w:rsidR="00B9214A" w:rsidRPr="00ED4B6E" w:rsidRDefault="00B9214A" w:rsidP="00066741">
            <w:pPr>
              <w:jc w:val="both"/>
              <w:rPr>
                <w:sz w:val="20"/>
                <w:szCs w:val="20"/>
              </w:rPr>
            </w:pPr>
            <w:r w:rsidRPr="00B9214A">
              <w:rPr>
                <w:rStyle w:val="SCCLsocChar"/>
                <w:sz w:val="20"/>
                <w:szCs w:val="20"/>
                <w:lang w:val="en-CA"/>
              </w:rPr>
              <w:t>Diane Knopf, Warden of Mission Institution</w:t>
            </w:r>
            <w:r w:rsidR="00F84BAB">
              <w:rPr>
                <w:rStyle w:val="SCCLsocChar"/>
                <w:sz w:val="20"/>
                <w:szCs w:val="20"/>
                <w:lang w:val="en-CA"/>
              </w:rPr>
              <w:t xml:space="preserve"> and</w:t>
            </w:r>
            <w:r w:rsidRPr="00B9214A">
              <w:rPr>
                <w:rStyle w:val="SCCLsocChar"/>
                <w:sz w:val="20"/>
                <w:szCs w:val="20"/>
                <w:lang w:val="en-CA"/>
              </w:rPr>
              <w:t xml:space="preserve"> Harold Massey, Warden of Kent Institution v. Glen Phillip Foster</w:t>
            </w:r>
            <w:r w:rsidRPr="00ED4B6E">
              <w:rPr>
                <w:sz w:val="20"/>
                <w:szCs w:val="20"/>
              </w:rPr>
              <w:t xml:space="preserve"> (B.C.) (Criminal) (By Leave)</w:t>
            </w:r>
          </w:p>
          <w:p w:rsidR="00B9214A" w:rsidRPr="00ED4B6E" w:rsidRDefault="00B9214A" w:rsidP="00066741">
            <w:pPr>
              <w:rPr>
                <w:sz w:val="20"/>
                <w:szCs w:val="20"/>
              </w:rPr>
            </w:pPr>
          </w:p>
        </w:tc>
      </w:tr>
      <w:tr w:rsidR="00B9214A" w:rsidRPr="00ED4B6E" w:rsidTr="00066741">
        <w:trPr>
          <w:cantSplit/>
        </w:trPr>
        <w:tc>
          <w:tcPr>
            <w:tcW w:w="1458" w:type="dxa"/>
          </w:tcPr>
          <w:p w:rsidR="00B9214A" w:rsidRPr="00ED4B6E" w:rsidRDefault="00B9214A" w:rsidP="00066741">
            <w:pPr>
              <w:rPr>
                <w:sz w:val="20"/>
                <w:szCs w:val="20"/>
              </w:rPr>
            </w:pPr>
            <w:r w:rsidRPr="00ED4B6E">
              <w:rPr>
                <w:sz w:val="20"/>
                <w:szCs w:val="20"/>
              </w:rPr>
              <w:t>Coram :</w:t>
            </w:r>
          </w:p>
        </w:tc>
        <w:tc>
          <w:tcPr>
            <w:tcW w:w="8118" w:type="dxa"/>
          </w:tcPr>
          <w:p w:rsidR="00B9214A" w:rsidRPr="00ED4B6E" w:rsidRDefault="00B9214A" w:rsidP="00066741">
            <w:pPr>
              <w:rPr>
                <w:sz w:val="20"/>
                <w:szCs w:val="20"/>
              </w:rPr>
            </w:pPr>
            <w:r w:rsidRPr="00B9214A">
              <w:rPr>
                <w:rStyle w:val="SCCCoramChar"/>
                <w:sz w:val="20"/>
                <w:szCs w:val="20"/>
                <w:lang w:val="en-CA"/>
              </w:rPr>
              <w:t>McLachlin C.J. and Rothstein and Moldaver JJ.</w:t>
            </w:r>
          </w:p>
          <w:p w:rsidR="00B9214A" w:rsidRPr="00ED4B6E" w:rsidRDefault="00B9214A" w:rsidP="00066741">
            <w:pPr>
              <w:rPr>
                <w:sz w:val="20"/>
                <w:szCs w:val="20"/>
                <w:u w:val="single"/>
              </w:rPr>
            </w:pPr>
          </w:p>
        </w:tc>
      </w:tr>
      <w:tr w:rsidR="00B9214A" w:rsidRPr="001D43E1" w:rsidTr="00066741">
        <w:trPr>
          <w:cantSplit/>
        </w:trPr>
        <w:tc>
          <w:tcPr>
            <w:tcW w:w="9576" w:type="dxa"/>
            <w:gridSpan w:val="2"/>
          </w:tcPr>
          <w:p w:rsidR="00B9214A" w:rsidRPr="00ED4B6E" w:rsidRDefault="00B9214A" w:rsidP="00066741">
            <w:pPr>
              <w:pStyle w:val="SCCShortJudgment"/>
              <w:rPr>
                <w:szCs w:val="20"/>
              </w:rPr>
            </w:pPr>
            <w:r w:rsidRPr="00ED4B6E">
              <w:rPr>
                <w:szCs w:val="20"/>
              </w:rPr>
              <w:t>The application for leave to appeal from the judgment of the Court of Appeal for British Columbia (Vancouver), Number CA038258, 2011 BCCA 451, dated November 9, 2011, is granted with costs in the cause.</w:t>
            </w:r>
          </w:p>
          <w:p w:rsidR="00B9214A" w:rsidRPr="00ED4B6E" w:rsidRDefault="00B9214A" w:rsidP="00066741">
            <w:pPr>
              <w:pStyle w:val="SCCShortJudgment"/>
              <w:ind w:firstLine="0"/>
              <w:rPr>
                <w:szCs w:val="20"/>
              </w:rPr>
            </w:pPr>
          </w:p>
          <w:p w:rsidR="00B9214A" w:rsidRPr="00ED4B6E" w:rsidRDefault="00B9214A" w:rsidP="00066741">
            <w:pPr>
              <w:pStyle w:val="SCCShortJudgment"/>
              <w:rPr>
                <w:szCs w:val="20"/>
                <w:lang w:val="fr-CA"/>
              </w:rPr>
            </w:pPr>
            <w:r w:rsidRPr="00ED4B6E">
              <w:rPr>
                <w:szCs w:val="20"/>
                <w:lang w:val="fr-CA"/>
              </w:rPr>
              <w:t>La demande d’autorisation d’appel de l’arrêt de la Cour d’appel de la Colombie-Britannique (Vancouver), numéro CA038258, 2011 BCCA 451, daté du 9 novembre 2011, est accueillie avec dépens suivant l’issue de la cause.</w:t>
            </w:r>
          </w:p>
        </w:tc>
      </w:tr>
    </w:tbl>
    <w:p w:rsidR="00441FC4" w:rsidRPr="00B9214A"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F47F84" w:rsidRPr="00354440" w:rsidTr="005F26F2">
        <w:tc>
          <w:tcPr>
            <w:tcW w:w="5000" w:type="pct"/>
            <w:gridSpan w:val="3"/>
          </w:tcPr>
          <w:p w:rsidR="00F47F84" w:rsidRPr="00354440" w:rsidRDefault="00F47F84" w:rsidP="005F26F2">
            <w:pPr>
              <w:jc w:val="both"/>
              <w:rPr>
                <w:rFonts w:eastAsia="Calibri"/>
                <w:sz w:val="20"/>
              </w:rPr>
            </w:pPr>
            <w:r w:rsidRPr="00354440">
              <w:rPr>
                <w:rFonts w:eastAsia="Calibri"/>
                <w:i/>
                <w:sz w:val="20"/>
              </w:rPr>
              <w:t>Charter of Rights and Freedoms</w:t>
            </w:r>
            <w:r w:rsidRPr="00354440">
              <w:rPr>
                <w:rFonts w:eastAsia="Calibri"/>
                <w:sz w:val="20"/>
              </w:rPr>
              <w:t xml:space="preserve"> </w:t>
            </w:r>
            <w:r w:rsidRPr="00354440">
              <w:rPr>
                <w:rFonts w:eastAsia="Calibri"/>
                <w:sz w:val="20"/>
              </w:rPr>
              <w:noBreakHyphen/>
              <w:t xml:space="preserve"> Arbitrary detention </w:t>
            </w:r>
            <w:r w:rsidRPr="00354440">
              <w:rPr>
                <w:rFonts w:eastAsia="Calibri"/>
                <w:sz w:val="20"/>
              </w:rPr>
              <w:noBreakHyphen/>
              <w:t xml:space="preserve"> Principles of fundamental justice </w:t>
            </w:r>
            <w:r w:rsidRPr="00354440">
              <w:rPr>
                <w:rFonts w:eastAsia="Calibri"/>
                <w:sz w:val="20"/>
              </w:rPr>
              <w:noBreakHyphen/>
              <w:t xml:space="preserve"> Prerogative writs </w:t>
            </w:r>
            <w:r w:rsidRPr="00354440">
              <w:rPr>
                <w:rFonts w:eastAsia="Calibri"/>
                <w:sz w:val="20"/>
              </w:rPr>
              <w:noBreakHyphen/>
              <w:t xml:space="preserve"> </w:t>
            </w:r>
            <w:r w:rsidRPr="00354440">
              <w:rPr>
                <w:rFonts w:eastAsia="Calibri"/>
                <w:i/>
                <w:sz w:val="20"/>
              </w:rPr>
              <w:t>Habeas corpus</w:t>
            </w:r>
            <w:r w:rsidRPr="00354440">
              <w:rPr>
                <w:rFonts w:eastAsia="Calibri"/>
                <w:sz w:val="20"/>
              </w:rPr>
              <w:t xml:space="preserve"> </w:t>
            </w:r>
            <w:r w:rsidRPr="00354440">
              <w:rPr>
                <w:rFonts w:eastAsia="Calibri"/>
                <w:sz w:val="20"/>
              </w:rPr>
              <w:noBreakHyphen/>
              <w:t xml:space="preserve"> Prisons </w:t>
            </w:r>
            <w:r w:rsidRPr="00354440">
              <w:rPr>
                <w:rFonts w:eastAsia="Calibri"/>
                <w:sz w:val="20"/>
              </w:rPr>
              <w:noBreakHyphen/>
              <w:t xml:space="preserve"> Disclosure required during reclassification and transfer of inmates </w:t>
            </w:r>
            <w:r w:rsidRPr="00354440">
              <w:rPr>
                <w:rFonts w:eastAsia="Calibri"/>
                <w:sz w:val="20"/>
              </w:rPr>
              <w:noBreakHyphen/>
              <w:t xml:space="preserve"> Whether an application for release by way of </w:t>
            </w:r>
            <w:r w:rsidRPr="00354440">
              <w:rPr>
                <w:rFonts w:eastAsia="Calibri"/>
                <w:i/>
                <w:sz w:val="20"/>
              </w:rPr>
              <w:t>habeas corpus</w:t>
            </w:r>
            <w:r w:rsidRPr="00354440">
              <w:rPr>
                <w:rFonts w:eastAsia="Calibri"/>
                <w:sz w:val="20"/>
              </w:rPr>
              <w:t xml:space="preserve"> is substantively the same in scope as a judicial review of the decision resulting in the deprivation of liberty </w:t>
            </w:r>
            <w:r w:rsidRPr="00354440">
              <w:rPr>
                <w:rFonts w:eastAsia="Calibri"/>
                <w:sz w:val="20"/>
              </w:rPr>
              <w:noBreakHyphen/>
              <w:t xml:space="preserve"> Whether the same grounds as in judicial review and the same standard of review analysis apply in the context of an application for </w:t>
            </w:r>
            <w:r w:rsidRPr="00354440">
              <w:rPr>
                <w:rFonts w:eastAsia="Calibri"/>
                <w:i/>
                <w:sz w:val="20"/>
              </w:rPr>
              <w:t>habeas corpus</w:t>
            </w:r>
            <w:r w:rsidRPr="00354440">
              <w:rPr>
                <w:rFonts w:eastAsia="Calibri"/>
                <w:sz w:val="20"/>
              </w:rPr>
              <w:t xml:space="preserve"> </w:t>
            </w:r>
            <w:r w:rsidRPr="00354440">
              <w:rPr>
                <w:rFonts w:eastAsia="Calibri"/>
                <w:sz w:val="20"/>
              </w:rPr>
              <w:noBreakHyphen/>
              <w:t xml:space="preserve"> Where an inmate is the subject of a transfer, whether procedural fairness requires disclosure of sufficient information to meaningfully respond or all of the information considered by the warden or, if information is withheld, that the warden justify the withholding.</w:t>
            </w:r>
          </w:p>
        </w:tc>
      </w:tr>
      <w:tr w:rsidR="00F47F84" w:rsidRPr="00354440" w:rsidTr="005F26F2">
        <w:tc>
          <w:tcPr>
            <w:tcW w:w="5000" w:type="pct"/>
            <w:gridSpan w:val="3"/>
          </w:tcPr>
          <w:p w:rsidR="00F47F84" w:rsidRPr="00354440" w:rsidRDefault="00F47F84" w:rsidP="005F26F2">
            <w:pPr>
              <w:jc w:val="both"/>
              <w:rPr>
                <w:rFonts w:eastAsia="Calibri"/>
                <w:sz w:val="20"/>
              </w:rPr>
            </w:pPr>
          </w:p>
        </w:tc>
      </w:tr>
      <w:tr w:rsidR="00F47F84" w:rsidRPr="00354440" w:rsidTr="005F26F2">
        <w:tc>
          <w:tcPr>
            <w:tcW w:w="5000" w:type="pct"/>
            <w:gridSpan w:val="3"/>
          </w:tcPr>
          <w:p w:rsidR="00F47F84" w:rsidRPr="00354440" w:rsidRDefault="00F47F84" w:rsidP="005F26F2">
            <w:pPr>
              <w:jc w:val="both"/>
              <w:rPr>
                <w:rFonts w:eastAsia="Calibri"/>
                <w:sz w:val="20"/>
              </w:rPr>
            </w:pPr>
            <w:r w:rsidRPr="00354440">
              <w:rPr>
                <w:rFonts w:eastAsia="Calibri"/>
                <w:sz w:val="20"/>
              </w:rPr>
              <w:t xml:space="preserve">The respondent was an inmate, classified as a medium security risk, and serving his sentence at Mission Institute, a medium security facility.  On September 23, 2009, another inmate at Mission Institute was stabbed.  Mission’s security intelligence department investigated.  Unidentified sources and two anonymous tips alleged that the respondent and one other inmate were hired by a third inmate to carry out the stabbing and payment for the stabbing was 3 grams of heroin.  The findings were reported to the Warden of Mission Institute in a Security Intelligence Report.  The warden ordered the respondent’s involuntary, emergency transfer to Kent Institute, a maximum security facility.  The respondent received a Notice of Emergency Involuntary Transfer Recommendation and an Assessment for Decision and was given an opportunity to make representations.  He made submissions and in part objected to the adequacy of disclosure of the information relied upon by the warden.  The warden then provided notice of a final decision reclassifying him as a maximum security risk and confirming his transfer to Kent.  </w:t>
            </w:r>
          </w:p>
          <w:p w:rsidR="00F47F84" w:rsidRPr="00354440" w:rsidRDefault="00F47F84" w:rsidP="005F26F2">
            <w:pPr>
              <w:jc w:val="both"/>
              <w:rPr>
                <w:rFonts w:eastAsia="Calibri"/>
                <w:sz w:val="20"/>
              </w:rPr>
            </w:pPr>
          </w:p>
        </w:tc>
      </w:tr>
      <w:tr w:rsidR="00F47F84" w:rsidRPr="00354440" w:rsidTr="005F26F2">
        <w:tblPrEx>
          <w:tblCellMar>
            <w:bottom w:w="0" w:type="dxa"/>
          </w:tblCellMar>
        </w:tblPrEx>
        <w:tc>
          <w:tcPr>
            <w:tcW w:w="2390" w:type="pct"/>
          </w:tcPr>
          <w:p w:rsidR="00F47F84" w:rsidRPr="00354440" w:rsidRDefault="00F47F84" w:rsidP="005F26F2">
            <w:pPr>
              <w:jc w:val="both"/>
              <w:rPr>
                <w:rFonts w:eastAsia="Calibri"/>
                <w:sz w:val="20"/>
              </w:rPr>
            </w:pPr>
            <w:r w:rsidRPr="00354440">
              <w:rPr>
                <w:rFonts w:eastAsia="Calibri"/>
                <w:sz w:val="20"/>
              </w:rPr>
              <w:t>June 3, 2010</w:t>
            </w:r>
          </w:p>
          <w:p w:rsidR="00F47F84" w:rsidRPr="00354440" w:rsidRDefault="00F47F84" w:rsidP="005F26F2">
            <w:pPr>
              <w:jc w:val="both"/>
              <w:rPr>
                <w:rFonts w:eastAsia="Calibri"/>
                <w:sz w:val="20"/>
              </w:rPr>
            </w:pPr>
            <w:r w:rsidRPr="00354440">
              <w:rPr>
                <w:rFonts w:eastAsia="Calibri"/>
                <w:sz w:val="20"/>
              </w:rPr>
              <w:t>Supreme Court of British Columbia</w:t>
            </w:r>
          </w:p>
          <w:p w:rsidR="00F47F84" w:rsidRPr="00354440" w:rsidRDefault="00F47F84" w:rsidP="005F26F2">
            <w:pPr>
              <w:jc w:val="both"/>
              <w:rPr>
                <w:rFonts w:eastAsia="Calibri"/>
                <w:sz w:val="20"/>
              </w:rPr>
            </w:pPr>
            <w:r w:rsidRPr="00354440">
              <w:rPr>
                <w:rFonts w:eastAsia="Calibri"/>
                <w:sz w:val="20"/>
              </w:rPr>
              <w:t>(Bruce J.)</w:t>
            </w:r>
          </w:p>
          <w:p w:rsidR="00F47F84" w:rsidRPr="00354440" w:rsidRDefault="00F47F84" w:rsidP="005F26F2">
            <w:pPr>
              <w:jc w:val="both"/>
              <w:rPr>
                <w:rFonts w:eastAsia="Calibri"/>
                <w:sz w:val="20"/>
              </w:rPr>
            </w:pPr>
            <w:r w:rsidRPr="00354440">
              <w:rPr>
                <w:rFonts w:eastAsia="Calibri"/>
                <w:sz w:val="20"/>
              </w:rPr>
              <w:t>2010 BCSC 781</w:t>
            </w:r>
          </w:p>
          <w:p w:rsidR="00F47F84" w:rsidRPr="00354440" w:rsidRDefault="00F47F84" w:rsidP="005F26F2">
            <w:pPr>
              <w:jc w:val="both"/>
              <w:rPr>
                <w:rFonts w:eastAsia="Calibri"/>
                <w:sz w:val="20"/>
              </w:rPr>
            </w:pP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rPr>
            </w:pPr>
            <w:r w:rsidRPr="00354440">
              <w:rPr>
                <w:rFonts w:eastAsia="Calibri"/>
                <w:sz w:val="20"/>
              </w:rPr>
              <w:t xml:space="preserve">Application for </w:t>
            </w:r>
            <w:r w:rsidRPr="00354440">
              <w:rPr>
                <w:rFonts w:eastAsia="Calibri"/>
                <w:i/>
                <w:sz w:val="20"/>
              </w:rPr>
              <w:t>habeas corpus</w:t>
            </w:r>
            <w:r w:rsidRPr="00354440">
              <w:rPr>
                <w:rFonts w:eastAsia="Calibri"/>
                <w:sz w:val="20"/>
              </w:rPr>
              <w:t xml:space="preserve"> dismissed</w:t>
            </w:r>
          </w:p>
          <w:p w:rsidR="00F47F84" w:rsidRPr="00354440" w:rsidRDefault="00F47F84" w:rsidP="005F26F2">
            <w:pPr>
              <w:jc w:val="both"/>
              <w:rPr>
                <w:rFonts w:eastAsia="Calibri"/>
                <w:sz w:val="20"/>
              </w:rPr>
            </w:pPr>
          </w:p>
        </w:tc>
      </w:tr>
      <w:tr w:rsidR="00F47F84" w:rsidRPr="00354440" w:rsidTr="005F26F2">
        <w:tblPrEx>
          <w:tblCellMar>
            <w:bottom w:w="0" w:type="dxa"/>
          </w:tblCellMar>
        </w:tblPrEx>
        <w:tc>
          <w:tcPr>
            <w:tcW w:w="2390" w:type="pct"/>
          </w:tcPr>
          <w:p w:rsidR="00F47F84" w:rsidRPr="00354440" w:rsidRDefault="00F47F84" w:rsidP="005F26F2">
            <w:pPr>
              <w:jc w:val="both"/>
              <w:rPr>
                <w:rFonts w:eastAsia="Calibri"/>
                <w:sz w:val="20"/>
              </w:rPr>
            </w:pPr>
            <w:r w:rsidRPr="00354440">
              <w:rPr>
                <w:rFonts w:eastAsia="Calibri"/>
                <w:sz w:val="20"/>
              </w:rPr>
              <w:t>November 9, 2011</w:t>
            </w:r>
          </w:p>
          <w:p w:rsidR="00F47F84" w:rsidRPr="00354440" w:rsidRDefault="00F47F84" w:rsidP="005F26F2">
            <w:pPr>
              <w:jc w:val="both"/>
              <w:rPr>
                <w:rFonts w:eastAsia="Calibri"/>
                <w:sz w:val="20"/>
              </w:rPr>
            </w:pPr>
            <w:r w:rsidRPr="00354440">
              <w:rPr>
                <w:rFonts w:eastAsia="Calibri"/>
                <w:sz w:val="20"/>
              </w:rPr>
              <w:t>Court of Appeal for British Columbia (Vancouver)</w:t>
            </w:r>
          </w:p>
          <w:p w:rsidR="00F47F84" w:rsidRPr="00354440" w:rsidRDefault="00F47F84" w:rsidP="005F26F2">
            <w:pPr>
              <w:jc w:val="both"/>
              <w:rPr>
                <w:rFonts w:eastAsia="Calibri"/>
                <w:sz w:val="20"/>
              </w:rPr>
            </w:pPr>
            <w:r w:rsidRPr="00354440">
              <w:rPr>
                <w:rFonts w:eastAsia="Calibri"/>
                <w:sz w:val="20"/>
              </w:rPr>
              <w:t>(Smith, Chiasson, Groberman JJ.A.)</w:t>
            </w:r>
          </w:p>
          <w:p w:rsidR="00F47F84" w:rsidRPr="00354440" w:rsidRDefault="00F47F84" w:rsidP="005F26F2">
            <w:pPr>
              <w:jc w:val="both"/>
              <w:rPr>
                <w:rFonts w:eastAsia="Calibri"/>
                <w:sz w:val="20"/>
              </w:rPr>
            </w:pPr>
            <w:r w:rsidRPr="00354440">
              <w:rPr>
                <w:rFonts w:eastAsia="Calibri"/>
                <w:sz w:val="20"/>
              </w:rPr>
              <w:t>2011 BCCA 451, CA038258</w:t>
            </w: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rPr>
            </w:pPr>
            <w:r w:rsidRPr="00354440">
              <w:rPr>
                <w:rFonts w:eastAsia="Calibri"/>
                <w:sz w:val="20"/>
              </w:rPr>
              <w:t xml:space="preserve">Appeal allowed, order dismissing application for </w:t>
            </w:r>
            <w:r w:rsidRPr="00354440">
              <w:rPr>
                <w:rFonts w:eastAsia="Calibri"/>
                <w:i/>
                <w:sz w:val="20"/>
              </w:rPr>
              <w:t>habeas corpus</w:t>
            </w:r>
            <w:r w:rsidRPr="00354440">
              <w:rPr>
                <w:rFonts w:eastAsia="Calibri"/>
                <w:sz w:val="20"/>
              </w:rPr>
              <w:t xml:space="preserve"> set aside, order respondent should be released from custody at Kent Institute and returned to custody in a medium security institution to be dealt with therein as the prison authorities consider to be appropriate </w:t>
            </w:r>
          </w:p>
          <w:p w:rsidR="00F47F84" w:rsidRPr="00354440" w:rsidRDefault="00F47F84" w:rsidP="005F26F2">
            <w:pPr>
              <w:jc w:val="both"/>
              <w:rPr>
                <w:rFonts w:eastAsia="Calibri"/>
                <w:sz w:val="20"/>
              </w:rPr>
            </w:pPr>
          </w:p>
        </w:tc>
      </w:tr>
      <w:tr w:rsidR="00F47F84" w:rsidRPr="00354440" w:rsidTr="005F26F2">
        <w:tblPrEx>
          <w:tblCellMar>
            <w:bottom w:w="0" w:type="dxa"/>
          </w:tblCellMar>
        </w:tblPrEx>
        <w:tc>
          <w:tcPr>
            <w:tcW w:w="2390" w:type="pct"/>
          </w:tcPr>
          <w:p w:rsidR="00F47F84" w:rsidRPr="00354440" w:rsidRDefault="00F47F84" w:rsidP="005F26F2">
            <w:pPr>
              <w:jc w:val="both"/>
              <w:rPr>
                <w:rFonts w:eastAsia="Calibri"/>
                <w:sz w:val="20"/>
              </w:rPr>
            </w:pPr>
            <w:r w:rsidRPr="00354440">
              <w:rPr>
                <w:rFonts w:eastAsia="Calibri"/>
                <w:sz w:val="20"/>
              </w:rPr>
              <w:t>January 9, 2012</w:t>
            </w:r>
          </w:p>
          <w:p w:rsidR="00F47F84" w:rsidRPr="00354440" w:rsidRDefault="00F47F84" w:rsidP="005F26F2">
            <w:pPr>
              <w:jc w:val="both"/>
              <w:rPr>
                <w:rFonts w:eastAsia="Calibri"/>
                <w:sz w:val="20"/>
              </w:rPr>
            </w:pPr>
            <w:r w:rsidRPr="00354440">
              <w:rPr>
                <w:rFonts w:eastAsia="Calibri"/>
                <w:sz w:val="20"/>
              </w:rPr>
              <w:t>Supreme Court of Canada</w:t>
            </w: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rPr>
            </w:pPr>
            <w:r w:rsidRPr="00354440">
              <w:rPr>
                <w:rFonts w:eastAsia="Calibri"/>
                <w:sz w:val="20"/>
              </w:rPr>
              <w:t>Application for leave to appeal filed</w:t>
            </w:r>
          </w:p>
          <w:p w:rsidR="00F47F84" w:rsidRPr="00354440" w:rsidRDefault="00F47F84" w:rsidP="005F26F2">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52"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F47F84" w:rsidRPr="001D43E1" w:rsidTr="005F26F2">
        <w:tc>
          <w:tcPr>
            <w:tcW w:w="5000" w:type="pct"/>
            <w:gridSpan w:val="3"/>
          </w:tcPr>
          <w:p w:rsidR="00F47F84" w:rsidRPr="00354440" w:rsidRDefault="00F47F84" w:rsidP="005F26F2">
            <w:pPr>
              <w:jc w:val="both"/>
              <w:rPr>
                <w:rFonts w:eastAsia="Calibri"/>
                <w:sz w:val="20"/>
                <w:lang w:val="fr-FR"/>
              </w:rPr>
            </w:pPr>
            <w:r w:rsidRPr="00354440">
              <w:rPr>
                <w:rFonts w:eastAsia="Calibri"/>
                <w:i/>
                <w:sz w:val="20"/>
                <w:lang w:val="fr-FR"/>
              </w:rPr>
              <w:t xml:space="preserve">Charte des droits et libertés </w:t>
            </w:r>
            <w:r w:rsidRPr="00354440">
              <w:rPr>
                <w:rFonts w:eastAsia="Calibri"/>
                <w:sz w:val="20"/>
                <w:lang w:val="fr-CA"/>
              </w:rPr>
              <w:noBreakHyphen/>
              <w:t xml:space="preserve"> Détention arbitraire </w:t>
            </w:r>
            <w:r w:rsidRPr="00354440">
              <w:rPr>
                <w:rFonts w:eastAsia="Calibri"/>
                <w:sz w:val="20"/>
                <w:lang w:val="fr-CA"/>
              </w:rPr>
              <w:noBreakHyphen/>
              <w:t xml:space="preserve"> Principes de justice fondamentale </w:t>
            </w:r>
            <w:r w:rsidRPr="00354440">
              <w:rPr>
                <w:rFonts w:eastAsia="Calibri"/>
                <w:sz w:val="20"/>
                <w:lang w:val="fr-CA"/>
              </w:rPr>
              <w:noBreakHyphen/>
              <w:t xml:space="preserve"> Brefs de prérogative </w:t>
            </w:r>
            <w:r w:rsidRPr="00354440">
              <w:rPr>
                <w:rFonts w:eastAsia="Calibri"/>
                <w:sz w:val="20"/>
                <w:lang w:val="fr-CA"/>
              </w:rPr>
              <w:noBreakHyphen/>
              <w:t xml:space="preserve"> </w:t>
            </w:r>
            <w:r w:rsidRPr="00354440">
              <w:rPr>
                <w:rFonts w:eastAsia="Calibri"/>
                <w:i/>
                <w:sz w:val="20"/>
                <w:lang w:val="fr-CA"/>
              </w:rPr>
              <w:t>Habeas corpus</w:t>
            </w:r>
            <w:r w:rsidRPr="00354440">
              <w:rPr>
                <w:rFonts w:eastAsia="Calibri"/>
                <w:sz w:val="20"/>
                <w:lang w:val="fr-CA"/>
              </w:rPr>
              <w:t xml:space="preserve"> </w:t>
            </w:r>
            <w:r w:rsidRPr="00354440">
              <w:rPr>
                <w:rFonts w:eastAsia="Calibri"/>
                <w:sz w:val="20"/>
                <w:lang w:val="fr-CA"/>
              </w:rPr>
              <w:noBreakHyphen/>
              <w:t xml:space="preserve"> Prisons </w:t>
            </w:r>
            <w:r w:rsidRPr="00354440">
              <w:rPr>
                <w:rFonts w:eastAsia="Calibri"/>
                <w:sz w:val="20"/>
                <w:lang w:val="fr-CA"/>
              </w:rPr>
              <w:noBreakHyphen/>
              <w:t xml:space="preserve"> Communication de renseignements nécessaire pendant le reclassement et le transfèrement des détenus </w:t>
            </w:r>
            <w:r w:rsidRPr="00354440">
              <w:rPr>
                <w:rFonts w:eastAsia="Calibri"/>
                <w:sz w:val="20"/>
                <w:lang w:val="fr-CA"/>
              </w:rPr>
              <w:noBreakHyphen/>
              <w:t xml:space="preserve"> Une demande de libération par voie d’</w:t>
            </w:r>
            <w:r w:rsidRPr="00354440">
              <w:rPr>
                <w:rFonts w:eastAsia="Calibri"/>
                <w:i/>
                <w:sz w:val="20"/>
                <w:lang w:val="fr-CA"/>
              </w:rPr>
              <w:t>habeas corpus</w:t>
            </w:r>
            <w:r w:rsidRPr="00354440">
              <w:rPr>
                <w:rFonts w:eastAsia="Calibri"/>
                <w:sz w:val="20"/>
                <w:lang w:val="fr-CA"/>
              </w:rPr>
              <w:t xml:space="preserve"> a</w:t>
            </w:r>
            <w:r w:rsidRPr="00354440">
              <w:rPr>
                <w:rFonts w:eastAsia="Calibri"/>
                <w:sz w:val="20"/>
                <w:lang w:val="fr-CA"/>
              </w:rPr>
              <w:noBreakHyphen/>
              <w:t>t</w:t>
            </w:r>
            <w:r w:rsidRPr="00354440">
              <w:rPr>
                <w:rFonts w:eastAsia="Calibri"/>
                <w:sz w:val="20"/>
                <w:lang w:val="fr-CA"/>
              </w:rPr>
              <w:noBreakHyphen/>
              <w:t xml:space="preserve">elle essentiellement la même portée qu’une demande de contrôle judiciaire de la décision qui entraîne une privation de liberté? </w:t>
            </w:r>
            <w:r w:rsidRPr="00354440">
              <w:rPr>
                <w:rFonts w:eastAsia="Calibri"/>
                <w:sz w:val="20"/>
                <w:lang w:val="fr-CA"/>
              </w:rPr>
              <w:noBreakHyphen/>
              <w:t xml:space="preserve"> Les mêmes motifs que ceux d’une demande de contrôle judiciaire et la même analyse de la norme de contrôle s’appliquent</w:t>
            </w:r>
            <w:r w:rsidRPr="00354440">
              <w:rPr>
                <w:rFonts w:eastAsia="Calibri"/>
                <w:sz w:val="20"/>
                <w:lang w:val="fr-CA"/>
              </w:rPr>
              <w:noBreakHyphen/>
              <w:t>ils dans le contexte d’une demande d’</w:t>
            </w:r>
            <w:r w:rsidRPr="00354440">
              <w:rPr>
                <w:rFonts w:eastAsia="Calibri"/>
                <w:i/>
                <w:sz w:val="20"/>
                <w:lang w:val="fr-CA"/>
              </w:rPr>
              <w:t>habeas corpus</w:t>
            </w:r>
            <w:r w:rsidRPr="00354440">
              <w:rPr>
                <w:rFonts w:eastAsia="Calibri"/>
                <w:sz w:val="20"/>
                <w:lang w:val="fr-CA"/>
              </w:rPr>
              <w:t xml:space="preserve">? </w:t>
            </w:r>
            <w:r w:rsidRPr="00354440">
              <w:rPr>
                <w:rFonts w:eastAsia="Calibri"/>
                <w:sz w:val="20"/>
                <w:lang w:val="fr-CA"/>
              </w:rPr>
              <w:noBreakHyphen/>
              <w:t xml:space="preserve"> Lorsqu’un détenu est l’objet d’un transfèrement, l’équité procédurale exige</w:t>
            </w:r>
            <w:r w:rsidRPr="00354440">
              <w:rPr>
                <w:rFonts w:eastAsia="Calibri"/>
                <w:sz w:val="20"/>
                <w:lang w:val="fr-CA"/>
              </w:rPr>
              <w:noBreakHyphen/>
              <w:t>t</w:t>
            </w:r>
            <w:r w:rsidRPr="00354440">
              <w:rPr>
                <w:rFonts w:eastAsia="Calibri"/>
                <w:sz w:val="20"/>
                <w:lang w:val="fr-CA"/>
              </w:rPr>
              <w:noBreakHyphen/>
              <w:t>elle la communication de renseignements suffisants pour répondre valablement ou bien la communication de tous les renseignements considérés par le directeur ou, si des renseignements sont retenus, oblige</w:t>
            </w:r>
            <w:r w:rsidRPr="00354440">
              <w:rPr>
                <w:rFonts w:eastAsia="Calibri"/>
                <w:sz w:val="20"/>
                <w:lang w:val="fr-CA"/>
              </w:rPr>
              <w:noBreakHyphen/>
              <w:t>t</w:t>
            </w:r>
            <w:r w:rsidRPr="00354440">
              <w:rPr>
                <w:rFonts w:eastAsia="Calibri"/>
                <w:sz w:val="20"/>
                <w:lang w:val="fr-CA"/>
              </w:rPr>
              <w:noBreakHyphen/>
              <w:t xml:space="preserve">elle le directeur à justifier sa décision de retenir les renseignements? </w:t>
            </w:r>
          </w:p>
        </w:tc>
      </w:tr>
      <w:tr w:rsidR="00F47F84" w:rsidRPr="001D43E1" w:rsidTr="005F26F2">
        <w:tc>
          <w:tcPr>
            <w:tcW w:w="5000" w:type="pct"/>
            <w:gridSpan w:val="3"/>
          </w:tcPr>
          <w:p w:rsidR="00F47F84" w:rsidRPr="00354440" w:rsidRDefault="00F47F84" w:rsidP="005F26F2">
            <w:pPr>
              <w:jc w:val="both"/>
              <w:rPr>
                <w:rFonts w:eastAsia="Calibri"/>
                <w:sz w:val="20"/>
                <w:lang w:val="fr-FR"/>
              </w:rPr>
            </w:pPr>
          </w:p>
        </w:tc>
      </w:tr>
      <w:tr w:rsidR="00F47F84" w:rsidRPr="001D43E1" w:rsidTr="005F26F2">
        <w:tc>
          <w:tcPr>
            <w:tcW w:w="5000" w:type="pct"/>
            <w:gridSpan w:val="3"/>
          </w:tcPr>
          <w:p w:rsidR="00F47F84" w:rsidRPr="00354440" w:rsidRDefault="00F47F84" w:rsidP="005F26F2">
            <w:pPr>
              <w:jc w:val="both"/>
              <w:rPr>
                <w:rFonts w:eastAsia="Calibri"/>
                <w:sz w:val="20"/>
                <w:lang w:val="fr-FR"/>
              </w:rPr>
            </w:pPr>
            <w:r w:rsidRPr="00354440">
              <w:rPr>
                <w:rFonts w:eastAsia="Calibri"/>
                <w:sz w:val="20"/>
                <w:lang w:val="fr-FR"/>
              </w:rPr>
              <w:t xml:space="preserve">L’intimé, un détenu classé comme présentant un risque moyen en matière de sécurité, purgeait sa peine à l’Établissement de Mission, un établissement à sécurité moyenne.  Le 23 septembre 2009, un autre détenu de l’Établissement de Mission a été poignardé.  Le service de renseignement de sécurité de Mission a fait enquête.  Selon des sources non identifiées et deux tuyaux anonymes, l’intimé et un autre détenu se sont vu payer 3 grammes d’héroïne par un troisième détenu pour poignarder la victime.  Les </w:t>
            </w:r>
            <w:r w:rsidRPr="00354440">
              <w:rPr>
                <w:rFonts w:eastAsia="Calibri"/>
                <w:sz w:val="20"/>
                <w:lang w:val="fr-CA"/>
              </w:rPr>
              <w:t xml:space="preserve">conclusions ont été communiquées à la directrice de l’Établissement de Mission dans un rapport sur les renseignements de sécurité.  La directrice a ordonné le transfèrement  non sollicité d’urgence de l’intimé à l’Établissement de Kent, un établissement à sécurité maximale.  L’intimé a reçu un avis de recommandation d’un transfèrement non sollicité d’urgence et une évaluation en vue d’une décision, et il s’est vu accorder l’occasion de présenter des observations.  Il a présenté des observations et a contesté en partie le caractère suffisant de la communication des renseignements sur lesquels la directrice s’était appuyée.  La directrice a ensuite fourni l’avis de décision finale qui le reclassait comme présentant un risque maximal en matière de sécurité et confirmait son transfèrement à Kent. </w:t>
            </w:r>
            <w:r w:rsidRPr="00354440">
              <w:rPr>
                <w:rFonts w:eastAsia="Calibri"/>
                <w:sz w:val="20"/>
                <w:lang w:val="fr-FR"/>
              </w:rPr>
              <w:t xml:space="preserve">  </w:t>
            </w:r>
          </w:p>
          <w:p w:rsidR="00F47F84" w:rsidRPr="00354440" w:rsidRDefault="00F47F84" w:rsidP="005F26F2">
            <w:pPr>
              <w:jc w:val="both"/>
              <w:rPr>
                <w:rFonts w:eastAsia="Calibri"/>
                <w:sz w:val="20"/>
                <w:lang w:val="fr-FR"/>
              </w:rPr>
            </w:pPr>
          </w:p>
        </w:tc>
      </w:tr>
      <w:tr w:rsidR="00F47F84" w:rsidRPr="00354440" w:rsidTr="005F26F2">
        <w:tblPrEx>
          <w:tblCellMar>
            <w:bottom w:w="0" w:type="dxa"/>
          </w:tblCellMar>
        </w:tblPrEx>
        <w:tc>
          <w:tcPr>
            <w:tcW w:w="2390" w:type="pct"/>
          </w:tcPr>
          <w:p w:rsidR="00F47F84" w:rsidRPr="00EF36FB" w:rsidRDefault="00F47F84" w:rsidP="005F26F2">
            <w:pPr>
              <w:jc w:val="both"/>
              <w:rPr>
                <w:rFonts w:eastAsia="Calibri"/>
                <w:sz w:val="20"/>
                <w:lang w:val="fr-CA"/>
              </w:rPr>
            </w:pPr>
            <w:r w:rsidRPr="00EF36FB">
              <w:rPr>
                <w:rFonts w:eastAsia="Calibri"/>
                <w:sz w:val="20"/>
                <w:lang w:val="fr-CA"/>
              </w:rPr>
              <w:t>3 juin 2010</w:t>
            </w:r>
          </w:p>
          <w:p w:rsidR="00F47F84" w:rsidRPr="00EF36FB" w:rsidRDefault="00F47F84" w:rsidP="005F26F2">
            <w:pPr>
              <w:jc w:val="both"/>
              <w:rPr>
                <w:rFonts w:eastAsia="Calibri"/>
                <w:sz w:val="20"/>
                <w:lang w:val="fr-CA"/>
              </w:rPr>
            </w:pPr>
            <w:r w:rsidRPr="00EF36FB">
              <w:rPr>
                <w:rFonts w:eastAsia="Calibri"/>
                <w:sz w:val="20"/>
                <w:lang w:val="fr-CA"/>
              </w:rPr>
              <w:t>Cour suprême de la Colombie</w:t>
            </w:r>
            <w:r w:rsidRPr="00EF36FB">
              <w:rPr>
                <w:rFonts w:eastAsia="Calibri"/>
                <w:sz w:val="20"/>
                <w:lang w:val="fr-CA"/>
              </w:rPr>
              <w:noBreakHyphen/>
              <w:t>Britannique</w:t>
            </w:r>
          </w:p>
          <w:p w:rsidR="00F47F84" w:rsidRPr="00EF36FB" w:rsidRDefault="00F47F84" w:rsidP="005F26F2">
            <w:pPr>
              <w:jc w:val="both"/>
              <w:rPr>
                <w:rFonts w:eastAsia="Calibri"/>
                <w:sz w:val="20"/>
                <w:lang w:val="fr-CA"/>
              </w:rPr>
            </w:pPr>
            <w:r w:rsidRPr="00EF36FB">
              <w:rPr>
                <w:rFonts w:eastAsia="Calibri"/>
                <w:sz w:val="20"/>
                <w:lang w:val="fr-CA"/>
              </w:rPr>
              <w:t>(Juge Bruce)</w:t>
            </w:r>
          </w:p>
          <w:p w:rsidR="00F47F84" w:rsidRPr="00EF36FB" w:rsidRDefault="00F47F84" w:rsidP="005F26F2">
            <w:pPr>
              <w:jc w:val="both"/>
              <w:rPr>
                <w:rFonts w:eastAsia="Calibri"/>
                <w:sz w:val="20"/>
                <w:lang w:val="fr-CA"/>
              </w:rPr>
            </w:pPr>
            <w:r w:rsidRPr="00EF36FB">
              <w:rPr>
                <w:rFonts w:eastAsia="Calibri"/>
                <w:sz w:val="20"/>
                <w:lang w:val="fr-CA"/>
              </w:rPr>
              <w:t>2010 BCSC 781</w:t>
            </w:r>
          </w:p>
          <w:p w:rsidR="00F47F84" w:rsidRPr="00354440" w:rsidRDefault="00F47F84" w:rsidP="005F26F2">
            <w:pPr>
              <w:jc w:val="both"/>
              <w:rPr>
                <w:rFonts w:eastAsia="Calibri"/>
                <w:sz w:val="20"/>
              </w:rPr>
            </w:pPr>
          </w:p>
        </w:tc>
        <w:tc>
          <w:tcPr>
            <w:tcW w:w="270" w:type="pct"/>
          </w:tcPr>
          <w:p w:rsidR="00F47F84" w:rsidRPr="00354440" w:rsidRDefault="00F47F84" w:rsidP="005F26F2">
            <w:pPr>
              <w:jc w:val="both"/>
              <w:rPr>
                <w:rFonts w:eastAsia="Calibri"/>
                <w:sz w:val="20"/>
              </w:rPr>
            </w:pPr>
          </w:p>
        </w:tc>
        <w:tc>
          <w:tcPr>
            <w:tcW w:w="2340" w:type="pct"/>
          </w:tcPr>
          <w:p w:rsidR="00F47F84" w:rsidRPr="00EF36FB" w:rsidRDefault="00F47F84" w:rsidP="005F26F2">
            <w:pPr>
              <w:jc w:val="both"/>
              <w:rPr>
                <w:rFonts w:eastAsia="Calibri"/>
                <w:sz w:val="20"/>
                <w:lang w:val="fr-CA"/>
              </w:rPr>
            </w:pPr>
            <w:r w:rsidRPr="00EF36FB">
              <w:rPr>
                <w:rFonts w:eastAsia="Calibri"/>
                <w:sz w:val="20"/>
                <w:lang w:val="fr-CA"/>
              </w:rPr>
              <w:t>Demande d’</w:t>
            </w:r>
            <w:r w:rsidRPr="00EF36FB">
              <w:rPr>
                <w:rFonts w:eastAsia="Calibri"/>
                <w:i/>
                <w:sz w:val="20"/>
                <w:lang w:val="fr-CA"/>
              </w:rPr>
              <w:t>habeas corpus</w:t>
            </w:r>
            <w:r w:rsidRPr="00EF36FB">
              <w:rPr>
                <w:rFonts w:eastAsia="Calibri"/>
                <w:sz w:val="20"/>
                <w:lang w:val="fr-CA"/>
              </w:rPr>
              <w:t xml:space="preserve"> rejetée</w:t>
            </w:r>
          </w:p>
          <w:p w:rsidR="00F47F84" w:rsidRPr="00354440" w:rsidRDefault="00F47F84" w:rsidP="005F26F2">
            <w:pPr>
              <w:jc w:val="both"/>
              <w:rPr>
                <w:rFonts w:eastAsia="Calibri"/>
                <w:sz w:val="20"/>
              </w:rPr>
            </w:pPr>
          </w:p>
        </w:tc>
      </w:tr>
      <w:tr w:rsidR="00F47F84" w:rsidRPr="001D43E1" w:rsidTr="005F26F2">
        <w:tblPrEx>
          <w:tblCellMar>
            <w:bottom w:w="0" w:type="dxa"/>
          </w:tblCellMar>
        </w:tblPrEx>
        <w:tc>
          <w:tcPr>
            <w:tcW w:w="2390" w:type="pct"/>
          </w:tcPr>
          <w:p w:rsidR="00F47F84" w:rsidRPr="00EF36FB" w:rsidRDefault="00F47F84" w:rsidP="005F26F2">
            <w:pPr>
              <w:jc w:val="both"/>
              <w:rPr>
                <w:rFonts w:eastAsia="Calibri"/>
                <w:sz w:val="20"/>
                <w:lang w:val="fr-CA"/>
              </w:rPr>
            </w:pPr>
            <w:r w:rsidRPr="00EF36FB">
              <w:rPr>
                <w:rFonts w:eastAsia="Calibri"/>
                <w:sz w:val="20"/>
                <w:lang w:val="fr-CA"/>
              </w:rPr>
              <w:t>9 novembre 2011</w:t>
            </w:r>
          </w:p>
          <w:p w:rsidR="00F47F84" w:rsidRPr="00EF36FB" w:rsidRDefault="00F47F84" w:rsidP="005F26F2">
            <w:pPr>
              <w:jc w:val="both"/>
              <w:rPr>
                <w:rFonts w:eastAsia="Calibri"/>
                <w:sz w:val="20"/>
                <w:lang w:val="fr-CA"/>
              </w:rPr>
            </w:pPr>
            <w:r w:rsidRPr="00EF36FB">
              <w:rPr>
                <w:rFonts w:eastAsia="Calibri"/>
                <w:sz w:val="20"/>
                <w:lang w:val="fr-CA"/>
              </w:rPr>
              <w:t>Cour d’appel de la Colombie</w:t>
            </w:r>
            <w:r w:rsidRPr="00EF36FB">
              <w:rPr>
                <w:rFonts w:eastAsia="Calibri"/>
                <w:sz w:val="20"/>
                <w:lang w:val="fr-CA"/>
              </w:rPr>
              <w:noBreakHyphen/>
              <w:t>Britannique (Vancouver)</w:t>
            </w:r>
          </w:p>
          <w:p w:rsidR="00F47F84" w:rsidRPr="00EF36FB" w:rsidRDefault="00F47F84" w:rsidP="005F26F2">
            <w:pPr>
              <w:jc w:val="both"/>
              <w:rPr>
                <w:rFonts w:eastAsia="Calibri"/>
                <w:sz w:val="20"/>
                <w:lang w:val="fr-CA"/>
              </w:rPr>
            </w:pPr>
            <w:r w:rsidRPr="00EF36FB">
              <w:rPr>
                <w:rFonts w:eastAsia="Calibri"/>
                <w:sz w:val="20"/>
                <w:lang w:val="fr-CA"/>
              </w:rPr>
              <w:t>(Juges Smith, Chiasson et Groberman)</w:t>
            </w:r>
          </w:p>
          <w:p w:rsidR="00F47F84" w:rsidRPr="00354440" w:rsidRDefault="00F47F84" w:rsidP="005F26F2">
            <w:pPr>
              <w:jc w:val="both"/>
              <w:rPr>
                <w:rFonts w:eastAsia="Calibri"/>
                <w:sz w:val="20"/>
              </w:rPr>
            </w:pPr>
            <w:r w:rsidRPr="00EF36FB">
              <w:rPr>
                <w:rFonts w:eastAsia="Calibri"/>
                <w:sz w:val="20"/>
                <w:lang w:val="fr-CA"/>
              </w:rPr>
              <w:t>2011 BCCA 451, CA038258</w:t>
            </w: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lang w:val="fr-FR"/>
              </w:rPr>
            </w:pPr>
            <w:r w:rsidRPr="00354440">
              <w:rPr>
                <w:rFonts w:eastAsia="Calibri"/>
                <w:sz w:val="20"/>
                <w:lang w:val="fr-FR"/>
              </w:rPr>
              <w:t>Appel accueilli, ordonnance rejetant la demande d’</w:t>
            </w:r>
            <w:r w:rsidRPr="00354440">
              <w:rPr>
                <w:rFonts w:eastAsia="Calibri"/>
                <w:i/>
                <w:sz w:val="20"/>
                <w:lang w:val="fr-FR"/>
              </w:rPr>
              <w:t>habeas corpus</w:t>
            </w:r>
            <w:r w:rsidRPr="00354440">
              <w:rPr>
                <w:rFonts w:eastAsia="Calibri"/>
                <w:sz w:val="20"/>
                <w:lang w:val="fr-FR"/>
              </w:rPr>
              <w:t xml:space="preserve"> annulée, ordonnance portant que l’intimé doit être libéré de l’Établissement de Kent et renvoyé sous garde dans un établissement à sécurité moyenne pour y être traité comme les autorités carcérales l’estiment indiqué  </w:t>
            </w:r>
          </w:p>
          <w:p w:rsidR="00F47F84" w:rsidRPr="00354440" w:rsidRDefault="00F47F84" w:rsidP="005F26F2">
            <w:pPr>
              <w:jc w:val="both"/>
              <w:rPr>
                <w:rFonts w:eastAsia="Calibri"/>
                <w:sz w:val="20"/>
                <w:lang w:val="fr-FR"/>
              </w:rPr>
            </w:pPr>
          </w:p>
        </w:tc>
      </w:tr>
      <w:tr w:rsidR="00F47F84" w:rsidRPr="00354440" w:rsidTr="005F26F2">
        <w:tblPrEx>
          <w:tblCellMar>
            <w:bottom w:w="0" w:type="dxa"/>
          </w:tblCellMar>
        </w:tblPrEx>
        <w:tc>
          <w:tcPr>
            <w:tcW w:w="2390" w:type="pct"/>
          </w:tcPr>
          <w:p w:rsidR="00F47F84" w:rsidRPr="00354440" w:rsidRDefault="00F47F84" w:rsidP="005F26F2">
            <w:pPr>
              <w:jc w:val="both"/>
              <w:rPr>
                <w:rFonts w:eastAsia="Calibri"/>
                <w:sz w:val="20"/>
                <w:lang w:val="fr-FR"/>
              </w:rPr>
            </w:pPr>
            <w:r w:rsidRPr="00354440">
              <w:rPr>
                <w:rFonts w:eastAsia="Calibri"/>
                <w:sz w:val="20"/>
                <w:lang w:val="fr-FR"/>
              </w:rPr>
              <w:t>9 janvier 2012</w:t>
            </w:r>
          </w:p>
          <w:p w:rsidR="00F47F84" w:rsidRPr="00354440" w:rsidRDefault="00F47F84" w:rsidP="005F26F2">
            <w:pPr>
              <w:jc w:val="both"/>
              <w:rPr>
                <w:rFonts w:eastAsia="Calibri"/>
                <w:sz w:val="20"/>
                <w:lang w:val="fr-FR"/>
              </w:rPr>
            </w:pPr>
            <w:r w:rsidRPr="00354440">
              <w:rPr>
                <w:rFonts w:eastAsia="Calibri"/>
                <w:sz w:val="20"/>
                <w:lang w:val="fr-FR"/>
              </w:rPr>
              <w:t>Cour suprême du Canada</w:t>
            </w:r>
          </w:p>
        </w:tc>
        <w:tc>
          <w:tcPr>
            <w:tcW w:w="270" w:type="pct"/>
          </w:tcPr>
          <w:p w:rsidR="00F47F84" w:rsidRPr="00354440" w:rsidRDefault="00F47F84" w:rsidP="005F26F2">
            <w:pPr>
              <w:jc w:val="both"/>
              <w:rPr>
                <w:rFonts w:eastAsia="Calibri"/>
                <w:sz w:val="20"/>
                <w:lang w:val="fr-FR"/>
              </w:rPr>
            </w:pPr>
          </w:p>
        </w:tc>
        <w:tc>
          <w:tcPr>
            <w:tcW w:w="2340" w:type="pct"/>
          </w:tcPr>
          <w:p w:rsidR="00F47F84" w:rsidRPr="00EF36FB" w:rsidRDefault="00F47F84" w:rsidP="005F26F2">
            <w:pPr>
              <w:jc w:val="both"/>
              <w:rPr>
                <w:rFonts w:eastAsia="Calibri"/>
                <w:sz w:val="20"/>
                <w:lang w:val="fr-CA"/>
              </w:rPr>
            </w:pPr>
            <w:r w:rsidRPr="00EF36FB">
              <w:rPr>
                <w:rFonts w:eastAsia="Calibri"/>
                <w:sz w:val="20"/>
                <w:lang w:val="fr-CA"/>
              </w:rPr>
              <w:t xml:space="preserve">Demande d’autorisation d’appel déposée </w:t>
            </w:r>
          </w:p>
          <w:p w:rsidR="00F47F84" w:rsidRPr="00354440" w:rsidRDefault="00F47F84" w:rsidP="005F26F2">
            <w:pPr>
              <w:jc w:val="both"/>
              <w:rPr>
                <w:rFonts w:eastAsia="Calibri"/>
                <w:sz w:val="20"/>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53"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2705" w:rsidRPr="00ED4B6E" w:rsidTr="00066741">
        <w:trPr>
          <w:cantSplit/>
        </w:trPr>
        <w:tc>
          <w:tcPr>
            <w:tcW w:w="1458" w:type="dxa"/>
          </w:tcPr>
          <w:p w:rsidR="004A2705" w:rsidRPr="00ED4B6E" w:rsidRDefault="004A2705" w:rsidP="00066741">
            <w:pPr>
              <w:rPr>
                <w:sz w:val="20"/>
                <w:szCs w:val="20"/>
              </w:rPr>
            </w:pPr>
            <w:r w:rsidRPr="00ED4B6E">
              <w:rPr>
                <w:rStyle w:val="SCCFileNumberChar"/>
                <w:sz w:val="20"/>
                <w:szCs w:val="20"/>
              </w:rPr>
              <w:t>34609</w:t>
            </w:r>
          </w:p>
          <w:p w:rsidR="004A2705" w:rsidRPr="00ED4B6E" w:rsidRDefault="004A2705" w:rsidP="00066741">
            <w:pPr>
              <w:rPr>
                <w:b/>
                <w:sz w:val="20"/>
                <w:szCs w:val="20"/>
                <w:lang w:val="fr-CA"/>
              </w:rPr>
            </w:pPr>
          </w:p>
        </w:tc>
        <w:tc>
          <w:tcPr>
            <w:tcW w:w="8118" w:type="dxa"/>
          </w:tcPr>
          <w:p w:rsidR="004A2705" w:rsidRPr="00ED4B6E" w:rsidRDefault="004A2705" w:rsidP="00066741">
            <w:pPr>
              <w:jc w:val="both"/>
              <w:rPr>
                <w:sz w:val="20"/>
                <w:szCs w:val="20"/>
              </w:rPr>
            </w:pPr>
            <w:r w:rsidRPr="004A2705">
              <w:rPr>
                <w:rStyle w:val="SCCLsocChar"/>
                <w:sz w:val="20"/>
                <w:szCs w:val="20"/>
                <w:lang w:val="en-CA"/>
              </w:rPr>
              <w:t>Diane Knopf</w:t>
            </w:r>
            <w:r w:rsidR="00080962">
              <w:rPr>
                <w:rStyle w:val="SCCLsocChar"/>
                <w:sz w:val="20"/>
                <w:szCs w:val="20"/>
                <w:lang w:val="en-CA"/>
              </w:rPr>
              <w:t>, Warden of Mission Institution and</w:t>
            </w:r>
            <w:r w:rsidRPr="004A2705">
              <w:rPr>
                <w:rStyle w:val="SCCLsocChar"/>
                <w:sz w:val="20"/>
                <w:szCs w:val="20"/>
                <w:lang w:val="en-CA"/>
              </w:rPr>
              <w:t xml:space="preserve"> Harold Massey, Warden of Kent Institution v. Gurkirpal Singh Khela</w:t>
            </w:r>
            <w:r w:rsidRPr="00ED4B6E">
              <w:rPr>
                <w:sz w:val="20"/>
                <w:szCs w:val="20"/>
              </w:rPr>
              <w:t xml:space="preserve"> (B.C.) (Criminal) (By Leave)</w:t>
            </w:r>
          </w:p>
          <w:p w:rsidR="004A2705" w:rsidRPr="00ED4B6E" w:rsidRDefault="004A2705" w:rsidP="00066741">
            <w:pPr>
              <w:rPr>
                <w:sz w:val="20"/>
                <w:szCs w:val="20"/>
              </w:rPr>
            </w:pPr>
          </w:p>
        </w:tc>
      </w:tr>
      <w:tr w:rsidR="004A2705" w:rsidRPr="00ED4B6E" w:rsidTr="00066741">
        <w:trPr>
          <w:cantSplit/>
        </w:trPr>
        <w:tc>
          <w:tcPr>
            <w:tcW w:w="1458" w:type="dxa"/>
          </w:tcPr>
          <w:p w:rsidR="004A2705" w:rsidRPr="00ED4B6E" w:rsidRDefault="004A2705" w:rsidP="00066741">
            <w:pPr>
              <w:rPr>
                <w:sz w:val="20"/>
                <w:szCs w:val="20"/>
              </w:rPr>
            </w:pPr>
            <w:r w:rsidRPr="00ED4B6E">
              <w:rPr>
                <w:sz w:val="20"/>
                <w:szCs w:val="20"/>
              </w:rPr>
              <w:t>Coram :</w:t>
            </w:r>
          </w:p>
        </w:tc>
        <w:tc>
          <w:tcPr>
            <w:tcW w:w="8118" w:type="dxa"/>
          </w:tcPr>
          <w:p w:rsidR="004A2705" w:rsidRPr="00ED4B6E" w:rsidRDefault="004A2705" w:rsidP="00066741">
            <w:pPr>
              <w:rPr>
                <w:sz w:val="20"/>
                <w:szCs w:val="20"/>
              </w:rPr>
            </w:pPr>
            <w:r w:rsidRPr="004A2705">
              <w:rPr>
                <w:rStyle w:val="SCCCoramChar"/>
                <w:sz w:val="20"/>
                <w:szCs w:val="20"/>
                <w:lang w:val="en-CA"/>
              </w:rPr>
              <w:t>McLachlin C.J. and Rothstein and Moldaver JJ.</w:t>
            </w:r>
          </w:p>
          <w:p w:rsidR="004A2705" w:rsidRPr="00ED4B6E" w:rsidRDefault="004A2705" w:rsidP="00066741">
            <w:pPr>
              <w:rPr>
                <w:sz w:val="20"/>
                <w:szCs w:val="20"/>
                <w:u w:val="single"/>
              </w:rPr>
            </w:pPr>
          </w:p>
        </w:tc>
      </w:tr>
      <w:tr w:rsidR="004A2705" w:rsidRPr="001D43E1" w:rsidTr="00066741">
        <w:trPr>
          <w:cantSplit/>
        </w:trPr>
        <w:tc>
          <w:tcPr>
            <w:tcW w:w="9576" w:type="dxa"/>
            <w:gridSpan w:val="2"/>
          </w:tcPr>
          <w:p w:rsidR="004A2705" w:rsidRPr="00ED4B6E" w:rsidRDefault="004A2705" w:rsidP="00066741">
            <w:pPr>
              <w:pStyle w:val="SCCShortJudgment"/>
              <w:rPr>
                <w:szCs w:val="20"/>
              </w:rPr>
            </w:pPr>
            <w:r w:rsidRPr="00ED4B6E">
              <w:rPr>
                <w:szCs w:val="20"/>
              </w:rPr>
              <w:t>The application for leave to appeal from the judgment of the Court of Appeal for British Columbia (Vancouver), Number CA038224, 2011 BCCA 450, dated November 9, 2011, is granted with costs in the cause.</w:t>
            </w:r>
          </w:p>
          <w:p w:rsidR="004A2705" w:rsidRPr="00ED4B6E" w:rsidRDefault="004A2705" w:rsidP="00066741">
            <w:pPr>
              <w:pStyle w:val="SCCShortJudgment"/>
              <w:ind w:firstLine="0"/>
              <w:rPr>
                <w:szCs w:val="20"/>
              </w:rPr>
            </w:pPr>
          </w:p>
          <w:p w:rsidR="004A2705" w:rsidRPr="00ED4B6E" w:rsidRDefault="004A2705" w:rsidP="00066741">
            <w:pPr>
              <w:pStyle w:val="SCCShortJudgment"/>
              <w:rPr>
                <w:szCs w:val="20"/>
                <w:lang w:val="fr-CA"/>
              </w:rPr>
            </w:pPr>
            <w:r w:rsidRPr="00ED4B6E">
              <w:rPr>
                <w:szCs w:val="20"/>
                <w:lang w:val="fr-CA"/>
              </w:rPr>
              <w:t>La demande d’autorisation d’appel de l’arrêt de la Cour d’appel de la Colombie-Britannique (Vancouver), numéro CA038224, 2011 BCCA 450, daté du 9 novembre 2011, est accueillie avec dépens suivant l’issue de la cause.</w:t>
            </w:r>
          </w:p>
        </w:tc>
      </w:tr>
    </w:tbl>
    <w:p w:rsidR="00441FC4" w:rsidRPr="004A2705"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F47F84" w:rsidRPr="00354440" w:rsidTr="005F26F2">
        <w:tc>
          <w:tcPr>
            <w:tcW w:w="5000" w:type="pct"/>
            <w:gridSpan w:val="3"/>
          </w:tcPr>
          <w:p w:rsidR="00F47F84" w:rsidRPr="00354440" w:rsidRDefault="00F47F84" w:rsidP="005F26F2">
            <w:pPr>
              <w:jc w:val="both"/>
              <w:rPr>
                <w:rFonts w:eastAsia="Calibri"/>
                <w:sz w:val="20"/>
              </w:rPr>
            </w:pPr>
            <w:r w:rsidRPr="00354440">
              <w:rPr>
                <w:rFonts w:eastAsia="Calibri"/>
                <w:i/>
                <w:sz w:val="20"/>
              </w:rPr>
              <w:t>Charter of Rights and Freedoms</w:t>
            </w:r>
            <w:r w:rsidRPr="00354440">
              <w:rPr>
                <w:rFonts w:eastAsia="Calibri"/>
                <w:sz w:val="20"/>
              </w:rPr>
              <w:t xml:space="preserve"> </w:t>
            </w:r>
            <w:r w:rsidRPr="00354440">
              <w:rPr>
                <w:rFonts w:eastAsia="Calibri"/>
                <w:sz w:val="20"/>
              </w:rPr>
              <w:noBreakHyphen/>
              <w:t xml:space="preserve"> Arbitrary detention </w:t>
            </w:r>
            <w:r w:rsidRPr="00354440">
              <w:rPr>
                <w:rFonts w:eastAsia="Calibri"/>
                <w:sz w:val="20"/>
              </w:rPr>
              <w:noBreakHyphen/>
              <w:t xml:space="preserve"> Principles of fundamental justice </w:t>
            </w:r>
            <w:r w:rsidRPr="00354440">
              <w:rPr>
                <w:rFonts w:eastAsia="Calibri"/>
                <w:sz w:val="20"/>
              </w:rPr>
              <w:noBreakHyphen/>
              <w:t xml:space="preserve"> Prerogative writs </w:t>
            </w:r>
            <w:r w:rsidRPr="00354440">
              <w:rPr>
                <w:rFonts w:eastAsia="Calibri"/>
                <w:sz w:val="20"/>
              </w:rPr>
              <w:noBreakHyphen/>
              <w:t xml:space="preserve"> </w:t>
            </w:r>
            <w:r w:rsidRPr="00354440">
              <w:rPr>
                <w:rFonts w:eastAsia="Calibri"/>
                <w:i/>
                <w:sz w:val="20"/>
              </w:rPr>
              <w:t>Habeas corpus</w:t>
            </w:r>
            <w:r w:rsidRPr="00354440">
              <w:rPr>
                <w:rFonts w:eastAsia="Calibri"/>
                <w:sz w:val="20"/>
              </w:rPr>
              <w:t xml:space="preserve"> </w:t>
            </w:r>
            <w:r w:rsidRPr="00354440">
              <w:rPr>
                <w:rFonts w:eastAsia="Calibri"/>
                <w:sz w:val="20"/>
              </w:rPr>
              <w:noBreakHyphen/>
              <w:t xml:space="preserve"> Prisons </w:t>
            </w:r>
            <w:r w:rsidRPr="00354440">
              <w:rPr>
                <w:rFonts w:eastAsia="Calibri"/>
                <w:sz w:val="20"/>
              </w:rPr>
              <w:noBreakHyphen/>
              <w:t xml:space="preserve"> Disclosure required during reclassification and transfer of inmates </w:t>
            </w:r>
            <w:r w:rsidRPr="00354440">
              <w:rPr>
                <w:rFonts w:eastAsia="Calibri"/>
                <w:sz w:val="20"/>
              </w:rPr>
              <w:noBreakHyphen/>
              <w:t xml:space="preserve"> Whether an application for release by way of </w:t>
            </w:r>
            <w:r w:rsidRPr="00354440">
              <w:rPr>
                <w:rFonts w:eastAsia="Calibri"/>
                <w:i/>
                <w:sz w:val="20"/>
              </w:rPr>
              <w:t>habeas corpus</w:t>
            </w:r>
            <w:r w:rsidRPr="00354440">
              <w:rPr>
                <w:rFonts w:eastAsia="Calibri"/>
                <w:sz w:val="20"/>
              </w:rPr>
              <w:t xml:space="preserve"> is substantively the same in scope as a judicial review of the decision resulting in the deprivation of liberty </w:t>
            </w:r>
            <w:r w:rsidRPr="00354440">
              <w:rPr>
                <w:rFonts w:eastAsia="Calibri"/>
                <w:sz w:val="20"/>
              </w:rPr>
              <w:noBreakHyphen/>
              <w:t xml:space="preserve"> Whether the same grounds as in judicial review and the same standard of review analysis apply in the context of an application for </w:t>
            </w:r>
            <w:r w:rsidRPr="00354440">
              <w:rPr>
                <w:rFonts w:eastAsia="Calibri"/>
                <w:i/>
                <w:sz w:val="20"/>
              </w:rPr>
              <w:t>habeas corpus</w:t>
            </w:r>
            <w:r w:rsidRPr="00354440">
              <w:rPr>
                <w:rFonts w:eastAsia="Calibri"/>
                <w:sz w:val="20"/>
              </w:rPr>
              <w:t xml:space="preserve"> </w:t>
            </w:r>
            <w:r w:rsidRPr="00354440">
              <w:rPr>
                <w:rFonts w:eastAsia="Calibri"/>
                <w:sz w:val="20"/>
              </w:rPr>
              <w:noBreakHyphen/>
              <w:t xml:space="preserve"> Where an inmate is the subject of a transfer, whether procedural fairness requires disclosure of sufficient information to meaningfully respond or all of the information considered by the warden or, if information is withheld, that the warden justify the withholding.</w:t>
            </w:r>
          </w:p>
        </w:tc>
      </w:tr>
      <w:tr w:rsidR="00F47F84" w:rsidRPr="00354440" w:rsidTr="005F26F2">
        <w:tc>
          <w:tcPr>
            <w:tcW w:w="5000" w:type="pct"/>
            <w:gridSpan w:val="3"/>
          </w:tcPr>
          <w:p w:rsidR="00F47F84" w:rsidRPr="00354440" w:rsidRDefault="00F47F84" w:rsidP="005F26F2">
            <w:pPr>
              <w:jc w:val="both"/>
              <w:rPr>
                <w:rFonts w:eastAsia="Calibri"/>
                <w:sz w:val="20"/>
              </w:rPr>
            </w:pPr>
          </w:p>
        </w:tc>
      </w:tr>
      <w:tr w:rsidR="00F47F84" w:rsidRPr="00354440" w:rsidTr="005F26F2">
        <w:tc>
          <w:tcPr>
            <w:tcW w:w="5000" w:type="pct"/>
            <w:gridSpan w:val="3"/>
          </w:tcPr>
          <w:p w:rsidR="00F47F84" w:rsidRPr="00354440" w:rsidRDefault="00F47F84" w:rsidP="005F26F2">
            <w:pPr>
              <w:jc w:val="both"/>
              <w:rPr>
                <w:rFonts w:eastAsia="Calibri"/>
                <w:sz w:val="20"/>
              </w:rPr>
            </w:pPr>
            <w:r w:rsidRPr="00354440">
              <w:rPr>
                <w:rFonts w:eastAsia="Calibri"/>
                <w:sz w:val="20"/>
              </w:rPr>
              <w:t xml:space="preserve">The respondent was an inmate, classified as a medium security risk, and serving a life sentence at Mission Institute, a medium security facility.  On September 23, 2009, another inmate at Mission Institute was stabbed.  Mission’s security intelligence department investigated.  Unidentified sources and two anonymous tips alleged that the respondent paid two other inmates three grams of heroin to carry out the stabbing in retaliation for a prior assualt.  The findings were reported to the Warden of Mission Institute in a Security Intelligence Report.  The warden ordered the respondent’s involuntary, emergency transfer to Kent Institute, a maximum security facility.  The respondent received a Notice of Emergency Involuntary Transfer Recommendation and an Assessment for Decision and was given an opportunity to make representations.  He made submissions and in part objected to the adequacy of disclosure of the information relied upon by the warden.  The warden then provided notice of a final decision reclassifying him as a maximum security risk and confirming his transfer to Kent.  </w:t>
            </w:r>
          </w:p>
          <w:p w:rsidR="00F47F84" w:rsidRPr="00354440" w:rsidRDefault="00F47F84" w:rsidP="005F26F2">
            <w:pPr>
              <w:jc w:val="both"/>
              <w:rPr>
                <w:rFonts w:eastAsia="Calibri"/>
                <w:sz w:val="20"/>
              </w:rPr>
            </w:pPr>
          </w:p>
        </w:tc>
      </w:tr>
      <w:tr w:rsidR="00F47F84" w:rsidRPr="00354440" w:rsidTr="005F26F2">
        <w:tblPrEx>
          <w:tblCellMar>
            <w:bottom w:w="0" w:type="dxa"/>
          </w:tblCellMar>
        </w:tblPrEx>
        <w:tc>
          <w:tcPr>
            <w:tcW w:w="2390" w:type="pct"/>
          </w:tcPr>
          <w:p w:rsidR="00F47F84" w:rsidRPr="00354440" w:rsidRDefault="00F47F84" w:rsidP="005F26F2">
            <w:pPr>
              <w:jc w:val="both"/>
              <w:rPr>
                <w:rFonts w:eastAsia="Calibri"/>
                <w:sz w:val="20"/>
              </w:rPr>
            </w:pPr>
            <w:r w:rsidRPr="00354440">
              <w:rPr>
                <w:rFonts w:eastAsia="Calibri"/>
                <w:sz w:val="20"/>
              </w:rPr>
              <w:t>May 21, 2010</w:t>
            </w:r>
          </w:p>
          <w:p w:rsidR="00F47F84" w:rsidRPr="00354440" w:rsidRDefault="00F47F84" w:rsidP="005F26F2">
            <w:pPr>
              <w:jc w:val="both"/>
              <w:rPr>
                <w:rFonts w:eastAsia="Calibri"/>
                <w:sz w:val="20"/>
              </w:rPr>
            </w:pPr>
            <w:r w:rsidRPr="00354440">
              <w:rPr>
                <w:rFonts w:eastAsia="Calibri"/>
                <w:sz w:val="20"/>
              </w:rPr>
              <w:t>Supreme Court of British Columbia</w:t>
            </w:r>
          </w:p>
          <w:p w:rsidR="00F47F84" w:rsidRPr="00354440" w:rsidRDefault="00F47F84" w:rsidP="005F26F2">
            <w:pPr>
              <w:jc w:val="both"/>
              <w:rPr>
                <w:rFonts w:eastAsia="Calibri"/>
                <w:sz w:val="20"/>
              </w:rPr>
            </w:pPr>
            <w:r w:rsidRPr="00354440">
              <w:rPr>
                <w:rFonts w:eastAsia="Calibri"/>
                <w:sz w:val="20"/>
              </w:rPr>
              <w:t>(Bruce J.)</w:t>
            </w:r>
          </w:p>
          <w:p w:rsidR="00F47F84" w:rsidRPr="00354440" w:rsidRDefault="00F47F84" w:rsidP="005F26F2">
            <w:pPr>
              <w:jc w:val="both"/>
              <w:rPr>
                <w:rFonts w:eastAsia="Calibri"/>
                <w:sz w:val="20"/>
              </w:rPr>
            </w:pPr>
            <w:r w:rsidRPr="00354440">
              <w:rPr>
                <w:rFonts w:eastAsia="Calibri"/>
                <w:sz w:val="20"/>
              </w:rPr>
              <w:t>2010 BCSC 721</w:t>
            </w:r>
          </w:p>
          <w:p w:rsidR="00F47F84" w:rsidRPr="00354440" w:rsidRDefault="00F47F84" w:rsidP="005F26F2">
            <w:pPr>
              <w:jc w:val="both"/>
              <w:rPr>
                <w:rFonts w:eastAsia="Calibri"/>
                <w:sz w:val="20"/>
              </w:rPr>
            </w:pP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rPr>
            </w:pPr>
            <w:r w:rsidRPr="00354440">
              <w:rPr>
                <w:rFonts w:eastAsia="Calibri"/>
                <w:sz w:val="20"/>
              </w:rPr>
              <w:t xml:space="preserve">Writ of </w:t>
            </w:r>
            <w:r w:rsidRPr="00354440">
              <w:rPr>
                <w:rFonts w:eastAsia="Calibri"/>
                <w:i/>
                <w:sz w:val="20"/>
              </w:rPr>
              <w:t>habeas corpus</w:t>
            </w:r>
            <w:r w:rsidRPr="00354440">
              <w:rPr>
                <w:rFonts w:eastAsia="Calibri"/>
                <w:sz w:val="20"/>
              </w:rPr>
              <w:t xml:space="preserve"> granted, transfer decision declared null and void, order respondent must be returned to general population at Mission Institution under medium security classification</w:t>
            </w:r>
          </w:p>
          <w:p w:rsidR="00F47F84" w:rsidRPr="00354440" w:rsidRDefault="00F47F84" w:rsidP="005F26F2">
            <w:pPr>
              <w:jc w:val="both"/>
              <w:rPr>
                <w:rFonts w:eastAsia="Calibri"/>
                <w:sz w:val="20"/>
              </w:rPr>
            </w:pPr>
          </w:p>
        </w:tc>
      </w:tr>
      <w:tr w:rsidR="00F47F84" w:rsidRPr="00354440" w:rsidTr="004A2705">
        <w:tblPrEx>
          <w:tblCellMar>
            <w:bottom w:w="0" w:type="dxa"/>
          </w:tblCellMar>
        </w:tblPrEx>
        <w:trPr>
          <w:cantSplit/>
        </w:trPr>
        <w:tc>
          <w:tcPr>
            <w:tcW w:w="2390" w:type="pct"/>
          </w:tcPr>
          <w:p w:rsidR="00F47F84" w:rsidRPr="00354440" w:rsidRDefault="00F47F84" w:rsidP="005F26F2">
            <w:pPr>
              <w:jc w:val="both"/>
              <w:rPr>
                <w:rFonts w:eastAsia="Calibri"/>
                <w:sz w:val="20"/>
              </w:rPr>
            </w:pPr>
            <w:r w:rsidRPr="00354440">
              <w:rPr>
                <w:rFonts w:eastAsia="Calibri"/>
                <w:sz w:val="20"/>
              </w:rPr>
              <w:t>November 9, 2011</w:t>
            </w:r>
          </w:p>
          <w:p w:rsidR="00F47F84" w:rsidRPr="00354440" w:rsidRDefault="00F47F84" w:rsidP="005F26F2">
            <w:pPr>
              <w:jc w:val="both"/>
              <w:rPr>
                <w:rFonts w:eastAsia="Calibri"/>
                <w:sz w:val="20"/>
              </w:rPr>
            </w:pPr>
            <w:r w:rsidRPr="00354440">
              <w:rPr>
                <w:rFonts w:eastAsia="Calibri"/>
                <w:sz w:val="20"/>
              </w:rPr>
              <w:t>Court of Appeal for British Columbia (Vancouver)</w:t>
            </w:r>
          </w:p>
          <w:p w:rsidR="00F47F84" w:rsidRPr="00354440" w:rsidRDefault="00F47F84" w:rsidP="005F26F2">
            <w:pPr>
              <w:jc w:val="both"/>
              <w:rPr>
                <w:rFonts w:eastAsia="Calibri"/>
                <w:sz w:val="20"/>
              </w:rPr>
            </w:pPr>
            <w:r w:rsidRPr="00354440">
              <w:rPr>
                <w:rFonts w:eastAsia="Calibri"/>
                <w:sz w:val="20"/>
              </w:rPr>
              <w:t>(Smith, Chiasson, Groberman JJ.A.)</w:t>
            </w:r>
          </w:p>
          <w:p w:rsidR="00F47F84" w:rsidRPr="00354440" w:rsidRDefault="00F47F84" w:rsidP="005F26F2">
            <w:pPr>
              <w:jc w:val="both"/>
              <w:rPr>
                <w:rFonts w:eastAsia="Calibri"/>
                <w:sz w:val="20"/>
              </w:rPr>
            </w:pPr>
            <w:r w:rsidRPr="00354440">
              <w:rPr>
                <w:rFonts w:eastAsia="Calibri"/>
                <w:sz w:val="20"/>
              </w:rPr>
              <w:t>2011 BCCA 450, CA038224</w:t>
            </w:r>
          </w:p>
          <w:p w:rsidR="00F47F84" w:rsidRPr="00354440" w:rsidRDefault="00F47F84" w:rsidP="005F26F2">
            <w:pPr>
              <w:jc w:val="both"/>
              <w:rPr>
                <w:rFonts w:eastAsia="Calibri"/>
                <w:sz w:val="20"/>
              </w:rPr>
            </w:pP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rPr>
            </w:pPr>
            <w:r w:rsidRPr="00354440">
              <w:rPr>
                <w:rFonts w:eastAsia="Calibri"/>
                <w:sz w:val="20"/>
              </w:rPr>
              <w:t xml:space="preserve">Appeal allowed in part, order modified to read that </w:t>
            </w:r>
            <w:r w:rsidRPr="00354440">
              <w:rPr>
                <w:rFonts w:eastAsia="Calibri"/>
                <w:i/>
                <w:sz w:val="20"/>
              </w:rPr>
              <w:t xml:space="preserve">habeas corpus </w:t>
            </w:r>
            <w:r w:rsidRPr="00354440">
              <w:rPr>
                <w:rFonts w:eastAsia="Calibri"/>
                <w:sz w:val="20"/>
              </w:rPr>
              <w:t>granted, respondent should be released from custody at Kent Institute and returned to custody in a medium security institution to be dealt with therein as the prison authorities consider to be appropriate</w:t>
            </w:r>
          </w:p>
          <w:p w:rsidR="00F47F84" w:rsidRPr="00354440" w:rsidRDefault="00F47F84" w:rsidP="005F26F2">
            <w:pPr>
              <w:jc w:val="both"/>
              <w:rPr>
                <w:rFonts w:eastAsia="Calibri"/>
                <w:i/>
                <w:sz w:val="20"/>
              </w:rPr>
            </w:pPr>
          </w:p>
        </w:tc>
      </w:tr>
      <w:tr w:rsidR="00F47F84" w:rsidRPr="00354440" w:rsidTr="004A2705">
        <w:tblPrEx>
          <w:tblCellMar>
            <w:bottom w:w="0" w:type="dxa"/>
          </w:tblCellMar>
        </w:tblPrEx>
        <w:trPr>
          <w:cantSplit/>
        </w:trPr>
        <w:tc>
          <w:tcPr>
            <w:tcW w:w="2390" w:type="pct"/>
          </w:tcPr>
          <w:p w:rsidR="00F47F84" w:rsidRPr="00354440" w:rsidRDefault="00F47F84" w:rsidP="005F26F2">
            <w:pPr>
              <w:jc w:val="both"/>
              <w:rPr>
                <w:rFonts w:eastAsia="Calibri"/>
                <w:sz w:val="20"/>
              </w:rPr>
            </w:pPr>
            <w:r w:rsidRPr="00354440">
              <w:rPr>
                <w:rFonts w:eastAsia="Calibri"/>
                <w:sz w:val="20"/>
              </w:rPr>
              <w:t>January 9, 2012</w:t>
            </w:r>
          </w:p>
          <w:p w:rsidR="00F47F84" w:rsidRPr="00354440" w:rsidRDefault="00F47F84" w:rsidP="005F26F2">
            <w:pPr>
              <w:jc w:val="both"/>
              <w:rPr>
                <w:rFonts w:eastAsia="Calibri"/>
                <w:sz w:val="20"/>
              </w:rPr>
            </w:pPr>
            <w:r w:rsidRPr="00354440">
              <w:rPr>
                <w:rFonts w:eastAsia="Calibri"/>
                <w:sz w:val="20"/>
              </w:rPr>
              <w:t>Supreme Court of Canada</w:t>
            </w:r>
          </w:p>
        </w:tc>
        <w:tc>
          <w:tcPr>
            <w:tcW w:w="270" w:type="pct"/>
          </w:tcPr>
          <w:p w:rsidR="00F47F84" w:rsidRPr="00354440" w:rsidRDefault="00F47F84" w:rsidP="005F26F2">
            <w:pPr>
              <w:jc w:val="both"/>
              <w:rPr>
                <w:rFonts w:eastAsia="Calibri"/>
                <w:sz w:val="20"/>
              </w:rPr>
            </w:pPr>
          </w:p>
        </w:tc>
        <w:tc>
          <w:tcPr>
            <w:tcW w:w="2340" w:type="pct"/>
          </w:tcPr>
          <w:p w:rsidR="00F47F84" w:rsidRPr="00354440" w:rsidRDefault="00F47F84" w:rsidP="005F26F2">
            <w:pPr>
              <w:jc w:val="both"/>
              <w:rPr>
                <w:rFonts w:eastAsia="Calibri"/>
                <w:sz w:val="20"/>
              </w:rPr>
            </w:pPr>
            <w:r w:rsidRPr="00354440">
              <w:rPr>
                <w:rFonts w:eastAsia="Calibri"/>
                <w:sz w:val="20"/>
              </w:rPr>
              <w:t>Application for leave to appeal filed</w:t>
            </w:r>
          </w:p>
          <w:p w:rsidR="00F47F84" w:rsidRPr="00354440" w:rsidRDefault="00F47F84" w:rsidP="005F26F2">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54"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F47F84" w:rsidRPr="001D43E1" w:rsidTr="005F26F2">
        <w:tc>
          <w:tcPr>
            <w:tcW w:w="5000" w:type="pct"/>
            <w:gridSpan w:val="3"/>
          </w:tcPr>
          <w:p w:rsidR="00F47F84" w:rsidRPr="00354440" w:rsidRDefault="00F47F84" w:rsidP="005F26F2">
            <w:pPr>
              <w:jc w:val="both"/>
              <w:rPr>
                <w:rFonts w:eastAsia="Calibri"/>
                <w:sz w:val="20"/>
                <w:lang w:val="fr-CA"/>
              </w:rPr>
            </w:pPr>
            <w:r w:rsidRPr="00354440">
              <w:rPr>
                <w:rFonts w:eastAsia="Calibri"/>
                <w:i/>
                <w:sz w:val="20"/>
                <w:lang w:val="fr-CA"/>
              </w:rPr>
              <w:t xml:space="preserve">Charte des droits et libertés </w:t>
            </w:r>
            <w:r w:rsidRPr="00354440">
              <w:rPr>
                <w:rFonts w:eastAsia="Calibri"/>
                <w:sz w:val="20"/>
                <w:lang w:val="fr-CA"/>
              </w:rPr>
              <w:noBreakHyphen/>
              <w:t xml:space="preserve"> Détention arbitraire </w:t>
            </w:r>
            <w:r w:rsidRPr="00354440">
              <w:rPr>
                <w:rFonts w:eastAsia="Calibri"/>
                <w:sz w:val="20"/>
                <w:lang w:val="fr-CA"/>
              </w:rPr>
              <w:noBreakHyphen/>
              <w:t xml:space="preserve"> Principes de justice fondamentale </w:t>
            </w:r>
            <w:r w:rsidRPr="00354440">
              <w:rPr>
                <w:rFonts w:eastAsia="Calibri"/>
                <w:sz w:val="20"/>
                <w:lang w:val="fr-CA"/>
              </w:rPr>
              <w:noBreakHyphen/>
              <w:t xml:space="preserve"> Brefs de prérogative </w:t>
            </w:r>
            <w:r w:rsidRPr="00354440">
              <w:rPr>
                <w:rFonts w:eastAsia="Calibri"/>
                <w:sz w:val="20"/>
                <w:lang w:val="fr-CA"/>
              </w:rPr>
              <w:noBreakHyphen/>
              <w:t xml:space="preserve"> </w:t>
            </w:r>
            <w:r w:rsidRPr="00354440">
              <w:rPr>
                <w:rFonts w:eastAsia="Calibri"/>
                <w:i/>
                <w:sz w:val="20"/>
                <w:lang w:val="fr-CA"/>
              </w:rPr>
              <w:t>Habeas corpus</w:t>
            </w:r>
            <w:r w:rsidRPr="00354440">
              <w:rPr>
                <w:rFonts w:eastAsia="Calibri"/>
                <w:sz w:val="20"/>
                <w:lang w:val="fr-CA"/>
              </w:rPr>
              <w:t xml:space="preserve"> </w:t>
            </w:r>
            <w:r w:rsidRPr="00354440">
              <w:rPr>
                <w:rFonts w:eastAsia="Calibri"/>
                <w:sz w:val="20"/>
                <w:lang w:val="fr-CA"/>
              </w:rPr>
              <w:noBreakHyphen/>
              <w:t xml:space="preserve"> Prisons </w:t>
            </w:r>
            <w:r w:rsidRPr="00354440">
              <w:rPr>
                <w:rFonts w:eastAsia="Calibri"/>
                <w:sz w:val="20"/>
                <w:lang w:val="fr-CA"/>
              </w:rPr>
              <w:noBreakHyphen/>
              <w:t xml:space="preserve"> Communication de renseignements nécessaire pendant le reclassement et le transfèrement des détenus </w:t>
            </w:r>
            <w:r w:rsidRPr="00354440">
              <w:rPr>
                <w:rFonts w:eastAsia="Calibri"/>
                <w:sz w:val="20"/>
                <w:lang w:val="fr-CA"/>
              </w:rPr>
              <w:noBreakHyphen/>
              <w:t xml:space="preserve"> Une demande de libération par voie d’</w:t>
            </w:r>
            <w:r w:rsidRPr="00354440">
              <w:rPr>
                <w:rFonts w:eastAsia="Calibri"/>
                <w:i/>
                <w:sz w:val="20"/>
                <w:lang w:val="fr-CA"/>
              </w:rPr>
              <w:t>habeas corpus</w:t>
            </w:r>
            <w:r w:rsidRPr="00354440">
              <w:rPr>
                <w:rFonts w:eastAsia="Calibri"/>
                <w:sz w:val="20"/>
                <w:lang w:val="fr-CA"/>
              </w:rPr>
              <w:t xml:space="preserve"> a</w:t>
            </w:r>
            <w:r w:rsidRPr="00354440">
              <w:rPr>
                <w:rFonts w:eastAsia="Calibri"/>
                <w:sz w:val="20"/>
                <w:lang w:val="fr-CA"/>
              </w:rPr>
              <w:noBreakHyphen/>
              <w:t>t</w:t>
            </w:r>
            <w:r w:rsidRPr="00354440">
              <w:rPr>
                <w:rFonts w:eastAsia="Calibri"/>
                <w:sz w:val="20"/>
                <w:lang w:val="fr-CA"/>
              </w:rPr>
              <w:noBreakHyphen/>
              <w:t xml:space="preserve">elle essentiellement la même portée qu’une demande de contrôle judiciaire de la décision qui entraîne une privation de liberté? </w:t>
            </w:r>
            <w:r w:rsidRPr="00354440">
              <w:rPr>
                <w:rFonts w:eastAsia="Calibri"/>
                <w:sz w:val="20"/>
                <w:lang w:val="fr-CA"/>
              </w:rPr>
              <w:noBreakHyphen/>
              <w:t xml:space="preserve"> Les mêmes motifs que ceux d’une demande de contrôle judiciaire et la même analyse de la norme de contrôle s’appliquent</w:t>
            </w:r>
            <w:r w:rsidRPr="00354440">
              <w:rPr>
                <w:rFonts w:eastAsia="Calibri"/>
                <w:sz w:val="20"/>
                <w:lang w:val="fr-CA"/>
              </w:rPr>
              <w:noBreakHyphen/>
              <w:t>ils dans le contexte d’une demande d’</w:t>
            </w:r>
            <w:r w:rsidRPr="00354440">
              <w:rPr>
                <w:rFonts w:eastAsia="Calibri"/>
                <w:i/>
                <w:sz w:val="20"/>
                <w:lang w:val="fr-CA"/>
              </w:rPr>
              <w:t>habeas corpus</w:t>
            </w:r>
            <w:r w:rsidRPr="00354440">
              <w:rPr>
                <w:rFonts w:eastAsia="Calibri"/>
                <w:sz w:val="20"/>
                <w:lang w:val="fr-CA"/>
              </w:rPr>
              <w:t xml:space="preserve">? </w:t>
            </w:r>
            <w:r w:rsidRPr="00354440">
              <w:rPr>
                <w:rFonts w:eastAsia="Calibri"/>
                <w:sz w:val="20"/>
                <w:lang w:val="fr-CA"/>
              </w:rPr>
              <w:noBreakHyphen/>
              <w:t xml:space="preserve"> Lorsqu’un détenu est l’objet d’un transfèrement, l’équité procédurale exige</w:t>
            </w:r>
            <w:r w:rsidRPr="00354440">
              <w:rPr>
                <w:rFonts w:eastAsia="Calibri"/>
                <w:sz w:val="20"/>
                <w:lang w:val="fr-CA"/>
              </w:rPr>
              <w:noBreakHyphen/>
              <w:t>t</w:t>
            </w:r>
            <w:r w:rsidRPr="00354440">
              <w:rPr>
                <w:rFonts w:eastAsia="Calibri"/>
                <w:sz w:val="20"/>
                <w:lang w:val="fr-CA"/>
              </w:rPr>
              <w:noBreakHyphen/>
              <w:t>elle la communication de renseignements suffisants pour répondre valablement ou bien la communication de tous les renseignements considérés par le directeur ou, si des renseignements sont retenus, oblige</w:t>
            </w:r>
            <w:r w:rsidRPr="00354440">
              <w:rPr>
                <w:rFonts w:eastAsia="Calibri"/>
                <w:sz w:val="20"/>
                <w:lang w:val="fr-CA"/>
              </w:rPr>
              <w:noBreakHyphen/>
              <w:t>t</w:t>
            </w:r>
            <w:r w:rsidRPr="00354440">
              <w:rPr>
                <w:rFonts w:eastAsia="Calibri"/>
                <w:sz w:val="20"/>
                <w:lang w:val="fr-CA"/>
              </w:rPr>
              <w:noBreakHyphen/>
              <w:t>elle le directeur à justifier sa décision de retenir les renseignements?</w:t>
            </w:r>
          </w:p>
        </w:tc>
      </w:tr>
      <w:tr w:rsidR="00F47F84" w:rsidRPr="001D43E1" w:rsidTr="005F26F2">
        <w:tc>
          <w:tcPr>
            <w:tcW w:w="5000" w:type="pct"/>
            <w:gridSpan w:val="3"/>
          </w:tcPr>
          <w:p w:rsidR="00F47F84" w:rsidRPr="00354440" w:rsidRDefault="00F47F84" w:rsidP="005F26F2">
            <w:pPr>
              <w:jc w:val="both"/>
              <w:rPr>
                <w:rFonts w:eastAsia="Calibri"/>
                <w:sz w:val="20"/>
                <w:lang w:val="fr-CA"/>
              </w:rPr>
            </w:pPr>
          </w:p>
        </w:tc>
      </w:tr>
      <w:tr w:rsidR="00F47F84" w:rsidRPr="001D43E1" w:rsidTr="005F26F2">
        <w:tc>
          <w:tcPr>
            <w:tcW w:w="5000" w:type="pct"/>
            <w:gridSpan w:val="3"/>
          </w:tcPr>
          <w:p w:rsidR="00F47F84" w:rsidRPr="00354440" w:rsidRDefault="00F47F84" w:rsidP="005F26F2">
            <w:pPr>
              <w:jc w:val="both"/>
              <w:rPr>
                <w:rFonts w:eastAsia="Calibri"/>
                <w:sz w:val="20"/>
                <w:lang w:val="fr-CA"/>
              </w:rPr>
            </w:pPr>
            <w:r w:rsidRPr="00354440">
              <w:rPr>
                <w:rFonts w:eastAsia="Calibri"/>
                <w:sz w:val="20"/>
                <w:lang w:val="fr-CA"/>
              </w:rPr>
              <w:t xml:space="preserve">L’intimé, un détenu classé comme présentant un risque moyen en matière de sécurité, purgeait une peine d’emprisonnement à perpétuité à l’Établissement de Mission, un établissement à sécurité moyenne.  Le 23 septembre 2009, un autre détenu de l’Établissement de Mission a été poignardé.  Le service de renseignement de sécurité de Mission a fait enquête.  Selon des sources non identifiées et deux tuyaux anonymes, l’intimé aurait payé à deux autres détenus trois grammes d’héroïne pour poignarder la victime en guise de représailles pour une agression antérieure.  Les conclusions ont été communiquées à la directrice de l’Établissement de Mission dans un rapport sur les renseignements de sécurité.  La directrice a ordonné le transfèrement  non sollicité d’urgence de l’intimé à l’Établissement de Kent, un établissement à sécurité maximale.  L’intimé a reçu un avis de recommandation d’un transfèrement non sollicité d’urgence et une évaluation en vue d’une décision, et il s’est vu accorder l’occasion de présenter des observations.  Il a présenté des observations et a contesté en partie le caractère suffisant de la communication des renseignements sur lesquels la directrice s’était appuyée.  La directrice a ensuite fourni l’avis de décision finale qui le reclassait comme présentant un risque maximal en matière de sécurité et confirmait son transfèrement à Kent.  </w:t>
            </w:r>
          </w:p>
          <w:p w:rsidR="00F47F84" w:rsidRPr="00354440" w:rsidRDefault="00F47F84" w:rsidP="005F26F2">
            <w:pPr>
              <w:jc w:val="both"/>
              <w:rPr>
                <w:rFonts w:eastAsia="Calibri"/>
                <w:sz w:val="20"/>
                <w:lang w:val="fr-CA"/>
              </w:rPr>
            </w:pPr>
          </w:p>
        </w:tc>
      </w:tr>
      <w:tr w:rsidR="00F47F84" w:rsidRPr="001D43E1" w:rsidTr="005F26F2">
        <w:tblPrEx>
          <w:tblCellMar>
            <w:bottom w:w="0" w:type="dxa"/>
          </w:tblCellMar>
        </w:tblPrEx>
        <w:tc>
          <w:tcPr>
            <w:tcW w:w="2390" w:type="pct"/>
          </w:tcPr>
          <w:p w:rsidR="00F47F84" w:rsidRPr="00354440" w:rsidRDefault="00F47F84" w:rsidP="005F26F2">
            <w:pPr>
              <w:jc w:val="both"/>
              <w:rPr>
                <w:rFonts w:eastAsia="Calibri"/>
                <w:sz w:val="20"/>
                <w:lang w:val="fr-CA"/>
              </w:rPr>
            </w:pPr>
            <w:r w:rsidRPr="00354440">
              <w:rPr>
                <w:rFonts w:eastAsia="Calibri"/>
                <w:sz w:val="20"/>
                <w:lang w:val="fr-CA"/>
              </w:rPr>
              <w:t>21 mai 2010</w:t>
            </w:r>
          </w:p>
          <w:p w:rsidR="00F47F84" w:rsidRPr="00354440" w:rsidRDefault="00F47F84" w:rsidP="005F26F2">
            <w:pPr>
              <w:jc w:val="both"/>
              <w:rPr>
                <w:rFonts w:eastAsia="Calibri"/>
                <w:sz w:val="20"/>
                <w:lang w:val="fr-CA"/>
              </w:rPr>
            </w:pPr>
            <w:r w:rsidRPr="00354440">
              <w:rPr>
                <w:rFonts w:eastAsia="Calibri"/>
                <w:sz w:val="20"/>
                <w:lang w:val="fr-CA"/>
              </w:rPr>
              <w:t>Cour suprême de la Colombie</w:t>
            </w:r>
            <w:r w:rsidRPr="00354440">
              <w:rPr>
                <w:rFonts w:eastAsia="Calibri"/>
                <w:sz w:val="20"/>
                <w:lang w:val="fr-CA"/>
              </w:rPr>
              <w:noBreakHyphen/>
              <w:t xml:space="preserve">Britannique </w:t>
            </w:r>
          </w:p>
          <w:p w:rsidR="00F47F84" w:rsidRPr="00354440" w:rsidRDefault="00F47F84" w:rsidP="005F26F2">
            <w:pPr>
              <w:jc w:val="both"/>
              <w:rPr>
                <w:rFonts w:eastAsia="Calibri"/>
                <w:sz w:val="20"/>
                <w:lang w:val="fr-CA"/>
              </w:rPr>
            </w:pPr>
            <w:r w:rsidRPr="00354440">
              <w:rPr>
                <w:rFonts w:eastAsia="Calibri"/>
                <w:sz w:val="20"/>
                <w:lang w:val="fr-CA"/>
              </w:rPr>
              <w:t>(Juge Bruce)</w:t>
            </w:r>
          </w:p>
          <w:p w:rsidR="00F47F84" w:rsidRPr="00354440" w:rsidRDefault="00F47F84" w:rsidP="005F26F2">
            <w:pPr>
              <w:jc w:val="both"/>
              <w:rPr>
                <w:rFonts w:eastAsia="Calibri"/>
                <w:sz w:val="20"/>
                <w:lang w:val="fr-CA"/>
              </w:rPr>
            </w:pPr>
            <w:r w:rsidRPr="00354440">
              <w:rPr>
                <w:rFonts w:eastAsia="Calibri"/>
                <w:sz w:val="20"/>
                <w:lang w:val="fr-CA"/>
              </w:rPr>
              <w:t>2010 BCSC 721</w:t>
            </w:r>
          </w:p>
          <w:p w:rsidR="00F47F84" w:rsidRPr="00354440" w:rsidRDefault="00F47F84" w:rsidP="005F26F2">
            <w:pPr>
              <w:jc w:val="both"/>
              <w:rPr>
                <w:rFonts w:eastAsia="Calibri"/>
                <w:sz w:val="20"/>
                <w:lang w:val="fr-CA"/>
              </w:rPr>
            </w:pPr>
          </w:p>
        </w:tc>
        <w:tc>
          <w:tcPr>
            <w:tcW w:w="270" w:type="pct"/>
          </w:tcPr>
          <w:p w:rsidR="00F47F84" w:rsidRPr="00354440" w:rsidRDefault="00F47F84" w:rsidP="005F26F2">
            <w:pPr>
              <w:jc w:val="both"/>
              <w:rPr>
                <w:rFonts w:eastAsia="Calibri"/>
                <w:sz w:val="20"/>
                <w:lang w:val="fr-CA"/>
              </w:rPr>
            </w:pPr>
          </w:p>
        </w:tc>
        <w:tc>
          <w:tcPr>
            <w:tcW w:w="2340" w:type="pct"/>
          </w:tcPr>
          <w:p w:rsidR="00F47F84" w:rsidRPr="00354440" w:rsidRDefault="00F47F84" w:rsidP="005F26F2">
            <w:pPr>
              <w:jc w:val="both"/>
              <w:rPr>
                <w:rFonts w:eastAsia="Calibri"/>
                <w:sz w:val="20"/>
                <w:lang w:val="fr-CA"/>
              </w:rPr>
            </w:pPr>
            <w:r w:rsidRPr="00354440">
              <w:rPr>
                <w:rFonts w:eastAsia="Calibri"/>
                <w:sz w:val="20"/>
                <w:lang w:val="fr-CA"/>
              </w:rPr>
              <w:t>Bref d’</w:t>
            </w:r>
            <w:r w:rsidRPr="00354440">
              <w:rPr>
                <w:rFonts w:eastAsia="Calibri"/>
                <w:i/>
                <w:sz w:val="20"/>
                <w:lang w:val="fr-CA"/>
              </w:rPr>
              <w:t>habeas corpus</w:t>
            </w:r>
            <w:r w:rsidRPr="00354440">
              <w:rPr>
                <w:rFonts w:eastAsia="Calibri"/>
                <w:sz w:val="20"/>
                <w:lang w:val="fr-CA"/>
              </w:rPr>
              <w:t xml:space="preserve"> accordé, décision de transfèrement déclarée nulle, ordonnance portant que l’intimé doit être réintégré dans la population générale de l’Établissement de Mission et y être classé comme détenu à sécurité moyenne</w:t>
            </w:r>
          </w:p>
          <w:p w:rsidR="00F47F84" w:rsidRPr="00354440" w:rsidRDefault="00F47F84" w:rsidP="005F26F2">
            <w:pPr>
              <w:jc w:val="both"/>
              <w:rPr>
                <w:rFonts w:eastAsia="Calibri"/>
                <w:sz w:val="20"/>
                <w:lang w:val="fr-CA"/>
              </w:rPr>
            </w:pPr>
          </w:p>
        </w:tc>
      </w:tr>
      <w:tr w:rsidR="00F47F84" w:rsidRPr="001D43E1" w:rsidTr="005F26F2">
        <w:tblPrEx>
          <w:tblCellMar>
            <w:bottom w:w="0" w:type="dxa"/>
          </w:tblCellMar>
        </w:tblPrEx>
        <w:tc>
          <w:tcPr>
            <w:tcW w:w="2390" w:type="pct"/>
          </w:tcPr>
          <w:p w:rsidR="00F47F84" w:rsidRPr="00354440" w:rsidRDefault="00F47F84" w:rsidP="005F26F2">
            <w:pPr>
              <w:jc w:val="both"/>
              <w:rPr>
                <w:rFonts w:eastAsia="Calibri"/>
                <w:sz w:val="20"/>
                <w:lang w:val="fr-CA"/>
              </w:rPr>
            </w:pPr>
            <w:r w:rsidRPr="00354440">
              <w:rPr>
                <w:rFonts w:eastAsia="Calibri"/>
                <w:sz w:val="20"/>
                <w:lang w:val="fr-CA"/>
              </w:rPr>
              <w:t>9 novembre 2011</w:t>
            </w:r>
          </w:p>
          <w:p w:rsidR="00F47F84" w:rsidRPr="00354440" w:rsidRDefault="00F47F84" w:rsidP="005F26F2">
            <w:pPr>
              <w:jc w:val="both"/>
              <w:rPr>
                <w:rFonts w:eastAsia="Calibri"/>
                <w:sz w:val="20"/>
                <w:lang w:val="fr-CA"/>
              </w:rPr>
            </w:pPr>
            <w:r w:rsidRPr="00354440">
              <w:rPr>
                <w:rFonts w:eastAsia="Calibri"/>
                <w:sz w:val="20"/>
                <w:lang w:val="fr-CA"/>
              </w:rPr>
              <w:t>Cour d’appel de la Colombie</w:t>
            </w:r>
            <w:r w:rsidRPr="00354440">
              <w:rPr>
                <w:rFonts w:eastAsia="Calibri"/>
                <w:sz w:val="20"/>
                <w:lang w:val="fr-CA"/>
              </w:rPr>
              <w:noBreakHyphen/>
              <w:t>Britannique (Vancouver)</w:t>
            </w:r>
          </w:p>
          <w:p w:rsidR="00F47F84" w:rsidRPr="00354440" w:rsidRDefault="00F47F84" w:rsidP="005F26F2">
            <w:pPr>
              <w:jc w:val="both"/>
              <w:rPr>
                <w:rFonts w:eastAsia="Calibri"/>
                <w:sz w:val="20"/>
                <w:lang w:val="fr-CA"/>
              </w:rPr>
            </w:pPr>
            <w:r w:rsidRPr="00354440">
              <w:rPr>
                <w:rFonts w:eastAsia="Calibri"/>
                <w:sz w:val="20"/>
                <w:lang w:val="fr-CA"/>
              </w:rPr>
              <w:t>(Juges Smith, Chiasson et Groberman)</w:t>
            </w:r>
          </w:p>
          <w:p w:rsidR="00F47F84" w:rsidRPr="00354440" w:rsidRDefault="00F47F84" w:rsidP="005F26F2">
            <w:pPr>
              <w:jc w:val="both"/>
              <w:rPr>
                <w:rFonts w:eastAsia="Calibri"/>
                <w:sz w:val="20"/>
                <w:lang w:val="fr-CA"/>
              </w:rPr>
            </w:pPr>
            <w:r w:rsidRPr="00354440">
              <w:rPr>
                <w:rFonts w:eastAsia="Calibri"/>
                <w:sz w:val="20"/>
                <w:lang w:val="fr-CA"/>
              </w:rPr>
              <w:t>2011 BCCA 450, CA038224</w:t>
            </w:r>
          </w:p>
          <w:p w:rsidR="00F47F84" w:rsidRPr="00354440" w:rsidRDefault="00F47F84" w:rsidP="005F26F2">
            <w:pPr>
              <w:jc w:val="both"/>
              <w:rPr>
                <w:rFonts w:eastAsia="Calibri"/>
                <w:sz w:val="20"/>
                <w:lang w:val="fr-CA"/>
              </w:rPr>
            </w:pPr>
          </w:p>
        </w:tc>
        <w:tc>
          <w:tcPr>
            <w:tcW w:w="270" w:type="pct"/>
          </w:tcPr>
          <w:p w:rsidR="00F47F84" w:rsidRPr="00354440" w:rsidRDefault="00F47F84" w:rsidP="005F26F2">
            <w:pPr>
              <w:jc w:val="both"/>
              <w:rPr>
                <w:rFonts w:eastAsia="Calibri"/>
                <w:sz w:val="20"/>
                <w:lang w:val="fr-CA"/>
              </w:rPr>
            </w:pPr>
          </w:p>
        </w:tc>
        <w:tc>
          <w:tcPr>
            <w:tcW w:w="2340" w:type="pct"/>
          </w:tcPr>
          <w:p w:rsidR="00F47F84" w:rsidRPr="00354440" w:rsidRDefault="00F47F84" w:rsidP="005F26F2">
            <w:pPr>
              <w:jc w:val="both"/>
              <w:rPr>
                <w:rFonts w:eastAsia="Calibri"/>
                <w:sz w:val="20"/>
                <w:lang w:val="fr-CA"/>
              </w:rPr>
            </w:pPr>
            <w:r w:rsidRPr="00354440">
              <w:rPr>
                <w:rFonts w:eastAsia="Calibri"/>
                <w:sz w:val="20"/>
                <w:lang w:val="fr-CA"/>
              </w:rPr>
              <w:t>Appel accueilli en partie, ordonnance modifiée pour que soit accordé l’</w:t>
            </w:r>
            <w:r w:rsidRPr="00354440">
              <w:rPr>
                <w:rFonts w:eastAsia="Calibri"/>
                <w:i/>
                <w:sz w:val="20"/>
                <w:lang w:val="fr-CA"/>
              </w:rPr>
              <w:t>habeas corpus</w:t>
            </w:r>
            <w:r w:rsidRPr="00354440">
              <w:rPr>
                <w:rFonts w:eastAsia="Calibri"/>
                <w:sz w:val="20"/>
                <w:lang w:val="fr-CA"/>
              </w:rPr>
              <w:t>, que l’intimé soit libéré de l’Établissement de Kent et renvoyé sous garde dans un établissement à sécurité moyenne pour y être traité comme les autorités carcérales l’estiment indiqué</w:t>
            </w:r>
          </w:p>
          <w:p w:rsidR="00F47F84" w:rsidRPr="00354440" w:rsidRDefault="00F47F84" w:rsidP="005F26F2">
            <w:pPr>
              <w:jc w:val="both"/>
              <w:rPr>
                <w:rFonts w:eastAsia="Calibri"/>
                <w:i/>
                <w:sz w:val="20"/>
                <w:lang w:val="fr-CA"/>
              </w:rPr>
            </w:pPr>
          </w:p>
        </w:tc>
      </w:tr>
      <w:tr w:rsidR="00F47F84" w:rsidRPr="00354440" w:rsidTr="005F26F2">
        <w:tblPrEx>
          <w:tblCellMar>
            <w:bottom w:w="0" w:type="dxa"/>
          </w:tblCellMar>
        </w:tblPrEx>
        <w:tc>
          <w:tcPr>
            <w:tcW w:w="2390" w:type="pct"/>
          </w:tcPr>
          <w:p w:rsidR="00F47F84" w:rsidRPr="00354440" w:rsidRDefault="00F47F84" w:rsidP="005F26F2">
            <w:pPr>
              <w:jc w:val="both"/>
              <w:rPr>
                <w:rFonts w:eastAsia="Calibri"/>
                <w:sz w:val="20"/>
                <w:lang w:val="fr-CA"/>
              </w:rPr>
            </w:pPr>
            <w:r w:rsidRPr="00354440">
              <w:rPr>
                <w:rFonts w:eastAsia="Calibri"/>
                <w:sz w:val="20"/>
                <w:lang w:val="fr-CA"/>
              </w:rPr>
              <w:t>9 janvier 2012</w:t>
            </w:r>
          </w:p>
          <w:p w:rsidR="00F47F84" w:rsidRPr="00354440" w:rsidRDefault="00F47F84" w:rsidP="005F26F2">
            <w:pPr>
              <w:jc w:val="both"/>
              <w:rPr>
                <w:rFonts w:eastAsia="Calibri"/>
                <w:sz w:val="20"/>
                <w:lang w:val="fr-CA"/>
              </w:rPr>
            </w:pPr>
            <w:r w:rsidRPr="00354440">
              <w:rPr>
                <w:rFonts w:eastAsia="Calibri"/>
                <w:sz w:val="20"/>
                <w:lang w:val="fr-CA"/>
              </w:rPr>
              <w:t>Cour suprême du Canada</w:t>
            </w:r>
          </w:p>
        </w:tc>
        <w:tc>
          <w:tcPr>
            <w:tcW w:w="270" w:type="pct"/>
          </w:tcPr>
          <w:p w:rsidR="00F47F84" w:rsidRPr="00354440" w:rsidRDefault="00F47F84" w:rsidP="005F26F2">
            <w:pPr>
              <w:jc w:val="both"/>
              <w:rPr>
                <w:rFonts w:eastAsia="Calibri"/>
                <w:sz w:val="20"/>
                <w:lang w:val="fr-CA"/>
              </w:rPr>
            </w:pPr>
          </w:p>
        </w:tc>
        <w:tc>
          <w:tcPr>
            <w:tcW w:w="2340" w:type="pct"/>
          </w:tcPr>
          <w:p w:rsidR="00F47F84" w:rsidRPr="00354440" w:rsidRDefault="00F47F84" w:rsidP="005F26F2">
            <w:pPr>
              <w:jc w:val="both"/>
              <w:rPr>
                <w:rFonts w:eastAsia="Calibri"/>
                <w:sz w:val="20"/>
                <w:lang w:val="fr-CA"/>
              </w:rPr>
            </w:pPr>
            <w:r w:rsidRPr="00354440">
              <w:rPr>
                <w:rFonts w:eastAsia="Calibri"/>
                <w:sz w:val="20"/>
                <w:lang w:val="fr-CA"/>
              </w:rPr>
              <w:t>Demande d’autorisation d’appel déposée</w:t>
            </w:r>
          </w:p>
          <w:p w:rsidR="00F47F84" w:rsidRPr="00354440" w:rsidRDefault="00F47F84" w:rsidP="005F26F2">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55" style="width:2in;height:1pt" o:hrpct="0" o:hralign="center" o:hrstd="t" o:hrnoshade="t" o:hr="t" fillcolor="black [3213]" stroked="f"/>
        </w:pict>
      </w:r>
    </w:p>
    <w:p w:rsidR="004A2705" w:rsidRDefault="004A2705"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2705" w:rsidRPr="00ED4B6E" w:rsidTr="00066741">
        <w:trPr>
          <w:cantSplit/>
        </w:trPr>
        <w:tc>
          <w:tcPr>
            <w:tcW w:w="1458" w:type="dxa"/>
          </w:tcPr>
          <w:p w:rsidR="004A2705" w:rsidRPr="00ED4B6E" w:rsidRDefault="004A2705" w:rsidP="00066741">
            <w:pPr>
              <w:rPr>
                <w:sz w:val="20"/>
                <w:szCs w:val="20"/>
              </w:rPr>
            </w:pPr>
            <w:r w:rsidRPr="00ED4B6E">
              <w:rPr>
                <w:rStyle w:val="SCCFileNumberChar"/>
                <w:sz w:val="20"/>
                <w:szCs w:val="20"/>
              </w:rPr>
              <w:t>34819</w:t>
            </w:r>
          </w:p>
          <w:p w:rsidR="004A2705" w:rsidRPr="00ED4B6E" w:rsidRDefault="004A2705" w:rsidP="00066741">
            <w:pPr>
              <w:rPr>
                <w:b/>
                <w:sz w:val="20"/>
                <w:szCs w:val="20"/>
                <w:lang w:val="fr-CA"/>
              </w:rPr>
            </w:pPr>
          </w:p>
        </w:tc>
        <w:tc>
          <w:tcPr>
            <w:tcW w:w="8118" w:type="dxa"/>
          </w:tcPr>
          <w:p w:rsidR="004A2705" w:rsidRPr="00ED4B6E" w:rsidRDefault="004A2705" w:rsidP="00066741">
            <w:pPr>
              <w:jc w:val="both"/>
              <w:rPr>
                <w:sz w:val="20"/>
                <w:szCs w:val="20"/>
              </w:rPr>
            </w:pPr>
            <w:r w:rsidRPr="004A2705">
              <w:rPr>
                <w:rStyle w:val="SCCLsocChar"/>
                <w:sz w:val="20"/>
                <w:szCs w:val="20"/>
                <w:lang w:val="en-CA"/>
              </w:rPr>
              <w:t>Elizabeth Bernard v. Attorney General of Canada</w:t>
            </w:r>
            <w:r w:rsidR="00AE753F">
              <w:rPr>
                <w:rStyle w:val="SCCLsocChar"/>
                <w:sz w:val="20"/>
                <w:szCs w:val="20"/>
                <w:lang w:val="en-CA"/>
              </w:rPr>
              <w:t xml:space="preserve"> and</w:t>
            </w:r>
            <w:r w:rsidRPr="004A2705">
              <w:rPr>
                <w:rStyle w:val="SCCLsocChar"/>
                <w:sz w:val="20"/>
                <w:szCs w:val="20"/>
                <w:lang w:val="en-CA"/>
              </w:rPr>
              <w:t xml:space="preserve"> Professional Institute of the Public Service of Canada</w:t>
            </w:r>
            <w:r w:rsidRPr="00ED4B6E">
              <w:rPr>
                <w:sz w:val="20"/>
                <w:szCs w:val="20"/>
              </w:rPr>
              <w:t xml:space="preserve"> (F</w:t>
            </w:r>
            <w:r w:rsidR="0052325E">
              <w:rPr>
                <w:sz w:val="20"/>
                <w:szCs w:val="20"/>
              </w:rPr>
              <w:t>.</w:t>
            </w:r>
            <w:r w:rsidRPr="00ED4B6E">
              <w:rPr>
                <w:sz w:val="20"/>
                <w:szCs w:val="20"/>
              </w:rPr>
              <w:t>C</w:t>
            </w:r>
            <w:r w:rsidR="0052325E">
              <w:rPr>
                <w:sz w:val="20"/>
                <w:szCs w:val="20"/>
              </w:rPr>
              <w:t>.</w:t>
            </w:r>
            <w:r w:rsidRPr="00ED4B6E">
              <w:rPr>
                <w:sz w:val="20"/>
                <w:szCs w:val="20"/>
              </w:rPr>
              <w:t>) (Civil) (By Leave)</w:t>
            </w:r>
          </w:p>
          <w:p w:rsidR="004A2705" w:rsidRPr="00ED4B6E" w:rsidRDefault="004A2705" w:rsidP="00066741">
            <w:pPr>
              <w:rPr>
                <w:sz w:val="20"/>
                <w:szCs w:val="20"/>
              </w:rPr>
            </w:pPr>
          </w:p>
        </w:tc>
      </w:tr>
      <w:tr w:rsidR="004A2705" w:rsidRPr="00ED4B6E" w:rsidTr="00066741">
        <w:trPr>
          <w:cantSplit/>
        </w:trPr>
        <w:tc>
          <w:tcPr>
            <w:tcW w:w="1458" w:type="dxa"/>
          </w:tcPr>
          <w:p w:rsidR="004A2705" w:rsidRPr="00ED4B6E" w:rsidRDefault="004A2705" w:rsidP="00066741">
            <w:pPr>
              <w:rPr>
                <w:sz w:val="20"/>
                <w:szCs w:val="20"/>
              </w:rPr>
            </w:pPr>
            <w:r w:rsidRPr="00ED4B6E">
              <w:rPr>
                <w:sz w:val="20"/>
                <w:szCs w:val="20"/>
              </w:rPr>
              <w:t>Coram :</w:t>
            </w:r>
          </w:p>
        </w:tc>
        <w:tc>
          <w:tcPr>
            <w:tcW w:w="8118" w:type="dxa"/>
          </w:tcPr>
          <w:p w:rsidR="004A2705" w:rsidRPr="00ED4B6E" w:rsidRDefault="004A2705" w:rsidP="00066741">
            <w:pPr>
              <w:rPr>
                <w:sz w:val="20"/>
                <w:szCs w:val="20"/>
              </w:rPr>
            </w:pPr>
            <w:r w:rsidRPr="004A2705">
              <w:rPr>
                <w:rStyle w:val="SCCCoramChar"/>
                <w:sz w:val="20"/>
                <w:szCs w:val="20"/>
                <w:lang w:val="en-CA"/>
              </w:rPr>
              <w:t>McLachlin C.J. and Rothstein and Moldaver JJ.</w:t>
            </w:r>
          </w:p>
          <w:p w:rsidR="004A2705" w:rsidRPr="00ED4B6E" w:rsidRDefault="004A2705" w:rsidP="00066741">
            <w:pPr>
              <w:rPr>
                <w:sz w:val="20"/>
                <w:szCs w:val="20"/>
                <w:u w:val="single"/>
              </w:rPr>
            </w:pPr>
          </w:p>
        </w:tc>
      </w:tr>
      <w:tr w:rsidR="004A2705" w:rsidRPr="001D43E1" w:rsidTr="00066741">
        <w:trPr>
          <w:cantSplit/>
        </w:trPr>
        <w:tc>
          <w:tcPr>
            <w:tcW w:w="9576" w:type="dxa"/>
            <w:gridSpan w:val="2"/>
          </w:tcPr>
          <w:p w:rsidR="004A2705" w:rsidRPr="00ED4B6E" w:rsidRDefault="004A2705" w:rsidP="00066741">
            <w:pPr>
              <w:pStyle w:val="SCCShortJudgment"/>
              <w:rPr>
                <w:szCs w:val="20"/>
              </w:rPr>
            </w:pPr>
            <w:r w:rsidRPr="00ED4B6E">
              <w:rPr>
                <w:szCs w:val="20"/>
              </w:rPr>
              <w:t>The application for leave to appeal from the judgment of the Federal Court of Appeal, Number A-184-11, 2012 FCA 92, dated March 16, 2012, is granted and costs are reserved to the panel on the appeal.</w:t>
            </w:r>
          </w:p>
          <w:p w:rsidR="004A2705" w:rsidRPr="00ED4B6E" w:rsidRDefault="004A2705" w:rsidP="00066741">
            <w:pPr>
              <w:pStyle w:val="SCCShortJudgment"/>
              <w:ind w:firstLine="0"/>
              <w:rPr>
                <w:szCs w:val="20"/>
              </w:rPr>
            </w:pPr>
          </w:p>
          <w:p w:rsidR="004A2705" w:rsidRPr="00ED4B6E" w:rsidRDefault="004A2705" w:rsidP="00066741">
            <w:pPr>
              <w:pStyle w:val="SCCShortJudgment"/>
              <w:rPr>
                <w:szCs w:val="20"/>
                <w:lang w:val="fr-CA"/>
              </w:rPr>
            </w:pPr>
            <w:r w:rsidRPr="00ED4B6E">
              <w:rPr>
                <w:szCs w:val="20"/>
                <w:lang w:val="fr-CA"/>
              </w:rPr>
              <w:t>La demande d’autorisation d’appel de l’arrêt de la Cour d’appel fédérale, numéro A-184-11, 2012 CAF 92, daté du 16 mars 2012, est accueillie et la décision sur les dépens sera rendue par la formation qui entendra l’appel.</w:t>
            </w:r>
          </w:p>
        </w:tc>
      </w:tr>
    </w:tbl>
    <w:p w:rsidR="00441FC4" w:rsidRPr="004A2705"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i/>
                <w:sz w:val="20"/>
              </w:rPr>
              <w:t>Charter</w:t>
            </w:r>
            <w:r w:rsidRPr="00354440">
              <w:rPr>
                <w:rFonts w:eastAsia="Calibri"/>
                <w:sz w:val="20"/>
              </w:rPr>
              <w:t xml:space="preserve"> — Freedom of association — Privacy law — Labour relations — Administrative law — Judicial review — Standard of review — In view of the Supreme Court of Canada’s reasons in </w:t>
            </w:r>
            <w:r w:rsidRPr="00354440">
              <w:rPr>
                <w:rFonts w:eastAsia="Calibri"/>
                <w:i/>
                <w:sz w:val="20"/>
              </w:rPr>
              <w:t>Dunsmuir v. New Brunswick</w:t>
            </w:r>
            <w:r w:rsidRPr="00354440">
              <w:rPr>
                <w:rFonts w:eastAsia="Calibri"/>
                <w:sz w:val="20"/>
              </w:rPr>
              <w:t xml:space="preserve">, 2008 SCC 9, [2008] 1 S.C.R. 190, did the Federal Court of Appeal apply the appropriate standard of review — In view of the position of the Office of the Privacy Commissioner of Canada, did the Board correctly interpret and apply the </w:t>
            </w:r>
            <w:r w:rsidRPr="00354440">
              <w:rPr>
                <w:rFonts w:eastAsia="Calibri"/>
                <w:i/>
                <w:sz w:val="20"/>
              </w:rPr>
              <w:t>Privacy Act</w:t>
            </w:r>
            <w:r w:rsidRPr="00354440">
              <w:rPr>
                <w:rFonts w:eastAsia="Calibri"/>
                <w:sz w:val="20"/>
              </w:rPr>
              <w:t xml:space="preserve"> — Did the Board and/or the Federal Court of Appeal fail to exercise its jurisdiction when it refused to consider the </w:t>
            </w:r>
            <w:r w:rsidRPr="00354440">
              <w:rPr>
                <w:rFonts w:eastAsia="Calibri"/>
                <w:i/>
                <w:sz w:val="20"/>
              </w:rPr>
              <w:t>Charter</w:t>
            </w:r>
            <w:r w:rsidRPr="00354440">
              <w:rPr>
                <w:rFonts w:eastAsia="Calibri"/>
                <w:sz w:val="20"/>
              </w:rPr>
              <w:t xml:space="preserve"> rights of the over 200,000 federal public servants affected by the Board’s orders — </w:t>
            </w:r>
            <w:r w:rsidRPr="00354440">
              <w:rPr>
                <w:rFonts w:eastAsia="Calibri"/>
                <w:i/>
                <w:sz w:val="20"/>
              </w:rPr>
              <w:t>Privacy Act</w:t>
            </w:r>
            <w:r w:rsidRPr="00354440">
              <w:rPr>
                <w:rFonts w:eastAsia="Calibri"/>
                <w:sz w:val="20"/>
              </w:rPr>
              <w:t>, R.S.C. 1985, c. P</w:t>
            </w:r>
            <w:r w:rsidRPr="00354440">
              <w:rPr>
                <w:rFonts w:eastAsia="Calibri"/>
                <w:sz w:val="20"/>
              </w:rPr>
              <w:noBreakHyphen/>
              <w:t>21.</w:t>
            </w:r>
          </w:p>
        </w:tc>
      </w:tr>
      <w:tr w:rsidR="00DD09AD" w:rsidRPr="00354440" w:rsidTr="005F26F2">
        <w:tc>
          <w:tcPr>
            <w:tcW w:w="5000" w:type="pct"/>
            <w:gridSpan w:val="3"/>
          </w:tcPr>
          <w:p w:rsidR="00DD09AD" w:rsidRPr="00354440" w:rsidRDefault="00DD09AD" w:rsidP="005F26F2">
            <w:pPr>
              <w:jc w:val="both"/>
              <w:rPr>
                <w:rFonts w:eastAsia="Calibri"/>
                <w:sz w:val="20"/>
              </w:rPr>
            </w:pPr>
          </w:p>
        </w:tc>
      </w:tr>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sz w:val="20"/>
              </w:rPr>
              <w:t xml:space="preserve">The applicant is an employee of the Canada Revenue Agency (“CRA”), in a job classification for which the Professional Institute of the Public Service of Canada (the “Union”) is the bargaining agent.  Ms. Bernard has declined to join the Union, and she seeks to prevent CRA from disclosing her home contact information to the Union. She brought an application for judicial review of a consent order by the Public Service Labour Relations Board (the “Board”) which authorized the disclosure of her home contact information to the Union subject to certain safeguards.  The Federal Court of Appeal remitted the matter for a decision of the Board on what information the employer must provide to enable the Union to discharge its obligations under the </w:t>
            </w:r>
            <w:r w:rsidRPr="00354440">
              <w:rPr>
                <w:rFonts w:eastAsia="Calibri"/>
                <w:i/>
                <w:sz w:val="20"/>
              </w:rPr>
              <w:t>Public Service Labour Relations Act</w:t>
            </w:r>
            <w:r w:rsidRPr="00354440">
              <w:rPr>
                <w:rFonts w:eastAsia="Calibri"/>
                <w:sz w:val="20"/>
              </w:rPr>
              <w:t xml:space="preserve">, S.C. 2003, c. 22, s. 2, without breaching the employees’ rights under the </w:t>
            </w:r>
            <w:r w:rsidRPr="00354440">
              <w:rPr>
                <w:rFonts w:eastAsia="Calibri"/>
                <w:i/>
                <w:sz w:val="20"/>
              </w:rPr>
              <w:t>Privacy Act:</w:t>
            </w:r>
            <w:r w:rsidRPr="00354440">
              <w:rPr>
                <w:rFonts w:eastAsia="Calibri"/>
                <w:sz w:val="20"/>
              </w:rPr>
              <w:t xml:space="preserve">  </w:t>
            </w:r>
            <w:r w:rsidRPr="00354440">
              <w:rPr>
                <w:rFonts w:eastAsia="Calibri"/>
                <w:i/>
                <w:sz w:val="20"/>
              </w:rPr>
              <w:t>Bernard v. Canada</w:t>
            </w:r>
            <w:r w:rsidRPr="00354440">
              <w:rPr>
                <w:rFonts w:eastAsia="Calibri"/>
                <w:sz w:val="20"/>
              </w:rPr>
              <w:t>, 2010 FCA 40.</w:t>
            </w:r>
          </w:p>
          <w:p w:rsidR="00DD09AD" w:rsidRPr="00354440" w:rsidRDefault="00DD09AD" w:rsidP="005F26F2">
            <w:pPr>
              <w:jc w:val="both"/>
              <w:rPr>
                <w:rFonts w:eastAsia="Calibri"/>
                <w:sz w:val="20"/>
              </w:rPr>
            </w:pPr>
          </w:p>
          <w:p w:rsidR="00DD09AD" w:rsidRPr="00354440" w:rsidRDefault="00DD09AD" w:rsidP="005F26F2">
            <w:pPr>
              <w:jc w:val="both"/>
              <w:rPr>
                <w:rFonts w:eastAsia="Calibri"/>
                <w:sz w:val="20"/>
              </w:rPr>
            </w:pPr>
            <w:r w:rsidRPr="00354440">
              <w:rPr>
                <w:rFonts w:eastAsia="Calibri"/>
                <w:sz w:val="20"/>
              </w:rPr>
              <w:t xml:space="preserve">The Board found the Appellate court’s instructions were limited to assessing the privacy rights of employees and refused to consider the applicant’s </w:t>
            </w:r>
            <w:r w:rsidRPr="00354440">
              <w:rPr>
                <w:rFonts w:eastAsia="Calibri"/>
                <w:i/>
                <w:sz w:val="20"/>
              </w:rPr>
              <w:t>Charter</w:t>
            </w:r>
            <w:r w:rsidRPr="00354440">
              <w:rPr>
                <w:rFonts w:eastAsia="Calibri"/>
                <w:sz w:val="20"/>
              </w:rPr>
              <w:t xml:space="preserve"> argument that disclosure of the information violated her freedom not to associate.  It went on to determine that disclosure of the information was authorized by para. 8(2</w:t>
            </w:r>
            <w:proofErr w:type="gramStart"/>
            <w:r w:rsidRPr="00354440">
              <w:rPr>
                <w:rFonts w:eastAsia="Calibri"/>
                <w:sz w:val="20"/>
              </w:rPr>
              <w:t>)(</w:t>
            </w:r>
            <w:proofErr w:type="gramEnd"/>
            <w:r w:rsidRPr="00354440">
              <w:rPr>
                <w:rFonts w:eastAsia="Calibri"/>
                <w:sz w:val="20"/>
              </w:rPr>
              <w:t xml:space="preserve">a) of the </w:t>
            </w:r>
            <w:r w:rsidRPr="00354440">
              <w:rPr>
                <w:rFonts w:eastAsia="Calibri"/>
                <w:i/>
                <w:sz w:val="20"/>
              </w:rPr>
              <w:t>Privacy Act</w:t>
            </w:r>
            <w:r w:rsidRPr="00354440">
              <w:rPr>
                <w:rFonts w:eastAsia="Calibri"/>
                <w:sz w:val="20"/>
              </w:rPr>
              <w:t>, because the Union’s intended use of it was consistent with the purpose for which it was obtained by the CRA.  Its original order was amended to add further safeguards.  The Federal Court of Appeal dismissed the applicant’s application for judicial review on the basis that the Board’s decision was reasonable.</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March 21, 2011</w:t>
            </w:r>
          </w:p>
          <w:p w:rsidR="00DD09AD" w:rsidRPr="00354440" w:rsidRDefault="00DD09AD" w:rsidP="005F26F2">
            <w:pPr>
              <w:jc w:val="both"/>
              <w:rPr>
                <w:rFonts w:eastAsia="Calibri"/>
                <w:sz w:val="20"/>
              </w:rPr>
            </w:pPr>
            <w:r w:rsidRPr="00354440">
              <w:rPr>
                <w:rFonts w:eastAsia="Calibri"/>
                <w:sz w:val="20"/>
              </w:rPr>
              <w:t>Public Service Labour Relations Board</w:t>
            </w:r>
          </w:p>
          <w:p w:rsidR="00DD09AD" w:rsidRPr="00354440" w:rsidRDefault="00DD09AD" w:rsidP="005F26F2">
            <w:pPr>
              <w:jc w:val="both"/>
              <w:rPr>
                <w:rFonts w:eastAsia="Calibri"/>
                <w:sz w:val="20"/>
              </w:rPr>
            </w:pPr>
            <w:r w:rsidRPr="00354440">
              <w:rPr>
                <w:rFonts w:eastAsia="Calibri"/>
                <w:sz w:val="20"/>
              </w:rPr>
              <w:t>(Mackenzie Ian R., Vice</w:t>
            </w:r>
            <w:r w:rsidRPr="00354440">
              <w:rPr>
                <w:rFonts w:eastAsia="Calibri"/>
                <w:sz w:val="20"/>
              </w:rPr>
              <w:noBreakHyphen/>
              <w:t>Chairperson)</w:t>
            </w:r>
          </w:p>
          <w:p w:rsidR="00DD09AD" w:rsidRPr="00354440" w:rsidRDefault="00DD09AD" w:rsidP="005F26F2">
            <w:pPr>
              <w:jc w:val="both"/>
              <w:rPr>
                <w:rFonts w:eastAsia="Calibri"/>
                <w:sz w:val="20"/>
              </w:rPr>
            </w:pPr>
            <w:r w:rsidRPr="00354440">
              <w:rPr>
                <w:rFonts w:eastAsia="Calibri"/>
                <w:sz w:val="20"/>
              </w:rPr>
              <w:t>2011 PSLRB 34</w:t>
            </w:r>
          </w:p>
          <w:p w:rsidR="00DD09AD" w:rsidRPr="00354440" w:rsidRDefault="00DD09AD" w:rsidP="005F26F2">
            <w:pPr>
              <w:jc w:val="both"/>
              <w:rPr>
                <w:rFonts w:eastAsia="Calibri"/>
                <w:sz w:val="20"/>
              </w:rPr>
            </w:pP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Board’s previous consent order amended to include three further safeguards</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March 16, 2012</w:t>
            </w:r>
          </w:p>
          <w:p w:rsidR="00DD09AD" w:rsidRPr="00354440" w:rsidRDefault="00DD09AD" w:rsidP="005F26F2">
            <w:pPr>
              <w:jc w:val="both"/>
              <w:rPr>
                <w:rFonts w:eastAsia="Calibri"/>
                <w:sz w:val="20"/>
              </w:rPr>
            </w:pPr>
            <w:r w:rsidRPr="00354440">
              <w:rPr>
                <w:rFonts w:eastAsia="Calibri"/>
                <w:sz w:val="20"/>
              </w:rPr>
              <w:t>Federal Court of Appeal</w:t>
            </w:r>
          </w:p>
          <w:p w:rsidR="00DD09AD" w:rsidRPr="00354440" w:rsidRDefault="00DD09AD" w:rsidP="005F26F2">
            <w:pPr>
              <w:jc w:val="both"/>
              <w:rPr>
                <w:rFonts w:eastAsia="Calibri"/>
                <w:sz w:val="20"/>
              </w:rPr>
            </w:pPr>
            <w:r w:rsidRPr="00354440">
              <w:rPr>
                <w:rFonts w:eastAsia="Calibri"/>
                <w:sz w:val="20"/>
              </w:rPr>
              <w:t>(Blais C.J., Evans and Sharlow JJ.A.)</w:t>
            </w:r>
          </w:p>
          <w:p w:rsidR="00DD09AD" w:rsidRPr="00354440" w:rsidRDefault="00DD09AD" w:rsidP="004A2705">
            <w:pPr>
              <w:jc w:val="both"/>
              <w:rPr>
                <w:rFonts w:eastAsia="Calibri"/>
                <w:sz w:val="20"/>
              </w:rPr>
            </w:pPr>
            <w:r w:rsidRPr="00354440">
              <w:rPr>
                <w:rFonts w:eastAsia="Calibri"/>
                <w:sz w:val="20"/>
              </w:rPr>
              <w:t>2012 FCA 92</w:t>
            </w: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Application for judicial review dismissed</w:t>
            </w:r>
          </w:p>
          <w:p w:rsidR="00DD09AD" w:rsidRPr="00354440" w:rsidRDefault="00DD09AD" w:rsidP="005F26F2">
            <w:pPr>
              <w:jc w:val="both"/>
              <w:rPr>
                <w:rFonts w:eastAsia="Calibri"/>
                <w:sz w:val="20"/>
              </w:rPr>
            </w:pPr>
          </w:p>
        </w:tc>
      </w:tr>
    </w:tbl>
    <w:p w:rsidR="004A2705" w:rsidRDefault="004A2705"/>
    <w:p w:rsidR="004A2705" w:rsidRDefault="004A2705">
      <w:r>
        <w:br w:type="page"/>
      </w:r>
    </w:p>
    <w:tbl>
      <w:tblPr>
        <w:tblW w:w="4952" w:type="pct"/>
        <w:tblLayout w:type="fixed"/>
        <w:tblCellMar>
          <w:left w:w="0" w:type="dxa"/>
          <w:bottom w:w="99" w:type="dxa"/>
          <w:right w:w="0" w:type="dxa"/>
        </w:tblCellMar>
        <w:tblLook w:val="04A0"/>
      </w:tblPr>
      <w:tblGrid>
        <w:gridCol w:w="4624"/>
        <w:gridCol w:w="463"/>
        <w:gridCol w:w="4440"/>
      </w:tblGrid>
      <w:tr w:rsidR="00DD09AD" w:rsidRPr="00354440" w:rsidTr="004A2705">
        <w:trPr>
          <w:cantSplit/>
        </w:trPr>
        <w:tc>
          <w:tcPr>
            <w:tcW w:w="2427" w:type="pct"/>
          </w:tcPr>
          <w:p w:rsidR="00DD09AD" w:rsidRPr="00354440" w:rsidRDefault="00DD09AD" w:rsidP="005F26F2">
            <w:pPr>
              <w:jc w:val="both"/>
              <w:rPr>
                <w:rFonts w:eastAsia="Calibri"/>
                <w:sz w:val="20"/>
              </w:rPr>
            </w:pPr>
            <w:r w:rsidRPr="00354440">
              <w:rPr>
                <w:rFonts w:eastAsia="Calibri"/>
                <w:sz w:val="20"/>
              </w:rPr>
              <w:t>May 11, 2012</w:t>
            </w:r>
          </w:p>
          <w:p w:rsidR="00DD09AD" w:rsidRPr="00354440" w:rsidRDefault="00DD09AD" w:rsidP="005F26F2">
            <w:pPr>
              <w:jc w:val="both"/>
              <w:rPr>
                <w:rFonts w:eastAsia="Calibri"/>
                <w:sz w:val="20"/>
              </w:rPr>
            </w:pPr>
            <w:r w:rsidRPr="00354440">
              <w:rPr>
                <w:rFonts w:eastAsia="Calibri"/>
                <w:sz w:val="20"/>
              </w:rPr>
              <w:t>Supreme Court of Canada</w:t>
            </w: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Application for leave to appeal filed</w:t>
            </w:r>
          </w:p>
          <w:p w:rsidR="00DD09AD" w:rsidRPr="00354440" w:rsidRDefault="00DD09AD" w:rsidP="005F26F2">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56"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D09AD" w:rsidRPr="00810B76" w:rsidTr="005F26F2">
        <w:tc>
          <w:tcPr>
            <w:tcW w:w="5000" w:type="pct"/>
            <w:gridSpan w:val="3"/>
          </w:tcPr>
          <w:p w:rsidR="00DD09AD" w:rsidRPr="00354440" w:rsidRDefault="00DD09AD" w:rsidP="005F26F2">
            <w:pPr>
              <w:jc w:val="both"/>
              <w:rPr>
                <w:rFonts w:eastAsia="Calibri"/>
                <w:sz w:val="20"/>
                <w:lang w:val="fr-CA"/>
              </w:rPr>
            </w:pPr>
            <w:r w:rsidRPr="00354440">
              <w:rPr>
                <w:rFonts w:eastAsia="Calibri"/>
                <w:i/>
                <w:sz w:val="20"/>
                <w:lang w:val="fr-CA"/>
              </w:rPr>
              <w:t>Charte</w:t>
            </w:r>
            <w:r w:rsidRPr="00354440">
              <w:rPr>
                <w:rFonts w:eastAsia="Calibri"/>
                <w:sz w:val="20"/>
                <w:lang w:val="fr-CA"/>
              </w:rPr>
              <w:t xml:space="preserve"> — Liberté d’association — Droit relatif au respect de la vie privée — Relations du travail — Droit administratif — Contrôle judiciaire — Norme de contrôle — Vu les motifs de la Cour suprême du Canada dans l’arrêt </w:t>
            </w:r>
            <w:r w:rsidRPr="00354440">
              <w:rPr>
                <w:rFonts w:eastAsia="Calibri"/>
                <w:i/>
                <w:sz w:val="20"/>
                <w:lang w:val="fr-CA"/>
              </w:rPr>
              <w:t>Dunsmuir c. Nouveau</w:t>
            </w:r>
            <w:r w:rsidRPr="00354440">
              <w:rPr>
                <w:rFonts w:eastAsia="Calibri"/>
                <w:i/>
                <w:sz w:val="20"/>
                <w:lang w:val="fr-CA"/>
              </w:rPr>
              <w:noBreakHyphen/>
              <w:t>Brunswick,</w:t>
            </w:r>
            <w:r w:rsidRPr="00354440">
              <w:rPr>
                <w:rFonts w:eastAsia="Calibri"/>
                <w:sz w:val="20"/>
                <w:lang w:val="fr-CA"/>
              </w:rPr>
              <w:t xml:space="preserve"> 2008 CSC 9, [2008] 1 R.C.S. 190, la Cour d’appel fédérale a</w:t>
            </w:r>
            <w:r w:rsidRPr="00354440">
              <w:rPr>
                <w:rFonts w:eastAsia="Calibri"/>
                <w:sz w:val="20"/>
                <w:lang w:val="fr-CA"/>
              </w:rPr>
              <w:noBreakHyphen/>
              <w:t>t</w:t>
            </w:r>
            <w:r w:rsidRPr="00354440">
              <w:rPr>
                <w:rFonts w:eastAsia="Calibri"/>
                <w:sz w:val="20"/>
                <w:lang w:val="fr-CA"/>
              </w:rPr>
              <w:noBreakHyphen/>
              <w:t>elle appliqué la bonne norme de contrôle? — Vu la position du Commissariat de la protection de la vie privée du Canada, la Commission a</w:t>
            </w:r>
            <w:r w:rsidRPr="00354440">
              <w:rPr>
                <w:rFonts w:eastAsia="Calibri"/>
                <w:sz w:val="20"/>
                <w:lang w:val="fr-CA"/>
              </w:rPr>
              <w:noBreakHyphen/>
              <w:t>t</w:t>
            </w:r>
            <w:r w:rsidRPr="00354440">
              <w:rPr>
                <w:rFonts w:eastAsia="Calibri"/>
                <w:sz w:val="20"/>
                <w:lang w:val="fr-CA"/>
              </w:rPr>
              <w:noBreakHyphen/>
              <w:t xml:space="preserve">elle correctement interprété et appliqué la </w:t>
            </w:r>
            <w:r w:rsidRPr="00354440">
              <w:rPr>
                <w:rFonts w:eastAsia="Calibri"/>
                <w:i/>
                <w:sz w:val="20"/>
                <w:lang w:val="fr-CA"/>
              </w:rPr>
              <w:t>Loi sur la protection des renseignements personnels</w:t>
            </w:r>
            <w:r w:rsidRPr="00354440">
              <w:rPr>
                <w:rFonts w:eastAsia="Calibri"/>
                <w:sz w:val="20"/>
                <w:lang w:val="fr-CA"/>
              </w:rPr>
              <w:t>? — La Commission ou la Cour d’appel fédérale ont</w:t>
            </w:r>
            <w:r w:rsidRPr="00354440">
              <w:rPr>
                <w:rFonts w:eastAsia="Calibri"/>
                <w:sz w:val="20"/>
                <w:lang w:val="fr-CA"/>
              </w:rPr>
              <w:noBreakHyphen/>
              <w:t xml:space="preserve">elles omis d’exercer leur compétence en refusant de considérer les droits garantis par la </w:t>
            </w:r>
            <w:r w:rsidRPr="00354440">
              <w:rPr>
                <w:rFonts w:eastAsia="Calibri"/>
                <w:i/>
                <w:sz w:val="20"/>
                <w:lang w:val="fr-CA"/>
              </w:rPr>
              <w:t>Charte</w:t>
            </w:r>
            <w:r w:rsidRPr="00354440">
              <w:rPr>
                <w:rFonts w:eastAsia="Calibri"/>
                <w:sz w:val="20"/>
                <w:lang w:val="fr-CA"/>
              </w:rPr>
              <w:t xml:space="preserve"> de plus de 200 000 fonctionnaires fédéraux touchés par les ordonnances de la Commission? — </w:t>
            </w:r>
            <w:r w:rsidRPr="00354440">
              <w:rPr>
                <w:rFonts w:eastAsia="Calibri"/>
                <w:i/>
                <w:sz w:val="20"/>
                <w:lang w:val="fr-CA"/>
              </w:rPr>
              <w:t>Loi sur la protection des renseignements personnels</w:t>
            </w:r>
            <w:r w:rsidRPr="00354440">
              <w:rPr>
                <w:rFonts w:eastAsia="Calibri"/>
                <w:sz w:val="20"/>
                <w:lang w:val="fr-CA"/>
              </w:rPr>
              <w:t>, L.R.C. 1985, ch. P</w:t>
            </w:r>
            <w:r w:rsidRPr="00354440">
              <w:rPr>
                <w:rFonts w:eastAsia="Calibri"/>
                <w:sz w:val="20"/>
                <w:lang w:val="fr-CA"/>
              </w:rPr>
              <w:noBreakHyphen/>
              <w:t>21.</w:t>
            </w:r>
          </w:p>
        </w:tc>
      </w:tr>
      <w:tr w:rsidR="00DD09AD" w:rsidRPr="00810B76" w:rsidTr="005F26F2">
        <w:tc>
          <w:tcPr>
            <w:tcW w:w="5000" w:type="pct"/>
            <w:gridSpan w:val="3"/>
          </w:tcPr>
          <w:p w:rsidR="00DD09AD" w:rsidRPr="00354440" w:rsidRDefault="00DD09AD" w:rsidP="005F26F2">
            <w:pPr>
              <w:jc w:val="both"/>
              <w:rPr>
                <w:rFonts w:eastAsia="Calibri"/>
                <w:sz w:val="20"/>
                <w:lang w:val="fr-CA"/>
              </w:rPr>
            </w:pPr>
          </w:p>
        </w:tc>
      </w:tr>
      <w:tr w:rsidR="00DD09AD" w:rsidRPr="001D43E1" w:rsidTr="005F26F2">
        <w:tc>
          <w:tcPr>
            <w:tcW w:w="5000" w:type="pct"/>
            <w:gridSpan w:val="3"/>
          </w:tcPr>
          <w:p w:rsidR="00DD09AD" w:rsidRPr="00354440" w:rsidRDefault="00DD09AD" w:rsidP="005F26F2">
            <w:pPr>
              <w:jc w:val="both"/>
              <w:rPr>
                <w:rFonts w:eastAsia="Calibri"/>
                <w:sz w:val="20"/>
                <w:lang w:val="fr-CA"/>
              </w:rPr>
            </w:pPr>
            <w:r w:rsidRPr="00354440">
              <w:rPr>
                <w:rFonts w:eastAsia="Calibri"/>
                <w:sz w:val="20"/>
                <w:lang w:val="fr-CA"/>
              </w:rPr>
              <w:t xml:space="preserve">La demanderesse était une employée de l’Agence de revenu du Canada (« CRA »), dans une catégorie d’emploi pour laquelle l’Institut professionnel de la fonction publique du Canada (le « syndicat ») était l’agent négociateur.  Madame Bernard avait refusé de devenir membre du syndicat et elle cherche à empêcher l’ARC de communiquer ses coordonnées personnelles au syndicat.  Elle a présenté une demande de contrôle judiciaire d’une ordonnance sur consentement rendue par la Commission des relations de travail dans la fonction publique (la « Commission ») qui a autorisé la communication de ses coordonnées personnelles au syndicat sous réserve de certaines mesures de protection.  La Cour d’appel fédérale a renvoyé l’affaire à la Commission pour qu’elle rendu une décision quant aux renseignements que l’employeur doit fournir pour permettre au syndicat de s’acquitter des obligations que lui impose la </w:t>
            </w:r>
            <w:r w:rsidRPr="00354440">
              <w:rPr>
                <w:rFonts w:eastAsia="Calibri"/>
                <w:i/>
                <w:sz w:val="20"/>
                <w:lang w:val="fr-CA"/>
              </w:rPr>
              <w:t>Loi sur les relations de travail dans la fonction publique</w:t>
            </w:r>
            <w:r w:rsidRPr="00354440">
              <w:rPr>
                <w:rFonts w:eastAsia="Calibri"/>
                <w:sz w:val="20"/>
                <w:lang w:val="fr-CA"/>
              </w:rPr>
              <w:t>, L.C. 2003, ch. 22, art. 2, sans porter atteinte aux droits qui sont conférés aux employés par la </w:t>
            </w:r>
            <w:r w:rsidRPr="00354440">
              <w:rPr>
                <w:rFonts w:eastAsia="Calibri"/>
                <w:i/>
                <w:iCs/>
                <w:sz w:val="20"/>
                <w:lang w:val="fr-CA"/>
              </w:rPr>
              <w:t>Loi sur la protection des renseignements personnels</w:t>
            </w:r>
            <w:r w:rsidRPr="00354440">
              <w:rPr>
                <w:rFonts w:eastAsia="Calibri"/>
                <w:sz w:val="20"/>
                <w:lang w:val="fr-CA"/>
              </w:rPr>
              <w:t xml:space="preserve"> : </w:t>
            </w:r>
            <w:r w:rsidRPr="00354440">
              <w:rPr>
                <w:rFonts w:eastAsia="Calibri"/>
                <w:i/>
                <w:sz w:val="20"/>
                <w:lang w:val="fr-CA"/>
              </w:rPr>
              <w:t>Bernard c. Canada</w:t>
            </w:r>
            <w:r w:rsidRPr="00354440">
              <w:rPr>
                <w:rFonts w:eastAsia="Calibri"/>
                <w:sz w:val="20"/>
                <w:lang w:val="fr-CA"/>
              </w:rPr>
              <w:t>, 2010 CAF 40.</w:t>
            </w:r>
          </w:p>
          <w:p w:rsidR="00DD09AD" w:rsidRPr="00354440" w:rsidRDefault="00DD09AD" w:rsidP="005F26F2">
            <w:pPr>
              <w:jc w:val="both"/>
              <w:rPr>
                <w:rFonts w:eastAsia="Calibri"/>
                <w:sz w:val="20"/>
                <w:lang w:val="fr-CA"/>
              </w:rPr>
            </w:pPr>
          </w:p>
          <w:p w:rsidR="00DD09AD" w:rsidRPr="00354440" w:rsidRDefault="00DD09AD" w:rsidP="005F26F2">
            <w:pPr>
              <w:jc w:val="both"/>
              <w:rPr>
                <w:rFonts w:eastAsia="Calibri"/>
                <w:sz w:val="20"/>
                <w:lang w:val="fr-CA"/>
              </w:rPr>
            </w:pPr>
            <w:r w:rsidRPr="00354440">
              <w:rPr>
                <w:rFonts w:eastAsia="Calibri"/>
                <w:sz w:val="20"/>
                <w:lang w:val="fr-CA"/>
              </w:rPr>
              <w:t xml:space="preserve">La Commission a conclu que les directives de la Cour d’appel se limitaient à l’évaluation des droits à la vie privée des employés et a refusé de considérer l’argument de la demanderesse fondée sur la </w:t>
            </w:r>
            <w:r w:rsidRPr="00354440">
              <w:rPr>
                <w:rFonts w:eastAsia="Calibri"/>
                <w:i/>
                <w:sz w:val="20"/>
                <w:lang w:val="fr-CA"/>
              </w:rPr>
              <w:t>Charte</w:t>
            </w:r>
            <w:r w:rsidRPr="00354440">
              <w:rPr>
                <w:rFonts w:eastAsia="Calibri"/>
                <w:sz w:val="20"/>
                <w:lang w:val="fr-CA"/>
              </w:rPr>
              <w:t xml:space="preserve"> selon lequel la communication des renseignements violait sa liberté de ne pas s’associer.  La Commission a conclu en outre que la communication des renseignements était autorisée par l’al. 8(2)</w:t>
            </w:r>
            <w:r w:rsidRPr="00354440">
              <w:rPr>
                <w:rFonts w:eastAsia="Calibri"/>
                <w:i/>
                <w:iCs/>
                <w:sz w:val="20"/>
                <w:lang w:val="fr-CA"/>
              </w:rPr>
              <w:t>a</w:t>
            </w:r>
            <w:r w:rsidRPr="00354440">
              <w:rPr>
                <w:rFonts w:eastAsia="Calibri"/>
                <w:sz w:val="20"/>
                <w:lang w:val="fr-CA"/>
              </w:rPr>
              <w:t>) de la </w:t>
            </w:r>
            <w:r w:rsidRPr="00354440">
              <w:rPr>
                <w:rFonts w:eastAsia="Calibri"/>
                <w:i/>
                <w:iCs/>
                <w:sz w:val="20"/>
                <w:lang w:val="fr-CA"/>
              </w:rPr>
              <w:t>Loi sur la protection des renseignements personnels</w:t>
            </w:r>
            <w:r w:rsidRPr="00354440">
              <w:rPr>
                <w:rFonts w:eastAsia="Calibri"/>
                <w:sz w:val="20"/>
                <w:lang w:val="fr-CA"/>
              </w:rPr>
              <w:t>, étant donné que l’usage qu’elle entendait faire de ceux</w:t>
            </w:r>
            <w:r w:rsidRPr="00354440">
              <w:rPr>
                <w:rFonts w:eastAsia="Calibri"/>
                <w:sz w:val="20"/>
                <w:lang w:val="fr-CA"/>
              </w:rPr>
              <w:noBreakHyphen/>
              <w:t>ci était compatible avec les fins auxquelles ils ont été recueillis par l’ARC.  Sa première ordonnance a été modifiée par l’ajout de mesures de protection supplémentaires.  La Cour d’appel fédérale a rejeté la demande de contrôle judiciaire de la demanderesse, jugeant que la décision de la Commission était raisonnable.</w:t>
            </w:r>
          </w:p>
          <w:p w:rsidR="00DD09AD" w:rsidRPr="00354440" w:rsidRDefault="00DD09AD" w:rsidP="005F26F2">
            <w:pPr>
              <w:jc w:val="both"/>
              <w:rPr>
                <w:rFonts w:eastAsia="Calibri"/>
                <w:sz w:val="20"/>
                <w:lang w:val="fr-CA"/>
              </w:rPr>
            </w:pPr>
          </w:p>
        </w:tc>
      </w:tr>
      <w:tr w:rsidR="00DD09AD" w:rsidRPr="001D43E1" w:rsidTr="005F26F2">
        <w:tc>
          <w:tcPr>
            <w:tcW w:w="2427" w:type="pct"/>
          </w:tcPr>
          <w:p w:rsidR="00DD09AD" w:rsidRPr="00354440" w:rsidRDefault="00DD09AD" w:rsidP="005F26F2">
            <w:pPr>
              <w:jc w:val="both"/>
              <w:rPr>
                <w:rFonts w:eastAsia="Calibri"/>
                <w:sz w:val="20"/>
                <w:lang w:val="fr-CA"/>
              </w:rPr>
            </w:pPr>
            <w:r w:rsidRPr="00354440">
              <w:rPr>
                <w:rFonts w:eastAsia="Calibri"/>
                <w:sz w:val="20"/>
                <w:lang w:val="fr-CA"/>
              </w:rPr>
              <w:t>21 mars 2011</w:t>
            </w:r>
          </w:p>
          <w:p w:rsidR="00DD09AD" w:rsidRPr="00354440" w:rsidRDefault="00DD09AD" w:rsidP="005F26F2">
            <w:pPr>
              <w:jc w:val="both"/>
              <w:rPr>
                <w:rFonts w:eastAsia="Calibri"/>
                <w:sz w:val="20"/>
                <w:lang w:val="fr-CA"/>
              </w:rPr>
            </w:pPr>
            <w:r w:rsidRPr="00354440">
              <w:rPr>
                <w:rFonts w:eastAsia="Calibri"/>
                <w:sz w:val="20"/>
                <w:lang w:val="fr-CA"/>
              </w:rPr>
              <w:t>Commission des relations de travail dans la fonction publique</w:t>
            </w:r>
          </w:p>
          <w:p w:rsidR="00DD09AD" w:rsidRPr="00354440" w:rsidRDefault="00DD09AD" w:rsidP="005F26F2">
            <w:pPr>
              <w:jc w:val="both"/>
              <w:rPr>
                <w:rFonts w:eastAsia="Calibri"/>
                <w:sz w:val="20"/>
                <w:lang w:val="fr-CA"/>
              </w:rPr>
            </w:pPr>
            <w:r w:rsidRPr="00354440">
              <w:rPr>
                <w:rFonts w:eastAsia="Calibri"/>
                <w:sz w:val="20"/>
                <w:lang w:val="fr-CA"/>
              </w:rPr>
              <w:t>(Vice</w:t>
            </w:r>
            <w:r w:rsidRPr="00354440">
              <w:rPr>
                <w:rFonts w:eastAsia="Calibri"/>
                <w:sz w:val="20"/>
                <w:lang w:val="fr-CA"/>
              </w:rPr>
              <w:noBreakHyphen/>
              <w:t>président Ian R. Mackenzie)</w:t>
            </w:r>
          </w:p>
          <w:p w:rsidR="00DD09AD" w:rsidRPr="00354440" w:rsidRDefault="00DD09AD" w:rsidP="005F26F2">
            <w:pPr>
              <w:jc w:val="both"/>
              <w:rPr>
                <w:rFonts w:eastAsia="Calibri"/>
                <w:sz w:val="20"/>
                <w:lang w:val="fr-CA"/>
              </w:rPr>
            </w:pPr>
            <w:r w:rsidRPr="00354440">
              <w:rPr>
                <w:rFonts w:eastAsia="Calibri"/>
                <w:sz w:val="20"/>
                <w:lang w:val="fr-CA"/>
              </w:rPr>
              <w:t>2011 PSLRB 34</w:t>
            </w:r>
          </w:p>
          <w:p w:rsidR="00DD09AD" w:rsidRPr="00354440" w:rsidRDefault="00DD09AD" w:rsidP="005F26F2">
            <w:pPr>
              <w:jc w:val="both"/>
              <w:rPr>
                <w:rFonts w:eastAsia="Calibri"/>
                <w:sz w:val="20"/>
                <w:lang w:val="fr-CA"/>
              </w:rPr>
            </w:pPr>
          </w:p>
        </w:tc>
        <w:tc>
          <w:tcPr>
            <w:tcW w:w="243" w:type="pct"/>
          </w:tcPr>
          <w:p w:rsidR="00DD09AD" w:rsidRPr="00354440" w:rsidRDefault="00DD09AD" w:rsidP="005F26F2">
            <w:pPr>
              <w:jc w:val="both"/>
              <w:rPr>
                <w:rFonts w:eastAsia="Calibri"/>
                <w:sz w:val="20"/>
                <w:lang w:val="fr-CA"/>
              </w:rPr>
            </w:pPr>
          </w:p>
        </w:tc>
        <w:tc>
          <w:tcPr>
            <w:tcW w:w="2330" w:type="pct"/>
          </w:tcPr>
          <w:p w:rsidR="00DD09AD" w:rsidRPr="00354440" w:rsidRDefault="00DD09AD" w:rsidP="005F26F2">
            <w:pPr>
              <w:jc w:val="both"/>
              <w:rPr>
                <w:rFonts w:eastAsia="Calibri"/>
                <w:sz w:val="20"/>
                <w:lang w:val="fr-CA"/>
              </w:rPr>
            </w:pPr>
            <w:r w:rsidRPr="00354440">
              <w:rPr>
                <w:rFonts w:eastAsia="Calibri"/>
                <w:sz w:val="20"/>
                <w:lang w:val="fr-CA"/>
              </w:rPr>
              <w:t xml:space="preserve">Ordonnance sur consentement rendue précédemment par la Commission, modifiée par l’ajout de trois autres mesures de protection </w:t>
            </w:r>
          </w:p>
          <w:p w:rsidR="00DD09AD" w:rsidRPr="00354440" w:rsidRDefault="00DD09AD" w:rsidP="005F26F2">
            <w:pPr>
              <w:jc w:val="both"/>
              <w:rPr>
                <w:rFonts w:eastAsia="Calibri"/>
                <w:sz w:val="20"/>
                <w:lang w:val="fr-CA"/>
              </w:rPr>
            </w:pPr>
          </w:p>
        </w:tc>
      </w:tr>
      <w:tr w:rsidR="00DD09AD" w:rsidRPr="00354440" w:rsidTr="005F26F2">
        <w:tc>
          <w:tcPr>
            <w:tcW w:w="2427" w:type="pct"/>
          </w:tcPr>
          <w:p w:rsidR="00DD09AD" w:rsidRPr="00354440" w:rsidRDefault="00DD09AD" w:rsidP="005F26F2">
            <w:pPr>
              <w:jc w:val="both"/>
              <w:rPr>
                <w:rFonts w:eastAsia="Calibri"/>
                <w:sz w:val="20"/>
                <w:lang w:val="fr-CA"/>
              </w:rPr>
            </w:pPr>
            <w:r w:rsidRPr="00354440">
              <w:rPr>
                <w:rFonts w:eastAsia="Calibri"/>
                <w:sz w:val="20"/>
                <w:lang w:val="fr-CA"/>
              </w:rPr>
              <w:t>16 mars 2012</w:t>
            </w:r>
          </w:p>
          <w:p w:rsidR="00DD09AD" w:rsidRPr="00354440" w:rsidRDefault="00DD09AD" w:rsidP="005F26F2">
            <w:pPr>
              <w:jc w:val="both"/>
              <w:rPr>
                <w:rFonts w:eastAsia="Calibri"/>
                <w:sz w:val="20"/>
                <w:lang w:val="fr-CA"/>
              </w:rPr>
            </w:pPr>
            <w:r w:rsidRPr="00354440">
              <w:rPr>
                <w:rFonts w:eastAsia="Calibri"/>
                <w:sz w:val="20"/>
                <w:lang w:val="fr-CA"/>
              </w:rPr>
              <w:t>Cour d’appel fédérale</w:t>
            </w:r>
          </w:p>
          <w:p w:rsidR="00DD09AD" w:rsidRPr="00354440" w:rsidRDefault="00DD09AD" w:rsidP="005F26F2">
            <w:pPr>
              <w:jc w:val="both"/>
              <w:rPr>
                <w:rFonts w:eastAsia="Calibri"/>
                <w:sz w:val="20"/>
                <w:lang w:val="fr-CA"/>
              </w:rPr>
            </w:pPr>
            <w:r w:rsidRPr="00354440">
              <w:rPr>
                <w:rFonts w:eastAsia="Calibri"/>
                <w:sz w:val="20"/>
                <w:lang w:val="fr-CA"/>
              </w:rPr>
              <w:t>(Juge en chef Blais, juges Evans et Sharlow)</w:t>
            </w:r>
          </w:p>
          <w:p w:rsidR="00DD09AD" w:rsidRPr="00354440" w:rsidRDefault="00DD09AD" w:rsidP="004A2705">
            <w:pPr>
              <w:jc w:val="both"/>
              <w:rPr>
                <w:rFonts w:eastAsia="Calibri"/>
                <w:sz w:val="20"/>
                <w:lang w:val="fr-CA"/>
              </w:rPr>
            </w:pPr>
            <w:r w:rsidRPr="00354440">
              <w:rPr>
                <w:rFonts w:eastAsia="Calibri"/>
                <w:sz w:val="20"/>
                <w:lang w:val="fr-CA"/>
              </w:rPr>
              <w:t>2012 FCA 92</w:t>
            </w:r>
          </w:p>
        </w:tc>
        <w:tc>
          <w:tcPr>
            <w:tcW w:w="243" w:type="pct"/>
          </w:tcPr>
          <w:p w:rsidR="00DD09AD" w:rsidRPr="00354440" w:rsidRDefault="00DD09AD" w:rsidP="005F26F2">
            <w:pPr>
              <w:jc w:val="both"/>
              <w:rPr>
                <w:rFonts w:eastAsia="Calibri"/>
                <w:sz w:val="20"/>
                <w:lang w:val="fr-CA"/>
              </w:rPr>
            </w:pPr>
          </w:p>
        </w:tc>
        <w:tc>
          <w:tcPr>
            <w:tcW w:w="2330" w:type="pct"/>
          </w:tcPr>
          <w:p w:rsidR="00DD09AD" w:rsidRPr="00354440" w:rsidRDefault="00DD09AD" w:rsidP="005F26F2">
            <w:pPr>
              <w:jc w:val="both"/>
              <w:rPr>
                <w:rFonts w:eastAsia="Calibri"/>
                <w:sz w:val="20"/>
                <w:lang w:val="fr-CA"/>
              </w:rPr>
            </w:pPr>
            <w:r w:rsidRPr="00354440">
              <w:rPr>
                <w:rFonts w:eastAsia="Calibri"/>
                <w:sz w:val="20"/>
                <w:lang w:val="fr-CA"/>
              </w:rPr>
              <w:t>Demande de contrôle judiciaire, rejetée</w:t>
            </w:r>
          </w:p>
          <w:p w:rsidR="00DD09AD" w:rsidRPr="00354440" w:rsidRDefault="00DD09AD" w:rsidP="005F26F2">
            <w:pPr>
              <w:jc w:val="both"/>
              <w:rPr>
                <w:rFonts w:eastAsia="Calibri"/>
                <w:sz w:val="20"/>
                <w:lang w:val="fr-CA"/>
              </w:rPr>
            </w:pPr>
          </w:p>
        </w:tc>
      </w:tr>
    </w:tbl>
    <w:p w:rsidR="004A2705" w:rsidRDefault="004A2705">
      <w:pPr>
        <w:rPr>
          <w:lang w:val="fr-CA"/>
        </w:rPr>
      </w:pPr>
    </w:p>
    <w:p w:rsidR="004A2705" w:rsidRDefault="004A2705">
      <w:pPr>
        <w:rPr>
          <w:lang w:val="fr-CA"/>
        </w:rPr>
      </w:pPr>
      <w:r>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DD09AD" w:rsidRPr="00354440" w:rsidTr="005F26F2">
        <w:tc>
          <w:tcPr>
            <w:tcW w:w="2427" w:type="pct"/>
          </w:tcPr>
          <w:p w:rsidR="00DD09AD" w:rsidRPr="00354440" w:rsidRDefault="00DD09AD" w:rsidP="005F26F2">
            <w:pPr>
              <w:jc w:val="both"/>
              <w:rPr>
                <w:rFonts w:eastAsia="Calibri"/>
                <w:sz w:val="20"/>
                <w:lang w:val="fr-CA"/>
              </w:rPr>
            </w:pPr>
            <w:r w:rsidRPr="00354440">
              <w:rPr>
                <w:rFonts w:eastAsia="Calibri"/>
                <w:sz w:val="20"/>
                <w:lang w:val="fr-CA"/>
              </w:rPr>
              <w:t>11 mai 2012</w:t>
            </w:r>
          </w:p>
          <w:p w:rsidR="00DD09AD" w:rsidRPr="00354440" w:rsidRDefault="00DD09AD" w:rsidP="005F26F2">
            <w:pPr>
              <w:jc w:val="both"/>
              <w:rPr>
                <w:rFonts w:eastAsia="Calibri"/>
                <w:sz w:val="20"/>
                <w:lang w:val="fr-CA"/>
              </w:rPr>
            </w:pPr>
            <w:r w:rsidRPr="00354440">
              <w:rPr>
                <w:rFonts w:eastAsia="Calibri"/>
                <w:sz w:val="20"/>
                <w:lang w:val="fr-CA"/>
              </w:rPr>
              <w:t>Cour suprême du Canada</w:t>
            </w:r>
          </w:p>
        </w:tc>
        <w:tc>
          <w:tcPr>
            <w:tcW w:w="243" w:type="pct"/>
          </w:tcPr>
          <w:p w:rsidR="00DD09AD" w:rsidRPr="00354440" w:rsidRDefault="00DD09AD" w:rsidP="005F26F2">
            <w:pPr>
              <w:jc w:val="both"/>
              <w:rPr>
                <w:rFonts w:eastAsia="Calibri"/>
                <w:sz w:val="20"/>
                <w:lang w:val="fr-CA"/>
              </w:rPr>
            </w:pPr>
          </w:p>
        </w:tc>
        <w:tc>
          <w:tcPr>
            <w:tcW w:w="2330" w:type="pct"/>
          </w:tcPr>
          <w:p w:rsidR="00DD09AD" w:rsidRPr="00354440" w:rsidRDefault="00DD09AD" w:rsidP="005F26F2">
            <w:pPr>
              <w:jc w:val="both"/>
              <w:rPr>
                <w:rFonts w:eastAsia="Calibri"/>
                <w:sz w:val="20"/>
                <w:lang w:val="fr-CA"/>
              </w:rPr>
            </w:pPr>
            <w:r w:rsidRPr="00354440">
              <w:rPr>
                <w:rFonts w:eastAsia="Calibri"/>
                <w:sz w:val="20"/>
                <w:lang w:val="fr-CA"/>
              </w:rPr>
              <w:t>Demande d’autorisation d’appel, déposée</w:t>
            </w:r>
          </w:p>
          <w:p w:rsidR="00DD09AD" w:rsidRPr="00354440" w:rsidRDefault="00DD09AD" w:rsidP="005F26F2">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57"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2705" w:rsidRPr="001D43E1" w:rsidTr="00066741">
        <w:trPr>
          <w:cantSplit/>
        </w:trPr>
        <w:tc>
          <w:tcPr>
            <w:tcW w:w="1458" w:type="dxa"/>
          </w:tcPr>
          <w:p w:rsidR="004A2705" w:rsidRPr="00ED4B6E" w:rsidRDefault="004A2705" w:rsidP="00066741">
            <w:pPr>
              <w:rPr>
                <w:sz w:val="20"/>
                <w:szCs w:val="20"/>
              </w:rPr>
            </w:pPr>
            <w:r w:rsidRPr="00ED4B6E">
              <w:rPr>
                <w:rStyle w:val="SCCFileNumberChar"/>
                <w:sz w:val="20"/>
                <w:szCs w:val="20"/>
              </w:rPr>
              <w:t>34824</w:t>
            </w:r>
          </w:p>
          <w:p w:rsidR="004A2705" w:rsidRPr="00ED4B6E" w:rsidRDefault="004A2705" w:rsidP="00066741">
            <w:pPr>
              <w:rPr>
                <w:b/>
                <w:sz w:val="20"/>
                <w:szCs w:val="20"/>
                <w:lang w:val="fr-CA"/>
              </w:rPr>
            </w:pPr>
          </w:p>
        </w:tc>
        <w:tc>
          <w:tcPr>
            <w:tcW w:w="8118" w:type="dxa"/>
          </w:tcPr>
          <w:p w:rsidR="004A2705" w:rsidRPr="00ED4B6E" w:rsidRDefault="004A2705" w:rsidP="00066741">
            <w:pPr>
              <w:jc w:val="both"/>
              <w:rPr>
                <w:sz w:val="20"/>
                <w:szCs w:val="20"/>
                <w:lang w:val="fr-CA"/>
              </w:rPr>
            </w:pPr>
            <w:r w:rsidRPr="00ED4B6E">
              <w:rPr>
                <w:rStyle w:val="SCCLsocChar"/>
                <w:sz w:val="20"/>
                <w:szCs w:val="20"/>
              </w:rPr>
              <w:t>Antal Babos c. Sa Majesté la Reine ET ENTRE Sergio Piccirilli c. Sa Majesté la Reine</w:t>
            </w:r>
            <w:r w:rsidRPr="00ED4B6E">
              <w:rPr>
                <w:sz w:val="20"/>
                <w:szCs w:val="20"/>
                <w:lang w:val="fr-CA"/>
              </w:rPr>
              <w:t xml:space="preserve"> (Qc) (Criminelle) (Autorisation)</w:t>
            </w:r>
          </w:p>
          <w:p w:rsidR="004A2705" w:rsidRPr="00ED4B6E" w:rsidRDefault="004A2705" w:rsidP="00066741">
            <w:pPr>
              <w:jc w:val="both"/>
              <w:rPr>
                <w:sz w:val="20"/>
                <w:szCs w:val="20"/>
                <w:lang w:val="fr-CA"/>
              </w:rPr>
            </w:pPr>
          </w:p>
        </w:tc>
      </w:tr>
      <w:tr w:rsidR="004A2705" w:rsidRPr="001D43E1" w:rsidTr="00066741">
        <w:trPr>
          <w:cantSplit/>
        </w:trPr>
        <w:tc>
          <w:tcPr>
            <w:tcW w:w="1458" w:type="dxa"/>
          </w:tcPr>
          <w:p w:rsidR="004A2705" w:rsidRPr="00ED4B6E" w:rsidRDefault="004A2705" w:rsidP="00066741">
            <w:pPr>
              <w:rPr>
                <w:sz w:val="20"/>
                <w:szCs w:val="20"/>
              </w:rPr>
            </w:pPr>
            <w:r w:rsidRPr="00ED4B6E">
              <w:rPr>
                <w:sz w:val="20"/>
                <w:szCs w:val="20"/>
              </w:rPr>
              <w:t>Coram :</w:t>
            </w:r>
          </w:p>
        </w:tc>
        <w:tc>
          <w:tcPr>
            <w:tcW w:w="8118" w:type="dxa"/>
          </w:tcPr>
          <w:p w:rsidR="004A2705" w:rsidRPr="00ED4B6E" w:rsidRDefault="004A2705" w:rsidP="00066741">
            <w:pPr>
              <w:rPr>
                <w:sz w:val="20"/>
                <w:szCs w:val="20"/>
                <w:lang w:val="fr-CA"/>
              </w:rPr>
            </w:pPr>
            <w:r w:rsidRPr="00ED4B6E">
              <w:rPr>
                <w:rStyle w:val="SCCCoramChar"/>
                <w:sz w:val="20"/>
                <w:szCs w:val="20"/>
              </w:rPr>
              <w:t>Les juges LeBel, Abella et Cromwell</w:t>
            </w:r>
          </w:p>
          <w:p w:rsidR="004A2705" w:rsidRPr="00ED4B6E" w:rsidRDefault="004A2705" w:rsidP="00066741">
            <w:pPr>
              <w:rPr>
                <w:sz w:val="20"/>
                <w:szCs w:val="20"/>
                <w:u w:val="single"/>
                <w:lang w:val="fr-CA"/>
              </w:rPr>
            </w:pPr>
          </w:p>
        </w:tc>
      </w:tr>
      <w:tr w:rsidR="004A2705" w:rsidRPr="00ED4B6E" w:rsidTr="00066741">
        <w:trPr>
          <w:cantSplit/>
        </w:trPr>
        <w:tc>
          <w:tcPr>
            <w:tcW w:w="9576" w:type="dxa"/>
            <w:gridSpan w:val="2"/>
          </w:tcPr>
          <w:p w:rsidR="004A2705" w:rsidRPr="00ED4B6E" w:rsidRDefault="004A2705" w:rsidP="00066741">
            <w:pPr>
              <w:pStyle w:val="SCCShortJudgment"/>
              <w:rPr>
                <w:szCs w:val="20"/>
                <w:lang w:val="fr-CA"/>
              </w:rPr>
            </w:pPr>
            <w:r w:rsidRPr="00ED4B6E">
              <w:rPr>
                <w:szCs w:val="20"/>
                <w:lang w:val="fr-CA"/>
              </w:rPr>
              <w:t>Les demandes d’autorisation d’appel de l’arrêt de la Cour d’appel du Québec (Montréal), numéros 500-10-004261-085 et 500-10-004264-089, 2012 QCCA 471, daté du 14 mars 2012, sont accueillies sans dépens.</w:t>
            </w:r>
          </w:p>
          <w:p w:rsidR="004A2705" w:rsidRPr="00ED4B6E" w:rsidRDefault="004A2705" w:rsidP="00066741">
            <w:pPr>
              <w:pStyle w:val="SCCShortJudgment"/>
              <w:ind w:firstLine="0"/>
              <w:rPr>
                <w:szCs w:val="20"/>
                <w:lang w:val="fr-CA"/>
              </w:rPr>
            </w:pPr>
          </w:p>
          <w:p w:rsidR="004A2705" w:rsidRPr="00ED4B6E" w:rsidRDefault="004A2705" w:rsidP="00066741">
            <w:pPr>
              <w:pStyle w:val="SCCShortJudgment"/>
              <w:rPr>
                <w:szCs w:val="20"/>
              </w:rPr>
            </w:pPr>
            <w:r w:rsidRPr="00ED4B6E">
              <w:rPr>
                <w:szCs w:val="20"/>
              </w:rPr>
              <w:t>The applications for leave to appeal from the judgment of the Court of Appeal of Quebec (Montréal), Numbers 500-10-004261-085 and 500-10-004264-089, 2012 QCCA 471, dated March 14, 2012, are granted without costs.</w:t>
            </w:r>
          </w:p>
        </w:tc>
      </w:tr>
    </w:tbl>
    <w:p w:rsidR="00441FC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sz w:val="20"/>
              </w:rPr>
              <w:t>Charter of rights — Constitutional law — Remedy — Stay of proceedings — Criminal law — Appeals — Powers of Court of Appeal — Standards of review — Abuse of process — Whether Court of Appeal erred in determining that trial judge had made palpable and overriding errors — Whether Court of Appeal erred in determining that this was not one of “clearest of cases” of abuse of process — Whether it was still possible to order new fair trial within meaning of s. 11(</w:t>
            </w:r>
            <w:r w:rsidRPr="00354440">
              <w:rPr>
                <w:rFonts w:eastAsia="Calibri"/>
                <w:i/>
                <w:sz w:val="20"/>
              </w:rPr>
              <w:t>d</w:t>
            </w:r>
            <w:r w:rsidRPr="00354440">
              <w:rPr>
                <w:rFonts w:eastAsia="Calibri"/>
                <w:sz w:val="20"/>
              </w:rPr>
              <w:t xml:space="preserve">) of </w:t>
            </w:r>
            <w:r w:rsidRPr="00354440">
              <w:rPr>
                <w:rFonts w:eastAsia="Calibri"/>
                <w:i/>
                <w:sz w:val="20"/>
              </w:rPr>
              <w:t>Canadian Charter of Rights and Freedoms</w:t>
            </w:r>
            <w:r w:rsidRPr="00354440">
              <w:rPr>
                <w:rFonts w:eastAsia="Calibri"/>
                <w:sz w:val="20"/>
              </w:rPr>
              <w:t xml:space="preserve"> — Whether ordering new trial was appropriate remedy in this case — Whether Court of Appeal erred in substituting itself for trial judge in assessing facts — Whether Court of Appeal erred in minimizing fact that those taking over from first Crown counsel of record did not dissociate themselves from her conduct — Whether Court of Appeal erred in condoning conduct of another counsel of record who, without warrant, seized information in applicant’s medical record at prison where he was confined.</w:t>
            </w:r>
          </w:p>
        </w:tc>
      </w:tr>
      <w:tr w:rsidR="00DD09AD" w:rsidRPr="00354440" w:rsidTr="005F26F2">
        <w:tc>
          <w:tcPr>
            <w:tcW w:w="5000" w:type="pct"/>
            <w:gridSpan w:val="3"/>
          </w:tcPr>
          <w:p w:rsidR="00DD09AD" w:rsidRPr="00354440" w:rsidRDefault="00DD09AD" w:rsidP="005F26F2">
            <w:pPr>
              <w:jc w:val="both"/>
              <w:rPr>
                <w:rFonts w:eastAsia="Calibri"/>
                <w:sz w:val="20"/>
              </w:rPr>
            </w:pPr>
          </w:p>
        </w:tc>
      </w:tr>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sz w:val="20"/>
              </w:rPr>
              <w:t>Antal Babos was driving a vehicle and was stopped by police officers Guy Brière and Marc Sénéchal when he left Kanesatake.  The police officers had information concerning the possession of firearms, which, in their opinion, justified their intervention.  After asking Mr. Babos for his driver’s licence and the relevant documents, the police officers searched the trunk of the vehicle, where they found a prohibited semi</w:t>
            </w:r>
            <w:r w:rsidRPr="00354440">
              <w:rPr>
                <w:rFonts w:eastAsia="Calibri"/>
                <w:sz w:val="20"/>
              </w:rPr>
              <w:noBreakHyphen/>
              <w:t xml:space="preserve">automatic firearm in a case.  They then arrested Mr. Babos, among other things.  As for </w:t>
            </w:r>
            <w:r w:rsidRPr="00354440">
              <w:rPr>
                <w:rFonts w:eastAsia="Calibri"/>
                <w:color w:val="000000"/>
                <w:sz w:val="20"/>
              </w:rPr>
              <w:t>Sergio Piccirilli, he was arrested and held in custody until the trial judgment.  On November 14, 2008, the trial judge ordered a final stay of proceedings in both cases on the following grounds: the repeated threats made against Mr. </w:t>
            </w:r>
            <w:r w:rsidRPr="00354440">
              <w:rPr>
                <w:rFonts w:eastAsia="Calibri"/>
                <w:sz w:val="20"/>
              </w:rPr>
              <w:t>Piccirilli</w:t>
            </w:r>
            <w:r w:rsidRPr="00354440">
              <w:rPr>
                <w:rFonts w:eastAsia="Calibri"/>
                <w:color w:val="000000"/>
                <w:sz w:val="20"/>
              </w:rPr>
              <w:t xml:space="preserve"> by the initial Crown counsel of record</w:t>
            </w:r>
            <w:r w:rsidRPr="00354440">
              <w:rPr>
                <w:rFonts w:eastAsia="Calibri"/>
                <w:sz w:val="20"/>
              </w:rPr>
              <w:t>, the conduct and testimony of police officers, particularly Guy Brière, who had changed his version of the facts between the preliminary inquiry and the trial, and the fact that counsel who had succeeded the initial Crown counsel of record had obtained Mr. Piccirilli’s medical record.</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December 4, 2008</w:t>
            </w:r>
          </w:p>
          <w:p w:rsidR="00DD09AD" w:rsidRPr="00354440" w:rsidRDefault="00DD09AD" w:rsidP="005F26F2">
            <w:pPr>
              <w:jc w:val="both"/>
              <w:rPr>
                <w:rFonts w:eastAsia="Calibri"/>
                <w:sz w:val="20"/>
              </w:rPr>
            </w:pPr>
            <w:r w:rsidRPr="00354440">
              <w:rPr>
                <w:rFonts w:eastAsia="Calibri"/>
                <w:sz w:val="20"/>
              </w:rPr>
              <w:t>Court of Québec</w:t>
            </w:r>
          </w:p>
          <w:p w:rsidR="00DD09AD" w:rsidRPr="00354440" w:rsidRDefault="00DD09AD" w:rsidP="005F26F2">
            <w:pPr>
              <w:jc w:val="both"/>
              <w:rPr>
                <w:rFonts w:eastAsia="Calibri"/>
                <w:sz w:val="20"/>
              </w:rPr>
            </w:pPr>
            <w:r w:rsidRPr="00354440">
              <w:rPr>
                <w:rFonts w:eastAsia="Calibri"/>
                <w:sz w:val="20"/>
              </w:rPr>
              <w:t>(Judge Garneau)</w:t>
            </w:r>
          </w:p>
          <w:p w:rsidR="00DD09AD" w:rsidRPr="00354440" w:rsidRDefault="00DD09AD" w:rsidP="005F26F2">
            <w:pPr>
              <w:jc w:val="both"/>
              <w:rPr>
                <w:rFonts w:eastAsia="Calibri"/>
                <w:sz w:val="20"/>
              </w:rPr>
            </w:pPr>
            <w:r w:rsidRPr="00354440">
              <w:rPr>
                <w:rFonts w:eastAsia="Calibri"/>
                <w:sz w:val="20"/>
              </w:rPr>
              <w:t>2008 QCCQ 11373</w:t>
            </w:r>
          </w:p>
          <w:p w:rsidR="00DD09AD" w:rsidRPr="00354440" w:rsidRDefault="00DD09AD" w:rsidP="005F26F2">
            <w:pPr>
              <w:jc w:val="both"/>
              <w:rPr>
                <w:rFonts w:eastAsia="Calibri"/>
                <w:sz w:val="20"/>
              </w:rPr>
            </w:pP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 xml:space="preserve">Final stay of proceedings ordered under s. 24(1) of </w:t>
            </w:r>
            <w:r w:rsidRPr="00354440">
              <w:rPr>
                <w:rFonts w:eastAsia="Calibri"/>
                <w:i/>
                <w:sz w:val="20"/>
              </w:rPr>
              <w:t>Canadian Charter</w:t>
            </w:r>
            <w:r w:rsidRPr="00354440">
              <w:rPr>
                <w:rFonts w:eastAsia="Calibri"/>
                <w:sz w:val="20"/>
              </w:rPr>
              <w:t xml:space="preserve"> based on violation of ss. 7, 8 and 11(</w:t>
            </w:r>
            <w:r w:rsidRPr="00354440">
              <w:rPr>
                <w:rFonts w:eastAsia="Calibri"/>
                <w:i/>
                <w:sz w:val="20"/>
              </w:rPr>
              <w:t>d</w:t>
            </w:r>
            <w:r w:rsidRPr="00354440">
              <w:rPr>
                <w:rFonts w:eastAsia="Calibri"/>
                <w:sz w:val="20"/>
              </w:rPr>
              <w:t xml:space="preserve">) of </w:t>
            </w:r>
            <w:r w:rsidRPr="00354440">
              <w:rPr>
                <w:rFonts w:eastAsia="Calibri"/>
                <w:i/>
                <w:sz w:val="20"/>
              </w:rPr>
              <w:t>Canadian Charter</w:t>
            </w: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March 14, 2012</w:t>
            </w:r>
          </w:p>
          <w:p w:rsidR="00DD09AD" w:rsidRPr="00354440" w:rsidRDefault="00DD09AD" w:rsidP="005F26F2">
            <w:pPr>
              <w:jc w:val="both"/>
              <w:rPr>
                <w:rFonts w:eastAsia="Calibri"/>
                <w:sz w:val="20"/>
              </w:rPr>
            </w:pPr>
            <w:r w:rsidRPr="00354440">
              <w:rPr>
                <w:rFonts w:eastAsia="Calibri"/>
                <w:sz w:val="20"/>
              </w:rPr>
              <w:t>Quebec Court of Appeal (Montréal)</w:t>
            </w:r>
          </w:p>
          <w:p w:rsidR="00DD09AD" w:rsidRPr="00354440" w:rsidRDefault="00DD09AD" w:rsidP="005F26F2">
            <w:pPr>
              <w:jc w:val="both"/>
              <w:rPr>
                <w:rFonts w:eastAsia="Calibri"/>
                <w:sz w:val="20"/>
              </w:rPr>
            </w:pPr>
            <w:r w:rsidRPr="00354440">
              <w:rPr>
                <w:rFonts w:eastAsia="Calibri"/>
                <w:sz w:val="20"/>
              </w:rPr>
              <w:t>(Duval Hesler, Nicole, C.J., and Chamberland and Doyon JJ.A.)</w:t>
            </w:r>
          </w:p>
          <w:p w:rsidR="00DD09AD" w:rsidRPr="00354440" w:rsidRDefault="00DD09AD" w:rsidP="005F26F2">
            <w:pPr>
              <w:jc w:val="both"/>
              <w:rPr>
                <w:rFonts w:eastAsia="Calibri"/>
                <w:sz w:val="20"/>
              </w:rPr>
            </w:pPr>
            <w:r w:rsidRPr="00354440">
              <w:rPr>
                <w:rFonts w:eastAsia="Calibri"/>
                <w:sz w:val="20"/>
              </w:rPr>
              <w:t>2012 QCCA 471</w:t>
            </w:r>
          </w:p>
          <w:p w:rsidR="00DD09AD" w:rsidRPr="00354440" w:rsidRDefault="00DD09AD" w:rsidP="005F26F2">
            <w:pPr>
              <w:jc w:val="both"/>
              <w:rPr>
                <w:rFonts w:eastAsia="Calibri"/>
                <w:sz w:val="20"/>
              </w:rPr>
            </w:pP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Appeal allowed;</w:t>
            </w:r>
          </w:p>
          <w:p w:rsidR="00DD09AD" w:rsidRPr="00354440" w:rsidRDefault="00DD09AD" w:rsidP="005F26F2">
            <w:pPr>
              <w:jc w:val="both"/>
              <w:rPr>
                <w:rFonts w:eastAsia="Calibri"/>
                <w:sz w:val="20"/>
              </w:rPr>
            </w:pPr>
            <w:r w:rsidRPr="00354440">
              <w:rPr>
                <w:rFonts w:eastAsia="Calibri"/>
                <w:sz w:val="20"/>
              </w:rPr>
              <w:t>Trial judgment set aside;</w:t>
            </w:r>
          </w:p>
          <w:p w:rsidR="00DD09AD" w:rsidRPr="00354440" w:rsidRDefault="00DD09AD" w:rsidP="005F26F2">
            <w:pPr>
              <w:jc w:val="both"/>
              <w:rPr>
                <w:rFonts w:eastAsia="Calibri"/>
                <w:sz w:val="20"/>
              </w:rPr>
            </w:pPr>
            <w:r w:rsidRPr="00354440">
              <w:rPr>
                <w:rFonts w:eastAsia="Calibri"/>
                <w:sz w:val="20"/>
              </w:rPr>
              <w:t>New trial ordered</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May 14, 2012</w:t>
            </w:r>
          </w:p>
          <w:p w:rsidR="00DD09AD" w:rsidRPr="00354440" w:rsidRDefault="00DD09AD" w:rsidP="005F26F2">
            <w:pPr>
              <w:jc w:val="both"/>
              <w:rPr>
                <w:rFonts w:eastAsia="Calibri"/>
                <w:sz w:val="20"/>
              </w:rPr>
            </w:pPr>
            <w:r w:rsidRPr="00354440">
              <w:rPr>
                <w:rFonts w:eastAsia="Calibri"/>
                <w:sz w:val="20"/>
              </w:rPr>
              <w:t>Supreme Court of Canada</w:t>
            </w:r>
          </w:p>
          <w:p w:rsidR="00DD09AD" w:rsidRPr="00354440" w:rsidRDefault="00DD09AD" w:rsidP="005F26F2">
            <w:pPr>
              <w:jc w:val="both"/>
              <w:rPr>
                <w:rFonts w:eastAsia="Calibri"/>
                <w:sz w:val="20"/>
              </w:rPr>
            </w:pP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First application for leave to appeal filed by Antal Babos; second leave application filed by Sergio Piccirilli</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58"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D09AD" w:rsidRPr="001D43E1" w:rsidTr="005F26F2">
        <w:tc>
          <w:tcPr>
            <w:tcW w:w="5000" w:type="pct"/>
            <w:gridSpan w:val="3"/>
          </w:tcPr>
          <w:p w:rsidR="00DD09AD" w:rsidRPr="00354440" w:rsidRDefault="00DD09AD" w:rsidP="005F26F2">
            <w:pPr>
              <w:jc w:val="both"/>
              <w:rPr>
                <w:sz w:val="20"/>
                <w:lang w:val="fr-CA"/>
              </w:rPr>
            </w:pPr>
            <w:r w:rsidRPr="00354440">
              <w:rPr>
                <w:sz w:val="20"/>
                <w:lang w:val="fr-CA"/>
              </w:rPr>
              <w:t>Charte des droits — Droit constitutionnel — Réparation — Arrêt des procédures — Droit criminel — Appels — Pouvoirs de la Cour d’appel — Normes de contrôle — Abus de procédures — La Cour d’appel a</w:t>
            </w:r>
            <w:r w:rsidRPr="00354440">
              <w:rPr>
                <w:sz w:val="20"/>
                <w:lang w:val="fr-CA"/>
              </w:rPr>
              <w:noBreakHyphen/>
              <w:t>t</w:t>
            </w:r>
            <w:r w:rsidRPr="00354440">
              <w:rPr>
                <w:sz w:val="20"/>
                <w:lang w:val="fr-CA"/>
              </w:rPr>
              <w:noBreakHyphen/>
              <w:t>elle fait erreur en déterminant que le juge du procès a commis des erreurs manifestes et dominantes? — La Cour d’appel a</w:t>
            </w:r>
            <w:r w:rsidRPr="00354440">
              <w:rPr>
                <w:sz w:val="20"/>
                <w:lang w:val="fr-CA"/>
              </w:rPr>
              <w:noBreakHyphen/>
              <w:t>t</w:t>
            </w:r>
            <w:r w:rsidRPr="00354440">
              <w:rPr>
                <w:sz w:val="20"/>
                <w:lang w:val="fr-CA"/>
              </w:rPr>
              <w:noBreakHyphen/>
              <w:t>elle fait erreur en déterminant que le présent dossier n’est pas un « cas des plus manifestes » d’abus de procédure? — L’ordonnance d’un nouveau procès juste et équitable au sens de l’alinéa 11</w:t>
            </w:r>
            <w:r w:rsidRPr="00354440">
              <w:rPr>
                <w:i/>
                <w:sz w:val="20"/>
                <w:lang w:val="fr-CA"/>
              </w:rPr>
              <w:t>d</w:t>
            </w:r>
            <w:r w:rsidRPr="00354440">
              <w:rPr>
                <w:sz w:val="20"/>
                <w:lang w:val="fr-CA"/>
              </w:rPr>
              <w:t xml:space="preserve">) de la </w:t>
            </w:r>
            <w:r w:rsidRPr="00354440">
              <w:rPr>
                <w:i/>
                <w:sz w:val="20"/>
                <w:lang w:val="fr-CA"/>
              </w:rPr>
              <w:t xml:space="preserve">Charte canadienne des droits et libertés </w:t>
            </w:r>
            <w:r w:rsidRPr="00354440">
              <w:rPr>
                <w:sz w:val="20"/>
                <w:lang w:val="fr-CA"/>
              </w:rPr>
              <w:t>est</w:t>
            </w:r>
            <w:r w:rsidRPr="00354440">
              <w:rPr>
                <w:sz w:val="20"/>
                <w:lang w:val="fr-CA"/>
              </w:rPr>
              <w:noBreakHyphen/>
              <w:t>il encore possible? — L’ordonnance d’un nouveau procès est</w:t>
            </w:r>
            <w:r w:rsidRPr="00354440">
              <w:rPr>
                <w:sz w:val="20"/>
                <w:lang w:val="fr-CA"/>
              </w:rPr>
              <w:noBreakHyphen/>
              <w:t>il le remède approprié dans le présent cas? — La Cour d’appel a</w:t>
            </w:r>
            <w:r w:rsidRPr="00354440">
              <w:rPr>
                <w:sz w:val="20"/>
                <w:lang w:val="fr-CA"/>
              </w:rPr>
              <w:noBreakHyphen/>
              <w:t>t</w:t>
            </w:r>
            <w:r w:rsidRPr="00354440">
              <w:rPr>
                <w:sz w:val="20"/>
                <w:lang w:val="fr-CA"/>
              </w:rPr>
              <w:noBreakHyphen/>
              <w:t>elle fait erreur en se substituant au juge de première instance dans l’appréciation des faits? — La Cour d’appel a</w:t>
            </w:r>
            <w:r w:rsidRPr="00354440">
              <w:rPr>
                <w:sz w:val="20"/>
                <w:lang w:val="fr-CA"/>
              </w:rPr>
              <w:noBreakHyphen/>
              <w:t>t</w:t>
            </w:r>
            <w:r w:rsidRPr="00354440">
              <w:rPr>
                <w:sz w:val="20"/>
                <w:lang w:val="fr-CA"/>
              </w:rPr>
              <w:noBreakHyphen/>
              <w:t>elle fait erreur en minimisant l’absence de toute forme de dissociation de la conduite de la première procureure de la Couronne au dossier par ceux qui ont pris sa relève? — La Cour d’appel a</w:t>
            </w:r>
            <w:r w:rsidRPr="00354440">
              <w:rPr>
                <w:sz w:val="20"/>
                <w:lang w:val="fr-CA"/>
              </w:rPr>
              <w:noBreakHyphen/>
              <w:t>t</w:t>
            </w:r>
            <w:r w:rsidRPr="00354440">
              <w:rPr>
                <w:sz w:val="20"/>
                <w:lang w:val="fr-CA"/>
              </w:rPr>
              <w:noBreakHyphen/>
              <w:t>elle fait erreur en cautionnant la conduite d’une autre procureure au dossier qui a saisi sans mandat l’information contenue au dossier médical du demandeur à la prison où il était détenu?</w:t>
            </w:r>
          </w:p>
          <w:p w:rsidR="00DD09AD" w:rsidRPr="00354440" w:rsidRDefault="00DD09AD" w:rsidP="005F26F2">
            <w:pPr>
              <w:jc w:val="both"/>
              <w:rPr>
                <w:sz w:val="20"/>
                <w:lang w:val="fr-CA"/>
              </w:rPr>
            </w:pPr>
          </w:p>
        </w:tc>
      </w:tr>
      <w:tr w:rsidR="00DD09AD" w:rsidRPr="001D43E1" w:rsidTr="005F26F2">
        <w:tc>
          <w:tcPr>
            <w:tcW w:w="5000" w:type="pct"/>
            <w:gridSpan w:val="3"/>
          </w:tcPr>
          <w:p w:rsidR="00DD09AD" w:rsidRPr="00354440" w:rsidRDefault="00DD09AD" w:rsidP="005F26F2">
            <w:pPr>
              <w:jc w:val="both"/>
              <w:rPr>
                <w:sz w:val="20"/>
                <w:lang w:val="fr-CA"/>
              </w:rPr>
            </w:pPr>
            <w:r w:rsidRPr="00354440">
              <w:rPr>
                <w:sz w:val="20"/>
                <w:lang w:val="fr-CA"/>
              </w:rPr>
              <w:t>Monsieur Antal Babos conduit un véhicule et se fait intercepter par les policiers Guy Brière et Marc Sénéchal au moment où il quitte le territoire de Kanesatake.  Les policiers ont alors des informations qui portent sur la possession d’armes à feu et qui, selon eux, justifient leur intervention.  Après avoir demandé à M. Babos son permis de conduire et les documents pertinents, les policiers fouillent le coffre arrière du véhicule où ils retrouvent une arme à feu prohibée semi</w:t>
            </w:r>
            <w:r w:rsidRPr="00354440">
              <w:rPr>
                <w:sz w:val="20"/>
                <w:lang w:val="fr-CA"/>
              </w:rPr>
              <w:noBreakHyphen/>
              <w:t xml:space="preserve">automatique rangée dans un étui. Ils procèdent alors, entre autres, à l’arrestation de monsieur Babos. </w:t>
            </w:r>
            <w:r w:rsidRPr="00354440">
              <w:rPr>
                <w:color w:val="000000"/>
                <w:sz w:val="20"/>
                <w:lang w:val="fr-FR"/>
              </w:rPr>
              <w:t xml:space="preserve">Monsieur Sergio Piccirilli a, quant à lui, été arrêté et détenu jusqu’au jugement de première instance.  </w:t>
            </w:r>
            <w:r w:rsidRPr="00354440">
              <w:rPr>
                <w:sz w:val="20"/>
                <w:lang w:val="fr-CA"/>
              </w:rPr>
              <w:t>Le 14 novembre 2008, le juge de première instance prononce l’arrêt définitif des procédures dans les deux dossiers pour les raisons suivantes : les « menaces répétées » proférées par l’avocate de la poursuite initialement au dossier, à l’endroit de M. Piccirilli, le comportement et le témoignage de policiers, notamment M. Guy Brière, qui a changé sa version faits entre l’enquête préliminaire et le procès et l’obtention du dossier médical de M. Piccirilli par l’avocate qui a succédé à l’avocate de la poursuite initialement au dossier.</w:t>
            </w:r>
          </w:p>
          <w:p w:rsidR="00DD09AD" w:rsidRPr="00354440" w:rsidRDefault="00DD09AD" w:rsidP="005F26F2">
            <w:pPr>
              <w:jc w:val="both"/>
              <w:rPr>
                <w:sz w:val="20"/>
                <w:lang w:val="fr-CA"/>
              </w:rPr>
            </w:pPr>
          </w:p>
        </w:tc>
      </w:tr>
      <w:tr w:rsidR="00DD09AD" w:rsidRPr="001D43E1" w:rsidTr="005F26F2">
        <w:tc>
          <w:tcPr>
            <w:tcW w:w="2427" w:type="pct"/>
          </w:tcPr>
          <w:p w:rsidR="00DD09AD" w:rsidRPr="00354440" w:rsidRDefault="00DD09AD" w:rsidP="005F26F2">
            <w:pPr>
              <w:jc w:val="both"/>
              <w:rPr>
                <w:sz w:val="20"/>
                <w:lang w:val="fr-CA"/>
              </w:rPr>
            </w:pPr>
            <w:r w:rsidRPr="00354440">
              <w:rPr>
                <w:sz w:val="20"/>
                <w:lang w:val="fr-CA"/>
              </w:rPr>
              <w:t>Le 4 décembre 2008</w:t>
            </w:r>
          </w:p>
          <w:p w:rsidR="00DD09AD" w:rsidRPr="00354440" w:rsidRDefault="00DD09AD" w:rsidP="005F26F2">
            <w:pPr>
              <w:jc w:val="both"/>
              <w:rPr>
                <w:sz w:val="20"/>
                <w:lang w:val="fr-CA"/>
              </w:rPr>
            </w:pPr>
            <w:r w:rsidRPr="00354440">
              <w:rPr>
                <w:sz w:val="20"/>
                <w:lang w:val="fr-CA"/>
              </w:rPr>
              <w:t>Cour du Québec</w:t>
            </w:r>
          </w:p>
          <w:p w:rsidR="00DD09AD" w:rsidRPr="00354440" w:rsidRDefault="00DD09AD" w:rsidP="005F26F2">
            <w:pPr>
              <w:jc w:val="both"/>
              <w:rPr>
                <w:sz w:val="20"/>
                <w:lang w:val="fr-CA"/>
              </w:rPr>
            </w:pPr>
            <w:r w:rsidRPr="00354440">
              <w:rPr>
                <w:sz w:val="20"/>
                <w:lang w:val="fr-CA"/>
              </w:rPr>
              <w:t>(Le juge Garneau)</w:t>
            </w:r>
          </w:p>
          <w:p w:rsidR="00DD09AD" w:rsidRPr="00354440" w:rsidRDefault="00DD09AD" w:rsidP="005F26F2">
            <w:pPr>
              <w:jc w:val="both"/>
              <w:rPr>
                <w:sz w:val="20"/>
              </w:rPr>
            </w:pPr>
            <w:r w:rsidRPr="00354440">
              <w:rPr>
                <w:sz w:val="20"/>
              </w:rPr>
              <w:t>2008 QCCQ 11373</w:t>
            </w:r>
          </w:p>
          <w:p w:rsidR="00DD09AD" w:rsidRPr="00354440" w:rsidRDefault="00DD09AD" w:rsidP="005F26F2">
            <w:pPr>
              <w:jc w:val="both"/>
              <w:rPr>
                <w:sz w:val="20"/>
              </w:rPr>
            </w:pPr>
          </w:p>
        </w:tc>
        <w:tc>
          <w:tcPr>
            <w:tcW w:w="243" w:type="pct"/>
          </w:tcPr>
          <w:p w:rsidR="00DD09AD" w:rsidRPr="00354440" w:rsidRDefault="00DD09AD" w:rsidP="005F26F2">
            <w:pPr>
              <w:jc w:val="both"/>
              <w:rPr>
                <w:sz w:val="20"/>
              </w:rPr>
            </w:pPr>
          </w:p>
        </w:tc>
        <w:tc>
          <w:tcPr>
            <w:tcW w:w="2330" w:type="pct"/>
          </w:tcPr>
          <w:p w:rsidR="00DD09AD" w:rsidRPr="00354440" w:rsidRDefault="00DD09AD" w:rsidP="005F26F2">
            <w:pPr>
              <w:jc w:val="both"/>
              <w:rPr>
                <w:sz w:val="20"/>
                <w:lang w:val="fr-CA"/>
              </w:rPr>
            </w:pPr>
            <w:r w:rsidRPr="00354440">
              <w:rPr>
                <w:sz w:val="20"/>
                <w:lang w:val="fr-CA"/>
              </w:rPr>
              <w:t xml:space="preserve">Arrêt définitif des procédures ordonné en vertu de l’alinéa 24(1) de la </w:t>
            </w:r>
            <w:r w:rsidRPr="00354440">
              <w:rPr>
                <w:i/>
                <w:sz w:val="20"/>
                <w:lang w:val="fr-CA"/>
              </w:rPr>
              <w:t xml:space="preserve">Charte canadienne </w:t>
            </w:r>
            <w:r w:rsidRPr="00354440">
              <w:rPr>
                <w:sz w:val="20"/>
                <w:lang w:val="fr-CA"/>
              </w:rPr>
              <w:t>considérant la violation des articles 7, 8 et 11</w:t>
            </w:r>
            <w:r w:rsidRPr="00354440">
              <w:rPr>
                <w:i/>
                <w:sz w:val="20"/>
                <w:lang w:val="fr-CA"/>
              </w:rPr>
              <w:t>d</w:t>
            </w:r>
            <w:r w:rsidRPr="00354440">
              <w:rPr>
                <w:sz w:val="20"/>
                <w:lang w:val="fr-CA"/>
              </w:rPr>
              <w:t xml:space="preserve">) de la </w:t>
            </w:r>
            <w:r w:rsidRPr="00354440">
              <w:rPr>
                <w:i/>
                <w:sz w:val="20"/>
                <w:lang w:val="fr-CA"/>
              </w:rPr>
              <w:t>Charte canadienne</w:t>
            </w:r>
            <w:r w:rsidRPr="00354440">
              <w:rPr>
                <w:sz w:val="20"/>
                <w:lang w:val="fr-CA"/>
              </w:rPr>
              <w:t>.</w:t>
            </w:r>
          </w:p>
        </w:tc>
      </w:tr>
      <w:tr w:rsidR="00DD09AD" w:rsidRPr="00354440" w:rsidTr="005F26F2">
        <w:tc>
          <w:tcPr>
            <w:tcW w:w="2427" w:type="pct"/>
          </w:tcPr>
          <w:p w:rsidR="00DD09AD" w:rsidRPr="00354440" w:rsidRDefault="00DD09AD" w:rsidP="005F26F2">
            <w:pPr>
              <w:jc w:val="both"/>
              <w:rPr>
                <w:sz w:val="20"/>
                <w:lang w:val="fr-CA"/>
              </w:rPr>
            </w:pPr>
            <w:r w:rsidRPr="00354440">
              <w:rPr>
                <w:sz w:val="20"/>
                <w:lang w:val="fr-CA"/>
              </w:rPr>
              <w:t>Le 14 mars 2012</w:t>
            </w:r>
          </w:p>
          <w:p w:rsidR="00DD09AD" w:rsidRPr="00354440" w:rsidRDefault="00DD09AD" w:rsidP="005F26F2">
            <w:pPr>
              <w:jc w:val="both"/>
              <w:rPr>
                <w:sz w:val="20"/>
                <w:lang w:val="fr-CA"/>
              </w:rPr>
            </w:pPr>
            <w:r w:rsidRPr="00354440">
              <w:rPr>
                <w:sz w:val="20"/>
                <w:lang w:val="fr-CA"/>
              </w:rPr>
              <w:t>Cour d’appel du Québec (Montréal)</w:t>
            </w:r>
          </w:p>
          <w:p w:rsidR="00DD09AD" w:rsidRPr="00354440" w:rsidRDefault="00DD09AD" w:rsidP="005F26F2">
            <w:pPr>
              <w:jc w:val="both"/>
              <w:rPr>
                <w:sz w:val="20"/>
                <w:lang w:val="fr-CA"/>
              </w:rPr>
            </w:pPr>
            <w:r w:rsidRPr="00354440">
              <w:rPr>
                <w:sz w:val="20"/>
                <w:lang w:val="fr-CA"/>
              </w:rPr>
              <w:t>(La juge en chef Duval Hesler Nicole et les juges Chamberland et Doyon)</w:t>
            </w:r>
          </w:p>
          <w:p w:rsidR="00DD09AD" w:rsidRPr="00354440" w:rsidRDefault="00DD09AD" w:rsidP="005F26F2">
            <w:pPr>
              <w:jc w:val="both"/>
              <w:rPr>
                <w:sz w:val="20"/>
              </w:rPr>
            </w:pPr>
            <w:r w:rsidRPr="00354440">
              <w:rPr>
                <w:sz w:val="20"/>
              </w:rPr>
              <w:t>2012 QCCA 471</w:t>
            </w:r>
          </w:p>
          <w:p w:rsidR="00DD09AD" w:rsidRPr="00354440" w:rsidRDefault="00DD09AD" w:rsidP="005F26F2">
            <w:pPr>
              <w:jc w:val="both"/>
              <w:rPr>
                <w:sz w:val="20"/>
              </w:rPr>
            </w:pPr>
          </w:p>
        </w:tc>
        <w:tc>
          <w:tcPr>
            <w:tcW w:w="243" w:type="pct"/>
          </w:tcPr>
          <w:p w:rsidR="00DD09AD" w:rsidRPr="00354440" w:rsidRDefault="00DD09AD" w:rsidP="005F26F2">
            <w:pPr>
              <w:jc w:val="both"/>
              <w:rPr>
                <w:sz w:val="20"/>
              </w:rPr>
            </w:pPr>
          </w:p>
        </w:tc>
        <w:tc>
          <w:tcPr>
            <w:tcW w:w="2330" w:type="pct"/>
          </w:tcPr>
          <w:p w:rsidR="00DD09AD" w:rsidRPr="00354440" w:rsidRDefault="00DD09AD" w:rsidP="005F26F2">
            <w:pPr>
              <w:jc w:val="both"/>
              <w:rPr>
                <w:sz w:val="20"/>
                <w:lang w:val="fr-CA"/>
              </w:rPr>
            </w:pPr>
            <w:r w:rsidRPr="00354440">
              <w:rPr>
                <w:sz w:val="20"/>
                <w:lang w:val="fr-CA"/>
              </w:rPr>
              <w:t>Appel accueilli;</w:t>
            </w:r>
          </w:p>
          <w:p w:rsidR="00DD09AD" w:rsidRPr="00354440" w:rsidRDefault="00DD09AD" w:rsidP="005F26F2">
            <w:pPr>
              <w:jc w:val="both"/>
              <w:rPr>
                <w:sz w:val="20"/>
                <w:lang w:val="fr-CA"/>
              </w:rPr>
            </w:pPr>
            <w:r w:rsidRPr="00354440">
              <w:rPr>
                <w:sz w:val="20"/>
                <w:lang w:val="fr-CA"/>
              </w:rPr>
              <w:t>Jugement de première instance infirmé;</w:t>
            </w:r>
          </w:p>
          <w:p w:rsidR="00DD09AD" w:rsidRPr="00DD09AD" w:rsidRDefault="00DD09AD" w:rsidP="005F26F2">
            <w:pPr>
              <w:jc w:val="both"/>
              <w:rPr>
                <w:sz w:val="20"/>
                <w:lang w:val="fr-CA"/>
              </w:rPr>
            </w:pPr>
            <w:r w:rsidRPr="00DD09AD">
              <w:rPr>
                <w:sz w:val="20"/>
                <w:lang w:val="fr-CA"/>
              </w:rPr>
              <w:t>Nouveau procès ordonné.</w:t>
            </w:r>
          </w:p>
          <w:p w:rsidR="00DD09AD" w:rsidRPr="00354440" w:rsidRDefault="00DD09AD" w:rsidP="005F26F2">
            <w:pPr>
              <w:jc w:val="both"/>
              <w:rPr>
                <w:sz w:val="20"/>
              </w:rPr>
            </w:pPr>
          </w:p>
        </w:tc>
      </w:tr>
      <w:tr w:rsidR="00DD09AD" w:rsidRPr="001D43E1" w:rsidTr="005F26F2">
        <w:tc>
          <w:tcPr>
            <w:tcW w:w="2427" w:type="pct"/>
          </w:tcPr>
          <w:p w:rsidR="00DD09AD" w:rsidRPr="00354440" w:rsidRDefault="00DD09AD" w:rsidP="005F26F2">
            <w:pPr>
              <w:jc w:val="both"/>
              <w:rPr>
                <w:sz w:val="20"/>
                <w:lang w:val="fr-CA"/>
              </w:rPr>
            </w:pPr>
            <w:r w:rsidRPr="00354440">
              <w:rPr>
                <w:sz w:val="20"/>
                <w:lang w:val="fr-CA"/>
              </w:rPr>
              <w:t>Le 14 mai 2012</w:t>
            </w:r>
          </w:p>
          <w:p w:rsidR="00DD09AD" w:rsidRPr="00354440" w:rsidRDefault="00DD09AD" w:rsidP="005F26F2">
            <w:pPr>
              <w:jc w:val="both"/>
              <w:rPr>
                <w:sz w:val="20"/>
                <w:lang w:val="fr-CA"/>
              </w:rPr>
            </w:pPr>
            <w:r w:rsidRPr="00354440">
              <w:rPr>
                <w:sz w:val="20"/>
                <w:lang w:val="fr-CA"/>
              </w:rPr>
              <w:t>Cour suprême du Canada</w:t>
            </w:r>
          </w:p>
          <w:p w:rsidR="00DD09AD" w:rsidRPr="00354440" w:rsidRDefault="00DD09AD" w:rsidP="005F26F2">
            <w:pPr>
              <w:jc w:val="both"/>
              <w:rPr>
                <w:sz w:val="20"/>
                <w:lang w:val="fr-CA"/>
              </w:rPr>
            </w:pPr>
          </w:p>
        </w:tc>
        <w:tc>
          <w:tcPr>
            <w:tcW w:w="243" w:type="pct"/>
          </w:tcPr>
          <w:p w:rsidR="00DD09AD" w:rsidRPr="00354440" w:rsidRDefault="00DD09AD" w:rsidP="005F26F2">
            <w:pPr>
              <w:jc w:val="both"/>
              <w:rPr>
                <w:sz w:val="20"/>
                <w:lang w:val="fr-CA"/>
              </w:rPr>
            </w:pPr>
          </w:p>
        </w:tc>
        <w:tc>
          <w:tcPr>
            <w:tcW w:w="2330" w:type="pct"/>
          </w:tcPr>
          <w:p w:rsidR="00DD09AD" w:rsidRPr="00354440" w:rsidRDefault="00DD09AD" w:rsidP="005F26F2">
            <w:pPr>
              <w:jc w:val="both"/>
              <w:rPr>
                <w:sz w:val="20"/>
                <w:lang w:val="fr-CA"/>
              </w:rPr>
            </w:pPr>
            <w:r w:rsidRPr="00354440">
              <w:rPr>
                <w:sz w:val="20"/>
                <w:lang w:val="fr-CA"/>
              </w:rPr>
              <w:t>Première demande d’autorisation d’appel déposée par M. Antal Babos; Deuxième demande d’autorisation déposée par M. Sergio Piccirilli.</w:t>
            </w:r>
          </w:p>
        </w:tc>
      </w:tr>
    </w:tbl>
    <w:p w:rsidR="00441FC4" w:rsidRPr="00DD09AD" w:rsidRDefault="00441FC4" w:rsidP="00441FC4">
      <w:pPr>
        <w:rPr>
          <w:sz w:val="20"/>
          <w:szCs w:val="20"/>
          <w:lang w:val="fr-CA"/>
        </w:rPr>
      </w:pPr>
    </w:p>
    <w:p w:rsidR="00441FC4" w:rsidRDefault="00DB239D" w:rsidP="00441FC4">
      <w:pPr>
        <w:rPr>
          <w:sz w:val="20"/>
          <w:szCs w:val="20"/>
          <w:lang w:val="fr-CA"/>
        </w:rPr>
      </w:pPr>
      <w:r w:rsidRPr="00DB239D">
        <w:rPr>
          <w:sz w:val="20"/>
          <w:szCs w:val="20"/>
          <w:lang w:val="fr-CA"/>
        </w:rPr>
        <w:pict>
          <v:rect id="_x0000_i1059"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2705" w:rsidRPr="00ED4B6E" w:rsidTr="00066741">
        <w:trPr>
          <w:cantSplit/>
        </w:trPr>
        <w:tc>
          <w:tcPr>
            <w:tcW w:w="1458" w:type="dxa"/>
          </w:tcPr>
          <w:p w:rsidR="004A2705" w:rsidRPr="00ED4B6E" w:rsidRDefault="004A2705" w:rsidP="00066741">
            <w:pPr>
              <w:rPr>
                <w:sz w:val="20"/>
                <w:szCs w:val="20"/>
              </w:rPr>
            </w:pPr>
            <w:r w:rsidRPr="00ED4B6E">
              <w:rPr>
                <w:rStyle w:val="SCCFileNumberChar"/>
                <w:sz w:val="20"/>
                <w:szCs w:val="20"/>
              </w:rPr>
              <w:t>34851</w:t>
            </w:r>
          </w:p>
          <w:p w:rsidR="004A2705" w:rsidRPr="00ED4B6E" w:rsidRDefault="004A2705" w:rsidP="00066741">
            <w:pPr>
              <w:rPr>
                <w:b/>
                <w:sz w:val="20"/>
                <w:szCs w:val="20"/>
                <w:lang w:val="fr-CA"/>
              </w:rPr>
            </w:pPr>
          </w:p>
        </w:tc>
        <w:tc>
          <w:tcPr>
            <w:tcW w:w="8118" w:type="dxa"/>
          </w:tcPr>
          <w:p w:rsidR="004A2705" w:rsidRPr="00ED4B6E" w:rsidRDefault="004A2705" w:rsidP="00066741">
            <w:pPr>
              <w:jc w:val="both"/>
              <w:rPr>
                <w:sz w:val="20"/>
                <w:szCs w:val="20"/>
              </w:rPr>
            </w:pPr>
            <w:r w:rsidRPr="004A2705">
              <w:rPr>
                <w:rStyle w:val="SCCLsocChar"/>
                <w:sz w:val="20"/>
                <w:szCs w:val="20"/>
                <w:lang w:val="en-CA"/>
              </w:rPr>
              <w:t>Out-Of-Home Marketing Association of Canada v. City of Toronto AND BETWEEN Pattison Outdoor Advertising LP</w:t>
            </w:r>
            <w:r w:rsidR="009C72D9">
              <w:rPr>
                <w:rStyle w:val="SCCLsocChar"/>
                <w:sz w:val="20"/>
                <w:szCs w:val="20"/>
                <w:lang w:val="en-CA"/>
              </w:rPr>
              <w:t xml:space="preserve"> and</w:t>
            </w:r>
            <w:r w:rsidRPr="004A2705">
              <w:rPr>
                <w:rStyle w:val="SCCLsocChar"/>
                <w:sz w:val="20"/>
                <w:szCs w:val="20"/>
                <w:lang w:val="en-CA"/>
              </w:rPr>
              <w:t xml:space="preserve"> Pattison Sign Group, A Division of Jim Pattison Industries Ltd. v. City of Toronto</w:t>
            </w:r>
            <w:r w:rsidRPr="00ED4B6E">
              <w:rPr>
                <w:sz w:val="20"/>
                <w:szCs w:val="20"/>
              </w:rPr>
              <w:t xml:space="preserve"> (Ont.) (Civil) (By Leave)</w:t>
            </w:r>
          </w:p>
          <w:p w:rsidR="004A2705" w:rsidRPr="00ED4B6E" w:rsidRDefault="004A2705" w:rsidP="00066741">
            <w:pPr>
              <w:jc w:val="both"/>
              <w:rPr>
                <w:sz w:val="20"/>
                <w:szCs w:val="20"/>
              </w:rPr>
            </w:pPr>
          </w:p>
        </w:tc>
      </w:tr>
      <w:tr w:rsidR="004A2705" w:rsidRPr="00ED4B6E" w:rsidTr="00066741">
        <w:trPr>
          <w:cantSplit/>
        </w:trPr>
        <w:tc>
          <w:tcPr>
            <w:tcW w:w="1458" w:type="dxa"/>
          </w:tcPr>
          <w:p w:rsidR="004A2705" w:rsidRPr="00ED4B6E" w:rsidRDefault="004A2705" w:rsidP="00066741">
            <w:pPr>
              <w:rPr>
                <w:sz w:val="20"/>
                <w:szCs w:val="20"/>
              </w:rPr>
            </w:pPr>
            <w:r w:rsidRPr="00ED4B6E">
              <w:rPr>
                <w:sz w:val="20"/>
                <w:szCs w:val="20"/>
              </w:rPr>
              <w:t>Coram :</w:t>
            </w:r>
          </w:p>
        </w:tc>
        <w:tc>
          <w:tcPr>
            <w:tcW w:w="8118" w:type="dxa"/>
          </w:tcPr>
          <w:p w:rsidR="004A2705" w:rsidRPr="00ED4B6E" w:rsidRDefault="004A2705" w:rsidP="00066741">
            <w:pPr>
              <w:rPr>
                <w:sz w:val="20"/>
                <w:szCs w:val="20"/>
              </w:rPr>
            </w:pPr>
            <w:r w:rsidRPr="004A2705">
              <w:rPr>
                <w:rStyle w:val="SCCCoramChar"/>
                <w:sz w:val="20"/>
                <w:szCs w:val="20"/>
                <w:lang w:val="en-CA"/>
              </w:rPr>
              <w:t>LeBel, Fish and Karakatsanis JJ.</w:t>
            </w:r>
          </w:p>
          <w:p w:rsidR="004A2705" w:rsidRPr="00ED4B6E" w:rsidRDefault="004A2705" w:rsidP="00066741">
            <w:pPr>
              <w:rPr>
                <w:sz w:val="20"/>
                <w:szCs w:val="20"/>
                <w:u w:val="single"/>
              </w:rPr>
            </w:pPr>
          </w:p>
        </w:tc>
      </w:tr>
      <w:tr w:rsidR="004A2705" w:rsidRPr="001D43E1" w:rsidTr="00066741">
        <w:trPr>
          <w:cantSplit/>
        </w:trPr>
        <w:tc>
          <w:tcPr>
            <w:tcW w:w="9576" w:type="dxa"/>
            <w:gridSpan w:val="2"/>
          </w:tcPr>
          <w:p w:rsidR="004A2705" w:rsidRPr="00ED4B6E" w:rsidRDefault="004A2705" w:rsidP="00066741">
            <w:pPr>
              <w:pStyle w:val="SCCShortJudgment"/>
              <w:rPr>
                <w:szCs w:val="20"/>
              </w:rPr>
            </w:pPr>
            <w:r w:rsidRPr="00ED4B6E">
              <w:rPr>
                <w:szCs w:val="20"/>
              </w:rPr>
              <w:t>The application for leave to appeal from the judgment of the Court of Appeal for Ontario, Numbers C53527 and C53521, 2012 ONCA 212, dated April 2, 2012, is dismissed with costs.</w:t>
            </w:r>
          </w:p>
          <w:p w:rsidR="004A2705" w:rsidRPr="00ED4B6E" w:rsidRDefault="004A2705" w:rsidP="00066741">
            <w:pPr>
              <w:pStyle w:val="SCCShortJudgment"/>
              <w:ind w:firstLine="0"/>
              <w:rPr>
                <w:szCs w:val="20"/>
              </w:rPr>
            </w:pPr>
          </w:p>
          <w:p w:rsidR="004A2705" w:rsidRPr="00ED4B6E" w:rsidRDefault="004A2705" w:rsidP="00066741">
            <w:pPr>
              <w:pStyle w:val="SCCShortJudgment"/>
              <w:rPr>
                <w:szCs w:val="20"/>
                <w:lang w:val="fr-CA"/>
              </w:rPr>
            </w:pPr>
            <w:r w:rsidRPr="00ED4B6E">
              <w:rPr>
                <w:szCs w:val="20"/>
                <w:lang w:val="fr-CA"/>
              </w:rPr>
              <w:t>La demande d’autorisation d’appel de l’arrêt de la Cour d’appel de l’Ontario, numéros C53527 et C53521, 2012 ONCA 212, daté du 2 avril 2012, est rejetée avec dépens.</w:t>
            </w:r>
          </w:p>
        </w:tc>
      </w:tr>
    </w:tbl>
    <w:p w:rsidR="00441FC4" w:rsidRPr="004A2705"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i/>
                <w:sz w:val="20"/>
              </w:rPr>
              <w:t>Charter of Rights and Freedoms</w:t>
            </w:r>
            <w:r w:rsidRPr="00354440">
              <w:rPr>
                <w:rFonts w:eastAsia="Calibri"/>
                <w:sz w:val="20"/>
              </w:rPr>
              <w:t xml:space="preserve"> — Constitutional Law — Freedom of Expression — Taxation — Municipal powers — Municipality passes Third Party Sign Tax Bylaw — The nature of the test to distinguish direct taxation from indirect taxation — Whether a municipal government’s general authority to create exemptions from taxation authorizes it to create a competitive advantage for itself and its joint venture partners — Whether a municipal government’s taxation powers override guarantee of freedom of expression under s. 2(</w:t>
            </w:r>
            <w:r w:rsidRPr="00354440">
              <w:rPr>
                <w:rFonts w:eastAsia="Calibri"/>
                <w:i/>
                <w:sz w:val="20"/>
              </w:rPr>
              <w:t>b</w:t>
            </w:r>
            <w:r w:rsidRPr="00354440">
              <w:rPr>
                <w:rFonts w:eastAsia="Calibri"/>
                <w:sz w:val="20"/>
              </w:rPr>
              <w:t xml:space="preserve">) of the </w:t>
            </w:r>
            <w:r w:rsidRPr="00354440">
              <w:rPr>
                <w:rFonts w:eastAsia="Calibri"/>
                <w:i/>
                <w:sz w:val="20"/>
              </w:rPr>
              <w:t xml:space="preserve">Charter </w:t>
            </w:r>
            <w:r w:rsidRPr="00354440">
              <w:rPr>
                <w:rFonts w:eastAsia="Calibri"/>
                <w:sz w:val="20"/>
              </w:rPr>
              <w:t>and statutory limitations on a municipal government’s power to regulate signage.</w:t>
            </w:r>
          </w:p>
        </w:tc>
      </w:tr>
      <w:tr w:rsidR="00DD09AD" w:rsidRPr="00354440" w:rsidTr="005F26F2">
        <w:tc>
          <w:tcPr>
            <w:tcW w:w="5000" w:type="pct"/>
            <w:gridSpan w:val="3"/>
          </w:tcPr>
          <w:p w:rsidR="00DD09AD" w:rsidRPr="00354440" w:rsidRDefault="00DD09AD" w:rsidP="005F26F2">
            <w:pPr>
              <w:jc w:val="both"/>
              <w:rPr>
                <w:rFonts w:eastAsia="Calibri"/>
                <w:sz w:val="20"/>
              </w:rPr>
            </w:pPr>
          </w:p>
        </w:tc>
      </w:tr>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sz w:val="20"/>
              </w:rPr>
              <w:t>The City of Toronto passed a bylaw that imposes a tax on any device, fixture or medium that displays sign copy advertising goods or services not available where the device, fixture or medium is located.  One of five flat tax rates is paid annually by the person who owns and controls the display of sign copy.  The applicants brought two separate applications to quash the bylaw.  The applications were heard together and dismissed.  The applications judge held in part that signs in existence when the bylaw was passed are exempt from taxation under a “grandfathering” clause.  The Court of Appeal dismissed the applicant’s appeals and allowed an appeal by the City in respect of the grandfathering clause.</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March 3, 2011</w:t>
            </w:r>
          </w:p>
          <w:p w:rsidR="00DD09AD" w:rsidRPr="00354440" w:rsidRDefault="00DD09AD" w:rsidP="005F26F2">
            <w:pPr>
              <w:jc w:val="both"/>
              <w:rPr>
                <w:rFonts w:eastAsia="Calibri"/>
                <w:sz w:val="20"/>
              </w:rPr>
            </w:pPr>
            <w:r w:rsidRPr="00354440">
              <w:rPr>
                <w:rFonts w:eastAsia="Calibri"/>
                <w:sz w:val="20"/>
              </w:rPr>
              <w:t>Ontario Superior Court of Justice</w:t>
            </w:r>
          </w:p>
          <w:p w:rsidR="00DD09AD" w:rsidRPr="00354440" w:rsidRDefault="00DD09AD" w:rsidP="005F26F2">
            <w:pPr>
              <w:jc w:val="both"/>
              <w:rPr>
                <w:rFonts w:eastAsia="Calibri"/>
                <w:sz w:val="20"/>
              </w:rPr>
            </w:pPr>
            <w:r w:rsidRPr="00354440">
              <w:rPr>
                <w:rFonts w:eastAsia="Calibri"/>
                <w:sz w:val="20"/>
              </w:rPr>
              <w:t>(Penny J.)</w:t>
            </w:r>
          </w:p>
          <w:p w:rsidR="00DD09AD" w:rsidRPr="00354440" w:rsidRDefault="00DD09AD" w:rsidP="005F26F2">
            <w:pPr>
              <w:jc w:val="both"/>
              <w:rPr>
                <w:rFonts w:eastAsia="Calibri"/>
                <w:sz w:val="20"/>
              </w:rPr>
            </w:pPr>
            <w:r w:rsidRPr="00354440">
              <w:rPr>
                <w:rFonts w:eastAsia="Calibri"/>
                <w:sz w:val="20"/>
              </w:rPr>
              <w:t>2011 ONSC 537</w:t>
            </w:r>
          </w:p>
          <w:p w:rsidR="00DD09AD" w:rsidRPr="00354440" w:rsidRDefault="00DD09AD" w:rsidP="005F26F2">
            <w:pPr>
              <w:jc w:val="both"/>
              <w:rPr>
                <w:rFonts w:eastAsia="Calibri"/>
                <w:sz w:val="20"/>
              </w:rPr>
            </w:pP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Applications to quash City of Toronto Bylaw No. 197</w:t>
            </w:r>
            <w:r w:rsidRPr="00354440">
              <w:rPr>
                <w:rFonts w:eastAsia="Calibri"/>
                <w:sz w:val="20"/>
              </w:rPr>
              <w:noBreakHyphen/>
              <w:t>2010 dismissed</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April 2, 2012</w:t>
            </w:r>
          </w:p>
          <w:p w:rsidR="00DD09AD" w:rsidRPr="00354440" w:rsidRDefault="00DD09AD" w:rsidP="005F26F2">
            <w:pPr>
              <w:jc w:val="both"/>
              <w:rPr>
                <w:rFonts w:eastAsia="Calibri"/>
                <w:sz w:val="20"/>
              </w:rPr>
            </w:pPr>
            <w:r w:rsidRPr="00354440">
              <w:rPr>
                <w:rFonts w:eastAsia="Calibri"/>
                <w:sz w:val="20"/>
              </w:rPr>
              <w:t>Court of Appeal for Ontario</w:t>
            </w:r>
          </w:p>
          <w:p w:rsidR="00DD09AD" w:rsidRPr="00354440" w:rsidRDefault="00DD09AD" w:rsidP="005F26F2">
            <w:pPr>
              <w:jc w:val="both"/>
              <w:rPr>
                <w:rFonts w:eastAsia="Calibri"/>
                <w:sz w:val="20"/>
              </w:rPr>
            </w:pPr>
            <w:r w:rsidRPr="00354440">
              <w:rPr>
                <w:rFonts w:eastAsia="Calibri"/>
                <w:sz w:val="20"/>
              </w:rPr>
              <w:t>(Feldman, Sharpe, Epstein JJ.A.)</w:t>
            </w:r>
          </w:p>
          <w:p w:rsidR="00DD09AD" w:rsidRPr="00354440" w:rsidRDefault="00DD09AD" w:rsidP="005F26F2">
            <w:pPr>
              <w:jc w:val="both"/>
              <w:rPr>
                <w:rFonts w:eastAsia="Calibri"/>
                <w:sz w:val="20"/>
              </w:rPr>
            </w:pPr>
            <w:r w:rsidRPr="00354440">
              <w:rPr>
                <w:rFonts w:eastAsia="Calibri"/>
                <w:sz w:val="20"/>
              </w:rPr>
              <w:t>2012 ONCA 212; C53527 and C53521</w:t>
            </w:r>
          </w:p>
          <w:p w:rsidR="00DD09AD" w:rsidRPr="00354440" w:rsidRDefault="00DD09AD" w:rsidP="005F26F2">
            <w:pPr>
              <w:jc w:val="both"/>
              <w:rPr>
                <w:rFonts w:eastAsia="Calibri"/>
                <w:sz w:val="20"/>
              </w:rPr>
            </w:pP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Appeals by applicants dismissed and appeal by City of Toronto allowed</w:t>
            </w:r>
          </w:p>
          <w:p w:rsidR="00DD09AD" w:rsidRPr="00354440" w:rsidRDefault="00DD09AD" w:rsidP="005F26F2">
            <w:pPr>
              <w:jc w:val="both"/>
              <w:rPr>
                <w:rFonts w:eastAsia="Calibri"/>
                <w:sz w:val="20"/>
              </w:rPr>
            </w:pPr>
          </w:p>
        </w:tc>
      </w:tr>
      <w:tr w:rsidR="00DD09AD" w:rsidRPr="00354440" w:rsidTr="005F26F2">
        <w:tc>
          <w:tcPr>
            <w:tcW w:w="2427" w:type="pct"/>
          </w:tcPr>
          <w:p w:rsidR="00DD09AD" w:rsidRPr="00354440" w:rsidRDefault="00DD09AD" w:rsidP="005F26F2">
            <w:pPr>
              <w:jc w:val="both"/>
              <w:rPr>
                <w:rFonts w:eastAsia="Calibri"/>
                <w:sz w:val="20"/>
              </w:rPr>
            </w:pPr>
            <w:r w:rsidRPr="00354440">
              <w:rPr>
                <w:rFonts w:eastAsia="Calibri"/>
                <w:sz w:val="20"/>
              </w:rPr>
              <w:t>May 31, 2012</w:t>
            </w:r>
          </w:p>
          <w:p w:rsidR="00DD09AD" w:rsidRPr="00354440" w:rsidRDefault="00DD09AD" w:rsidP="005F26F2">
            <w:pPr>
              <w:jc w:val="both"/>
              <w:rPr>
                <w:rFonts w:eastAsia="Calibri"/>
                <w:sz w:val="20"/>
              </w:rPr>
            </w:pPr>
            <w:r w:rsidRPr="00354440">
              <w:rPr>
                <w:rFonts w:eastAsia="Calibri"/>
                <w:sz w:val="20"/>
              </w:rPr>
              <w:t>Supreme Court of Canada</w:t>
            </w:r>
          </w:p>
        </w:tc>
        <w:tc>
          <w:tcPr>
            <w:tcW w:w="243" w:type="pct"/>
          </w:tcPr>
          <w:p w:rsidR="00DD09AD" w:rsidRPr="00354440" w:rsidRDefault="00DD09AD" w:rsidP="005F26F2">
            <w:pPr>
              <w:jc w:val="both"/>
              <w:rPr>
                <w:rFonts w:eastAsia="Calibri"/>
                <w:sz w:val="20"/>
              </w:rPr>
            </w:pPr>
          </w:p>
        </w:tc>
        <w:tc>
          <w:tcPr>
            <w:tcW w:w="2330" w:type="pct"/>
          </w:tcPr>
          <w:p w:rsidR="00DD09AD" w:rsidRPr="00354440" w:rsidRDefault="00DD09AD" w:rsidP="005F26F2">
            <w:pPr>
              <w:jc w:val="both"/>
              <w:rPr>
                <w:rFonts w:eastAsia="Calibri"/>
                <w:sz w:val="20"/>
              </w:rPr>
            </w:pPr>
            <w:r w:rsidRPr="00354440">
              <w:rPr>
                <w:rFonts w:eastAsia="Calibri"/>
                <w:sz w:val="20"/>
              </w:rPr>
              <w:t>Joint application for leave to appeal filed</w:t>
            </w:r>
          </w:p>
          <w:p w:rsidR="00DD09AD" w:rsidRPr="00354440" w:rsidRDefault="00DD09AD" w:rsidP="005F26F2">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60"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D09AD" w:rsidRPr="001D43E1" w:rsidTr="005F26F2">
        <w:tc>
          <w:tcPr>
            <w:tcW w:w="5000" w:type="pct"/>
            <w:gridSpan w:val="3"/>
          </w:tcPr>
          <w:p w:rsidR="00DD09AD" w:rsidRPr="00354440" w:rsidRDefault="00DD09AD" w:rsidP="005F26F2">
            <w:pPr>
              <w:jc w:val="both"/>
              <w:rPr>
                <w:rFonts w:eastAsia="Calibri"/>
                <w:sz w:val="20"/>
                <w:lang w:val="fr-CA"/>
              </w:rPr>
            </w:pPr>
            <w:r w:rsidRPr="00354440">
              <w:rPr>
                <w:rFonts w:eastAsia="Calibri"/>
                <w:i/>
                <w:sz w:val="20"/>
                <w:lang w:val="fr-CA"/>
              </w:rPr>
              <w:t xml:space="preserve">Charte des droits et libertés </w:t>
            </w:r>
            <w:r w:rsidRPr="00354440">
              <w:rPr>
                <w:rFonts w:eastAsia="Calibri"/>
                <w:sz w:val="20"/>
                <w:lang w:val="fr-CA"/>
              </w:rPr>
              <w:t>— Droit constitutionnel — Liberté d'expression — Droit fiscal — Pouvoirs municipaux — La municipalité adopte un règlement de taxation sur les panneaux d’affichage de tiers — Nature du critère qui permet de faire la distinction entre la taxation directe et la taxation indirecte — La compétence générale d'une administration municipale de créer des exemptions fiscales l'autorise</w:t>
            </w:r>
            <w:r w:rsidRPr="00354440">
              <w:rPr>
                <w:rFonts w:eastAsia="Calibri"/>
                <w:sz w:val="20"/>
                <w:lang w:val="fr-CA"/>
              </w:rPr>
              <w:noBreakHyphen/>
              <w:t>t</w:t>
            </w:r>
            <w:r w:rsidRPr="00354440">
              <w:rPr>
                <w:rFonts w:eastAsia="Calibri"/>
                <w:sz w:val="20"/>
                <w:lang w:val="fr-CA"/>
              </w:rPr>
              <w:noBreakHyphen/>
              <w:t>elle à créer un avantage concurrentiel pour elle</w:t>
            </w:r>
            <w:r w:rsidRPr="00354440">
              <w:rPr>
                <w:rFonts w:eastAsia="Calibri"/>
                <w:sz w:val="20"/>
                <w:lang w:val="fr-CA"/>
              </w:rPr>
              <w:noBreakHyphen/>
              <w:t>même et ses associés d’une société en participation? — Le pouvoir de taxation d'une administration municipale déroge</w:t>
            </w:r>
            <w:r w:rsidRPr="00354440">
              <w:rPr>
                <w:rFonts w:eastAsia="Calibri"/>
                <w:sz w:val="20"/>
                <w:lang w:val="fr-CA"/>
              </w:rPr>
              <w:noBreakHyphen/>
              <w:t>t</w:t>
            </w:r>
            <w:r w:rsidRPr="00354440">
              <w:rPr>
                <w:rFonts w:eastAsia="Calibri"/>
                <w:sz w:val="20"/>
                <w:lang w:val="fr-CA"/>
              </w:rPr>
              <w:noBreakHyphen/>
              <w:t>il à la garantie de liberté d'expression prévue à l'al. 2</w:t>
            </w:r>
            <w:r w:rsidRPr="00354440">
              <w:rPr>
                <w:rFonts w:eastAsia="Calibri"/>
                <w:i/>
                <w:sz w:val="20"/>
                <w:lang w:val="fr-CA"/>
              </w:rPr>
              <w:t>b</w:t>
            </w:r>
            <w:r w:rsidRPr="00354440">
              <w:rPr>
                <w:rFonts w:eastAsia="Calibri"/>
                <w:sz w:val="20"/>
                <w:lang w:val="fr-CA"/>
              </w:rPr>
              <w:t xml:space="preserve">) de la </w:t>
            </w:r>
            <w:r w:rsidRPr="00354440">
              <w:rPr>
                <w:rFonts w:eastAsia="Calibri"/>
                <w:i/>
                <w:sz w:val="20"/>
                <w:lang w:val="fr-CA"/>
              </w:rPr>
              <w:t>Charte</w:t>
            </w:r>
            <w:r w:rsidRPr="00354440">
              <w:rPr>
                <w:rFonts w:eastAsia="Calibri"/>
                <w:sz w:val="20"/>
                <w:lang w:val="fr-CA"/>
              </w:rPr>
              <w:t xml:space="preserve"> et aux limites imposées par la loi sur le pouvoir d'une administration municipale de réglementer la signalisation?</w:t>
            </w:r>
          </w:p>
        </w:tc>
      </w:tr>
      <w:tr w:rsidR="00DD09AD" w:rsidRPr="001D43E1" w:rsidTr="005F26F2">
        <w:tc>
          <w:tcPr>
            <w:tcW w:w="5000" w:type="pct"/>
            <w:gridSpan w:val="3"/>
          </w:tcPr>
          <w:p w:rsidR="00DD09AD" w:rsidRPr="00354440" w:rsidRDefault="00DD09AD" w:rsidP="005F26F2">
            <w:pPr>
              <w:jc w:val="both"/>
              <w:rPr>
                <w:rFonts w:eastAsia="Calibri"/>
                <w:sz w:val="20"/>
                <w:lang w:val="fr-CA"/>
              </w:rPr>
            </w:pPr>
          </w:p>
        </w:tc>
      </w:tr>
      <w:tr w:rsidR="00DD09AD" w:rsidRPr="001D43E1" w:rsidTr="005F26F2">
        <w:tc>
          <w:tcPr>
            <w:tcW w:w="5000" w:type="pct"/>
            <w:gridSpan w:val="3"/>
          </w:tcPr>
          <w:p w:rsidR="00DD09AD" w:rsidRPr="00354440" w:rsidRDefault="00DD09AD" w:rsidP="005F26F2">
            <w:pPr>
              <w:jc w:val="both"/>
              <w:rPr>
                <w:rFonts w:eastAsia="Calibri"/>
                <w:sz w:val="20"/>
                <w:lang w:val="fr-CA"/>
              </w:rPr>
            </w:pPr>
            <w:r w:rsidRPr="00354440">
              <w:rPr>
                <w:rFonts w:eastAsia="Calibri"/>
                <w:sz w:val="20"/>
                <w:lang w:val="fr-CA"/>
              </w:rPr>
              <w:t>La Cité de Toronto a adopté un règlement qui impose une taxe sur tout dispositif, accessoire ou support qui annonce des produits ou des services qui ne sont pas offerts sur place.  Une taxe fixe calculée en fonction de cinq taux d'imposition est payée annuellement par le propriétaire du panneau d’affichage ou la personne qui en a le contrôle.  Les demanderesses ont présenté deux demandes distinctes en annulation du règlement.  Les demandes ont été instruites ensemble et rejetées.  Le juge de première instance a statué notamment que les panneaux d’affichage existants au moment de l'adoption du règlement étaient exonérés de la taxe en vertu d'une clause de droits acquis.  La Cour d'appel a rejeté les appels des demanderesses et a accueilli un appel de la Cité relativement à la clause de droits acquis.</w:t>
            </w:r>
          </w:p>
          <w:p w:rsidR="00DD09AD" w:rsidRPr="00354440" w:rsidRDefault="00DD09AD" w:rsidP="005F26F2">
            <w:pPr>
              <w:jc w:val="both"/>
              <w:rPr>
                <w:rFonts w:eastAsia="Calibri"/>
                <w:sz w:val="20"/>
                <w:lang w:val="fr-CA"/>
              </w:rPr>
            </w:pPr>
          </w:p>
        </w:tc>
      </w:tr>
      <w:tr w:rsidR="00DD09AD" w:rsidRPr="001D43E1" w:rsidTr="005F26F2">
        <w:tc>
          <w:tcPr>
            <w:tcW w:w="2427" w:type="pct"/>
          </w:tcPr>
          <w:p w:rsidR="00DD09AD" w:rsidRPr="00354440" w:rsidRDefault="00DD09AD" w:rsidP="005F26F2">
            <w:pPr>
              <w:jc w:val="both"/>
              <w:rPr>
                <w:rFonts w:eastAsia="Calibri"/>
                <w:sz w:val="20"/>
                <w:lang w:val="fr-CA"/>
              </w:rPr>
            </w:pPr>
            <w:r w:rsidRPr="00354440">
              <w:rPr>
                <w:rFonts w:eastAsia="Calibri"/>
                <w:sz w:val="20"/>
                <w:lang w:val="fr-CA"/>
              </w:rPr>
              <w:t>3 mars 2011</w:t>
            </w:r>
          </w:p>
          <w:p w:rsidR="00DD09AD" w:rsidRPr="00354440" w:rsidRDefault="00DD09AD" w:rsidP="005F26F2">
            <w:pPr>
              <w:jc w:val="both"/>
              <w:rPr>
                <w:rFonts w:eastAsia="Calibri"/>
                <w:sz w:val="20"/>
                <w:lang w:val="fr-CA"/>
              </w:rPr>
            </w:pPr>
            <w:r w:rsidRPr="00354440">
              <w:rPr>
                <w:rFonts w:eastAsia="Calibri"/>
                <w:sz w:val="20"/>
                <w:lang w:val="fr-CA"/>
              </w:rPr>
              <w:t xml:space="preserve">Cour supérieure de justice de l'Ontario </w:t>
            </w:r>
          </w:p>
          <w:p w:rsidR="00DD09AD" w:rsidRPr="00354440" w:rsidRDefault="00DD09AD" w:rsidP="005F26F2">
            <w:pPr>
              <w:jc w:val="both"/>
              <w:rPr>
                <w:rFonts w:eastAsia="Calibri"/>
                <w:sz w:val="20"/>
                <w:lang w:val="fr-CA"/>
              </w:rPr>
            </w:pPr>
            <w:r w:rsidRPr="00354440">
              <w:rPr>
                <w:rFonts w:eastAsia="Calibri"/>
                <w:sz w:val="20"/>
                <w:lang w:val="fr-CA"/>
              </w:rPr>
              <w:t>(Juge Penny)</w:t>
            </w:r>
          </w:p>
          <w:p w:rsidR="00DD09AD" w:rsidRPr="00354440" w:rsidRDefault="00DD09AD" w:rsidP="005F26F2">
            <w:pPr>
              <w:jc w:val="both"/>
              <w:rPr>
                <w:rFonts w:eastAsia="Calibri"/>
                <w:sz w:val="20"/>
                <w:lang w:val="fr-CA"/>
              </w:rPr>
            </w:pPr>
            <w:r w:rsidRPr="00354440">
              <w:rPr>
                <w:rFonts w:eastAsia="Calibri"/>
                <w:sz w:val="20"/>
                <w:lang w:val="fr-CA"/>
              </w:rPr>
              <w:t>2011 ONSC 537</w:t>
            </w:r>
          </w:p>
          <w:p w:rsidR="00DD09AD" w:rsidRPr="00354440" w:rsidRDefault="00DD09AD" w:rsidP="005F26F2">
            <w:pPr>
              <w:jc w:val="both"/>
              <w:rPr>
                <w:rFonts w:eastAsia="Calibri"/>
                <w:sz w:val="20"/>
                <w:lang w:val="fr-CA"/>
              </w:rPr>
            </w:pPr>
          </w:p>
        </w:tc>
        <w:tc>
          <w:tcPr>
            <w:tcW w:w="243" w:type="pct"/>
          </w:tcPr>
          <w:p w:rsidR="00DD09AD" w:rsidRPr="00354440" w:rsidRDefault="00DD09AD" w:rsidP="005F26F2">
            <w:pPr>
              <w:jc w:val="both"/>
              <w:rPr>
                <w:rFonts w:eastAsia="Calibri"/>
                <w:sz w:val="20"/>
                <w:lang w:val="fr-CA"/>
              </w:rPr>
            </w:pPr>
          </w:p>
        </w:tc>
        <w:tc>
          <w:tcPr>
            <w:tcW w:w="2330" w:type="pct"/>
          </w:tcPr>
          <w:p w:rsidR="00DD09AD" w:rsidRPr="00354440" w:rsidRDefault="00DD09AD" w:rsidP="005F26F2">
            <w:pPr>
              <w:jc w:val="both"/>
              <w:rPr>
                <w:rFonts w:eastAsia="Calibri"/>
                <w:sz w:val="20"/>
                <w:lang w:val="fr-CA"/>
              </w:rPr>
            </w:pPr>
            <w:r w:rsidRPr="00354440">
              <w:rPr>
                <w:rFonts w:eastAsia="Calibri"/>
                <w:sz w:val="20"/>
                <w:lang w:val="fr-CA"/>
              </w:rPr>
              <w:t>Demande d'annulation du règlement n</w:t>
            </w:r>
            <w:r w:rsidRPr="00354440">
              <w:rPr>
                <w:rFonts w:eastAsia="Calibri"/>
                <w:sz w:val="20"/>
                <w:vertAlign w:val="superscript"/>
                <w:lang w:val="fr-CA"/>
              </w:rPr>
              <w:t>o</w:t>
            </w:r>
            <w:r w:rsidRPr="00354440">
              <w:rPr>
                <w:rFonts w:eastAsia="Calibri"/>
                <w:sz w:val="20"/>
                <w:lang w:val="fr-CA"/>
              </w:rPr>
              <w:t xml:space="preserve"> 197</w:t>
            </w:r>
            <w:r w:rsidRPr="00354440">
              <w:rPr>
                <w:rFonts w:eastAsia="Calibri"/>
                <w:sz w:val="20"/>
                <w:lang w:val="fr-CA"/>
              </w:rPr>
              <w:noBreakHyphen/>
              <w:t xml:space="preserve">2010 de la Cité de Toronto, rejetée </w:t>
            </w:r>
          </w:p>
          <w:p w:rsidR="00DD09AD" w:rsidRPr="00354440" w:rsidRDefault="00DD09AD" w:rsidP="005F26F2">
            <w:pPr>
              <w:jc w:val="both"/>
              <w:rPr>
                <w:rFonts w:eastAsia="Calibri"/>
                <w:sz w:val="20"/>
                <w:lang w:val="fr-CA"/>
              </w:rPr>
            </w:pPr>
          </w:p>
        </w:tc>
      </w:tr>
      <w:tr w:rsidR="00DD09AD" w:rsidRPr="001D43E1" w:rsidTr="005F26F2">
        <w:tc>
          <w:tcPr>
            <w:tcW w:w="2427" w:type="pct"/>
          </w:tcPr>
          <w:p w:rsidR="00DD09AD" w:rsidRPr="00354440" w:rsidRDefault="00DD09AD" w:rsidP="005F26F2">
            <w:pPr>
              <w:jc w:val="both"/>
              <w:rPr>
                <w:rFonts w:eastAsia="Calibri"/>
                <w:sz w:val="20"/>
                <w:lang w:val="fr-CA"/>
              </w:rPr>
            </w:pPr>
            <w:r w:rsidRPr="00354440">
              <w:rPr>
                <w:rFonts w:eastAsia="Calibri"/>
                <w:sz w:val="20"/>
                <w:lang w:val="fr-CA"/>
              </w:rPr>
              <w:t>2 avril 2012</w:t>
            </w:r>
          </w:p>
          <w:p w:rsidR="00DD09AD" w:rsidRPr="00354440" w:rsidRDefault="00DD09AD" w:rsidP="005F26F2">
            <w:pPr>
              <w:jc w:val="both"/>
              <w:rPr>
                <w:rFonts w:eastAsia="Calibri"/>
                <w:sz w:val="20"/>
                <w:lang w:val="fr-CA"/>
              </w:rPr>
            </w:pPr>
            <w:r w:rsidRPr="00354440">
              <w:rPr>
                <w:rFonts w:eastAsia="Calibri"/>
                <w:sz w:val="20"/>
                <w:lang w:val="fr-CA"/>
              </w:rPr>
              <w:t xml:space="preserve">Cour d'appel de l'Ontario </w:t>
            </w:r>
          </w:p>
          <w:p w:rsidR="00DD09AD" w:rsidRPr="00354440" w:rsidRDefault="00DD09AD" w:rsidP="005F26F2">
            <w:pPr>
              <w:jc w:val="both"/>
              <w:rPr>
                <w:rFonts w:eastAsia="Calibri"/>
                <w:sz w:val="20"/>
                <w:lang w:val="fr-CA"/>
              </w:rPr>
            </w:pPr>
            <w:r w:rsidRPr="00354440">
              <w:rPr>
                <w:rFonts w:eastAsia="Calibri"/>
                <w:sz w:val="20"/>
                <w:lang w:val="fr-CA"/>
              </w:rPr>
              <w:t>(Juges Feldman, Sharpe et Epstein)</w:t>
            </w:r>
          </w:p>
          <w:p w:rsidR="00DD09AD" w:rsidRPr="00354440" w:rsidRDefault="00DD09AD" w:rsidP="005F26F2">
            <w:pPr>
              <w:jc w:val="both"/>
              <w:rPr>
                <w:rFonts w:eastAsia="Calibri"/>
                <w:sz w:val="20"/>
                <w:lang w:val="fr-CA"/>
              </w:rPr>
            </w:pPr>
            <w:r w:rsidRPr="00354440">
              <w:rPr>
                <w:rFonts w:eastAsia="Calibri"/>
                <w:sz w:val="20"/>
                <w:lang w:val="fr-CA"/>
              </w:rPr>
              <w:t>2012 ONCA 212; C53527 and C53521</w:t>
            </w:r>
          </w:p>
          <w:p w:rsidR="00DD09AD" w:rsidRPr="00354440" w:rsidRDefault="00DD09AD" w:rsidP="005F26F2">
            <w:pPr>
              <w:jc w:val="both"/>
              <w:rPr>
                <w:rFonts w:eastAsia="Calibri"/>
                <w:sz w:val="20"/>
                <w:lang w:val="fr-CA"/>
              </w:rPr>
            </w:pPr>
          </w:p>
        </w:tc>
        <w:tc>
          <w:tcPr>
            <w:tcW w:w="243" w:type="pct"/>
          </w:tcPr>
          <w:p w:rsidR="00DD09AD" w:rsidRPr="00354440" w:rsidRDefault="00DD09AD" w:rsidP="005F26F2">
            <w:pPr>
              <w:jc w:val="both"/>
              <w:rPr>
                <w:rFonts w:eastAsia="Calibri"/>
                <w:sz w:val="20"/>
                <w:lang w:val="fr-CA"/>
              </w:rPr>
            </w:pPr>
          </w:p>
        </w:tc>
        <w:tc>
          <w:tcPr>
            <w:tcW w:w="2330" w:type="pct"/>
          </w:tcPr>
          <w:p w:rsidR="00DD09AD" w:rsidRPr="00354440" w:rsidRDefault="00DD09AD" w:rsidP="005F26F2">
            <w:pPr>
              <w:jc w:val="both"/>
              <w:rPr>
                <w:rFonts w:eastAsia="Calibri"/>
                <w:sz w:val="20"/>
                <w:lang w:val="fr-CA"/>
              </w:rPr>
            </w:pPr>
            <w:r w:rsidRPr="00354440">
              <w:rPr>
                <w:rFonts w:eastAsia="Calibri"/>
                <w:sz w:val="20"/>
                <w:lang w:val="fr-CA"/>
              </w:rPr>
              <w:t>Appels des demanderesses, rejetés et appel de la Cité de Toronto, accueilli</w:t>
            </w:r>
          </w:p>
          <w:p w:rsidR="00DD09AD" w:rsidRPr="00354440" w:rsidRDefault="00DD09AD" w:rsidP="005F26F2">
            <w:pPr>
              <w:jc w:val="both"/>
              <w:rPr>
                <w:rFonts w:eastAsia="Calibri"/>
                <w:sz w:val="20"/>
                <w:lang w:val="fr-CA"/>
              </w:rPr>
            </w:pPr>
          </w:p>
        </w:tc>
      </w:tr>
      <w:tr w:rsidR="00DD09AD" w:rsidRPr="00354440" w:rsidTr="005F26F2">
        <w:tc>
          <w:tcPr>
            <w:tcW w:w="2427" w:type="pct"/>
          </w:tcPr>
          <w:p w:rsidR="00DD09AD" w:rsidRPr="00354440" w:rsidRDefault="00DD09AD" w:rsidP="005F26F2">
            <w:pPr>
              <w:jc w:val="both"/>
              <w:rPr>
                <w:rFonts w:eastAsia="Calibri"/>
                <w:sz w:val="20"/>
                <w:lang w:val="fr-CA"/>
              </w:rPr>
            </w:pPr>
            <w:r w:rsidRPr="00354440">
              <w:rPr>
                <w:rFonts w:eastAsia="Calibri"/>
                <w:sz w:val="20"/>
                <w:lang w:val="fr-CA"/>
              </w:rPr>
              <w:t>31 mai 2012</w:t>
            </w:r>
          </w:p>
          <w:p w:rsidR="00DD09AD" w:rsidRPr="00354440" w:rsidRDefault="00DD09AD" w:rsidP="005F26F2">
            <w:pPr>
              <w:jc w:val="both"/>
              <w:rPr>
                <w:rFonts w:eastAsia="Calibri"/>
                <w:sz w:val="20"/>
                <w:lang w:val="fr-CA"/>
              </w:rPr>
            </w:pPr>
            <w:r w:rsidRPr="00354440">
              <w:rPr>
                <w:rFonts w:eastAsia="Calibri"/>
                <w:sz w:val="20"/>
                <w:lang w:val="fr-CA"/>
              </w:rPr>
              <w:t>Cour suprême du Canada</w:t>
            </w:r>
          </w:p>
        </w:tc>
        <w:tc>
          <w:tcPr>
            <w:tcW w:w="243" w:type="pct"/>
          </w:tcPr>
          <w:p w:rsidR="00DD09AD" w:rsidRPr="00354440" w:rsidRDefault="00DD09AD" w:rsidP="005F26F2">
            <w:pPr>
              <w:jc w:val="both"/>
              <w:rPr>
                <w:rFonts w:eastAsia="Calibri"/>
                <w:sz w:val="20"/>
                <w:lang w:val="fr-CA"/>
              </w:rPr>
            </w:pPr>
          </w:p>
        </w:tc>
        <w:tc>
          <w:tcPr>
            <w:tcW w:w="2330" w:type="pct"/>
          </w:tcPr>
          <w:p w:rsidR="00DD09AD" w:rsidRPr="00354440" w:rsidRDefault="00DD09AD" w:rsidP="005F26F2">
            <w:pPr>
              <w:jc w:val="both"/>
              <w:rPr>
                <w:rFonts w:eastAsia="Calibri"/>
                <w:sz w:val="20"/>
                <w:lang w:val="fr-CA"/>
              </w:rPr>
            </w:pPr>
            <w:r w:rsidRPr="00354440">
              <w:rPr>
                <w:rFonts w:eastAsia="Calibri"/>
                <w:sz w:val="20"/>
                <w:lang w:val="fr-CA"/>
              </w:rPr>
              <w:t>Demande conjointe d'autorisation d'appel, déposée</w:t>
            </w:r>
          </w:p>
          <w:p w:rsidR="00DD09AD" w:rsidRPr="00354440" w:rsidRDefault="00DD09AD" w:rsidP="005F26F2">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61"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2705" w:rsidRPr="00ED4B6E" w:rsidTr="00066741">
        <w:trPr>
          <w:cantSplit/>
        </w:trPr>
        <w:tc>
          <w:tcPr>
            <w:tcW w:w="1458" w:type="dxa"/>
          </w:tcPr>
          <w:p w:rsidR="004A2705" w:rsidRPr="00ED4B6E" w:rsidRDefault="004A2705" w:rsidP="00066741">
            <w:pPr>
              <w:rPr>
                <w:sz w:val="20"/>
                <w:szCs w:val="20"/>
              </w:rPr>
            </w:pPr>
            <w:r w:rsidRPr="00ED4B6E">
              <w:rPr>
                <w:rStyle w:val="SCCFileNumberChar"/>
                <w:sz w:val="20"/>
                <w:szCs w:val="20"/>
              </w:rPr>
              <w:t>34858</w:t>
            </w:r>
          </w:p>
          <w:p w:rsidR="004A2705" w:rsidRPr="00ED4B6E" w:rsidRDefault="004A2705" w:rsidP="00066741">
            <w:pPr>
              <w:rPr>
                <w:b/>
                <w:sz w:val="20"/>
                <w:szCs w:val="20"/>
                <w:lang w:val="fr-CA"/>
              </w:rPr>
            </w:pPr>
          </w:p>
        </w:tc>
        <w:tc>
          <w:tcPr>
            <w:tcW w:w="8118" w:type="dxa"/>
          </w:tcPr>
          <w:p w:rsidR="004A2705" w:rsidRPr="00ED4B6E" w:rsidRDefault="004A2705" w:rsidP="00066741">
            <w:pPr>
              <w:jc w:val="both"/>
              <w:rPr>
                <w:sz w:val="20"/>
                <w:szCs w:val="20"/>
              </w:rPr>
            </w:pPr>
            <w:r w:rsidRPr="004A2705">
              <w:rPr>
                <w:rStyle w:val="SCCLsocChar"/>
                <w:sz w:val="20"/>
                <w:szCs w:val="20"/>
                <w:lang w:val="en-CA"/>
              </w:rPr>
              <w:t>Precious Metal Capital Corp. v. Platinum Partners Value Arbitrage Fund, L.P., Mark Nordlicht and Ancash Mining Ltd.</w:t>
            </w:r>
            <w:r w:rsidRPr="00ED4B6E">
              <w:rPr>
                <w:sz w:val="20"/>
                <w:szCs w:val="20"/>
              </w:rPr>
              <w:t xml:space="preserve"> (Ont.) (Civil) (By Leave)</w:t>
            </w:r>
          </w:p>
          <w:p w:rsidR="004A2705" w:rsidRPr="00ED4B6E" w:rsidRDefault="004A2705" w:rsidP="00066741">
            <w:pPr>
              <w:jc w:val="both"/>
              <w:rPr>
                <w:sz w:val="20"/>
                <w:szCs w:val="20"/>
              </w:rPr>
            </w:pPr>
          </w:p>
        </w:tc>
      </w:tr>
      <w:tr w:rsidR="004A2705" w:rsidRPr="00ED4B6E" w:rsidTr="00066741">
        <w:trPr>
          <w:cantSplit/>
        </w:trPr>
        <w:tc>
          <w:tcPr>
            <w:tcW w:w="1458" w:type="dxa"/>
          </w:tcPr>
          <w:p w:rsidR="004A2705" w:rsidRPr="00ED4B6E" w:rsidRDefault="004A2705" w:rsidP="00066741">
            <w:pPr>
              <w:rPr>
                <w:sz w:val="20"/>
                <w:szCs w:val="20"/>
              </w:rPr>
            </w:pPr>
            <w:r w:rsidRPr="00ED4B6E">
              <w:rPr>
                <w:sz w:val="20"/>
                <w:szCs w:val="20"/>
              </w:rPr>
              <w:t>Coram :</w:t>
            </w:r>
          </w:p>
        </w:tc>
        <w:tc>
          <w:tcPr>
            <w:tcW w:w="8118" w:type="dxa"/>
          </w:tcPr>
          <w:p w:rsidR="004A2705" w:rsidRPr="00ED4B6E" w:rsidRDefault="004A2705" w:rsidP="00066741">
            <w:pPr>
              <w:rPr>
                <w:sz w:val="20"/>
                <w:szCs w:val="20"/>
              </w:rPr>
            </w:pPr>
            <w:r w:rsidRPr="004A2705">
              <w:rPr>
                <w:rStyle w:val="SCCCoramChar"/>
                <w:sz w:val="20"/>
                <w:szCs w:val="20"/>
                <w:lang w:val="en-CA"/>
              </w:rPr>
              <w:t>Fish, Rothstein and Karakatsanis JJ.</w:t>
            </w:r>
          </w:p>
          <w:p w:rsidR="004A2705" w:rsidRPr="00ED4B6E" w:rsidRDefault="004A2705" w:rsidP="00066741">
            <w:pPr>
              <w:rPr>
                <w:sz w:val="20"/>
                <w:szCs w:val="20"/>
                <w:u w:val="single"/>
              </w:rPr>
            </w:pPr>
          </w:p>
        </w:tc>
      </w:tr>
      <w:tr w:rsidR="004A2705" w:rsidRPr="001D43E1" w:rsidTr="00066741">
        <w:trPr>
          <w:cantSplit/>
        </w:trPr>
        <w:tc>
          <w:tcPr>
            <w:tcW w:w="9576" w:type="dxa"/>
            <w:gridSpan w:val="2"/>
          </w:tcPr>
          <w:p w:rsidR="004A2705" w:rsidRPr="00ED4B6E" w:rsidRDefault="004A2705" w:rsidP="00066741">
            <w:pPr>
              <w:pStyle w:val="SCCShortJudgment"/>
              <w:rPr>
                <w:szCs w:val="20"/>
              </w:rPr>
            </w:pPr>
            <w:r w:rsidRPr="00ED4B6E">
              <w:rPr>
                <w:szCs w:val="20"/>
              </w:rPr>
              <w:t>The application for leave to appeal from the judgment of the Court of Appeal for Ontario, Number C54301, 2012 ONCA 298, dated May 8, 2012, is dismissed with costs.</w:t>
            </w:r>
          </w:p>
          <w:p w:rsidR="004A2705" w:rsidRPr="00ED4B6E" w:rsidRDefault="004A2705" w:rsidP="00066741">
            <w:pPr>
              <w:pStyle w:val="SCCShortJudgment"/>
              <w:ind w:firstLine="0"/>
              <w:rPr>
                <w:szCs w:val="20"/>
              </w:rPr>
            </w:pPr>
          </w:p>
          <w:p w:rsidR="004A2705" w:rsidRPr="00ED4B6E" w:rsidRDefault="004A2705" w:rsidP="00066741">
            <w:pPr>
              <w:pStyle w:val="SCCShortJudgment"/>
              <w:rPr>
                <w:szCs w:val="20"/>
                <w:lang w:val="fr-CA"/>
              </w:rPr>
            </w:pPr>
            <w:r w:rsidRPr="00ED4B6E">
              <w:rPr>
                <w:szCs w:val="20"/>
                <w:lang w:val="fr-CA"/>
              </w:rPr>
              <w:t>La demande d’autorisation d’appel de l’arrêt de la Cour d’appel de l’Ontario, numéro C54301, 2012 ONCA 298, daté du 8 mai 2012, est rejetée avec dépens.</w:t>
            </w:r>
          </w:p>
        </w:tc>
      </w:tr>
    </w:tbl>
    <w:p w:rsidR="00441FC4" w:rsidRPr="004A2705"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CellMar>
          <w:left w:w="0" w:type="dxa"/>
          <w:bottom w:w="99" w:type="dxa"/>
          <w:right w:w="0" w:type="dxa"/>
        </w:tblCellMar>
        <w:tblLook w:val="04A0"/>
      </w:tblPr>
      <w:tblGrid>
        <w:gridCol w:w="4668"/>
        <w:gridCol w:w="467"/>
        <w:gridCol w:w="4392"/>
      </w:tblGrid>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sz w:val="20"/>
              </w:rPr>
              <w:t xml:space="preserve">Civil procedure — Summary judgments — No triable issue — Action dismissed — Applicant claimed “agent” breached contractual, fiduciary and confidence duties in acquiring mining property on his own behalf — Respondents were successors in title to property — No issue for trial was established as agency relationship asserted by applicant did not exist in law or on facts given documentary evidence — As applicant could not establish its agency claim, its action against respondents could not succeed — Prior to appeal hearing, rule of civil procedure for summary judgment amended — What is the proper interpretation of amended rule and proper application of “full appreciation” test in determining motion for summary judgment under amended rule — With growing judicial openness to summary judgment across Canada, how can courts ensure that disputes are fairly adjudicated in interests of justice — When case has hallmarks of case requiring trial, what is obligation on judge in gathering and reviewing evidence before granting summary judgment — Under amended or </w:t>
            </w:r>
            <w:r w:rsidRPr="00354440">
              <w:rPr>
                <w:rFonts w:eastAsia="Calibri"/>
                <w:i/>
                <w:sz w:val="20"/>
              </w:rPr>
              <w:t>expanded</w:t>
            </w:r>
            <w:r w:rsidRPr="00354440">
              <w:rPr>
                <w:rFonts w:eastAsia="Calibri"/>
                <w:sz w:val="20"/>
              </w:rPr>
              <w:t xml:space="preserve"> rule, do appellate courts have corresponding </w:t>
            </w:r>
            <w:r w:rsidRPr="00354440">
              <w:rPr>
                <w:rFonts w:eastAsia="Calibri"/>
                <w:i/>
                <w:sz w:val="20"/>
              </w:rPr>
              <w:t>expanded</w:t>
            </w:r>
            <w:r w:rsidRPr="00354440">
              <w:rPr>
                <w:rFonts w:eastAsia="Calibri"/>
                <w:sz w:val="20"/>
              </w:rPr>
              <w:t xml:space="preserve"> duty to provide analysis and written reasons in summary judgment cases that dispose of party’s right to full trial — </w:t>
            </w:r>
            <w:r w:rsidRPr="00354440">
              <w:rPr>
                <w:rFonts w:eastAsia="Calibri"/>
                <w:i/>
                <w:sz w:val="20"/>
              </w:rPr>
              <w:t>Rules of Civil Procedure</w:t>
            </w:r>
            <w:r w:rsidRPr="00354440">
              <w:rPr>
                <w:rFonts w:eastAsia="Calibri"/>
                <w:sz w:val="20"/>
              </w:rPr>
              <w:t>, R.R.O. 1990, Reg. 194, r. 20.</w:t>
            </w:r>
          </w:p>
          <w:p w:rsidR="00DD09AD" w:rsidRPr="00354440" w:rsidRDefault="00DD09AD" w:rsidP="005F26F2">
            <w:pPr>
              <w:jc w:val="both"/>
              <w:rPr>
                <w:rFonts w:eastAsia="Calibri"/>
                <w:sz w:val="20"/>
              </w:rPr>
            </w:pPr>
          </w:p>
        </w:tc>
      </w:tr>
      <w:tr w:rsidR="00DD09AD" w:rsidRPr="00354440" w:rsidTr="005F26F2">
        <w:tc>
          <w:tcPr>
            <w:tcW w:w="5000" w:type="pct"/>
            <w:gridSpan w:val="3"/>
          </w:tcPr>
          <w:p w:rsidR="00DD09AD" w:rsidRPr="00354440" w:rsidRDefault="00DD09AD" w:rsidP="005F26F2">
            <w:pPr>
              <w:jc w:val="both"/>
              <w:rPr>
                <w:rFonts w:eastAsia="Calibri"/>
                <w:sz w:val="20"/>
              </w:rPr>
            </w:pPr>
            <w:r w:rsidRPr="00354440">
              <w:rPr>
                <w:rFonts w:eastAsia="Calibri"/>
                <w:sz w:val="20"/>
              </w:rPr>
              <w:t xml:space="preserve">The applicant, Precious Metal Capital Corp. (“PMCC”), claims that it retained Mr. Peebles as its agent in connection with the acquisition of a Peruvian mining property (“Pachapaqui”) and that it shared confidential information with Mr. Peebles and another, Mr. Smith.  PMCC claims that Mr. Peebles later acquired the mine for his own benefit.  All agree that PMCC engaged Mr. Peebles for two acquisitions in San Luis and Millotingo.  The dispute is whether PMCC also engaged him for the Pachapaqui acquisition.  The respondents Platinum Partners Value Arbitration Fund L.P., Mark Nordlicht and Ancash Mining Ltd. (known collectively as the “Ancash defendants” in the lower courts) purchased the mining property from Messrs.  Peebles and Smith.  The Ancash defendants applied for summary judgment to dismiss PMCC’s action against them on the basis that their position was derivative to the issues raised by the statement of claim against Messrs. Peebles and Smith.  The motion judge granted summary judgment and the Court of Appeal dismissed PMCC’s subsequent appeal.  Before the appeal, however, the requirement for granting summary judgment under Rule 20 of Ontario’s </w:t>
            </w:r>
            <w:r w:rsidRPr="00354440">
              <w:rPr>
                <w:rFonts w:eastAsia="Calibri"/>
                <w:i/>
                <w:sz w:val="20"/>
              </w:rPr>
              <w:t>Rules of Civil Procedure</w:t>
            </w:r>
            <w:r w:rsidRPr="00354440">
              <w:rPr>
                <w:rFonts w:eastAsia="Calibri"/>
                <w:sz w:val="20"/>
              </w:rPr>
              <w:t xml:space="preserve"> was amended. </w:t>
            </w:r>
          </w:p>
          <w:p w:rsidR="00DD09AD" w:rsidRPr="00354440" w:rsidRDefault="00DD09AD" w:rsidP="005F26F2">
            <w:pPr>
              <w:jc w:val="both"/>
              <w:rPr>
                <w:rFonts w:eastAsia="Calibri"/>
                <w:sz w:val="20"/>
              </w:rPr>
            </w:pPr>
          </w:p>
        </w:tc>
      </w:tr>
      <w:tr w:rsidR="00DD09AD" w:rsidRPr="00354440" w:rsidTr="005F26F2">
        <w:tc>
          <w:tcPr>
            <w:tcW w:w="2450" w:type="pct"/>
          </w:tcPr>
          <w:p w:rsidR="00DD09AD" w:rsidRPr="00354440" w:rsidRDefault="00DD09AD" w:rsidP="005F26F2">
            <w:pPr>
              <w:jc w:val="both"/>
              <w:rPr>
                <w:rFonts w:eastAsia="Calibri"/>
                <w:sz w:val="20"/>
              </w:rPr>
            </w:pPr>
            <w:r w:rsidRPr="00354440">
              <w:rPr>
                <w:rFonts w:eastAsia="Calibri"/>
                <w:sz w:val="20"/>
              </w:rPr>
              <w:t>September 2, 2011</w:t>
            </w:r>
          </w:p>
          <w:p w:rsidR="00DD09AD" w:rsidRPr="00354440" w:rsidRDefault="00DD09AD" w:rsidP="005F26F2">
            <w:pPr>
              <w:jc w:val="both"/>
              <w:rPr>
                <w:rFonts w:eastAsia="Calibri"/>
                <w:sz w:val="20"/>
              </w:rPr>
            </w:pPr>
            <w:r w:rsidRPr="00354440">
              <w:rPr>
                <w:rFonts w:eastAsia="Calibri"/>
                <w:sz w:val="20"/>
              </w:rPr>
              <w:t>Ontario Superior Court of Justice</w:t>
            </w:r>
          </w:p>
          <w:p w:rsidR="00DD09AD" w:rsidRPr="00354440" w:rsidRDefault="00DD09AD" w:rsidP="005F26F2">
            <w:pPr>
              <w:jc w:val="both"/>
              <w:rPr>
                <w:rFonts w:eastAsia="Calibri"/>
                <w:sz w:val="20"/>
              </w:rPr>
            </w:pPr>
            <w:r w:rsidRPr="00354440">
              <w:rPr>
                <w:rFonts w:eastAsia="Calibri"/>
                <w:sz w:val="20"/>
              </w:rPr>
              <w:t>(Cumming J.)</w:t>
            </w:r>
          </w:p>
          <w:p w:rsidR="00DD09AD" w:rsidRPr="00354440" w:rsidRDefault="00DD09AD" w:rsidP="005F26F2">
            <w:pPr>
              <w:jc w:val="both"/>
              <w:rPr>
                <w:rFonts w:eastAsia="Calibri"/>
                <w:sz w:val="20"/>
              </w:rPr>
            </w:pPr>
            <w:r w:rsidRPr="00354440">
              <w:rPr>
                <w:rFonts w:eastAsia="Calibri"/>
                <w:sz w:val="20"/>
              </w:rPr>
              <w:t>2011 ONSC 2962</w:t>
            </w:r>
          </w:p>
          <w:p w:rsidR="00DD09AD" w:rsidRPr="00354440" w:rsidRDefault="00DD09AD" w:rsidP="005F26F2">
            <w:pPr>
              <w:jc w:val="both"/>
              <w:rPr>
                <w:rFonts w:eastAsia="Calibri"/>
                <w:sz w:val="20"/>
              </w:rPr>
            </w:pPr>
          </w:p>
        </w:tc>
        <w:tc>
          <w:tcPr>
            <w:tcW w:w="245" w:type="pct"/>
          </w:tcPr>
          <w:p w:rsidR="00DD09AD" w:rsidRPr="00354440" w:rsidRDefault="00DD09AD" w:rsidP="005F26F2">
            <w:pPr>
              <w:jc w:val="both"/>
              <w:rPr>
                <w:rFonts w:eastAsia="Calibri"/>
                <w:sz w:val="20"/>
              </w:rPr>
            </w:pPr>
          </w:p>
        </w:tc>
        <w:tc>
          <w:tcPr>
            <w:tcW w:w="2305" w:type="pct"/>
          </w:tcPr>
          <w:p w:rsidR="00DD09AD" w:rsidRPr="00354440" w:rsidRDefault="00DD09AD" w:rsidP="005F26F2">
            <w:pPr>
              <w:jc w:val="both"/>
              <w:rPr>
                <w:rFonts w:eastAsia="Calibri"/>
                <w:sz w:val="20"/>
              </w:rPr>
            </w:pPr>
            <w:r w:rsidRPr="00354440">
              <w:rPr>
                <w:rFonts w:eastAsia="Calibri"/>
                <w:sz w:val="20"/>
              </w:rPr>
              <w:t>Motion for summary judgement granted.</w:t>
            </w:r>
          </w:p>
          <w:p w:rsidR="00DD09AD" w:rsidRPr="00354440" w:rsidRDefault="00DD09AD" w:rsidP="005F26F2">
            <w:pPr>
              <w:jc w:val="both"/>
              <w:rPr>
                <w:rFonts w:eastAsia="Calibri"/>
                <w:sz w:val="20"/>
              </w:rPr>
            </w:pPr>
          </w:p>
        </w:tc>
      </w:tr>
      <w:tr w:rsidR="00DD09AD" w:rsidRPr="00354440" w:rsidTr="005F26F2">
        <w:tc>
          <w:tcPr>
            <w:tcW w:w="2450" w:type="pct"/>
          </w:tcPr>
          <w:p w:rsidR="00DD09AD" w:rsidRPr="00354440" w:rsidRDefault="00DD09AD" w:rsidP="005F26F2">
            <w:pPr>
              <w:jc w:val="both"/>
              <w:rPr>
                <w:rFonts w:eastAsia="Calibri"/>
                <w:sz w:val="20"/>
              </w:rPr>
            </w:pPr>
            <w:r w:rsidRPr="00354440">
              <w:rPr>
                <w:rFonts w:eastAsia="Calibri"/>
                <w:sz w:val="20"/>
              </w:rPr>
              <w:t>May 8, 2012</w:t>
            </w:r>
          </w:p>
          <w:p w:rsidR="00DD09AD" w:rsidRPr="00354440" w:rsidRDefault="00DD09AD" w:rsidP="005F26F2">
            <w:pPr>
              <w:jc w:val="both"/>
              <w:rPr>
                <w:rFonts w:eastAsia="Calibri"/>
                <w:sz w:val="20"/>
              </w:rPr>
            </w:pPr>
            <w:r w:rsidRPr="00354440">
              <w:rPr>
                <w:rFonts w:eastAsia="Calibri"/>
                <w:sz w:val="20"/>
              </w:rPr>
              <w:t>Court of Appeal for Ontario</w:t>
            </w:r>
          </w:p>
          <w:p w:rsidR="00DD09AD" w:rsidRPr="00354440" w:rsidRDefault="00DD09AD" w:rsidP="005F26F2">
            <w:pPr>
              <w:jc w:val="both"/>
              <w:rPr>
                <w:rFonts w:eastAsia="Calibri"/>
                <w:sz w:val="20"/>
              </w:rPr>
            </w:pPr>
            <w:r w:rsidRPr="00354440">
              <w:rPr>
                <w:rFonts w:eastAsia="Calibri"/>
                <w:sz w:val="20"/>
              </w:rPr>
              <w:t>(Rosenberg, Juriansz and Rouleau JJ.A.)</w:t>
            </w:r>
          </w:p>
          <w:p w:rsidR="00DD09AD" w:rsidRPr="00354440" w:rsidRDefault="00DD09AD" w:rsidP="005F26F2">
            <w:pPr>
              <w:jc w:val="both"/>
              <w:rPr>
                <w:rFonts w:eastAsia="Calibri"/>
                <w:sz w:val="20"/>
              </w:rPr>
            </w:pPr>
            <w:r w:rsidRPr="00354440">
              <w:rPr>
                <w:rFonts w:eastAsia="Calibri"/>
                <w:sz w:val="20"/>
              </w:rPr>
              <w:t>2012 ONCA 298</w:t>
            </w:r>
          </w:p>
          <w:p w:rsidR="00DD09AD" w:rsidRPr="00354440" w:rsidRDefault="00DD09AD" w:rsidP="005F26F2">
            <w:pPr>
              <w:jc w:val="both"/>
              <w:rPr>
                <w:rFonts w:eastAsia="Calibri"/>
                <w:sz w:val="20"/>
              </w:rPr>
            </w:pPr>
          </w:p>
        </w:tc>
        <w:tc>
          <w:tcPr>
            <w:tcW w:w="245" w:type="pct"/>
          </w:tcPr>
          <w:p w:rsidR="00DD09AD" w:rsidRPr="00354440" w:rsidRDefault="00DD09AD" w:rsidP="005F26F2">
            <w:pPr>
              <w:jc w:val="both"/>
              <w:rPr>
                <w:rFonts w:eastAsia="Calibri"/>
                <w:sz w:val="20"/>
              </w:rPr>
            </w:pPr>
          </w:p>
        </w:tc>
        <w:tc>
          <w:tcPr>
            <w:tcW w:w="2305" w:type="pct"/>
          </w:tcPr>
          <w:p w:rsidR="00DD09AD" w:rsidRPr="00354440" w:rsidRDefault="00DD09AD" w:rsidP="005F26F2">
            <w:pPr>
              <w:jc w:val="both"/>
              <w:rPr>
                <w:rFonts w:eastAsia="Calibri"/>
                <w:sz w:val="20"/>
              </w:rPr>
            </w:pPr>
            <w:r w:rsidRPr="00354440">
              <w:rPr>
                <w:rFonts w:eastAsia="Calibri"/>
                <w:sz w:val="20"/>
              </w:rPr>
              <w:t>Appeal of summary judgment dismissed.</w:t>
            </w:r>
          </w:p>
          <w:p w:rsidR="00DD09AD" w:rsidRPr="00354440" w:rsidRDefault="00DD09AD" w:rsidP="005F26F2">
            <w:pPr>
              <w:jc w:val="both"/>
              <w:rPr>
                <w:rFonts w:eastAsia="Calibri"/>
                <w:sz w:val="20"/>
              </w:rPr>
            </w:pPr>
          </w:p>
        </w:tc>
      </w:tr>
      <w:tr w:rsidR="00DD09AD" w:rsidRPr="00354440" w:rsidTr="005F26F2">
        <w:tc>
          <w:tcPr>
            <w:tcW w:w="2450" w:type="pct"/>
          </w:tcPr>
          <w:p w:rsidR="00DD09AD" w:rsidRPr="00354440" w:rsidRDefault="00DD09AD" w:rsidP="005F26F2">
            <w:pPr>
              <w:jc w:val="both"/>
              <w:rPr>
                <w:rFonts w:eastAsia="Calibri"/>
                <w:sz w:val="20"/>
              </w:rPr>
            </w:pPr>
            <w:r w:rsidRPr="00354440">
              <w:rPr>
                <w:rFonts w:eastAsia="Calibri"/>
                <w:sz w:val="20"/>
              </w:rPr>
              <w:t>June 5, 2012</w:t>
            </w:r>
          </w:p>
          <w:p w:rsidR="00DD09AD" w:rsidRPr="00354440" w:rsidRDefault="00DD09AD" w:rsidP="005F26F2">
            <w:pPr>
              <w:jc w:val="both"/>
              <w:rPr>
                <w:rFonts w:eastAsia="Calibri"/>
                <w:sz w:val="20"/>
              </w:rPr>
            </w:pPr>
            <w:r w:rsidRPr="00354440">
              <w:rPr>
                <w:rFonts w:eastAsia="Calibri"/>
                <w:sz w:val="20"/>
              </w:rPr>
              <w:t>Supreme Court of Canada</w:t>
            </w:r>
          </w:p>
        </w:tc>
        <w:tc>
          <w:tcPr>
            <w:tcW w:w="245" w:type="pct"/>
          </w:tcPr>
          <w:p w:rsidR="00DD09AD" w:rsidRPr="00354440" w:rsidRDefault="00DD09AD" w:rsidP="005F26F2">
            <w:pPr>
              <w:jc w:val="both"/>
              <w:rPr>
                <w:rFonts w:eastAsia="Calibri"/>
                <w:sz w:val="20"/>
              </w:rPr>
            </w:pPr>
          </w:p>
        </w:tc>
        <w:tc>
          <w:tcPr>
            <w:tcW w:w="2305" w:type="pct"/>
          </w:tcPr>
          <w:p w:rsidR="00DD09AD" w:rsidRPr="00354440" w:rsidRDefault="00DD09AD" w:rsidP="005F26F2">
            <w:pPr>
              <w:jc w:val="both"/>
              <w:rPr>
                <w:rFonts w:eastAsia="Calibri"/>
                <w:sz w:val="20"/>
              </w:rPr>
            </w:pPr>
            <w:r w:rsidRPr="00354440">
              <w:rPr>
                <w:rFonts w:eastAsia="Calibri"/>
                <w:sz w:val="20"/>
              </w:rPr>
              <w:t>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62"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CellMar>
          <w:left w:w="0" w:type="dxa"/>
          <w:bottom w:w="99" w:type="dxa"/>
          <w:right w:w="0" w:type="dxa"/>
        </w:tblCellMar>
        <w:tblLook w:val="00A0"/>
      </w:tblPr>
      <w:tblGrid>
        <w:gridCol w:w="4668"/>
        <w:gridCol w:w="467"/>
        <w:gridCol w:w="4392"/>
      </w:tblGrid>
      <w:tr w:rsidR="00DD09AD" w:rsidRPr="001D43E1" w:rsidTr="005F26F2">
        <w:tc>
          <w:tcPr>
            <w:tcW w:w="5000" w:type="pct"/>
            <w:gridSpan w:val="3"/>
          </w:tcPr>
          <w:p w:rsidR="00DD09AD" w:rsidRPr="00354440" w:rsidRDefault="00DD09AD" w:rsidP="005F26F2">
            <w:pPr>
              <w:jc w:val="both"/>
              <w:rPr>
                <w:rFonts w:eastAsia="Calibri"/>
                <w:sz w:val="20"/>
                <w:lang w:val="fr-CA"/>
              </w:rPr>
            </w:pPr>
            <w:r w:rsidRPr="00354440">
              <w:rPr>
                <w:rFonts w:eastAsia="Calibri"/>
                <w:sz w:val="20"/>
                <w:lang w:val="fr-CA"/>
              </w:rPr>
              <w:t>Procédure civile — Jugements sommaires — Aucune matière à procès — Action rejetée — La demanderesse a allégué que le « mandataire » avait manqué à ses obligations contractuelles, fiduciaires et de confidentialité en acquérant un bien minier en son propre nom — Les intimés étaient les ayants cause à l'égard du bien — Aucune matière à procès n'a été établie, puisque la relation mandant</w:t>
            </w:r>
            <w:r w:rsidRPr="00354440">
              <w:rPr>
                <w:rFonts w:eastAsia="Calibri"/>
                <w:sz w:val="20"/>
                <w:lang w:val="fr-CA"/>
              </w:rPr>
              <w:noBreakHyphen/>
              <w:t>mandataire alléguée par la demanderesse n'existait pas en droit ou en fait, compte tenu de la preuve documentaire — Puisque la demanderesse n'a pas pu démontrer le bien</w:t>
            </w:r>
            <w:r w:rsidRPr="00354440">
              <w:rPr>
                <w:rFonts w:eastAsia="Calibri"/>
                <w:sz w:val="20"/>
                <w:lang w:val="fr-CA"/>
              </w:rPr>
              <w:noBreakHyphen/>
              <w:t>fondé de son allégation de mandat, son action contre les intimés ne pouvait être accueillie — Avant l'instruction de l'appel, la règle de procédure civile en matière de jugement sommaire a été modifiée — Quelle est la bonne interprétation de la règle modifiée et la bonne application du critère de l' « appréciation complète » lorsqu'il s'agit de statuer sur une motion en vue d'obtenir un jugement sommaire sous le régime de la règle modifiée? — Alors que les tribunaux canadiens se montrent de plus en plus disposés à rendre des jugements sommaires, comment peuvent</w:t>
            </w:r>
            <w:r w:rsidRPr="00354440">
              <w:rPr>
                <w:rFonts w:eastAsia="Calibri"/>
                <w:sz w:val="20"/>
                <w:lang w:val="fr-CA"/>
              </w:rPr>
              <w:noBreakHyphen/>
              <w:t>ils s'assurer que les différends seront équitablement jugés dans l'intérêt de la justice? — Lorsqu'il semble y avoir matière à procès, quelle est l’obligation du juge de recueillir et d'examiner la preuve avant d'accorder un jugement sommaire? — Dans l'application de la règle modifiée ou</w:t>
            </w:r>
            <w:r w:rsidRPr="00354440">
              <w:rPr>
                <w:rFonts w:eastAsia="Calibri"/>
                <w:i/>
                <w:sz w:val="20"/>
                <w:lang w:val="fr-CA"/>
              </w:rPr>
              <w:t xml:space="preserve"> accrue</w:t>
            </w:r>
            <w:r w:rsidRPr="00354440">
              <w:rPr>
                <w:rFonts w:eastAsia="Calibri"/>
                <w:sz w:val="20"/>
                <w:lang w:val="fr-CA"/>
              </w:rPr>
              <w:t>, les cours d'appel ont</w:t>
            </w:r>
            <w:r w:rsidRPr="00354440">
              <w:rPr>
                <w:rFonts w:eastAsia="Calibri"/>
                <w:sz w:val="20"/>
                <w:lang w:val="fr-CA"/>
              </w:rPr>
              <w:noBreakHyphen/>
              <w:t>elles une obligation</w:t>
            </w:r>
            <w:r w:rsidRPr="00354440">
              <w:rPr>
                <w:rFonts w:eastAsia="Calibri"/>
                <w:i/>
                <w:sz w:val="20"/>
                <w:lang w:val="fr-CA"/>
              </w:rPr>
              <w:t xml:space="preserve"> accrue </w:t>
            </w:r>
            <w:r w:rsidRPr="00354440">
              <w:rPr>
                <w:rFonts w:eastAsia="Calibri"/>
                <w:sz w:val="20"/>
                <w:lang w:val="fr-CA"/>
              </w:rPr>
              <w:t>correspondante de fournir une analyse et des motifs écrits dans les affaires de jugement sommaire où il est statué sur le droit de la partie à un procès au fond? —</w:t>
            </w:r>
            <w:r w:rsidRPr="00354440">
              <w:rPr>
                <w:rFonts w:eastAsia="Calibri"/>
                <w:i/>
                <w:sz w:val="20"/>
                <w:lang w:val="fr-CA"/>
              </w:rPr>
              <w:t xml:space="preserve"> Règles de procédure civile</w:t>
            </w:r>
            <w:r w:rsidRPr="00354440">
              <w:rPr>
                <w:rFonts w:eastAsia="Calibri"/>
                <w:sz w:val="20"/>
                <w:lang w:val="fr-CA"/>
              </w:rPr>
              <w:t>, R.R.O. 1990, Règl. 194, r. 20.</w:t>
            </w:r>
          </w:p>
          <w:p w:rsidR="00DD09AD" w:rsidRPr="00354440" w:rsidRDefault="00DD09AD" w:rsidP="005F26F2">
            <w:pPr>
              <w:jc w:val="both"/>
              <w:rPr>
                <w:rFonts w:eastAsia="Calibri"/>
                <w:sz w:val="20"/>
                <w:lang w:val="fr-CA"/>
              </w:rPr>
            </w:pPr>
          </w:p>
        </w:tc>
      </w:tr>
      <w:tr w:rsidR="00DD09AD" w:rsidRPr="001D43E1" w:rsidTr="005F26F2">
        <w:tc>
          <w:tcPr>
            <w:tcW w:w="5000" w:type="pct"/>
            <w:gridSpan w:val="3"/>
          </w:tcPr>
          <w:p w:rsidR="00DD09AD" w:rsidRPr="00D06660" w:rsidRDefault="00DD09AD" w:rsidP="005F26F2">
            <w:pPr>
              <w:jc w:val="both"/>
              <w:rPr>
                <w:rFonts w:eastAsia="Calibri"/>
                <w:sz w:val="20"/>
                <w:lang w:val="fr-CA"/>
              </w:rPr>
            </w:pPr>
            <w:r w:rsidRPr="00D06660">
              <w:rPr>
                <w:rFonts w:eastAsia="Calibri"/>
                <w:sz w:val="20"/>
                <w:lang w:val="fr-CA"/>
              </w:rPr>
              <w:t xml:space="preserve">La demanderesse, Precious Metal Capital Corp. (« PMCC »), allègue avoir retenu les services de M. Peebles pour être son mandataire en lien avec l'acquisition d'un bien minier péruvien (« Pachapaqui ») et avoir partagé des renseignements confidentiels avec M. Peebles et un certain M. Smith.  PMCC allègue que M. Peebles a ultérieurement acquis la mine à son propre avantage.  Il est avéré que PMCC avait engagé M. Peebles relativement à deux acquisitions à San Luis et à Millotingo.  La question en litige est de savoir si PMCC l'avait également engagé pour l'acquisition de Pachapaqui.  </w:t>
            </w:r>
            <w:r w:rsidRPr="00DB0829">
              <w:rPr>
                <w:rFonts w:eastAsia="Calibri"/>
                <w:sz w:val="20"/>
              </w:rPr>
              <w:t xml:space="preserve">Les intimés Platinum Partners Value Arbitration Fund L.P., Mark Nordlicht and Ancash Mining Ltd. </w:t>
            </w:r>
            <w:r w:rsidRPr="00D06660">
              <w:rPr>
                <w:rFonts w:eastAsia="Calibri"/>
                <w:sz w:val="20"/>
                <w:lang w:val="fr-CA"/>
              </w:rPr>
              <w:t>(désignés collectivement les « défendeurs Ancash » dans les juridictions inférieures) ont acheté le bien minier de MM. Peebles et Smith.  Les défendeurs Ancash ont demandé un jugement sommaire pour faire rejeter l'action de PMCC contre eux, plaidant que leur situation découlait des questions soulevées dans la déclaration contre MM. Peebles et Smith.  Le juge saisi de la motion a accordé le jugement sommaire et la Cour d'appel a rejeté l'appel subséquent de PMCC.  Toutefois, avant l'appel, la condition pour accorder un jugement sommaire en application de la règle 20 des</w:t>
            </w:r>
            <w:r w:rsidRPr="00D06660">
              <w:rPr>
                <w:rFonts w:eastAsia="Calibri"/>
                <w:i/>
                <w:sz w:val="20"/>
                <w:lang w:val="fr-CA"/>
              </w:rPr>
              <w:t xml:space="preserve"> Règles de procédure civile</w:t>
            </w:r>
            <w:r w:rsidRPr="00D06660">
              <w:rPr>
                <w:rFonts w:eastAsia="Calibri"/>
                <w:sz w:val="20"/>
                <w:lang w:val="fr-CA"/>
              </w:rPr>
              <w:t xml:space="preserve"> de l'Ontario a été modifiée. </w:t>
            </w:r>
          </w:p>
          <w:p w:rsidR="00DD09AD" w:rsidRPr="00354440" w:rsidRDefault="00DD09AD" w:rsidP="005F26F2">
            <w:pPr>
              <w:jc w:val="both"/>
              <w:rPr>
                <w:rFonts w:eastAsia="Calibri"/>
                <w:sz w:val="20"/>
                <w:lang w:val="fr-CA"/>
              </w:rPr>
            </w:pPr>
          </w:p>
        </w:tc>
      </w:tr>
      <w:tr w:rsidR="00DD09AD" w:rsidRPr="001D43E1" w:rsidTr="005F26F2">
        <w:tc>
          <w:tcPr>
            <w:tcW w:w="2450" w:type="pct"/>
          </w:tcPr>
          <w:p w:rsidR="00DD09AD" w:rsidRPr="00354440" w:rsidRDefault="00DD09AD" w:rsidP="005F26F2">
            <w:pPr>
              <w:jc w:val="both"/>
              <w:rPr>
                <w:rFonts w:eastAsia="Calibri"/>
                <w:sz w:val="20"/>
                <w:lang w:val="fr-CA"/>
              </w:rPr>
            </w:pPr>
            <w:r w:rsidRPr="00354440">
              <w:rPr>
                <w:rFonts w:eastAsia="Calibri"/>
                <w:sz w:val="20"/>
                <w:lang w:val="fr-CA"/>
              </w:rPr>
              <w:t>2 septembre 2011</w:t>
            </w:r>
          </w:p>
          <w:p w:rsidR="00DD09AD" w:rsidRPr="00354440" w:rsidRDefault="00DD09AD" w:rsidP="005F26F2">
            <w:pPr>
              <w:jc w:val="both"/>
              <w:rPr>
                <w:rFonts w:eastAsia="Calibri"/>
                <w:sz w:val="20"/>
                <w:lang w:val="fr-CA"/>
              </w:rPr>
            </w:pPr>
            <w:r w:rsidRPr="00354440">
              <w:rPr>
                <w:rFonts w:eastAsia="Calibri"/>
                <w:sz w:val="20"/>
                <w:lang w:val="fr-CA"/>
              </w:rPr>
              <w:t xml:space="preserve">Cour supérieure de justice de l'Ontario </w:t>
            </w:r>
          </w:p>
          <w:p w:rsidR="00DD09AD" w:rsidRPr="00354440" w:rsidRDefault="00DD09AD" w:rsidP="005F26F2">
            <w:pPr>
              <w:jc w:val="both"/>
              <w:rPr>
                <w:rFonts w:eastAsia="Calibri"/>
                <w:sz w:val="20"/>
                <w:lang w:val="fr-CA"/>
              </w:rPr>
            </w:pPr>
            <w:r w:rsidRPr="00354440">
              <w:rPr>
                <w:rFonts w:eastAsia="Calibri"/>
                <w:sz w:val="20"/>
                <w:lang w:val="fr-CA"/>
              </w:rPr>
              <w:t>(Juge Cumming)</w:t>
            </w:r>
          </w:p>
          <w:p w:rsidR="00DD09AD" w:rsidRPr="00354440" w:rsidRDefault="00DD09AD" w:rsidP="005F26F2">
            <w:pPr>
              <w:jc w:val="both"/>
              <w:rPr>
                <w:rFonts w:eastAsia="Calibri"/>
                <w:sz w:val="20"/>
                <w:lang w:val="fr-CA"/>
              </w:rPr>
            </w:pPr>
            <w:r w:rsidRPr="00354440">
              <w:rPr>
                <w:rFonts w:eastAsia="Calibri"/>
                <w:sz w:val="20"/>
                <w:lang w:val="fr-CA"/>
              </w:rPr>
              <w:t>2011 ONSC 2962</w:t>
            </w:r>
          </w:p>
          <w:p w:rsidR="00DD09AD" w:rsidRPr="00354440" w:rsidRDefault="00DD09AD" w:rsidP="005F26F2">
            <w:pPr>
              <w:jc w:val="both"/>
              <w:rPr>
                <w:rFonts w:eastAsia="Calibri"/>
                <w:sz w:val="20"/>
                <w:lang w:val="fr-CA"/>
              </w:rPr>
            </w:pPr>
          </w:p>
        </w:tc>
        <w:tc>
          <w:tcPr>
            <w:tcW w:w="245" w:type="pct"/>
          </w:tcPr>
          <w:p w:rsidR="00DD09AD" w:rsidRPr="00354440" w:rsidRDefault="00DD09AD" w:rsidP="005F26F2">
            <w:pPr>
              <w:jc w:val="both"/>
              <w:rPr>
                <w:rFonts w:eastAsia="Calibri"/>
                <w:sz w:val="20"/>
                <w:lang w:val="fr-CA"/>
              </w:rPr>
            </w:pPr>
          </w:p>
        </w:tc>
        <w:tc>
          <w:tcPr>
            <w:tcW w:w="2305" w:type="pct"/>
          </w:tcPr>
          <w:p w:rsidR="00DD09AD" w:rsidRPr="00354440" w:rsidRDefault="00DD09AD" w:rsidP="005F26F2">
            <w:pPr>
              <w:jc w:val="both"/>
              <w:rPr>
                <w:rFonts w:eastAsia="Calibri"/>
                <w:sz w:val="20"/>
                <w:lang w:val="fr-CA"/>
              </w:rPr>
            </w:pPr>
            <w:r w:rsidRPr="00354440">
              <w:rPr>
                <w:rFonts w:eastAsia="Calibri"/>
                <w:sz w:val="20"/>
                <w:lang w:val="fr-CA"/>
              </w:rPr>
              <w:t>Motion en vue d'obtenir un jugement sommaire, accueillie.</w:t>
            </w:r>
          </w:p>
          <w:p w:rsidR="00DD09AD" w:rsidRPr="00354440" w:rsidRDefault="00DD09AD" w:rsidP="005F26F2">
            <w:pPr>
              <w:jc w:val="both"/>
              <w:rPr>
                <w:rFonts w:eastAsia="Calibri"/>
                <w:sz w:val="20"/>
                <w:lang w:val="fr-CA"/>
              </w:rPr>
            </w:pPr>
          </w:p>
        </w:tc>
      </w:tr>
      <w:tr w:rsidR="00DD09AD" w:rsidRPr="001D43E1" w:rsidTr="005F26F2">
        <w:tc>
          <w:tcPr>
            <w:tcW w:w="2450" w:type="pct"/>
          </w:tcPr>
          <w:p w:rsidR="00DD09AD" w:rsidRPr="00354440" w:rsidRDefault="00DD09AD" w:rsidP="005F26F2">
            <w:pPr>
              <w:jc w:val="both"/>
              <w:rPr>
                <w:rFonts w:eastAsia="Calibri"/>
                <w:sz w:val="20"/>
                <w:lang w:val="fr-CA"/>
              </w:rPr>
            </w:pPr>
            <w:r w:rsidRPr="00354440">
              <w:rPr>
                <w:rFonts w:eastAsia="Calibri"/>
                <w:sz w:val="20"/>
                <w:lang w:val="fr-CA"/>
              </w:rPr>
              <w:t>8 mai 2012</w:t>
            </w:r>
          </w:p>
          <w:p w:rsidR="00DD09AD" w:rsidRPr="00354440" w:rsidRDefault="00DD09AD" w:rsidP="005F26F2">
            <w:pPr>
              <w:jc w:val="both"/>
              <w:rPr>
                <w:rFonts w:eastAsia="Calibri"/>
                <w:sz w:val="20"/>
                <w:lang w:val="fr-CA"/>
              </w:rPr>
            </w:pPr>
            <w:r w:rsidRPr="00354440">
              <w:rPr>
                <w:rFonts w:eastAsia="Calibri"/>
                <w:sz w:val="20"/>
                <w:lang w:val="fr-CA"/>
              </w:rPr>
              <w:t xml:space="preserve">Cour d'appel de l'Ontario </w:t>
            </w:r>
          </w:p>
          <w:p w:rsidR="00DD09AD" w:rsidRPr="00354440" w:rsidRDefault="00DD09AD" w:rsidP="005F26F2">
            <w:pPr>
              <w:jc w:val="both"/>
              <w:rPr>
                <w:rFonts w:eastAsia="Calibri"/>
                <w:sz w:val="20"/>
                <w:lang w:val="fr-CA"/>
              </w:rPr>
            </w:pPr>
            <w:r w:rsidRPr="00354440">
              <w:rPr>
                <w:rFonts w:eastAsia="Calibri"/>
                <w:sz w:val="20"/>
                <w:lang w:val="fr-CA"/>
              </w:rPr>
              <w:t>(Juges Rosenberg, Juriansz et Rouleau)</w:t>
            </w:r>
          </w:p>
          <w:p w:rsidR="00DD09AD" w:rsidRPr="00354440" w:rsidRDefault="00DD09AD" w:rsidP="005F26F2">
            <w:pPr>
              <w:jc w:val="both"/>
              <w:rPr>
                <w:rFonts w:eastAsia="Calibri"/>
                <w:sz w:val="20"/>
                <w:lang w:val="fr-CA"/>
              </w:rPr>
            </w:pPr>
            <w:r w:rsidRPr="00354440">
              <w:rPr>
                <w:rFonts w:eastAsia="Calibri"/>
                <w:sz w:val="20"/>
                <w:lang w:val="fr-CA"/>
              </w:rPr>
              <w:t>2012 ONCA 298</w:t>
            </w:r>
          </w:p>
          <w:p w:rsidR="00DD09AD" w:rsidRPr="00354440" w:rsidRDefault="00DD09AD" w:rsidP="005F26F2">
            <w:pPr>
              <w:jc w:val="both"/>
              <w:rPr>
                <w:rFonts w:eastAsia="Calibri"/>
                <w:sz w:val="20"/>
                <w:lang w:val="fr-CA"/>
              </w:rPr>
            </w:pPr>
          </w:p>
        </w:tc>
        <w:tc>
          <w:tcPr>
            <w:tcW w:w="245" w:type="pct"/>
          </w:tcPr>
          <w:p w:rsidR="00DD09AD" w:rsidRPr="00354440" w:rsidRDefault="00DD09AD" w:rsidP="005F26F2">
            <w:pPr>
              <w:jc w:val="both"/>
              <w:rPr>
                <w:rFonts w:eastAsia="Calibri"/>
                <w:sz w:val="20"/>
                <w:lang w:val="fr-CA"/>
              </w:rPr>
            </w:pPr>
          </w:p>
        </w:tc>
        <w:tc>
          <w:tcPr>
            <w:tcW w:w="2305" w:type="pct"/>
          </w:tcPr>
          <w:p w:rsidR="00DD09AD" w:rsidRPr="00354440" w:rsidRDefault="00DD09AD" w:rsidP="005F26F2">
            <w:pPr>
              <w:jc w:val="both"/>
              <w:rPr>
                <w:rFonts w:eastAsia="Calibri"/>
                <w:sz w:val="20"/>
                <w:lang w:val="fr-CA"/>
              </w:rPr>
            </w:pPr>
            <w:r w:rsidRPr="00354440">
              <w:rPr>
                <w:rFonts w:eastAsia="Calibri"/>
                <w:sz w:val="20"/>
                <w:lang w:val="fr-CA"/>
              </w:rPr>
              <w:t>Appel du jugement sommaire, rejeté.</w:t>
            </w:r>
          </w:p>
          <w:p w:rsidR="00DD09AD" w:rsidRPr="00354440" w:rsidRDefault="00DD09AD" w:rsidP="005F26F2">
            <w:pPr>
              <w:jc w:val="both"/>
              <w:rPr>
                <w:rFonts w:eastAsia="Calibri"/>
                <w:sz w:val="20"/>
                <w:lang w:val="fr-CA"/>
              </w:rPr>
            </w:pPr>
          </w:p>
        </w:tc>
      </w:tr>
      <w:tr w:rsidR="00DD09AD" w:rsidRPr="00354440" w:rsidTr="005F26F2">
        <w:tc>
          <w:tcPr>
            <w:tcW w:w="2450" w:type="pct"/>
          </w:tcPr>
          <w:p w:rsidR="00DD09AD" w:rsidRPr="00354440" w:rsidRDefault="00DD09AD" w:rsidP="005F26F2">
            <w:pPr>
              <w:jc w:val="both"/>
              <w:rPr>
                <w:rFonts w:eastAsia="Calibri"/>
                <w:sz w:val="20"/>
                <w:lang w:val="fr-CA"/>
              </w:rPr>
            </w:pPr>
            <w:r w:rsidRPr="00354440">
              <w:rPr>
                <w:rFonts w:eastAsia="Calibri"/>
                <w:sz w:val="20"/>
                <w:lang w:val="fr-CA"/>
              </w:rPr>
              <w:t>5 juin 2012</w:t>
            </w:r>
          </w:p>
          <w:p w:rsidR="00DD09AD" w:rsidRPr="00354440" w:rsidRDefault="00DD09AD" w:rsidP="005F26F2">
            <w:pPr>
              <w:jc w:val="both"/>
              <w:rPr>
                <w:rFonts w:eastAsia="Calibri"/>
                <w:sz w:val="20"/>
                <w:lang w:val="fr-CA"/>
              </w:rPr>
            </w:pPr>
            <w:r w:rsidRPr="00354440">
              <w:rPr>
                <w:rFonts w:eastAsia="Calibri"/>
                <w:sz w:val="20"/>
                <w:lang w:val="fr-CA"/>
              </w:rPr>
              <w:t>Cour suprême du Canada</w:t>
            </w:r>
          </w:p>
        </w:tc>
        <w:tc>
          <w:tcPr>
            <w:tcW w:w="245" w:type="pct"/>
          </w:tcPr>
          <w:p w:rsidR="00DD09AD" w:rsidRPr="00354440" w:rsidRDefault="00DD09AD" w:rsidP="005F26F2">
            <w:pPr>
              <w:jc w:val="both"/>
              <w:rPr>
                <w:rFonts w:eastAsia="Calibri"/>
                <w:sz w:val="20"/>
                <w:lang w:val="fr-CA"/>
              </w:rPr>
            </w:pPr>
          </w:p>
        </w:tc>
        <w:tc>
          <w:tcPr>
            <w:tcW w:w="2305" w:type="pct"/>
          </w:tcPr>
          <w:p w:rsidR="00DD09AD" w:rsidRPr="00354440" w:rsidRDefault="00DD09AD" w:rsidP="005F26F2">
            <w:pPr>
              <w:jc w:val="both"/>
              <w:rPr>
                <w:rFonts w:eastAsia="Calibri"/>
                <w:sz w:val="20"/>
                <w:lang w:val="fr-CA"/>
              </w:rPr>
            </w:pPr>
            <w:r w:rsidRPr="00354440">
              <w:rPr>
                <w:rFonts w:eastAsia="Calibri"/>
                <w:sz w:val="20"/>
                <w:lang w:val="fr-CA"/>
              </w:rPr>
              <w:t>Demande d'autorisation d'appel, déposée.</w:t>
            </w: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63"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2705" w:rsidRPr="001D43E1" w:rsidTr="00066741">
        <w:trPr>
          <w:cantSplit/>
        </w:trPr>
        <w:tc>
          <w:tcPr>
            <w:tcW w:w="1458" w:type="dxa"/>
          </w:tcPr>
          <w:p w:rsidR="004A2705" w:rsidRPr="00ED4B6E" w:rsidRDefault="004A2705" w:rsidP="00066741">
            <w:pPr>
              <w:rPr>
                <w:sz w:val="20"/>
                <w:szCs w:val="20"/>
              </w:rPr>
            </w:pPr>
            <w:r w:rsidRPr="00ED4B6E">
              <w:rPr>
                <w:rStyle w:val="SCCFileNumberChar"/>
                <w:sz w:val="20"/>
                <w:szCs w:val="20"/>
              </w:rPr>
              <w:t>34871</w:t>
            </w:r>
          </w:p>
          <w:p w:rsidR="004A2705" w:rsidRPr="00ED4B6E" w:rsidRDefault="004A2705" w:rsidP="00066741">
            <w:pPr>
              <w:rPr>
                <w:b/>
                <w:sz w:val="20"/>
                <w:szCs w:val="20"/>
                <w:lang w:val="fr-CA"/>
              </w:rPr>
            </w:pPr>
          </w:p>
        </w:tc>
        <w:tc>
          <w:tcPr>
            <w:tcW w:w="8118" w:type="dxa"/>
          </w:tcPr>
          <w:p w:rsidR="004A2705" w:rsidRPr="00ED4B6E" w:rsidRDefault="004A2705" w:rsidP="00066741">
            <w:pPr>
              <w:rPr>
                <w:sz w:val="20"/>
                <w:szCs w:val="20"/>
                <w:lang w:val="fr-CA"/>
              </w:rPr>
            </w:pPr>
            <w:r w:rsidRPr="00ED4B6E">
              <w:rPr>
                <w:rStyle w:val="SCCLsocChar"/>
                <w:sz w:val="20"/>
                <w:szCs w:val="20"/>
              </w:rPr>
              <w:t>R.L. c. Sa Majesté la Reine</w:t>
            </w:r>
            <w:r w:rsidRPr="00ED4B6E">
              <w:rPr>
                <w:sz w:val="20"/>
                <w:szCs w:val="20"/>
                <w:lang w:val="fr-CA"/>
              </w:rPr>
              <w:t xml:space="preserve"> (Qc) (Criminelle) (Autorisation)</w:t>
            </w:r>
          </w:p>
          <w:p w:rsidR="004A2705" w:rsidRPr="00ED4B6E" w:rsidRDefault="004A2705" w:rsidP="00066741">
            <w:pPr>
              <w:rPr>
                <w:sz w:val="20"/>
                <w:szCs w:val="20"/>
                <w:lang w:val="fr-CA"/>
              </w:rPr>
            </w:pPr>
          </w:p>
        </w:tc>
      </w:tr>
      <w:tr w:rsidR="004A2705" w:rsidRPr="001D43E1" w:rsidTr="00066741">
        <w:trPr>
          <w:cantSplit/>
        </w:trPr>
        <w:tc>
          <w:tcPr>
            <w:tcW w:w="1458" w:type="dxa"/>
          </w:tcPr>
          <w:p w:rsidR="004A2705" w:rsidRPr="00ED4B6E" w:rsidRDefault="004A2705" w:rsidP="00066741">
            <w:pPr>
              <w:rPr>
                <w:sz w:val="20"/>
                <w:szCs w:val="20"/>
              </w:rPr>
            </w:pPr>
            <w:r w:rsidRPr="00ED4B6E">
              <w:rPr>
                <w:sz w:val="20"/>
                <w:szCs w:val="20"/>
              </w:rPr>
              <w:t>Coram :</w:t>
            </w:r>
          </w:p>
        </w:tc>
        <w:tc>
          <w:tcPr>
            <w:tcW w:w="8118" w:type="dxa"/>
          </w:tcPr>
          <w:p w:rsidR="004A2705" w:rsidRPr="00ED4B6E" w:rsidRDefault="004A2705" w:rsidP="00066741">
            <w:pPr>
              <w:rPr>
                <w:sz w:val="20"/>
                <w:szCs w:val="20"/>
                <w:lang w:val="fr-CA"/>
              </w:rPr>
            </w:pPr>
            <w:r w:rsidRPr="00ED4B6E">
              <w:rPr>
                <w:rStyle w:val="SCCCoramChar"/>
                <w:sz w:val="20"/>
                <w:szCs w:val="20"/>
              </w:rPr>
              <w:t>Les juges LeBel, Abella et Cromwell</w:t>
            </w:r>
          </w:p>
          <w:p w:rsidR="004A2705" w:rsidRPr="00ED4B6E" w:rsidRDefault="004A2705" w:rsidP="00066741">
            <w:pPr>
              <w:rPr>
                <w:sz w:val="20"/>
                <w:szCs w:val="20"/>
                <w:u w:val="single"/>
                <w:lang w:val="fr-CA"/>
              </w:rPr>
            </w:pPr>
          </w:p>
        </w:tc>
      </w:tr>
      <w:tr w:rsidR="004A2705" w:rsidRPr="00ED4B6E" w:rsidTr="00066741">
        <w:trPr>
          <w:cantSplit/>
        </w:trPr>
        <w:tc>
          <w:tcPr>
            <w:tcW w:w="9576" w:type="dxa"/>
            <w:gridSpan w:val="2"/>
          </w:tcPr>
          <w:p w:rsidR="004A2705" w:rsidRPr="00ED4B6E" w:rsidRDefault="004A2705" w:rsidP="00066741">
            <w:pPr>
              <w:pStyle w:val="SCCShortJudgment"/>
              <w:rPr>
                <w:szCs w:val="20"/>
                <w:lang w:val="fr-CA"/>
              </w:rPr>
            </w:pPr>
            <w:r w:rsidRPr="00ED4B6E">
              <w:rPr>
                <w:szCs w:val="20"/>
                <w:lang w:val="fr-CA"/>
              </w:rPr>
              <w:t>La requête en prorogation du délai de signification et de dépôt de la demande d’autorisation d’appel est accueillie. La demande d’autorisation d’appel de l’arrêt de la Cour d’appel du Québec (Montréal), numéro 500-10-004920-110, 2012 QCCA 635, daté du 5 avril 2012, est accueillie sans dépens.</w:t>
            </w:r>
          </w:p>
          <w:p w:rsidR="004A2705" w:rsidRPr="00ED4B6E" w:rsidRDefault="004A2705" w:rsidP="00066741">
            <w:pPr>
              <w:pStyle w:val="SCCShortJudgment"/>
              <w:ind w:firstLine="0"/>
              <w:rPr>
                <w:szCs w:val="20"/>
                <w:lang w:val="fr-CA"/>
              </w:rPr>
            </w:pPr>
          </w:p>
          <w:p w:rsidR="004A2705" w:rsidRPr="00ED4B6E" w:rsidRDefault="004A2705" w:rsidP="00066741">
            <w:pPr>
              <w:pStyle w:val="SCCShortJudgment"/>
              <w:rPr>
                <w:szCs w:val="20"/>
              </w:rPr>
            </w:pPr>
            <w:r w:rsidRPr="00ED4B6E">
              <w:rPr>
                <w:szCs w:val="20"/>
              </w:rPr>
              <w:t>The motion for an extension of time to serve and file the application for leave to appeal is granted. The application for leave to appeal from the judgment of the Court of Appeal of Quebec (Montréal), Number 500-10-004920-110, 2012 QCCA 635</w:t>
            </w:r>
            <w:proofErr w:type="gramStart"/>
            <w:r w:rsidRPr="00ED4B6E">
              <w:rPr>
                <w:szCs w:val="20"/>
              </w:rPr>
              <w:t>,  dated</w:t>
            </w:r>
            <w:proofErr w:type="gramEnd"/>
            <w:r w:rsidRPr="00ED4B6E">
              <w:rPr>
                <w:szCs w:val="20"/>
              </w:rPr>
              <w:t xml:space="preserve"> April 5, 2012, is granted without costs.</w:t>
            </w:r>
          </w:p>
        </w:tc>
      </w:tr>
    </w:tbl>
    <w:p w:rsidR="00441FC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6F2" w:rsidRPr="00354440" w:rsidTr="005F26F2">
        <w:tc>
          <w:tcPr>
            <w:tcW w:w="5000" w:type="pct"/>
            <w:gridSpan w:val="3"/>
          </w:tcPr>
          <w:p w:rsidR="005F26F2" w:rsidRPr="00354440" w:rsidRDefault="005F26F2" w:rsidP="005F26F2">
            <w:pPr>
              <w:jc w:val="both"/>
              <w:rPr>
                <w:rFonts w:eastAsia="Calibri"/>
                <w:smallCaps/>
                <w:sz w:val="20"/>
              </w:rPr>
            </w:pPr>
            <w:r w:rsidRPr="00354440">
              <w:rPr>
                <w:rFonts w:eastAsia="Calibri"/>
                <w:smallCaps/>
                <w:sz w:val="20"/>
              </w:rPr>
              <w:t xml:space="preserve">(Publication Ban in Case) (Publication Ban on Party) (Court </w:t>
            </w:r>
            <w:r>
              <w:rPr>
                <w:rFonts w:eastAsia="Calibri"/>
                <w:smallCaps/>
                <w:sz w:val="20"/>
              </w:rPr>
              <w:t>F</w:t>
            </w:r>
            <w:r w:rsidRPr="00354440">
              <w:rPr>
                <w:rFonts w:eastAsia="Calibri"/>
                <w:smallCaps/>
                <w:sz w:val="20"/>
              </w:rPr>
              <w:t xml:space="preserve">ile </w:t>
            </w:r>
            <w:r>
              <w:rPr>
                <w:rFonts w:eastAsia="Calibri"/>
                <w:smallCaps/>
                <w:sz w:val="20"/>
              </w:rPr>
              <w:t>C</w:t>
            </w:r>
            <w:r w:rsidRPr="00354440">
              <w:rPr>
                <w:rFonts w:eastAsia="Calibri"/>
                <w:smallCaps/>
                <w:sz w:val="20"/>
              </w:rPr>
              <w:t xml:space="preserve">ontains </w:t>
            </w:r>
            <w:r>
              <w:rPr>
                <w:rFonts w:eastAsia="Calibri"/>
                <w:smallCaps/>
                <w:sz w:val="20"/>
              </w:rPr>
              <w:t>I</w:t>
            </w:r>
            <w:r w:rsidRPr="00354440">
              <w:rPr>
                <w:rFonts w:eastAsia="Calibri"/>
                <w:smallCaps/>
                <w:sz w:val="20"/>
              </w:rPr>
              <w:t xml:space="preserve">nformation </w:t>
            </w:r>
            <w:r>
              <w:rPr>
                <w:rFonts w:eastAsia="Calibri"/>
                <w:smallCaps/>
                <w:sz w:val="20"/>
              </w:rPr>
              <w:t>T</w:t>
            </w:r>
            <w:r w:rsidRPr="00354440">
              <w:rPr>
                <w:rFonts w:eastAsia="Calibri"/>
                <w:smallCaps/>
                <w:sz w:val="20"/>
              </w:rPr>
              <w:t xml:space="preserve">hat is not </w:t>
            </w:r>
            <w:r>
              <w:rPr>
                <w:rFonts w:eastAsia="Calibri"/>
                <w:smallCaps/>
                <w:sz w:val="20"/>
              </w:rPr>
              <w:t>A</w:t>
            </w:r>
            <w:r w:rsidRPr="00354440">
              <w:rPr>
                <w:rFonts w:eastAsia="Calibri"/>
                <w:smallCaps/>
                <w:sz w:val="20"/>
              </w:rPr>
              <w:t xml:space="preserve">vailable for </w:t>
            </w:r>
            <w:r>
              <w:rPr>
                <w:rFonts w:eastAsia="Calibri"/>
                <w:smallCaps/>
                <w:sz w:val="20"/>
              </w:rPr>
              <w:t>I</w:t>
            </w:r>
            <w:r w:rsidRPr="00354440">
              <w:rPr>
                <w:rFonts w:eastAsia="Calibri"/>
                <w:smallCaps/>
                <w:sz w:val="20"/>
              </w:rPr>
              <w:t xml:space="preserve">nspection by the </w:t>
            </w:r>
            <w:r>
              <w:rPr>
                <w:rFonts w:eastAsia="Calibri"/>
                <w:smallCaps/>
                <w:sz w:val="20"/>
              </w:rPr>
              <w:t>B</w:t>
            </w:r>
            <w:r w:rsidRPr="00354440">
              <w:rPr>
                <w:rFonts w:eastAsia="Calibri"/>
                <w:smallCaps/>
                <w:sz w:val="20"/>
              </w:rPr>
              <w:t>ublic)</w:t>
            </w:r>
          </w:p>
          <w:p w:rsidR="005F26F2" w:rsidRPr="00354440" w:rsidRDefault="005F26F2" w:rsidP="005F26F2">
            <w:pPr>
              <w:jc w:val="both"/>
              <w:rPr>
                <w:rFonts w:eastAsia="Calibri"/>
                <w:sz w:val="20"/>
              </w:rPr>
            </w:pPr>
          </w:p>
        </w:tc>
      </w:tr>
      <w:tr w:rsidR="005F26F2" w:rsidRPr="00354440" w:rsidTr="005F26F2">
        <w:tc>
          <w:tcPr>
            <w:tcW w:w="5000" w:type="pct"/>
            <w:gridSpan w:val="3"/>
          </w:tcPr>
          <w:p w:rsidR="005F26F2" w:rsidRPr="00354440" w:rsidRDefault="005F26F2" w:rsidP="005F26F2">
            <w:pPr>
              <w:jc w:val="both"/>
              <w:rPr>
                <w:rFonts w:eastAsia="Calibri"/>
                <w:sz w:val="20"/>
              </w:rPr>
            </w:pPr>
            <w:r w:rsidRPr="00354440">
              <w:rPr>
                <w:rFonts w:eastAsia="Calibri"/>
                <w:i/>
                <w:sz w:val="20"/>
              </w:rPr>
              <w:t>Charter</w:t>
            </w:r>
            <w:r w:rsidRPr="00354440">
              <w:rPr>
                <w:rFonts w:eastAsia="Calibri"/>
                <w:sz w:val="20"/>
              </w:rPr>
              <w:t xml:space="preserve"> — Criminal law — Applicant pleading guilty to 14 charges between 1996 and 2005 — In 2011, applicant found unfit to stand trial because of intellectual disability — Motions for extension of time to appeal, leave to appeal and authorization to produce new evidence — Whether Court of Appeal erred in dismissing applicant’s motions seeking to appeal convictions entered between 1996 and 2005 in light of new evidence that applicant unfit to stand trial in 2011 — Whether Court of Appeal erred in concluding that applicant had not raised serious grounds of appeal — Whether Court of Appeal erred in law (i) in giving practical considerations and principle of stability of judgments precedence over importance of correcting miscarriages of justice, (ii) in failing to consider public confidence in integrity of justice system as test for deciding on leave to appeal and extension of time to appeal, (iii) in requiring applicant, at leave to appeal stage, to provide proof required at stage of hearing on merits, (iv) in not taking account of evidence indicating that intellectual disability remains relatively stable over time, and (v) in not taking account of fact that representation by counsel may not have made it possible to detect applicant’s intellectual disability — Whether applicant’s rights under ss. 7 and 11(</w:t>
            </w:r>
            <w:r w:rsidRPr="00354440">
              <w:rPr>
                <w:rFonts w:eastAsia="Calibri"/>
                <w:i/>
                <w:sz w:val="20"/>
              </w:rPr>
              <w:t>d</w:t>
            </w:r>
            <w:r w:rsidRPr="00354440">
              <w:rPr>
                <w:rFonts w:eastAsia="Calibri"/>
                <w:sz w:val="20"/>
              </w:rPr>
              <w:t xml:space="preserve">) of </w:t>
            </w:r>
            <w:r w:rsidRPr="00354440">
              <w:rPr>
                <w:rFonts w:eastAsia="Calibri"/>
                <w:i/>
                <w:sz w:val="20"/>
              </w:rPr>
              <w:t>Charter</w:t>
            </w:r>
            <w:r w:rsidRPr="00354440">
              <w:rPr>
                <w:rFonts w:eastAsia="Calibri"/>
                <w:sz w:val="20"/>
              </w:rPr>
              <w:t xml:space="preserve"> were infringed and, if so, whether stay of proceedings is appropriate remedy in circumstances — </w:t>
            </w:r>
            <w:r w:rsidRPr="00354440">
              <w:rPr>
                <w:rFonts w:eastAsia="Calibri"/>
                <w:i/>
                <w:sz w:val="20"/>
              </w:rPr>
              <w:t>Criminal Code</w:t>
            </w:r>
            <w:r w:rsidRPr="00354440">
              <w:rPr>
                <w:rFonts w:eastAsia="Calibri"/>
                <w:sz w:val="20"/>
              </w:rPr>
              <w:t>, R.S.C. 1985, c. C</w:t>
            </w:r>
            <w:r w:rsidRPr="00354440">
              <w:rPr>
                <w:rFonts w:eastAsia="Calibri"/>
                <w:sz w:val="20"/>
              </w:rPr>
              <w:noBreakHyphen/>
              <w:t xml:space="preserve">46, ss. 2, 16 and 672.22 — </w:t>
            </w:r>
            <w:r w:rsidRPr="00354440">
              <w:rPr>
                <w:rFonts w:eastAsia="Calibri"/>
                <w:i/>
                <w:sz w:val="20"/>
              </w:rPr>
              <w:t>Canadian Charter of Rights and Freedoms</w:t>
            </w:r>
            <w:r w:rsidRPr="00354440">
              <w:rPr>
                <w:rFonts w:eastAsia="Calibri"/>
                <w:sz w:val="20"/>
              </w:rPr>
              <w:t>, ss. 7, 11(</w:t>
            </w:r>
            <w:r w:rsidRPr="00354440">
              <w:rPr>
                <w:rFonts w:eastAsia="Calibri"/>
                <w:i/>
                <w:sz w:val="20"/>
              </w:rPr>
              <w:t>d</w:t>
            </w:r>
            <w:r w:rsidRPr="00354440">
              <w:rPr>
                <w:rFonts w:eastAsia="Calibri"/>
                <w:sz w:val="20"/>
              </w:rPr>
              <w:t>) and 24(1).</w:t>
            </w:r>
          </w:p>
          <w:p w:rsidR="005F26F2" w:rsidRPr="00354440" w:rsidRDefault="005F26F2" w:rsidP="005F26F2">
            <w:pPr>
              <w:jc w:val="both"/>
              <w:rPr>
                <w:rFonts w:eastAsia="Calibri"/>
                <w:sz w:val="20"/>
              </w:rPr>
            </w:pPr>
          </w:p>
        </w:tc>
      </w:tr>
      <w:tr w:rsidR="005F26F2" w:rsidRPr="00354440" w:rsidTr="005F26F2">
        <w:tc>
          <w:tcPr>
            <w:tcW w:w="5000" w:type="pct"/>
            <w:gridSpan w:val="3"/>
          </w:tcPr>
          <w:p w:rsidR="005F26F2" w:rsidRPr="00354440" w:rsidRDefault="005F26F2" w:rsidP="005F26F2">
            <w:pPr>
              <w:jc w:val="both"/>
              <w:rPr>
                <w:rFonts w:eastAsia="Calibri"/>
                <w:sz w:val="20"/>
              </w:rPr>
            </w:pPr>
            <w:r w:rsidRPr="00354440">
              <w:rPr>
                <w:rFonts w:eastAsia="Calibri"/>
                <w:sz w:val="20"/>
              </w:rPr>
              <w:t>The applicant has an intellectual disability that was first identified at a young age.</w:t>
            </w:r>
          </w:p>
          <w:p w:rsidR="005F26F2" w:rsidRPr="00354440" w:rsidRDefault="005F26F2" w:rsidP="005F26F2">
            <w:pPr>
              <w:jc w:val="both"/>
              <w:rPr>
                <w:rFonts w:eastAsia="Calibri"/>
                <w:sz w:val="20"/>
              </w:rPr>
            </w:pPr>
          </w:p>
          <w:p w:rsidR="005F26F2" w:rsidRPr="00354440" w:rsidRDefault="005F26F2" w:rsidP="005F26F2">
            <w:pPr>
              <w:jc w:val="both"/>
              <w:rPr>
                <w:rFonts w:eastAsia="Calibri"/>
                <w:sz w:val="20"/>
              </w:rPr>
            </w:pPr>
            <w:r w:rsidRPr="00354440">
              <w:rPr>
                <w:rFonts w:eastAsia="Calibri"/>
                <w:sz w:val="20"/>
              </w:rPr>
              <w:t>Between 1996 and 2005, he pleaded guilty to 14 offences, including sexual assault, assault, breach of a recognizance and breach of probation.  He was convicted of all the charges in the Court of Québec, first in the Youth Division (when he was a teenager) and later in the Criminal and Penal Division.  He was represented by counsel each time he entered a guilty plea.  During that period, his fitness to stand trial was not the subject of argument in court.</w:t>
            </w:r>
          </w:p>
          <w:p w:rsidR="005F26F2" w:rsidRPr="00354440" w:rsidRDefault="005F26F2" w:rsidP="005F26F2">
            <w:pPr>
              <w:jc w:val="both"/>
              <w:rPr>
                <w:rFonts w:eastAsia="Calibri"/>
                <w:sz w:val="20"/>
              </w:rPr>
            </w:pPr>
          </w:p>
          <w:p w:rsidR="005F26F2" w:rsidRPr="00354440" w:rsidRDefault="005F26F2" w:rsidP="005F26F2">
            <w:pPr>
              <w:jc w:val="both"/>
              <w:rPr>
                <w:rFonts w:eastAsia="Calibri"/>
                <w:sz w:val="20"/>
              </w:rPr>
            </w:pPr>
            <w:r w:rsidRPr="00354440">
              <w:rPr>
                <w:rFonts w:eastAsia="Calibri"/>
                <w:sz w:val="20"/>
              </w:rPr>
              <w:t>During a criminal trial in 2011, a Court of Québec judge found the applicant unfit to stand trial on the ground that his intellectual disability prevented him from participating in the judicial process in a meaningful way.</w:t>
            </w:r>
          </w:p>
          <w:p w:rsidR="005F26F2" w:rsidRPr="00354440" w:rsidRDefault="005F26F2" w:rsidP="005F26F2">
            <w:pPr>
              <w:jc w:val="both"/>
              <w:rPr>
                <w:rFonts w:eastAsia="Calibri"/>
                <w:sz w:val="20"/>
              </w:rPr>
            </w:pPr>
          </w:p>
          <w:p w:rsidR="005F26F2" w:rsidRPr="00354440" w:rsidRDefault="005F26F2" w:rsidP="005F26F2">
            <w:pPr>
              <w:jc w:val="both"/>
              <w:rPr>
                <w:rFonts w:eastAsia="Calibri"/>
                <w:sz w:val="20"/>
              </w:rPr>
            </w:pPr>
            <w:r w:rsidRPr="00354440">
              <w:rPr>
                <w:rFonts w:eastAsia="Calibri"/>
                <w:sz w:val="20"/>
              </w:rPr>
              <w:t>The following month, the applicant filed a motion in the Quebec Court of Appeal seeking leave to appeal his 14 previous convictions on the ground that, because of his intellectual disability, he had been unfit to stand trial on the charges to which he had pleaded guilty between 1996 and 2005.  The motion was accompanied by a motion for an extension of the time to appeal and a motion for authorization to produce new evidence (including the psychiatric evidence before the Court of Québec in 2011).</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April 5, 2012</w:t>
            </w:r>
          </w:p>
          <w:p w:rsidR="005F26F2" w:rsidRPr="00354440" w:rsidRDefault="005F26F2" w:rsidP="005F26F2">
            <w:pPr>
              <w:jc w:val="both"/>
              <w:rPr>
                <w:rFonts w:eastAsia="Calibri"/>
                <w:sz w:val="20"/>
              </w:rPr>
            </w:pPr>
            <w:r w:rsidRPr="00354440">
              <w:rPr>
                <w:rFonts w:eastAsia="Calibri"/>
                <w:sz w:val="20"/>
              </w:rPr>
              <w:t>Quebec Court of Appeal (Montréal)</w:t>
            </w:r>
          </w:p>
          <w:p w:rsidR="005F26F2" w:rsidRPr="00354440" w:rsidRDefault="005F26F2" w:rsidP="005F26F2">
            <w:pPr>
              <w:jc w:val="both"/>
              <w:rPr>
                <w:rFonts w:eastAsia="Calibri"/>
                <w:sz w:val="20"/>
              </w:rPr>
            </w:pPr>
            <w:r w:rsidRPr="00354440">
              <w:rPr>
                <w:rFonts w:eastAsia="Calibri"/>
                <w:sz w:val="20"/>
              </w:rPr>
              <w:t>(Chamberland, Rochette and Dalphond [dissenting] JJ.A.)</w:t>
            </w:r>
          </w:p>
          <w:p w:rsidR="005F26F2" w:rsidRPr="00354440" w:rsidRDefault="005F26F2" w:rsidP="005F26F2">
            <w:pPr>
              <w:jc w:val="both"/>
              <w:rPr>
                <w:rFonts w:eastAsia="Calibri"/>
                <w:sz w:val="20"/>
              </w:rPr>
            </w:pPr>
            <w:r w:rsidRPr="00354440">
              <w:rPr>
                <w:rFonts w:eastAsia="Calibri"/>
                <w:sz w:val="20"/>
              </w:rPr>
              <w:t>2012 QCCA 635</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Motions for extension of time to appeal, leave to appeal 14 guilty verdicts entered between 1996 and 2005 and authorization to produce new evidence dismissed</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June 5, 2012</w:t>
            </w:r>
          </w:p>
          <w:p w:rsidR="005F26F2" w:rsidRPr="00354440" w:rsidRDefault="005F26F2" w:rsidP="005F26F2">
            <w:pPr>
              <w:jc w:val="both"/>
              <w:rPr>
                <w:rFonts w:eastAsia="Calibri"/>
                <w:sz w:val="20"/>
              </w:rPr>
            </w:pPr>
            <w:r w:rsidRPr="00354440">
              <w:rPr>
                <w:rFonts w:eastAsia="Calibri"/>
                <w:sz w:val="20"/>
              </w:rPr>
              <w:t>Supreme Court of Canada</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Application for leave to appeal filed</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June 6, 2012</w:t>
            </w:r>
          </w:p>
          <w:p w:rsidR="005F26F2" w:rsidRPr="00354440" w:rsidRDefault="005F26F2" w:rsidP="005F26F2">
            <w:pPr>
              <w:jc w:val="both"/>
              <w:rPr>
                <w:rFonts w:eastAsia="Calibri"/>
                <w:sz w:val="20"/>
              </w:rPr>
            </w:pPr>
            <w:r w:rsidRPr="00354440">
              <w:rPr>
                <w:rFonts w:eastAsia="Calibri"/>
                <w:sz w:val="20"/>
              </w:rPr>
              <w:t>Supreme Court of Canada</w:t>
            </w: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Motion to extend time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64"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6F2" w:rsidRPr="001D43E1" w:rsidTr="005F26F2">
        <w:tc>
          <w:tcPr>
            <w:tcW w:w="5000" w:type="pct"/>
            <w:gridSpan w:val="3"/>
          </w:tcPr>
          <w:p w:rsidR="005F26F2" w:rsidRPr="00354440" w:rsidRDefault="005F26F2" w:rsidP="005F26F2">
            <w:pPr>
              <w:jc w:val="both"/>
              <w:rPr>
                <w:rFonts w:eastAsia="Calibri"/>
                <w:smallCaps/>
                <w:sz w:val="20"/>
                <w:lang w:val="fr-CA"/>
              </w:rPr>
            </w:pPr>
            <w:r w:rsidRPr="00354440">
              <w:rPr>
                <w:rFonts w:eastAsia="Calibri"/>
                <w:smallCaps/>
                <w:sz w:val="20"/>
                <w:lang w:val="fr-CA"/>
              </w:rPr>
              <w:t>(Ordonnance de non</w:t>
            </w:r>
            <w:r w:rsidRPr="00354440">
              <w:rPr>
                <w:rFonts w:eastAsia="Calibri"/>
                <w:smallCaps/>
                <w:sz w:val="20"/>
                <w:lang w:val="fr-CA"/>
              </w:rPr>
              <w:noBreakHyphen/>
              <w:t>publication dans le dossier) (Ordonnance de non</w:t>
            </w:r>
            <w:r w:rsidRPr="00354440">
              <w:rPr>
                <w:rFonts w:eastAsia="Calibri"/>
                <w:smallCaps/>
                <w:sz w:val="20"/>
                <w:lang w:val="fr-CA"/>
              </w:rPr>
              <w:noBreakHyphen/>
              <w:t>publication visant une partie) (Le dossier de la Cour renferme des données que le public n'est pas autorisé à consulter)</w:t>
            </w:r>
          </w:p>
          <w:p w:rsidR="005F26F2" w:rsidRPr="00354440" w:rsidRDefault="005F26F2" w:rsidP="005F26F2">
            <w:pPr>
              <w:jc w:val="both"/>
              <w:rPr>
                <w:rFonts w:eastAsia="Calibri"/>
                <w:sz w:val="20"/>
                <w:lang w:val="fr-CA"/>
              </w:rPr>
            </w:pPr>
          </w:p>
        </w:tc>
      </w:tr>
      <w:tr w:rsidR="005F26F2" w:rsidRPr="001D43E1" w:rsidTr="005F26F2">
        <w:tc>
          <w:tcPr>
            <w:tcW w:w="5000" w:type="pct"/>
            <w:gridSpan w:val="3"/>
          </w:tcPr>
          <w:p w:rsidR="005F26F2" w:rsidRPr="00354440" w:rsidRDefault="005F26F2" w:rsidP="005F26F2">
            <w:pPr>
              <w:jc w:val="both"/>
              <w:rPr>
                <w:rFonts w:eastAsia="Calibri"/>
                <w:sz w:val="20"/>
                <w:lang w:val="fr-CA"/>
              </w:rPr>
            </w:pPr>
            <w:r w:rsidRPr="00354440">
              <w:rPr>
                <w:rFonts w:eastAsia="Calibri"/>
                <w:i/>
                <w:sz w:val="20"/>
                <w:lang w:val="fr-CA"/>
              </w:rPr>
              <w:t>Charte</w:t>
            </w:r>
            <w:r w:rsidRPr="00354440">
              <w:rPr>
                <w:rFonts w:eastAsia="Calibri"/>
                <w:sz w:val="20"/>
                <w:lang w:val="fr-CA"/>
              </w:rPr>
              <w:t xml:space="preserve"> — Droit criminel — Demandeur ayant plaidé coupable à 14 chefs d’accusation entre 1996 et 2005 — En 2011, le demandeur étant jugé inapte à subir un procès en raison d’une déficience intellectuelle — Requêtes pour prorogation du délai pour en appeler, pour permission de faire appel et pour obtenir l’autorisation de présenter une nouvelle preuve — La Cour d’appel a</w:t>
            </w:r>
            <w:r w:rsidRPr="00354440">
              <w:rPr>
                <w:rFonts w:eastAsia="Calibri"/>
                <w:sz w:val="20"/>
                <w:lang w:val="fr-CA"/>
              </w:rPr>
              <w:noBreakHyphen/>
              <w:t>t</w:t>
            </w:r>
            <w:r w:rsidRPr="00354440">
              <w:rPr>
                <w:rFonts w:eastAsia="Calibri"/>
                <w:sz w:val="20"/>
                <w:lang w:val="fr-CA"/>
              </w:rPr>
              <w:noBreakHyphen/>
              <w:t>elle erré en rejetant les requêtes du demandeur cherchant à en appeler des condamnations prononcées entre 1996 et 2005 à la lumière de nouvelle preuve relativement à l’inaptitude du demandeur à subir un procès ayant lieu en 2011? — Est</w:t>
            </w:r>
            <w:r w:rsidRPr="00354440">
              <w:rPr>
                <w:rFonts w:eastAsia="Calibri"/>
                <w:sz w:val="20"/>
                <w:lang w:val="fr-CA"/>
              </w:rPr>
              <w:noBreakHyphen/>
              <w:t>ce que la Cour d’appel a erré en concluant que le demandeur n’avait pas soulevé de sérieux moyens d’appel? — La Cour d’appel a</w:t>
            </w:r>
            <w:r w:rsidRPr="00354440">
              <w:rPr>
                <w:rFonts w:eastAsia="Calibri"/>
                <w:sz w:val="20"/>
                <w:lang w:val="fr-CA"/>
              </w:rPr>
              <w:noBreakHyphen/>
              <w:t>t</w:t>
            </w:r>
            <w:r w:rsidRPr="00354440">
              <w:rPr>
                <w:rFonts w:eastAsia="Calibri"/>
                <w:sz w:val="20"/>
                <w:lang w:val="fr-CA"/>
              </w:rPr>
              <w:noBreakHyphen/>
              <w:t>elle erré en droit (i) en faisant prévaloir des considérations pratiques et le principe de stabilité des jugements à l’importance de corriger des erreurs judiciaires, (ii) en omettant de prendre en considération la confiance du public dans l’intégrité du système de justice à titre de critère pour décider de la permission d’en appeler et de la prorogation du délai d’appel, (iii) en requérant, au stade de la permission d’en appeler, que le demandeur fasse la preuve requise au stade de l’audition sur le fond, (iv) en ne tenant pas compte de preuve à l’effet qu’une déficience intellectuelle demeure relativement stable dans le temps, et (v) en ne tenant pas compte du fait que la représentation par avocat n’a possiblement pas permis de détecter la déficience intellectuelle du demandeur? — Est</w:t>
            </w:r>
            <w:r w:rsidRPr="00354440">
              <w:rPr>
                <w:rFonts w:eastAsia="Calibri"/>
                <w:sz w:val="20"/>
                <w:lang w:val="fr-CA"/>
              </w:rPr>
              <w:noBreakHyphen/>
              <w:t xml:space="preserve">ce qu’il a eu violation des droits du demandeur en vertu des articles 7 et 11d) de la </w:t>
            </w:r>
            <w:r w:rsidRPr="00354440">
              <w:rPr>
                <w:rFonts w:eastAsia="Calibri"/>
                <w:i/>
                <w:sz w:val="20"/>
                <w:lang w:val="fr-CA"/>
              </w:rPr>
              <w:t>Charte</w:t>
            </w:r>
            <w:r w:rsidRPr="00354440">
              <w:rPr>
                <w:rFonts w:eastAsia="Calibri"/>
                <w:sz w:val="20"/>
                <w:lang w:val="fr-CA"/>
              </w:rPr>
              <w:t xml:space="preserve"> et, si oui, est</w:t>
            </w:r>
            <w:r w:rsidRPr="00354440">
              <w:rPr>
                <w:rFonts w:eastAsia="Calibri"/>
                <w:sz w:val="20"/>
                <w:lang w:val="fr-CA"/>
              </w:rPr>
              <w:noBreakHyphen/>
              <w:t xml:space="preserve">ce qu’un arrêt des procédures constitue un remède approprié dans les circonstances? — </w:t>
            </w:r>
            <w:r w:rsidRPr="00354440">
              <w:rPr>
                <w:rFonts w:eastAsia="Calibri"/>
                <w:i/>
                <w:sz w:val="20"/>
                <w:lang w:val="fr-CA"/>
              </w:rPr>
              <w:t>Code criminel</w:t>
            </w:r>
            <w:r w:rsidRPr="00354440">
              <w:rPr>
                <w:rFonts w:eastAsia="Calibri"/>
                <w:sz w:val="20"/>
                <w:lang w:val="fr-CA"/>
              </w:rPr>
              <w:t>, L.R.C. 1985, ch. C</w:t>
            </w:r>
            <w:r w:rsidRPr="00354440">
              <w:rPr>
                <w:rFonts w:eastAsia="Calibri"/>
                <w:sz w:val="20"/>
                <w:lang w:val="fr-CA"/>
              </w:rPr>
              <w:noBreakHyphen/>
              <w:t xml:space="preserve">46, art. 2, 16 et 672.22 — </w:t>
            </w:r>
            <w:r w:rsidRPr="00354440">
              <w:rPr>
                <w:rFonts w:eastAsia="Calibri"/>
                <w:i/>
                <w:sz w:val="20"/>
                <w:lang w:val="fr-CA"/>
              </w:rPr>
              <w:t>Charte canadienne des droits et libertés</w:t>
            </w:r>
            <w:r w:rsidRPr="00354440">
              <w:rPr>
                <w:rFonts w:eastAsia="Calibri"/>
                <w:sz w:val="20"/>
                <w:lang w:val="fr-CA"/>
              </w:rPr>
              <w:t>, art. 7, 11d) et 24(1)</w:t>
            </w:r>
          </w:p>
          <w:p w:rsidR="005F26F2" w:rsidRPr="00354440" w:rsidRDefault="005F26F2" w:rsidP="005F26F2">
            <w:pPr>
              <w:jc w:val="both"/>
              <w:rPr>
                <w:rFonts w:eastAsia="Calibri"/>
                <w:sz w:val="20"/>
                <w:lang w:val="fr-CA"/>
              </w:rPr>
            </w:pPr>
          </w:p>
        </w:tc>
      </w:tr>
      <w:tr w:rsidR="005F26F2" w:rsidRPr="001D43E1" w:rsidTr="005F26F2">
        <w:tc>
          <w:tcPr>
            <w:tcW w:w="5000" w:type="pct"/>
            <w:gridSpan w:val="3"/>
          </w:tcPr>
          <w:p w:rsidR="005F26F2" w:rsidRPr="00354440" w:rsidRDefault="005F26F2" w:rsidP="005F26F2">
            <w:pPr>
              <w:jc w:val="both"/>
              <w:rPr>
                <w:rFonts w:eastAsia="Calibri"/>
                <w:sz w:val="20"/>
                <w:lang w:val="fr-CA"/>
              </w:rPr>
            </w:pPr>
            <w:r w:rsidRPr="00354440">
              <w:rPr>
                <w:rFonts w:eastAsia="Calibri"/>
                <w:sz w:val="20"/>
                <w:lang w:val="fr-CA"/>
              </w:rPr>
              <w:t xml:space="preserve">Le demandeur souffre d’une déficience intellectuelle qui a premièrement été décelée à un bas âge. </w:t>
            </w:r>
          </w:p>
          <w:p w:rsidR="005F26F2" w:rsidRPr="00354440" w:rsidRDefault="005F26F2" w:rsidP="005F26F2">
            <w:pPr>
              <w:jc w:val="both"/>
              <w:rPr>
                <w:rFonts w:eastAsia="Calibri"/>
                <w:sz w:val="20"/>
                <w:lang w:val="fr-CA"/>
              </w:rPr>
            </w:pPr>
          </w:p>
          <w:p w:rsidR="005F26F2" w:rsidRPr="00354440" w:rsidRDefault="005F26F2" w:rsidP="005F26F2">
            <w:pPr>
              <w:jc w:val="both"/>
              <w:rPr>
                <w:rFonts w:eastAsia="Calibri"/>
                <w:sz w:val="20"/>
                <w:lang w:val="fr-CA"/>
              </w:rPr>
            </w:pPr>
            <w:r w:rsidRPr="00354440">
              <w:rPr>
                <w:rFonts w:eastAsia="Calibri"/>
                <w:sz w:val="20"/>
                <w:lang w:val="fr-CA"/>
              </w:rPr>
              <w:t xml:space="preserve">Entre 1996 à 2005, le demandeur a plaidé coupable à quatorze infractions y inclus des chefs d’accusation d’agression sexuelle, de voies de fait, de bris d’engagement et de bris de probation.  Des condamnations furent prononcées contre le demandeur en Cour du Québec relativement à tous ces chefs d’accusation, d’abord en Chambre de la jeunesse (alors qu’il était adolescent), puis ensuite en Chambre criminelle et pénale.  Lors de chacun de ces plaidoyers de culpabilité, le demandeur était représenté par procureur. L’aptitude du demandeur de subir un procès n’a pas fait l’objet de débats devant les tribunaux pendant cette période. </w:t>
            </w:r>
          </w:p>
          <w:p w:rsidR="005F26F2" w:rsidRPr="00354440" w:rsidRDefault="005F26F2" w:rsidP="005F26F2">
            <w:pPr>
              <w:jc w:val="both"/>
              <w:rPr>
                <w:rFonts w:eastAsia="Calibri"/>
                <w:sz w:val="20"/>
                <w:lang w:val="fr-CA"/>
              </w:rPr>
            </w:pPr>
          </w:p>
          <w:p w:rsidR="005F26F2" w:rsidRPr="00354440" w:rsidRDefault="005F26F2" w:rsidP="005F26F2">
            <w:pPr>
              <w:jc w:val="both"/>
              <w:rPr>
                <w:rFonts w:eastAsia="Calibri"/>
                <w:sz w:val="20"/>
                <w:lang w:val="fr-CA"/>
              </w:rPr>
            </w:pPr>
            <w:r w:rsidRPr="00354440">
              <w:rPr>
                <w:rFonts w:eastAsia="Calibri"/>
                <w:sz w:val="20"/>
                <w:lang w:val="fr-CA"/>
              </w:rPr>
              <w:t xml:space="preserve">Dans le cadre d’un procès criminel en 2011, une juge de la Cour du Québec a conclu à l’inaptitude du demandeur à subir un procès au motif qu’en raison de sa déficience intellectuelle, ce dernier n’était pas en mesure de participer au processus judiciaire de façon significative. </w:t>
            </w:r>
          </w:p>
          <w:p w:rsidR="005F26F2" w:rsidRPr="00354440" w:rsidRDefault="005F26F2" w:rsidP="005F26F2">
            <w:pPr>
              <w:jc w:val="both"/>
              <w:rPr>
                <w:rFonts w:eastAsia="Calibri"/>
                <w:sz w:val="20"/>
                <w:lang w:val="fr-CA"/>
              </w:rPr>
            </w:pPr>
          </w:p>
          <w:p w:rsidR="005F26F2" w:rsidRPr="00354440" w:rsidRDefault="005F26F2" w:rsidP="005F26F2">
            <w:pPr>
              <w:jc w:val="both"/>
              <w:rPr>
                <w:rFonts w:eastAsia="Calibri"/>
                <w:sz w:val="20"/>
                <w:lang w:val="fr-CA"/>
              </w:rPr>
            </w:pPr>
            <w:r w:rsidRPr="00354440">
              <w:rPr>
                <w:rFonts w:eastAsia="Calibri"/>
                <w:sz w:val="20"/>
                <w:lang w:val="fr-CA"/>
              </w:rPr>
              <w:t xml:space="preserve">Le mois suivant, le demandeur déposa une requête en Cour d’appel du Québec pour permission d’en appeler des quatorze condamnations antérieures prononcées contre lui au motif qu’en raison de sa déficience intellectuelle, il était inapte à subir les procès dans le cadre desquels il plaida coupable entre 1996 et 2005.  Cette requête fut également accompagnée d’une requête pour proroger le délai d’appel ainsi que d’une requête pour obtenir l’autorisation de présenter une nouvelle preuve (entre autres, la preuve psychiatrique qui était devant la Cour du Québec en 2011). </w:t>
            </w:r>
          </w:p>
          <w:p w:rsidR="005F26F2" w:rsidRPr="00354440" w:rsidRDefault="005F26F2" w:rsidP="005F26F2">
            <w:pPr>
              <w:jc w:val="both"/>
              <w:rPr>
                <w:rFonts w:eastAsia="Calibri"/>
                <w:sz w:val="20"/>
                <w:lang w:val="fr-CA"/>
              </w:rPr>
            </w:pPr>
          </w:p>
        </w:tc>
      </w:tr>
      <w:tr w:rsidR="005F26F2" w:rsidRPr="001D43E1" w:rsidTr="005F26F2">
        <w:tc>
          <w:tcPr>
            <w:tcW w:w="2427" w:type="pct"/>
          </w:tcPr>
          <w:p w:rsidR="005F26F2" w:rsidRPr="00354440" w:rsidRDefault="005F26F2" w:rsidP="005F26F2">
            <w:pPr>
              <w:jc w:val="both"/>
              <w:rPr>
                <w:rFonts w:eastAsia="Calibri"/>
                <w:sz w:val="20"/>
                <w:lang w:val="fr-CA"/>
              </w:rPr>
            </w:pPr>
            <w:r w:rsidRPr="00354440">
              <w:rPr>
                <w:rFonts w:eastAsia="Calibri"/>
                <w:sz w:val="20"/>
                <w:lang w:val="fr-CA"/>
              </w:rPr>
              <w:t>Le 5 avril 2012</w:t>
            </w:r>
          </w:p>
          <w:p w:rsidR="005F26F2" w:rsidRPr="00354440" w:rsidRDefault="005F26F2" w:rsidP="005F26F2">
            <w:pPr>
              <w:jc w:val="both"/>
              <w:rPr>
                <w:rFonts w:eastAsia="Calibri"/>
                <w:sz w:val="20"/>
                <w:lang w:val="fr-CA"/>
              </w:rPr>
            </w:pPr>
            <w:r w:rsidRPr="00354440">
              <w:rPr>
                <w:rFonts w:eastAsia="Calibri"/>
                <w:sz w:val="20"/>
                <w:lang w:val="fr-CA"/>
              </w:rPr>
              <w:t>Cour d’appel du Québec (Montréal)</w:t>
            </w:r>
          </w:p>
          <w:p w:rsidR="005F26F2" w:rsidRPr="00354440" w:rsidRDefault="005F26F2" w:rsidP="005F26F2">
            <w:pPr>
              <w:jc w:val="both"/>
              <w:rPr>
                <w:rFonts w:eastAsia="Calibri"/>
                <w:sz w:val="20"/>
                <w:lang w:val="fr-CA"/>
              </w:rPr>
            </w:pPr>
            <w:r w:rsidRPr="00354440">
              <w:rPr>
                <w:rFonts w:eastAsia="Calibri"/>
                <w:sz w:val="20"/>
                <w:lang w:val="fr-CA"/>
              </w:rPr>
              <w:t>(Les juges Chamberland, Rochette et Dalphond [dissident])</w:t>
            </w:r>
          </w:p>
          <w:p w:rsidR="005F26F2" w:rsidRPr="00354440" w:rsidRDefault="005F26F2" w:rsidP="005F26F2">
            <w:pPr>
              <w:jc w:val="both"/>
              <w:rPr>
                <w:rFonts w:eastAsia="Calibri"/>
                <w:sz w:val="20"/>
                <w:lang w:val="fr-CA"/>
              </w:rPr>
            </w:pPr>
            <w:r w:rsidRPr="00354440">
              <w:rPr>
                <w:rFonts w:eastAsia="Calibri"/>
                <w:sz w:val="20"/>
                <w:lang w:val="fr-CA"/>
              </w:rPr>
              <w:t>2012 QCCA 635</w:t>
            </w:r>
          </w:p>
          <w:p w:rsidR="005F26F2" w:rsidRPr="00354440" w:rsidRDefault="005F26F2" w:rsidP="005F26F2">
            <w:pPr>
              <w:jc w:val="both"/>
              <w:rPr>
                <w:rFonts w:eastAsia="Calibri"/>
                <w:sz w:val="20"/>
                <w:lang w:val="fr-FR"/>
              </w:rPr>
            </w:pPr>
          </w:p>
        </w:tc>
        <w:tc>
          <w:tcPr>
            <w:tcW w:w="243" w:type="pct"/>
          </w:tcPr>
          <w:p w:rsidR="005F26F2" w:rsidRPr="00354440" w:rsidRDefault="005F26F2" w:rsidP="005F26F2">
            <w:pPr>
              <w:jc w:val="both"/>
              <w:rPr>
                <w:rFonts w:eastAsia="Calibri"/>
                <w:sz w:val="20"/>
                <w:lang w:val="fr-FR"/>
              </w:rPr>
            </w:pPr>
          </w:p>
        </w:tc>
        <w:tc>
          <w:tcPr>
            <w:tcW w:w="2330" w:type="pct"/>
          </w:tcPr>
          <w:p w:rsidR="005F26F2" w:rsidRPr="00354440" w:rsidRDefault="005F26F2" w:rsidP="005F26F2">
            <w:pPr>
              <w:jc w:val="both"/>
              <w:rPr>
                <w:rFonts w:eastAsia="Calibri"/>
                <w:sz w:val="20"/>
                <w:lang w:val="fr-CA"/>
              </w:rPr>
            </w:pPr>
            <w:r w:rsidRPr="00354440">
              <w:rPr>
                <w:rFonts w:eastAsia="Calibri"/>
                <w:sz w:val="20"/>
                <w:lang w:val="fr-CA"/>
              </w:rPr>
              <w:t>Requêtes pour proroger les délais d’appel, pour autorisation d’en appeler de 14 verdicts de culpabilité ayant été prononcés entre 1996 et 2005, et pour obtenir l’autorisation de présenter une nouvelle preuve, rejetées</w:t>
            </w:r>
          </w:p>
          <w:p w:rsidR="005F26F2" w:rsidRPr="00354440" w:rsidRDefault="005F26F2" w:rsidP="005F26F2">
            <w:pPr>
              <w:jc w:val="both"/>
              <w:rPr>
                <w:rFonts w:eastAsia="Calibri"/>
                <w:sz w:val="20"/>
                <w:lang w:val="fr-CA"/>
              </w:rPr>
            </w:pPr>
          </w:p>
        </w:tc>
      </w:tr>
      <w:tr w:rsidR="005F26F2" w:rsidRPr="00354440" w:rsidTr="005F26F2">
        <w:tc>
          <w:tcPr>
            <w:tcW w:w="2427" w:type="pct"/>
          </w:tcPr>
          <w:p w:rsidR="005F26F2" w:rsidRPr="00354440" w:rsidRDefault="005F26F2" w:rsidP="005F26F2">
            <w:pPr>
              <w:jc w:val="both"/>
              <w:rPr>
                <w:rFonts w:eastAsia="Calibri"/>
                <w:sz w:val="20"/>
                <w:lang w:val="fr-CA"/>
              </w:rPr>
            </w:pPr>
            <w:r w:rsidRPr="00354440">
              <w:rPr>
                <w:rFonts w:eastAsia="Calibri"/>
                <w:sz w:val="20"/>
                <w:lang w:val="fr-CA"/>
              </w:rPr>
              <w:t>Le 5 juin 2012</w:t>
            </w:r>
          </w:p>
          <w:p w:rsidR="005F26F2" w:rsidRPr="00354440" w:rsidRDefault="005F26F2" w:rsidP="005F26F2">
            <w:pPr>
              <w:jc w:val="both"/>
              <w:rPr>
                <w:rFonts w:eastAsia="Calibri"/>
                <w:sz w:val="20"/>
                <w:lang w:val="fr-CA"/>
              </w:rPr>
            </w:pPr>
            <w:r w:rsidRPr="00354440">
              <w:rPr>
                <w:rFonts w:eastAsia="Calibri"/>
                <w:sz w:val="20"/>
                <w:lang w:val="fr-CA"/>
              </w:rPr>
              <w:t>Cour suprême du Canada</w:t>
            </w:r>
          </w:p>
          <w:p w:rsidR="005F26F2" w:rsidRPr="00354440" w:rsidRDefault="005F26F2" w:rsidP="005F26F2">
            <w:pPr>
              <w:jc w:val="both"/>
              <w:rPr>
                <w:rFonts w:eastAsia="Calibri"/>
                <w:sz w:val="20"/>
                <w:lang w:val="fr-FR"/>
              </w:rPr>
            </w:pPr>
          </w:p>
        </w:tc>
        <w:tc>
          <w:tcPr>
            <w:tcW w:w="243" w:type="pct"/>
          </w:tcPr>
          <w:p w:rsidR="005F26F2" w:rsidRPr="00354440" w:rsidRDefault="005F26F2" w:rsidP="005F26F2">
            <w:pPr>
              <w:jc w:val="both"/>
              <w:rPr>
                <w:rFonts w:eastAsia="Calibri"/>
                <w:sz w:val="20"/>
                <w:lang w:val="fr-FR"/>
              </w:rPr>
            </w:pPr>
          </w:p>
        </w:tc>
        <w:tc>
          <w:tcPr>
            <w:tcW w:w="2330" w:type="pct"/>
          </w:tcPr>
          <w:p w:rsidR="005F26F2" w:rsidRPr="00354440" w:rsidRDefault="005F26F2" w:rsidP="005F26F2">
            <w:pPr>
              <w:jc w:val="both"/>
              <w:rPr>
                <w:rFonts w:eastAsia="Calibri"/>
                <w:sz w:val="20"/>
                <w:lang w:val="fr-CA"/>
              </w:rPr>
            </w:pPr>
            <w:r w:rsidRPr="00354440">
              <w:rPr>
                <w:rFonts w:eastAsia="Calibri"/>
                <w:sz w:val="20"/>
                <w:lang w:val="fr-CA"/>
              </w:rPr>
              <w:t>Demande d'autorisation d'appel déposée</w:t>
            </w:r>
          </w:p>
          <w:p w:rsidR="005F26F2" w:rsidRPr="00354440" w:rsidRDefault="005F26F2" w:rsidP="005F26F2">
            <w:pPr>
              <w:jc w:val="both"/>
              <w:rPr>
                <w:rFonts w:eastAsia="Calibri"/>
                <w:sz w:val="20"/>
                <w:lang w:val="fr-CA"/>
              </w:rPr>
            </w:pPr>
          </w:p>
        </w:tc>
      </w:tr>
      <w:tr w:rsidR="005F26F2" w:rsidRPr="001D43E1" w:rsidTr="005F26F2">
        <w:tc>
          <w:tcPr>
            <w:tcW w:w="2427" w:type="pct"/>
          </w:tcPr>
          <w:p w:rsidR="005F26F2" w:rsidRPr="00354440" w:rsidRDefault="005F26F2" w:rsidP="005F26F2">
            <w:pPr>
              <w:jc w:val="both"/>
              <w:rPr>
                <w:rFonts w:eastAsia="Calibri"/>
                <w:sz w:val="20"/>
                <w:lang w:val="fr-CA"/>
              </w:rPr>
            </w:pPr>
            <w:r w:rsidRPr="00354440">
              <w:rPr>
                <w:rFonts w:eastAsia="Calibri"/>
                <w:sz w:val="20"/>
                <w:lang w:val="fr-CA"/>
              </w:rPr>
              <w:t>Le 6 juin 2012</w:t>
            </w:r>
          </w:p>
          <w:p w:rsidR="005F26F2" w:rsidRPr="00354440" w:rsidRDefault="005F26F2" w:rsidP="005F26F2">
            <w:pPr>
              <w:jc w:val="both"/>
              <w:rPr>
                <w:rFonts w:eastAsia="Calibri"/>
                <w:sz w:val="20"/>
                <w:lang w:val="fr-CA"/>
              </w:rPr>
            </w:pPr>
            <w:r w:rsidRPr="00354440">
              <w:rPr>
                <w:rFonts w:eastAsia="Calibri"/>
                <w:sz w:val="20"/>
                <w:lang w:val="fr-CA"/>
              </w:rPr>
              <w:t>Cour suprême du Canada</w:t>
            </w:r>
          </w:p>
        </w:tc>
        <w:tc>
          <w:tcPr>
            <w:tcW w:w="243" w:type="pct"/>
          </w:tcPr>
          <w:p w:rsidR="005F26F2" w:rsidRPr="00354440" w:rsidRDefault="005F26F2" w:rsidP="005F26F2">
            <w:pPr>
              <w:jc w:val="both"/>
              <w:rPr>
                <w:rFonts w:eastAsia="Calibri"/>
                <w:sz w:val="20"/>
                <w:lang w:val="fr-CA"/>
              </w:rPr>
            </w:pPr>
          </w:p>
        </w:tc>
        <w:tc>
          <w:tcPr>
            <w:tcW w:w="2330" w:type="pct"/>
          </w:tcPr>
          <w:p w:rsidR="005F26F2" w:rsidRPr="00354440" w:rsidRDefault="005F26F2" w:rsidP="005F26F2">
            <w:pPr>
              <w:jc w:val="both"/>
              <w:rPr>
                <w:rFonts w:eastAsia="Calibri"/>
                <w:sz w:val="20"/>
                <w:lang w:val="fr-CA"/>
              </w:rPr>
            </w:pPr>
            <w:r w:rsidRPr="00354440">
              <w:rPr>
                <w:rFonts w:eastAsia="Calibri"/>
                <w:sz w:val="20"/>
                <w:lang w:val="fr-CA"/>
              </w:rPr>
              <w:t>Requête en prorogation de délai déposée</w:t>
            </w:r>
          </w:p>
        </w:tc>
      </w:tr>
    </w:tbl>
    <w:p w:rsidR="00441FC4" w:rsidRPr="005F26F2" w:rsidRDefault="00441FC4" w:rsidP="00441FC4">
      <w:pPr>
        <w:rPr>
          <w:sz w:val="20"/>
          <w:szCs w:val="20"/>
          <w:lang w:val="fr-CA"/>
        </w:rPr>
      </w:pPr>
    </w:p>
    <w:p w:rsidR="00441FC4" w:rsidRDefault="00DB239D" w:rsidP="00441FC4">
      <w:pPr>
        <w:rPr>
          <w:sz w:val="20"/>
          <w:szCs w:val="20"/>
          <w:lang w:val="fr-CA"/>
        </w:rPr>
      </w:pPr>
      <w:r w:rsidRPr="00DB239D">
        <w:rPr>
          <w:sz w:val="20"/>
          <w:szCs w:val="20"/>
          <w:lang w:val="fr-CA"/>
        </w:rPr>
        <w:pict>
          <v:rect id="_x0000_i1065"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6C8B" w:rsidRPr="00ED4B6E" w:rsidTr="00066741">
        <w:trPr>
          <w:cantSplit/>
        </w:trPr>
        <w:tc>
          <w:tcPr>
            <w:tcW w:w="1458" w:type="dxa"/>
          </w:tcPr>
          <w:p w:rsidR="00146C8B" w:rsidRPr="00ED4B6E" w:rsidRDefault="00146C8B" w:rsidP="00066741">
            <w:pPr>
              <w:rPr>
                <w:sz w:val="20"/>
                <w:szCs w:val="20"/>
              </w:rPr>
            </w:pPr>
            <w:r w:rsidRPr="00ED4B6E">
              <w:rPr>
                <w:rStyle w:val="SCCFileNumberChar"/>
                <w:sz w:val="20"/>
                <w:szCs w:val="20"/>
              </w:rPr>
              <w:t>34879</w:t>
            </w:r>
          </w:p>
          <w:p w:rsidR="00146C8B" w:rsidRPr="00ED4B6E" w:rsidRDefault="00146C8B" w:rsidP="00066741">
            <w:pPr>
              <w:rPr>
                <w:b/>
                <w:sz w:val="20"/>
                <w:szCs w:val="20"/>
                <w:lang w:val="fr-CA"/>
              </w:rPr>
            </w:pPr>
          </w:p>
        </w:tc>
        <w:tc>
          <w:tcPr>
            <w:tcW w:w="8118" w:type="dxa"/>
          </w:tcPr>
          <w:p w:rsidR="00146C8B" w:rsidRPr="00ED4B6E" w:rsidRDefault="00146C8B" w:rsidP="00066741">
            <w:pPr>
              <w:jc w:val="both"/>
              <w:rPr>
                <w:sz w:val="20"/>
                <w:szCs w:val="20"/>
              </w:rPr>
            </w:pPr>
            <w:r w:rsidRPr="00146C8B">
              <w:rPr>
                <w:rStyle w:val="SCCLsocChar"/>
                <w:sz w:val="20"/>
                <w:szCs w:val="20"/>
                <w:lang w:val="en-CA"/>
              </w:rPr>
              <w:t>Trevor Nicholas Construction Co. Limited v. Her Majesty the Queen AND BETWEEN Trevor Nicholas Construction Co. Limited v. Her Majesty the Queen as represented by the Minister for Public Works Canada</w:t>
            </w:r>
            <w:r w:rsidRPr="00ED4B6E">
              <w:rPr>
                <w:sz w:val="20"/>
                <w:szCs w:val="20"/>
              </w:rPr>
              <w:t xml:space="preserve"> (F</w:t>
            </w:r>
            <w:r w:rsidR="00491F37">
              <w:rPr>
                <w:sz w:val="20"/>
                <w:szCs w:val="20"/>
              </w:rPr>
              <w:t>.</w:t>
            </w:r>
            <w:r w:rsidRPr="00ED4B6E">
              <w:rPr>
                <w:sz w:val="20"/>
                <w:szCs w:val="20"/>
              </w:rPr>
              <w:t>C</w:t>
            </w:r>
            <w:r w:rsidR="00491F37">
              <w:rPr>
                <w:sz w:val="20"/>
                <w:szCs w:val="20"/>
              </w:rPr>
              <w:t>.</w:t>
            </w:r>
            <w:r w:rsidRPr="00ED4B6E">
              <w:rPr>
                <w:sz w:val="20"/>
                <w:szCs w:val="20"/>
              </w:rPr>
              <w:t>) (Civil) (By Leave)</w:t>
            </w:r>
          </w:p>
          <w:p w:rsidR="00146C8B" w:rsidRPr="00ED4B6E" w:rsidRDefault="00146C8B" w:rsidP="00066741">
            <w:pPr>
              <w:jc w:val="both"/>
              <w:rPr>
                <w:sz w:val="20"/>
                <w:szCs w:val="20"/>
              </w:rPr>
            </w:pPr>
          </w:p>
        </w:tc>
      </w:tr>
      <w:tr w:rsidR="00146C8B" w:rsidRPr="00ED4B6E" w:rsidTr="00066741">
        <w:trPr>
          <w:cantSplit/>
        </w:trPr>
        <w:tc>
          <w:tcPr>
            <w:tcW w:w="1458" w:type="dxa"/>
          </w:tcPr>
          <w:p w:rsidR="00146C8B" w:rsidRPr="00ED4B6E" w:rsidRDefault="00146C8B" w:rsidP="00066741">
            <w:pPr>
              <w:rPr>
                <w:sz w:val="20"/>
                <w:szCs w:val="20"/>
              </w:rPr>
            </w:pPr>
            <w:r w:rsidRPr="00ED4B6E">
              <w:rPr>
                <w:sz w:val="20"/>
                <w:szCs w:val="20"/>
              </w:rPr>
              <w:t>Coram :</w:t>
            </w:r>
          </w:p>
        </w:tc>
        <w:tc>
          <w:tcPr>
            <w:tcW w:w="8118" w:type="dxa"/>
          </w:tcPr>
          <w:p w:rsidR="00146C8B" w:rsidRPr="00ED4B6E" w:rsidRDefault="00146C8B" w:rsidP="00066741">
            <w:pPr>
              <w:rPr>
                <w:sz w:val="20"/>
                <w:szCs w:val="20"/>
              </w:rPr>
            </w:pPr>
            <w:r w:rsidRPr="00146C8B">
              <w:rPr>
                <w:rStyle w:val="SCCCoramChar"/>
                <w:sz w:val="20"/>
                <w:szCs w:val="20"/>
                <w:lang w:val="en-CA"/>
              </w:rPr>
              <w:t>Fish, Rothstein and Karakatsanis JJ.</w:t>
            </w:r>
          </w:p>
          <w:p w:rsidR="00146C8B" w:rsidRPr="00ED4B6E" w:rsidRDefault="00146C8B" w:rsidP="00066741">
            <w:pPr>
              <w:rPr>
                <w:sz w:val="20"/>
                <w:szCs w:val="20"/>
                <w:u w:val="single"/>
              </w:rPr>
            </w:pPr>
          </w:p>
        </w:tc>
      </w:tr>
      <w:tr w:rsidR="00146C8B" w:rsidRPr="001D43E1" w:rsidTr="00066741">
        <w:trPr>
          <w:cantSplit/>
        </w:trPr>
        <w:tc>
          <w:tcPr>
            <w:tcW w:w="9576" w:type="dxa"/>
            <w:gridSpan w:val="2"/>
          </w:tcPr>
          <w:p w:rsidR="00146C8B" w:rsidRPr="00ED4B6E" w:rsidRDefault="00146C8B" w:rsidP="00066741">
            <w:pPr>
              <w:pStyle w:val="SCCShortJudgment"/>
              <w:rPr>
                <w:szCs w:val="20"/>
              </w:rPr>
            </w:pPr>
            <w:r w:rsidRPr="00ED4B6E">
              <w:rPr>
                <w:szCs w:val="20"/>
              </w:rPr>
              <w:t>The Applicant’s motion to join two orders into one application is granted.  The application for leave to appeal from the judgments of the Federal Court of Appeal, Numbers A-69-11 and A-375-11, 2012 FCA 110 and 2012 FCA 111, dated April 11, 2012, is dismissed with costs.</w:t>
            </w:r>
          </w:p>
          <w:p w:rsidR="00146C8B" w:rsidRPr="00ED4B6E" w:rsidRDefault="00146C8B" w:rsidP="00066741">
            <w:pPr>
              <w:pStyle w:val="SCCShortJudgment"/>
              <w:ind w:firstLine="0"/>
              <w:rPr>
                <w:szCs w:val="20"/>
              </w:rPr>
            </w:pPr>
          </w:p>
          <w:p w:rsidR="00146C8B" w:rsidRPr="00ED4B6E" w:rsidRDefault="00146C8B" w:rsidP="00066741">
            <w:pPr>
              <w:pStyle w:val="SCCShortJudgment"/>
              <w:rPr>
                <w:szCs w:val="20"/>
                <w:lang w:val="fr-CA"/>
              </w:rPr>
            </w:pPr>
            <w:r w:rsidRPr="00ED4B6E">
              <w:rPr>
                <w:szCs w:val="20"/>
                <w:lang w:val="fr-CA"/>
              </w:rPr>
              <w:t>La requête de la demanderesse afin de joindre deux ordonnances dans une demande est accordée.  La demande d’autorisation d’appel des arrêts de la Cour d’appel fédérale, numéros A-69-11 et A-375-11, 2012 CAF 110 et 2012 CAF 111, datés du 11 avril 2012, est rejetée avec dépens.</w:t>
            </w:r>
          </w:p>
        </w:tc>
      </w:tr>
    </w:tbl>
    <w:p w:rsidR="00441FC4" w:rsidRPr="00146C8B"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6F2" w:rsidRPr="00354440" w:rsidTr="005F26F2">
        <w:tc>
          <w:tcPr>
            <w:tcW w:w="5000" w:type="pct"/>
            <w:gridSpan w:val="3"/>
          </w:tcPr>
          <w:p w:rsidR="005F26F2" w:rsidRPr="00354440" w:rsidRDefault="005F26F2" w:rsidP="005F26F2">
            <w:pPr>
              <w:jc w:val="both"/>
              <w:rPr>
                <w:rFonts w:eastAsia="Calibri"/>
                <w:sz w:val="20"/>
              </w:rPr>
            </w:pPr>
            <w:r w:rsidRPr="00354440">
              <w:rPr>
                <w:rFonts w:eastAsia="Calibri"/>
                <w:sz w:val="20"/>
              </w:rPr>
              <w:t xml:space="preserve">Judgments and orders — Summary judgment — Motions judge granting respondent’s motion for summary judgment — Whether the Federal Court of Appeal erred in law and on the evidence by affirming the motion judge’s adverse findings against the applicant — Whether respondent lacked status to bring second motion for summary judgment — Whether Federal Court of Appeal erred in failing to treat the order as a final order that was binding on the parties, and which triggered the doctrine of </w:t>
            </w:r>
            <w:r w:rsidRPr="00354440">
              <w:rPr>
                <w:rFonts w:eastAsia="Calibri"/>
                <w:i/>
                <w:sz w:val="20"/>
              </w:rPr>
              <w:t xml:space="preserve">res judicata </w:t>
            </w:r>
            <w:r w:rsidRPr="00354440">
              <w:rPr>
                <w:rFonts w:eastAsia="Calibri"/>
                <w:sz w:val="20"/>
              </w:rPr>
              <w:t>— Whether the Federal Court of Appeal erred in law</w:t>
            </w:r>
          </w:p>
        </w:tc>
      </w:tr>
      <w:tr w:rsidR="005F26F2" w:rsidRPr="00354440" w:rsidTr="005F26F2">
        <w:tc>
          <w:tcPr>
            <w:tcW w:w="5000" w:type="pct"/>
            <w:gridSpan w:val="3"/>
          </w:tcPr>
          <w:p w:rsidR="005F26F2" w:rsidRPr="00354440" w:rsidRDefault="005F26F2" w:rsidP="005F26F2">
            <w:pPr>
              <w:jc w:val="both"/>
              <w:rPr>
                <w:rFonts w:eastAsia="Calibri"/>
                <w:sz w:val="20"/>
              </w:rPr>
            </w:pPr>
          </w:p>
        </w:tc>
      </w:tr>
      <w:tr w:rsidR="005F26F2" w:rsidRPr="00354440" w:rsidTr="005F26F2">
        <w:tc>
          <w:tcPr>
            <w:tcW w:w="5000" w:type="pct"/>
            <w:gridSpan w:val="3"/>
          </w:tcPr>
          <w:p w:rsidR="005F26F2" w:rsidRPr="00354440" w:rsidRDefault="005F26F2" w:rsidP="005F26F2">
            <w:pPr>
              <w:jc w:val="both"/>
              <w:rPr>
                <w:rFonts w:eastAsia="Calibri"/>
                <w:color w:val="000000"/>
                <w:sz w:val="20"/>
              </w:rPr>
            </w:pPr>
            <w:r w:rsidRPr="00354440">
              <w:rPr>
                <w:rFonts w:eastAsia="Calibri"/>
                <w:color w:val="000000"/>
                <w:sz w:val="20"/>
              </w:rPr>
              <w:t xml:space="preserve">Between 1989 and 1993, the applicant submitted the lowest bids in response to five invitations to tender that were advertised by Public Works Canada.  The applicant was advised regarding its first two </w:t>
            </w:r>
            <w:proofErr w:type="gramStart"/>
            <w:r w:rsidRPr="00354440">
              <w:rPr>
                <w:rFonts w:eastAsia="Calibri"/>
                <w:color w:val="000000"/>
                <w:sz w:val="20"/>
              </w:rPr>
              <w:t>tenders, that</w:t>
            </w:r>
            <w:proofErr w:type="gramEnd"/>
            <w:r w:rsidRPr="00354440">
              <w:rPr>
                <w:rFonts w:eastAsia="Calibri"/>
                <w:color w:val="000000"/>
                <w:sz w:val="20"/>
              </w:rPr>
              <w:t xml:space="preserve"> it had been by</w:t>
            </w:r>
            <w:r w:rsidRPr="00354440">
              <w:rPr>
                <w:rFonts w:eastAsia="Calibri"/>
                <w:color w:val="000000"/>
                <w:sz w:val="20"/>
              </w:rPr>
              <w:noBreakHyphen/>
              <w:t>passed in favour of the second</w:t>
            </w:r>
            <w:r w:rsidRPr="00354440">
              <w:rPr>
                <w:rFonts w:eastAsia="Calibri"/>
                <w:color w:val="000000"/>
                <w:sz w:val="20"/>
              </w:rPr>
              <w:noBreakHyphen/>
              <w:t>lowest bidder, based on its previous unsatisfactory work.  Its subsequent three bids were also by</w:t>
            </w:r>
            <w:r w:rsidRPr="00354440">
              <w:rPr>
                <w:rFonts w:eastAsia="Calibri"/>
                <w:color w:val="000000"/>
                <w:sz w:val="20"/>
              </w:rPr>
              <w:noBreakHyphen/>
              <w:t>passed.  In 1995, the applicant sued the Crown in respect of the first four tenders, alleging that it had been treated unfairly and that the Crown had breached an implied term to award the contract to the lowest bidder.  In 2001, the Federal Court granted the Crown an order for summary judgment, dismissing the applicant’s claim for damages for breach implied contractual terms.  The Federal Court further ordered that the matter would to proceed to trial on the issue of whether there was an implied obligation of fairness, and whether such obligation was breached.  The Crown brought a subsequent motion for summary judgment.</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January 20, 2011</w:t>
            </w:r>
          </w:p>
          <w:p w:rsidR="005F26F2" w:rsidRPr="00354440" w:rsidRDefault="005F26F2" w:rsidP="005F26F2">
            <w:pPr>
              <w:jc w:val="both"/>
              <w:rPr>
                <w:rFonts w:eastAsia="Calibri"/>
                <w:sz w:val="20"/>
              </w:rPr>
            </w:pPr>
            <w:r w:rsidRPr="00354440">
              <w:rPr>
                <w:rFonts w:eastAsia="Calibri"/>
                <w:sz w:val="20"/>
              </w:rPr>
              <w:t>Federal Court</w:t>
            </w:r>
          </w:p>
          <w:p w:rsidR="005F26F2" w:rsidRPr="00354440" w:rsidRDefault="005F26F2" w:rsidP="005F26F2">
            <w:pPr>
              <w:jc w:val="both"/>
              <w:rPr>
                <w:rFonts w:eastAsia="Calibri"/>
                <w:sz w:val="20"/>
              </w:rPr>
            </w:pPr>
            <w:r w:rsidRPr="00354440">
              <w:rPr>
                <w:rFonts w:eastAsia="Calibri"/>
                <w:sz w:val="20"/>
              </w:rPr>
              <w:t>(Crampton J.)</w:t>
            </w:r>
          </w:p>
          <w:p w:rsidR="005F26F2" w:rsidRPr="00354440" w:rsidRDefault="005F26F2" w:rsidP="005F26F2">
            <w:pPr>
              <w:jc w:val="both"/>
              <w:rPr>
                <w:rFonts w:eastAsia="Calibri"/>
                <w:sz w:val="20"/>
              </w:rPr>
            </w:pPr>
            <w:r w:rsidRPr="00354440">
              <w:rPr>
                <w:rFonts w:eastAsia="Calibri"/>
                <w:sz w:val="20"/>
              </w:rPr>
              <w:t>2011 FC 70</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Respondent’s motion for summary judgment granted; Remaining portion of applicant’s action dismissed</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April 11, 2012</w:t>
            </w:r>
          </w:p>
          <w:p w:rsidR="005F26F2" w:rsidRPr="00354440" w:rsidRDefault="005F26F2" w:rsidP="005F26F2">
            <w:pPr>
              <w:jc w:val="both"/>
              <w:rPr>
                <w:rFonts w:eastAsia="Calibri"/>
                <w:sz w:val="20"/>
              </w:rPr>
            </w:pPr>
            <w:r w:rsidRPr="00354440">
              <w:rPr>
                <w:rFonts w:eastAsia="Calibri"/>
                <w:sz w:val="20"/>
              </w:rPr>
              <w:t>Federal Court of Appeal</w:t>
            </w:r>
          </w:p>
          <w:p w:rsidR="005F26F2" w:rsidRPr="00354440" w:rsidRDefault="005F26F2" w:rsidP="005F26F2">
            <w:pPr>
              <w:jc w:val="both"/>
              <w:rPr>
                <w:rFonts w:eastAsia="Calibri"/>
                <w:sz w:val="20"/>
              </w:rPr>
            </w:pPr>
            <w:r w:rsidRPr="00354440">
              <w:rPr>
                <w:rFonts w:eastAsia="Calibri"/>
                <w:sz w:val="20"/>
              </w:rPr>
              <w:t>(Evans, Sharlow and Dawson JJ.A.)</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Applicant’s appeal dismissed</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June 7, 2012</w:t>
            </w:r>
          </w:p>
          <w:p w:rsidR="005F26F2" w:rsidRPr="00354440" w:rsidRDefault="005F26F2" w:rsidP="005F26F2">
            <w:pPr>
              <w:jc w:val="both"/>
              <w:rPr>
                <w:rFonts w:eastAsia="Calibri"/>
                <w:sz w:val="20"/>
              </w:rPr>
            </w:pPr>
            <w:r w:rsidRPr="00354440">
              <w:rPr>
                <w:rFonts w:eastAsia="Calibri"/>
                <w:sz w:val="20"/>
              </w:rPr>
              <w:t>Supreme Court of Canada</w:t>
            </w: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Application for leave to appeal filed</w:t>
            </w:r>
          </w:p>
          <w:p w:rsidR="005F26F2" w:rsidRPr="00354440" w:rsidRDefault="005F26F2" w:rsidP="005F26F2">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66"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F26F2" w:rsidRPr="001D43E1" w:rsidTr="005F26F2">
        <w:tc>
          <w:tcPr>
            <w:tcW w:w="5000" w:type="pct"/>
            <w:gridSpan w:val="3"/>
          </w:tcPr>
          <w:p w:rsidR="005F26F2" w:rsidRPr="00354440" w:rsidRDefault="005F26F2" w:rsidP="005F26F2">
            <w:pPr>
              <w:jc w:val="both"/>
              <w:rPr>
                <w:rFonts w:eastAsia="Calibri"/>
                <w:sz w:val="20"/>
                <w:lang w:val="fr-CA"/>
              </w:rPr>
            </w:pPr>
            <w:r w:rsidRPr="00354440">
              <w:rPr>
                <w:rFonts w:eastAsia="Calibri"/>
                <w:sz w:val="20"/>
                <w:lang w:val="fr-CA"/>
              </w:rPr>
              <w:t>Jugements et ordonnances — Jugement sommaire — Le juge de première instance a accueilli la requête de l'intimée en jugement sommaire — La Cour d'appel fédérale a</w:t>
            </w:r>
            <w:r w:rsidRPr="00354440">
              <w:rPr>
                <w:rFonts w:eastAsia="Calibri"/>
                <w:sz w:val="20"/>
                <w:lang w:val="fr-CA"/>
              </w:rPr>
              <w:noBreakHyphen/>
              <w:t>t</w:t>
            </w:r>
            <w:r w:rsidRPr="00354440">
              <w:rPr>
                <w:rFonts w:eastAsia="Calibri"/>
                <w:sz w:val="20"/>
                <w:lang w:val="fr-CA"/>
              </w:rPr>
              <w:noBreakHyphen/>
              <w:t>elle commis une erreur de droit et une erreur dans son appréciation de la preuve en confirmant la décision du juge de première instance, défavorable au demandeur? — Manquait</w:t>
            </w:r>
            <w:r w:rsidRPr="00354440">
              <w:rPr>
                <w:rFonts w:eastAsia="Calibri"/>
                <w:sz w:val="20"/>
                <w:lang w:val="fr-CA"/>
              </w:rPr>
              <w:noBreakHyphen/>
              <w:t>il à l'intimée la qualité pour présenter une deuxième requête en jugement sommaire? — La Cour d'appel fédérale a</w:t>
            </w:r>
            <w:r w:rsidRPr="00354440">
              <w:rPr>
                <w:rFonts w:eastAsia="Calibri"/>
                <w:sz w:val="20"/>
                <w:lang w:val="fr-CA"/>
              </w:rPr>
              <w:noBreakHyphen/>
              <w:t>t</w:t>
            </w:r>
            <w:r w:rsidRPr="00354440">
              <w:rPr>
                <w:rFonts w:eastAsia="Calibri"/>
                <w:sz w:val="20"/>
                <w:lang w:val="fr-CA"/>
              </w:rPr>
              <w:noBreakHyphen/>
              <w:t>elle eu tort de traiter l'ordonnance comme une ordonnance définitive qui liait les parties et qui rendait applicable la doctrine de la chose jugée? — La Cour d'appel fédérale a</w:t>
            </w:r>
            <w:r w:rsidRPr="00354440">
              <w:rPr>
                <w:rFonts w:eastAsia="Calibri"/>
                <w:sz w:val="20"/>
                <w:lang w:val="fr-CA"/>
              </w:rPr>
              <w:noBreakHyphen/>
              <w:t>t</w:t>
            </w:r>
            <w:r w:rsidRPr="00354440">
              <w:rPr>
                <w:rFonts w:eastAsia="Calibri"/>
                <w:sz w:val="20"/>
                <w:lang w:val="fr-CA"/>
              </w:rPr>
              <w:noBreakHyphen/>
              <w:t>elle commis une erreur de droit?</w:t>
            </w:r>
          </w:p>
        </w:tc>
      </w:tr>
      <w:tr w:rsidR="005F26F2" w:rsidRPr="001D43E1" w:rsidTr="005F26F2">
        <w:tc>
          <w:tcPr>
            <w:tcW w:w="5000" w:type="pct"/>
            <w:gridSpan w:val="3"/>
          </w:tcPr>
          <w:p w:rsidR="005F26F2" w:rsidRPr="00354440" w:rsidRDefault="005F26F2" w:rsidP="005F26F2">
            <w:pPr>
              <w:jc w:val="both"/>
              <w:rPr>
                <w:rFonts w:eastAsia="Calibri"/>
                <w:sz w:val="20"/>
                <w:lang w:val="fr-CA"/>
              </w:rPr>
            </w:pPr>
          </w:p>
        </w:tc>
      </w:tr>
      <w:tr w:rsidR="005F26F2" w:rsidRPr="001D43E1" w:rsidTr="005F26F2">
        <w:tc>
          <w:tcPr>
            <w:tcW w:w="5000" w:type="pct"/>
            <w:gridSpan w:val="3"/>
          </w:tcPr>
          <w:p w:rsidR="005F26F2" w:rsidRPr="00354440" w:rsidRDefault="005F26F2" w:rsidP="005F26F2">
            <w:pPr>
              <w:jc w:val="both"/>
              <w:rPr>
                <w:rFonts w:eastAsia="Calibri"/>
                <w:color w:val="000000"/>
                <w:sz w:val="20"/>
                <w:lang w:val="fr-CA"/>
              </w:rPr>
            </w:pPr>
            <w:r w:rsidRPr="00354440">
              <w:rPr>
                <w:rFonts w:eastAsia="Calibri"/>
                <w:color w:val="000000"/>
                <w:sz w:val="20"/>
                <w:lang w:val="fr-CA"/>
              </w:rPr>
              <w:t>Entre 1989 et 1993, la demanderesse a présenté les soumissions les plus basses en réponse à cinq appels d’offres que le ministère des Travaux publics du Canada avait annoncés.  Relativement à ses deux premières soumissions, la demanderesse a été informée qu’elle avait été exclue en faveur du deuxième plus bas soumissionnaire en raison de travaux insatisfaisants qu’elle avait exécutés auparavant.  Ses trois soumissions subséquentes ont également été exclues.  En 1995, la demanderesse a poursuivi la Couronne concernant les quatre premières soumissions, alléguant qu'elle avait été traitée de manière inéquitable et que la Couronne avait manqué à une clause implicite, c'est</w:t>
            </w:r>
            <w:r w:rsidRPr="00354440">
              <w:rPr>
                <w:rFonts w:eastAsia="Calibri"/>
                <w:color w:val="000000"/>
                <w:sz w:val="20"/>
                <w:lang w:val="fr-CA"/>
              </w:rPr>
              <w:noBreakHyphen/>
              <w:t>à</w:t>
            </w:r>
            <w:r w:rsidRPr="00354440">
              <w:rPr>
                <w:rFonts w:eastAsia="Calibri"/>
                <w:color w:val="000000"/>
                <w:sz w:val="20"/>
                <w:lang w:val="fr-CA"/>
              </w:rPr>
              <w:noBreakHyphen/>
              <w:t>dire adjuger le marché au plus bas soumissionnaire.  En 2001, la Cour fédérale a rendu en faveur de la Couronne une ordonnance de jugement sommaire, rejetant l'action en dommages</w:t>
            </w:r>
            <w:r w:rsidRPr="00354440">
              <w:rPr>
                <w:rFonts w:eastAsia="Calibri"/>
                <w:color w:val="000000"/>
                <w:sz w:val="20"/>
                <w:lang w:val="fr-CA"/>
              </w:rPr>
              <w:noBreakHyphen/>
              <w:t>intérêts de la demanderesse pour manquement à des conditions contractuelles implicites.  La Cour fédérale a en outre ordonné que l'affaire soit renvoyée à procès pour qu'il soit statué sur les questions de savoir s'il y avait une obligation implicite de traiter la demanderesse équitablement, et dans l'affirmative, s'il y a eu manquement à cette obligation.  La Couronne a présenté une requête subséquente en jugement sommaire.</w:t>
            </w:r>
          </w:p>
          <w:p w:rsidR="005F26F2" w:rsidRPr="00354440" w:rsidRDefault="005F26F2" w:rsidP="005F26F2">
            <w:pPr>
              <w:jc w:val="both"/>
              <w:rPr>
                <w:rFonts w:eastAsia="Calibri"/>
                <w:sz w:val="20"/>
                <w:lang w:val="fr-CA"/>
              </w:rPr>
            </w:pPr>
          </w:p>
        </w:tc>
      </w:tr>
      <w:tr w:rsidR="005F26F2" w:rsidRPr="001D43E1" w:rsidTr="005F26F2">
        <w:tc>
          <w:tcPr>
            <w:tcW w:w="2427" w:type="pct"/>
          </w:tcPr>
          <w:p w:rsidR="005F26F2" w:rsidRPr="00354440" w:rsidRDefault="005F26F2" w:rsidP="005F26F2">
            <w:pPr>
              <w:jc w:val="both"/>
              <w:rPr>
                <w:rFonts w:eastAsia="Calibri"/>
                <w:sz w:val="20"/>
                <w:lang w:val="fr-CA"/>
              </w:rPr>
            </w:pPr>
            <w:r w:rsidRPr="00354440">
              <w:rPr>
                <w:rFonts w:eastAsia="Calibri"/>
                <w:sz w:val="20"/>
                <w:lang w:val="fr-CA"/>
              </w:rPr>
              <w:t>20 janvier 2011</w:t>
            </w:r>
          </w:p>
          <w:p w:rsidR="005F26F2" w:rsidRPr="00354440" w:rsidRDefault="005F26F2" w:rsidP="005F26F2">
            <w:pPr>
              <w:jc w:val="both"/>
              <w:rPr>
                <w:rFonts w:eastAsia="Calibri"/>
                <w:sz w:val="20"/>
                <w:lang w:val="fr-CA"/>
              </w:rPr>
            </w:pPr>
            <w:r w:rsidRPr="00354440">
              <w:rPr>
                <w:rFonts w:eastAsia="Calibri"/>
                <w:sz w:val="20"/>
                <w:lang w:val="fr-CA"/>
              </w:rPr>
              <w:t xml:space="preserve">Cour fédérale </w:t>
            </w:r>
          </w:p>
          <w:p w:rsidR="005F26F2" w:rsidRPr="00354440" w:rsidRDefault="005F26F2" w:rsidP="005F26F2">
            <w:pPr>
              <w:jc w:val="both"/>
              <w:rPr>
                <w:rFonts w:eastAsia="Calibri"/>
                <w:sz w:val="20"/>
                <w:lang w:val="fr-CA"/>
              </w:rPr>
            </w:pPr>
            <w:r w:rsidRPr="00354440">
              <w:rPr>
                <w:rFonts w:eastAsia="Calibri"/>
                <w:sz w:val="20"/>
                <w:lang w:val="fr-CA"/>
              </w:rPr>
              <w:t>(Juge Crampton)</w:t>
            </w:r>
          </w:p>
          <w:p w:rsidR="005F26F2" w:rsidRPr="00354440" w:rsidRDefault="005F26F2" w:rsidP="005F26F2">
            <w:pPr>
              <w:jc w:val="both"/>
              <w:rPr>
                <w:rFonts w:eastAsia="Calibri"/>
                <w:sz w:val="20"/>
                <w:lang w:val="fr-CA"/>
              </w:rPr>
            </w:pPr>
            <w:r w:rsidRPr="00354440">
              <w:rPr>
                <w:rFonts w:eastAsia="Calibri"/>
                <w:sz w:val="20"/>
                <w:lang w:val="fr-CA"/>
              </w:rPr>
              <w:t>2011 FC 70</w:t>
            </w:r>
          </w:p>
          <w:p w:rsidR="005F26F2" w:rsidRPr="00354440" w:rsidRDefault="005F26F2" w:rsidP="005F26F2">
            <w:pPr>
              <w:jc w:val="both"/>
              <w:rPr>
                <w:rFonts w:eastAsia="Calibri"/>
                <w:sz w:val="20"/>
                <w:lang w:val="fr-CA"/>
              </w:rPr>
            </w:pPr>
          </w:p>
        </w:tc>
        <w:tc>
          <w:tcPr>
            <w:tcW w:w="243" w:type="pct"/>
          </w:tcPr>
          <w:p w:rsidR="005F26F2" w:rsidRPr="00354440" w:rsidRDefault="005F26F2" w:rsidP="005F26F2">
            <w:pPr>
              <w:jc w:val="both"/>
              <w:rPr>
                <w:rFonts w:eastAsia="Calibri"/>
                <w:sz w:val="20"/>
                <w:lang w:val="fr-CA"/>
              </w:rPr>
            </w:pPr>
          </w:p>
        </w:tc>
        <w:tc>
          <w:tcPr>
            <w:tcW w:w="2330" w:type="pct"/>
          </w:tcPr>
          <w:p w:rsidR="005F26F2" w:rsidRPr="00354440" w:rsidRDefault="005F26F2" w:rsidP="005F26F2">
            <w:pPr>
              <w:jc w:val="both"/>
              <w:rPr>
                <w:rFonts w:eastAsia="Calibri"/>
                <w:sz w:val="20"/>
                <w:lang w:val="fr-CA"/>
              </w:rPr>
            </w:pPr>
            <w:r w:rsidRPr="00354440">
              <w:rPr>
                <w:rFonts w:eastAsia="Calibri"/>
                <w:sz w:val="20"/>
                <w:lang w:val="fr-CA"/>
              </w:rPr>
              <w:t>Requête de l'intimée en jugement sommaire, accueillie; pour le reste, l'action de la demanderesse est rejetée</w:t>
            </w:r>
          </w:p>
          <w:p w:rsidR="005F26F2" w:rsidRPr="00354440" w:rsidRDefault="005F26F2" w:rsidP="005F26F2">
            <w:pPr>
              <w:jc w:val="both"/>
              <w:rPr>
                <w:rFonts w:eastAsia="Calibri"/>
                <w:sz w:val="20"/>
                <w:lang w:val="fr-CA"/>
              </w:rPr>
            </w:pPr>
          </w:p>
        </w:tc>
      </w:tr>
      <w:tr w:rsidR="005F26F2" w:rsidRPr="00354440" w:rsidTr="005F26F2">
        <w:tc>
          <w:tcPr>
            <w:tcW w:w="2427" w:type="pct"/>
          </w:tcPr>
          <w:p w:rsidR="005F26F2" w:rsidRPr="00354440" w:rsidRDefault="005F26F2" w:rsidP="005F26F2">
            <w:pPr>
              <w:jc w:val="both"/>
              <w:rPr>
                <w:rFonts w:eastAsia="Calibri"/>
                <w:sz w:val="20"/>
                <w:lang w:val="fr-CA"/>
              </w:rPr>
            </w:pPr>
            <w:r w:rsidRPr="00354440">
              <w:rPr>
                <w:rFonts w:eastAsia="Calibri"/>
                <w:sz w:val="20"/>
                <w:lang w:val="fr-CA"/>
              </w:rPr>
              <w:t>11 avril 2012</w:t>
            </w:r>
          </w:p>
          <w:p w:rsidR="005F26F2" w:rsidRPr="00354440" w:rsidRDefault="005F26F2" w:rsidP="005F26F2">
            <w:pPr>
              <w:jc w:val="both"/>
              <w:rPr>
                <w:rFonts w:eastAsia="Calibri"/>
                <w:sz w:val="20"/>
                <w:lang w:val="fr-CA"/>
              </w:rPr>
            </w:pPr>
            <w:r w:rsidRPr="00354440">
              <w:rPr>
                <w:rFonts w:eastAsia="Calibri"/>
                <w:sz w:val="20"/>
                <w:lang w:val="fr-CA"/>
              </w:rPr>
              <w:t xml:space="preserve">Cour d'appel fédérale </w:t>
            </w:r>
          </w:p>
          <w:p w:rsidR="005F26F2" w:rsidRPr="00354440" w:rsidRDefault="005F26F2" w:rsidP="005F26F2">
            <w:pPr>
              <w:jc w:val="both"/>
              <w:rPr>
                <w:rFonts w:eastAsia="Calibri"/>
                <w:sz w:val="20"/>
                <w:lang w:val="fr-CA"/>
              </w:rPr>
            </w:pPr>
            <w:r w:rsidRPr="00354440">
              <w:rPr>
                <w:rFonts w:eastAsia="Calibri"/>
                <w:sz w:val="20"/>
                <w:lang w:val="fr-CA"/>
              </w:rPr>
              <w:t>(Juges Evans, Sharlow et Dawson)</w:t>
            </w:r>
          </w:p>
          <w:p w:rsidR="005F26F2" w:rsidRPr="00354440" w:rsidRDefault="005F26F2" w:rsidP="005F26F2">
            <w:pPr>
              <w:jc w:val="both"/>
              <w:rPr>
                <w:rFonts w:eastAsia="Calibri"/>
                <w:sz w:val="20"/>
                <w:lang w:val="fr-CA"/>
              </w:rPr>
            </w:pPr>
          </w:p>
        </w:tc>
        <w:tc>
          <w:tcPr>
            <w:tcW w:w="243" w:type="pct"/>
          </w:tcPr>
          <w:p w:rsidR="005F26F2" w:rsidRPr="00354440" w:rsidRDefault="005F26F2" w:rsidP="005F26F2">
            <w:pPr>
              <w:jc w:val="both"/>
              <w:rPr>
                <w:rFonts w:eastAsia="Calibri"/>
                <w:sz w:val="20"/>
                <w:lang w:val="fr-CA"/>
              </w:rPr>
            </w:pPr>
          </w:p>
        </w:tc>
        <w:tc>
          <w:tcPr>
            <w:tcW w:w="2330" w:type="pct"/>
          </w:tcPr>
          <w:p w:rsidR="005F26F2" w:rsidRPr="00354440" w:rsidRDefault="005F26F2" w:rsidP="005F26F2">
            <w:pPr>
              <w:jc w:val="both"/>
              <w:rPr>
                <w:rFonts w:eastAsia="Calibri"/>
                <w:sz w:val="20"/>
                <w:lang w:val="fr-CA"/>
              </w:rPr>
            </w:pPr>
            <w:r w:rsidRPr="00354440">
              <w:rPr>
                <w:rFonts w:eastAsia="Calibri"/>
                <w:sz w:val="20"/>
                <w:lang w:val="fr-CA"/>
              </w:rPr>
              <w:t>Appel de la demanderesse, rejeté</w:t>
            </w:r>
          </w:p>
          <w:p w:rsidR="005F26F2" w:rsidRPr="00354440" w:rsidRDefault="005F26F2" w:rsidP="005F26F2">
            <w:pPr>
              <w:jc w:val="both"/>
              <w:rPr>
                <w:rFonts w:eastAsia="Calibri"/>
                <w:sz w:val="20"/>
                <w:lang w:val="fr-CA"/>
              </w:rPr>
            </w:pPr>
          </w:p>
          <w:p w:rsidR="005F26F2" w:rsidRPr="00354440" w:rsidRDefault="005F26F2" w:rsidP="005F26F2">
            <w:pPr>
              <w:jc w:val="both"/>
              <w:rPr>
                <w:rFonts w:eastAsia="Calibri"/>
                <w:sz w:val="20"/>
                <w:lang w:val="fr-CA"/>
              </w:rPr>
            </w:pPr>
          </w:p>
        </w:tc>
      </w:tr>
      <w:tr w:rsidR="005F26F2" w:rsidRPr="00354440" w:rsidTr="005F26F2">
        <w:tc>
          <w:tcPr>
            <w:tcW w:w="2427" w:type="pct"/>
          </w:tcPr>
          <w:p w:rsidR="005F26F2" w:rsidRPr="00354440" w:rsidRDefault="005F26F2" w:rsidP="005F26F2">
            <w:pPr>
              <w:jc w:val="both"/>
              <w:rPr>
                <w:rFonts w:eastAsia="Calibri"/>
                <w:sz w:val="20"/>
                <w:lang w:val="fr-CA"/>
              </w:rPr>
            </w:pPr>
            <w:r w:rsidRPr="00354440">
              <w:rPr>
                <w:rFonts w:eastAsia="Calibri"/>
                <w:sz w:val="20"/>
                <w:lang w:val="fr-CA"/>
              </w:rPr>
              <w:t>7 juin 2012</w:t>
            </w:r>
          </w:p>
          <w:p w:rsidR="005F26F2" w:rsidRPr="00354440" w:rsidRDefault="005F26F2" w:rsidP="005F26F2">
            <w:pPr>
              <w:jc w:val="both"/>
              <w:rPr>
                <w:rFonts w:eastAsia="Calibri"/>
                <w:sz w:val="20"/>
                <w:lang w:val="fr-CA"/>
              </w:rPr>
            </w:pPr>
            <w:r w:rsidRPr="00354440">
              <w:rPr>
                <w:rFonts w:eastAsia="Calibri"/>
                <w:sz w:val="20"/>
                <w:lang w:val="fr-CA"/>
              </w:rPr>
              <w:t>Cour suprême du Canada</w:t>
            </w:r>
          </w:p>
        </w:tc>
        <w:tc>
          <w:tcPr>
            <w:tcW w:w="243" w:type="pct"/>
          </w:tcPr>
          <w:p w:rsidR="005F26F2" w:rsidRPr="00354440" w:rsidRDefault="005F26F2" w:rsidP="005F26F2">
            <w:pPr>
              <w:jc w:val="both"/>
              <w:rPr>
                <w:rFonts w:eastAsia="Calibri"/>
                <w:sz w:val="20"/>
                <w:lang w:val="fr-CA"/>
              </w:rPr>
            </w:pPr>
          </w:p>
        </w:tc>
        <w:tc>
          <w:tcPr>
            <w:tcW w:w="2330" w:type="pct"/>
          </w:tcPr>
          <w:p w:rsidR="005F26F2" w:rsidRPr="00354440" w:rsidRDefault="005F26F2" w:rsidP="005F26F2">
            <w:pPr>
              <w:jc w:val="both"/>
              <w:rPr>
                <w:rFonts w:eastAsia="Calibri"/>
                <w:sz w:val="20"/>
                <w:lang w:val="fr-CA"/>
              </w:rPr>
            </w:pPr>
            <w:r w:rsidRPr="00354440">
              <w:rPr>
                <w:rFonts w:eastAsia="Calibri"/>
                <w:sz w:val="20"/>
                <w:lang w:val="fr-CA"/>
              </w:rPr>
              <w:t>Demande d'autorisation d'appel, déposée</w:t>
            </w:r>
          </w:p>
          <w:p w:rsidR="005F26F2" w:rsidRPr="00354440" w:rsidRDefault="005F26F2" w:rsidP="005F26F2">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67"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6C8B" w:rsidRPr="001D43E1" w:rsidTr="00066741">
        <w:trPr>
          <w:cantSplit/>
        </w:trPr>
        <w:tc>
          <w:tcPr>
            <w:tcW w:w="1458" w:type="dxa"/>
          </w:tcPr>
          <w:p w:rsidR="00146C8B" w:rsidRPr="00ED4B6E" w:rsidRDefault="00146C8B" w:rsidP="00066741">
            <w:pPr>
              <w:rPr>
                <w:sz w:val="20"/>
                <w:szCs w:val="20"/>
              </w:rPr>
            </w:pPr>
            <w:r w:rsidRPr="00ED4B6E">
              <w:rPr>
                <w:rStyle w:val="SCCFileNumberChar"/>
                <w:sz w:val="20"/>
                <w:szCs w:val="20"/>
              </w:rPr>
              <w:t>34881</w:t>
            </w:r>
          </w:p>
          <w:p w:rsidR="00146C8B" w:rsidRPr="00ED4B6E" w:rsidRDefault="00146C8B" w:rsidP="00066741">
            <w:pPr>
              <w:rPr>
                <w:b/>
                <w:sz w:val="20"/>
                <w:szCs w:val="20"/>
                <w:lang w:val="fr-CA"/>
              </w:rPr>
            </w:pPr>
          </w:p>
        </w:tc>
        <w:tc>
          <w:tcPr>
            <w:tcW w:w="8118" w:type="dxa"/>
          </w:tcPr>
          <w:p w:rsidR="00146C8B" w:rsidRPr="00ED4B6E" w:rsidRDefault="00146C8B" w:rsidP="00066741">
            <w:pPr>
              <w:rPr>
                <w:sz w:val="20"/>
                <w:szCs w:val="20"/>
                <w:lang w:val="fr-CA"/>
              </w:rPr>
            </w:pPr>
            <w:r w:rsidRPr="00ED4B6E">
              <w:rPr>
                <w:rStyle w:val="SCCLsocChar"/>
                <w:sz w:val="20"/>
                <w:szCs w:val="20"/>
              </w:rPr>
              <w:t>Jean-Philippe Mailhot c. Sa Majesté la Reine</w:t>
            </w:r>
            <w:r w:rsidRPr="00ED4B6E">
              <w:rPr>
                <w:sz w:val="20"/>
                <w:szCs w:val="20"/>
                <w:lang w:val="fr-CA"/>
              </w:rPr>
              <w:t xml:space="preserve"> (Qc) (Criminelle) (De plein droit / Autorisation)</w:t>
            </w:r>
          </w:p>
          <w:p w:rsidR="00146C8B" w:rsidRPr="00ED4B6E" w:rsidRDefault="00146C8B" w:rsidP="00066741">
            <w:pPr>
              <w:rPr>
                <w:sz w:val="20"/>
                <w:szCs w:val="20"/>
                <w:lang w:val="fr-CA"/>
              </w:rPr>
            </w:pPr>
          </w:p>
        </w:tc>
      </w:tr>
      <w:tr w:rsidR="00146C8B" w:rsidRPr="001D43E1" w:rsidTr="00066741">
        <w:trPr>
          <w:cantSplit/>
        </w:trPr>
        <w:tc>
          <w:tcPr>
            <w:tcW w:w="1458" w:type="dxa"/>
          </w:tcPr>
          <w:p w:rsidR="00146C8B" w:rsidRPr="00ED4B6E" w:rsidRDefault="00146C8B" w:rsidP="00066741">
            <w:pPr>
              <w:rPr>
                <w:sz w:val="20"/>
                <w:szCs w:val="20"/>
              </w:rPr>
            </w:pPr>
            <w:r w:rsidRPr="00ED4B6E">
              <w:rPr>
                <w:sz w:val="20"/>
                <w:szCs w:val="20"/>
              </w:rPr>
              <w:t>Coram :</w:t>
            </w:r>
          </w:p>
        </w:tc>
        <w:tc>
          <w:tcPr>
            <w:tcW w:w="8118" w:type="dxa"/>
          </w:tcPr>
          <w:p w:rsidR="00146C8B" w:rsidRPr="00ED4B6E" w:rsidRDefault="00146C8B" w:rsidP="00066741">
            <w:pPr>
              <w:rPr>
                <w:sz w:val="20"/>
                <w:szCs w:val="20"/>
                <w:lang w:val="fr-CA"/>
              </w:rPr>
            </w:pPr>
            <w:r w:rsidRPr="00ED4B6E">
              <w:rPr>
                <w:rStyle w:val="SCCCoramChar"/>
                <w:sz w:val="20"/>
                <w:szCs w:val="20"/>
              </w:rPr>
              <w:t>Les juges Fish, Cromwell et Karakatsanis</w:t>
            </w:r>
          </w:p>
          <w:p w:rsidR="00146C8B" w:rsidRPr="00ED4B6E" w:rsidRDefault="00146C8B" w:rsidP="00066741">
            <w:pPr>
              <w:rPr>
                <w:sz w:val="20"/>
                <w:szCs w:val="20"/>
                <w:u w:val="single"/>
                <w:lang w:val="fr-CA"/>
              </w:rPr>
            </w:pPr>
          </w:p>
        </w:tc>
      </w:tr>
      <w:tr w:rsidR="00146C8B" w:rsidRPr="00ED4B6E" w:rsidTr="00066741">
        <w:trPr>
          <w:cantSplit/>
        </w:trPr>
        <w:tc>
          <w:tcPr>
            <w:tcW w:w="9576" w:type="dxa"/>
            <w:gridSpan w:val="2"/>
          </w:tcPr>
          <w:p w:rsidR="00146C8B" w:rsidRPr="00ED4B6E" w:rsidRDefault="00146C8B" w:rsidP="00066741">
            <w:pPr>
              <w:pStyle w:val="SCCShortJudgment"/>
              <w:rPr>
                <w:szCs w:val="20"/>
                <w:lang w:val="fr-CA"/>
              </w:rPr>
            </w:pPr>
            <w:r w:rsidRPr="00ED4B6E">
              <w:rPr>
                <w:szCs w:val="20"/>
                <w:lang w:val="fr-CA"/>
              </w:rPr>
              <w:t>La demande d’autorisation d’appel de l’arrêt de la Cour d’appel du Québec (Montréal), numéro 500-10-004174-080, 2012 QCCA 964, daté du 23 mai 2012, est accordée sans dépens.</w:t>
            </w:r>
          </w:p>
          <w:p w:rsidR="00146C8B" w:rsidRPr="00ED4B6E" w:rsidRDefault="00146C8B" w:rsidP="00066741">
            <w:pPr>
              <w:pStyle w:val="SCCShortJudgment"/>
              <w:ind w:firstLine="0"/>
              <w:rPr>
                <w:szCs w:val="20"/>
                <w:lang w:val="fr-CA"/>
              </w:rPr>
            </w:pPr>
          </w:p>
          <w:p w:rsidR="00146C8B" w:rsidRPr="00ED4B6E" w:rsidRDefault="00146C8B" w:rsidP="00066741">
            <w:pPr>
              <w:pStyle w:val="SCCShortJudgment"/>
              <w:rPr>
                <w:szCs w:val="20"/>
              </w:rPr>
            </w:pPr>
            <w:r w:rsidRPr="00ED4B6E">
              <w:rPr>
                <w:szCs w:val="20"/>
              </w:rPr>
              <w:t xml:space="preserve">The application for leave to appeal from the judgment of the Court of Appeal of Quebec (Montréal), Number 500-10-004174-080, </w:t>
            </w:r>
            <w:proofErr w:type="gramStart"/>
            <w:r w:rsidRPr="00ED4B6E">
              <w:rPr>
                <w:szCs w:val="20"/>
              </w:rPr>
              <w:t>2012</w:t>
            </w:r>
            <w:proofErr w:type="gramEnd"/>
            <w:r w:rsidRPr="00ED4B6E">
              <w:rPr>
                <w:szCs w:val="20"/>
              </w:rPr>
              <w:t xml:space="preserve"> QCCA 964, dated May 23, 2012, is granted without costs.</w:t>
            </w:r>
          </w:p>
        </w:tc>
      </w:tr>
    </w:tbl>
    <w:p w:rsidR="00441FC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6F2" w:rsidRPr="00354440" w:rsidTr="005F26F2">
        <w:tc>
          <w:tcPr>
            <w:tcW w:w="5000" w:type="pct"/>
            <w:gridSpan w:val="3"/>
          </w:tcPr>
          <w:p w:rsidR="005F26F2" w:rsidRPr="00354440" w:rsidRDefault="005F26F2" w:rsidP="005F26F2">
            <w:pPr>
              <w:jc w:val="both"/>
              <w:rPr>
                <w:rFonts w:eastAsia="Calibri"/>
                <w:sz w:val="20"/>
              </w:rPr>
            </w:pPr>
            <w:r w:rsidRPr="00354440">
              <w:rPr>
                <w:rFonts w:eastAsia="Calibri"/>
                <w:sz w:val="20"/>
              </w:rPr>
              <w:t>Criminal law — Charge to jury — Reasonable verdict — Defence of necessity — Whether trial judge erred in instructions concerning factual and legal causation — Whether trial judge erred in inviting jury to find that, in this case, acceleration of death alone established sufficient legal causation to support conviction for homicide — Whether trial judge erred in refusing to allow defence of necessity — Whether trial judge erred by distorting respondent’s theory and argument — Whether trial judge erred in instructions concerning applicant’s subsequent conduct by not explaining nuances required if jury did not believe applicant’s explanation — Whether trial judge erred in instructions concerning unanimity rule by failing to instruct jurors that they had right to disagree.</w:t>
            </w:r>
          </w:p>
        </w:tc>
      </w:tr>
      <w:tr w:rsidR="005F26F2" w:rsidRPr="00354440" w:rsidTr="005F26F2">
        <w:tc>
          <w:tcPr>
            <w:tcW w:w="5000" w:type="pct"/>
            <w:gridSpan w:val="3"/>
          </w:tcPr>
          <w:p w:rsidR="005F26F2" w:rsidRPr="00354440" w:rsidRDefault="005F26F2" w:rsidP="005F26F2">
            <w:pPr>
              <w:jc w:val="both"/>
              <w:rPr>
                <w:rFonts w:eastAsia="Calibri"/>
                <w:sz w:val="20"/>
              </w:rPr>
            </w:pPr>
          </w:p>
        </w:tc>
      </w:tr>
      <w:tr w:rsidR="005F26F2" w:rsidRPr="00354440" w:rsidTr="005F26F2">
        <w:tc>
          <w:tcPr>
            <w:tcW w:w="5000" w:type="pct"/>
            <w:gridSpan w:val="3"/>
          </w:tcPr>
          <w:p w:rsidR="005F26F2" w:rsidRPr="00354440" w:rsidRDefault="005F26F2" w:rsidP="005F26F2">
            <w:pPr>
              <w:jc w:val="both"/>
              <w:rPr>
                <w:rFonts w:eastAsia="Calibri"/>
                <w:sz w:val="20"/>
              </w:rPr>
            </w:pPr>
            <w:r w:rsidRPr="00354440">
              <w:rPr>
                <w:rFonts w:eastAsia="Calibri"/>
                <w:sz w:val="20"/>
              </w:rPr>
              <w:t>During the night of October 13, 2004, the applicant Mr. Mailhot’s spouse died in his presence.  By his own admission, he stabbed her 33 times just before she died.  Only one of those stab wounds was potentially fatal and was inflicted [</w:t>
            </w:r>
            <w:r w:rsidRPr="00354440">
              <w:rPr>
                <w:rFonts w:eastAsia="Calibri"/>
                <w:smallCaps/>
                <w:sz w:val="20"/>
              </w:rPr>
              <w:t>translation</w:t>
            </w:r>
            <w:r w:rsidRPr="00354440">
              <w:rPr>
                <w:rFonts w:eastAsia="Calibri"/>
                <w:sz w:val="20"/>
              </w:rPr>
              <w:t>] “during the agonal phase”, after a first and also potentially fatal wound had been inflicted either by the spouse herself, who had allegedly wanted to commit suicide, or by Mr. Mailhot.  A jury convicted Mr. Mailhot of the second degree murder of his spouse.  The Court of Appeal dismissed the appeal from that verdict.</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June 30, 2008</w:t>
            </w:r>
          </w:p>
          <w:p w:rsidR="005F26F2" w:rsidRPr="00354440" w:rsidRDefault="005F26F2" w:rsidP="005F26F2">
            <w:pPr>
              <w:jc w:val="both"/>
              <w:rPr>
                <w:rFonts w:eastAsia="Calibri"/>
                <w:sz w:val="20"/>
              </w:rPr>
            </w:pPr>
            <w:r w:rsidRPr="00354440">
              <w:rPr>
                <w:rFonts w:eastAsia="Calibri"/>
                <w:sz w:val="20"/>
              </w:rPr>
              <w:t>Quebec Superior Court</w:t>
            </w:r>
          </w:p>
          <w:p w:rsidR="005F26F2" w:rsidRPr="00354440" w:rsidRDefault="005F26F2" w:rsidP="005F26F2">
            <w:pPr>
              <w:jc w:val="both"/>
              <w:rPr>
                <w:rFonts w:eastAsia="Calibri"/>
                <w:sz w:val="20"/>
              </w:rPr>
            </w:pPr>
            <w:r w:rsidRPr="00354440">
              <w:rPr>
                <w:rFonts w:eastAsia="Calibri"/>
                <w:sz w:val="20"/>
              </w:rPr>
              <w:t>(Boilard J.)</w:t>
            </w:r>
          </w:p>
          <w:p w:rsidR="005F26F2" w:rsidRPr="00354440" w:rsidRDefault="005F26F2" w:rsidP="005F26F2">
            <w:pPr>
              <w:jc w:val="both"/>
              <w:rPr>
                <w:rFonts w:eastAsia="Calibri"/>
                <w:sz w:val="20"/>
              </w:rPr>
            </w:pPr>
            <w:r w:rsidRPr="00354440">
              <w:rPr>
                <w:rFonts w:eastAsia="Calibri"/>
                <w:sz w:val="20"/>
              </w:rPr>
              <w:t>- not indexed -</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Accused convicted of second degree murder</w:t>
            </w: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July 16, 2008</w:t>
            </w:r>
          </w:p>
          <w:p w:rsidR="005F26F2" w:rsidRPr="00354440" w:rsidRDefault="005F26F2" w:rsidP="005F26F2">
            <w:pPr>
              <w:jc w:val="both"/>
              <w:rPr>
                <w:rFonts w:eastAsia="Calibri"/>
                <w:sz w:val="20"/>
              </w:rPr>
            </w:pPr>
            <w:r w:rsidRPr="00354440">
              <w:rPr>
                <w:rFonts w:eastAsia="Calibri"/>
                <w:sz w:val="20"/>
              </w:rPr>
              <w:t>Quebec Superior Court</w:t>
            </w:r>
          </w:p>
          <w:p w:rsidR="005F26F2" w:rsidRPr="00354440" w:rsidRDefault="005F26F2" w:rsidP="005F26F2">
            <w:pPr>
              <w:jc w:val="both"/>
              <w:rPr>
                <w:rFonts w:eastAsia="Calibri"/>
                <w:sz w:val="20"/>
              </w:rPr>
            </w:pPr>
            <w:r w:rsidRPr="00354440">
              <w:rPr>
                <w:rFonts w:eastAsia="Calibri"/>
                <w:sz w:val="20"/>
              </w:rPr>
              <w:t>(Boilard J.)</w:t>
            </w:r>
          </w:p>
          <w:p w:rsidR="005F26F2" w:rsidRPr="00354440" w:rsidRDefault="005F26F2" w:rsidP="005F26F2">
            <w:pPr>
              <w:jc w:val="both"/>
              <w:rPr>
                <w:rFonts w:eastAsia="Calibri"/>
                <w:sz w:val="20"/>
              </w:rPr>
            </w:pPr>
            <w:r w:rsidRPr="00354440">
              <w:rPr>
                <w:rFonts w:eastAsia="Calibri"/>
                <w:sz w:val="20"/>
              </w:rPr>
              <w:t>2008 QCCS 3382</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Accused given life sentence;</w:t>
            </w:r>
          </w:p>
          <w:p w:rsidR="005F26F2" w:rsidRPr="00354440" w:rsidRDefault="005F26F2" w:rsidP="005F26F2">
            <w:pPr>
              <w:jc w:val="both"/>
              <w:rPr>
                <w:rFonts w:eastAsia="Calibri"/>
                <w:sz w:val="20"/>
              </w:rPr>
            </w:pPr>
            <w:r w:rsidRPr="00354440">
              <w:rPr>
                <w:rFonts w:eastAsia="Calibri"/>
                <w:sz w:val="20"/>
              </w:rPr>
              <w:t>Accused required to serve minimum 10</w:t>
            </w:r>
            <w:r w:rsidRPr="00354440">
              <w:rPr>
                <w:rFonts w:eastAsia="Calibri"/>
                <w:sz w:val="20"/>
              </w:rPr>
              <w:noBreakHyphen/>
              <w:t>year custodial sentence before being eligible for parole</w:t>
            </w: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May 23, 2012</w:t>
            </w:r>
          </w:p>
          <w:p w:rsidR="005F26F2" w:rsidRPr="00354440" w:rsidRDefault="005F26F2" w:rsidP="005F26F2">
            <w:pPr>
              <w:jc w:val="both"/>
              <w:rPr>
                <w:rFonts w:eastAsia="Calibri"/>
                <w:sz w:val="20"/>
              </w:rPr>
            </w:pPr>
            <w:r w:rsidRPr="00354440">
              <w:rPr>
                <w:rFonts w:eastAsia="Calibri"/>
                <w:sz w:val="20"/>
              </w:rPr>
              <w:t>Quebec Court of Appeal (Montréal)</w:t>
            </w:r>
          </w:p>
          <w:p w:rsidR="005F26F2" w:rsidRPr="00354440" w:rsidRDefault="005F26F2" w:rsidP="005F26F2">
            <w:pPr>
              <w:jc w:val="both"/>
              <w:rPr>
                <w:rFonts w:eastAsia="Calibri"/>
                <w:sz w:val="20"/>
              </w:rPr>
            </w:pPr>
            <w:r w:rsidRPr="00354440">
              <w:rPr>
                <w:rFonts w:eastAsia="Calibri"/>
                <w:sz w:val="20"/>
              </w:rPr>
              <w:t>(Duval Hesler C.J. and Beauregard and Doyon [dissenting] JJ.A.)</w:t>
            </w:r>
          </w:p>
          <w:p w:rsidR="005F26F2" w:rsidRPr="00354440" w:rsidRDefault="005F26F2" w:rsidP="005F26F2">
            <w:pPr>
              <w:jc w:val="both"/>
              <w:rPr>
                <w:rFonts w:eastAsia="Calibri"/>
                <w:sz w:val="20"/>
              </w:rPr>
            </w:pPr>
            <w:r w:rsidRPr="00354440">
              <w:rPr>
                <w:rFonts w:eastAsia="Calibri"/>
                <w:sz w:val="20"/>
              </w:rPr>
              <w:t>2012 QCCA 964</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Appeal from jury verdict dismissed</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June 18, 2012</w:t>
            </w:r>
          </w:p>
          <w:p w:rsidR="005F26F2" w:rsidRPr="00354440" w:rsidRDefault="005F26F2" w:rsidP="005F26F2">
            <w:pPr>
              <w:jc w:val="both"/>
              <w:rPr>
                <w:rFonts w:eastAsia="Calibri"/>
                <w:sz w:val="20"/>
              </w:rPr>
            </w:pPr>
            <w:r w:rsidRPr="00354440">
              <w:rPr>
                <w:rFonts w:eastAsia="Calibri"/>
                <w:sz w:val="20"/>
              </w:rPr>
              <w:t>Supreme Court of Canada</w:t>
            </w:r>
          </w:p>
          <w:p w:rsidR="005F26F2" w:rsidRPr="00354440" w:rsidRDefault="005F26F2" w:rsidP="005F26F2">
            <w:pPr>
              <w:jc w:val="both"/>
              <w:rPr>
                <w:rFonts w:eastAsia="Calibri"/>
                <w:sz w:val="20"/>
              </w:rPr>
            </w:pP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Notice of appeal filed</w:t>
            </w:r>
          </w:p>
          <w:p w:rsidR="005F26F2" w:rsidRPr="00354440" w:rsidRDefault="005F26F2" w:rsidP="005F26F2">
            <w:pPr>
              <w:jc w:val="both"/>
              <w:rPr>
                <w:rFonts w:eastAsia="Calibri"/>
                <w:sz w:val="20"/>
              </w:rPr>
            </w:pPr>
          </w:p>
        </w:tc>
      </w:tr>
      <w:tr w:rsidR="005F26F2" w:rsidRPr="00354440" w:rsidTr="005F26F2">
        <w:tc>
          <w:tcPr>
            <w:tcW w:w="2427" w:type="pct"/>
          </w:tcPr>
          <w:p w:rsidR="005F26F2" w:rsidRPr="00354440" w:rsidRDefault="005F26F2" w:rsidP="005F26F2">
            <w:pPr>
              <w:jc w:val="both"/>
              <w:rPr>
                <w:rFonts w:eastAsia="Calibri"/>
                <w:sz w:val="20"/>
              </w:rPr>
            </w:pPr>
            <w:r w:rsidRPr="00354440">
              <w:rPr>
                <w:rFonts w:eastAsia="Calibri"/>
                <w:sz w:val="20"/>
              </w:rPr>
              <w:t>August 22, 2012</w:t>
            </w:r>
          </w:p>
          <w:p w:rsidR="005F26F2" w:rsidRPr="00354440" w:rsidRDefault="005F26F2" w:rsidP="005F26F2">
            <w:pPr>
              <w:jc w:val="both"/>
              <w:rPr>
                <w:rFonts w:eastAsia="Calibri"/>
                <w:sz w:val="20"/>
              </w:rPr>
            </w:pPr>
            <w:r w:rsidRPr="00354440">
              <w:rPr>
                <w:rFonts w:eastAsia="Calibri"/>
                <w:sz w:val="20"/>
              </w:rPr>
              <w:t>Supreme Court of Canada</w:t>
            </w:r>
          </w:p>
        </w:tc>
        <w:tc>
          <w:tcPr>
            <w:tcW w:w="243" w:type="pct"/>
          </w:tcPr>
          <w:p w:rsidR="005F26F2" w:rsidRPr="00354440" w:rsidRDefault="005F26F2" w:rsidP="005F26F2">
            <w:pPr>
              <w:jc w:val="both"/>
              <w:rPr>
                <w:rFonts w:eastAsia="Calibri"/>
                <w:sz w:val="20"/>
              </w:rPr>
            </w:pPr>
          </w:p>
        </w:tc>
        <w:tc>
          <w:tcPr>
            <w:tcW w:w="2330" w:type="pct"/>
          </w:tcPr>
          <w:p w:rsidR="005F26F2" w:rsidRPr="00354440" w:rsidRDefault="005F26F2" w:rsidP="005F26F2">
            <w:pPr>
              <w:jc w:val="both"/>
              <w:rPr>
                <w:rFonts w:eastAsia="Calibri"/>
                <w:sz w:val="20"/>
              </w:rPr>
            </w:pPr>
            <w:r w:rsidRPr="00354440">
              <w:rPr>
                <w:rFonts w:eastAsia="Calibri"/>
                <w:sz w:val="20"/>
              </w:rPr>
              <w:t>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68"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F26F2" w:rsidRPr="001D43E1" w:rsidTr="005F26F2">
        <w:tc>
          <w:tcPr>
            <w:tcW w:w="5000" w:type="pct"/>
            <w:gridSpan w:val="3"/>
          </w:tcPr>
          <w:p w:rsidR="005F26F2" w:rsidRPr="00354440" w:rsidRDefault="005F26F2" w:rsidP="005F26F2">
            <w:pPr>
              <w:jc w:val="both"/>
              <w:rPr>
                <w:sz w:val="20"/>
                <w:lang w:val="fr-CA"/>
              </w:rPr>
            </w:pPr>
            <w:r w:rsidRPr="00354440">
              <w:rPr>
                <w:sz w:val="20"/>
                <w:lang w:val="fr-CA"/>
              </w:rPr>
              <w:t>Droit criminel — Exposé au jury — Verdict raisonnable — Défense de nécessité — Le juge de première instance a-t-il commis une erreur dans ses directives à propos du lien de causalité factuel et juridique? — Le juge de première instance a-t-il commis une erreur en invitant le jury à conclure que le seul fait d’accélérer la mort, en l’espèce, établissait une causalité juridique suffisante pour soutenir une déclaration de culpabilité d’homicide? — Le juge de première instance a-t-il commis une erreur en refusant d’ouvrir la défense de nécessité? — Le juge de première instance a-t-il commis une erreur dénaturant la thèse et la plaidoirie de l’intimée? — Le juge de première instance a-t-il commis une erreur dans ses directives sur la conduite postérieure du demandeur en n’expliquant pas les nuances nécessaires advenant que le jury ne croit pas l’explication du demandeur? — Le juge de première instance a-t-il commis une erreur dans ses directives sur la règle d’unanimité en omettant d’instruire les jurés qu’ils avaient le droit d’être en désaccord?</w:t>
            </w:r>
          </w:p>
        </w:tc>
      </w:tr>
      <w:tr w:rsidR="005F26F2" w:rsidRPr="001D43E1" w:rsidTr="005F26F2">
        <w:tc>
          <w:tcPr>
            <w:tcW w:w="5000" w:type="pct"/>
            <w:gridSpan w:val="3"/>
          </w:tcPr>
          <w:p w:rsidR="005F26F2" w:rsidRPr="00354440" w:rsidRDefault="005F26F2" w:rsidP="005F26F2">
            <w:pPr>
              <w:rPr>
                <w:sz w:val="20"/>
                <w:lang w:val="fr-CA"/>
              </w:rPr>
            </w:pPr>
          </w:p>
        </w:tc>
      </w:tr>
      <w:tr w:rsidR="005F26F2" w:rsidRPr="00354440" w:rsidTr="005F26F2">
        <w:tc>
          <w:tcPr>
            <w:tcW w:w="5000" w:type="pct"/>
            <w:gridSpan w:val="3"/>
          </w:tcPr>
          <w:p w:rsidR="005F26F2" w:rsidRPr="00D06660" w:rsidRDefault="005F26F2" w:rsidP="005F26F2">
            <w:pPr>
              <w:jc w:val="both"/>
              <w:rPr>
                <w:sz w:val="20"/>
                <w:lang w:val="fr-CA"/>
              </w:rPr>
            </w:pPr>
            <w:r w:rsidRPr="00D06660">
              <w:rPr>
                <w:sz w:val="20"/>
                <w:lang w:val="fr-CA"/>
              </w:rPr>
              <w:t>Dans la nuit du 13 octobre 2004, l’épouse de M. Mailhot, demandeur, meurt en présence de celui-ci qui, de son propre aveu, vient de lui asséner 33 coups de couteau, dont un seul était potentiellement mortel et qui fut asséné « en phase agonique », après qu’un premier coup, aussi potentiellement mortel, eut été porté soit par l’épouse elle-même, qui aurait voulu se suicider, soit par M. Mailhot.  Un jury a déclaré M. Mailhot coupable du meurtre au second degré de sa conjointe.  La Cour d’appel a rejeté l’appel de ce verdict.</w:t>
            </w:r>
          </w:p>
          <w:p w:rsidR="005F26F2" w:rsidRPr="00354440" w:rsidRDefault="005F26F2" w:rsidP="005F26F2">
            <w:pPr>
              <w:rPr>
                <w:sz w:val="20"/>
              </w:rPr>
            </w:pPr>
          </w:p>
        </w:tc>
      </w:tr>
      <w:tr w:rsidR="005F26F2" w:rsidRPr="001D43E1" w:rsidTr="005F26F2">
        <w:tc>
          <w:tcPr>
            <w:tcW w:w="2427" w:type="pct"/>
          </w:tcPr>
          <w:p w:rsidR="005F26F2" w:rsidRPr="00354440" w:rsidRDefault="005F26F2" w:rsidP="005F26F2">
            <w:pPr>
              <w:jc w:val="both"/>
              <w:rPr>
                <w:sz w:val="20"/>
                <w:lang w:val="fr-CA"/>
              </w:rPr>
            </w:pPr>
            <w:r w:rsidRPr="00354440">
              <w:rPr>
                <w:sz w:val="20"/>
                <w:lang w:val="fr-CA"/>
              </w:rPr>
              <w:t>Le 30 juin 2008</w:t>
            </w:r>
          </w:p>
          <w:p w:rsidR="005F26F2" w:rsidRPr="00354440" w:rsidRDefault="005F26F2" w:rsidP="005F26F2">
            <w:pPr>
              <w:jc w:val="both"/>
              <w:rPr>
                <w:sz w:val="20"/>
                <w:lang w:val="fr-CA"/>
              </w:rPr>
            </w:pPr>
            <w:r w:rsidRPr="00354440">
              <w:rPr>
                <w:sz w:val="20"/>
                <w:lang w:val="fr-CA"/>
              </w:rPr>
              <w:t>Cour supérieure du Québec</w:t>
            </w:r>
          </w:p>
          <w:p w:rsidR="005F26F2" w:rsidRPr="00354440" w:rsidRDefault="005F26F2" w:rsidP="005F26F2">
            <w:pPr>
              <w:jc w:val="both"/>
              <w:rPr>
                <w:sz w:val="20"/>
                <w:lang w:val="fr-CA"/>
              </w:rPr>
            </w:pPr>
            <w:r w:rsidRPr="00354440">
              <w:rPr>
                <w:sz w:val="20"/>
                <w:lang w:val="fr-CA"/>
              </w:rPr>
              <w:t>(Le juge Boilard)</w:t>
            </w:r>
          </w:p>
          <w:p w:rsidR="005F26F2" w:rsidRPr="00354440" w:rsidRDefault="005F26F2" w:rsidP="005F26F2">
            <w:pPr>
              <w:jc w:val="both"/>
              <w:rPr>
                <w:sz w:val="20"/>
                <w:lang w:val="fr-CA"/>
              </w:rPr>
            </w:pPr>
            <w:r w:rsidRPr="00354440">
              <w:rPr>
                <w:sz w:val="20"/>
                <w:lang w:val="fr-CA"/>
              </w:rPr>
              <w:t>- non-répertorié -</w:t>
            </w:r>
          </w:p>
          <w:p w:rsidR="005F26F2" w:rsidRPr="00354440" w:rsidRDefault="005F26F2" w:rsidP="005F26F2">
            <w:pPr>
              <w:jc w:val="both"/>
              <w:rPr>
                <w:sz w:val="20"/>
                <w:lang w:val="fr-CA"/>
              </w:rPr>
            </w:pPr>
          </w:p>
        </w:tc>
        <w:tc>
          <w:tcPr>
            <w:tcW w:w="243" w:type="pct"/>
          </w:tcPr>
          <w:p w:rsidR="005F26F2" w:rsidRPr="00354440" w:rsidRDefault="005F26F2" w:rsidP="005F26F2">
            <w:pPr>
              <w:jc w:val="both"/>
              <w:rPr>
                <w:sz w:val="20"/>
                <w:lang w:val="fr-CA"/>
              </w:rPr>
            </w:pPr>
          </w:p>
        </w:tc>
        <w:tc>
          <w:tcPr>
            <w:tcW w:w="2330" w:type="pct"/>
          </w:tcPr>
          <w:p w:rsidR="005F26F2" w:rsidRPr="00354440" w:rsidRDefault="005F26F2" w:rsidP="005F26F2">
            <w:pPr>
              <w:jc w:val="both"/>
              <w:rPr>
                <w:sz w:val="20"/>
                <w:lang w:val="fr-CA"/>
              </w:rPr>
            </w:pPr>
            <w:r w:rsidRPr="00354440">
              <w:rPr>
                <w:sz w:val="20"/>
                <w:lang w:val="fr-CA"/>
              </w:rPr>
              <w:t>Déclaration de culpabilité : meurtre au deuxième degré.</w:t>
            </w:r>
          </w:p>
        </w:tc>
      </w:tr>
      <w:tr w:rsidR="005F26F2" w:rsidRPr="001D43E1" w:rsidTr="005F26F2">
        <w:tc>
          <w:tcPr>
            <w:tcW w:w="2427" w:type="pct"/>
          </w:tcPr>
          <w:p w:rsidR="005F26F2" w:rsidRPr="00354440" w:rsidRDefault="005F26F2" w:rsidP="005F26F2">
            <w:pPr>
              <w:jc w:val="both"/>
              <w:rPr>
                <w:sz w:val="20"/>
                <w:lang w:val="fr-CA"/>
              </w:rPr>
            </w:pPr>
            <w:r w:rsidRPr="00354440">
              <w:rPr>
                <w:sz w:val="20"/>
                <w:lang w:val="fr-CA"/>
              </w:rPr>
              <w:t>Le 16 juillet 2008</w:t>
            </w:r>
          </w:p>
          <w:p w:rsidR="005F26F2" w:rsidRPr="00354440" w:rsidRDefault="005F26F2" w:rsidP="005F26F2">
            <w:pPr>
              <w:jc w:val="both"/>
              <w:rPr>
                <w:sz w:val="20"/>
                <w:lang w:val="fr-CA"/>
              </w:rPr>
            </w:pPr>
            <w:r w:rsidRPr="00354440">
              <w:rPr>
                <w:sz w:val="20"/>
                <w:lang w:val="fr-CA"/>
              </w:rPr>
              <w:t>Cour supérieure du Québec</w:t>
            </w:r>
          </w:p>
          <w:p w:rsidR="005F26F2" w:rsidRPr="00354440" w:rsidRDefault="005F26F2" w:rsidP="005F26F2">
            <w:pPr>
              <w:jc w:val="both"/>
              <w:rPr>
                <w:sz w:val="20"/>
              </w:rPr>
            </w:pPr>
            <w:r w:rsidRPr="00354440">
              <w:rPr>
                <w:sz w:val="20"/>
              </w:rPr>
              <w:t>(Le juge Boilard)</w:t>
            </w:r>
          </w:p>
          <w:p w:rsidR="005F26F2" w:rsidRPr="00354440" w:rsidRDefault="005F26F2" w:rsidP="005F26F2">
            <w:pPr>
              <w:jc w:val="both"/>
              <w:rPr>
                <w:sz w:val="20"/>
              </w:rPr>
            </w:pPr>
            <w:r w:rsidRPr="00354440">
              <w:rPr>
                <w:sz w:val="20"/>
              </w:rPr>
              <w:t>2008 QCCS 3382</w:t>
            </w:r>
          </w:p>
          <w:p w:rsidR="005F26F2" w:rsidRPr="00354440" w:rsidRDefault="005F26F2" w:rsidP="005F26F2">
            <w:pPr>
              <w:jc w:val="both"/>
              <w:rPr>
                <w:sz w:val="20"/>
              </w:rPr>
            </w:pPr>
          </w:p>
        </w:tc>
        <w:tc>
          <w:tcPr>
            <w:tcW w:w="243" w:type="pct"/>
          </w:tcPr>
          <w:p w:rsidR="005F26F2" w:rsidRPr="00354440" w:rsidRDefault="005F26F2" w:rsidP="005F26F2">
            <w:pPr>
              <w:jc w:val="both"/>
              <w:rPr>
                <w:sz w:val="20"/>
              </w:rPr>
            </w:pPr>
          </w:p>
        </w:tc>
        <w:tc>
          <w:tcPr>
            <w:tcW w:w="2330" w:type="pct"/>
          </w:tcPr>
          <w:p w:rsidR="005F26F2" w:rsidRPr="00354440" w:rsidRDefault="005F26F2" w:rsidP="005F26F2">
            <w:pPr>
              <w:jc w:val="both"/>
              <w:rPr>
                <w:sz w:val="20"/>
                <w:lang w:val="fr-CA"/>
              </w:rPr>
            </w:pPr>
            <w:r w:rsidRPr="00354440">
              <w:rPr>
                <w:sz w:val="20"/>
                <w:lang w:val="fr-CA"/>
              </w:rPr>
              <w:t>Sentence : emprisonnement à perpétuité;</w:t>
            </w:r>
          </w:p>
          <w:p w:rsidR="005F26F2" w:rsidRPr="00354440" w:rsidRDefault="005F26F2" w:rsidP="005F26F2">
            <w:pPr>
              <w:jc w:val="both"/>
              <w:rPr>
                <w:sz w:val="20"/>
                <w:lang w:val="fr-CA"/>
              </w:rPr>
            </w:pPr>
            <w:r w:rsidRPr="00354440">
              <w:rPr>
                <w:sz w:val="20"/>
                <w:lang w:val="fr-CA"/>
              </w:rPr>
              <w:t>L’accusé devra purger une peine de détention minimum de dix ans avant d’être éligible à une libération conditionnelle.</w:t>
            </w:r>
          </w:p>
        </w:tc>
      </w:tr>
      <w:tr w:rsidR="005F26F2" w:rsidRPr="001D43E1" w:rsidTr="005F26F2">
        <w:tc>
          <w:tcPr>
            <w:tcW w:w="2427" w:type="pct"/>
          </w:tcPr>
          <w:p w:rsidR="005F26F2" w:rsidRPr="00354440" w:rsidRDefault="005F26F2" w:rsidP="005F26F2">
            <w:pPr>
              <w:jc w:val="both"/>
              <w:rPr>
                <w:sz w:val="20"/>
                <w:lang w:val="fr-CA"/>
              </w:rPr>
            </w:pPr>
            <w:r w:rsidRPr="00354440">
              <w:rPr>
                <w:sz w:val="20"/>
                <w:lang w:val="fr-CA"/>
              </w:rPr>
              <w:t>Le 23 mai 2012</w:t>
            </w:r>
          </w:p>
          <w:p w:rsidR="005F26F2" w:rsidRPr="00354440" w:rsidRDefault="005F26F2" w:rsidP="005F26F2">
            <w:pPr>
              <w:jc w:val="both"/>
              <w:rPr>
                <w:sz w:val="20"/>
                <w:lang w:val="fr-CA"/>
              </w:rPr>
            </w:pPr>
            <w:r w:rsidRPr="00354440">
              <w:rPr>
                <w:sz w:val="20"/>
                <w:lang w:val="fr-CA"/>
              </w:rPr>
              <w:t>Cour d’appel du Québec (Montréal)</w:t>
            </w:r>
          </w:p>
          <w:p w:rsidR="005F26F2" w:rsidRPr="00354440" w:rsidRDefault="005F26F2" w:rsidP="005F26F2">
            <w:pPr>
              <w:jc w:val="both"/>
              <w:rPr>
                <w:sz w:val="20"/>
                <w:lang w:val="fr-CA"/>
              </w:rPr>
            </w:pPr>
            <w:r w:rsidRPr="00354440">
              <w:rPr>
                <w:sz w:val="20"/>
                <w:lang w:val="fr-CA"/>
              </w:rPr>
              <w:t>(La juge en chef Duval Hesler et les juges Beauregard et Doyon [dissident])</w:t>
            </w:r>
          </w:p>
          <w:p w:rsidR="005F26F2" w:rsidRPr="00354440" w:rsidRDefault="005F26F2" w:rsidP="005F26F2">
            <w:pPr>
              <w:jc w:val="both"/>
              <w:rPr>
                <w:sz w:val="20"/>
              </w:rPr>
            </w:pPr>
            <w:r w:rsidRPr="00354440">
              <w:rPr>
                <w:sz w:val="20"/>
              </w:rPr>
              <w:t>2012 QCCA 964</w:t>
            </w:r>
          </w:p>
          <w:p w:rsidR="005F26F2" w:rsidRPr="00354440" w:rsidRDefault="005F26F2" w:rsidP="005F26F2">
            <w:pPr>
              <w:jc w:val="both"/>
              <w:rPr>
                <w:sz w:val="20"/>
              </w:rPr>
            </w:pPr>
          </w:p>
        </w:tc>
        <w:tc>
          <w:tcPr>
            <w:tcW w:w="243" w:type="pct"/>
          </w:tcPr>
          <w:p w:rsidR="005F26F2" w:rsidRPr="00354440" w:rsidRDefault="005F26F2" w:rsidP="005F26F2">
            <w:pPr>
              <w:jc w:val="both"/>
              <w:rPr>
                <w:sz w:val="20"/>
              </w:rPr>
            </w:pPr>
          </w:p>
        </w:tc>
        <w:tc>
          <w:tcPr>
            <w:tcW w:w="2330" w:type="pct"/>
          </w:tcPr>
          <w:p w:rsidR="005F26F2" w:rsidRPr="00354440" w:rsidRDefault="005F26F2" w:rsidP="005F26F2">
            <w:pPr>
              <w:jc w:val="both"/>
              <w:rPr>
                <w:sz w:val="20"/>
                <w:lang w:val="fr-CA"/>
              </w:rPr>
            </w:pPr>
            <w:r w:rsidRPr="00354440">
              <w:rPr>
                <w:sz w:val="20"/>
                <w:lang w:val="fr-CA"/>
              </w:rPr>
              <w:t>Appel du verdict du jury rejeté.</w:t>
            </w:r>
          </w:p>
          <w:p w:rsidR="005F26F2" w:rsidRPr="00354440" w:rsidRDefault="005F26F2" w:rsidP="005F26F2">
            <w:pPr>
              <w:jc w:val="both"/>
              <w:rPr>
                <w:sz w:val="20"/>
                <w:lang w:val="fr-CA"/>
              </w:rPr>
            </w:pPr>
          </w:p>
        </w:tc>
      </w:tr>
      <w:tr w:rsidR="005F26F2" w:rsidRPr="00354440" w:rsidTr="005F26F2">
        <w:tc>
          <w:tcPr>
            <w:tcW w:w="2427" w:type="pct"/>
          </w:tcPr>
          <w:p w:rsidR="005F26F2" w:rsidRPr="00354440" w:rsidRDefault="005F26F2" w:rsidP="005F26F2">
            <w:pPr>
              <w:jc w:val="both"/>
              <w:rPr>
                <w:sz w:val="20"/>
                <w:lang w:val="fr-CA"/>
              </w:rPr>
            </w:pPr>
            <w:r w:rsidRPr="00354440">
              <w:rPr>
                <w:sz w:val="20"/>
                <w:lang w:val="fr-CA"/>
              </w:rPr>
              <w:t>Le 18 juin 2012</w:t>
            </w:r>
          </w:p>
          <w:p w:rsidR="005F26F2" w:rsidRPr="00354440" w:rsidRDefault="005F26F2" w:rsidP="005F26F2">
            <w:pPr>
              <w:jc w:val="both"/>
              <w:rPr>
                <w:sz w:val="20"/>
                <w:lang w:val="fr-CA"/>
              </w:rPr>
            </w:pPr>
            <w:r w:rsidRPr="00354440">
              <w:rPr>
                <w:sz w:val="20"/>
                <w:lang w:val="fr-CA"/>
              </w:rPr>
              <w:t>Cour suprême du Canada</w:t>
            </w:r>
          </w:p>
          <w:p w:rsidR="005F26F2" w:rsidRPr="00354440" w:rsidRDefault="005F26F2" w:rsidP="005F26F2">
            <w:pPr>
              <w:jc w:val="both"/>
              <w:rPr>
                <w:sz w:val="20"/>
                <w:lang w:val="fr-CA"/>
              </w:rPr>
            </w:pPr>
          </w:p>
        </w:tc>
        <w:tc>
          <w:tcPr>
            <w:tcW w:w="243" w:type="pct"/>
          </w:tcPr>
          <w:p w:rsidR="005F26F2" w:rsidRPr="00354440" w:rsidRDefault="005F26F2" w:rsidP="005F26F2">
            <w:pPr>
              <w:jc w:val="both"/>
              <w:rPr>
                <w:sz w:val="20"/>
                <w:lang w:val="fr-CA"/>
              </w:rPr>
            </w:pPr>
          </w:p>
        </w:tc>
        <w:tc>
          <w:tcPr>
            <w:tcW w:w="2330" w:type="pct"/>
          </w:tcPr>
          <w:p w:rsidR="005F26F2" w:rsidRPr="00D06660" w:rsidRDefault="005F26F2" w:rsidP="005F26F2">
            <w:pPr>
              <w:jc w:val="both"/>
              <w:rPr>
                <w:sz w:val="20"/>
                <w:lang w:val="fr-CA"/>
              </w:rPr>
            </w:pPr>
            <w:r w:rsidRPr="00D06660">
              <w:rPr>
                <w:sz w:val="20"/>
                <w:lang w:val="fr-CA"/>
              </w:rPr>
              <w:t>Avis d’appel déposé.</w:t>
            </w:r>
          </w:p>
          <w:p w:rsidR="005F26F2" w:rsidRPr="00354440" w:rsidRDefault="005F26F2" w:rsidP="005F26F2">
            <w:pPr>
              <w:jc w:val="both"/>
              <w:rPr>
                <w:sz w:val="20"/>
              </w:rPr>
            </w:pPr>
          </w:p>
        </w:tc>
      </w:tr>
      <w:tr w:rsidR="005F26F2" w:rsidRPr="00354440" w:rsidTr="005F26F2">
        <w:tc>
          <w:tcPr>
            <w:tcW w:w="2427" w:type="pct"/>
          </w:tcPr>
          <w:p w:rsidR="005F26F2" w:rsidRPr="00354440" w:rsidRDefault="005F26F2" w:rsidP="005F26F2">
            <w:pPr>
              <w:jc w:val="both"/>
              <w:rPr>
                <w:sz w:val="20"/>
                <w:lang w:val="fr-CA"/>
              </w:rPr>
            </w:pPr>
            <w:r w:rsidRPr="00354440">
              <w:rPr>
                <w:sz w:val="20"/>
                <w:lang w:val="fr-CA"/>
              </w:rPr>
              <w:t>Le 22 août 2012</w:t>
            </w:r>
          </w:p>
          <w:p w:rsidR="005F26F2" w:rsidRPr="00354440" w:rsidRDefault="005F26F2" w:rsidP="005F26F2">
            <w:pPr>
              <w:jc w:val="both"/>
              <w:rPr>
                <w:sz w:val="20"/>
                <w:lang w:val="fr-CA"/>
              </w:rPr>
            </w:pPr>
            <w:r w:rsidRPr="00354440">
              <w:rPr>
                <w:sz w:val="20"/>
                <w:lang w:val="fr-CA"/>
              </w:rPr>
              <w:t>Cour suprême du Canada</w:t>
            </w:r>
          </w:p>
        </w:tc>
        <w:tc>
          <w:tcPr>
            <w:tcW w:w="243" w:type="pct"/>
          </w:tcPr>
          <w:p w:rsidR="005F26F2" w:rsidRPr="00354440" w:rsidRDefault="005F26F2" w:rsidP="005F26F2">
            <w:pPr>
              <w:jc w:val="both"/>
              <w:rPr>
                <w:sz w:val="20"/>
                <w:lang w:val="fr-CA"/>
              </w:rPr>
            </w:pPr>
          </w:p>
        </w:tc>
        <w:tc>
          <w:tcPr>
            <w:tcW w:w="2330" w:type="pct"/>
          </w:tcPr>
          <w:p w:rsidR="005F26F2" w:rsidRPr="00D06660" w:rsidRDefault="005F26F2" w:rsidP="005F26F2">
            <w:pPr>
              <w:jc w:val="both"/>
              <w:rPr>
                <w:sz w:val="20"/>
                <w:lang w:val="fr-CA"/>
              </w:rPr>
            </w:pPr>
            <w:r w:rsidRPr="00D06660">
              <w:rPr>
                <w:sz w:val="20"/>
                <w:lang w:val="fr-CA"/>
              </w:rPr>
              <w:t>Demande d’autorisation d’appel déposée.</w:t>
            </w: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69"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6C8B" w:rsidRPr="00ED4B6E" w:rsidTr="00066741">
        <w:trPr>
          <w:cantSplit/>
        </w:trPr>
        <w:tc>
          <w:tcPr>
            <w:tcW w:w="1458" w:type="dxa"/>
          </w:tcPr>
          <w:p w:rsidR="00146C8B" w:rsidRPr="00ED4B6E" w:rsidRDefault="00146C8B" w:rsidP="00066741">
            <w:pPr>
              <w:rPr>
                <w:sz w:val="20"/>
                <w:szCs w:val="20"/>
              </w:rPr>
            </w:pPr>
            <w:r w:rsidRPr="00ED4B6E">
              <w:rPr>
                <w:rStyle w:val="SCCFileNumberChar"/>
                <w:sz w:val="20"/>
                <w:szCs w:val="20"/>
              </w:rPr>
              <w:t>34884</w:t>
            </w:r>
          </w:p>
          <w:p w:rsidR="00146C8B" w:rsidRPr="00ED4B6E" w:rsidRDefault="00146C8B" w:rsidP="00066741">
            <w:pPr>
              <w:rPr>
                <w:b/>
                <w:sz w:val="20"/>
                <w:szCs w:val="20"/>
                <w:lang w:val="fr-CA"/>
              </w:rPr>
            </w:pPr>
          </w:p>
        </w:tc>
        <w:tc>
          <w:tcPr>
            <w:tcW w:w="8118" w:type="dxa"/>
          </w:tcPr>
          <w:p w:rsidR="00146C8B" w:rsidRPr="00ED4B6E" w:rsidRDefault="00146C8B" w:rsidP="00066741">
            <w:pPr>
              <w:jc w:val="both"/>
              <w:rPr>
                <w:sz w:val="20"/>
                <w:szCs w:val="20"/>
              </w:rPr>
            </w:pPr>
            <w:r w:rsidRPr="00146C8B">
              <w:rPr>
                <w:rStyle w:val="SCCLsocChar"/>
                <w:sz w:val="20"/>
                <w:szCs w:val="20"/>
                <w:lang w:val="en-CA"/>
              </w:rPr>
              <w:t>Minister of Citizenship and Immigration</w:t>
            </w:r>
            <w:r w:rsidR="00471E11">
              <w:rPr>
                <w:rStyle w:val="SCCLsocChar"/>
                <w:sz w:val="20"/>
                <w:szCs w:val="20"/>
                <w:lang w:val="en-CA"/>
              </w:rPr>
              <w:t xml:space="preserve"> and</w:t>
            </w:r>
            <w:r w:rsidRPr="00146C8B">
              <w:rPr>
                <w:rStyle w:val="SCCLsocChar"/>
                <w:sz w:val="20"/>
                <w:szCs w:val="20"/>
                <w:lang w:val="en-CA"/>
              </w:rPr>
              <w:t xml:space="preserve"> Minister of Public Safety and Emergency Preparedness v. Mohamed Harkat AND BETWEEN Mohamed Harkat v. Minister of Citizenship and Immigration</w:t>
            </w:r>
            <w:r w:rsidR="00471E11">
              <w:rPr>
                <w:rStyle w:val="SCCLsocChar"/>
                <w:sz w:val="20"/>
                <w:szCs w:val="20"/>
                <w:lang w:val="en-CA"/>
              </w:rPr>
              <w:t xml:space="preserve"> and</w:t>
            </w:r>
            <w:r w:rsidRPr="00146C8B">
              <w:rPr>
                <w:rStyle w:val="SCCLsocChar"/>
                <w:sz w:val="20"/>
                <w:szCs w:val="20"/>
                <w:lang w:val="en-CA"/>
              </w:rPr>
              <w:t xml:space="preserve"> Minister of Public Safety and Emergency Preparedness</w:t>
            </w:r>
            <w:r w:rsidRPr="00ED4B6E">
              <w:rPr>
                <w:sz w:val="20"/>
                <w:szCs w:val="20"/>
              </w:rPr>
              <w:t xml:space="preserve"> (F</w:t>
            </w:r>
            <w:r w:rsidR="00471E11">
              <w:rPr>
                <w:sz w:val="20"/>
                <w:szCs w:val="20"/>
              </w:rPr>
              <w:t>.</w:t>
            </w:r>
            <w:r w:rsidRPr="00ED4B6E">
              <w:rPr>
                <w:sz w:val="20"/>
                <w:szCs w:val="20"/>
              </w:rPr>
              <w:t>C</w:t>
            </w:r>
            <w:r w:rsidR="00471E11">
              <w:rPr>
                <w:sz w:val="20"/>
                <w:szCs w:val="20"/>
              </w:rPr>
              <w:t>.</w:t>
            </w:r>
            <w:r w:rsidRPr="00ED4B6E">
              <w:rPr>
                <w:sz w:val="20"/>
                <w:szCs w:val="20"/>
              </w:rPr>
              <w:t>) (Civil) (By Leave)</w:t>
            </w:r>
          </w:p>
          <w:p w:rsidR="00146C8B" w:rsidRPr="00ED4B6E" w:rsidRDefault="00146C8B" w:rsidP="00066741">
            <w:pPr>
              <w:jc w:val="both"/>
              <w:rPr>
                <w:sz w:val="20"/>
                <w:szCs w:val="20"/>
              </w:rPr>
            </w:pPr>
          </w:p>
        </w:tc>
      </w:tr>
      <w:tr w:rsidR="00146C8B" w:rsidRPr="00ED4B6E" w:rsidTr="00066741">
        <w:trPr>
          <w:cantSplit/>
        </w:trPr>
        <w:tc>
          <w:tcPr>
            <w:tcW w:w="1458" w:type="dxa"/>
          </w:tcPr>
          <w:p w:rsidR="00146C8B" w:rsidRPr="00ED4B6E" w:rsidRDefault="00146C8B" w:rsidP="00066741">
            <w:pPr>
              <w:rPr>
                <w:sz w:val="20"/>
                <w:szCs w:val="20"/>
              </w:rPr>
            </w:pPr>
            <w:r w:rsidRPr="00ED4B6E">
              <w:rPr>
                <w:sz w:val="20"/>
                <w:szCs w:val="20"/>
              </w:rPr>
              <w:t>Coram :</w:t>
            </w:r>
          </w:p>
        </w:tc>
        <w:tc>
          <w:tcPr>
            <w:tcW w:w="8118" w:type="dxa"/>
          </w:tcPr>
          <w:p w:rsidR="00146C8B" w:rsidRPr="00ED4B6E" w:rsidRDefault="00146C8B" w:rsidP="00066741">
            <w:pPr>
              <w:rPr>
                <w:sz w:val="20"/>
                <w:szCs w:val="20"/>
              </w:rPr>
            </w:pPr>
            <w:r w:rsidRPr="00146C8B">
              <w:rPr>
                <w:rStyle w:val="SCCCoramChar"/>
                <w:sz w:val="20"/>
                <w:szCs w:val="20"/>
                <w:lang w:val="en-CA"/>
              </w:rPr>
              <w:t>McLachlin C.J. and Rothstein and Moldaver JJ.</w:t>
            </w:r>
          </w:p>
          <w:p w:rsidR="00146C8B" w:rsidRPr="00ED4B6E" w:rsidRDefault="00146C8B" w:rsidP="00066741">
            <w:pPr>
              <w:rPr>
                <w:sz w:val="20"/>
                <w:szCs w:val="20"/>
                <w:u w:val="single"/>
              </w:rPr>
            </w:pPr>
          </w:p>
        </w:tc>
      </w:tr>
      <w:tr w:rsidR="00146C8B" w:rsidRPr="001D43E1" w:rsidTr="00066741">
        <w:trPr>
          <w:cantSplit/>
        </w:trPr>
        <w:tc>
          <w:tcPr>
            <w:tcW w:w="9576" w:type="dxa"/>
            <w:gridSpan w:val="2"/>
          </w:tcPr>
          <w:p w:rsidR="00146C8B" w:rsidRPr="00ED4B6E" w:rsidRDefault="00146C8B" w:rsidP="00066741">
            <w:pPr>
              <w:pStyle w:val="SCCShortJudgment"/>
              <w:rPr>
                <w:szCs w:val="20"/>
              </w:rPr>
            </w:pPr>
            <w:r w:rsidRPr="00ED4B6E">
              <w:rPr>
                <w:szCs w:val="20"/>
              </w:rPr>
              <w:t>The applications for leave to appeal from the judgment of the Federal Court of Appeal, Number A-76-11, 2012 FCA 122, dated April 25, 2012, are granted without costs.</w:t>
            </w:r>
          </w:p>
          <w:p w:rsidR="00146C8B" w:rsidRPr="00ED4B6E" w:rsidRDefault="00146C8B" w:rsidP="00066741">
            <w:pPr>
              <w:pStyle w:val="SCCShortJudgment"/>
              <w:ind w:firstLine="0"/>
              <w:rPr>
                <w:szCs w:val="20"/>
              </w:rPr>
            </w:pPr>
          </w:p>
          <w:p w:rsidR="00146C8B" w:rsidRPr="00ED4B6E" w:rsidRDefault="00146C8B" w:rsidP="00066741">
            <w:pPr>
              <w:pStyle w:val="SCCShortJudgment"/>
              <w:rPr>
                <w:szCs w:val="20"/>
                <w:lang w:val="fr-CA"/>
              </w:rPr>
            </w:pPr>
            <w:r w:rsidRPr="00ED4B6E">
              <w:rPr>
                <w:szCs w:val="20"/>
                <w:lang w:val="fr-CA"/>
              </w:rPr>
              <w:t>Les demandes d’autorisation d’appel de l’arrêt de la Cour d’appel fédérale, numéro A-76-11, 2012 CAF 122, daté du 25 avril 2012, sont accordées sans dépens.</w:t>
            </w:r>
          </w:p>
          <w:p w:rsidR="00146C8B" w:rsidRPr="00ED4B6E" w:rsidRDefault="00146C8B" w:rsidP="00066741">
            <w:pPr>
              <w:rPr>
                <w:sz w:val="20"/>
                <w:szCs w:val="20"/>
                <w:lang w:val="fr-CA"/>
              </w:rPr>
            </w:pPr>
          </w:p>
        </w:tc>
      </w:tr>
    </w:tbl>
    <w:p w:rsidR="00441FC4" w:rsidRPr="00146C8B"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424D3" w:rsidRPr="00354440" w:rsidTr="00D53740">
        <w:tc>
          <w:tcPr>
            <w:tcW w:w="5000" w:type="pct"/>
            <w:gridSpan w:val="3"/>
          </w:tcPr>
          <w:p w:rsidR="007424D3" w:rsidRPr="00354440" w:rsidRDefault="007424D3" w:rsidP="00D53740">
            <w:pPr>
              <w:jc w:val="both"/>
              <w:rPr>
                <w:rFonts w:eastAsia="Calibri"/>
                <w:smallCaps/>
                <w:sz w:val="20"/>
              </w:rPr>
            </w:pPr>
            <w:r w:rsidRPr="00354440">
              <w:rPr>
                <w:rFonts w:eastAsia="Calibri"/>
                <w:smallCaps/>
                <w:sz w:val="20"/>
              </w:rPr>
              <w:t xml:space="preserve">(Sealing </w:t>
            </w:r>
            <w:r>
              <w:rPr>
                <w:rFonts w:eastAsia="Calibri"/>
                <w:smallCaps/>
                <w:sz w:val="20"/>
              </w:rPr>
              <w:t>O</w:t>
            </w:r>
            <w:r w:rsidRPr="00354440">
              <w:rPr>
                <w:rFonts w:eastAsia="Calibri"/>
                <w:smallCaps/>
                <w:sz w:val="20"/>
              </w:rPr>
              <w:t>rder)</w:t>
            </w:r>
          </w:p>
          <w:p w:rsidR="007424D3" w:rsidRPr="00354440" w:rsidRDefault="007424D3" w:rsidP="00D53740">
            <w:pPr>
              <w:jc w:val="both"/>
              <w:rPr>
                <w:rFonts w:eastAsia="Calibri"/>
                <w:sz w:val="20"/>
              </w:rPr>
            </w:pPr>
          </w:p>
          <w:p w:rsidR="007424D3" w:rsidRPr="00354440" w:rsidRDefault="007424D3" w:rsidP="00D53740">
            <w:pPr>
              <w:jc w:val="both"/>
              <w:rPr>
                <w:rFonts w:eastAsia="Calibri"/>
                <w:sz w:val="20"/>
              </w:rPr>
            </w:pPr>
            <w:r w:rsidRPr="00354440">
              <w:rPr>
                <w:rFonts w:eastAsia="Calibri"/>
                <w:i/>
                <w:sz w:val="20"/>
              </w:rPr>
              <w:t>Charter of Rights</w:t>
            </w:r>
            <w:r w:rsidRPr="00354440">
              <w:rPr>
                <w:rFonts w:eastAsia="Calibri"/>
                <w:sz w:val="20"/>
              </w:rPr>
              <w:t xml:space="preserve"> — Constitutional law — Right to life, liberty and security of person — Fundamental justice — Fair hearing — Immigration law — Evidence — Remedy — Exclusion —Standard of review — Security certificate issued against Mohamed Harkat stating that he is inadmissible to Canada on grounds of security — Whether sections 77(2), 78, 83(1)(</w:t>
            </w:r>
            <w:r w:rsidRPr="00354440">
              <w:rPr>
                <w:rFonts w:eastAsia="Calibri"/>
                <w:i/>
                <w:sz w:val="20"/>
              </w:rPr>
              <w:t>c</w:t>
            </w:r>
            <w:r w:rsidRPr="00354440">
              <w:rPr>
                <w:rFonts w:eastAsia="Calibri"/>
                <w:sz w:val="20"/>
              </w:rPr>
              <w:t>) to (</w:t>
            </w:r>
            <w:r w:rsidRPr="00354440">
              <w:rPr>
                <w:rFonts w:eastAsia="Calibri"/>
                <w:i/>
                <w:sz w:val="20"/>
              </w:rPr>
              <w:t>e</w:t>
            </w:r>
            <w:r w:rsidRPr="00354440">
              <w:rPr>
                <w:rFonts w:eastAsia="Calibri"/>
                <w:sz w:val="20"/>
              </w:rPr>
              <w:t>), 83(1)(</w:t>
            </w:r>
            <w:r w:rsidRPr="00354440">
              <w:rPr>
                <w:rFonts w:eastAsia="Calibri"/>
                <w:i/>
                <w:sz w:val="20"/>
              </w:rPr>
              <w:t>h</w:t>
            </w:r>
            <w:r w:rsidRPr="00354440">
              <w:rPr>
                <w:rFonts w:eastAsia="Calibri"/>
                <w:sz w:val="20"/>
              </w:rPr>
              <w:t>), 83(1)(</w:t>
            </w:r>
            <w:r w:rsidRPr="00354440">
              <w:rPr>
                <w:rFonts w:eastAsia="Calibri"/>
                <w:i/>
                <w:sz w:val="20"/>
              </w:rPr>
              <w:t>i</w:t>
            </w:r>
            <w:r w:rsidRPr="00354440">
              <w:rPr>
                <w:rFonts w:eastAsia="Calibri"/>
                <w:sz w:val="20"/>
              </w:rPr>
              <w:t>), 85.4(2) and 85.5(</w:t>
            </w:r>
            <w:r w:rsidRPr="00354440">
              <w:rPr>
                <w:rFonts w:eastAsia="Calibri"/>
                <w:i/>
                <w:sz w:val="20"/>
              </w:rPr>
              <w:t>b</w:t>
            </w:r>
            <w:r w:rsidRPr="00354440">
              <w:rPr>
                <w:rFonts w:eastAsia="Calibri"/>
                <w:sz w:val="20"/>
              </w:rPr>
              <w:t xml:space="preserve">) of the </w:t>
            </w:r>
            <w:r w:rsidRPr="00354440">
              <w:rPr>
                <w:rFonts w:eastAsia="Calibri"/>
                <w:i/>
                <w:sz w:val="20"/>
              </w:rPr>
              <w:t>Immigration and Refugee Protection Act</w:t>
            </w:r>
            <w:r w:rsidRPr="00354440">
              <w:rPr>
                <w:rFonts w:eastAsia="Calibri"/>
                <w:sz w:val="20"/>
              </w:rPr>
              <w:t xml:space="preserve"> breach section 7 of the </w:t>
            </w:r>
            <w:r w:rsidRPr="00354440">
              <w:rPr>
                <w:rFonts w:eastAsia="Calibri"/>
                <w:i/>
                <w:sz w:val="20"/>
              </w:rPr>
              <w:t>Charter</w:t>
            </w:r>
            <w:r w:rsidRPr="00354440">
              <w:rPr>
                <w:rFonts w:eastAsia="Calibri"/>
                <w:sz w:val="20"/>
              </w:rPr>
              <w:t xml:space="preserve"> and if so, whether the provisions are justified under s. 1 of the </w:t>
            </w:r>
            <w:r w:rsidRPr="00354440">
              <w:rPr>
                <w:rFonts w:eastAsia="Calibri"/>
                <w:i/>
                <w:sz w:val="20"/>
              </w:rPr>
              <w:t>Charter</w:t>
            </w:r>
            <w:r w:rsidRPr="00354440">
              <w:rPr>
                <w:rFonts w:eastAsia="Calibri"/>
                <w:sz w:val="20"/>
              </w:rPr>
              <w:t xml:space="preserve"> — Whether it is a violation of section 7 of the </w:t>
            </w:r>
            <w:r w:rsidRPr="00354440">
              <w:rPr>
                <w:rFonts w:eastAsia="Calibri"/>
                <w:i/>
                <w:sz w:val="20"/>
              </w:rPr>
              <w:t>Charter</w:t>
            </w:r>
            <w:r w:rsidRPr="00354440">
              <w:rPr>
                <w:rFonts w:eastAsia="Calibri"/>
                <w:sz w:val="20"/>
              </w:rPr>
              <w:t xml:space="preserve">, in the context of security certificate cases, to refuse special advocates the right to cross-examine human sources in camera where such witnesses are otherwise available for examination — What is the proper remedy where a person’s section 7 rights are found to be seriously violated due to the destruction of original evidence and where summaries are proffered by the Ministers in pursuit of a person’s removal from Canada to a place where they may be arbitrarily detained and/or tortured — In security certificate proceedings, what standards must be met by the Designated Judge to satisfy this Court’s requirement that there be a “searching review” — Whether informers in security certificate proceedings benefit from a class privilege — What is the proper standard for the exclusion of evidence under section 24(1) of the </w:t>
            </w:r>
            <w:r w:rsidRPr="00354440">
              <w:rPr>
                <w:rFonts w:eastAsia="Calibri"/>
                <w:i/>
                <w:sz w:val="20"/>
              </w:rPr>
              <w:t>Charter</w:t>
            </w:r>
            <w:r w:rsidRPr="00354440">
              <w:rPr>
                <w:rFonts w:eastAsia="Calibri"/>
                <w:sz w:val="20"/>
              </w:rPr>
              <w:t xml:space="preserve"> in security certificate proceedings — What is the standard of appellate review for a trial judge’s decision with respect to a section 24(1) </w:t>
            </w:r>
            <w:r w:rsidRPr="00354440">
              <w:rPr>
                <w:rFonts w:eastAsia="Calibri"/>
                <w:i/>
                <w:sz w:val="20"/>
              </w:rPr>
              <w:t>Charter</w:t>
            </w:r>
            <w:r w:rsidRPr="00354440">
              <w:rPr>
                <w:rFonts w:eastAsia="Calibri"/>
                <w:sz w:val="20"/>
              </w:rPr>
              <w:t xml:space="preserve"> remedy in security certificate proceedings.</w:t>
            </w:r>
          </w:p>
        </w:tc>
      </w:tr>
      <w:tr w:rsidR="007424D3" w:rsidRPr="00354440" w:rsidTr="00D53740">
        <w:tc>
          <w:tcPr>
            <w:tcW w:w="5000" w:type="pct"/>
            <w:gridSpan w:val="3"/>
          </w:tcPr>
          <w:p w:rsidR="007424D3" w:rsidRPr="00354440" w:rsidRDefault="007424D3" w:rsidP="00D53740">
            <w:pPr>
              <w:jc w:val="both"/>
              <w:rPr>
                <w:rFonts w:eastAsia="Calibri"/>
                <w:sz w:val="20"/>
              </w:rPr>
            </w:pPr>
          </w:p>
        </w:tc>
      </w:tr>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In 2008, a security certificate naming Mohamed Harkat as a person inadmissible to Canada on grounds of national security was signed by the Minister of Public Safety and Emergency Preparedness and the Minister of Citizenship and Immigration.  It is alleged that Mr. Harkat is inadmissible on security grounds for engaging in terrorism, being a danger to the security of Canada, and being a member of an organization that there are reasonable grounds to believe engages, has engaged or will engage in terrorism. Mr. Harkat challenged the constitutionality of the security certificate regime, but it was upheld by the Federal Court and the Federal Court of Appeal. The Federal Court also held that a class privilege applied to CSIS human sources, which decision was overturned by the Federal Court of Appeal. The Federal Court was of the view that the destruction by CSIS of originals of conversations did not breach Mr. Harkat’s s. 7 </w:t>
            </w:r>
            <w:r w:rsidRPr="00354440">
              <w:rPr>
                <w:rFonts w:eastAsia="Calibri"/>
                <w:i/>
                <w:sz w:val="20"/>
              </w:rPr>
              <w:t xml:space="preserve">Charter </w:t>
            </w:r>
            <w:r w:rsidRPr="00354440">
              <w:rPr>
                <w:rFonts w:eastAsia="Calibri"/>
                <w:sz w:val="20"/>
              </w:rPr>
              <w:t xml:space="preserve">rights, but the Federal Court of Appeal disagreed and ordered the exclusion of the evidence derived from these originals.  Finally, the Federal Court upheld the reasonableness of the security certificate, but the Federal Court of Appeal overturned this decision in view of its above-mentioned decision to exclude evidence, sending the matter back to the designated judge for a new determination as to the reasonableness of the certificate. </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December 22, 2008</w:t>
            </w:r>
          </w:p>
          <w:p w:rsidR="007424D3" w:rsidRPr="00354440" w:rsidRDefault="007424D3" w:rsidP="00D53740">
            <w:pPr>
              <w:jc w:val="both"/>
              <w:rPr>
                <w:rFonts w:eastAsia="Calibri"/>
                <w:sz w:val="20"/>
              </w:rPr>
            </w:pPr>
            <w:r w:rsidRPr="00354440">
              <w:rPr>
                <w:rFonts w:eastAsia="Calibri"/>
                <w:sz w:val="20"/>
              </w:rPr>
              <w:t>Federal Court</w:t>
            </w:r>
          </w:p>
          <w:p w:rsidR="007424D3" w:rsidRPr="00354440" w:rsidRDefault="007424D3" w:rsidP="00D53740">
            <w:pPr>
              <w:jc w:val="both"/>
              <w:rPr>
                <w:rFonts w:eastAsia="Calibri"/>
                <w:sz w:val="20"/>
              </w:rPr>
            </w:pPr>
            <w:r w:rsidRPr="00354440">
              <w:rPr>
                <w:rFonts w:eastAsia="Calibri"/>
                <w:sz w:val="20"/>
              </w:rPr>
              <w:t>(Noël J.)</w:t>
            </w:r>
          </w:p>
          <w:p w:rsidR="007424D3" w:rsidRPr="00354440" w:rsidRDefault="007424D3" w:rsidP="00D53740">
            <w:pPr>
              <w:jc w:val="both"/>
              <w:rPr>
                <w:rFonts w:eastAsia="Calibri"/>
                <w:sz w:val="20"/>
              </w:rPr>
            </w:pPr>
            <w:r w:rsidRPr="00354440">
              <w:rPr>
                <w:rFonts w:eastAsia="Calibri"/>
                <w:sz w:val="20"/>
              </w:rPr>
              <w:t>2009 FC 204</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Motion by Mohamed Harkat’s special advocates to identify, interview and cross-examine covert human intelligence sources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December 9, 2010</w:t>
            </w:r>
          </w:p>
          <w:p w:rsidR="007424D3" w:rsidRPr="00354440" w:rsidRDefault="007424D3" w:rsidP="00D53740">
            <w:pPr>
              <w:jc w:val="both"/>
              <w:rPr>
                <w:rFonts w:eastAsia="Calibri"/>
                <w:sz w:val="20"/>
              </w:rPr>
            </w:pPr>
            <w:r w:rsidRPr="00354440">
              <w:rPr>
                <w:rFonts w:eastAsia="Calibri"/>
                <w:sz w:val="20"/>
              </w:rPr>
              <w:t>Federal Court</w:t>
            </w:r>
          </w:p>
          <w:p w:rsidR="007424D3" w:rsidRPr="00354440" w:rsidRDefault="007424D3" w:rsidP="00D53740">
            <w:pPr>
              <w:jc w:val="both"/>
              <w:rPr>
                <w:rFonts w:eastAsia="Calibri"/>
                <w:sz w:val="20"/>
              </w:rPr>
            </w:pPr>
            <w:r w:rsidRPr="00354440">
              <w:rPr>
                <w:rFonts w:eastAsia="Calibri"/>
                <w:sz w:val="20"/>
              </w:rPr>
              <w:t>(Noël J.)</w:t>
            </w:r>
          </w:p>
          <w:p w:rsidR="007424D3" w:rsidRPr="00354440" w:rsidRDefault="007424D3" w:rsidP="00D53740">
            <w:pPr>
              <w:jc w:val="both"/>
              <w:rPr>
                <w:rFonts w:eastAsia="Calibri"/>
                <w:sz w:val="20"/>
              </w:rPr>
            </w:pPr>
            <w:r w:rsidRPr="00354440">
              <w:rPr>
                <w:rFonts w:eastAsia="Calibri"/>
                <w:sz w:val="20"/>
              </w:rPr>
              <w:t>2010 FC 1241</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Reasonableness of security certificate issued against Mohamed Harkat on security grounds upheld</w:t>
            </w: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December 9, 2010</w:t>
            </w:r>
          </w:p>
          <w:p w:rsidR="007424D3" w:rsidRPr="00354440" w:rsidRDefault="007424D3" w:rsidP="00D53740">
            <w:pPr>
              <w:jc w:val="both"/>
              <w:rPr>
                <w:rFonts w:eastAsia="Calibri"/>
                <w:sz w:val="20"/>
              </w:rPr>
            </w:pPr>
            <w:r w:rsidRPr="00354440">
              <w:rPr>
                <w:rFonts w:eastAsia="Calibri"/>
                <w:sz w:val="20"/>
              </w:rPr>
              <w:t>Federal Court</w:t>
            </w:r>
          </w:p>
          <w:p w:rsidR="007424D3" w:rsidRPr="00354440" w:rsidRDefault="007424D3" w:rsidP="00D53740">
            <w:pPr>
              <w:jc w:val="both"/>
              <w:rPr>
                <w:rFonts w:eastAsia="Calibri"/>
                <w:sz w:val="20"/>
              </w:rPr>
            </w:pPr>
            <w:r w:rsidRPr="00354440">
              <w:rPr>
                <w:rFonts w:eastAsia="Calibri"/>
                <w:sz w:val="20"/>
              </w:rPr>
              <w:t>(Noël J.)</w:t>
            </w:r>
          </w:p>
          <w:p w:rsidR="007424D3" w:rsidRPr="00354440" w:rsidRDefault="007424D3" w:rsidP="00D53740">
            <w:pPr>
              <w:jc w:val="both"/>
              <w:rPr>
                <w:rFonts w:eastAsia="Calibri"/>
                <w:sz w:val="20"/>
              </w:rPr>
            </w:pPr>
            <w:r w:rsidRPr="00354440">
              <w:rPr>
                <w:rFonts w:eastAsia="Calibri"/>
                <w:sz w:val="20"/>
              </w:rPr>
              <w:t>2010 FC 1242</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Motion by Mohamed Harkat challenging the constitutionality of the security certificate regime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December 9, 2010</w:t>
            </w:r>
          </w:p>
          <w:p w:rsidR="007424D3" w:rsidRPr="00354440" w:rsidRDefault="007424D3" w:rsidP="00D53740">
            <w:pPr>
              <w:jc w:val="both"/>
              <w:rPr>
                <w:rFonts w:eastAsia="Calibri"/>
                <w:sz w:val="20"/>
              </w:rPr>
            </w:pPr>
            <w:r w:rsidRPr="00354440">
              <w:rPr>
                <w:rFonts w:eastAsia="Calibri"/>
                <w:sz w:val="20"/>
              </w:rPr>
              <w:t>Federal Court</w:t>
            </w:r>
          </w:p>
          <w:p w:rsidR="007424D3" w:rsidRPr="00354440" w:rsidRDefault="007424D3" w:rsidP="00D53740">
            <w:pPr>
              <w:jc w:val="both"/>
              <w:rPr>
                <w:rFonts w:eastAsia="Calibri"/>
                <w:sz w:val="20"/>
              </w:rPr>
            </w:pPr>
            <w:r w:rsidRPr="00354440">
              <w:rPr>
                <w:rFonts w:eastAsia="Calibri"/>
                <w:sz w:val="20"/>
              </w:rPr>
              <w:t>(Noël J.)</w:t>
            </w:r>
          </w:p>
          <w:p w:rsidR="007424D3" w:rsidRPr="00354440" w:rsidRDefault="007424D3" w:rsidP="00D53740">
            <w:pPr>
              <w:jc w:val="both"/>
              <w:rPr>
                <w:rFonts w:eastAsia="Calibri"/>
                <w:sz w:val="20"/>
              </w:rPr>
            </w:pPr>
            <w:r w:rsidRPr="00354440">
              <w:rPr>
                <w:rFonts w:eastAsia="Calibri"/>
                <w:sz w:val="20"/>
              </w:rPr>
              <w:t>2010 FC 1243</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Motion by Mohamed Harkat for exclusion of summaries of conversations as evidence or for stay of proceedings because of alleged abuse of process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January 21, 2011</w:t>
            </w:r>
          </w:p>
          <w:p w:rsidR="007424D3" w:rsidRPr="00354440" w:rsidRDefault="007424D3" w:rsidP="00D53740">
            <w:pPr>
              <w:jc w:val="both"/>
              <w:rPr>
                <w:rFonts w:eastAsia="Calibri"/>
                <w:sz w:val="20"/>
              </w:rPr>
            </w:pPr>
            <w:r w:rsidRPr="00354440">
              <w:rPr>
                <w:rFonts w:eastAsia="Calibri"/>
                <w:sz w:val="20"/>
              </w:rPr>
              <w:t>Federal Court</w:t>
            </w:r>
          </w:p>
          <w:p w:rsidR="007424D3" w:rsidRPr="00354440" w:rsidRDefault="007424D3" w:rsidP="00D53740">
            <w:pPr>
              <w:jc w:val="both"/>
              <w:rPr>
                <w:rFonts w:eastAsia="Calibri"/>
                <w:sz w:val="20"/>
              </w:rPr>
            </w:pPr>
            <w:r w:rsidRPr="00354440">
              <w:rPr>
                <w:rFonts w:eastAsia="Calibri"/>
                <w:sz w:val="20"/>
              </w:rPr>
              <w:t>(Noël J.)</w:t>
            </w:r>
          </w:p>
          <w:p w:rsidR="007424D3" w:rsidRPr="00354440" w:rsidRDefault="007424D3" w:rsidP="00D53740">
            <w:pPr>
              <w:jc w:val="both"/>
              <w:rPr>
                <w:rFonts w:eastAsia="Calibri"/>
                <w:sz w:val="20"/>
              </w:rPr>
            </w:pPr>
            <w:r w:rsidRPr="00354440">
              <w:rPr>
                <w:rFonts w:eastAsia="Calibri"/>
                <w:sz w:val="20"/>
              </w:rPr>
              <w:t>2011 FC 75</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Formal judgment as to reasonableness of security certificate and questions certified for appeal</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April 25, 2012</w:t>
            </w:r>
          </w:p>
          <w:p w:rsidR="007424D3" w:rsidRPr="00354440" w:rsidRDefault="007424D3" w:rsidP="00D53740">
            <w:pPr>
              <w:jc w:val="both"/>
              <w:rPr>
                <w:rFonts w:eastAsia="Calibri"/>
                <w:sz w:val="20"/>
              </w:rPr>
            </w:pPr>
            <w:r w:rsidRPr="00354440">
              <w:rPr>
                <w:rFonts w:eastAsia="Calibri"/>
                <w:sz w:val="20"/>
              </w:rPr>
              <w:t>Federal Court of Appeal</w:t>
            </w:r>
          </w:p>
          <w:p w:rsidR="007424D3" w:rsidRPr="00354440" w:rsidRDefault="007424D3" w:rsidP="00D53740">
            <w:pPr>
              <w:jc w:val="both"/>
              <w:rPr>
                <w:rFonts w:eastAsia="Calibri"/>
                <w:sz w:val="20"/>
              </w:rPr>
            </w:pPr>
            <w:r w:rsidRPr="00354440">
              <w:rPr>
                <w:rFonts w:eastAsia="Calibri"/>
                <w:sz w:val="20"/>
              </w:rPr>
              <w:t>(Blais C.J. and Létourneau and Layden-Stevenson JJ.A.)</w:t>
            </w:r>
          </w:p>
          <w:p w:rsidR="007424D3" w:rsidRPr="00354440" w:rsidRDefault="007424D3" w:rsidP="00D53740">
            <w:pPr>
              <w:jc w:val="both"/>
              <w:rPr>
                <w:rFonts w:eastAsia="Calibri"/>
                <w:sz w:val="20"/>
              </w:rPr>
            </w:pPr>
            <w:r w:rsidRPr="00354440">
              <w:rPr>
                <w:rFonts w:eastAsia="Calibri"/>
                <w:sz w:val="20"/>
              </w:rPr>
              <w:t xml:space="preserve">2012 FCA 122 </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Appeal allowed in part</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June 22, 2012</w:t>
            </w:r>
          </w:p>
          <w:p w:rsidR="007424D3" w:rsidRPr="00354440" w:rsidRDefault="007424D3" w:rsidP="00D53740">
            <w:pPr>
              <w:jc w:val="both"/>
              <w:rPr>
                <w:rFonts w:eastAsia="Calibri"/>
                <w:sz w:val="20"/>
              </w:rPr>
            </w:pPr>
            <w:r w:rsidRPr="00354440">
              <w:rPr>
                <w:rFonts w:eastAsia="Calibri"/>
                <w:sz w:val="20"/>
              </w:rPr>
              <w:t>Supreme Court of Canada</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Application for leave to appeal of the Minister of Citizenship and Immigration and the Minister of Public Safety and Emergency Preparedness filed</w:t>
            </w:r>
          </w:p>
          <w:p w:rsidR="007424D3" w:rsidRPr="00354440" w:rsidRDefault="007424D3" w:rsidP="00D53740">
            <w:pPr>
              <w:jc w:val="both"/>
              <w:rPr>
                <w:rFonts w:eastAsia="Calibri"/>
                <w:sz w:val="20"/>
              </w:rPr>
            </w:pPr>
          </w:p>
        </w:tc>
      </w:tr>
      <w:tr w:rsidR="007424D3" w:rsidRPr="00354440" w:rsidTr="00146C8B">
        <w:trPr>
          <w:cantSplit/>
        </w:trPr>
        <w:tc>
          <w:tcPr>
            <w:tcW w:w="2427" w:type="pct"/>
          </w:tcPr>
          <w:p w:rsidR="007424D3" w:rsidRPr="00354440" w:rsidRDefault="007424D3" w:rsidP="00D53740">
            <w:pPr>
              <w:jc w:val="both"/>
              <w:rPr>
                <w:rFonts w:eastAsia="Calibri"/>
                <w:sz w:val="20"/>
              </w:rPr>
            </w:pPr>
            <w:r w:rsidRPr="00354440">
              <w:rPr>
                <w:rFonts w:eastAsia="Calibri"/>
                <w:sz w:val="20"/>
              </w:rPr>
              <w:t>June 25, 2012</w:t>
            </w:r>
          </w:p>
          <w:p w:rsidR="007424D3" w:rsidRPr="00354440" w:rsidRDefault="007424D3" w:rsidP="00D53740">
            <w:pPr>
              <w:jc w:val="both"/>
              <w:rPr>
                <w:rFonts w:eastAsia="Calibri"/>
                <w:sz w:val="20"/>
              </w:rPr>
            </w:pPr>
            <w:r w:rsidRPr="00354440">
              <w:rPr>
                <w:rFonts w:eastAsia="Calibri"/>
                <w:sz w:val="20"/>
              </w:rPr>
              <w:t>Supreme Court of Canada</w:t>
            </w: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 xml:space="preserve">Application for leave to appeal of Mohamed Harkat filed </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70"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424D3" w:rsidRPr="001D43E1" w:rsidTr="00D53740">
        <w:tc>
          <w:tcPr>
            <w:tcW w:w="5000" w:type="pct"/>
            <w:gridSpan w:val="3"/>
          </w:tcPr>
          <w:p w:rsidR="007424D3" w:rsidRPr="00354440" w:rsidRDefault="007424D3" w:rsidP="00D53740">
            <w:pPr>
              <w:jc w:val="both"/>
              <w:rPr>
                <w:rFonts w:eastAsia="Calibri"/>
                <w:smallCaps/>
                <w:sz w:val="20"/>
                <w:lang w:val="fr-CA"/>
              </w:rPr>
            </w:pPr>
            <w:r w:rsidRPr="00354440">
              <w:rPr>
                <w:rFonts w:eastAsia="Calibri"/>
                <w:smallCaps/>
                <w:sz w:val="20"/>
                <w:lang w:val="fr-CA"/>
              </w:rPr>
              <w:t>(Ordonnance de mise sous scellés)</w:t>
            </w:r>
          </w:p>
          <w:p w:rsidR="007424D3" w:rsidRPr="00354440" w:rsidRDefault="007424D3" w:rsidP="00D53740">
            <w:pPr>
              <w:jc w:val="both"/>
              <w:rPr>
                <w:rFonts w:eastAsia="Calibri"/>
                <w:sz w:val="20"/>
                <w:lang w:val="fr-CA"/>
              </w:rPr>
            </w:pPr>
          </w:p>
          <w:p w:rsidR="007424D3" w:rsidRPr="00354440" w:rsidRDefault="007424D3" w:rsidP="00D53740">
            <w:pPr>
              <w:jc w:val="both"/>
              <w:rPr>
                <w:rFonts w:eastAsia="Calibri"/>
                <w:sz w:val="20"/>
                <w:lang w:val="fr-CA"/>
              </w:rPr>
            </w:pPr>
            <w:r w:rsidRPr="00354440">
              <w:rPr>
                <w:rFonts w:eastAsia="Calibri"/>
                <w:i/>
                <w:sz w:val="20"/>
                <w:lang w:val="fr-CA"/>
              </w:rPr>
              <w:t xml:space="preserve">Charte des droits </w:t>
            </w:r>
            <w:r w:rsidRPr="00354440">
              <w:rPr>
                <w:rFonts w:eastAsia="Calibri"/>
                <w:sz w:val="20"/>
                <w:lang w:val="fr-CA"/>
              </w:rPr>
              <w:t>— Droit constitutionnel — Droit à la vie, à la liberté et à la sécurité de la personne — Justice fondamentale — Instruction équitable — Droit de l'immigration — Preuve — Réparation — Exclusion — Norme de contrôle — Certificat de sécurité délivré contre Mohamed Harkat affirmant qu'il est interdit de territoire au Canada pour raisons de sécurité — Les articles 77(2), 78, 83(1)</w:t>
            </w:r>
            <w:r w:rsidRPr="00354440">
              <w:rPr>
                <w:rFonts w:eastAsia="Calibri"/>
                <w:i/>
                <w:sz w:val="20"/>
                <w:lang w:val="fr-CA"/>
              </w:rPr>
              <w:t>c</w:t>
            </w:r>
            <w:r w:rsidRPr="00354440">
              <w:rPr>
                <w:rFonts w:eastAsia="Calibri"/>
                <w:sz w:val="20"/>
                <w:lang w:val="fr-CA"/>
              </w:rPr>
              <w:t xml:space="preserve">) à </w:t>
            </w:r>
            <w:r w:rsidRPr="00354440">
              <w:rPr>
                <w:rFonts w:eastAsia="Calibri"/>
                <w:i/>
                <w:sz w:val="20"/>
                <w:lang w:val="fr-CA"/>
              </w:rPr>
              <w:t>e</w:t>
            </w:r>
            <w:r w:rsidRPr="00354440">
              <w:rPr>
                <w:rFonts w:eastAsia="Calibri"/>
                <w:sz w:val="20"/>
                <w:lang w:val="fr-CA"/>
              </w:rPr>
              <w:t>), 83(1)</w:t>
            </w:r>
            <w:r w:rsidRPr="00354440">
              <w:rPr>
                <w:rFonts w:eastAsia="Calibri"/>
                <w:i/>
                <w:sz w:val="20"/>
                <w:lang w:val="fr-CA"/>
              </w:rPr>
              <w:t>h</w:t>
            </w:r>
            <w:r w:rsidRPr="00354440">
              <w:rPr>
                <w:rFonts w:eastAsia="Calibri"/>
                <w:sz w:val="20"/>
                <w:lang w:val="fr-CA"/>
              </w:rPr>
              <w:t>), 83(1)</w:t>
            </w:r>
            <w:r w:rsidRPr="00354440">
              <w:rPr>
                <w:rFonts w:eastAsia="Calibri"/>
                <w:i/>
                <w:sz w:val="20"/>
                <w:lang w:val="fr-CA"/>
              </w:rPr>
              <w:t>i</w:t>
            </w:r>
            <w:r w:rsidRPr="00354440">
              <w:rPr>
                <w:rFonts w:eastAsia="Calibri"/>
                <w:sz w:val="20"/>
                <w:lang w:val="fr-CA"/>
              </w:rPr>
              <w:t>), 85.4(2) et 85.5</w:t>
            </w:r>
            <w:r w:rsidRPr="00354440">
              <w:rPr>
                <w:rFonts w:eastAsia="Calibri"/>
                <w:i/>
                <w:sz w:val="20"/>
                <w:lang w:val="fr-CA"/>
              </w:rPr>
              <w:t>b</w:t>
            </w:r>
            <w:r w:rsidRPr="00354440">
              <w:rPr>
                <w:rFonts w:eastAsia="Calibri"/>
                <w:sz w:val="20"/>
                <w:lang w:val="fr-CA"/>
              </w:rPr>
              <w:t>) de la</w:t>
            </w:r>
            <w:r w:rsidRPr="00354440">
              <w:rPr>
                <w:rFonts w:eastAsia="Calibri"/>
                <w:i/>
                <w:sz w:val="20"/>
                <w:lang w:val="fr-CA"/>
              </w:rPr>
              <w:t xml:space="preserve"> Loi sur l'immigration et la protection des réfugiés</w:t>
            </w:r>
            <w:r w:rsidRPr="00354440">
              <w:rPr>
                <w:rFonts w:eastAsia="Calibri"/>
                <w:sz w:val="20"/>
                <w:lang w:val="fr-CA"/>
              </w:rPr>
              <w:t xml:space="preserve"> portent</w:t>
            </w:r>
            <w:r w:rsidRPr="00354440">
              <w:rPr>
                <w:rFonts w:eastAsia="Calibri"/>
                <w:sz w:val="20"/>
                <w:lang w:val="fr-CA"/>
              </w:rPr>
              <w:noBreakHyphen/>
              <w:t xml:space="preserve">ils atteinte à l'article 7 de la </w:t>
            </w:r>
            <w:r w:rsidRPr="00354440">
              <w:rPr>
                <w:rFonts w:eastAsia="Calibri"/>
                <w:i/>
                <w:sz w:val="20"/>
                <w:lang w:val="fr-CA"/>
              </w:rPr>
              <w:t>Charte</w:t>
            </w:r>
            <w:r w:rsidRPr="00354440">
              <w:rPr>
                <w:rFonts w:eastAsia="Calibri"/>
                <w:sz w:val="20"/>
                <w:lang w:val="fr-CA"/>
              </w:rPr>
              <w:t xml:space="preserve"> et, dans l'affirmative, l’atteinte est</w:t>
            </w:r>
            <w:r w:rsidRPr="00354440">
              <w:rPr>
                <w:rFonts w:eastAsia="Calibri"/>
                <w:sz w:val="20"/>
                <w:lang w:val="fr-CA"/>
              </w:rPr>
              <w:noBreakHyphen/>
              <w:t xml:space="preserve">elle justifiée au regard de l'article premier de la </w:t>
            </w:r>
            <w:r w:rsidRPr="00354440">
              <w:rPr>
                <w:rFonts w:eastAsia="Calibri"/>
                <w:i/>
                <w:sz w:val="20"/>
                <w:lang w:val="fr-CA"/>
              </w:rPr>
              <w:t>Charte</w:t>
            </w:r>
            <w:r w:rsidRPr="00354440">
              <w:rPr>
                <w:rFonts w:eastAsia="Calibri"/>
                <w:sz w:val="20"/>
                <w:lang w:val="fr-CA"/>
              </w:rPr>
              <w:t>? — Dans le contexte des affaires de certificats de sécurité, est</w:t>
            </w:r>
            <w:r w:rsidRPr="00354440">
              <w:rPr>
                <w:rFonts w:eastAsia="Calibri"/>
                <w:sz w:val="20"/>
                <w:lang w:val="fr-CA"/>
              </w:rPr>
              <w:noBreakHyphen/>
              <w:t xml:space="preserve">ce une atteinte à l'article 7 de la </w:t>
            </w:r>
            <w:r w:rsidRPr="00354440">
              <w:rPr>
                <w:rFonts w:eastAsia="Calibri"/>
                <w:i/>
                <w:sz w:val="20"/>
                <w:lang w:val="fr-CA"/>
              </w:rPr>
              <w:t>Charte</w:t>
            </w:r>
            <w:r w:rsidRPr="00354440">
              <w:rPr>
                <w:rFonts w:eastAsia="Calibri"/>
                <w:sz w:val="20"/>
                <w:lang w:val="fr-CA"/>
              </w:rPr>
              <w:t xml:space="preserve"> que de refuser aux avocats spéciaux le droit de contre</w:t>
            </w:r>
            <w:r w:rsidRPr="00354440">
              <w:rPr>
                <w:rFonts w:eastAsia="Calibri"/>
                <w:sz w:val="20"/>
                <w:lang w:val="fr-CA"/>
              </w:rPr>
              <w:noBreakHyphen/>
              <w:t>interroger à huis clos des sources humaines dans les cas où ces témoins peuvent être interrogés autrement? — Quelle est la réparation appropriée lorsque le tribunal conclut que le droit d'une personne garanti par l'article 7 a été gravement violé en raison de la destruction de la preuve originale et lorsque le ministre présente des résumés pour obtenir le renvoi d’une personne du Canada vers un endroit où elle risque d'être détenue ou torturée de façon arbitraire? — Dans les instances concernant un certificat de sécurité, quelles normes doivent être respectées par le juge désigné pour satisfaire au critère établi par cette Cour, c’est</w:t>
            </w:r>
            <w:r w:rsidRPr="00354440">
              <w:rPr>
                <w:rFonts w:eastAsia="Calibri"/>
                <w:sz w:val="20"/>
                <w:lang w:val="fr-CA"/>
              </w:rPr>
              <w:noBreakHyphen/>
              <w:t>à</w:t>
            </w:r>
            <w:r w:rsidRPr="00354440">
              <w:rPr>
                <w:rFonts w:eastAsia="Calibri"/>
                <w:sz w:val="20"/>
                <w:lang w:val="fr-CA"/>
              </w:rPr>
              <w:noBreakHyphen/>
              <w:t>dire qu’il y ait eu un « examen approfondi »? — Dans les instances concernant un certificat de sécurité, les informateurs jouissent</w:t>
            </w:r>
            <w:r w:rsidRPr="00354440">
              <w:rPr>
                <w:rFonts w:eastAsia="Calibri"/>
                <w:sz w:val="20"/>
                <w:lang w:val="fr-CA"/>
              </w:rPr>
              <w:noBreakHyphen/>
              <w:t>ils d'un privilège générique ? — Quelle norme convient</w:t>
            </w:r>
            <w:r w:rsidRPr="00354440">
              <w:rPr>
                <w:rFonts w:eastAsia="Calibri"/>
                <w:sz w:val="20"/>
                <w:lang w:val="fr-CA"/>
              </w:rPr>
              <w:noBreakHyphen/>
              <w:t xml:space="preserve">il d'appliquer relativement à l'exclusion de la preuve aux termes du paragraphe 24(1) de la </w:t>
            </w:r>
            <w:r w:rsidRPr="00354440">
              <w:rPr>
                <w:rFonts w:eastAsia="Calibri"/>
                <w:i/>
                <w:sz w:val="20"/>
                <w:lang w:val="fr-CA"/>
              </w:rPr>
              <w:t>Charte</w:t>
            </w:r>
            <w:r w:rsidRPr="00354440">
              <w:rPr>
                <w:rFonts w:eastAsia="Calibri"/>
                <w:sz w:val="20"/>
                <w:lang w:val="fr-CA"/>
              </w:rPr>
              <w:t xml:space="preserve"> dans les instances concernant un certificat de sécurité? — Quelle est la norme de contrôle en appel d'une décision du juge de première instance relativement à une réparation aux termes du paragraphe 24(1) de la </w:t>
            </w:r>
            <w:r w:rsidRPr="00354440">
              <w:rPr>
                <w:rFonts w:eastAsia="Calibri"/>
                <w:i/>
                <w:sz w:val="20"/>
                <w:lang w:val="fr-CA"/>
              </w:rPr>
              <w:t>Charte</w:t>
            </w:r>
            <w:r w:rsidRPr="00354440">
              <w:rPr>
                <w:rFonts w:eastAsia="Calibri"/>
                <w:sz w:val="20"/>
                <w:lang w:val="fr-CA"/>
              </w:rPr>
              <w:t xml:space="preserve"> dans une instance concernant un certificat de sécurité?</w:t>
            </w:r>
          </w:p>
        </w:tc>
      </w:tr>
      <w:tr w:rsidR="007424D3" w:rsidRPr="001D43E1" w:rsidTr="00D53740">
        <w:tc>
          <w:tcPr>
            <w:tcW w:w="5000" w:type="pct"/>
            <w:gridSpan w:val="3"/>
          </w:tcPr>
          <w:p w:rsidR="007424D3" w:rsidRPr="00354440" w:rsidRDefault="007424D3" w:rsidP="00D53740">
            <w:pPr>
              <w:jc w:val="both"/>
              <w:rPr>
                <w:rFonts w:eastAsia="Calibri"/>
                <w:sz w:val="20"/>
                <w:lang w:val="fr-CA"/>
              </w:rPr>
            </w:pPr>
          </w:p>
        </w:tc>
      </w:tr>
      <w:tr w:rsidR="007424D3" w:rsidRPr="001D43E1"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En 2008, le ministre de la Sécurité publique et de la Protection civile et le ministre de la Citoyenneté et de l'Immigration ont signé un certificat de sécurité désignant Mohamed Harkat à titre de personne interdite de territoire au Canada pour raison de sécurité nationale.  Il est allégué que M. Harkat est interdit de territoire pour des raisons de sécurité parce qu'il s’est livré au terrorisme, qu’il constitue un danger pour la sécurité du Canada et qu’il est membre d'une organisation dont il y a des motifs raisonnables de croire qu'elle est, a été ou sera l'auteur de terrorisme.  Monsieur Harkat a contesté la constitutionnalité du régime des certificats de sécurité, mais celle</w:t>
            </w:r>
            <w:r w:rsidRPr="00354440">
              <w:rPr>
                <w:rFonts w:eastAsia="Calibri"/>
                <w:sz w:val="20"/>
                <w:lang w:val="fr-CA"/>
              </w:rPr>
              <w:noBreakHyphen/>
              <w:t xml:space="preserve">ci a été confirmée par la Cour fédérale et la Cour d'appel fédérale.  La Cour fédérale a également statué qu'un privilège générique s'appliquait aux sources humaines du SCRS, une décision qui a été infirmée par la Cour d'appel fédérale.  La Cour fédérale était d'avis que la destruction par le SCRS des notes des conversations originales ne portait pas atteinte aux droits de M. Harkat garantis par l'art. 7 de la </w:t>
            </w:r>
            <w:r w:rsidRPr="00354440">
              <w:rPr>
                <w:rFonts w:eastAsia="Calibri"/>
                <w:i/>
                <w:sz w:val="20"/>
                <w:lang w:val="fr-CA"/>
              </w:rPr>
              <w:t>Charte</w:t>
            </w:r>
            <w:r w:rsidRPr="00354440">
              <w:rPr>
                <w:rFonts w:eastAsia="Calibri"/>
                <w:sz w:val="20"/>
                <w:lang w:val="fr-CA"/>
              </w:rPr>
              <w:t xml:space="preserve">, mais la Cour d'appel fédérale n'était pas d'accord et a ordonné l'exclusion de la preuve tirée de ces notes originales.  Enfin, la Cour fédérale a confirmé le caractère raisonnable du certificat de sécurité, mais la Cour d'appel fédérale a infirmé cette décision, vu sa décision susmentionnée d'exclure la preuve, renvoyant l'affaire au juge désigné pour qu’il rende une nouvelle décision relativement au caractère raisonnable du certificat. </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22 décembre 2008</w:t>
            </w:r>
          </w:p>
          <w:p w:rsidR="007424D3" w:rsidRPr="00354440" w:rsidRDefault="007424D3" w:rsidP="00D53740">
            <w:pPr>
              <w:jc w:val="both"/>
              <w:rPr>
                <w:rFonts w:eastAsia="Calibri"/>
                <w:sz w:val="20"/>
                <w:lang w:val="fr-CA"/>
              </w:rPr>
            </w:pPr>
            <w:r w:rsidRPr="00354440">
              <w:rPr>
                <w:rFonts w:eastAsia="Calibri"/>
                <w:sz w:val="20"/>
                <w:lang w:val="fr-CA"/>
              </w:rPr>
              <w:t xml:space="preserve">Cour fédérale </w:t>
            </w:r>
          </w:p>
          <w:p w:rsidR="007424D3" w:rsidRPr="00354440" w:rsidRDefault="007424D3" w:rsidP="00D53740">
            <w:pPr>
              <w:jc w:val="both"/>
              <w:rPr>
                <w:rFonts w:eastAsia="Calibri"/>
                <w:sz w:val="20"/>
                <w:lang w:val="fr-CA"/>
              </w:rPr>
            </w:pPr>
            <w:r w:rsidRPr="00354440">
              <w:rPr>
                <w:rFonts w:eastAsia="Calibri"/>
                <w:sz w:val="20"/>
                <w:lang w:val="fr-CA"/>
              </w:rPr>
              <w:t>(Juge Noël.)</w:t>
            </w:r>
          </w:p>
          <w:p w:rsidR="007424D3" w:rsidRPr="00354440" w:rsidRDefault="007424D3" w:rsidP="00D53740">
            <w:pPr>
              <w:jc w:val="both"/>
              <w:rPr>
                <w:rFonts w:eastAsia="Calibri"/>
                <w:sz w:val="20"/>
                <w:lang w:val="fr-CA"/>
              </w:rPr>
            </w:pPr>
            <w:r w:rsidRPr="00354440">
              <w:rPr>
                <w:rFonts w:eastAsia="Calibri"/>
                <w:sz w:val="20"/>
                <w:lang w:val="fr-CA"/>
              </w:rPr>
              <w:t>2009 FC 204</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Requête des avocats spéciaux de Mohamed Harkat en vue d'identifier, de rencontrer et de contre</w:t>
            </w:r>
            <w:r w:rsidRPr="00354440">
              <w:rPr>
                <w:rFonts w:eastAsia="Calibri"/>
                <w:sz w:val="20"/>
                <w:lang w:val="fr-CA"/>
              </w:rPr>
              <w:noBreakHyphen/>
              <w:t xml:space="preserve">interroger les sources humaines secrètes de renseignement, rejetée </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9 décembre 2010</w:t>
            </w:r>
          </w:p>
          <w:p w:rsidR="007424D3" w:rsidRPr="00354440" w:rsidRDefault="007424D3" w:rsidP="00D53740">
            <w:pPr>
              <w:jc w:val="both"/>
              <w:rPr>
                <w:rFonts w:eastAsia="Calibri"/>
                <w:sz w:val="20"/>
                <w:lang w:val="fr-CA"/>
              </w:rPr>
            </w:pPr>
            <w:r w:rsidRPr="00354440">
              <w:rPr>
                <w:rFonts w:eastAsia="Calibri"/>
                <w:sz w:val="20"/>
                <w:lang w:val="fr-CA"/>
              </w:rPr>
              <w:t xml:space="preserve">Cour fédérale </w:t>
            </w:r>
          </w:p>
          <w:p w:rsidR="007424D3" w:rsidRPr="00354440" w:rsidRDefault="007424D3" w:rsidP="00D53740">
            <w:pPr>
              <w:jc w:val="both"/>
              <w:rPr>
                <w:rFonts w:eastAsia="Calibri"/>
                <w:sz w:val="20"/>
                <w:lang w:val="fr-CA"/>
              </w:rPr>
            </w:pPr>
            <w:r w:rsidRPr="00354440">
              <w:rPr>
                <w:rFonts w:eastAsia="Calibri"/>
                <w:sz w:val="20"/>
                <w:lang w:val="fr-CA"/>
              </w:rPr>
              <w:t>(Juge Noël)</w:t>
            </w:r>
          </w:p>
          <w:p w:rsidR="007424D3" w:rsidRPr="00354440" w:rsidRDefault="007424D3" w:rsidP="00D53740">
            <w:pPr>
              <w:jc w:val="both"/>
              <w:rPr>
                <w:rFonts w:eastAsia="Calibri"/>
                <w:sz w:val="20"/>
                <w:lang w:val="fr-CA"/>
              </w:rPr>
            </w:pPr>
            <w:r w:rsidRPr="00354440">
              <w:rPr>
                <w:rFonts w:eastAsia="Calibri"/>
                <w:sz w:val="20"/>
                <w:lang w:val="fr-CA"/>
              </w:rPr>
              <w:t>2010 FC 1241</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Caractère raisonnable du certificat de sécurité délivré contre Mohamed Harkat pour raisons de sécurité, confirmé</w:t>
            </w: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9 décembre 2010</w:t>
            </w:r>
          </w:p>
          <w:p w:rsidR="007424D3" w:rsidRPr="00354440" w:rsidRDefault="007424D3" w:rsidP="00D53740">
            <w:pPr>
              <w:jc w:val="both"/>
              <w:rPr>
                <w:rFonts w:eastAsia="Calibri"/>
                <w:sz w:val="20"/>
                <w:lang w:val="fr-CA"/>
              </w:rPr>
            </w:pPr>
            <w:r w:rsidRPr="00354440">
              <w:rPr>
                <w:rFonts w:eastAsia="Calibri"/>
                <w:sz w:val="20"/>
                <w:lang w:val="fr-CA"/>
              </w:rPr>
              <w:t xml:space="preserve">Cour fédérale </w:t>
            </w:r>
          </w:p>
          <w:p w:rsidR="007424D3" w:rsidRPr="00354440" w:rsidRDefault="007424D3" w:rsidP="00D53740">
            <w:pPr>
              <w:jc w:val="both"/>
              <w:rPr>
                <w:rFonts w:eastAsia="Calibri"/>
                <w:sz w:val="20"/>
                <w:lang w:val="fr-CA"/>
              </w:rPr>
            </w:pPr>
            <w:r w:rsidRPr="00354440">
              <w:rPr>
                <w:rFonts w:eastAsia="Calibri"/>
                <w:sz w:val="20"/>
                <w:lang w:val="fr-CA"/>
              </w:rPr>
              <w:t>(Juge Noël)</w:t>
            </w:r>
          </w:p>
          <w:p w:rsidR="007424D3" w:rsidRPr="00354440" w:rsidRDefault="007424D3" w:rsidP="00D53740">
            <w:pPr>
              <w:jc w:val="both"/>
              <w:rPr>
                <w:rFonts w:eastAsia="Calibri"/>
                <w:sz w:val="20"/>
                <w:lang w:val="fr-CA"/>
              </w:rPr>
            </w:pPr>
            <w:r w:rsidRPr="00354440">
              <w:rPr>
                <w:rFonts w:eastAsia="Calibri"/>
                <w:sz w:val="20"/>
                <w:lang w:val="fr-CA"/>
              </w:rPr>
              <w:t>2010 FC 1242</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Requête de Mohamed Harkat contestant la constitutionnalité du régime de certificats de sécurité, rejetée</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9 décembre 2010</w:t>
            </w:r>
          </w:p>
          <w:p w:rsidR="007424D3" w:rsidRPr="00354440" w:rsidRDefault="007424D3" w:rsidP="00D53740">
            <w:pPr>
              <w:jc w:val="both"/>
              <w:rPr>
                <w:rFonts w:eastAsia="Calibri"/>
                <w:sz w:val="20"/>
                <w:lang w:val="fr-CA"/>
              </w:rPr>
            </w:pPr>
            <w:r w:rsidRPr="00354440">
              <w:rPr>
                <w:rFonts w:eastAsia="Calibri"/>
                <w:sz w:val="20"/>
                <w:lang w:val="fr-CA"/>
              </w:rPr>
              <w:t xml:space="preserve">Cour fédérale </w:t>
            </w:r>
          </w:p>
          <w:p w:rsidR="007424D3" w:rsidRPr="00354440" w:rsidRDefault="007424D3" w:rsidP="00D53740">
            <w:pPr>
              <w:jc w:val="both"/>
              <w:rPr>
                <w:rFonts w:eastAsia="Calibri"/>
                <w:sz w:val="20"/>
                <w:lang w:val="fr-CA"/>
              </w:rPr>
            </w:pPr>
            <w:r w:rsidRPr="00354440">
              <w:rPr>
                <w:rFonts w:eastAsia="Calibri"/>
                <w:sz w:val="20"/>
                <w:lang w:val="fr-CA"/>
              </w:rPr>
              <w:t>(Juge Noël)</w:t>
            </w:r>
          </w:p>
          <w:p w:rsidR="007424D3" w:rsidRPr="00354440" w:rsidRDefault="007424D3" w:rsidP="00D53740">
            <w:pPr>
              <w:jc w:val="both"/>
              <w:rPr>
                <w:rFonts w:eastAsia="Calibri"/>
                <w:sz w:val="20"/>
                <w:lang w:val="fr-CA"/>
              </w:rPr>
            </w:pPr>
            <w:r w:rsidRPr="00354440">
              <w:rPr>
                <w:rFonts w:eastAsia="Calibri"/>
                <w:sz w:val="20"/>
                <w:lang w:val="fr-CA"/>
              </w:rPr>
              <w:t>2010 FC 1243</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 xml:space="preserve">Requête de Mohamed Harkat en vue de faire exclure de la preuve le résumé des conversations ou en arrêt des procédures pour cause d’abus de procédure présumé, rejetée </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21 janvier 2011</w:t>
            </w:r>
          </w:p>
          <w:p w:rsidR="007424D3" w:rsidRPr="00354440" w:rsidRDefault="007424D3" w:rsidP="00D53740">
            <w:pPr>
              <w:jc w:val="both"/>
              <w:rPr>
                <w:rFonts w:eastAsia="Calibri"/>
                <w:sz w:val="20"/>
                <w:lang w:val="fr-CA"/>
              </w:rPr>
            </w:pPr>
            <w:r w:rsidRPr="00354440">
              <w:rPr>
                <w:rFonts w:eastAsia="Calibri"/>
                <w:sz w:val="20"/>
                <w:lang w:val="fr-CA"/>
              </w:rPr>
              <w:t xml:space="preserve">Cour fédérale </w:t>
            </w:r>
          </w:p>
          <w:p w:rsidR="007424D3" w:rsidRPr="00354440" w:rsidRDefault="007424D3" w:rsidP="00D53740">
            <w:pPr>
              <w:jc w:val="both"/>
              <w:rPr>
                <w:rFonts w:eastAsia="Calibri"/>
                <w:sz w:val="20"/>
                <w:lang w:val="fr-CA"/>
              </w:rPr>
            </w:pPr>
            <w:r w:rsidRPr="00354440">
              <w:rPr>
                <w:rFonts w:eastAsia="Calibri"/>
                <w:sz w:val="20"/>
                <w:lang w:val="fr-CA"/>
              </w:rPr>
              <w:t>(Juge Noël)</w:t>
            </w:r>
          </w:p>
          <w:p w:rsidR="007424D3" w:rsidRPr="00354440" w:rsidRDefault="007424D3" w:rsidP="00D53740">
            <w:pPr>
              <w:jc w:val="both"/>
              <w:rPr>
                <w:rFonts w:eastAsia="Calibri"/>
                <w:sz w:val="20"/>
                <w:lang w:val="fr-CA"/>
              </w:rPr>
            </w:pPr>
            <w:r w:rsidRPr="00354440">
              <w:rPr>
                <w:rFonts w:eastAsia="Calibri"/>
                <w:sz w:val="20"/>
                <w:lang w:val="fr-CA"/>
              </w:rPr>
              <w:t>2011 FC 75</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Jugement officiel quant au caractère raisonnable du certificat de sécurité et questions certifiées en vue de l’appel</w:t>
            </w:r>
          </w:p>
          <w:p w:rsidR="007424D3" w:rsidRPr="00354440" w:rsidRDefault="007424D3" w:rsidP="00D53740">
            <w:pPr>
              <w:jc w:val="both"/>
              <w:rPr>
                <w:rFonts w:eastAsia="Calibri"/>
                <w:sz w:val="20"/>
                <w:lang w:val="fr-CA"/>
              </w:rPr>
            </w:pPr>
          </w:p>
        </w:tc>
      </w:tr>
      <w:tr w:rsidR="007424D3" w:rsidRPr="00354440"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25 avril 2012</w:t>
            </w:r>
          </w:p>
          <w:p w:rsidR="007424D3" w:rsidRPr="00354440" w:rsidRDefault="007424D3" w:rsidP="00D53740">
            <w:pPr>
              <w:jc w:val="both"/>
              <w:rPr>
                <w:rFonts w:eastAsia="Calibri"/>
                <w:sz w:val="20"/>
                <w:lang w:val="fr-CA"/>
              </w:rPr>
            </w:pPr>
            <w:r w:rsidRPr="00354440">
              <w:rPr>
                <w:rFonts w:eastAsia="Calibri"/>
                <w:sz w:val="20"/>
                <w:lang w:val="fr-CA"/>
              </w:rPr>
              <w:t xml:space="preserve">Cour d'appel fédérale </w:t>
            </w:r>
          </w:p>
          <w:p w:rsidR="007424D3" w:rsidRPr="00354440" w:rsidRDefault="007424D3" w:rsidP="00D53740">
            <w:pPr>
              <w:jc w:val="both"/>
              <w:rPr>
                <w:rFonts w:eastAsia="Calibri"/>
                <w:sz w:val="20"/>
                <w:lang w:val="fr-CA"/>
              </w:rPr>
            </w:pPr>
            <w:r w:rsidRPr="00354440">
              <w:rPr>
                <w:rFonts w:eastAsia="Calibri"/>
                <w:sz w:val="20"/>
                <w:lang w:val="fr-CA"/>
              </w:rPr>
              <w:t>(Juge en chef Blais, juges Létourneau et Layden</w:t>
            </w:r>
            <w:r w:rsidRPr="00354440">
              <w:rPr>
                <w:rFonts w:eastAsia="Calibri"/>
                <w:sz w:val="20"/>
                <w:lang w:val="fr-CA"/>
              </w:rPr>
              <w:noBreakHyphen/>
              <w:t>Stevenson)</w:t>
            </w:r>
          </w:p>
          <w:p w:rsidR="007424D3" w:rsidRPr="00354440" w:rsidRDefault="007424D3" w:rsidP="00D53740">
            <w:pPr>
              <w:jc w:val="both"/>
              <w:rPr>
                <w:rFonts w:eastAsia="Calibri"/>
                <w:sz w:val="20"/>
                <w:lang w:val="fr-CA"/>
              </w:rPr>
            </w:pPr>
            <w:r w:rsidRPr="00354440">
              <w:rPr>
                <w:rFonts w:eastAsia="Calibri"/>
                <w:sz w:val="20"/>
                <w:lang w:val="fr-CA"/>
              </w:rPr>
              <w:t xml:space="preserve">2012 FCA 122 </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Appel accueilli en partie</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22 juin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p w:rsidR="007424D3" w:rsidRPr="00354440" w:rsidRDefault="007424D3" w:rsidP="00D53740">
            <w:pPr>
              <w:jc w:val="both"/>
              <w:rPr>
                <w:rFonts w:eastAsia="Calibri"/>
                <w:sz w:val="20"/>
                <w:lang w:val="fr-CA"/>
              </w:rPr>
            </w:pP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Demande d'autorisation d'appel du ministre de la Citoyenneté et de l'Immigration et du ministre de la Sécurité publique et de la Protection civile, déposée</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25 juin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Demande d'autorisation d'appel de Mohamed Harkat, déposée</w:t>
            </w:r>
          </w:p>
        </w:tc>
      </w:tr>
    </w:tbl>
    <w:p w:rsidR="00441FC4" w:rsidRPr="007424D3" w:rsidRDefault="00441FC4" w:rsidP="00441FC4">
      <w:pPr>
        <w:rPr>
          <w:sz w:val="20"/>
          <w:szCs w:val="20"/>
          <w:lang w:val="fr-CA"/>
        </w:rPr>
      </w:pPr>
    </w:p>
    <w:p w:rsidR="00441FC4" w:rsidRDefault="00DB239D" w:rsidP="00441FC4">
      <w:pPr>
        <w:rPr>
          <w:sz w:val="20"/>
          <w:szCs w:val="20"/>
          <w:lang w:val="fr-CA"/>
        </w:rPr>
      </w:pPr>
      <w:r w:rsidRPr="00DB239D">
        <w:rPr>
          <w:sz w:val="20"/>
          <w:szCs w:val="20"/>
          <w:lang w:val="fr-CA"/>
        </w:rPr>
        <w:pict>
          <v:rect id="_x0000_i1071"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6C8B" w:rsidRPr="00296811" w:rsidTr="00066741">
        <w:trPr>
          <w:cantSplit/>
        </w:trPr>
        <w:tc>
          <w:tcPr>
            <w:tcW w:w="1458" w:type="dxa"/>
          </w:tcPr>
          <w:p w:rsidR="00146C8B" w:rsidRPr="00ED4B6E" w:rsidRDefault="00146C8B" w:rsidP="00066741">
            <w:pPr>
              <w:rPr>
                <w:sz w:val="20"/>
                <w:szCs w:val="20"/>
              </w:rPr>
            </w:pPr>
            <w:r w:rsidRPr="00ED4B6E">
              <w:rPr>
                <w:rStyle w:val="SCCFileNumberChar"/>
                <w:sz w:val="20"/>
                <w:szCs w:val="20"/>
              </w:rPr>
              <w:t>34908</w:t>
            </w:r>
          </w:p>
          <w:p w:rsidR="00146C8B" w:rsidRPr="00ED4B6E" w:rsidRDefault="00146C8B" w:rsidP="00066741">
            <w:pPr>
              <w:rPr>
                <w:b/>
                <w:sz w:val="20"/>
                <w:szCs w:val="20"/>
                <w:lang w:val="fr-CA"/>
              </w:rPr>
            </w:pPr>
          </w:p>
        </w:tc>
        <w:tc>
          <w:tcPr>
            <w:tcW w:w="8118" w:type="dxa"/>
          </w:tcPr>
          <w:p w:rsidR="00146C8B" w:rsidRPr="00296811" w:rsidRDefault="00146C8B" w:rsidP="00066741">
            <w:pPr>
              <w:jc w:val="both"/>
              <w:rPr>
                <w:sz w:val="20"/>
                <w:szCs w:val="20"/>
                <w:lang w:val="fr-CA"/>
              </w:rPr>
            </w:pPr>
            <w:r w:rsidRPr="00ED4B6E">
              <w:rPr>
                <w:rStyle w:val="SCCLsocChar"/>
                <w:sz w:val="20"/>
                <w:szCs w:val="20"/>
              </w:rPr>
              <w:t>Conseil Scolaire Francophone de la Colombie-Britannique, Hélène Reid, Paul Rostagno, Annette Azar-Diehl, Pierre Massicotte, Line Beauchemin, Alain Milot, Mélanie Boucher, Valérie Walters, Caroline Bédard, Lise Buitendyk, Isabelle Chenail, Kim Gerry, Louise Baldo, Nicole Leblanc, Guy Bourbeau, Suzanne Martin, Lise Séguin, Kim Davis, Valérie Sicotte, Chantal Ricard, Nadie Savard, Marie-Christine Wilson, Stéphane Perron, Marie-Nicole Dubois, Bruno Calvignac, Carine Hutchinson, Jackie Pallard, Kathleen Bayzand, Guy Champoux, Rachel Chirico, Cate Korinth, Ann Quarterman et Caroline Rousselle c. Sa Majesté La Reine du chef de la province de Colombie-Britannique</w:t>
            </w:r>
            <w:r w:rsidR="00D06240">
              <w:rPr>
                <w:rStyle w:val="SCCLsocChar"/>
                <w:sz w:val="20"/>
                <w:szCs w:val="20"/>
              </w:rPr>
              <w:t xml:space="preserve"> et</w:t>
            </w:r>
            <w:r w:rsidRPr="00ED4B6E">
              <w:rPr>
                <w:rStyle w:val="SCCLsocChar"/>
                <w:sz w:val="20"/>
                <w:szCs w:val="20"/>
              </w:rPr>
              <w:t xml:space="preserve"> Ministre de l'Éducation de la province de Colombie-Britannique</w:t>
            </w:r>
            <w:r w:rsidRPr="00ED4B6E">
              <w:rPr>
                <w:sz w:val="20"/>
                <w:szCs w:val="20"/>
                <w:lang w:val="fr-CA"/>
              </w:rPr>
              <w:t xml:space="preserve"> (C.-B.) </w:t>
            </w:r>
            <w:r w:rsidRPr="00296811">
              <w:rPr>
                <w:sz w:val="20"/>
                <w:szCs w:val="20"/>
                <w:lang w:val="fr-CA"/>
              </w:rPr>
              <w:t>(Civile) (Autorisation)</w:t>
            </w:r>
          </w:p>
          <w:p w:rsidR="00146C8B" w:rsidRPr="00296811" w:rsidRDefault="00146C8B" w:rsidP="00066741">
            <w:pPr>
              <w:jc w:val="both"/>
              <w:rPr>
                <w:sz w:val="20"/>
                <w:szCs w:val="20"/>
                <w:lang w:val="fr-CA"/>
              </w:rPr>
            </w:pPr>
          </w:p>
        </w:tc>
      </w:tr>
      <w:tr w:rsidR="00146C8B" w:rsidRPr="001D43E1" w:rsidTr="00066741">
        <w:trPr>
          <w:cantSplit/>
        </w:trPr>
        <w:tc>
          <w:tcPr>
            <w:tcW w:w="1458" w:type="dxa"/>
          </w:tcPr>
          <w:p w:rsidR="00146C8B" w:rsidRPr="00ED4B6E" w:rsidRDefault="00146C8B" w:rsidP="00066741">
            <w:pPr>
              <w:rPr>
                <w:sz w:val="20"/>
                <w:szCs w:val="20"/>
              </w:rPr>
            </w:pPr>
            <w:r w:rsidRPr="00ED4B6E">
              <w:rPr>
                <w:sz w:val="20"/>
                <w:szCs w:val="20"/>
              </w:rPr>
              <w:t>Coram :</w:t>
            </w:r>
          </w:p>
        </w:tc>
        <w:tc>
          <w:tcPr>
            <w:tcW w:w="8118" w:type="dxa"/>
          </w:tcPr>
          <w:p w:rsidR="00146C8B" w:rsidRPr="00ED4B6E" w:rsidRDefault="00146C8B" w:rsidP="00066741">
            <w:pPr>
              <w:rPr>
                <w:sz w:val="20"/>
                <w:szCs w:val="20"/>
                <w:lang w:val="fr-CA"/>
              </w:rPr>
            </w:pPr>
            <w:r w:rsidRPr="00ED4B6E">
              <w:rPr>
                <w:rStyle w:val="SCCCoramChar"/>
                <w:sz w:val="20"/>
                <w:szCs w:val="20"/>
              </w:rPr>
              <w:t>Les juges LeBel, Fish et Karakatsanis</w:t>
            </w:r>
          </w:p>
          <w:p w:rsidR="00146C8B" w:rsidRPr="00ED4B6E" w:rsidRDefault="00146C8B" w:rsidP="00066741">
            <w:pPr>
              <w:rPr>
                <w:sz w:val="20"/>
                <w:szCs w:val="20"/>
                <w:u w:val="single"/>
                <w:lang w:val="fr-CA"/>
              </w:rPr>
            </w:pPr>
          </w:p>
        </w:tc>
      </w:tr>
      <w:tr w:rsidR="00146C8B" w:rsidRPr="00ED4B6E" w:rsidTr="00066741">
        <w:trPr>
          <w:cantSplit/>
        </w:trPr>
        <w:tc>
          <w:tcPr>
            <w:tcW w:w="9576" w:type="dxa"/>
            <w:gridSpan w:val="2"/>
          </w:tcPr>
          <w:p w:rsidR="00146C8B" w:rsidRPr="00ED4B6E" w:rsidRDefault="00146C8B" w:rsidP="00066741">
            <w:pPr>
              <w:pStyle w:val="SCCShortJudgment"/>
              <w:rPr>
                <w:szCs w:val="20"/>
                <w:lang w:val="fr-CA"/>
              </w:rPr>
            </w:pPr>
            <w:r w:rsidRPr="00ED4B6E">
              <w:rPr>
                <w:szCs w:val="20"/>
                <w:lang w:val="fr-CA"/>
              </w:rPr>
              <w:t>La requête pour abrègement des délais est accueillie. La demande d’autorisation d’appel de l’arrêt de la Cour d’appel de la Colombie-Britannique (Vancouver), numéro CA039196, 2012 BCCA 282, daté du 27 juin 2012, est accueillie avec dépens suivant l’issue de la cause.</w:t>
            </w:r>
          </w:p>
          <w:p w:rsidR="00146C8B" w:rsidRPr="00ED4B6E" w:rsidRDefault="00146C8B" w:rsidP="00066741">
            <w:pPr>
              <w:pStyle w:val="SCCShortJudgment"/>
              <w:ind w:firstLine="0"/>
              <w:rPr>
                <w:szCs w:val="20"/>
                <w:lang w:val="fr-CA"/>
              </w:rPr>
            </w:pPr>
          </w:p>
          <w:p w:rsidR="00146C8B" w:rsidRPr="00ED4B6E" w:rsidRDefault="00146C8B" w:rsidP="00066741">
            <w:pPr>
              <w:pStyle w:val="SCCShortJudgment"/>
              <w:rPr>
                <w:szCs w:val="20"/>
              </w:rPr>
            </w:pPr>
            <w:r w:rsidRPr="00ED4B6E">
              <w:rPr>
                <w:szCs w:val="20"/>
              </w:rPr>
              <w:t>The motion for an abridgement of time is granted. The application for leave to appeal from the judgment of the Court of Appeal for British Columbia (Vancouver), Number CA039196, 2012 BCCA 282, dated June 27, 2012, is granted with costs in the cause.</w:t>
            </w:r>
          </w:p>
        </w:tc>
      </w:tr>
    </w:tbl>
    <w:p w:rsidR="00441FC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Civil litigation — Admissibility — Exhibits — Application for declaration that un-translated exhibits in French language, attached to an affidavit, be considered by court without certified translation dismissed — Whether 1731 statute received from England, which provides that English is language of courts and prohibits admission of exhibits in language other than English without certified translation, is still in force in British Columbia — Whether trial judge presiding over civil proceedings has discretion to admit documentary evidence in language other than English without certified translation — </w:t>
            </w:r>
            <w:r w:rsidRPr="00354440">
              <w:rPr>
                <w:rFonts w:eastAsia="Calibri"/>
                <w:i/>
                <w:sz w:val="20"/>
              </w:rPr>
              <w:t>Proceedings in the Courts of Justice Act</w:t>
            </w:r>
            <w:r w:rsidRPr="00354440">
              <w:rPr>
                <w:rFonts w:eastAsia="Calibri"/>
                <w:sz w:val="20"/>
              </w:rPr>
              <w:t>, 1731 (U.K.), 4 Geo. II, c. 26.</w:t>
            </w:r>
          </w:p>
        </w:tc>
      </w:tr>
      <w:tr w:rsidR="007424D3" w:rsidRPr="00354440" w:rsidTr="00D53740">
        <w:trPr>
          <w:trHeight w:val="225"/>
        </w:trPr>
        <w:tc>
          <w:tcPr>
            <w:tcW w:w="5000" w:type="pct"/>
            <w:gridSpan w:val="3"/>
          </w:tcPr>
          <w:p w:rsidR="007424D3" w:rsidRPr="00354440" w:rsidRDefault="007424D3" w:rsidP="00D53740">
            <w:pPr>
              <w:jc w:val="both"/>
              <w:rPr>
                <w:rFonts w:eastAsia="Calibri"/>
                <w:sz w:val="20"/>
              </w:rPr>
            </w:pPr>
          </w:p>
        </w:tc>
      </w:tr>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The applicants brought an action against the Province of British Columbia and the Minister of Education (collectively, the “Province”) alleging violations of the Province’s constitutional obligations under s. 23 of the </w:t>
            </w:r>
            <w:r w:rsidRPr="00354440">
              <w:rPr>
                <w:rFonts w:eastAsia="Calibri"/>
                <w:i/>
                <w:sz w:val="20"/>
              </w:rPr>
              <w:t>Canadian Charter</w:t>
            </w:r>
            <w:r w:rsidRPr="00354440">
              <w:rPr>
                <w:rFonts w:eastAsia="Calibri"/>
                <w:sz w:val="20"/>
              </w:rPr>
              <w:t xml:space="preserve"> </w:t>
            </w:r>
            <w:r w:rsidRPr="00354440">
              <w:rPr>
                <w:rFonts w:eastAsia="Calibri"/>
                <w:i/>
                <w:sz w:val="20"/>
              </w:rPr>
              <w:t>of Rights and Freedoms</w:t>
            </w:r>
            <w:r w:rsidRPr="00354440">
              <w:rPr>
                <w:rFonts w:eastAsia="Calibri"/>
                <w:sz w:val="20"/>
              </w:rPr>
              <w:t>.  The Province filed an application to remove the applicants Conseil Scolaire and Fédération des Parents as plaintiffs, and to add the Conseil scolaire as a third party.  The Province contended that neither the Conseil scolaire nor the Fédération was entitled to assert the linguistic rights guaranteed under s. 23 or to bring an action to protect those rights.  In response, the Conseil scolaire and the Fédération filed affidavits describing their respective roles in the promotion and protection of French-language education and culture in the province.  They attached to these affidavits 195 pages of French-language exhibits and sought a declaration that the exhibits would be considered by the court without a certified translation.</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July 14, 2011</w:t>
            </w:r>
          </w:p>
          <w:p w:rsidR="007424D3" w:rsidRPr="00354440" w:rsidRDefault="007424D3" w:rsidP="00D53740">
            <w:pPr>
              <w:jc w:val="both"/>
              <w:rPr>
                <w:rFonts w:eastAsia="Calibri"/>
                <w:sz w:val="20"/>
              </w:rPr>
            </w:pPr>
            <w:r w:rsidRPr="00354440">
              <w:rPr>
                <w:rFonts w:eastAsia="Calibri"/>
                <w:sz w:val="20"/>
              </w:rPr>
              <w:t>Supreme Court of British Columbia</w:t>
            </w:r>
          </w:p>
          <w:p w:rsidR="007424D3" w:rsidRPr="00354440" w:rsidRDefault="007424D3" w:rsidP="00D53740">
            <w:pPr>
              <w:jc w:val="both"/>
              <w:rPr>
                <w:rFonts w:eastAsia="Calibri"/>
                <w:sz w:val="20"/>
              </w:rPr>
            </w:pPr>
            <w:r w:rsidRPr="00354440">
              <w:rPr>
                <w:rFonts w:eastAsia="Calibri"/>
                <w:sz w:val="20"/>
              </w:rPr>
              <w:t>(Willcock J.)</w:t>
            </w:r>
          </w:p>
          <w:p w:rsidR="007424D3" w:rsidRPr="00354440" w:rsidRDefault="007424D3" w:rsidP="00D53740">
            <w:pPr>
              <w:jc w:val="both"/>
              <w:rPr>
                <w:rFonts w:eastAsia="Calibri"/>
                <w:sz w:val="20"/>
              </w:rPr>
            </w:pPr>
            <w:r w:rsidRPr="00354440">
              <w:rPr>
                <w:rFonts w:eastAsia="Calibri"/>
                <w:sz w:val="20"/>
              </w:rPr>
              <w:t>2011 BCSC 1043</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Application for declaration that un-translated exhibits in French language, attached to an affidavit, be considered by court without certified translation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June 27, 2012</w:t>
            </w:r>
          </w:p>
          <w:p w:rsidR="007424D3" w:rsidRPr="00354440" w:rsidRDefault="007424D3" w:rsidP="00D53740">
            <w:pPr>
              <w:jc w:val="both"/>
              <w:rPr>
                <w:rFonts w:eastAsia="Calibri"/>
                <w:sz w:val="20"/>
              </w:rPr>
            </w:pPr>
            <w:r w:rsidRPr="00354440">
              <w:rPr>
                <w:rFonts w:eastAsia="Calibri"/>
                <w:sz w:val="20"/>
              </w:rPr>
              <w:t xml:space="preserve">Court of Appeal for British Columbia </w:t>
            </w:r>
          </w:p>
          <w:p w:rsidR="007424D3" w:rsidRPr="00354440" w:rsidRDefault="007424D3" w:rsidP="00D53740">
            <w:pPr>
              <w:jc w:val="both"/>
              <w:rPr>
                <w:rFonts w:eastAsia="Calibri"/>
                <w:sz w:val="20"/>
              </w:rPr>
            </w:pPr>
            <w:r w:rsidRPr="00354440">
              <w:rPr>
                <w:rFonts w:eastAsia="Calibri"/>
                <w:sz w:val="20"/>
              </w:rPr>
              <w:t>(Vancouver)</w:t>
            </w:r>
          </w:p>
          <w:p w:rsidR="007424D3" w:rsidRPr="00354440" w:rsidRDefault="007424D3" w:rsidP="00D53740">
            <w:pPr>
              <w:jc w:val="both"/>
              <w:rPr>
                <w:rFonts w:eastAsia="Calibri"/>
                <w:sz w:val="20"/>
              </w:rPr>
            </w:pPr>
            <w:r w:rsidRPr="00354440">
              <w:rPr>
                <w:rFonts w:eastAsia="Calibri"/>
                <w:sz w:val="20"/>
              </w:rPr>
              <w:t xml:space="preserve">(Bennett, Newbury, Kirkpatrick, Frankel and </w:t>
            </w:r>
          </w:p>
          <w:p w:rsidR="007424D3" w:rsidRPr="00354440" w:rsidRDefault="007424D3" w:rsidP="00D53740">
            <w:pPr>
              <w:jc w:val="both"/>
              <w:rPr>
                <w:rFonts w:eastAsia="Calibri"/>
                <w:sz w:val="20"/>
              </w:rPr>
            </w:pPr>
            <w:r w:rsidRPr="00354440">
              <w:rPr>
                <w:rFonts w:eastAsia="Calibri"/>
                <w:sz w:val="20"/>
              </w:rPr>
              <w:t>Neilson JJ.A.)</w:t>
            </w:r>
          </w:p>
          <w:p w:rsidR="007424D3" w:rsidRPr="00354440" w:rsidRDefault="007424D3" w:rsidP="00D53740">
            <w:pPr>
              <w:jc w:val="both"/>
              <w:rPr>
                <w:rFonts w:eastAsia="Calibri"/>
                <w:sz w:val="20"/>
              </w:rPr>
            </w:pPr>
            <w:r w:rsidRPr="00354440">
              <w:rPr>
                <w:rFonts w:eastAsia="Calibri"/>
                <w:sz w:val="20"/>
              </w:rPr>
              <w:t>2012 BCCA 282</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Appeal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August 1, 2012</w:t>
            </w:r>
          </w:p>
          <w:p w:rsidR="007424D3" w:rsidRPr="00354440" w:rsidRDefault="007424D3" w:rsidP="00D53740">
            <w:pPr>
              <w:jc w:val="both"/>
              <w:rPr>
                <w:rFonts w:eastAsia="Calibri"/>
                <w:sz w:val="20"/>
              </w:rPr>
            </w:pPr>
            <w:r w:rsidRPr="00354440">
              <w:rPr>
                <w:rFonts w:eastAsia="Calibri"/>
                <w:sz w:val="20"/>
              </w:rPr>
              <w:t>Supreme Court of Canada</w:t>
            </w: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Motion for an abridgment of time for the application and the appeal, if granted, filed together with the application itself.</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72"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424D3" w:rsidRPr="002A69D7"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Instance civile — Admissibilité — Pièces — Demande de jugement déclaratoire selon lequel les pièces non traduites rédigées en langue française, annexées à un affidavit, peuvent être considérées par le tribunal sans traduction certifiée conforme, rejetée — Une loi de 1731 reçue d’Angleterre, qui prévoit que l'anglais est la langue des tribunaux et qui interdit l'admission de pièces dans une langue autre que l'anglais sans traduction certifiée conforme est</w:t>
            </w:r>
            <w:r w:rsidRPr="00354440">
              <w:rPr>
                <w:rFonts w:eastAsia="Calibri"/>
                <w:sz w:val="20"/>
                <w:lang w:val="fr-CA"/>
              </w:rPr>
              <w:noBreakHyphen/>
              <w:t>elle encore en vigueur en Colombie</w:t>
            </w:r>
            <w:r w:rsidRPr="00354440">
              <w:rPr>
                <w:rFonts w:eastAsia="Calibri"/>
                <w:sz w:val="20"/>
                <w:lang w:val="fr-CA"/>
              </w:rPr>
              <w:noBreakHyphen/>
              <w:t>Britannique? — Le juge qui préside une instance civile a</w:t>
            </w:r>
            <w:r w:rsidRPr="00354440">
              <w:rPr>
                <w:rFonts w:eastAsia="Calibri"/>
                <w:sz w:val="20"/>
                <w:lang w:val="fr-CA"/>
              </w:rPr>
              <w:noBreakHyphen/>
              <w:t>t</w:t>
            </w:r>
            <w:r w:rsidRPr="00354440">
              <w:rPr>
                <w:rFonts w:eastAsia="Calibri"/>
                <w:sz w:val="20"/>
                <w:lang w:val="fr-CA"/>
              </w:rPr>
              <w:noBreakHyphen/>
              <w:t xml:space="preserve">il le pouvoir discrétionnaire d'admettre une preuve documentaire dans une langue autre que l'anglais sans traduction certifiée conforme? — </w:t>
            </w:r>
            <w:r w:rsidRPr="00354440">
              <w:rPr>
                <w:rFonts w:eastAsia="Calibri"/>
                <w:i/>
                <w:sz w:val="20"/>
                <w:lang w:val="fr-CA"/>
              </w:rPr>
              <w:t>Proceedings in the Courts of Justice Act</w:t>
            </w:r>
            <w:r w:rsidRPr="00354440">
              <w:rPr>
                <w:rFonts w:eastAsia="Calibri"/>
                <w:sz w:val="20"/>
                <w:lang w:val="fr-CA"/>
              </w:rPr>
              <w:t>, 1731 (U.K.), 4 Geo. II, ch. 26.</w:t>
            </w:r>
          </w:p>
        </w:tc>
      </w:tr>
      <w:tr w:rsidR="007424D3" w:rsidRPr="002A69D7" w:rsidTr="00D53740">
        <w:trPr>
          <w:trHeight w:val="225"/>
        </w:trPr>
        <w:tc>
          <w:tcPr>
            <w:tcW w:w="5000" w:type="pct"/>
            <w:gridSpan w:val="3"/>
          </w:tcPr>
          <w:p w:rsidR="007424D3" w:rsidRPr="00354440" w:rsidRDefault="007424D3" w:rsidP="00D53740">
            <w:pPr>
              <w:jc w:val="both"/>
              <w:rPr>
                <w:rFonts w:eastAsia="Calibri"/>
                <w:sz w:val="20"/>
                <w:lang w:val="fr-CA"/>
              </w:rPr>
            </w:pPr>
          </w:p>
        </w:tc>
      </w:tr>
      <w:tr w:rsidR="007424D3" w:rsidRPr="001D43E1"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Les demandeurs ont intenté une action contre la Province de Colombie</w:t>
            </w:r>
            <w:r w:rsidRPr="00354440">
              <w:rPr>
                <w:rFonts w:eastAsia="Calibri"/>
                <w:sz w:val="20"/>
                <w:lang w:val="fr-CA"/>
              </w:rPr>
              <w:noBreakHyphen/>
              <w:t>Britannique et le ministre de l'Éducation (collectivement la « Province »), alléguant des violations aux obligations constitutionnelles de la Province au regard de l'art. 23 de la</w:t>
            </w:r>
            <w:r w:rsidRPr="00354440">
              <w:rPr>
                <w:rFonts w:eastAsia="Calibri"/>
                <w:i/>
                <w:sz w:val="20"/>
                <w:lang w:val="fr-CA"/>
              </w:rPr>
              <w:t xml:space="preserve"> Charte canadienne des droits et libertés</w:t>
            </w:r>
            <w:r w:rsidRPr="00354440">
              <w:rPr>
                <w:rFonts w:eastAsia="Calibri"/>
                <w:sz w:val="20"/>
                <w:lang w:val="fr-CA"/>
              </w:rPr>
              <w:t>.  La province a déposé une requête en vue de retirer le Conseil scolaire et la Fédération des parents comme demandeurs en première instance et d'ajouter le Conseil scolaire comme mis en cause.  La Province a allégué que ni le Conseil scolaire ni la Fédération n'avaient le droit de revendiquer les droits linguistiques garantis par l'art. 23 ou d'intenter une action pour protéger ces droits.  En réponse, le Conseil scolaire et la Fédération ont déposé des affidavits qui décrivent leurs rôles respectifs dans la promotion et la protection de l'éducation et de la culture de langue française dans la province.  Ils ont annexé à ces affidavits 195 pages de pièces en langue française et ont demandé un jugement déclaratoire selon lequel les pièces peuvent être considérées par le tribunal sans traduction certifiée conforme.</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14 juillet 2011</w:t>
            </w:r>
          </w:p>
          <w:p w:rsidR="007424D3" w:rsidRPr="00354440" w:rsidRDefault="007424D3" w:rsidP="00D53740">
            <w:pPr>
              <w:jc w:val="both"/>
              <w:rPr>
                <w:rFonts w:eastAsia="Calibri"/>
                <w:sz w:val="20"/>
                <w:lang w:val="fr-CA"/>
              </w:rPr>
            </w:pPr>
            <w:r w:rsidRPr="00354440">
              <w:rPr>
                <w:rFonts w:eastAsia="Calibri"/>
                <w:sz w:val="20"/>
                <w:lang w:val="fr-CA"/>
              </w:rPr>
              <w:t>Cour suprême de la Colombie</w:t>
            </w:r>
            <w:r w:rsidRPr="00354440">
              <w:rPr>
                <w:rFonts w:eastAsia="Calibri"/>
                <w:sz w:val="20"/>
                <w:lang w:val="fr-CA"/>
              </w:rPr>
              <w:noBreakHyphen/>
              <w:t xml:space="preserve">Britannique </w:t>
            </w:r>
          </w:p>
          <w:p w:rsidR="007424D3" w:rsidRPr="00354440" w:rsidRDefault="007424D3" w:rsidP="00D53740">
            <w:pPr>
              <w:jc w:val="both"/>
              <w:rPr>
                <w:rFonts w:eastAsia="Calibri"/>
                <w:sz w:val="20"/>
                <w:lang w:val="fr-CA"/>
              </w:rPr>
            </w:pPr>
            <w:r w:rsidRPr="00354440">
              <w:rPr>
                <w:rFonts w:eastAsia="Calibri"/>
                <w:sz w:val="20"/>
                <w:lang w:val="fr-CA"/>
              </w:rPr>
              <w:t>(Juge Willcock)</w:t>
            </w:r>
          </w:p>
          <w:p w:rsidR="007424D3" w:rsidRPr="00354440" w:rsidRDefault="007424D3" w:rsidP="00D53740">
            <w:pPr>
              <w:jc w:val="both"/>
              <w:rPr>
                <w:rFonts w:eastAsia="Calibri"/>
                <w:sz w:val="20"/>
                <w:lang w:val="fr-CA"/>
              </w:rPr>
            </w:pPr>
            <w:r w:rsidRPr="00354440">
              <w:rPr>
                <w:rFonts w:eastAsia="Calibri"/>
                <w:sz w:val="20"/>
                <w:lang w:val="fr-CA"/>
              </w:rPr>
              <w:t>2011 BCSC 1043</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Demande de jugement déclaratoire selon lequel les pièces non traduites, rédigées en langue française, annexées à un affidavit, peuvent être considérées par le tribunal sans traduction certifiée conforme, rejetée.</w:t>
            </w:r>
          </w:p>
          <w:p w:rsidR="007424D3" w:rsidRPr="00354440" w:rsidRDefault="007424D3" w:rsidP="00D53740">
            <w:pPr>
              <w:jc w:val="both"/>
              <w:rPr>
                <w:rFonts w:eastAsia="Calibri"/>
                <w:sz w:val="20"/>
                <w:lang w:val="fr-CA"/>
              </w:rPr>
            </w:pPr>
          </w:p>
        </w:tc>
      </w:tr>
      <w:tr w:rsidR="007424D3" w:rsidRPr="00354440"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27 juin 2012</w:t>
            </w:r>
          </w:p>
          <w:p w:rsidR="007424D3" w:rsidRPr="00354440" w:rsidRDefault="007424D3" w:rsidP="00D53740">
            <w:pPr>
              <w:jc w:val="both"/>
              <w:rPr>
                <w:rFonts w:eastAsia="Calibri"/>
                <w:sz w:val="20"/>
                <w:lang w:val="fr-CA"/>
              </w:rPr>
            </w:pPr>
            <w:r w:rsidRPr="00354440">
              <w:rPr>
                <w:rFonts w:eastAsia="Calibri"/>
                <w:sz w:val="20"/>
                <w:lang w:val="fr-CA"/>
              </w:rPr>
              <w:t>Cour d'appel de la Colombie</w:t>
            </w:r>
            <w:r w:rsidRPr="00354440">
              <w:rPr>
                <w:rFonts w:eastAsia="Calibri"/>
                <w:sz w:val="20"/>
                <w:lang w:val="fr-CA"/>
              </w:rPr>
              <w:noBreakHyphen/>
              <w:t xml:space="preserve">Britannique </w:t>
            </w:r>
          </w:p>
          <w:p w:rsidR="007424D3" w:rsidRPr="00354440" w:rsidRDefault="007424D3" w:rsidP="00D53740">
            <w:pPr>
              <w:jc w:val="both"/>
              <w:rPr>
                <w:rFonts w:eastAsia="Calibri"/>
                <w:sz w:val="20"/>
                <w:lang w:val="fr-CA"/>
              </w:rPr>
            </w:pPr>
            <w:r w:rsidRPr="00354440">
              <w:rPr>
                <w:rFonts w:eastAsia="Calibri"/>
                <w:sz w:val="20"/>
                <w:lang w:val="fr-CA"/>
              </w:rPr>
              <w:t>(Vancouver)</w:t>
            </w:r>
          </w:p>
          <w:p w:rsidR="007424D3" w:rsidRPr="00354440" w:rsidRDefault="007424D3" w:rsidP="00D53740">
            <w:pPr>
              <w:jc w:val="both"/>
              <w:rPr>
                <w:rFonts w:eastAsia="Calibri"/>
                <w:sz w:val="20"/>
                <w:lang w:val="fr-CA"/>
              </w:rPr>
            </w:pPr>
            <w:r w:rsidRPr="00354440">
              <w:rPr>
                <w:rFonts w:eastAsia="Calibri"/>
                <w:sz w:val="20"/>
                <w:lang w:val="fr-CA"/>
              </w:rPr>
              <w:t>(Juges Bennett, Newbury, Kirkpatrick, Frankel et Neilson)</w:t>
            </w:r>
          </w:p>
          <w:p w:rsidR="007424D3" w:rsidRPr="00354440" w:rsidRDefault="007424D3" w:rsidP="00D53740">
            <w:pPr>
              <w:jc w:val="both"/>
              <w:rPr>
                <w:rFonts w:eastAsia="Calibri"/>
                <w:sz w:val="20"/>
                <w:lang w:val="fr-CA"/>
              </w:rPr>
            </w:pPr>
            <w:r w:rsidRPr="00354440">
              <w:rPr>
                <w:rFonts w:eastAsia="Calibri"/>
                <w:sz w:val="20"/>
                <w:lang w:val="fr-CA"/>
              </w:rPr>
              <w:t>2012 BCCA 282</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Appel rejeté.</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1</w:t>
            </w:r>
            <w:r w:rsidRPr="00354440">
              <w:rPr>
                <w:rFonts w:eastAsia="Calibri"/>
                <w:sz w:val="20"/>
                <w:vertAlign w:val="superscript"/>
                <w:lang w:val="fr-CA"/>
              </w:rPr>
              <w:t>er</w:t>
            </w:r>
            <w:r w:rsidRPr="00354440">
              <w:rPr>
                <w:rFonts w:eastAsia="Calibri"/>
                <w:sz w:val="20"/>
                <w:lang w:val="fr-CA"/>
              </w:rPr>
              <w:t xml:space="preserve"> août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Requête en abrègement du délai imparti pour présenter la demande d'autorisation d'appel et l’appel, si la demande est accueillie, déposée avec la demande elle</w:t>
            </w:r>
            <w:r w:rsidRPr="00354440">
              <w:rPr>
                <w:rFonts w:eastAsia="Calibri"/>
                <w:sz w:val="20"/>
                <w:lang w:val="fr-CA"/>
              </w:rPr>
              <w:noBreakHyphen/>
              <w:t>même.</w:t>
            </w:r>
          </w:p>
        </w:tc>
      </w:tr>
    </w:tbl>
    <w:p w:rsidR="00441FC4" w:rsidRPr="007424D3" w:rsidRDefault="00441FC4" w:rsidP="00441FC4">
      <w:pPr>
        <w:rPr>
          <w:sz w:val="20"/>
          <w:szCs w:val="20"/>
          <w:lang w:val="fr-CA"/>
        </w:rPr>
      </w:pPr>
    </w:p>
    <w:p w:rsidR="00441FC4" w:rsidRDefault="00DB239D" w:rsidP="00441FC4">
      <w:pPr>
        <w:rPr>
          <w:sz w:val="20"/>
          <w:szCs w:val="20"/>
          <w:lang w:val="fr-CA"/>
        </w:rPr>
      </w:pPr>
      <w:r w:rsidRPr="00DB239D">
        <w:rPr>
          <w:sz w:val="20"/>
          <w:szCs w:val="20"/>
          <w:lang w:val="fr-CA"/>
        </w:rPr>
        <w:pict>
          <v:rect id="_x0000_i1073"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46C8B" w:rsidRPr="00ED4B6E" w:rsidTr="00066741">
        <w:trPr>
          <w:cantSplit/>
        </w:trPr>
        <w:tc>
          <w:tcPr>
            <w:tcW w:w="1458" w:type="dxa"/>
          </w:tcPr>
          <w:p w:rsidR="00146C8B" w:rsidRPr="00ED4B6E" w:rsidRDefault="00146C8B" w:rsidP="00066741">
            <w:pPr>
              <w:rPr>
                <w:sz w:val="20"/>
                <w:szCs w:val="20"/>
              </w:rPr>
            </w:pPr>
            <w:r w:rsidRPr="00ED4B6E">
              <w:rPr>
                <w:rStyle w:val="SCCFileNumberChar"/>
                <w:sz w:val="20"/>
                <w:szCs w:val="20"/>
              </w:rPr>
              <w:t>34914</w:t>
            </w:r>
          </w:p>
          <w:p w:rsidR="00146C8B" w:rsidRPr="00ED4B6E" w:rsidRDefault="00146C8B" w:rsidP="00066741">
            <w:pPr>
              <w:rPr>
                <w:b/>
                <w:sz w:val="20"/>
                <w:szCs w:val="20"/>
                <w:lang w:val="fr-CA"/>
              </w:rPr>
            </w:pPr>
          </w:p>
        </w:tc>
        <w:tc>
          <w:tcPr>
            <w:tcW w:w="8118" w:type="dxa"/>
          </w:tcPr>
          <w:p w:rsidR="00146C8B" w:rsidRPr="00ED4B6E" w:rsidRDefault="00146C8B" w:rsidP="00066741">
            <w:pPr>
              <w:jc w:val="both"/>
              <w:rPr>
                <w:sz w:val="20"/>
                <w:szCs w:val="20"/>
              </w:rPr>
            </w:pPr>
            <w:r w:rsidRPr="00146C8B">
              <w:rPr>
                <w:rStyle w:val="SCCLsocChar"/>
                <w:sz w:val="20"/>
                <w:szCs w:val="20"/>
                <w:lang w:val="en-CA"/>
              </w:rPr>
              <w:t>Her Majesty the Queen v. Erin Lee MacDonald</w:t>
            </w:r>
            <w:r w:rsidRPr="00ED4B6E">
              <w:rPr>
                <w:sz w:val="20"/>
                <w:szCs w:val="20"/>
              </w:rPr>
              <w:t xml:space="preserve"> (N.S.) (Criminal) (</w:t>
            </w:r>
            <w:r w:rsidR="00486CA3">
              <w:rPr>
                <w:sz w:val="20"/>
                <w:szCs w:val="20"/>
              </w:rPr>
              <w:t>As of Right/</w:t>
            </w:r>
            <w:r w:rsidRPr="00ED4B6E">
              <w:rPr>
                <w:sz w:val="20"/>
                <w:szCs w:val="20"/>
              </w:rPr>
              <w:t>By Leave)</w:t>
            </w:r>
          </w:p>
          <w:p w:rsidR="00146C8B" w:rsidRPr="00ED4B6E" w:rsidRDefault="00146C8B" w:rsidP="00066741">
            <w:pPr>
              <w:jc w:val="both"/>
              <w:rPr>
                <w:sz w:val="20"/>
                <w:szCs w:val="20"/>
              </w:rPr>
            </w:pPr>
          </w:p>
        </w:tc>
      </w:tr>
      <w:tr w:rsidR="00146C8B" w:rsidRPr="00ED4B6E" w:rsidTr="00066741">
        <w:trPr>
          <w:cantSplit/>
        </w:trPr>
        <w:tc>
          <w:tcPr>
            <w:tcW w:w="1458" w:type="dxa"/>
          </w:tcPr>
          <w:p w:rsidR="00146C8B" w:rsidRPr="00ED4B6E" w:rsidRDefault="00146C8B" w:rsidP="00066741">
            <w:pPr>
              <w:rPr>
                <w:sz w:val="20"/>
                <w:szCs w:val="20"/>
              </w:rPr>
            </w:pPr>
            <w:r w:rsidRPr="00ED4B6E">
              <w:rPr>
                <w:sz w:val="20"/>
                <w:szCs w:val="20"/>
              </w:rPr>
              <w:t>Coram :</w:t>
            </w:r>
          </w:p>
        </w:tc>
        <w:tc>
          <w:tcPr>
            <w:tcW w:w="8118" w:type="dxa"/>
          </w:tcPr>
          <w:p w:rsidR="00146C8B" w:rsidRPr="00ED4B6E" w:rsidRDefault="00146C8B" w:rsidP="00066741">
            <w:pPr>
              <w:rPr>
                <w:sz w:val="20"/>
                <w:szCs w:val="20"/>
              </w:rPr>
            </w:pPr>
            <w:r w:rsidRPr="00146C8B">
              <w:rPr>
                <w:rStyle w:val="SCCCoramChar"/>
                <w:sz w:val="20"/>
                <w:szCs w:val="20"/>
                <w:lang w:val="en-CA"/>
              </w:rPr>
              <w:t>LeBel, Fish and Karakatsanis JJ.</w:t>
            </w:r>
          </w:p>
          <w:p w:rsidR="00146C8B" w:rsidRPr="00ED4B6E" w:rsidRDefault="00146C8B" w:rsidP="00066741">
            <w:pPr>
              <w:rPr>
                <w:sz w:val="20"/>
                <w:szCs w:val="20"/>
                <w:u w:val="single"/>
              </w:rPr>
            </w:pPr>
          </w:p>
        </w:tc>
      </w:tr>
      <w:tr w:rsidR="00146C8B" w:rsidRPr="001D43E1" w:rsidTr="00066741">
        <w:trPr>
          <w:cantSplit/>
        </w:trPr>
        <w:tc>
          <w:tcPr>
            <w:tcW w:w="9576" w:type="dxa"/>
            <w:gridSpan w:val="2"/>
          </w:tcPr>
          <w:p w:rsidR="00146C8B" w:rsidRPr="00ED4B6E" w:rsidRDefault="00146C8B" w:rsidP="00066741">
            <w:pPr>
              <w:pStyle w:val="SCCShortJudgment"/>
              <w:rPr>
                <w:szCs w:val="20"/>
              </w:rPr>
            </w:pPr>
            <w:r w:rsidRPr="00ED4B6E">
              <w:rPr>
                <w:szCs w:val="20"/>
              </w:rPr>
              <w:t>The application for leave to appeal from the judgment of the Nova Scotia Court of Appeal, Number CAC 347642, 2012 NSCA 50, dated May 11, 2012, is granted without costs.</w:t>
            </w:r>
          </w:p>
          <w:p w:rsidR="00146C8B" w:rsidRPr="00ED4B6E" w:rsidRDefault="00146C8B" w:rsidP="00066741">
            <w:pPr>
              <w:pStyle w:val="SCCShortJudgment"/>
              <w:ind w:firstLine="0"/>
              <w:rPr>
                <w:szCs w:val="20"/>
              </w:rPr>
            </w:pPr>
          </w:p>
          <w:p w:rsidR="00146C8B" w:rsidRPr="00ED4B6E" w:rsidRDefault="00146C8B" w:rsidP="00066741">
            <w:pPr>
              <w:pStyle w:val="SCCShortJudgment"/>
              <w:rPr>
                <w:szCs w:val="20"/>
                <w:lang w:val="fr-CA"/>
              </w:rPr>
            </w:pPr>
            <w:r w:rsidRPr="00ED4B6E">
              <w:rPr>
                <w:szCs w:val="20"/>
                <w:lang w:val="fr-CA"/>
              </w:rPr>
              <w:t>La demande d’autorisation d’appel de l’arrêt de la Cour d’appel de la Nouvelle-Écosse, numéro CAC 347642, 2012 NSCA 50, daté du 11 mai 2012, est accueillie sans dépens.</w:t>
            </w:r>
          </w:p>
        </w:tc>
      </w:tr>
    </w:tbl>
    <w:p w:rsidR="00441FC4" w:rsidRPr="00146C8B"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Criminal Law — Weapons offences — Possession of loaded restricted firearm — When police responded to noise complaint at accused’s residence, accused answered door while concealing handgun — Accused’s licence to possess handgun in Alberta did not extend to unregistered Nova Scotia residence, but accused believed it did — Whether accused’s mistake of fact or law — What are the </w:t>
            </w:r>
            <w:r w:rsidRPr="00354440">
              <w:rPr>
                <w:rFonts w:eastAsia="Calibri"/>
                <w:i/>
                <w:sz w:val="20"/>
              </w:rPr>
              <w:t>mens rea</w:t>
            </w:r>
            <w:r w:rsidRPr="00354440">
              <w:rPr>
                <w:rFonts w:eastAsia="Calibri"/>
                <w:sz w:val="20"/>
              </w:rPr>
              <w:t xml:space="preserve"> requirements, if any, of a s. 95 offence — </w:t>
            </w:r>
            <w:r w:rsidRPr="00354440">
              <w:rPr>
                <w:rFonts w:eastAsia="Calibri"/>
                <w:i/>
                <w:sz w:val="20"/>
              </w:rPr>
              <w:t>Criminal Code</w:t>
            </w:r>
            <w:r w:rsidRPr="00354440">
              <w:rPr>
                <w:rFonts w:eastAsia="Calibri"/>
                <w:sz w:val="20"/>
              </w:rPr>
              <w:t>, R.S.C. 1985, c. C</w:t>
            </w:r>
            <w:r w:rsidRPr="00354440">
              <w:rPr>
                <w:rFonts w:eastAsia="Calibri"/>
                <w:sz w:val="20"/>
              </w:rPr>
              <w:noBreakHyphen/>
              <w:t>46, s. 95.</w:t>
            </w:r>
          </w:p>
        </w:tc>
      </w:tr>
      <w:tr w:rsidR="007424D3" w:rsidRPr="00354440" w:rsidTr="00D53740">
        <w:tc>
          <w:tcPr>
            <w:tcW w:w="5000" w:type="pct"/>
            <w:gridSpan w:val="3"/>
          </w:tcPr>
          <w:p w:rsidR="007424D3" w:rsidRPr="00354440" w:rsidRDefault="007424D3" w:rsidP="00D53740">
            <w:pPr>
              <w:jc w:val="both"/>
              <w:rPr>
                <w:rFonts w:eastAsia="Calibri"/>
                <w:sz w:val="20"/>
              </w:rPr>
            </w:pPr>
          </w:p>
        </w:tc>
      </w:tr>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Police responded to a noise complaint at Mr. MacDonald’s condominium.  When Mr. MacDonald opened the door, an officer observed that Mr. MacDonald had a gun in his hand.  A struggle ensued and Mr. MacDonald was disarmed.  The trial judge convicted Mr. MacDonald of careless handling of a firearm contrary to s. 86 of the </w:t>
            </w:r>
            <w:r w:rsidRPr="00354440">
              <w:rPr>
                <w:rFonts w:eastAsia="Calibri"/>
                <w:i/>
                <w:sz w:val="20"/>
              </w:rPr>
              <w:t>Criminal Code</w:t>
            </w:r>
            <w:r w:rsidRPr="00354440">
              <w:rPr>
                <w:rFonts w:eastAsia="Calibri"/>
                <w:sz w:val="20"/>
              </w:rPr>
              <w:t>, possessing a weapon for a dangerous purpose contrary to s. 88 and possessing (without authorization) a loaded restricted firearm contrary to s. 95.  The trial judge sentenced Mr. MacDonald to a total of three years’ imprisonment and a 10</w:t>
            </w:r>
            <w:r w:rsidRPr="00354440">
              <w:rPr>
                <w:rFonts w:eastAsia="Calibri"/>
                <w:sz w:val="20"/>
              </w:rPr>
              <w:noBreakHyphen/>
              <w:t>year weapons prohibition.  A majority of the Court of Appeal upheld the trial judge’s decision that no s. 8</w:t>
            </w:r>
            <w:r w:rsidRPr="00354440">
              <w:rPr>
                <w:rFonts w:eastAsia="Calibri"/>
                <w:i/>
                <w:sz w:val="20"/>
              </w:rPr>
              <w:t xml:space="preserve"> Charter</w:t>
            </w:r>
            <w:r w:rsidRPr="00354440">
              <w:rPr>
                <w:rFonts w:eastAsia="Calibri"/>
                <w:sz w:val="20"/>
              </w:rPr>
              <w:t xml:space="preserve"> breach had occurred and therefore upheld the ss. 86 and 88 convictions.  However, the Court of Appeal allowed the appeal of the s. 95 conviction and substituted an acquittal.  In dissent, Beveridge J.A. would have allowed the appeal based on the s. 8 </w:t>
            </w:r>
            <w:r w:rsidRPr="00354440">
              <w:rPr>
                <w:rFonts w:eastAsia="Calibri"/>
                <w:i/>
                <w:sz w:val="20"/>
              </w:rPr>
              <w:t>Charter</w:t>
            </w:r>
            <w:r w:rsidRPr="00354440">
              <w:rPr>
                <w:rFonts w:eastAsia="Calibri"/>
                <w:sz w:val="20"/>
              </w:rPr>
              <w:t xml:space="preserve"> breach and entered acquittals on all charges.</w:t>
            </w:r>
          </w:p>
          <w:p w:rsidR="007424D3" w:rsidRPr="00354440" w:rsidRDefault="007424D3" w:rsidP="00D53740">
            <w:pPr>
              <w:jc w:val="both"/>
              <w:rPr>
                <w:rFonts w:eastAsia="Calibri"/>
                <w:sz w:val="20"/>
              </w:rPr>
            </w:pPr>
          </w:p>
        </w:tc>
      </w:tr>
      <w:tr w:rsidR="007424D3" w:rsidRPr="00354440" w:rsidTr="00D53740">
        <w:tblPrEx>
          <w:tblCellMar>
            <w:bottom w:w="0" w:type="dxa"/>
          </w:tblCellMar>
        </w:tblPrEx>
        <w:tc>
          <w:tcPr>
            <w:tcW w:w="2390" w:type="pct"/>
          </w:tcPr>
          <w:p w:rsidR="007424D3" w:rsidRPr="00354440" w:rsidRDefault="007424D3" w:rsidP="00D53740">
            <w:pPr>
              <w:jc w:val="both"/>
              <w:rPr>
                <w:rFonts w:eastAsia="Calibri"/>
                <w:sz w:val="20"/>
              </w:rPr>
            </w:pPr>
            <w:r w:rsidRPr="00354440">
              <w:rPr>
                <w:rFonts w:eastAsia="Calibri"/>
                <w:sz w:val="20"/>
              </w:rPr>
              <w:t>August 26, 2010</w:t>
            </w:r>
          </w:p>
          <w:p w:rsidR="007424D3" w:rsidRPr="00354440" w:rsidRDefault="007424D3" w:rsidP="00D53740">
            <w:pPr>
              <w:jc w:val="both"/>
              <w:rPr>
                <w:rFonts w:eastAsia="Calibri"/>
                <w:sz w:val="20"/>
              </w:rPr>
            </w:pPr>
            <w:r w:rsidRPr="00354440">
              <w:rPr>
                <w:rFonts w:eastAsia="Calibri"/>
                <w:sz w:val="20"/>
              </w:rPr>
              <w:t>Provincial Court of Nova Scotia</w:t>
            </w:r>
          </w:p>
          <w:p w:rsidR="007424D3" w:rsidRPr="00354440" w:rsidRDefault="007424D3" w:rsidP="00D53740">
            <w:pPr>
              <w:jc w:val="both"/>
              <w:rPr>
                <w:rFonts w:eastAsia="Calibri"/>
                <w:sz w:val="20"/>
              </w:rPr>
            </w:pPr>
            <w:r w:rsidRPr="00354440">
              <w:rPr>
                <w:rFonts w:eastAsia="Calibri"/>
                <w:sz w:val="20"/>
              </w:rPr>
              <w:t>(Digby J.)</w:t>
            </w:r>
          </w:p>
          <w:p w:rsidR="007424D3" w:rsidRPr="00354440" w:rsidRDefault="007424D3" w:rsidP="00D53740">
            <w:pPr>
              <w:jc w:val="both"/>
              <w:rPr>
                <w:rFonts w:eastAsia="Calibri"/>
                <w:sz w:val="20"/>
              </w:rPr>
            </w:pPr>
          </w:p>
        </w:tc>
        <w:tc>
          <w:tcPr>
            <w:tcW w:w="270" w:type="pct"/>
          </w:tcPr>
          <w:p w:rsidR="007424D3" w:rsidRPr="00354440" w:rsidRDefault="007424D3" w:rsidP="00D53740">
            <w:pPr>
              <w:jc w:val="both"/>
              <w:rPr>
                <w:rFonts w:eastAsia="Calibri"/>
                <w:sz w:val="20"/>
              </w:rPr>
            </w:pPr>
          </w:p>
        </w:tc>
        <w:tc>
          <w:tcPr>
            <w:tcW w:w="2340" w:type="pct"/>
          </w:tcPr>
          <w:p w:rsidR="007424D3" w:rsidRPr="00354440" w:rsidRDefault="007424D3" w:rsidP="00D53740">
            <w:pPr>
              <w:jc w:val="both"/>
              <w:rPr>
                <w:rFonts w:eastAsia="Calibri"/>
                <w:sz w:val="20"/>
              </w:rPr>
            </w:pPr>
            <w:r w:rsidRPr="00354440">
              <w:rPr>
                <w:rFonts w:eastAsia="Calibri"/>
                <w:sz w:val="20"/>
              </w:rPr>
              <w:t xml:space="preserve">Accused convicted of careless handling of a firearm contrary to s. 86 of the </w:t>
            </w:r>
            <w:r w:rsidRPr="00354440">
              <w:rPr>
                <w:rFonts w:eastAsia="Calibri"/>
                <w:i/>
                <w:sz w:val="20"/>
              </w:rPr>
              <w:t>Criminal Code</w:t>
            </w:r>
            <w:r w:rsidRPr="00354440">
              <w:rPr>
                <w:rFonts w:eastAsia="Calibri"/>
                <w:sz w:val="20"/>
              </w:rPr>
              <w:t>, possessing a weapon for a dangerous purpose contrary to s. 88 and possessing (without authorization) a loaded restricted firearm contrary to s. 95.  Accused sentenced to total of three years’ imprisonment and 10</w:t>
            </w:r>
            <w:r w:rsidRPr="00354440">
              <w:rPr>
                <w:rFonts w:eastAsia="Calibri"/>
                <w:sz w:val="20"/>
              </w:rPr>
              <w:noBreakHyphen/>
              <w:t>year weapons prohibition.</w:t>
            </w:r>
          </w:p>
          <w:p w:rsidR="007424D3" w:rsidRPr="00354440" w:rsidRDefault="007424D3" w:rsidP="00D53740">
            <w:pPr>
              <w:jc w:val="both"/>
              <w:rPr>
                <w:rFonts w:eastAsia="Calibri"/>
                <w:sz w:val="20"/>
              </w:rPr>
            </w:pPr>
            <w:r w:rsidRPr="00354440">
              <w:rPr>
                <w:rFonts w:eastAsia="Calibri"/>
                <w:sz w:val="20"/>
              </w:rPr>
              <w:t xml:space="preserve"> </w:t>
            </w:r>
          </w:p>
        </w:tc>
      </w:tr>
      <w:tr w:rsidR="007424D3" w:rsidRPr="00354440" w:rsidTr="00D53740">
        <w:tblPrEx>
          <w:tblCellMar>
            <w:bottom w:w="0" w:type="dxa"/>
          </w:tblCellMar>
        </w:tblPrEx>
        <w:tc>
          <w:tcPr>
            <w:tcW w:w="2390" w:type="pct"/>
          </w:tcPr>
          <w:p w:rsidR="007424D3" w:rsidRPr="00354440" w:rsidRDefault="007424D3" w:rsidP="00D53740">
            <w:pPr>
              <w:jc w:val="both"/>
              <w:rPr>
                <w:rFonts w:eastAsia="Calibri"/>
                <w:sz w:val="20"/>
              </w:rPr>
            </w:pPr>
            <w:r w:rsidRPr="00354440">
              <w:rPr>
                <w:rFonts w:eastAsia="Calibri"/>
                <w:sz w:val="20"/>
              </w:rPr>
              <w:t>May 11, 2012</w:t>
            </w:r>
          </w:p>
          <w:p w:rsidR="007424D3" w:rsidRPr="00354440" w:rsidRDefault="007424D3" w:rsidP="00D53740">
            <w:pPr>
              <w:jc w:val="both"/>
              <w:rPr>
                <w:rFonts w:eastAsia="Calibri"/>
                <w:sz w:val="20"/>
              </w:rPr>
            </w:pPr>
            <w:r w:rsidRPr="00354440">
              <w:rPr>
                <w:rFonts w:eastAsia="Calibri"/>
                <w:sz w:val="20"/>
              </w:rPr>
              <w:t>Nova Scotia Court of Appeal</w:t>
            </w:r>
          </w:p>
          <w:p w:rsidR="007424D3" w:rsidRPr="00354440" w:rsidRDefault="007424D3" w:rsidP="00D53740">
            <w:pPr>
              <w:jc w:val="both"/>
              <w:rPr>
                <w:rFonts w:eastAsia="Calibri"/>
                <w:sz w:val="20"/>
              </w:rPr>
            </w:pPr>
            <w:r w:rsidRPr="00354440">
              <w:rPr>
                <w:rFonts w:eastAsia="Calibri"/>
                <w:sz w:val="20"/>
              </w:rPr>
              <w:t xml:space="preserve">(MacDonald C.J.N.S. and Saunders and </w:t>
            </w:r>
          </w:p>
          <w:p w:rsidR="007424D3" w:rsidRPr="00354440" w:rsidRDefault="007424D3" w:rsidP="00D53740">
            <w:pPr>
              <w:jc w:val="both"/>
              <w:rPr>
                <w:rFonts w:eastAsia="Calibri"/>
                <w:sz w:val="20"/>
              </w:rPr>
            </w:pPr>
            <w:r w:rsidRPr="00354440">
              <w:rPr>
                <w:rFonts w:eastAsia="Calibri"/>
                <w:sz w:val="20"/>
              </w:rPr>
              <w:t>Beveridge [dissenting] JJ.A.)</w:t>
            </w:r>
          </w:p>
          <w:p w:rsidR="007424D3" w:rsidRPr="00354440" w:rsidRDefault="007424D3" w:rsidP="00D53740">
            <w:pPr>
              <w:jc w:val="both"/>
              <w:rPr>
                <w:rFonts w:eastAsia="Calibri"/>
                <w:sz w:val="20"/>
              </w:rPr>
            </w:pPr>
            <w:r w:rsidRPr="00354440">
              <w:rPr>
                <w:rFonts w:eastAsia="Calibri"/>
                <w:sz w:val="20"/>
              </w:rPr>
              <w:t>2012 NSCA 50</w:t>
            </w:r>
          </w:p>
          <w:p w:rsidR="007424D3" w:rsidRPr="00354440" w:rsidRDefault="007424D3" w:rsidP="00D53740">
            <w:pPr>
              <w:jc w:val="both"/>
              <w:rPr>
                <w:rFonts w:eastAsia="Calibri"/>
                <w:sz w:val="20"/>
              </w:rPr>
            </w:pPr>
          </w:p>
        </w:tc>
        <w:tc>
          <w:tcPr>
            <w:tcW w:w="270" w:type="pct"/>
          </w:tcPr>
          <w:p w:rsidR="007424D3" w:rsidRPr="00354440" w:rsidRDefault="007424D3" w:rsidP="00D53740">
            <w:pPr>
              <w:jc w:val="both"/>
              <w:rPr>
                <w:rFonts w:eastAsia="Calibri"/>
                <w:sz w:val="20"/>
              </w:rPr>
            </w:pPr>
          </w:p>
        </w:tc>
        <w:tc>
          <w:tcPr>
            <w:tcW w:w="2340" w:type="pct"/>
          </w:tcPr>
          <w:p w:rsidR="007424D3" w:rsidRPr="00354440" w:rsidRDefault="007424D3" w:rsidP="00D53740">
            <w:pPr>
              <w:jc w:val="both"/>
              <w:rPr>
                <w:rFonts w:eastAsia="Calibri"/>
                <w:sz w:val="20"/>
              </w:rPr>
            </w:pPr>
            <w:r w:rsidRPr="00354440">
              <w:rPr>
                <w:rFonts w:eastAsia="Calibri"/>
                <w:sz w:val="20"/>
              </w:rPr>
              <w:t xml:space="preserve">Appeal allowed in part (on the s. 95 issue, for which the accused’s conviction was set aside and an acquittal entered).  There was a dissent on the s. 8 </w:t>
            </w:r>
            <w:r w:rsidRPr="00354440">
              <w:rPr>
                <w:rFonts w:eastAsia="Calibri"/>
                <w:i/>
                <w:sz w:val="20"/>
              </w:rPr>
              <w:t>Charter</w:t>
            </w:r>
            <w:r w:rsidRPr="00354440">
              <w:rPr>
                <w:rFonts w:eastAsia="Calibri"/>
                <w:sz w:val="20"/>
              </w:rPr>
              <w:t xml:space="preserve"> issue only.</w:t>
            </w:r>
          </w:p>
          <w:p w:rsidR="007424D3" w:rsidRPr="00354440" w:rsidRDefault="007424D3" w:rsidP="00D53740">
            <w:pPr>
              <w:jc w:val="both"/>
              <w:rPr>
                <w:rFonts w:eastAsia="Calibri"/>
                <w:sz w:val="20"/>
              </w:rPr>
            </w:pPr>
          </w:p>
        </w:tc>
      </w:tr>
      <w:tr w:rsidR="007424D3" w:rsidRPr="00354440" w:rsidTr="00D53740">
        <w:tblPrEx>
          <w:tblCellMar>
            <w:bottom w:w="0" w:type="dxa"/>
          </w:tblCellMar>
        </w:tblPrEx>
        <w:tc>
          <w:tcPr>
            <w:tcW w:w="2390" w:type="pct"/>
          </w:tcPr>
          <w:p w:rsidR="007424D3" w:rsidRPr="00354440" w:rsidRDefault="007424D3" w:rsidP="00D53740">
            <w:pPr>
              <w:jc w:val="both"/>
              <w:rPr>
                <w:rFonts w:eastAsia="Calibri"/>
                <w:sz w:val="20"/>
              </w:rPr>
            </w:pPr>
            <w:r w:rsidRPr="00354440">
              <w:rPr>
                <w:rFonts w:eastAsia="Calibri"/>
                <w:sz w:val="20"/>
              </w:rPr>
              <w:t>July 27, 2012</w:t>
            </w:r>
          </w:p>
          <w:p w:rsidR="007424D3" w:rsidRPr="00354440" w:rsidRDefault="007424D3" w:rsidP="00D53740">
            <w:pPr>
              <w:jc w:val="both"/>
              <w:rPr>
                <w:rFonts w:eastAsia="Calibri"/>
                <w:sz w:val="20"/>
              </w:rPr>
            </w:pPr>
            <w:r w:rsidRPr="00354440">
              <w:rPr>
                <w:rFonts w:eastAsia="Calibri"/>
                <w:sz w:val="20"/>
              </w:rPr>
              <w:t>Supreme Court of Canada</w:t>
            </w:r>
          </w:p>
          <w:p w:rsidR="007424D3" w:rsidRPr="00354440" w:rsidRDefault="007424D3" w:rsidP="00D53740">
            <w:pPr>
              <w:jc w:val="both"/>
              <w:rPr>
                <w:rFonts w:eastAsia="Calibri"/>
                <w:sz w:val="20"/>
              </w:rPr>
            </w:pPr>
          </w:p>
        </w:tc>
        <w:tc>
          <w:tcPr>
            <w:tcW w:w="270" w:type="pct"/>
          </w:tcPr>
          <w:p w:rsidR="007424D3" w:rsidRPr="00354440" w:rsidRDefault="007424D3" w:rsidP="00D53740">
            <w:pPr>
              <w:jc w:val="both"/>
              <w:rPr>
                <w:rFonts w:eastAsia="Calibri"/>
                <w:sz w:val="20"/>
              </w:rPr>
            </w:pPr>
          </w:p>
        </w:tc>
        <w:tc>
          <w:tcPr>
            <w:tcW w:w="2340" w:type="pct"/>
          </w:tcPr>
          <w:p w:rsidR="007424D3" w:rsidRPr="00354440" w:rsidRDefault="007424D3" w:rsidP="00D53740">
            <w:pPr>
              <w:jc w:val="both"/>
              <w:rPr>
                <w:rFonts w:eastAsia="Calibri"/>
                <w:sz w:val="20"/>
              </w:rPr>
            </w:pPr>
            <w:r w:rsidRPr="00354440">
              <w:rPr>
                <w:rFonts w:eastAsia="Calibri"/>
                <w:sz w:val="20"/>
              </w:rPr>
              <w:t>Notice of appeal as</w:t>
            </w:r>
            <w:r w:rsidRPr="00354440">
              <w:rPr>
                <w:rFonts w:eastAsia="Calibri"/>
                <w:sz w:val="20"/>
              </w:rPr>
              <w:noBreakHyphen/>
              <w:t>of</w:t>
            </w:r>
            <w:r w:rsidRPr="00354440">
              <w:rPr>
                <w:rFonts w:eastAsia="Calibri"/>
                <w:sz w:val="20"/>
              </w:rPr>
              <w:noBreakHyphen/>
              <w:t xml:space="preserve">right filed on the s. 8 </w:t>
            </w:r>
            <w:r w:rsidRPr="00354440">
              <w:rPr>
                <w:rFonts w:eastAsia="Calibri"/>
                <w:i/>
                <w:sz w:val="20"/>
              </w:rPr>
              <w:t xml:space="preserve">Charter </w:t>
            </w:r>
            <w:r w:rsidRPr="00354440">
              <w:rPr>
                <w:rFonts w:eastAsia="Calibri"/>
                <w:sz w:val="20"/>
              </w:rPr>
              <w:t>issue.</w:t>
            </w:r>
          </w:p>
          <w:p w:rsidR="007424D3" w:rsidRPr="00354440" w:rsidRDefault="007424D3" w:rsidP="00D53740">
            <w:pPr>
              <w:jc w:val="both"/>
              <w:rPr>
                <w:rFonts w:eastAsia="Calibri"/>
                <w:sz w:val="20"/>
              </w:rPr>
            </w:pPr>
          </w:p>
        </w:tc>
      </w:tr>
      <w:tr w:rsidR="007424D3" w:rsidRPr="00354440" w:rsidTr="00D53740">
        <w:tblPrEx>
          <w:tblCellMar>
            <w:bottom w:w="0" w:type="dxa"/>
          </w:tblCellMar>
        </w:tblPrEx>
        <w:tc>
          <w:tcPr>
            <w:tcW w:w="2390" w:type="pct"/>
          </w:tcPr>
          <w:p w:rsidR="007424D3" w:rsidRPr="00354440" w:rsidRDefault="007424D3" w:rsidP="00D53740">
            <w:pPr>
              <w:jc w:val="both"/>
              <w:rPr>
                <w:rFonts w:eastAsia="Calibri"/>
                <w:sz w:val="20"/>
              </w:rPr>
            </w:pPr>
            <w:r w:rsidRPr="00354440">
              <w:rPr>
                <w:rFonts w:eastAsia="Calibri"/>
                <w:sz w:val="20"/>
              </w:rPr>
              <w:t>August 10, 2012</w:t>
            </w:r>
          </w:p>
          <w:p w:rsidR="007424D3" w:rsidRPr="00354440" w:rsidRDefault="007424D3" w:rsidP="00D53740">
            <w:pPr>
              <w:jc w:val="both"/>
              <w:rPr>
                <w:rFonts w:eastAsia="Calibri"/>
                <w:sz w:val="20"/>
              </w:rPr>
            </w:pPr>
            <w:r w:rsidRPr="00354440">
              <w:rPr>
                <w:rFonts w:eastAsia="Calibri"/>
                <w:sz w:val="20"/>
              </w:rPr>
              <w:t>Supreme Court of Canada</w:t>
            </w:r>
          </w:p>
        </w:tc>
        <w:tc>
          <w:tcPr>
            <w:tcW w:w="270" w:type="pct"/>
          </w:tcPr>
          <w:p w:rsidR="007424D3" w:rsidRPr="00354440" w:rsidRDefault="007424D3" w:rsidP="00D53740">
            <w:pPr>
              <w:jc w:val="both"/>
              <w:rPr>
                <w:rFonts w:eastAsia="Calibri"/>
                <w:sz w:val="20"/>
              </w:rPr>
            </w:pPr>
          </w:p>
        </w:tc>
        <w:tc>
          <w:tcPr>
            <w:tcW w:w="2340" w:type="pct"/>
          </w:tcPr>
          <w:p w:rsidR="007424D3" w:rsidRPr="00354440" w:rsidRDefault="007424D3" w:rsidP="00D53740">
            <w:pPr>
              <w:jc w:val="both"/>
              <w:rPr>
                <w:rFonts w:eastAsia="Calibri"/>
                <w:sz w:val="20"/>
              </w:rPr>
            </w:pPr>
            <w:r w:rsidRPr="00354440">
              <w:rPr>
                <w:rFonts w:eastAsia="Calibri"/>
                <w:sz w:val="20"/>
              </w:rPr>
              <w:t>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74"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7424D3" w:rsidRPr="00146C8B"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Droit criminel — Infractions relatives aux armes — Possession d'une arme à feu à autorisation restreinte chargée — Lorsque des policiers ont répondu à une plainte pour bruit au domicile de l'accusé, celui</w:t>
            </w:r>
            <w:r w:rsidRPr="00354440">
              <w:rPr>
                <w:rFonts w:eastAsia="Calibri"/>
                <w:sz w:val="20"/>
                <w:lang w:val="fr-CA"/>
              </w:rPr>
              <w:noBreakHyphen/>
              <w:t>ci a répondu à la porte alors qu'il dissimulait une arme de poing — Contrairement à ce que croyait l'accusé, le permis qui l'autorisait à posséder une arme en Alberta ne l’autorisait pas à en posséder une à son domicile non</w:t>
            </w:r>
            <w:r w:rsidRPr="00354440">
              <w:rPr>
                <w:rFonts w:eastAsia="Calibri"/>
                <w:sz w:val="20"/>
                <w:lang w:val="fr-CA"/>
              </w:rPr>
              <w:noBreakHyphen/>
              <w:t>inscrit en Nouvelle</w:t>
            </w:r>
            <w:r w:rsidRPr="00354440">
              <w:rPr>
                <w:rFonts w:eastAsia="Calibri"/>
                <w:sz w:val="20"/>
                <w:lang w:val="fr-CA"/>
              </w:rPr>
              <w:noBreakHyphen/>
              <w:t>Écosse — L'erreur de l'accusé en est</w:t>
            </w:r>
            <w:r w:rsidRPr="00354440">
              <w:rPr>
                <w:rFonts w:eastAsia="Calibri"/>
                <w:sz w:val="20"/>
                <w:lang w:val="fr-CA"/>
              </w:rPr>
              <w:noBreakHyphen/>
              <w:t xml:space="preserve">elle une de fait ou de droit? — Quelles sont les exigences de la </w:t>
            </w:r>
            <w:r w:rsidRPr="00354440">
              <w:rPr>
                <w:rFonts w:eastAsia="Calibri"/>
                <w:i/>
                <w:sz w:val="20"/>
                <w:lang w:val="fr-CA"/>
              </w:rPr>
              <w:t>mens rea</w:t>
            </w:r>
            <w:r w:rsidRPr="00354440">
              <w:rPr>
                <w:rFonts w:eastAsia="Calibri"/>
                <w:sz w:val="20"/>
                <w:lang w:val="fr-CA"/>
              </w:rPr>
              <w:t>, s'il en est, d'une infraction à l'art. 95? —</w:t>
            </w:r>
            <w:r w:rsidRPr="00354440">
              <w:rPr>
                <w:rFonts w:eastAsia="Calibri"/>
                <w:i/>
                <w:sz w:val="20"/>
                <w:lang w:val="fr-CA"/>
              </w:rPr>
              <w:t xml:space="preserve"> Code criminel</w:t>
            </w:r>
            <w:r w:rsidRPr="00354440">
              <w:rPr>
                <w:rFonts w:eastAsia="Calibri"/>
                <w:sz w:val="20"/>
                <w:lang w:val="fr-CA"/>
              </w:rPr>
              <w:t>, L.R.C. 1985, ch. C</w:t>
            </w:r>
            <w:r w:rsidRPr="00354440">
              <w:rPr>
                <w:rFonts w:eastAsia="Calibri"/>
                <w:sz w:val="20"/>
                <w:lang w:val="fr-CA"/>
              </w:rPr>
              <w:noBreakHyphen/>
              <w:t>46, art. 95.</w:t>
            </w:r>
          </w:p>
        </w:tc>
      </w:tr>
      <w:tr w:rsidR="007424D3" w:rsidRPr="00146C8B" w:rsidTr="00D53740">
        <w:tc>
          <w:tcPr>
            <w:tcW w:w="5000" w:type="pct"/>
            <w:gridSpan w:val="3"/>
          </w:tcPr>
          <w:p w:rsidR="007424D3" w:rsidRPr="00354440" w:rsidRDefault="007424D3" w:rsidP="00D53740">
            <w:pPr>
              <w:jc w:val="both"/>
              <w:rPr>
                <w:rFonts w:eastAsia="Calibri"/>
                <w:sz w:val="20"/>
                <w:lang w:val="fr-CA"/>
              </w:rPr>
            </w:pPr>
          </w:p>
        </w:tc>
      </w:tr>
      <w:tr w:rsidR="007424D3" w:rsidRPr="001D43E1"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Des policiers ont répondu à une plainte pour bruit au condominium de M. MacDonald.  Lorsque M. MacDonald a ouvert la porte, un agent a observé que M. avait un fusil à la main.  Une lutte s'est ensuivie et M. MacDonald a été désarmé.  Le juge du procès a déclaré M. MacDonald coupable de manipulation négligente d'une arme à feu contrairement à l'art. 86 du</w:t>
            </w:r>
            <w:r w:rsidRPr="00354440">
              <w:rPr>
                <w:rFonts w:eastAsia="Calibri"/>
                <w:i/>
                <w:sz w:val="20"/>
                <w:lang w:val="fr-CA"/>
              </w:rPr>
              <w:t xml:space="preserve"> Code criminel</w:t>
            </w:r>
            <w:r w:rsidRPr="00354440">
              <w:rPr>
                <w:rFonts w:eastAsia="Calibri"/>
                <w:sz w:val="20"/>
                <w:lang w:val="fr-CA"/>
              </w:rPr>
              <w:t>, de possession d'une arme dans un dessein dangereux contrairement à l'art. 88 et de possession (sans autorisation) d'une arme à feu à autorisation restreinte chargée contrairement à l'art. 95.  Le juge du procès à condamné M. MacDonald à une peine d'emprisonnement totale de trois ans et à une interdiction de 10 ans d’avoir des armes en sa possession.  Les juges majoritaires de la Cour d'appel ont confirmé la décision du juge du procès selon laquelle il n'y avait eu aucune atteinte à l'art. 8 de la</w:t>
            </w:r>
            <w:r w:rsidRPr="00354440">
              <w:rPr>
                <w:rFonts w:eastAsia="Calibri"/>
                <w:i/>
                <w:sz w:val="20"/>
                <w:lang w:val="fr-CA"/>
              </w:rPr>
              <w:t xml:space="preserve"> Charte</w:t>
            </w:r>
            <w:r w:rsidRPr="00354440">
              <w:rPr>
                <w:rFonts w:eastAsia="Calibri"/>
                <w:sz w:val="20"/>
                <w:lang w:val="fr-CA"/>
              </w:rPr>
              <w:t xml:space="preserve"> et a donc confirmé les déclarations de culpabilité en vertu </w:t>
            </w:r>
            <w:proofErr w:type="gramStart"/>
            <w:r w:rsidRPr="00354440">
              <w:rPr>
                <w:rFonts w:eastAsia="Calibri"/>
                <w:sz w:val="20"/>
                <w:lang w:val="fr-CA"/>
              </w:rPr>
              <w:t>des art</w:t>
            </w:r>
            <w:proofErr w:type="gramEnd"/>
            <w:r w:rsidRPr="00354440">
              <w:rPr>
                <w:rFonts w:eastAsia="Calibri"/>
                <w:sz w:val="20"/>
                <w:lang w:val="fr-CA"/>
              </w:rPr>
              <w:t xml:space="preserve">. 86 et 88.  Toutefois, la Cour d'appel a accueilli l'appel de la déclaration de culpabilité en vertu de l'art. 95 et il y a substitué un acquittement.  Le juge Beveridge, dissident, aurait accueilli l'appel fondé sur une atteinte à l'art. 8 de la </w:t>
            </w:r>
            <w:r w:rsidRPr="00354440">
              <w:rPr>
                <w:rFonts w:eastAsia="Calibri"/>
                <w:i/>
                <w:sz w:val="20"/>
                <w:lang w:val="fr-CA"/>
              </w:rPr>
              <w:t>Charte</w:t>
            </w:r>
            <w:r w:rsidRPr="00354440">
              <w:rPr>
                <w:rFonts w:eastAsia="Calibri"/>
                <w:sz w:val="20"/>
                <w:lang w:val="fr-CA"/>
              </w:rPr>
              <w:t xml:space="preserve"> et aurait inscrit des acquittements sous toutes les accusations.</w:t>
            </w:r>
          </w:p>
          <w:p w:rsidR="007424D3" w:rsidRPr="00354440" w:rsidRDefault="007424D3" w:rsidP="00D53740">
            <w:pPr>
              <w:jc w:val="both"/>
              <w:rPr>
                <w:rFonts w:eastAsia="Calibri"/>
                <w:sz w:val="20"/>
                <w:lang w:val="fr-CA"/>
              </w:rPr>
            </w:pPr>
          </w:p>
        </w:tc>
      </w:tr>
      <w:tr w:rsidR="007424D3" w:rsidRPr="001D43E1" w:rsidTr="00146C8B">
        <w:tblPrEx>
          <w:tblCellMar>
            <w:bottom w:w="0" w:type="dxa"/>
          </w:tblCellMar>
        </w:tblPrEx>
        <w:trPr>
          <w:cantSplit/>
        </w:trPr>
        <w:tc>
          <w:tcPr>
            <w:tcW w:w="2390" w:type="pct"/>
          </w:tcPr>
          <w:p w:rsidR="007424D3" w:rsidRPr="00354440" w:rsidRDefault="007424D3" w:rsidP="00D53740">
            <w:pPr>
              <w:jc w:val="both"/>
              <w:rPr>
                <w:rFonts w:eastAsia="Calibri"/>
                <w:sz w:val="20"/>
                <w:lang w:val="fr-CA"/>
              </w:rPr>
            </w:pPr>
            <w:r w:rsidRPr="00354440">
              <w:rPr>
                <w:rFonts w:eastAsia="Calibri"/>
                <w:sz w:val="20"/>
                <w:lang w:val="fr-CA"/>
              </w:rPr>
              <w:t>26 août 2010</w:t>
            </w:r>
          </w:p>
          <w:p w:rsidR="007424D3" w:rsidRPr="00354440" w:rsidRDefault="007424D3" w:rsidP="00D53740">
            <w:pPr>
              <w:jc w:val="both"/>
              <w:rPr>
                <w:rFonts w:eastAsia="Calibri"/>
                <w:sz w:val="20"/>
                <w:lang w:val="fr-CA"/>
              </w:rPr>
            </w:pPr>
            <w:r w:rsidRPr="00354440">
              <w:rPr>
                <w:rFonts w:eastAsia="Calibri"/>
                <w:sz w:val="20"/>
                <w:lang w:val="fr-CA"/>
              </w:rPr>
              <w:t>Cour provinciale de la Nouvelle</w:t>
            </w:r>
            <w:r w:rsidRPr="00354440">
              <w:rPr>
                <w:rFonts w:eastAsia="Calibri"/>
                <w:sz w:val="20"/>
                <w:lang w:val="fr-CA"/>
              </w:rPr>
              <w:noBreakHyphen/>
              <w:t>Écosse</w:t>
            </w:r>
          </w:p>
          <w:p w:rsidR="007424D3" w:rsidRPr="00354440" w:rsidRDefault="007424D3" w:rsidP="00D53740">
            <w:pPr>
              <w:jc w:val="both"/>
              <w:rPr>
                <w:rFonts w:eastAsia="Calibri"/>
                <w:sz w:val="20"/>
                <w:lang w:val="fr-CA"/>
              </w:rPr>
            </w:pPr>
            <w:r w:rsidRPr="00354440">
              <w:rPr>
                <w:rFonts w:eastAsia="Calibri"/>
                <w:sz w:val="20"/>
                <w:lang w:val="fr-CA"/>
              </w:rPr>
              <w:t>(Juge Digby)</w:t>
            </w:r>
          </w:p>
          <w:p w:rsidR="007424D3" w:rsidRPr="00354440" w:rsidRDefault="007424D3" w:rsidP="00D53740">
            <w:pPr>
              <w:jc w:val="both"/>
              <w:rPr>
                <w:rFonts w:eastAsia="Calibri"/>
                <w:sz w:val="20"/>
                <w:lang w:val="fr-CA"/>
              </w:rPr>
            </w:pPr>
          </w:p>
        </w:tc>
        <w:tc>
          <w:tcPr>
            <w:tcW w:w="270" w:type="pct"/>
          </w:tcPr>
          <w:p w:rsidR="007424D3" w:rsidRPr="00354440" w:rsidRDefault="007424D3" w:rsidP="00D53740">
            <w:pPr>
              <w:jc w:val="both"/>
              <w:rPr>
                <w:rFonts w:eastAsia="Calibri"/>
                <w:sz w:val="20"/>
                <w:lang w:val="fr-CA"/>
              </w:rPr>
            </w:pPr>
          </w:p>
        </w:tc>
        <w:tc>
          <w:tcPr>
            <w:tcW w:w="2340" w:type="pct"/>
          </w:tcPr>
          <w:p w:rsidR="007424D3" w:rsidRPr="00354440" w:rsidRDefault="007424D3" w:rsidP="00D53740">
            <w:pPr>
              <w:jc w:val="both"/>
              <w:rPr>
                <w:rFonts w:eastAsia="Calibri"/>
                <w:sz w:val="20"/>
                <w:lang w:val="fr-CA"/>
              </w:rPr>
            </w:pPr>
            <w:r w:rsidRPr="00354440">
              <w:rPr>
                <w:rFonts w:eastAsia="Calibri"/>
                <w:sz w:val="20"/>
                <w:lang w:val="fr-CA"/>
              </w:rPr>
              <w:t>Accusé déclaré coupable de manipulation négligente d'une arme à feu contrairement à l'art. 86 du</w:t>
            </w:r>
            <w:r w:rsidRPr="00354440">
              <w:rPr>
                <w:rFonts w:eastAsia="Calibri"/>
                <w:i/>
                <w:sz w:val="20"/>
                <w:lang w:val="fr-CA"/>
              </w:rPr>
              <w:t xml:space="preserve"> Code criminel</w:t>
            </w:r>
            <w:r w:rsidRPr="00354440">
              <w:rPr>
                <w:rFonts w:eastAsia="Calibri"/>
                <w:sz w:val="20"/>
                <w:lang w:val="fr-CA"/>
              </w:rPr>
              <w:t>, de possession d'une arme dans un dessein dangereux contrairement à l'art. 88 et de possession (sans autorisation) d'une arme à feu à autorisation restreinte chargée contrairement à l’art. 95. L'accusé est condamné à une peine d'emprisonnement totale de trois ans et à une interdiction de 10 ans d’avoir des armes en sa possession.</w:t>
            </w:r>
          </w:p>
          <w:p w:rsidR="007424D3" w:rsidRPr="00354440" w:rsidRDefault="007424D3" w:rsidP="00D53740">
            <w:pPr>
              <w:jc w:val="both"/>
              <w:rPr>
                <w:rFonts w:eastAsia="Calibri"/>
                <w:sz w:val="20"/>
                <w:lang w:val="fr-CA"/>
              </w:rPr>
            </w:pPr>
            <w:r w:rsidRPr="00354440">
              <w:rPr>
                <w:rFonts w:eastAsia="Calibri"/>
                <w:sz w:val="20"/>
                <w:lang w:val="fr-CA"/>
              </w:rPr>
              <w:t xml:space="preserve"> </w:t>
            </w:r>
          </w:p>
        </w:tc>
      </w:tr>
      <w:tr w:rsidR="007424D3" w:rsidRPr="001D43E1" w:rsidTr="00146C8B">
        <w:tblPrEx>
          <w:tblCellMar>
            <w:bottom w:w="0" w:type="dxa"/>
          </w:tblCellMar>
        </w:tblPrEx>
        <w:trPr>
          <w:cantSplit/>
        </w:trPr>
        <w:tc>
          <w:tcPr>
            <w:tcW w:w="2390" w:type="pct"/>
          </w:tcPr>
          <w:p w:rsidR="007424D3" w:rsidRPr="00354440" w:rsidRDefault="007424D3" w:rsidP="00D53740">
            <w:pPr>
              <w:jc w:val="both"/>
              <w:rPr>
                <w:rFonts w:eastAsia="Calibri"/>
                <w:sz w:val="20"/>
                <w:lang w:val="fr-CA"/>
              </w:rPr>
            </w:pPr>
            <w:r w:rsidRPr="00354440">
              <w:rPr>
                <w:rFonts w:eastAsia="Calibri"/>
                <w:sz w:val="20"/>
                <w:lang w:val="fr-CA"/>
              </w:rPr>
              <w:t>11 mai 2012</w:t>
            </w:r>
          </w:p>
          <w:p w:rsidR="007424D3" w:rsidRPr="00354440" w:rsidRDefault="007424D3" w:rsidP="00D53740">
            <w:pPr>
              <w:jc w:val="both"/>
              <w:rPr>
                <w:rFonts w:eastAsia="Calibri"/>
                <w:sz w:val="20"/>
                <w:lang w:val="fr-CA"/>
              </w:rPr>
            </w:pPr>
            <w:r w:rsidRPr="00354440">
              <w:rPr>
                <w:rFonts w:eastAsia="Calibri"/>
                <w:sz w:val="20"/>
                <w:lang w:val="fr-CA"/>
              </w:rPr>
              <w:t>Cour d'appel de la Nouvelle</w:t>
            </w:r>
            <w:r w:rsidRPr="00354440">
              <w:rPr>
                <w:rFonts w:eastAsia="Calibri"/>
                <w:sz w:val="20"/>
                <w:lang w:val="fr-CA"/>
              </w:rPr>
              <w:noBreakHyphen/>
              <w:t xml:space="preserve">Écosse </w:t>
            </w:r>
          </w:p>
          <w:p w:rsidR="007424D3" w:rsidRPr="00354440" w:rsidRDefault="007424D3" w:rsidP="00D53740">
            <w:pPr>
              <w:jc w:val="both"/>
              <w:rPr>
                <w:rFonts w:eastAsia="Calibri"/>
                <w:sz w:val="20"/>
                <w:lang w:val="fr-CA"/>
              </w:rPr>
            </w:pPr>
            <w:r w:rsidRPr="00354440">
              <w:rPr>
                <w:rFonts w:eastAsia="Calibri"/>
                <w:sz w:val="20"/>
                <w:lang w:val="fr-CA"/>
              </w:rPr>
              <w:t xml:space="preserve">(Juge en chef MacDonald, juges Saunders et </w:t>
            </w:r>
          </w:p>
          <w:p w:rsidR="007424D3" w:rsidRPr="00354440" w:rsidRDefault="007424D3" w:rsidP="00D53740">
            <w:pPr>
              <w:jc w:val="both"/>
              <w:rPr>
                <w:rFonts w:eastAsia="Calibri"/>
                <w:sz w:val="20"/>
                <w:lang w:val="fr-CA"/>
              </w:rPr>
            </w:pPr>
            <w:r w:rsidRPr="00354440">
              <w:rPr>
                <w:rFonts w:eastAsia="Calibri"/>
                <w:sz w:val="20"/>
                <w:lang w:val="fr-CA"/>
              </w:rPr>
              <w:t>Beveridge [dissident])</w:t>
            </w:r>
          </w:p>
          <w:p w:rsidR="007424D3" w:rsidRPr="00354440" w:rsidRDefault="007424D3" w:rsidP="00D53740">
            <w:pPr>
              <w:jc w:val="both"/>
              <w:rPr>
                <w:rFonts w:eastAsia="Calibri"/>
                <w:sz w:val="20"/>
                <w:lang w:val="fr-CA"/>
              </w:rPr>
            </w:pPr>
            <w:r w:rsidRPr="00354440">
              <w:rPr>
                <w:rFonts w:eastAsia="Calibri"/>
                <w:sz w:val="20"/>
                <w:lang w:val="fr-CA"/>
              </w:rPr>
              <w:t>2012 NSCA 50</w:t>
            </w:r>
          </w:p>
          <w:p w:rsidR="007424D3" w:rsidRPr="00354440" w:rsidRDefault="007424D3" w:rsidP="00D53740">
            <w:pPr>
              <w:jc w:val="both"/>
              <w:rPr>
                <w:rFonts w:eastAsia="Calibri"/>
                <w:sz w:val="20"/>
                <w:lang w:val="fr-CA"/>
              </w:rPr>
            </w:pPr>
          </w:p>
        </w:tc>
        <w:tc>
          <w:tcPr>
            <w:tcW w:w="270" w:type="pct"/>
          </w:tcPr>
          <w:p w:rsidR="007424D3" w:rsidRPr="00354440" w:rsidRDefault="007424D3" w:rsidP="00D53740">
            <w:pPr>
              <w:jc w:val="both"/>
              <w:rPr>
                <w:rFonts w:eastAsia="Calibri"/>
                <w:sz w:val="20"/>
                <w:lang w:val="fr-CA"/>
              </w:rPr>
            </w:pPr>
          </w:p>
        </w:tc>
        <w:tc>
          <w:tcPr>
            <w:tcW w:w="2340" w:type="pct"/>
          </w:tcPr>
          <w:p w:rsidR="007424D3" w:rsidRPr="00354440" w:rsidRDefault="007424D3" w:rsidP="00D53740">
            <w:pPr>
              <w:jc w:val="both"/>
              <w:rPr>
                <w:rFonts w:eastAsia="Calibri"/>
                <w:sz w:val="20"/>
                <w:lang w:val="fr-CA"/>
              </w:rPr>
            </w:pPr>
            <w:r w:rsidRPr="00354440">
              <w:rPr>
                <w:rFonts w:eastAsia="Calibri"/>
                <w:sz w:val="20"/>
                <w:lang w:val="fr-CA"/>
              </w:rPr>
              <w:t xml:space="preserve">Appel accueilli en partie (relativement à la question de l'art. 95, pour laquelle la déclaration de culpabilité de l'accusé a été annulée et un acquittement inscrit). Dissidence sur la question de l'art. 8 de la </w:t>
            </w:r>
            <w:r w:rsidRPr="00354440">
              <w:rPr>
                <w:rFonts w:eastAsia="Calibri"/>
                <w:i/>
                <w:sz w:val="20"/>
                <w:lang w:val="fr-CA"/>
              </w:rPr>
              <w:t>Charte</w:t>
            </w:r>
            <w:r w:rsidRPr="00354440">
              <w:rPr>
                <w:rFonts w:eastAsia="Calibri"/>
                <w:sz w:val="20"/>
                <w:lang w:val="fr-CA"/>
              </w:rPr>
              <w:t xml:space="preserve"> seulement.</w:t>
            </w:r>
          </w:p>
          <w:p w:rsidR="007424D3" w:rsidRPr="00354440" w:rsidRDefault="007424D3" w:rsidP="00D53740">
            <w:pPr>
              <w:jc w:val="both"/>
              <w:rPr>
                <w:rFonts w:eastAsia="Calibri"/>
                <w:sz w:val="20"/>
                <w:lang w:val="fr-CA"/>
              </w:rPr>
            </w:pPr>
          </w:p>
        </w:tc>
      </w:tr>
      <w:tr w:rsidR="007424D3" w:rsidRPr="00354440" w:rsidTr="00146C8B">
        <w:tblPrEx>
          <w:tblCellMar>
            <w:bottom w:w="0" w:type="dxa"/>
          </w:tblCellMar>
        </w:tblPrEx>
        <w:trPr>
          <w:cantSplit/>
        </w:trPr>
        <w:tc>
          <w:tcPr>
            <w:tcW w:w="2390" w:type="pct"/>
          </w:tcPr>
          <w:p w:rsidR="007424D3" w:rsidRPr="00354440" w:rsidRDefault="007424D3" w:rsidP="00D53740">
            <w:pPr>
              <w:jc w:val="both"/>
              <w:rPr>
                <w:rFonts w:eastAsia="Calibri"/>
                <w:sz w:val="20"/>
                <w:lang w:val="fr-CA"/>
              </w:rPr>
            </w:pPr>
            <w:r w:rsidRPr="00354440">
              <w:rPr>
                <w:rFonts w:eastAsia="Calibri"/>
                <w:sz w:val="20"/>
                <w:lang w:val="fr-CA"/>
              </w:rPr>
              <w:t>27 juillet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p w:rsidR="007424D3" w:rsidRPr="00354440" w:rsidRDefault="007424D3" w:rsidP="00D53740">
            <w:pPr>
              <w:jc w:val="both"/>
              <w:rPr>
                <w:rFonts w:eastAsia="Calibri"/>
                <w:sz w:val="20"/>
                <w:lang w:val="fr-CA"/>
              </w:rPr>
            </w:pPr>
          </w:p>
        </w:tc>
        <w:tc>
          <w:tcPr>
            <w:tcW w:w="270" w:type="pct"/>
          </w:tcPr>
          <w:p w:rsidR="007424D3" w:rsidRPr="00354440" w:rsidRDefault="007424D3" w:rsidP="00D53740">
            <w:pPr>
              <w:jc w:val="both"/>
              <w:rPr>
                <w:rFonts w:eastAsia="Calibri"/>
                <w:sz w:val="20"/>
                <w:lang w:val="fr-CA"/>
              </w:rPr>
            </w:pPr>
          </w:p>
        </w:tc>
        <w:tc>
          <w:tcPr>
            <w:tcW w:w="2340" w:type="pct"/>
          </w:tcPr>
          <w:p w:rsidR="007424D3" w:rsidRPr="00354440" w:rsidRDefault="007424D3" w:rsidP="00D53740">
            <w:pPr>
              <w:jc w:val="both"/>
              <w:rPr>
                <w:rFonts w:eastAsia="Calibri"/>
                <w:sz w:val="20"/>
                <w:lang w:val="fr-CA"/>
              </w:rPr>
            </w:pPr>
            <w:r w:rsidRPr="00354440">
              <w:rPr>
                <w:rFonts w:eastAsia="Calibri"/>
                <w:sz w:val="20"/>
                <w:lang w:val="fr-CA"/>
              </w:rPr>
              <w:t xml:space="preserve">Avis d'appel de plein droit déposé relativement à la question de l'art. 8 de la </w:t>
            </w:r>
            <w:r w:rsidRPr="00354440">
              <w:rPr>
                <w:rFonts w:eastAsia="Calibri"/>
                <w:i/>
                <w:sz w:val="20"/>
                <w:lang w:val="fr-CA"/>
              </w:rPr>
              <w:t>Charte</w:t>
            </w:r>
            <w:r w:rsidRPr="00354440">
              <w:rPr>
                <w:rFonts w:eastAsia="Calibri"/>
                <w:sz w:val="20"/>
                <w:lang w:val="fr-CA"/>
              </w:rPr>
              <w:t>.</w:t>
            </w:r>
          </w:p>
          <w:p w:rsidR="007424D3" w:rsidRPr="00354440" w:rsidRDefault="007424D3" w:rsidP="00D53740">
            <w:pPr>
              <w:jc w:val="both"/>
              <w:rPr>
                <w:rFonts w:eastAsia="Calibri"/>
                <w:sz w:val="20"/>
                <w:lang w:val="fr-CA"/>
              </w:rPr>
            </w:pPr>
          </w:p>
        </w:tc>
      </w:tr>
      <w:tr w:rsidR="007424D3" w:rsidRPr="00354440" w:rsidTr="00146C8B">
        <w:tblPrEx>
          <w:tblCellMar>
            <w:bottom w:w="0" w:type="dxa"/>
          </w:tblCellMar>
        </w:tblPrEx>
        <w:trPr>
          <w:cantSplit/>
        </w:trPr>
        <w:tc>
          <w:tcPr>
            <w:tcW w:w="2390" w:type="pct"/>
          </w:tcPr>
          <w:p w:rsidR="007424D3" w:rsidRPr="00354440" w:rsidRDefault="007424D3" w:rsidP="00D53740">
            <w:pPr>
              <w:jc w:val="both"/>
              <w:rPr>
                <w:rFonts w:eastAsia="Calibri"/>
                <w:sz w:val="20"/>
                <w:lang w:val="fr-CA"/>
              </w:rPr>
            </w:pPr>
            <w:r w:rsidRPr="00354440">
              <w:rPr>
                <w:rFonts w:eastAsia="Calibri"/>
                <w:sz w:val="20"/>
                <w:lang w:val="fr-CA"/>
              </w:rPr>
              <w:t>10 août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p w:rsidR="007424D3" w:rsidRPr="00354440" w:rsidRDefault="007424D3" w:rsidP="00D53740">
            <w:pPr>
              <w:jc w:val="both"/>
              <w:rPr>
                <w:rFonts w:eastAsia="Calibri"/>
                <w:sz w:val="20"/>
                <w:lang w:val="fr-CA"/>
              </w:rPr>
            </w:pPr>
          </w:p>
        </w:tc>
        <w:tc>
          <w:tcPr>
            <w:tcW w:w="270" w:type="pct"/>
          </w:tcPr>
          <w:p w:rsidR="007424D3" w:rsidRPr="00354440" w:rsidRDefault="007424D3" w:rsidP="00D53740">
            <w:pPr>
              <w:jc w:val="both"/>
              <w:rPr>
                <w:rFonts w:eastAsia="Calibri"/>
                <w:sz w:val="20"/>
                <w:lang w:val="fr-CA"/>
              </w:rPr>
            </w:pPr>
          </w:p>
        </w:tc>
        <w:tc>
          <w:tcPr>
            <w:tcW w:w="2340" w:type="pct"/>
          </w:tcPr>
          <w:p w:rsidR="007424D3" w:rsidRPr="00354440" w:rsidRDefault="007424D3" w:rsidP="00D53740">
            <w:pPr>
              <w:jc w:val="both"/>
              <w:rPr>
                <w:rFonts w:eastAsia="Calibri"/>
                <w:sz w:val="20"/>
                <w:lang w:val="fr-CA"/>
              </w:rPr>
            </w:pPr>
            <w:r w:rsidRPr="00354440">
              <w:rPr>
                <w:rFonts w:eastAsia="Calibri"/>
                <w:sz w:val="20"/>
                <w:lang w:val="fr-CA"/>
              </w:rPr>
              <w:t>Demande d'autorisation d'appel, déposée.</w:t>
            </w: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75"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599" w:rsidRPr="004C6E6E" w:rsidTr="00066741">
        <w:trPr>
          <w:cantSplit/>
        </w:trPr>
        <w:tc>
          <w:tcPr>
            <w:tcW w:w="1458" w:type="dxa"/>
          </w:tcPr>
          <w:p w:rsidR="008A5599" w:rsidRPr="004C6E6E" w:rsidRDefault="008A5599" w:rsidP="00066741">
            <w:pPr>
              <w:rPr>
                <w:sz w:val="20"/>
                <w:szCs w:val="20"/>
              </w:rPr>
            </w:pPr>
            <w:r w:rsidRPr="004C6E6E">
              <w:rPr>
                <w:rStyle w:val="SCCFileNumberChar"/>
                <w:sz w:val="20"/>
                <w:szCs w:val="20"/>
              </w:rPr>
              <w:t>34916</w:t>
            </w:r>
          </w:p>
          <w:p w:rsidR="008A5599" w:rsidRPr="004C6E6E" w:rsidRDefault="008A5599" w:rsidP="00066741">
            <w:pPr>
              <w:rPr>
                <w:b/>
                <w:sz w:val="20"/>
                <w:szCs w:val="20"/>
                <w:lang w:val="fr-CA"/>
              </w:rPr>
            </w:pPr>
          </w:p>
        </w:tc>
        <w:tc>
          <w:tcPr>
            <w:tcW w:w="8118" w:type="dxa"/>
          </w:tcPr>
          <w:p w:rsidR="008A5599" w:rsidRPr="004C6E6E" w:rsidRDefault="008A5599" w:rsidP="00066741">
            <w:pPr>
              <w:jc w:val="both"/>
              <w:rPr>
                <w:sz w:val="20"/>
                <w:szCs w:val="20"/>
              </w:rPr>
            </w:pPr>
            <w:r w:rsidRPr="008A5599">
              <w:rPr>
                <w:rStyle w:val="SCCLsocChar"/>
                <w:sz w:val="20"/>
                <w:szCs w:val="20"/>
                <w:lang w:val="en-CA"/>
              </w:rPr>
              <w:t>Terrence Downey v. David Cranston, Robert Fisher, representing the Members of the Board of Trustees of the Halifax Port International Longshoremen's Association, Halifax Employers Association Pension Plan and International Longshoremen's Association / Halifax Employers Association Welfare Trust Plan</w:t>
            </w:r>
            <w:r w:rsidRPr="004C6E6E">
              <w:rPr>
                <w:sz w:val="20"/>
                <w:szCs w:val="20"/>
              </w:rPr>
              <w:t xml:space="preserve"> (N.S.) (Civil) (By Leave)</w:t>
            </w:r>
          </w:p>
          <w:p w:rsidR="008A5599" w:rsidRPr="004C6E6E" w:rsidRDefault="008A5599" w:rsidP="00066741">
            <w:pPr>
              <w:jc w:val="both"/>
              <w:rPr>
                <w:sz w:val="20"/>
                <w:szCs w:val="20"/>
              </w:rPr>
            </w:pPr>
          </w:p>
        </w:tc>
      </w:tr>
      <w:tr w:rsidR="008A5599" w:rsidRPr="004C6E6E" w:rsidTr="00066741">
        <w:trPr>
          <w:cantSplit/>
        </w:trPr>
        <w:tc>
          <w:tcPr>
            <w:tcW w:w="1458" w:type="dxa"/>
          </w:tcPr>
          <w:p w:rsidR="008A5599" w:rsidRPr="004C6E6E" w:rsidRDefault="008A5599" w:rsidP="00066741">
            <w:pPr>
              <w:rPr>
                <w:sz w:val="20"/>
                <w:szCs w:val="20"/>
              </w:rPr>
            </w:pPr>
            <w:r w:rsidRPr="004C6E6E">
              <w:rPr>
                <w:sz w:val="20"/>
                <w:szCs w:val="20"/>
              </w:rPr>
              <w:t>Coram :</w:t>
            </w:r>
          </w:p>
        </w:tc>
        <w:tc>
          <w:tcPr>
            <w:tcW w:w="8118" w:type="dxa"/>
          </w:tcPr>
          <w:p w:rsidR="008A5599" w:rsidRPr="004C6E6E" w:rsidRDefault="008A5599" w:rsidP="00066741">
            <w:pPr>
              <w:rPr>
                <w:sz w:val="20"/>
                <w:szCs w:val="20"/>
              </w:rPr>
            </w:pPr>
            <w:r w:rsidRPr="008A5599">
              <w:rPr>
                <w:rStyle w:val="SCCCoramChar"/>
                <w:sz w:val="20"/>
                <w:szCs w:val="20"/>
                <w:lang w:val="en-CA"/>
              </w:rPr>
              <w:t>Fish, Rothstein and Karakatsanis JJ.</w:t>
            </w:r>
          </w:p>
          <w:p w:rsidR="008A5599" w:rsidRPr="004C6E6E" w:rsidRDefault="008A5599" w:rsidP="00066741">
            <w:pPr>
              <w:rPr>
                <w:sz w:val="20"/>
                <w:szCs w:val="20"/>
                <w:u w:val="single"/>
              </w:rPr>
            </w:pPr>
          </w:p>
        </w:tc>
      </w:tr>
      <w:tr w:rsidR="008A5599" w:rsidRPr="001D43E1" w:rsidTr="00066741">
        <w:trPr>
          <w:cantSplit/>
        </w:trPr>
        <w:tc>
          <w:tcPr>
            <w:tcW w:w="9576" w:type="dxa"/>
            <w:gridSpan w:val="2"/>
          </w:tcPr>
          <w:p w:rsidR="008A5599" w:rsidRPr="004C6E6E" w:rsidRDefault="008A5599" w:rsidP="00066741">
            <w:pPr>
              <w:pStyle w:val="SCCShortJudgment"/>
              <w:rPr>
                <w:szCs w:val="20"/>
              </w:rPr>
            </w:pPr>
            <w:r w:rsidRPr="004C6E6E">
              <w:rPr>
                <w:szCs w:val="20"/>
              </w:rPr>
              <w:t>The application for leave to appeal from the judgment of the Nova Scotia Court of Appeal, Number CA344079, 2012 NSCA 49, dated May 8, 2012, is dismissed with costs.</w:t>
            </w:r>
          </w:p>
          <w:p w:rsidR="008A5599" w:rsidRPr="004C6E6E" w:rsidRDefault="008A5599" w:rsidP="00066741">
            <w:pPr>
              <w:pStyle w:val="SCCShortJudgment"/>
              <w:ind w:firstLine="0"/>
              <w:rPr>
                <w:szCs w:val="20"/>
              </w:rPr>
            </w:pPr>
          </w:p>
          <w:p w:rsidR="008A5599" w:rsidRPr="004C6E6E" w:rsidRDefault="008A5599" w:rsidP="00066741">
            <w:pPr>
              <w:pStyle w:val="SCCShortJudgment"/>
              <w:rPr>
                <w:szCs w:val="20"/>
                <w:lang w:val="fr-CA"/>
              </w:rPr>
            </w:pPr>
            <w:r w:rsidRPr="004C6E6E">
              <w:rPr>
                <w:szCs w:val="20"/>
                <w:lang w:val="fr-CA"/>
              </w:rPr>
              <w:t>La demande d’autorisation d’appel de l’arrêt de la Cour d’appel de la Nouvelle-Écosse, numéro CA344079, 2012 NSCA 49, daté du 8 mai 2012, est rejetée avec dépens.</w:t>
            </w:r>
          </w:p>
        </w:tc>
      </w:tr>
    </w:tbl>
    <w:p w:rsidR="00441FC4" w:rsidRPr="008A5599"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Pensions — Pension plan and welfare benefits — Eligibility — Whether membership eligibility standards under s. 14 of </w:t>
            </w:r>
            <w:r w:rsidRPr="00354440">
              <w:rPr>
                <w:rFonts w:eastAsia="Calibri"/>
                <w:i/>
                <w:sz w:val="20"/>
              </w:rPr>
              <w:t>Pension Benefits Standards Act, 1985</w:t>
            </w:r>
            <w:r w:rsidRPr="00354440">
              <w:rPr>
                <w:rFonts w:eastAsia="Calibri"/>
                <w:sz w:val="20"/>
              </w:rPr>
              <w:t>, R.S.C. 1985, C. 32 (2nd Suppl.), should be interpreted by equating “class of employee” with pension contract membership eligibility requirements — Whether two</w:t>
            </w:r>
            <w:r w:rsidRPr="00354440">
              <w:rPr>
                <w:rFonts w:eastAsia="Calibri"/>
                <w:sz w:val="20"/>
              </w:rPr>
              <w:noBreakHyphen/>
              <w:t xml:space="preserve">year vesting under s. 17 of </w:t>
            </w:r>
            <w:r w:rsidRPr="00354440">
              <w:rPr>
                <w:rFonts w:eastAsia="Calibri"/>
                <w:i/>
                <w:sz w:val="20"/>
              </w:rPr>
              <w:t>PBSA</w:t>
            </w:r>
            <w:r w:rsidRPr="00354440">
              <w:rPr>
                <w:rFonts w:eastAsia="Calibri"/>
                <w:sz w:val="20"/>
              </w:rPr>
              <w:t xml:space="preserve"> provides protection against retroactive denial of membership by administrators after more than two years of annual member pension statements crediting pension contributions have been sent to employee — Whether annual member statements required under s. 28 of </w:t>
            </w:r>
            <w:r w:rsidRPr="00354440">
              <w:rPr>
                <w:rFonts w:eastAsia="Calibri"/>
                <w:i/>
                <w:sz w:val="20"/>
              </w:rPr>
              <w:t>PBSA</w:t>
            </w:r>
            <w:r w:rsidRPr="00354440">
              <w:rPr>
                <w:rFonts w:eastAsia="Calibri"/>
                <w:sz w:val="20"/>
              </w:rPr>
              <w:t xml:space="preserve"> may be relied upon under the law of estoppel by representation as an unambiguous representation of membership if there is a disclaimer clause — Whether, in cases of legitimate uncertainty or ambiguity about rights under a pension, pension beneficiaries should be encouraged to seek court direction interpreting their rights, without risk of costs consequences.</w:t>
            </w:r>
          </w:p>
        </w:tc>
      </w:tr>
      <w:tr w:rsidR="007424D3" w:rsidRPr="00354440" w:rsidTr="00D53740">
        <w:tc>
          <w:tcPr>
            <w:tcW w:w="5000" w:type="pct"/>
            <w:gridSpan w:val="3"/>
          </w:tcPr>
          <w:p w:rsidR="007424D3" w:rsidRPr="00354440" w:rsidRDefault="007424D3" w:rsidP="00D53740">
            <w:pPr>
              <w:jc w:val="both"/>
              <w:rPr>
                <w:rFonts w:eastAsia="Calibri"/>
                <w:sz w:val="20"/>
              </w:rPr>
            </w:pPr>
          </w:p>
        </w:tc>
      </w:tr>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Mr. Downey is totally and permanently disabled.  He worked as a non</w:t>
            </w:r>
            <w:r w:rsidRPr="00354440">
              <w:rPr>
                <w:rFonts w:eastAsia="Calibri"/>
                <w:sz w:val="20"/>
              </w:rPr>
              <w:noBreakHyphen/>
              <w:t>unionized longshoreman from 1965 until he became a union member in July 1991.  He worked a total of 245 ½ hours as a union member, until December 16, 1991, after which time he could not return to work as longshoreman.  After becoming a union member, Mr. Downey was entitled to receive the pension and welfare plan benefits available to union members, so long as he met the eligibility requirements as set out in the respective plans.  During the relevant time, the respondents were responsible for and managed the pension and welfare plans.  They refused Mr. Downey’s application for a disability pension and decided that he never met the requirements to become a member of the plan.  The Supreme Court of Nova Scotia dismissed Mr. Downey’s claim for benefits and ordered him to pay costs to the respondents in the amount of $45,000.  The Court of Appeal dismissed the appeal.</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November 16, 2009</w:t>
            </w:r>
          </w:p>
          <w:p w:rsidR="007424D3" w:rsidRPr="00354440" w:rsidRDefault="007424D3" w:rsidP="00D53740">
            <w:pPr>
              <w:jc w:val="both"/>
              <w:rPr>
                <w:rFonts w:eastAsia="Calibri"/>
                <w:sz w:val="20"/>
              </w:rPr>
            </w:pPr>
            <w:r w:rsidRPr="00354440">
              <w:rPr>
                <w:rFonts w:eastAsia="Calibri"/>
                <w:sz w:val="20"/>
              </w:rPr>
              <w:t>Supreme Court of Nova Scotia, Trial Division</w:t>
            </w:r>
          </w:p>
          <w:p w:rsidR="007424D3" w:rsidRPr="00354440" w:rsidRDefault="007424D3" w:rsidP="00D53740">
            <w:pPr>
              <w:jc w:val="both"/>
              <w:rPr>
                <w:rFonts w:eastAsia="Calibri"/>
                <w:sz w:val="20"/>
              </w:rPr>
            </w:pPr>
            <w:r w:rsidRPr="00354440">
              <w:rPr>
                <w:rFonts w:eastAsia="Calibri"/>
                <w:sz w:val="20"/>
              </w:rPr>
              <w:t>(McDougall J.)</w:t>
            </w:r>
          </w:p>
          <w:p w:rsidR="007424D3" w:rsidRPr="00354440" w:rsidRDefault="007424D3" w:rsidP="00D53740">
            <w:pPr>
              <w:jc w:val="both"/>
              <w:rPr>
                <w:rFonts w:eastAsia="Calibri"/>
                <w:sz w:val="20"/>
              </w:rPr>
            </w:pPr>
            <w:r w:rsidRPr="00354440">
              <w:rPr>
                <w:rFonts w:eastAsia="Calibri"/>
                <w:sz w:val="20"/>
              </w:rPr>
              <w:t>2009 NSSC 336</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Applicant’s claim for benefits, or alternatively, for damages for breach of contract and breach of trust,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July 14, 2010</w:t>
            </w:r>
          </w:p>
          <w:p w:rsidR="007424D3" w:rsidRPr="00354440" w:rsidRDefault="007424D3" w:rsidP="00D53740">
            <w:pPr>
              <w:jc w:val="both"/>
              <w:rPr>
                <w:rFonts w:eastAsia="Calibri"/>
                <w:sz w:val="20"/>
              </w:rPr>
            </w:pPr>
            <w:r w:rsidRPr="00354440">
              <w:rPr>
                <w:rFonts w:eastAsia="Calibri"/>
                <w:sz w:val="20"/>
              </w:rPr>
              <w:t>Supreme Court of Nova Scotia</w:t>
            </w:r>
          </w:p>
          <w:p w:rsidR="007424D3" w:rsidRPr="00354440" w:rsidRDefault="007424D3" w:rsidP="00D53740">
            <w:pPr>
              <w:jc w:val="both"/>
              <w:rPr>
                <w:rFonts w:eastAsia="Calibri"/>
                <w:sz w:val="20"/>
              </w:rPr>
            </w:pPr>
            <w:r w:rsidRPr="00354440">
              <w:rPr>
                <w:rFonts w:eastAsia="Calibri"/>
                <w:sz w:val="20"/>
              </w:rPr>
              <w:t>(McDougall J.)</w:t>
            </w:r>
          </w:p>
          <w:p w:rsidR="007424D3" w:rsidRPr="00354440" w:rsidRDefault="007424D3" w:rsidP="00D53740">
            <w:pPr>
              <w:jc w:val="both"/>
              <w:rPr>
                <w:rFonts w:eastAsia="Calibri"/>
                <w:sz w:val="20"/>
              </w:rPr>
            </w:pPr>
            <w:r w:rsidRPr="00354440">
              <w:rPr>
                <w:rFonts w:eastAsia="Calibri"/>
                <w:sz w:val="20"/>
              </w:rPr>
              <w:t>2010 NSSC 270</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 xml:space="preserve">Applicant ordered to pay $45,000 to respondents for costs </w:t>
            </w: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May 8, 2012</w:t>
            </w:r>
          </w:p>
          <w:p w:rsidR="007424D3" w:rsidRPr="00354440" w:rsidRDefault="007424D3" w:rsidP="00D53740">
            <w:pPr>
              <w:jc w:val="both"/>
              <w:rPr>
                <w:rFonts w:eastAsia="Calibri"/>
                <w:sz w:val="20"/>
              </w:rPr>
            </w:pPr>
            <w:r w:rsidRPr="00354440">
              <w:rPr>
                <w:rFonts w:eastAsia="Calibri"/>
                <w:sz w:val="20"/>
              </w:rPr>
              <w:t>Nova Scotia Court of Appeal</w:t>
            </w:r>
          </w:p>
          <w:p w:rsidR="007424D3" w:rsidRPr="00354440" w:rsidRDefault="007424D3" w:rsidP="00D53740">
            <w:pPr>
              <w:jc w:val="both"/>
              <w:rPr>
                <w:rFonts w:eastAsia="Calibri"/>
                <w:sz w:val="20"/>
              </w:rPr>
            </w:pPr>
            <w:r w:rsidRPr="00354440">
              <w:rPr>
                <w:rFonts w:eastAsia="Calibri"/>
                <w:sz w:val="20"/>
              </w:rPr>
              <w:t>(Oland, Beveridge and Farrar JJ.A.)</w:t>
            </w:r>
          </w:p>
          <w:p w:rsidR="007424D3" w:rsidRPr="00354440" w:rsidRDefault="007424D3" w:rsidP="00D53740">
            <w:pPr>
              <w:jc w:val="both"/>
              <w:rPr>
                <w:rFonts w:eastAsia="Calibri"/>
                <w:sz w:val="20"/>
              </w:rPr>
            </w:pPr>
            <w:r w:rsidRPr="00354440">
              <w:rPr>
                <w:rFonts w:eastAsia="Calibri"/>
                <w:sz w:val="20"/>
              </w:rPr>
              <w:t>2012 NSCA 49</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Appeals dismissed</w:t>
            </w:r>
          </w:p>
          <w:p w:rsidR="007424D3" w:rsidRPr="00354440" w:rsidRDefault="007424D3" w:rsidP="00D53740">
            <w:pPr>
              <w:jc w:val="both"/>
              <w:rPr>
                <w:rFonts w:eastAsia="Calibri"/>
                <w:sz w:val="20"/>
              </w:rPr>
            </w:pPr>
          </w:p>
        </w:tc>
      </w:tr>
      <w:tr w:rsidR="007424D3" w:rsidRPr="00354440" w:rsidTr="00D53740">
        <w:trPr>
          <w:trHeight w:val="288"/>
        </w:trPr>
        <w:tc>
          <w:tcPr>
            <w:tcW w:w="2427" w:type="pct"/>
          </w:tcPr>
          <w:p w:rsidR="007424D3" w:rsidRPr="00354440" w:rsidRDefault="007424D3" w:rsidP="00D53740">
            <w:pPr>
              <w:jc w:val="both"/>
              <w:rPr>
                <w:rFonts w:eastAsia="Calibri"/>
                <w:sz w:val="20"/>
              </w:rPr>
            </w:pPr>
            <w:r w:rsidRPr="00354440">
              <w:rPr>
                <w:rFonts w:eastAsia="Calibri"/>
                <w:sz w:val="20"/>
              </w:rPr>
              <w:t>August 7, 2012</w:t>
            </w:r>
          </w:p>
          <w:p w:rsidR="007424D3" w:rsidRPr="00354440" w:rsidRDefault="007424D3" w:rsidP="00D53740">
            <w:pPr>
              <w:jc w:val="both"/>
              <w:rPr>
                <w:rFonts w:eastAsia="Calibri"/>
                <w:sz w:val="20"/>
              </w:rPr>
            </w:pPr>
            <w:r w:rsidRPr="00354440">
              <w:rPr>
                <w:rFonts w:eastAsia="Calibri"/>
                <w:sz w:val="20"/>
              </w:rPr>
              <w:t>Supreme Court of Canada</w:t>
            </w: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76"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424D3" w:rsidRPr="001D43E1"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Pensions — Prestations de pension et d’aide sociale — Admissibilité — Les conditions de participation prévues à l'art. 14 de la</w:t>
            </w:r>
            <w:r w:rsidRPr="00354440">
              <w:rPr>
                <w:rFonts w:eastAsia="Calibri"/>
                <w:i/>
                <w:sz w:val="20"/>
                <w:lang w:val="fr-CA"/>
              </w:rPr>
              <w:t xml:space="preserve"> Loi de 1985 sur les normes de prestation de pension</w:t>
            </w:r>
            <w:r w:rsidRPr="00354440">
              <w:rPr>
                <w:rFonts w:eastAsia="Calibri"/>
                <w:sz w:val="20"/>
                <w:lang w:val="fr-CA"/>
              </w:rPr>
              <w:t>, L.R.C. 1985, ch. 32 (2</w:t>
            </w:r>
            <w:r w:rsidRPr="00354440">
              <w:rPr>
                <w:rFonts w:eastAsia="Calibri"/>
                <w:sz w:val="20"/>
                <w:vertAlign w:val="superscript"/>
                <w:lang w:val="fr-CA"/>
              </w:rPr>
              <w:t>e</w:t>
            </w:r>
            <w:r w:rsidRPr="00354440">
              <w:rPr>
                <w:rFonts w:eastAsia="Calibri"/>
                <w:sz w:val="20"/>
                <w:lang w:val="fr-CA"/>
              </w:rPr>
              <w:t xml:space="preserve"> suppl.) devraient</w:t>
            </w:r>
            <w:r w:rsidRPr="00354440">
              <w:rPr>
                <w:rFonts w:eastAsia="Calibri"/>
                <w:sz w:val="20"/>
                <w:lang w:val="fr-CA"/>
              </w:rPr>
              <w:noBreakHyphen/>
              <w:t>elles être interprétées en faisant équivaloir la « catégorie de salariés » aux conditions de participation à la pension contractuelle? — L'acquisition du droit aux prestations au bout de deux ans aux termes de l'art 17 de la</w:t>
            </w:r>
            <w:r w:rsidRPr="00354440">
              <w:rPr>
                <w:rFonts w:eastAsia="Calibri"/>
                <w:i/>
                <w:sz w:val="20"/>
                <w:lang w:val="fr-CA"/>
              </w:rPr>
              <w:t xml:space="preserve"> Loi</w:t>
            </w:r>
            <w:r w:rsidRPr="00354440">
              <w:rPr>
                <w:rFonts w:eastAsia="Calibri"/>
                <w:sz w:val="20"/>
                <w:lang w:val="fr-CA"/>
              </w:rPr>
              <w:t xml:space="preserve"> offre</w:t>
            </w:r>
            <w:r w:rsidRPr="00354440">
              <w:rPr>
                <w:rFonts w:eastAsia="Calibri"/>
                <w:sz w:val="20"/>
                <w:lang w:val="fr-CA"/>
              </w:rPr>
              <w:noBreakHyphen/>
              <w:t>t</w:t>
            </w:r>
            <w:r w:rsidRPr="00354440">
              <w:rPr>
                <w:rFonts w:eastAsia="Calibri"/>
                <w:sz w:val="20"/>
                <w:lang w:val="fr-CA"/>
              </w:rPr>
              <w:noBreakHyphen/>
              <w:t>elle une protection contre le refus rétroactif par les administrateurs de participer au régime après que des relevés annuels de pension créditant des cotisations de retraite ont été envoyés au salarié pendant plus de deux ans? — Peut</w:t>
            </w:r>
            <w:r w:rsidRPr="00354440">
              <w:rPr>
                <w:rFonts w:eastAsia="Calibri"/>
                <w:sz w:val="20"/>
                <w:lang w:val="fr-CA"/>
              </w:rPr>
              <w:noBreakHyphen/>
              <w:t xml:space="preserve">on invoquer les relevés annuels aux participants, prescrits par l'art. 28 de la </w:t>
            </w:r>
            <w:r w:rsidRPr="00354440">
              <w:rPr>
                <w:rFonts w:eastAsia="Calibri"/>
                <w:i/>
                <w:sz w:val="20"/>
                <w:lang w:val="fr-CA"/>
              </w:rPr>
              <w:t>Loi</w:t>
            </w:r>
            <w:r w:rsidRPr="00354440">
              <w:rPr>
                <w:rFonts w:eastAsia="Calibri"/>
                <w:sz w:val="20"/>
                <w:lang w:val="fr-CA"/>
              </w:rPr>
              <w:t>, en vertu des règles de droit en matière de préclusion par assertion de fait en tant que déclaration non équivoque de participation s'il y a une clause de dénégation? — Dans le cas où il y a un doute ou une ambiguïté légitimes quant aux droits de pension, devrait</w:t>
            </w:r>
            <w:r w:rsidRPr="00354440">
              <w:rPr>
                <w:rFonts w:eastAsia="Calibri"/>
                <w:sz w:val="20"/>
                <w:lang w:val="fr-CA"/>
              </w:rPr>
              <w:noBreakHyphen/>
              <w:t>on encourager les bénéficiaires de la pension à obtenir des directives du tribunal interprétant leurs droits, sans risque de conséquences sur le plan des coûts?</w:t>
            </w:r>
          </w:p>
        </w:tc>
      </w:tr>
      <w:tr w:rsidR="007424D3" w:rsidRPr="001D43E1" w:rsidTr="00D53740">
        <w:tc>
          <w:tcPr>
            <w:tcW w:w="5000" w:type="pct"/>
            <w:gridSpan w:val="3"/>
          </w:tcPr>
          <w:p w:rsidR="007424D3" w:rsidRPr="00354440" w:rsidRDefault="007424D3" w:rsidP="00D53740">
            <w:pPr>
              <w:jc w:val="both"/>
              <w:rPr>
                <w:rFonts w:eastAsia="Calibri"/>
                <w:sz w:val="20"/>
                <w:lang w:val="fr-CA"/>
              </w:rPr>
            </w:pPr>
          </w:p>
        </w:tc>
      </w:tr>
      <w:tr w:rsidR="007424D3" w:rsidRPr="00354440"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Monsieur Downey a une invalidité totale permanente.  Il a travaillé comme débardeur non syndiqué de 1965 jusqu'à ce qu'il devienne membre du syndicat en juillet 1991.  Il a travaillé au total 245,5 heures comme syndiqué, jusqu'au 16 décembre 1991, après quoi il n'a pas pu retourner au travail comme débardeur.  Après être devenu syndiqué, M. Downey avait droit de recevoir les prestations des régimes de pension et d'aide sociale offerts aux syndiqués, pourvu qu'il respectât les conditions de participation énoncées dans les régimes respectifs.  À l'époque en cause, les intimés étaient responsables des régimes de pension et d’aide sociale et en assuraient la gestion.  Ils ont refusé la demande de pension d'invalidité présentée par M. Downey et ont statué qu'il n'avait jamais rempli les conditions de participation au régime.  La Cour suprême de la Nouvelle</w:t>
            </w:r>
            <w:r w:rsidRPr="00354440">
              <w:rPr>
                <w:rFonts w:eastAsia="Calibri"/>
                <w:sz w:val="20"/>
                <w:lang w:val="fr-CA"/>
              </w:rPr>
              <w:noBreakHyphen/>
              <w:t>Écosse a rejeté la demande de prestation de M. Downey et lui a ordonné de payer aux intimés des dépens de 45 000 $.  La Cour d'appel a rejeté l'appel.</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16 novembre 2009</w:t>
            </w:r>
          </w:p>
          <w:p w:rsidR="007424D3" w:rsidRPr="00354440" w:rsidRDefault="007424D3" w:rsidP="00D53740">
            <w:pPr>
              <w:jc w:val="both"/>
              <w:rPr>
                <w:rFonts w:eastAsia="Calibri"/>
                <w:sz w:val="20"/>
                <w:lang w:val="fr-CA"/>
              </w:rPr>
            </w:pPr>
            <w:r w:rsidRPr="00354440">
              <w:rPr>
                <w:rFonts w:eastAsia="Calibri"/>
                <w:sz w:val="20"/>
                <w:lang w:val="fr-CA"/>
              </w:rPr>
              <w:t>Cour suprême de la Nouvelle</w:t>
            </w:r>
            <w:r w:rsidRPr="00354440">
              <w:rPr>
                <w:rFonts w:eastAsia="Calibri"/>
                <w:sz w:val="20"/>
                <w:lang w:val="fr-CA"/>
              </w:rPr>
              <w:noBreakHyphen/>
              <w:t>Écosse, Section de première instance</w:t>
            </w:r>
          </w:p>
          <w:p w:rsidR="007424D3" w:rsidRPr="00354440" w:rsidRDefault="007424D3" w:rsidP="00D53740">
            <w:pPr>
              <w:jc w:val="both"/>
              <w:rPr>
                <w:rFonts w:eastAsia="Calibri"/>
                <w:sz w:val="20"/>
                <w:lang w:val="fr-CA"/>
              </w:rPr>
            </w:pPr>
            <w:r w:rsidRPr="00354440">
              <w:rPr>
                <w:rFonts w:eastAsia="Calibri"/>
                <w:sz w:val="20"/>
                <w:lang w:val="fr-CA"/>
              </w:rPr>
              <w:t>(Juge McDougall)</w:t>
            </w:r>
          </w:p>
          <w:p w:rsidR="007424D3" w:rsidRPr="00354440" w:rsidRDefault="007424D3" w:rsidP="00D53740">
            <w:pPr>
              <w:jc w:val="both"/>
              <w:rPr>
                <w:rFonts w:eastAsia="Calibri"/>
                <w:sz w:val="20"/>
                <w:lang w:val="fr-CA"/>
              </w:rPr>
            </w:pPr>
            <w:r w:rsidRPr="00354440">
              <w:rPr>
                <w:rFonts w:eastAsia="Calibri"/>
                <w:sz w:val="20"/>
                <w:lang w:val="fr-CA"/>
              </w:rPr>
              <w:t>2009 NSSC 336</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Demande du demandeur pour obtenir des prestations ou, à titre subsidiaire, des dommages</w:t>
            </w:r>
            <w:r w:rsidRPr="00354440">
              <w:rPr>
                <w:rFonts w:eastAsia="Calibri"/>
                <w:sz w:val="20"/>
                <w:lang w:val="fr-CA"/>
              </w:rPr>
              <w:noBreakHyphen/>
              <w:t>intérêts pour violation de contrat et violation de fiducie, rejetée</w:t>
            </w:r>
          </w:p>
          <w:p w:rsidR="007424D3" w:rsidRPr="00354440" w:rsidRDefault="007424D3" w:rsidP="00D53740">
            <w:pPr>
              <w:jc w:val="both"/>
              <w:rPr>
                <w:rFonts w:eastAsia="Calibri"/>
                <w:sz w:val="20"/>
                <w:lang w:val="fr-CA"/>
              </w:rPr>
            </w:pPr>
          </w:p>
        </w:tc>
      </w:tr>
      <w:tr w:rsidR="007424D3" w:rsidRPr="001D43E1"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14 juillet 2010</w:t>
            </w:r>
          </w:p>
          <w:p w:rsidR="007424D3" w:rsidRPr="00354440" w:rsidRDefault="007424D3" w:rsidP="00D53740">
            <w:pPr>
              <w:jc w:val="both"/>
              <w:rPr>
                <w:rFonts w:eastAsia="Calibri"/>
                <w:sz w:val="20"/>
                <w:lang w:val="fr-CA"/>
              </w:rPr>
            </w:pPr>
            <w:r w:rsidRPr="00354440">
              <w:rPr>
                <w:rFonts w:eastAsia="Calibri"/>
                <w:sz w:val="20"/>
                <w:lang w:val="fr-CA"/>
              </w:rPr>
              <w:t>Cour suprême de la Nouvelle</w:t>
            </w:r>
            <w:r w:rsidRPr="00354440">
              <w:rPr>
                <w:rFonts w:eastAsia="Calibri"/>
                <w:sz w:val="20"/>
                <w:lang w:val="fr-CA"/>
              </w:rPr>
              <w:noBreakHyphen/>
              <w:t xml:space="preserve">Écosse </w:t>
            </w:r>
          </w:p>
          <w:p w:rsidR="007424D3" w:rsidRPr="00354440" w:rsidRDefault="007424D3" w:rsidP="00D53740">
            <w:pPr>
              <w:jc w:val="both"/>
              <w:rPr>
                <w:rFonts w:eastAsia="Calibri"/>
                <w:sz w:val="20"/>
                <w:lang w:val="fr-CA"/>
              </w:rPr>
            </w:pPr>
            <w:r w:rsidRPr="00354440">
              <w:rPr>
                <w:rFonts w:eastAsia="Calibri"/>
                <w:sz w:val="20"/>
                <w:lang w:val="fr-CA"/>
              </w:rPr>
              <w:t>(Juge McDougall)</w:t>
            </w:r>
          </w:p>
          <w:p w:rsidR="007424D3" w:rsidRPr="00354440" w:rsidRDefault="007424D3" w:rsidP="00D53740">
            <w:pPr>
              <w:jc w:val="both"/>
              <w:rPr>
                <w:rFonts w:eastAsia="Calibri"/>
                <w:sz w:val="20"/>
                <w:lang w:val="fr-CA"/>
              </w:rPr>
            </w:pPr>
            <w:r w:rsidRPr="00354440">
              <w:rPr>
                <w:rFonts w:eastAsia="Calibri"/>
                <w:sz w:val="20"/>
                <w:lang w:val="fr-CA"/>
              </w:rPr>
              <w:t>2010 NSSC 270</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 xml:space="preserve">Demandeur condamné à payer la somme de 45 000 $ aux intimés pour les dépens </w:t>
            </w:r>
          </w:p>
        </w:tc>
      </w:tr>
      <w:tr w:rsidR="007424D3" w:rsidRPr="00354440"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8 mai 2012</w:t>
            </w:r>
          </w:p>
          <w:p w:rsidR="007424D3" w:rsidRPr="00354440" w:rsidRDefault="007424D3" w:rsidP="00D53740">
            <w:pPr>
              <w:jc w:val="both"/>
              <w:rPr>
                <w:rFonts w:eastAsia="Calibri"/>
                <w:sz w:val="20"/>
                <w:lang w:val="fr-CA"/>
              </w:rPr>
            </w:pPr>
            <w:r w:rsidRPr="00354440">
              <w:rPr>
                <w:rFonts w:eastAsia="Calibri"/>
                <w:sz w:val="20"/>
                <w:lang w:val="fr-CA"/>
              </w:rPr>
              <w:t>Cour d'appel de la Nouvelle</w:t>
            </w:r>
            <w:r w:rsidRPr="00354440">
              <w:rPr>
                <w:rFonts w:eastAsia="Calibri"/>
                <w:sz w:val="20"/>
                <w:lang w:val="fr-CA"/>
              </w:rPr>
              <w:noBreakHyphen/>
              <w:t xml:space="preserve">Écosse </w:t>
            </w:r>
          </w:p>
          <w:p w:rsidR="007424D3" w:rsidRPr="00354440" w:rsidRDefault="007424D3" w:rsidP="00D53740">
            <w:pPr>
              <w:jc w:val="both"/>
              <w:rPr>
                <w:rFonts w:eastAsia="Calibri"/>
                <w:sz w:val="20"/>
                <w:lang w:val="fr-CA"/>
              </w:rPr>
            </w:pPr>
            <w:r w:rsidRPr="00354440">
              <w:rPr>
                <w:rFonts w:eastAsia="Calibri"/>
                <w:sz w:val="20"/>
                <w:lang w:val="fr-CA"/>
              </w:rPr>
              <w:t>(Juges Oland, Beveridge et Farrar)</w:t>
            </w:r>
          </w:p>
          <w:p w:rsidR="007424D3" w:rsidRPr="00354440" w:rsidRDefault="007424D3" w:rsidP="00D53740">
            <w:pPr>
              <w:jc w:val="both"/>
              <w:rPr>
                <w:rFonts w:eastAsia="Calibri"/>
                <w:sz w:val="20"/>
                <w:lang w:val="fr-CA"/>
              </w:rPr>
            </w:pPr>
            <w:r w:rsidRPr="00354440">
              <w:rPr>
                <w:rFonts w:eastAsia="Calibri"/>
                <w:sz w:val="20"/>
                <w:lang w:val="fr-CA"/>
              </w:rPr>
              <w:t>2012 NSCA 49</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Appels rejetés</w:t>
            </w:r>
          </w:p>
          <w:p w:rsidR="007424D3" w:rsidRPr="00354440" w:rsidRDefault="007424D3" w:rsidP="00D53740">
            <w:pPr>
              <w:jc w:val="both"/>
              <w:rPr>
                <w:rFonts w:eastAsia="Calibri"/>
                <w:sz w:val="20"/>
                <w:lang w:val="fr-CA"/>
              </w:rPr>
            </w:pPr>
          </w:p>
        </w:tc>
      </w:tr>
      <w:tr w:rsidR="007424D3" w:rsidRPr="00354440" w:rsidTr="00D53740">
        <w:trPr>
          <w:trHeight w:val="144"/>
        </w:trPr>
        <w:tc>
          <w:tcPr>
            <w:tcW w:w="2427" w:type="pct"/>
          </w:tcPr>
          <w:p w:rsidR="007424D3" w:rsidRPr="00354440" w:rsidRDefault="007424D3" w:rsidP="00D53740">
            <w:pPr>
              <w:jc w:val="both"/>
              <w:rPr>
                <w:rFonts w:eastAsia="Calibri"/>
                <w:sz w:val="20"/>
                <w:lang w:val="fr-CA"/>
              </w:rPr>
            </w:pPr>
            <w:r w:rsidRPr="00354440">
              <w:rPr>
                <w:rFonts w:eastAsia="Calibri"/>
                <w:sz w:val="20"/>
                <w:lang w:val="fr-CA"/>
              </w:rPr>
              <w:t>7 août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Demande d'autorisation d'appel, déposée</w:t>
            </w: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77"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599" w:rsidRPr="001D43E1" w:rsidTr="00066741">
        <w:trPr>
          <w:cantSplit/>
        </w:trPr>
        <w:tc>
          <w:tcPr>
            <w:tcW w:w="1458" w:type="dxa"/>
          </w:tcPr>
          <w:p w:rsidR="008A5599" w:rsidRPr="004C6E6E" w:rsidRDefault="008A5599" w:rsidP="00066741">
            <w:pPr>
              <w:rPr>
                <w:sz w:val="20"/>
                <w:szCs w:val="20"/>
              </w:rPr>
            </w:pPr>
            <w:r w:rsidRPr="004C6E6E">
              <w:rPr>
                <w:rStyle w:val="SCCFileNumberChar"/>
                <w:sz w:val="20"/>
                <w:szCs w:val="20"/>
              </w:rPr>
              <w:t>34920</w:t>
            </w:r>
          </w:p>
          <w:p w:rsidR="008A5599" w:rsidRPr="004C6E6E" w:rsidRDefault="008A5599" w:rsidP="00066741">
            <w:pPr>
              <w:rPr>
                <w:b/>
                <w:sz w:val="20"/>
                <w:szCs w:val="20"/>
                <w:lang w:val="fr-CA"/>
              </w:rPr>
            </w:pPr>
          </w:p>
        </w:tc>
        <w:tc>
          <w:tcPr>
            <w:tcW w:w="8118" w:type="dxa"/>
          </w:tcPr>
          <w:p w:rsidR="008A5599" w:rsidRPr="004C6E6E" w:rsidRDefault="008A5599" w:rsidP="00066741">
            <w:pPr>
              <w:jc w:val="both"/>
              <w:rPr>
                <w:sz w:val="20"/>
                <w:szCs w:val="20"/>
                <w:lang w:val="fr-CA"/>
              </w:rPr>
            </w:pPr>
            <w:r w:rsidRPr="004C6E6E">
              <w:rPr>
                <w:rStyle w:val="SCCLsocChar"/>
                <w:sz w:val="20"/>
                <w:szCs w:val="20"/>
              </w:rPr>
              <w:t>Travailleurs et travailleuses de l'alimentation et du commerce, section locale 503 c. Compagnie Wal-Mart du Canada</w:t>
            </w:r>
            <w:r w:rsidRPr="004C6E6E">
              <w:rPr>
                <w:sz w:val="20"/>
                <w:szCs w:val="20"/>
                <w:lang w:val="fr-CA"/>
              </w:rPr>
              <w:t xml:space="preserve"> (Qc) (Civile) (Autorisation)</w:t>
            </w:r>
          </w:p>
          <w:p w:rsidR="008A5599" w:rsidRPr="004C6E6E" w:rsidRDefault="008A5599" w:rsidP="00066741">
            <w:pPr>
              <w:jc w:val="both"/>
              <w:rPr>
                <w:sz w:val="20"/>
                <w:szCs w:val="20"/>
                <w:lang w:val="fr-CA"/>
              </w:rPr>
            </w:pPr>
          </w:p>
        </w:tc>
      </w:tr>
      <w:tr w:rsidR="008A5599" w:rsidRPr="001D43E1" w:rsidTr="00066741">
        <w:trPr>
          <w:cantSplit/>
        </w:trPr>
        <w:tc>
          <w:tcPr>
            <w:tcW w:w="1458" w:type="dxa"/>
          </w:tcPr>
          <w:p w:rsidR="008A5599" w:rsidRPr="004C6E6E" w:rsidRDefault="008A5599" w:rsidP="00066741">
            <w:pPr>
              <w:rPr>
                <w:sz w:val="20"/>
                <w:szCs w:val="20"/>
              </w:rPr>
            </w:pPr>
            <w:r w:rsidRPr="004C6E6E">
              <w:rPr>
                <w:sz w:val="20"/>
                <w:szCs w:val="20"/>
              </w:rPr>
              <w:t>Coram :</w:t>
            </w:r>
          </w:p>
        </w:tc>
        <w:tc>
          <w:tcPr>
            <w:tcW w:w="8118" w:type="dxa"/>
          </w:tcPr>
          <w:p w:rsidR="008A5599" w:rsidRPr="004C6E6E" w:rsidRDefault="008A5599" w:rsidP="00066741">
            <w:pPr>
              <w:rPr>
                <w:sz w:val="20"/>
                <w:szCs w:val="20"/>
                <w:lang w:val="fr-CA"/>
              </w:rPr>
            </w:pPr>
            <w:r w:rsidRPr="004C6E6E">
              <w:rPr>
                <w:rStyle w:val="SCCCoramChar"/>
                <w:sz w:val="20"/>
                <w:szCs w:val="20"/>
              </w:rPr>
              <w:t>Les juges LeBel, Abella et Cromwell</w:t>
            </w:r>
          </w:p>
          <w:p w:rsidR="008A5599" w:rsidRPr="004C6E6E" w:rsidRDefault="008A5599" w:rsidP="00066741">
            <w:pPr>
              <w:rPr>
                <w:sz w:val="20"/>
                <w:szCs w:val="20"/>
                <w:u w:val="single"/>
                <w:lang w:val="fr-CA"/>
              </w:rPr>
            </w:pPr>
          </w:p>
        </w:tc>
      </w:tr>
      <w:tr w:rsidR="008A5599" w:rsidRPr="004C6E6E" w:rsidTr="00066741">
        <w:trPr>
          <w:cantSplit/>
        </w:trPr>
        <w:tc>
          <w:tcPr>
            <w:tcW w:w="9576" w:type="dxa"/>
            <w:gridSpan w:val="2"/>
          </w:tcPr>
          <w:p w:rsidR="008A5599" w:rsidRPr="004C6E6E" w:rsidRDefault="008A5599" w:rsidP="00066741">
            <w:pPr>
              <w:pStyle w:val="SCCShortJudgment"/>
              <w:rPr>
                <w:szCs w:val="20"/>
                <w:lang w:val="fr-CA"/>
              </w:rPr>
            </w:pPr>
            <w:r w:rsidRPr="004C6E6E">
              <w:rPr>
                <w:szCs w:val="20"/>
                <w:lang w:val="fr-CA"/>
              </w:rPr>
              <w:t>La demande d’autorisation d’appel de l’arrêt de la Cour d’appel du Québec (Québec), numéro 200-09-007205-104, 2012 QCCA 903, daté du 11 mai 2012, est accueillie avec dépens suivant l’issue de la cause.</w:t>
            </w:r>
          </w:p>
          <w:p w:rsidR="008A5599" w:rsidRPr="004C6E6E" w:rsidRDefault="008A5599" w:rsidP="00066741">
            <w:pPr>
              <w:pStyle w:val="SCCShortJudgment"/>
              <w:ind w:firstLine="0"/>
              <w:rPr>
                <w:szCs w:val="20"/>
                <w:lang w:val="fr-CA"/>
              </w:rPr>
            </w:pPr>
          </w:p>
          <w:p w:rsidR="008A5599" w:rsidRPr="004C6E6E" w:rsidRDefault="008A5599" w:rsidP="00066741">
            <w:pPr>
              <w:pStyle w:val="SCCShortJudgment"/>
              <w:rPr>
                <w:szCs w:val="20"/>
              </w:rPr>
            </w:pPr>
            <w:r w:rsidRPr="004C6E6E">
              <w:rPr>
                <w:szCs w:val="20"/>
              </w:rPr>
              <w:t xml:space="preserve">The application for leave to appeal from the judgment of the Court of Appeal of Quebec (Québec), Number 200-09-007205-104, </w:t>
            </w:r>
            <w:proofErr w:type="gramStart"/>
            <w:r w:rsidRPr="004C6E6E">
              <w:rPr>
                <w:szCs w:val="20"/>
              </w:rPr>
              <w:t>2012</w:t>
            </w:r>
            <w:proofErr w:type="gramEnd"/>
            <w:r w:rsidRPr="004C6E6E">
              <w:rPr>
                <w:szCs w:val="20"/>
              </w:rPr>
              <w:t xml:space="preserve"> QCCA 903, dated May 11, 2012, is granted with costs in the cause.</w:t>
            </w:r>
          </w:p>
        </w:tc>
      </w:tr>
    </w:tbl>
    <w:p w:rsidR="00441FC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424D3" w:rsidRPr="00354440" w:rsidTr="00D53740">
        <w:tc>
          <w:tcPr>
            <w:tcW w:w="5000" w:type="pct"/>
            <w:gridSpan w:val="3"/>
          </w:tcPr>
          <w:p w:rsidR="007424D3" w:rsidRPr="00354440" w:rsidRDefault="007424D3" w:rsidP="00D53740">
            <w:pPr>
              <w:jc w:val="both"/>
              <w:rPr>
                <w:rFonts w:eastAsia="Calibri"/>
                <w:sz w:val="20"/>
              </w:rPr>
            </w:pPr>
            <w:r w:rsidRPr="00354440">
              <w:rPr>
                <w:rFonts w:eastAsia="Calibri"/>
                <w:sz w:val="20"/>
              </w:rPr>
              <w:t xml:space="preserve">Labour relations — Human rights — Freedom of association — Jurisdiction and powers — Conditions of employment — Complaint alleging dismissal for union activities — Whether Court of Appeal erred in refusing to consider applicability of s. 59 of </w:t>
            </w:r>
            <w:r w:rsidRPr="00354440">
              <w:rPr>
                <w:rFonts w:eastAsia="Calibri"/>
                <w:i/>
                <w:sz w:val="20"/>
              </w:rPr>
              <w:t>Labour Code</w:t>
            </w:r>
            <w:r w:rsidRPr="00354440">
              <w:rPr>
                <w:rFonts w:eastAsia="Calibri"/>
                <w:sz w:val="20"/>
              </w:rPr>
              <w:t xml:space="preserve"> — Whether Court of Appeal erred in its understanding of </w:t>
            </w:r>
            <w:r w:rsidRPr="00354440">
              <w:rPr>
                <w:rFonts w:eastAsia="Calibri"/>
                <w:i/>
                <w:sz w:val="20"/>
              </w:rPr>
              <w:t>Plourde v. Wal</w:t>
            </w:r>
            <w:r w:rsidRPr="00354440">
              <w:rPr>
                <w:rFonts w:eastAsia="Calibri"/>
                <w:i/>
                <w:sz w:val="20"/>
              </w:rPr>
              <w:noBreakHyphen/>
              <w:t>Mart Canada Corp.</w:t>
            </w:r>
            <w:r w:rsidRPr="00354440">
              <w:rPr>
                <w:rFonts w:eastAsia="Calibri"/>
                <w:sz w:val="20"/>
              </w:rPr>
              <w:t xml:space="preserve">, 2009 SCC 54, [2009] 3 S.C.R. 465, as regards applicability of ss. 15 </w:t>
            </w:r>
            <w:r w:rsidRPr="00354440">
              <w:rPr>
                <w:rFonts w:eastAsia="Calibri"/>
                <w:i/>
                <w:sz w:val="20"/>
              </w:rPr>
              <w:t>et seq.</w:t>
            </w:r>
            <w:r w:rsidRPr="00354440">
              <w:rPr>
                <w:rFonts w:eastAsia="Calibri"/>
                <w:sz w:val="20"/>
              </w:rPr>
              <w:t xml:space="preserve"> of </w:t>
            </w:r>
            <w:r w:rsidRPr="00354440">
              <w:rPr>
                <w:rFonts w:eastAsia="Calibri"/>
                <w:i/>
                <w:sz w:val="20"/>
              </w:rPr>
              <w:t>Labour Code</w:t>
            </w:r>
            <w:r w:rsidRPr="00354440">
              <w:rPr>
                <w:rFonts w:eastAsia="Calibri"/>
                <w:sz w:val="20"/>
              </w:rPr>
              <w:t>, R.S.Q., c. C</w:t>
            </w:r>
            <w:r w:rsidRPr="00354440">
              <w:rPr>
                <w:rFonts w:eastAsia="Calibri"/>
                <w:sz w:val="20"/>
              </w:rPr>
              <w:noBreakHyphen/>
              <w:t xml:space="preserve">27 </w:t>
            </w:r>
            <w:r w:rsidRPr="00354440">
              <w:rPr>
                <w:rFonts w:eastAsia="Calibri"/>
                <w:color w:val="000000"/>
                <w:sz w:val="20"/>
              </w:rPr>
              <w:t>(“</w:t>
            </w:r>
            <w:r w:rsidRPr="00354440">
              <w:rPr>
                <w:rFonts w:eastAsia="Calibri"/>
                <w:i/>
                <w:color w:val="000000"/>
                <w:sz w:val="20"/>
              </w:rPr>
              <w:t>L.C.</w:t>
            </w:r>
            <w:r w:rsidRPr="00354440">
              <w:rPr>
                <w:rFonts w:eastAsia="Calibri"/>
                <w:color w:val="000000"/>
                <w:sz w:val="20"/>
              </w:rPr>
              <w:t xml:space="preserve">”), in cases of business closure </w:t>
            </w:r>
            <w:r w:rsidRPr="00354440">
              <w:rPr>
                <w:rFonts w:eastAsia="Calibri"/>
                <w:sz w:val="20"/>
              </w:rPr>
              <w:t xml:space="preserve">— Whether Court of Appeal erred in failing to consider that arbitrator responsible for disposing of similar grievance under s. 59 </w:t>
            </w:r>
            <w:r w:rsidRPr="00354440">
              <w:rPr>
                <w:rFonts w:eastAsia="Calibri"/>
                <w:i/>
                <w:sz w:val="20"/>
              </w:rPr>
              <w:t>L.C.</w:t>
            </w:r>
            <w:r w:rsidRPr="00354440">
              <w:rPr>
                <w:rFonts w:eastAsia="Calibri"/>
                <w:sz w:val="20"/>
              </w:rPr>
              <w:t xml:space="preserve"> has broad remedial powers.</w:t>
            </w:r>
          </w:p>
        </w:tc>
      </w:tr>
      <w:tr w:rsidR="007424D3" w:rsidRPr="00354440" w:rsidTr="00D53740">
        <w:tc>
          <w:tcPr>
            <w:tcW w:w="5000" w:type="pct"/>
            <w:gridSpan w:val="3"/>
          </w:tcPr>
          <w:p w:rsidR="007424D3" w:rsidRPr="00354440" w:rsidRDefault="007424D3" w:rsidP="00D53740">
            <w:pPr>
              <w:jc w:val="both"/>
              <w:rPr>
                <w:rFonts w:eastAsia="Calibri"/>
                <w:sz w:val="20"/>
              </w:rPr>
            </w:pPr>
          </w:p>
        </w:tc>
      </w:tr>
      <w:tr w:rsidR="007424D3" w:rsidRPr="00354440" w:rsidTr="00D53740">
        <w:tc>
          <w:tcPr>
            <w:tcW w:w="5000" w:type="pct"/>
            <w:gridSpan w:val="3"/>
          </w:tcPr>
          <w:p w:rsidR="007424D3" w:rsidRPr="00354440" w:rsidRDefault="007424D3" w:rsidP="00D53740">
            <w:pPr>
              <w:jc w:val="both"/>
              <w:rPr>
                <w:color w:val="000000"/>
                <w:sz w:val="20"/>
              </w:rPr>
            </w:pPr>
            <w:r w:rsidRPr="00354440">
              <w:rPr>
                <w:color w:val="000000"/>
                <w:sz w:val="20"/>
              </w:rPr>
              <w:t>In April 2005, the respondent Wal</w:t>
            </w:r>
            <w:r w:rsidRPr="00354440">
              <w:rPr>
                <w:color w:val="000000"/>
                <w:sz w:val="20"/>
              </w:rPr>
              <w:noBreakHyphen/>
              <w:t>Mart Canada Corp. (“Wal</w:t>
            </w:r>
            <w:r w:rsidRPr="00354440">
              <w:rPr>
                <w:color w:val="000000"/>
                <w:sz w:val="20"/>
              </w:rPr>
              <w:noBreakHyphen/>
              <w:t>Mart”) permanently closed its store in Jonquière.  The closure led the applicant United Food and Commercial Workers, Local 503, to institute a number of legal proceedings against Wal</w:t>
            </w:r>
            <w:r w:rsidRPr="00354440">
              <w:rPr>
                <w:color w:val="000000"/>
                <w:sz w:val="20"/>
              </w:rPr>
              <w:noBreakHyphen/>
              <w:t xml:space="preserve">Mart.  The central issue was whether the grievance arbitrator had jurisdiction in this case to decide the complaint made by the applicant </w:t>
            </w:r>
            <w:r w:rsidRPr="00354440">
              <w:rPr>
                <w:i/>
                <w:color w:val="000000"/>
                <w:sz w:val="20"/>
              </w:rPr>
              <w:t>United Food and Commercial Workers, Local 503</w:t>
            </w:r>
            <w:r w:rsidRPr="00354440">
              <w:rPr>
                <w:color w:val="000000"/>
                <w:sz w:val="20"/>
              </w:rPr>
              <w:t xml:space="preserve"> (“the union”), under s. 59 </w:t>
            </w:r>
            <w:r w:rsidRPr="00354440">
              <w:rPr>
                <w:i/>
                <w:color w:val="000000"/>
                <w:sz w:val="20"/>
              </w:rPr>
              <w:t>L.C.</w:t>
            </w:r>
            <w:r w:rsidRPr="00354440">
              <w:rPr>
                <w:i/>
                <w:iCs/>
                <w:color w:val="000000"/>
                <w:sz w:val="20"/>
              </w:rPr>
              <w:t xml:space="preserve"> </w:t>
            </w:r>
            <w:r w:rsidRPr="00354440">
              <w:rPr>
                <w:iCs/>
                <w:color w:val="000000"/>
                <w:sz w:val="20"/>
              </w:rPr>
              <w:t>on the basis of changes made to the employees’ conditions of employment as a result of the closure of the business in question</w:t>
            </w:r>
            <w:r w:rsidRPr="00354440">
              <w:rPr>
                <w:color w:val="000000"/>
                <w:sz w:val="20"/>
              </w:rPr>
              <w:t>.</w:t>
            </w:r>
          </w:p>
          <w:p w:rsidR="007424D3" w:rsidRPr="00354440" w:rsidRDefault="007424D3" w:rsidP="00D53740">
            <w:pPr>
              <w:jc w:val="both"/>
              <w:rPr>
                <w:color w:val="000000"/>
                <w:sz w:val="20"/>
              </w:rPr>
            </w:pPr>
          </w:p>
        </w:tc>
      </w:tr>
      <w:tr w:rsidR="007424D3" w:rsidRPr="00354440" w:rsidTr="00D53740">
        <w:tc>
          <w:tcPr>
            <w:tcW w:w="2427" w:type="pct"/>
          </w:tcPr>
          <w:p w:rsidR="007424D3" w:rsidRPr="00354440" w:rsidRDefault="007424D3" w:rsidP="00D53740">
            <w:pPr>
              <w:jc w:val="both"/>
              <w:rPr>
                <w:rFonts w:eastAsia="Calibri"/>
                <w:sz w:val="20"/>
                <w:lang w:val="fr-CA"/>
              </w:rPr>
            </w:pPr>
            <w:r w:rsidRPr="00354440">
              <w:rPr>
                <w:rFonts w:eastAsia="Calibri"/>
                <w:sz w:val="20"/>
                <w:lang w:val="fr-CA"/>
              </w:rPr>
              <w:t>September 18, 2009</w:t>
            </w:r>
          </w:p>
          <w:p w:rsidR="007424D3" w:rsidRPr="00354440" w:rsidRDefault="007424D3" w:rsidP="00D53740">
            <w:pPr>
              <w:jc w:val="both"/>
              <w:rPr>
                <w:rFonts w:eastAsia="Calibri"/>
                <w:sz w:val="20"/>
                <w:lang w:val="fr-CA"/>
              </w:rPr>
            </w:pPr>
            <w:r w:rsidRPr="00354440">
              <w:rPr>
                <w:rFonts w:eastAsia="Calibri"/>
                <w:sz w:val="20"/>
                <w:lang w:val="fr-CA"/>
              </w:rPr>
              <w:t>Arbitration Tribunal</w:t>
            </w:r>
          </w:p>
          <w:p w:rsidR="007424D3" w:rsidRPr="00354440" w:rsidRDefault="007424D3" w:rsidP="00D53740">
            <w:pPr>
              <w:jc w:val="both"/>
              <w:rPr>
                <w:rFonts w:eastAsia="Calibri"/>
                <w:sz w:val="20"/>
                <w:lang w:val="fr-CA"/>
              </w:rPr>
            </w:pPr>
            <w:r w:rsidRPr="00354440">
              <w:rPr>
                <w:rFonts w:eastAsia="Calibri"/>
                <w:sz w:val="20"/>
                <w:lang w:val="fr-CA"/>
              </w:rPr>
              <w:t>(Mr. Ménard)</w:t>
            </w:r>
          </w:p>
          <w:p w:rsidR="007424D3" w:rsidRPr="00354440" w:rsidRDefault="007424D3" w:rsidP="00D53740">
            <w:pPr>
              <w:jc w:val="both"/>
              <w:rPr>
                <w:rFonts w:eastAsia="Calibri"/>
                <w:sz w:val="20"/>
                <w:lang w:val="fr-CA"/>
              </w:rPr>
            </w:pP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rPr>
            </w:pPr>
            <w:r w:rsidRPr="00354440">
              <w:rPr>
                <w:rFonts w:eastAsia="Calibri"/>
                <w:sz w:val="20"/>
              </w:rPr>
              <w:t>Complaint filed by union on March 23, 2005 allowed;</w:t>
            </w:r>
          </w:p>
          <w:p w:rsidR="007424D3" w:rsidRPr="00354440" w:rsidRDefault="007424D3" w:rsidP="00D53740">
            <w:pPr>
              <w:jc w:val="both"/>
              <w:rPr>
                <w:rFonts w:eastAsia="Calibri"/>
                <w:sz w:val="20"/>
              </w:rPr>
            </w:pPr>
            <w:r w:rsidRPr="00354440">
              <w:rPr>
                <w:rFonts w:eastAsia="Calibri"/>
                <w:sz w:val="20"/>
              </w:rPr>
              <w:t>Layoffs announced by employer on February 9, 2005 and implemented as of April 29, 2005 declared unlawful;</w:t>
            </w:r>
          </w:p>
          <w:p w:rsidR="007424D3" w:rsidRPr="00354440" w:rsidRDefault="007424D3" w:rsidP="00D53740">
            <w:pPr>
              <w:jc w:val="both"/>
              <w:rPr>
                <w:rFonts w:eastAsia="Calibri"/>
                <w:sz w:val="20"/>
              </w:rPr>
            </w:pPr>
            <w:r w:rsidRPr="00354440">
              <w:rPr>
                <w:rFonts w:eastAsia="Calibri"/>
                <w:sz w:val="20"/>
              </w:rPr>
              <w:t xml:space="preserve">Jurisdiction retained to determine one or more possible remedies if parties unable to agree on remedies </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October 6, 2010</w:t>
            </w:r>
          </w:p>
          <w:p w:rsidR="007424D3" w:rsidRPr="00354440" w:rsidRDefault="007424D3" w:rsidP="00D53740">
            <w:pPr>
              <w:jc w:val="both"/>
              <w:rPr>
                <w:rFonts w:eastAsia="Calibri"/>
                <w:sz w:val="20"/>
              </w:rPr>
            </w:pPr>
            <w:r w:rsidRPr="00354440">
              <w:rPr>
                <w:rFonts w:eastAsia="Calibri"/>
                <w:sz w:val="20"/>
              </w:rPr>
              <w:t>Quebec Superior Court</w:t>
            </w:r>
          </w:p>
          <w:p w:rsidR="007424D3" w:rsidRPr="00354440" w:rsidRDefault="007424D3" w:rsidP="00D53740">
            <w:pPr>
              <w:jc w:val="both"/>
              <w:rPr>
                <w:rFonts w:eastAsia="Calibri"/>
                <w:sz w:val="20"/>
              </w:rPr>
            </w:pPr>
            <w:r w:rsidRPr="00354440">
              <w:rPr>
                <w:rFonts w:eastAsia="Calibri"/>
                <w:sz w:val="20"/>
              </w:rPr>
              <w:t>(Moulin J.)</w:t>
            </w:r>
          </w:p>
          <w:p w:rsidR="007424D3" w:rsidRPr="00354440" w:rsidRDefault="007424D3" w:rsidP="00D53740">
            <w:pPr>
              <w:jc w:val="both"/>
              <w:rPr>
                <w:rFonts w:eastAsia="Calibri"/>
                <w:sz w:val="20"/>
              </w:rPr>
            </w:pPr>
            <w:r w:rsidRPr="00354440">
              <w:rPr>
                <w:rFonts w:eastAsia="Calibri"/>
                <w:sz w:val="20"/>
              </w:rPr>
              <w:t>2010 QCCS 4743</w:t>
            </w:r>
          </w:p>
          <w:p w:rsidR="007424D3" w:rsidRPr="00354440" w:rsidRDefault="007424D3" w:rsidP="00D53740">
            <w:pPr>
              <w:jc w:val="both"/>
              <w:rPr>
                <w:rFonts w:eastAsia="Calibri"/>
                <w:sz w:val="20"/>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Motion by Wal-Mart Canada Corp. for judicial review of award of September 18, 2009 dismissed;</w:t>
            </w:r>
          </w:p>
          <w:p w:rsidR="007424D3" w:rsidRPr="00354440" w:rsidRDefault="007424D3" w:rsidP="00D53740">
            <w:pPr>
              <w:jc w:val="both"/>
              <w:rPr>
                <w:rFonts w:eastAsia="Calibri"/>
                <w:sz w:val="20"/>
              </w:rPr>
            </w:pPr>
            <w:r w:rsidRPr="00354440">
              <w:rPr>
                <w:rFonts w:eastAsia="Calibri"/>
                <w:sz w:val="20"/>
              </w:rPr>
              <w:t>Wal-Mart Canada Corp. and United Food and Commercial Workers, Local 503, ordered to return before respondent arbitrator to determine one or more possible remedies if parties unable to agree on remedies</w:t>
            </w:r>
          </w:p>
          <w:p w:rsidR="007424D3" w:rsidRPr="00354440" w:rsidRDefault="007424D3" w:rsidP="00D53740">
            <w:pPr>
              <w:jc w:val="both"/>
              <w:rPr>
                <w:rFonts w:eastAsia="Calibri"/>
                <w:sz w:val="20"/>
              </w:rPr>
            </w:pPr>
          </w:p>
        </w:tc>
      </w:tr>
      <w:tr w:rsidR="007424D3" w:rsidRPr="00354440" w:rsidTr="00D53740">
        <w:trPr>
          <w:trHeight w:val="1296"/>
        </w:trPr>
        <w:tc>
          <w:tcPr>
            <w:tcW w:w="2427" w:type="pct"/>
          </w:tcPr>
          <w:p w:rsidR="007424D3" w:rsidRPr="00354440" w:rsidRDefault="007424D3" w:rsidP="00D53740">
            <w:pPr>
              <w:jc w:val="both"/>
              <w:rPr>
                <w:rFonts w:eastAsia="Calibri"/>
                <w:sz w:val="20"/>
              </w:rPr>
            </w:pPr>
            <w:r w:rsidRPr="00354440">
              <w:rPr>
                <w:rFonts w:eastAsia="Calibri"/>
                <w:sz w:val="20"/>
              </w:rPr>
              <w:t>May 11, 2012</w:t>
            </w:r>
          </w:p>
          <w:p w:rsidR="007424D3" w:rsidRPr="00354440" w:rsidRDefault="007424D3" w:rsidP="00D53740">
            <w:pPr>
              <w:jc w:val="both"/>
              <w:rPr>
                <w:rFonts w:eastAsia="Calibri"/>
                <w:sz w:val="20"/>
              </w:rPr>
            </w:pPr>
            <w:r w:rsidRPr="00354440">
              <w:rPr>
                <w:rFonts w:eastAsia="Calibri"/>
                <w:sz w:val="20"/>
              </w:rPr>
              <w:t>Quebec Court of Appeal (Québec)</w:t>
            </w:r>
          </w:p>
          <w:p w:rsidR="007424D3" w:rsidRPr="00354440" w:rsidRDefault="007424D3" w:rsidP="00D53740">
            <w:pPr>
              <w:jc w:val="both"/>
              <w:rPr>
                <w:rFonts w:eastAsia="Calibri"/>
                <w:sz w:val="20"/>
                <w:lang w:val="fr-CA"/>
              </w:rPr>
            </w:pPr>
            <w:r w:rsidRPr="00354440">
              <w:rPr>
                <w:rFonts w:eastAsia="Calibri"/>
                <w:sz w:val="20"/>
                <w:lang w:val="fr-CA"/>
              </w:rPr>
              <w:t>(Vézina, Léger and Gagnon JJ.A.)</w:t>
            </w:r>
          </w:p>
          <w:p w:rsidR="007424D3" w:rsidRPr="00354440" w:rsidRDefault="007424D3" w:rsidP="00D53740">
            <w:pPr>
              <w:jc w:val="both"/>
              <w:rPr>
                <w:rFonts w:eastAsia="Calibri"/>
                <w:sz w:val="20"/>
              </w:rPr>
            </w:pPr>
            <w:r w:rsidRPr="00354440">
              <w:rPr>
                <w:rFonts w:eastAsia="Calibri"/>
                <w:sz w:val="20"/>
              </w:rPr>
              <w:t>2012 QCCA 903</w:t>
            </w: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Appeal allowed;</w:t>
            </w:r>
          </w:p>
          <w:p w:rsidR="007424D3" w:rsidRPr="00354440" w:rsidRDefault="007424D3" w:rsidP="00D53740">
            <w:pPr>
              <w:jc w:val="both"/>
              <w:rPr>
                <w:rFonts w:eastAsia="Calibri"/>
                <w:sz w:val="20"/>
              </w:rPr>
            </w:pPr>
            <w:r w:rsidRPr="00354440">
              <w:rPr>
                <w:rFonts w:eastAsia="Calibri"/>
                <w:sz w:val="20"/>
              </w:rPr>
              <w:t>Judgment under appeal set aside;</w:t>
            </w:r>
          </w:p>
          <w:p w:rsidR="007424D3" w:rsidRPr="00354440" w:rsidRDefault="007424D3" w:rsidP="00D53740">
            <w:pPr>
              <w:jc w:val="both"/>
              <w:rPr>
                <w:rFonts w:eastAsia="Calibri"/>
                <w:sz w:val="20"/>
              </w:rPr>
            </w:pPr>
            <w:r w:rsidRPr="00354440">
              <w:rPr>
                <w:rFonts w:eastAsia="Calibri"/>
                <w:sz w:val="20"/>
              </w:rPr>
              <w:t>Application for judicial review allowed;</w:t>
            </w:r>
          </w:p>
          <w:p w:rsidR="007424D3" w:rsidRPr="00354440" w:rsidRDefault="007424D3" w:rsidP="00D53740">
            <w:pPr>
              <w:jc w:val="both"/>
              <w:rPr>
                <w:rFonts w:eastAsia="Calibri"/>
                <w:sz w:val="20"/>
              </w:rPr>
            </w:pPr>
            <w:r w:rsidRPr="00354440">
              <w:rPr>
                <w:rFonts w:eastAsia="Calibri"/>
                <w:sz w:val="20"/>
              </w:rPr>
              <w:t>Arbitration award rendered by mis</w:t>
            </w:r>
            <w:r w:rsidRPr="00354440">
              <w:rPr>
                <w:rFonts w:eastAsia="Calibri"/>
                <w:sz w:val="20"/>
              </w:rPr>
              <w:noBreakHyphen/>
              <w:t>en</w:t>
            </w:r>
            <w:r w:rsidRPr="00354440">
              <w:rPr>
                <w:rFonts w:eastAsia="Calibri"/>
                <w:sz w:val="20"/>
              </w:rPr>
              <w:noBreakHyphen/>
              <w:t>cause on September 18, 2009 annulled;</w:t>
            </w:r>
          </w:p>
          <w:p w:rsidR="007424D3" w:rsidRPr="00354440" w:rsidRDefault="007424D3" w:rsidP="00D53740">
            <w:pPr>
              <w:jc w:val="both"/>
              <w:rPr>
                <w:rFonts w:eastAsia="Calibri"/>
                <w:sz w:val="20"/>
              </w:rPr>
            </w:pPr>
            <w:r w:rsidRPr="00354440">
              <w:rPr>
                <w:rFonts w:eastAsia="Calibri"/>
                <w:sz w:val="20"/>
              </w:rPr>
              <w:t xml:space="preserve">Complaint filed by union under s. 59 of </w:t>
            </w:r>
            <w:r w:rsidRPr="00354440">
              <w:rPr>
                <w:rFonts w:eastAsia="Calibri"/>
                <w:i/>
                <w:sz w:val="20"/>
              </w:rPr>
              <w:t>Labour Code</w:t>
            </w:r>
            <w:r w:rsidRPr="00354440">
              <w:rPr>
                <w:rFonts w:eastAsia="Calibri"/>
                <w:sz w:val="20"/>
              </w:rPr>
              <w:t xml:space="preserve"> dismissed</w:t>
            </w:r>
          </w:p>
          <w:p w:rsidR="007424D3" w:rsidRPr="00354440" w:rsidRDefault="007424D3" w:rsidP="00D53740">
            <w:pPr>
              <w:jc w:val="both"/>
              <w:rPr>
                <w:rFonts w:eastAsia="Calibri"/>
                <w:sz w:val="20"/>
              </w:rPr>
            </w:pPr>
          </w:p>
        </w:tc>
      </w:tr>
      <w:tr w:rsidR="007424D3" w:rsidRPr="00354440" w:rsidTr="00D53740">
        <w:tc>
          <w:tcPr>
            <w:tcW w:w="2427" w:type="pct"/>
          </w:tcPr>
          <w:p w:rsidR="007424D3" w:rsidRPr="00354440" w:rsidRDefault="007424D3" w:rsidP="00D53740">
            <w:pPr>
              <w:jc w:val="both"/>
              <w:rPr>
                <w:rFonts w:eastAsia="Calibri"/>
                <w:sz w:val="20"/>
              </w:rPr>
            </w:pPr>
            <w:r w:rsidRPr="00354440">
              <w:rPr>
                <w:rFonts w:eastAsia="Calibri"/>
                <w:sz w:val="20"/>
              </w:rPr>
              <w:t>August 8, 2012</w:t>
            </w:r>
          </w:p>
          <w:p w:rsidR="007424D3" w:rsidRPr="00354440" w:rsidRDefault="007424D3" w:rsidP="00D53740">
            <w:pPr>
              <w:jc w:val="both"/>
              <w:rPr>
                <w:rFonts w:eastAsia="Calibri"/>
                <w:sz w:val="20"/>
              </w:rPr>
            </w:pPr>
            <w:r w:rsidRPr="00354440">
              <w:rPr>
                <w:rFonts w:eastAsia="Calibri"/>
                <w:sz w:val="20"/>
              </w:rPr>
              <w:t>Supreme Court of Canada</w:t>
            </w: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rPr>
            </w:pPr>
            <w:r w:rsidRPr="00354440">
              <w:rPr>
                <w:rFonts w:eastAsia="Calibri"/>
                <w:sz w:val="20"/>
              </w:rPr>
              <w:t>Application for leave to appeal filed</w:t>
            </w:r>
          </w:p>
          <w:p w:rsidR="007424D3" w:rsidRPr="00354440" w:rsidRDefault="007424D3" w:rsidP="00D53740">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78"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424D3" w:rsidRPr="001D43E1" w:rsidTr="00D53740">
        <w:tc>
          <w:tcPr>
            <w:tcW w:w="5000" w:type="pct"/>
            <w:gridSpan w:val="3"/>
          </w:tcPr>
          <w:p w:rsidR="007424D3" w:rsidRPr="00354440" w:rsidRDefault="007424D3" w:rsidP="00D53740">
            <w:pPr>
              <w:jc w:val="both"/>
              <w:rPr>
                <w:rFonts w:eastAsia="Calibri"/>
                <w:sz w:val="20"/>
                <w:lang w:val="fr-CA"/>
              </w:rPr>
            </w:pPr>
            <w:r w:rsidRPr="00354440">
              <w:rPr>
                <w:rFonts w:eastAsia="Calibri"/>
                <w:sz w:val="20"/>
                <w:lang w:val="fr-CA"/>
              </w:rPr>
              <w:t>Relations du travail — Droits de la personne — Droit d’association — Compétence et pouvoirs — Conditions de travail — Plainte alléguant un congédiement en raison d’activités syndicale — La Cour d’appel a</w:t>
            </w:r>
            <w:r w:rsidRPr="00354440">
              <w:rPr>
                <w:rFonts w:eastAsia="Calibri"/>
                <w:sz w:val="20"/>
                <w:lang w:val="fr-CA"/>
              </w:rPr>
              <w:noBreakHyphen/>
              <w:t>t</w:t>
            </w:r>
            <w:r w:rsidRPr="00354440">
              <w:rPr>
                <w:rFonts w:eastAsia="Calibri"/>
                <w:sz w:val="20"/>
                <w:lang w:val="fr-CA"/>
              </w:rPr>
              <w:noBreakHyphen/>
              <w:t xml:space="preserve">elle fait erreur en refusant de considérer l’applicabilité de l’article 59 du </w:t>
            </w:r>
            <w:r w:rsidRPr="00354440">
              <w:rPr>
                <w:rFonts w:eastAsia="Calibri"/>
                <w:i/>
                <w:sz w:val="20"/>
                <w:lang w:val="fr-CA"/>
              </w:rPr>
              <w:t>Code du travail</w:t>
            </w:r>
            <w:r w:rsidRPr="00354440">
              <w:rPr>
                <w:rFonts w:eastAsia="Calibri"/>
                <w:sz w:val="20"/>
                <w:lang w:val="fr-CA"/>
              </w:rPr>
              <w:t>? — La Cour d’appel a</w:t>
            </w:r>
            <w:r w:rsidRPr="00354440">
              <w:rPr>
                <w:rFonts w:eastAsia="Calibri"/>
                <w:sz w:val="20"/>
                <w:lang w:val="fr-CA"/>
              </w:rPr>
              <w:noBreakHyphen/>
              <w:t>t</w:t>
            </w:r>
            <w:r w:rsidRPr="00354440">
              <w:rPr>
                <w:rFonts w:eastAsia="Calibri"/>
                <w:sz w:val="20"/>
                <w:lang w:val="fr-CA"/>
              </w:rPr>
              <w:noBreakHyphen/>
              <w:t xml:space="preserve">elle fait erreur dans sa compréhension de l’arrêt </w:t>
            </w:r>
            <w:r w:rsidRPr="00354440">
              <w:rPr>
                <w:rFonts w:eastAsia="Calibri"/>
                <w:i/>
                <w:sz w:val="20"/>
                <w:lang w:val="fr-CA"/>
              </w:rPr>
              <w:t>Plourde c. Compagnie Wal</w:t>
            </w:r>
            <w:r w:rsidRPr="00354440">
              <w:rPr>
                <w:rFonts w:eastAsia="Calibri"/>
                <w:i/>
                <w:sz w:val="20"/>
                <w:lang w:val="fr-CA"/>
              </w:rPr>
              <w:noBreakHyphen/>
              <w:t>Mart du Canada Inc.</w:t>
            </w:r>
            <w:r w:rsidRPr="00354440">
              <w:rPr>
                <w:rFonts w:eastAsia="Calibri"/>
                <w:sz w:val="20"/>
                <w:lang w:val="fr-CA"/>
              </w:rPr>
              <w:t xml:space="preserve">, 2009 CSC 54, [2009] 3 R.C.S. 465, quant à l’applicabilité des articles 15 et suivants du </w:t>
            </w:r>
            <w:r w:rsidRPr="00354440">
              <w:rPr>
                <w:rFonts w:eastAsia="Calibri"/>
                <w:i/>
                <w:sz w:val="20"/>
                <w:lang w:val="fr-CA"/>
              </w:rPr>
              <w:t>Code du travail</w:t>
            </w:r>
            <w:r w:rsidRPr="00354440">
              <w:rPr>
                <w:rFonts w:eastAsia="Calibri"/>
                <w:sz w:val="20"/>
                <w:lang w:val="fr-CA"/>
              </w:rPr>
              <w:t>, L.R.Q., ch. C</w:t>
            </w:r>
            <w:r w:rsidRPr="00354440">
              <w:rPr>
                <w:rFonts w:eastAsia="Calibri"/>
                <w:sz w:val="20"/>
                <w:lang w:val="fr-CA"/>
              </w:rPr>
              <w:noBreakHyphen/>
              <w:t xml:space="preserve">27 </w:t>
            </w:r>
            <w:r w:rsidRPr="00354440">
              <w:rPr>
                <w:rFonts w:eastAsia="Calibri"/>
                <w:color w:val="000000"/>
                <w:sz w:val="20"/>
                <w:lang w:val="fr-FR"/>
              </w:rPr>
              <w:t>(« </w:t>
            </w:r>
            <w:r w:rsidRPr="00354440">
              <w:rPr>
                <w:rFonts w:eastAsia="Calibri"/>
                <w:i/>
                <w:iCs/>
                <w:color w:val="000000"/>
                <w:sz w:val="20"/>
                <w:lang w:val="fr-FR"/>
              </w:rPr>
              <w:t>C.tr</w:t>
            </w:r>
            <w:r w:rsidRPr="00354440">
              <w:rPr>
                <w:rFonts w:eastAsia="Calibri"/>
                <w:color w:val="000000"/>
                <w:sz w:val="20"/>
                <w:lang w:val="fr-FR"/>
              </w:rPr>
              <w:t xml:space="preserve">. ») </w:t>
            </w:r>
            <w:r w:rsidRPr="00354440">
              <w:rPr>
                <w:rFonts w:eastAsia="Calibri"/>
                <w:sz w:val="20"/>
                <w:lang w:val="fr-CA"/>
              </w:rPr>
              <w:t>dans les cas de fermeture d’entreprise? — La Cour d’appel a</w:t>
            </w:r>
            <w:r w:rsidRPr="00354440">
              <w:rPr>
                <w:rFonts w:eastAsia="Calibri"/>
                <w:sz w:val="20"/>
                <w:lang w:val="fr-CA"/>
              </w:rPr>
              <w:noBreakHyphen/>
              <w:t>t</w:t>
            </w:r>
            <w:r w:rsidRPr="00354440">
              <w:rPr>
                <w:rFonts w:eastAsia="Calibri"/>
                <w:sz w:val="20"/>
                <w:lang w:val="fr-CA"/>
              </w:rPr>
              <w:noBreakHyphen/>
              <w:t xml:space="preserve">elle fait erreur en omettant de considérer que l’arbitre chargé de disposer d’un grief assimilé déposé en vertu de l’article 59 du </w:t>
            </w:r>
            <w:r w:rsidRPr="00354440">
              <w:rPr>
                <w:rFonts w:eastAsia="Calibri"/>
                <w:i/>
                <w:sz w:val="20"/>
                <w:lang w:val="fr-CA"/>
              </w:rPr>
              <w:t>C. tr.</w:t>
            </w:r>
            <w:r w:rsidRPr="00354440">
              <w:rPr>
                <w:rFonts w:eastAsia="Calibri"/>
                <w:sz w:val="20"/>
                <w:lang w:val="fr-CA"/>
              </w:rPr>
              <w:t xml:space="preserve"> possède de larges pouvoirs de réparation?</w:t>
            </w:r>
          </w:p>
        </w:tc>
      </w:tr>
      <w:tr w:rsidR="007424D3" w:rsidRPr="001D43E1" w:rsidTr="00D53740">
        <w:tc>
          <w:tcPr>
            <w:tcW w:w="5000" w:type="pct"/>
            <w:gridSpan w:val="3"/>
          </w:tcPr>
          <w:p w:rsidR="007424D3" w:rsidRPr="00354440" w:rsidRDefault="007424D3" w:rsidP="00D53740">
            <w:pPr>
              <w:jc w:val="both"/>
              <w:rPr>
                <w:rFonts w:eastAsia="Calibri"/>
                <w:sz w:val="20"/>
                <w:lang w:val="fr-CA"/>
              </w:rPr>
            </w:pPr>
          </w:p>
        </w:tc>
      </w:tr>
      <w:tr w:rsidR="007424D3" w:rsidRPr="001D43E1" w:rsidTr="00D53740">
        <w:tc>
          <w:tcPr>
            <w:tcW w:w="5000" w:type="pct"/>
            <w:gridSpan w:val="3"/>
          </w:tcPr>
          <w:p w:rsidR="007424D3" w:rsidRPr="00F27BA5" w:rsidRDefault="007424D3" w:rsidP="00D53740">
            <w:pPr>
              <w:jc w:val="both"/>
              <w:rPr>
                <w:color w:val="000000"/>
                <w:sz w:val="20"/>
                <w:lang w:val="fr-CA"/>
              </w:rPr>
            </w:pPr>
            <w:r w:rsidRPr="00F27BA5">
              <w:rPr>
                <w:color w:val="000000"/>
                <w:sz w:val="20"/>
                <w:lang w:val="fr-CA"/>
              </w:rPr>
              <w:t>En avril 2005, l’intimée, la Compagnie Wal</w:t>
            </w:r>
            <w:r w:rsidRPr="00F27BA5">
              <w:rPr>
                <w:color w:val="000000"/>
                <w:sz w:val="20"/>
                <w:lang w:val="fr-CA"/>
              </w:rPr>
              <w:noBreakHyphen/>
              <w:t>Mart du Canada inc. (« Wal</w:t>
            </w:r>
            <w:r w:rsidRPr="00F27BA5">
              <w:rPr>
                <w:color w:val="000000"/>
                <w:sz w:val="20"/>
                <w:lang w:val="fr-CA"/>
              </w:rPr>
              <w:noBreakHyphen/>
              <w:t>Mart ») ferme définitivement le magasin qu’elle exploitait alors à Jonquière.  Cette fermeture a entraîné plusieurs recours judiciaires initiés par la demanderesse Les Travailleurs et Travailleuses unis de l’alimentation et du commerce, section locale 503, contre Wal</w:t>
            </w:r>
            <w:r w:rsidRPr="00F27BA5">
              <w:rPr>
                <w:color w:val="000000"/>
                <w:sz w:val="20"/>
                <w:lang w:val="fr-CA"/>
              </w:rPr>
              <w:noBreakHyphen/>
              <w:t xml:space="preserve">Mart.  La question centrale consiste à savoir si, en l’espèce, l’arbitre de griefs avait compétence pour statuer sur la plainte de la demanderesse, </w:t>
            </w:r>
            <w:r w:rsidRPr="00F27BA5">
              <w:rPr>
                <w:i/>
                <w:color w:val="000000"/>
                <w:sz w:val="20"/>
                <w:lang w:val="fr-CA"/>
              </w:rPr>
              <w:t xml:space="preserve">Travailleurs et travailleuses de l’alimentation et du commerce, section locale 503 </w:t>
            </w:r>
            <w:r w:rsidRPr="00F27BA5">
              <w:rPr>
                <w:color w:val="000000"/>
                <w:sz w:val="20"/>
                <w:lang w:val="fr-CA"/>
              </w:rPr>
              <w:t xml:space="preserve">(« Syndicat »), fondée sur l’article 59 </w:t>
            </w:r>
            <w:r w:rsidRPr="00F27BA5">
              <w:rPr>
                <w:i/>
                <w:iCs/>
                <w:color w:val="000000"/>
                <w:sz w:val="20"/>
                <w:lang w:val="fr-CA"/>
              </w:rPr>
              <w:t>C.tr</w:t>
            </w:r>
            <w:r w:rsidRPr="00F27BA5">
              <w:rPr>
                <w:color w:val="000000"/>
                <w:sz w:val="20"/>
                <w:lang w:val="fr-CA"/>
              </w:rPr>
              <w:t>.,</w:t>
            </w:r>
            <w:r w:rsidRPr="00F27BA5">
              <w:rPr>
                <w:i/>
                <w:iCs/>
                <w:color w:val="000000"/>
                <w:sz w:val="20"/>
                <w:lang w:val="fr-CA"/>
              </w:rPr>
              <w:t xml:space="preserve"> </w:t>
            </w:r>
            <w:r w:rsidRPr="00F27BA5">
              <w:rPr>
                <w:color w:val="000000"/>
                <w:sz w:val="20"/>
                <w:lang w:val="fr-CA"/>
              </w:rPr>
              <w:t>invoquant des changements survenus aux conditions de travail des salariés, à la suite de la fermeture de l’entreprise visée.</w:t>
            </w:r>
          </w:p>
          <w:p w:rsidR="007424D3" w:rsidRPr="00354440" w:rsidRDefault="007424D3" w:rsidP="00D53740">
            <w:pPr>
              <w:jc w:val="both"/>
              <w:rPr>
                <w:color w:val="000000"/>
                <w:sz w:val="20"/>
                <w:lang w:val="fr-FR"/>
              </w:rPr>
            </w:pPr>
          </w:p>
        </w:tc>
      </w:tr>
      <w:tr w:rsidR="007424D3" w:rsidRPr="001D43E1" w:rsidTr="008A5599">
        <w:trPr>
          <w:cantSplit/>
        </w:trPr>
        <w:tc>
          <w:tcPr>
            <w:tcW w:w="2427" w:type="pct"/>
          </w:tcPr>
          <w:p w:rsidR="007424D3" w:rsidRPr="00354440" w:rsidRDefault="007424D3" w:rsidP="00D53740">
            <w:pPr>
              <w:jc w:val="both"/>
              <w:rPr>
                <w:rFonts w:eastAsia="Calibri"/>
                <w:sz w:val="20"/>
                <w:lang w:val="fr-CA"/>
              </w:rPr>
            </w:pPr>
            <w:r w:rsidRPr="00354440">
              <w:rPr>
                <w:rFonts w:eastAsia="Calibri"/>
                <w:sz w:val="20"/>
                <w:lang w:val="fr-CA"/>
              </w:rPr>
              <w:t>Le 18 septembre 2009</w:t>
            </w:r>
          </w:p>
          <w:p w:rsidR="007424D3" w:rsidRPr="00354440" w:rsidRDefault="007424D3" w:rsidP="00D53740">
            <w:pPr>
              <w:jc w:val="both"/>
              <w:rPr>
                <w:rFonts w:eastAsia="Calibri"/>
                <w:sz w:val="20"/>
                <w:lang w:val="fr-CA"/>
              </w:rPr>
            </w:pPr>
            <w:r w:rsidRPr="00354440">
              <w:rPr>
                <w:rFonts w:eastAsia="Calibri"/>
                <w:sz w:val="20"/>
                <w:lang w:val="fr-CA"/>
              </w:rPr>
              <w:t>Tribunal d’arbitrage</w:t>
            </w:r>
          </w:p>
          <w:p w:rsidR="007424D3" w:rsidRPr="00354440" w:rsidRDefault="007424D3" w:rsidP="00D53740">
            <w:pPr>
              <w:jc w:val="both"/>
              <w:rPr>
                <w:rFonts w:eastAsia="Calibri"/>
                <w:sz w:val="20"/>
                <w:lang w:val="fr-CA"/>
              </w:rPr>
            </w:pPr>
            <w:r w:rsidRPr="00354440">
              <w:rPr>
                <w:rFonts w:eastAsia="Calibri"/>
                <w:sz w:val="20"/>
                <w:lang w:val="fr-CA"/>
              </w:rPr>
              <w:t>(Me Ménard)</w:t>
            </w:r>
          </w:p>
          <w:p w:rsidR="007424D3" w:rsidRPr="00354440" w:rsidRDefault="007424D3" w:rsidP="00D53740">
            <w:pPr>
              <w:jc w:val="both"/>
              <w:rPr>
                <w:rFonts w:eastAsia="Calibri"/>
                <w:sz w:val="20"/>
                <w:lang w:val="fr-CA"/>
              </w:rPr>
            </w:pP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lang w:val="fr-CA"/>
              </w:rPr>
            </w:pPr>
          </w:p>
        </w:tc>
        <w:tc>
          <w:tcPr>
            <w:tcW w:w="2330" w:type="pct"/>
          </w:tcPr>
          <w:p w:rsidR="007424D3" w:rsidRPr="00F27BA5" w:rsidRDefault="007424D3" w:rsidP="00D53740">
            <w:pPr>
              <w:jc w:val="both"/>
              <w:rPr>
                <w:rFonts w:eastAsia="Calibri"/>
                <w:sz w:val="20"/>
                <w:lang w:val="fr-CA"/>
              </w:rPr>
            </w:pPr>
            <w:r w:rsidRPr="00F27BA5">
              <w:rPr>
                <w:rFonts w:eastAsia="Calibri"/>
                <w:sz w:val="20"/>
                <w:lang w:val="fr-CA"/>
              </w:rPr>
              <w:t>Accueille la plainte déposée par le Syndicat le 23 mars 2005 ;</w:t>
            </w:r>
          </w:p>
          <w:p w:rsidR="007424D3" w:rsidRPr="00F27BA5" w:rsidRDefault="007424D3" w:rsidP="00D53740">
            <w:pPr>
              <w:jc w:val="both"/>
              <w:rPr>
                <w:rFonts w:eastAsia="Calibri"/>
                <w:sz w:val="20"/>
                <w:lang w:val="fr-CA"/>
              </w:rPr>
            </w:pPr>
            <w:r w:rsidRPr="00F27BA5">
              <w:rPr>
                <w:rFonts w:eastAsia="Calibri"/>
                <w:sz w:val="20"/>
                <w:lang w:val="fr-CA"/>
              </w:rPr>
              <w:t>Déclare illégales les mises à pied annoncées par l’Employeur le 9 février 2005 et mises en application à compter du 29 avril 2005 ;</w:t>
            </w:r>
          </w:p>
          <w:p w:rsidR="007424D3" w:rsidRPr="00F27BA5" w:rsidRDefault="007424D3" w:rsidP="00D53740">
            <w:pPr>
              <w:jc w:val="both"/>
              <w:rPr>
                <w:rFonts w:eastAsia="Calibri"/>
                <w:sz w:val="20"/>
                <w:lang w:val="fr-CA"/>
              </w:rPr>
            </w:pPr>
            <w:r w:rsidRPr="00F27BA5">
              <w:rPr>
                <w:rFonts w:eastAsia="Calibri"/>
                <w:sz w:val="20"/>
                <w:lang w:val="fr-CA"/>
              </w:rPr>
              <w:t>Réserve sa compétence aux fins d’établir un ou des redressement(s) possible(s) advenant que les parties ne réussissent pas à en convenir.</w:t>
            </w:r>
          </w:p>
          <w:p w:rsidR="007424D3" w:rsidRPr="00354440" w:rsidRDefault="007424D3" w:rsidP="00D53740">
            <w:pPr>
              <w:jc w:val="both"/>
              <w:rPr>
                <w:rFonts w:eastAsia="Calibri"/>
                <w:sz w:val="20"/>
                <w:lang w:val="fr-FR"/>
              </w:rPr>
            </w:pPr>
          </w:p>
        </w:tc>
      </w:tr>
      <w:tr w:rsidR="007424D3" w:rsidRPr="001D43E1" w:rsidTr="008A5599">
        <w:trPr>
          <w:cantSplit/>
        </w:trPr>
        <w:tc>
          <w:tcPr>
            <w:tcW w:w="2427" w:type="pct"/>
          </w:tcPr>
          <w:p w:rsidR="007424D3" w:rsidRPr="00354440" w:rsidRDefault="007424D3" w:rsidP="00D53740">
            <w:pPr>
              <w:jc w:val="both"/>
              <w:rPr>
                <w:rFonts w:eastAsia="Calibri"/>
                <w:sz w:val="20"/>
                <w:lang w:val="fr-CA"/>
              </w:rPr>
            </w:pPr>
            <w:r w:rsidRPr="00354440">
              <w:rPr>
                <w:rFonts w:eastAsia="Calibri"/>
                <w:sz w:val="20"/>
                <w:lang w:val="fr-CA"/>
              </w:rPr>
              <w:t>Le 6 octobre 2010</w:t>
            </w:r>
          </w:p>
          <w:p w:rsidR="007424D3" w:rsidRPr="00354440" w:rsidRDefault="007424D3" w:rsidP="00D53740">
            <w:pPr>
              <w:jc w:val="both"/>
              <w:rPr>
                <w:rFonts w:eastAsia="Calibri"/>
                <w:sz w:val="20"/>
                <w:lang w:val="fr-CA"/>
              </w:rPr>
            </w:pPr>
            <w:r w:rsidRPr="00354440">
              <w:rPr>
                <w:rFonts w:eastAsia="Calibri"/>
                <w:sz w:val="20"/>
                <w:lang w:val="fr-CA"/>
              </w:rPr>
              <w:t>Cour supérieure du Québec</w:t>
            </w:r>
          </w:p>
          <w:p w:rsidR="007424D3" w:rsidRPr="00354440" w:rsidRDefault="007424D3" w:rsidP="00D53740">
            <w:pPr>
              <w:jc w:val="both"/>
              <w:rPr>
                <w:rFonts w:eastAsia="Calibri"/>
                <w:sz w:val="20"/>
                <w:lang w:val="fr-CA"/>
              </w:rPr>
            </w:pPr>
            <w:r w:rsidRPr="00354440">
              <w:rPr>
                <w:rFonts w:eastAsia="Calibri"/>
                <w:sz w:val="20"/>
                <w:lang w:val="fr-CA"/>
              </w:rPr>
              <w:t>(Le juge Moulin)</w:t>
            </w:r>
          </w:p>
          <w:p w:rsidR="007424D3" w:rsidRPr="00354440" w:rsidRDefault="007424D3" w:rsidP="00D53740">
            <w:pPr>
              <w:jc w:val="both"/>
              <w:rPr>
                <w:rFonts w:eastAsia="Calibri"/>
                <w:sz w:val="20"/>
                <w:lang w:val="fr-CA"/>
              </w:rPr>
            </w:pPr>
            <w:r w:rsidRPr="00354440">
              <w:rPr>
                <w:rFonts w:eastAsia="Calibri"/>
                <w:sz w:val="20"/>
                <w:lang w:val="fr-CA"/>
              </w:rPr>
              <w:t>2010 QCCS 4743</w:t>
            </w:r>
          </w:p>
          <w:p w:rsidR="007424D3" w:rsidRPr="00354440" w:rsidRDefault="007424D3" w:rsidP="00D53740">
            <w:pPr>
              <w:jc w:val="both"/>
              <w:rPr>
                <w:rFonts w:eastAsia="Calibri"/>
                <w:sz w:val="20"/>
                <w:lang w:val="fr-CA"/>
              </w:rPr>
            </w:pPr>
          </w:p>
        </w:tc>
        <w:tc>
          <w:tcPr>
            <w:tcW w:w="243" w:type="pct"/>
          </w:tcPr>
          <w:p w:rsidR="007424D3" w:rsidRPr="00354440" w:rsidRDefault="007424D3" w:rsidP="00D53740">
            <w:pPr>
              <w:jc w:val="both"/>
              <w:rPr>
                <w:rFonts w:eastAsia="Calibri"/>
                <w:sz w:val="20"/>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Rejette la requête en révision judiciaire de la compagnie Wal</w:t>
            </w:r>
            <w:r w:rsidRPr="00354440">
              <w:rPr>
                <w:rFonts w:eastAsia="Calibri"/>
                <w:sz w:val="20"/>
                <w:lang w:val="fr-CA"/>
              </w:rPr>
              <w:noBreakHyphen/>
              <w:t>Mart du Canada à l’encontre de la sentence du 18 septembre 2009;</w:t>
            </w:r>
          </w:p>
          <w:p w:rsidR="007424D3" w:rsidRPr="00354440" w:rsidRDefault="007424D3" w:rsidP="00D53740">
            <w:pPr>
              <w:jc w:val="both"/>
              <w:rPr>
                <w:rFonts w:eastAsia="Calibri"/>
                <w:sz w:val="20"/>
                <w:lang w:val="fr-CA"/>
              </w:rPr>
            </w:pPr>
            <w:r w:rsidRPr="00354440">
              <w:rPr>
                <w:rFonts w:eastAsia="Calibri"/>
                <w:sz w:val="20"/>
                <w:lang w:val="fr-CA"/>
              </w:rPr>
              <w:t>Ordonne le renvoi de la Compagnie Wal</w:t>
            </w:r>
            <w:r w:rsidRPr="00354440">
              <w:rPr>
                <w:rFonts w:eastAsia="Calibri"/>
                <w:sz w:val="20"/>
                <w:lang w:val="fr-CA"/>
              </w:rPr>
              <w:noBreakHyphen/>
              <w:t>Mart du Canada et des Travailleurs et travailleuses unis de l’alimentation et du commerce, section locale 503, devant l’arbitre intimé aux fins d’établir un ou des redressements possibles advenant que ces parties ne réussissent pas à en convenir.</w:t>
            </w:r>
          </w:p>
          <w:p w:rsidR="007424D3" w:rsidRPr="00354440" w:rsidRDefault="007424D3" w:rsidP="00D53740">
            <w:pPr>
              <w:jc w:val="both"/>
              <w:rPr>
                <w:rFonts w:eastAsia="Calibri"/>
                <w:sz w:val="20"/>
                <w:lang w:val="fr-CA"/>
              </w:rPr>
            </w:pPr>
          </w:p>
        </w:tc>
      </w:tr>
      <w:tr w:rsidR="007424D3" w:rsidRPr="001D43E1" w:rsidTr="008A5599">
        <w:trPr>
          <w:cantSplit/>
          <w:trHeight w:val="1296"/>
        </w:trPr>
        <w:tc>
          <w:tcPr>
            <w:tcW w:w="2427" w:type="pct"/>
          </w:tcPr>
          <w:p w:rsidR="007424D3" w:rsidRPr="00354440" w:rsidRDefault="007424D3" w:rsidP="00D53740">
            <w:pPr>
              <w:jc w:val="both"/>
              <w:rPr>
                <w:rFonts w:eastAsia="Calibri"/>
                <w:sz w:val="20"/>
                <w:lang w:val="fr-CA"/>
              </w:rPr>
            </w:pPr>
            <w:r w:rsidRPr="00354440">
              <w:rPr>
                <w:rFonts w:eastAsia="Calibri"/>
                <w:sz w:val="20"/>
                <w:lang w:val="fr-CA"/>
              </w:rPr>
              <w:t>Le 11 mai 2012</w:t>
            </w:r>
          </w:p>
          <w:p w:rsidR="007424D3" w:rsidRPr="00354440" w:rsidRDefault="007424D3" w:rsidP="00D53740">
            <w:pPr>
              <w:jc w:val="both"/>
              <w:rPr>
                <w:rFonts w:eastAsia="Calibri"/>
                <w:sz w:val="20"/>
                <w:lang w:val="fr-CA"/>
              </w:rPr>
            </w:pPr>
            <w:r w:rsidRPr="00354440">
              <w:rPr>
                <w:rFonts w:eastAsia="Calibri"/>
                <w:sz w:val="20"/>
                <w:lang w:val="fr-CA"/>
              </w:rPr>
              <w:t>Cour d’appel du Québec (Québec)</w:t>
            </w:r>
          </w:p>
          <w:p w:rsidR="007424D3" w:rsidRPr="00354440" w:rsidRDefault="007424D3" w:rsidP="00D53740">
            <w:pPr>
              <w:jc w:val="both"/>
              <w:rPr>
                <w:rFonts w:eastAsia="Calibri"/>
                <w:sz w:val="20"/>
                <w:lang w:val="fr-CA"/>
              </w:rPr>
            </w:pPr>
            <w:r w:rsidRPr="00354440">
              <w:rPr>
                <w:rFonts w:eastAsia="Calibri"/>
                <w:sz w:val="20"/>
                <w:lang w:val="fr-CA"/>
              </w:rPr>
              <w:t>(Les juges Vézina, Léger et Gagnon)</w:t>
            </w:r>
          </w:p>
          <w:p w:rsidR="007424D3" w:rsidRPr="00354440" w:rsidRDefault="007424D3" w:rsidP="00D53740">
            <w:pPr>
              <w:jc w:val="both"/>
              <w:rPr>
                <w:rFonts w:eastAsia="Calibri"/>
                <w:sz w:val="20"/>
                <w:lang w:val="fr-CA"/>
              </w:rPr>
            </w:pPr>
            <w:r w:rsidRPr="00354440">
              <w:rPr>
                <w:rFonts w:eastAsia="Calibri"/>
                <w:sz w:val="20"/>
                <w:lang w:val="fr-CA"/>
              </w:rPr>
              <w:t>2012 QCCA 903</w:t>
            </w: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Accueille l’appel;</w:t>
            </w:r>
          </w:p>
          <w:p w:rsidR="007424D3" w:rsidRPr="00354440" w:rsidRDefault="007424D3" w:rsidP="00D53740">
            <w:pPr>
              <w:jc w:val="both"/>
              <w:rPr>
                <w:rFonts w:eastAsia="Calibri"/>
                <w:sz w:val="20"/>
                <w:lang w:val="fr-CA"/>
              </w:rPr>
            </w:pPr>
            <w:r w:rsidRPr="00354440">
              <w:rPr>
                <w:rFonts w:eastAsia="Calibri"/>
                <w:sz w:val="20"/>
                <w:lang w:val="fr-CA"/>
              </w:rPr>
              <w:t>Infirme le jugement entrepris;</w:t>
            </w:r>
          </w:p>
          <w:p w:rsidR="007424D3" w:rsidRPr="00354440" w:rsidRDefault="007424D3" w:rsidP="00D53740">
            <w:pPr>
              <w:jc w:val="both"/>
              <w:rPr>
                <w:rFonts w:eastAsia="Calibri"/>
                <w:sz w:val="20"/>
                <w:lang w:val="fr-CA"/>
              </w:rPr>
            </w:pPr>
            <w:r w:rsidRPr="00354440">
              <w:rPr>
                <w:rFonts w:eastAsia="Calibri"/>
                <w:sz w:val="20"/>
                <w:lang w:val="fr-CA"/>
              </w:rPr>
              <w:t>Accueille la demande de révision judiciaire;</w:t>
            </w:r>
          </w:p>
          <w:p w:rsidR="007424D3" w:rsidRPr="00354440" w:rsidRDefault="007424D3" w:rsidP="00D53740">
            <w:pPr>
              <w:jc w:val="both"/>
              <w:rPr>
                <w:rFonts w:eastAsia="Calibri"/>
                <w:sz w:val="20"/>
                <w:lang w:val="fr-CA"/>
              </w:rPr>
            </w:pPr>
            <w:r w:rsidRPr="00354440">
              <w:rPr>
                <w:rFonts w:eastAsia="Calibri"/>
                <w:sz w:val="20"/>
                <w:lang w:val="fr-CA"/>
              </w:rPr>
              <w:t>Annule la sentence arbitrale rendue par le mis en cause le 18 septembre 2009;</w:t>
            </w:r>
          </w:p>
          <w:p w:rsidR="007424D3" w:rsidRPr="00354440" w:rsidRDefault="007424D3" w:rsidP="00D53740">
            <w:pPr>
              <w:jc w:val="both"/>
              <w:rPr>
                <w:rFonts w:eastAsia="Calibri"/>
                <w:sz w:val="20"/>
                <w:lang w:val="fr-CA"/>
              </w:rPr>
            </w:pPr>
            <w:r w:rsidRPr="00354440">
              <w:rPr>
                <w:rFonts w:eastAsia="Calibri"/>
                <w:sz w:val="20"/>
                <w:lang w:val="fr-CA"/>
              </w:rPr>
              <w:t xml:space="preserve">Rejette la plainte déposée par le Syndicat en vertu de l’article 59 du </w:t>
            </w:r>
            <w:r w:rsidRPr="00354440">
              <w:rPr>
                <w:rFonts w:eastAsia="Calibri"/>
                <w:i/>
                <w:sz w:val="20"/>
                <w:lang w:val="fr-CA"/>
              </w:rPr>
              <w:t>Code du travail</w:t>
            </w:r>
            <w:r w:rsidRPr="00354440">
              <w:rPr>
                <w:rFonts w:eastAsia="Calibri"/>
                <w:sz w:val="20"/>
                <w:lang w:val="fr-CA"/>
              </w:rPr>
              <w:t>.</w:t>
            </w:r>
          </w:p>
          <w:p w:rsidR="007424D3" w:rsidRPr="00354440" w:rsidRDefault="007424D3" w:rsidP="00D53740">
            <w:pPr>
              <w:jc w:val="both"/>
              <w:rPr>
                <w:rFonts w:eastAsia="Calibri"/>
                <w:sz w:val="20"/>
                <w:lang w:val="fr-CA"/>
              </w:rPr>
            </w:pPr>
          </w:p>
        </w:tc>
      </w:tr>
      <w:tr w:rsidR="007424D3" w:rsidRPr="00354440" w:rsidTr="008A5599">
        <w:trPr>
          <w:cantSplit/>
        </w:trPr>
        <w:tc>
          <w:tcPr>
            <w:tcW w:w="2427" w:type="pct"/>
          </w:tcPr>
          <w:p w:rsidR="007424D3" w:rsidRPr="00354440" w:rsidRDefault="007424D3" w:rsidP="00D53740">
            <w:pPr>
              <w:jc w:val="both"/>
              <w:rPr>
                <w:rFonts w:eastAsia="Calibri"/>
                <w:sz w:val="20"/>
                <w:lang w:val="fr-CA"/>
              </w:rPr>
            </w:pPr>
            <w:r w:rsidRPr="00354440">
              <w:rPr>
                <w:rFonts w:eastAsia="Calibri"/>
                <w:sz w:val="20"/>
                <w:lang w:val="fr-CA"/>
              </w:rPr>
              <w:t>Le 8 août 2012</w:t>
            </w:r>
          </w:p>
          <w:p w:rsidR="007424D3" w:rsidRPr="00354440" w:rsidRDefault="007424D3" w:rsidP="00D53740">
            <w:pPr>
              <w:jc w:val="both"/>
              <w:rPr>
                <w:rFonts w:eastAsia="Calibri"/>
                <w:sz w:val="20"/>
                <w:lang w:val="fr-CA"/>
              </w:rPr>
            </w:pPr>
            <w:r w:rsidRPr="00354440">
              <w:rPr>
                <w:rFonts w:eastAsia="Calibri"/>
                <w:sz w:val="20"/>
                <w:lang w:val="fr-CA"/>
              </w:rPr>
              <w:t>Cour suprême du Canada</w:t>
            </w:r>
          </w:p>
        </w:tc>
        <w:tc>
          <w:tcPr>
            <w:tcW w:w="243" w:type="pct"/>
          </w:tcPr>
          <w:p w:rsidR="007424D3" w:rsidRPr="00354440" w:rsidRDefault="007424D3" w:rsidP="00D53740">
            <w:pPr>
              <w:jc w:val="both"/>
              <w:rPr>
                <w:rFonts w:eastAsia="Calibri"/>
                <w:sz w:val="20"/>
                <w:lang w:val="fr-CA"/>
              </w:rPr>
            </w:pPr>
          </w:p>
        </w:tc>
        <w:tc>
          <w:tcPr>
            <w:tcW w:w="2330" w:type="pct"/>
          </w:tcPr>
          <w:p w:rsidR="007424D3" w:rsidRPr="00354440" w:rsidRDefault="007424D3" w:rsidP="00D53740">
            <w:pPr>
              <w:jc w:val="both"/>
              <w:rPr>
                <w:rFonts w:eastAsia="Calibri"/>
                <w:sz w:val="20"/>
                <w:lang w:val="fr-CA"/>
              </w:rPr>
            </w:pPr>
            <w:r w:rsidRPr="00354440">
              <w:rPr>
                <w:rFonts w:eastAsia="Calibri"/>
                <w:sz w:val="20"/>
                <w:lang w:val="fr-CA"/>
              </w:rPr>
              <w:t>Demande d’autorisation d’appel déposée.</w:t>
            </w: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79"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599" w:rsidRPr="004C6E6E" w:rsidTr="00066741">
        <w:trPr>
          <w:cantSplit/>
        </w:trPr>
        <w:tc>
          <w:tcPr>
            <w:tcW w:w="1458" w:type="dxa"/>
          </w:tcPr>
          <w:p w:rsidR="008A5599" w:rsidRPr="004C6E6E" w:rsidRDefault="008A5599" w:rsidP="00066741">
            <w:pPr>
              <w:rPr>
                <w:sz w:val="20"/>
                <w:szCs w:val="20"/>
              </w:rPr>
            </w:pPr>
            <w:r w:rsidRPr="004C6E6E">
              <w:rPr>
                <w:rStyle w:val="SCCFileNumberChar"/>
                <w:sz w:val="20"/>
                <w:szCs w:val="20"/>
              </w:rPr>
              <w:t>34927</w:t>
            </w:r>
          </w:p>
          <w:p w:rsidR="008A5599" w:rsidRPr="004C6E6E" w:rsidRDefault="008A5599" w:rsidP="00066741">
            <w:pPr>
              <w:rPr>
                <w:b/>
                <w:sz w:val="20"/>
                <w:szCs w:val="20"/>
                <w:lang w:val="fr-CA"/>
              </w:rPr>
            </w:pPr>
          </w:p>
        </w:tc>
        <w:tc>
          <w:tcPr>
            <w:tcW w:w="8118" w:type="dxa"/>
          </w:tcPr>
          <w:p w:rsidR="008A5599" w:rsidRPr="004C6E6E" w:rsidRDefault="008A5599" w:rsidP="00066741">
            <w:pPr>
              <w:jc w:val="both"/>
              <w:rPr>
                <w:sz w:val="20"/>
                <w:szCs w:val="20"/>
              </w:rPr>
            </w:pPr>
            <w:r w:rsidRPr="008A5599">
              <w:rPr>
                <w:rStyle w:val="SCCLsocChar"/>
                <w:sz w:val="20"/>
                <w:szCs w:val="20"/>
                <w:lang w:val="en-CA"/>
              </w:rPr>
              <w:t>Elizabeth Anne Chan v. Toronto Standard Condominium Corporation No. 1834</w:t>
            </w:r>
            <w:r w:rsidRPr="004C6E6E">
              <w:rPr>
                <w:sz w:val="20"/>
                <w:szCs w:val="20"/>
              </w:rPr>
              <w:t xml:space="preserve"> (Ont.) (Civil) (By Leave)</w:t>
            </w:r>
          </w:p>
          <w:p w:rsidR="008A5599" w:rsidRPr="004C6E6E" w:rsidRDefault="008A5599" w:rsidP="00066741">
            <w:pPr>
              <w:jc w:val="both"/>
              <w:rPr>
                <w:sz w:val="20"/>
                <w:szCs w:val="20"/>
              </w:rPr>
            </w:pPr>
          </w:p>
        </w:tc>
      </w:tr>
      <w:tr w:rsidR="008A5599" w:rsidRPr="004C6E6E" w:rsidTr="00066741">
        <w:trPr>
          <w:cantSplit/>
        </w:trPr>
        <w:tc>
          <w:tcPr>
            <w:tcW w:w="1458" w:type="dxa"/>
          </w:tcPr>
          <w:p w:rsidR="008A5599" w:rsidRPr="004C6E6E" w:rsidRDefault="008A5599" w:rsidP="00066741">
            <w:pPr>
              <w:rPr>
                <w:sz w:val="20"/>
                <w:szCs w:val="20"/>
              </w:rPr>
            </w:pPr>
            <w:r w:rsidRPr="004C6E6E">
              <w:rPr>
                <w:sz w:val="20"/>
                <w:szCs w:val="20"/>
              </w:rPr>
              <w:t>Coram :</w:t>
            </w:r>
          </w:p>
        </w:tc>
        <w:tc>
          <w:tcPr>
            <w:tcW w:w="8118" w:type="dxa"/>
          </w:tcPr>
          <w:p w:rsidR="008A5599" w:rsidRPr="004C6E6E" w:rsidRDefault="008A5599" w:rsidP="00066741">
            <w:pPr>
              <w:rPr>
                <w:sz w:val="20"/>
                <w:szCs w:val="20"/>
              </w:rPr>
            </w:pPr>
            <w:r w:rsidRPr="008A5599">
              <w:rPr>
                <w:rStyle w:val="SCCCoramChar"/>
                <w:sz w:val="20"/>
                <w:szCs w:val="20"/>
                <w:lang w:val="en-CA"/>
              </w:rPr>
              <w:t>Fish, Rothstein and Karakatsanis JJ.</w:t>
            </w:r>
          </w:p>
          <w:p w:rsidR="008A5599" w:rsidRPr="004C6E6E" w:rsidRDefault="008A5599" w:rsidP="00066741">
            <w:pPr>
              <w:rPr>
                <w:sz w:val="20"/>
                <w:szCs w:val="20"/>
                <w:u w:val="single"/>
              </w:rPr>
            </w:pPr>
          </w:p>
        </w:tc>
      </w:tr>
      <w:tr w:rsidR="008A5599" w:rsidRPr="001D43E1" w:rsidTr="00066741">
        <w:trPr>
          <w:cantSplit/>
        </w:trPr>
        <w:tc>
          <w:tcPr>
            <w:tcW w:w="9576" w:type="dxa"/>
            <w:gridSpan w:val="2"/>
          </w:tcPr>
          <w:p w:rsidR="008A5599" w:rsidRPr="004C6E6E" w:rsidRDefault="008A5599" w:rsidP="00066741">
            <w:pPr>
              <w:pStyle w:val="SCCShortJudgment"/>
              <w:rPr>
                <w:szCs w:val="20"/>
              </w:rPr>
            </w:pPr>
            <w:r w:rsidRPr="004C6E6E">
              <w:rPr>
                <w:szCs w:val="20"/>
              </w:rPr>
              <w:t>The application for leave to appeal from the judgment of the Court of Appeal for Ontario, Number C53242, 2012 ONCA 312, dated May 14, 2012, is dismissed with costs.</w:t>
            </w:r>
          </w:p>
          <w:p w:rsidR="008A5599" w:rsidRPr="004C6E6E" w:rsidRDefault="008A5599" w:rsidP="00066741">
            <w:pPr>
              <w:pStyle w:val="SCCShortJudgment"/>
              <w:ind w:firstLine="0"/>
              <w:rPr>
                <w:szCs w:val="20"/>
              </w:rPr>
            </w:pPr>
          </w:p>
          <w:p w:rsidR="008A5599" w:rsidRPr="004C6E6E" w:rsidRDefault="008A5599" w:rsidP="00066741">
            <w:pPr>
              <w:pStyle w:val="SCCShortJudgment"/>
              <w:rPr>
                <w:szCs w:val="20"/>
                <w:lang w:val="fr-CA"/>
              </w:rPr>
            </w:pPr>
            <w:r w:rsidRPr="004C6E6E">
              <w:rPr>
                <w:szCs w:val="20"/>
                <w:lang w:val="fr-CA"/>
              </w:rPr>
              <w:t>La demande d’autorisation d’appel de l’arrêt de la Cour d’appel de l’Ontario, numéro C53242, 2012 ONCA 312, daté du 14 mai 2012, est rejetée avec dépens.</w:t>
            </w:r>
          </w:p>
        </w:tc>
      </w:tr>
    </w:tbl>
    <w:p w:rsidR="00441FC4" w:rsidRPr="008A5599"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12105" w:rsidRPr="00354440" w:rsidTr="00D53740">
        <w:tc>
          <w:tcPr>
            <w:tcW w:w="5000" w:type="pct"/>
            <w:gridSpan w:val="3"/>
          </w:tcPr>
          <w:p w:rsidR="00B12105" w:rsidRPr="00354440" w:rsidRDefault="00B12105" w:rsidP="00D53740">
            <w:pPr>
              <w:jc w:val="both"/>
              <w:rPr>
                <w:rFonts w:eastAsia="Calibri"/>
                <w:sz w:val="20"/>
              </w:rPr>
            </w:pPr>
            <w:r w:rsidRPr="00354440">
              <w:rPr>
                <w:rFonts w:eastAsia="Calibri"/>
                <w:sz w:val="20"/>
              </w:rPr>
              <w:t xml:space="preserve">Civil procedure — Costs — Applicant ordered to pay costs on a full indemnity rate in the amount of $41,706.28 to condominium corporation — Condominium corporation claiming “additional actual costs” incurred in obtaining an order enforcing compliance with legislation and condominium rules — Whether Court of Appeal erred in not varying the order for costs —  </w:t>
            </w:r>
            <w:r w:rsidRPr="00354440">
              <w:rPr>
                <w:rFonts w:eastAsia="Calibri"/>
                <w:i/>
                <w:sz w:val="20"/>
              </w:rPr>
              <w:t>Condominium Act</w:t>
            </w:r>
            <w:r w:rsidRPr="00354440">
              <w:rPr>
                <w:rFonts w:eastAsia="Calibri"/>
                <w:sz w:val="20"/>
              </w:rPr>
              <w:t>, S.O. 1998, c. 19, s. 134(5).</w:t>
            </w:r>
          </w:p>
        </w:tc>
      </w:tr>
      <w:tr w:rsidR="00B12105" w:rsidRPr="00354440" w:rsidTr="00D53740">
        <w:tc>
          <w:tcPr>
            <w:tcW w:w="5000" w:type="pct"/>
            <w:gridSpan w:val="3"/>
          </w:tcPr>
          <w:p w:rsidR="00B12105" w:rsidRPr="00354440" w:rsidRDefault="00B12105" w:rsidP="00D53740">
            <w:pPr>
              <w:jc w:val="both"/>
              <w:rPr>
                <w:rFonts w:eastAsia="Calibri"/>
                <w:sz w:val="20"/>
              </w:rPr>
            </w:pPr>
          </w:p>
        </w:tc>
      </w:tr>
      <w:tr w:rsidR="00B12105" w:rsidRPr="00354440" w:rsidTr="00D53740">
        <w:tc>
          <w:tcPr>
            <w:tcW w:w="5000" w:type="pct"/>
            <w:gridSpan w:val="3"/>
          </w:tcPr>
          <w:p w:rsidR="00B12105" w:rsidRPr="00354440" w:rsidRDefault="00B12105" w:rsidP="00D53740">
            <w:pPr>
              <w:jc w:val="both"/>
              <w:rPr>
                <w:rFonts w:eastAsia="Calibri"/>
                <w:sz w:val="20"/>
              </w:rPr>
            </w:pPr>
            <w:r w:rsidRPr="00354440">
              <w:rPr>
                <w:rFonts w:eastAsia="Calibri"/>
                <w:sz w:val="20"/>
              </w:rPr>
              <w:t xml:space="preserve">The applicant, Ms. Chan, is the owner of a condominium unit which she uses as a rental property.  She brought an application against the respondent Corporation before the Ontario Superior Court of Justice for an order vacating a lien the Corporation had registered on her unit pursuant to the </w:t>
            </w:r>
            <w:r w:rsidRPr="00354440">
              <w:rPr>
                <w:rFonts w:eastAsia="Calibri"/>
                <w:i/>
                <w:sz w:val="20"/>
              </w:rPr>
              <w:t>Condominium Act</w:t>
            </w:r>
            <w:r w:rsidRPr="00354440">
              <w:rPr>
                <w:rFonts w:eastAsia="Calibri"/>
                <w:sz w:val="20"/>
              </w:rPr>
              <w:t xml:space="preserve"> to recover the costs of water damage. At the same time, the Corporation brought an application for a compliance order, requiring that Ms. Chan and her tenants comply with the provisions of the Act and with the condominium rules.</w:t>
            </w:r>
          </w:p>
          <w:p w:rsidR="00B12105" w:rsidRPr="00354440" w:rsidRDefault="00B12105" w:rsidP="00D53740">
            <w:pPr>
              <w:jc w:val="both"/>
              <w:rPr>
                <w:rFonts w:eastAsia="Calibri"/>
                <w:sz w:val="20"/>
              </w:rPr>
            </w:pPr>
          </w:p>
          <w:p w:rsidR="00B12105" w:rsidRPr="00354440" w:rsidRDefault="00B12105" w:rsidP="00D53740">
            <w:pPr>
              <w:jc w:val="both"/>
              <w:rPr>
                <w:rFonts w:eastAsia="Calibri"/>
                <w:sz w:val="20"/>
              </w:rPr>
            </w:pPr>
            <w:r w:rsidRPr="00354440">
              <w:rPr>
                <w:rFonts w:eastAsia="Calibri"/>
                <w:sz w:val="20"/>
              </w:rPr>
              <w:t xml:space="preserve">The Superior Court of Justice dismissed Ms. Chan’s application and granted the Corporation’s application.  Allen J. ordered Ms. Chan to remove internal locks that were not in compliance with the condominium rules.  She ordered Ms. Chan to cease the improper use of the unit — in her view Ms. Chan had been using the unit as a rooming/boarding house and not as a “single family” unit.  Allen J. ordered costs on a full indemnity rate to the Corporation, in the amount of $41,706.28, which she found was reasonable in the circumstances. </w:t>
            </w:r>
          </w:p>
          <w:p w:rsidR="00B12105" w:rsidRPr="00354440" w:rsidRDefault="00B12105" w:rsidP="00D53740">
            <w:pPr>
              <w:jc w:val="both"/>
              <w:rPr>
                <w:rFonts w:eastAsia="Calibri"/>
                <w:sz w:val="20"/>
              </w:rPr>
            </w:pPr>
          </w:p>
          <w:p w:rsidR="00B12105" w:rsidRPr="00354440" w:rsidRDefault="00B12105" w:rsidP="00D53740">
            <w:pPr>
              <w:jc w:val="both"/>
              <w:rPr>
                <w:rFonts w:eastAsia="Calibri"/>
                <w:sz w:val="20"/>
              </w:rPr>
            </w:pPr>
            <w:r w:rsidRPr="00354440">
              <w:rPr>
                <w:rFonts w:eastAsia="Calibri"/>
                <w:sz w:val="20"/>
              </w:rPr>
              <w:t xml:space="preserve">The Court of Appeal dismissed Ms. Chan’s appeal and saw no basis to interfere with the award of costs.  It noted that Ms. Chan would, in any event, have the right to have any additional costs claimed by the Corporation under s. 134(5) of the </w:t>
            </w:r>
            <w:r w:rsidRPr="00354440">
              <w:rPr>
                <w:rFonts w:eastAsia="Calibri"/>
                <w:i/>
                <w:sz w:val="20"/>
              </w:rPr>
              <w:t>Condominium Act</w:t>
            </w:r>
            <w:r w:rsidRPr="00354440">
              <w:rPr>
                <w:rFonts w:eastAsia="Calibri"/>
                <w:sz w:val="20"/>
              </w:rPr>
              <w:t xml:space="preserve"> assessed under s. 9 of the </w:t>
            </w:r>
            <w:r w:rsidRPr="00354440">
              <w:rPr>
                <w:rFonts w:eastAsia="Calibri"/>
                <w:i/>
                <w:sz w:val="20"/>
              </w:rPr>
              <w:t>Solicitors Act</w:t>
            </w:r>
            <w:r w:rsidRPr="00354440">
              <w:rPr>
                <w:rFonts w:eastAsia="Calibri"/>
                <w:sz w:val="20"/>
              </w:rPr>
              <w:t xml:space="preserve">. </w:t>
            </w:r>
          </w:p>
          <w:p w:rsidR="00B12105" w:rsidRPr="00354440" w:rsidRDefault="00B12105" w:rsidP="00D53740">
            <w:pPr>
              <w:jc w:val="both"/>
              <w:rPr>
                <w:rFonts w:eastAsia="Calibri"/>
                <w:sz w:val="20"/>
              </w:rPr>
            </w:pPr>
          </w:p>
        </w:tc>
      </w:tr>
      <w:tr w:rsidR="00B12105" w:rsidRPr="00354440" w:rsidTr="00D53740">
        <w:tc>
          <w:tcPr>
            <w:tcW w:w="2427" w:type="pct"/>
          </w:tcPr>
          <w:p w:rsidR="00B12105" w:rsidRPr="00354440" w:rsidRDefault="00B12105" w:rsidP="00D53740">
            <w:pPr>
              <w:jc w:val="both"/>
              <w:rPr>
                <w:rFonts w:eastAsia="Calibri"/>
                <w:sz w:val="20"/>
              </w:rPr>
            </w:pPr>
            <w:r w:rsidRPr="00354440">
              <w:rPr>
                <w:rFonts w:eastAsia="Calibri"/>
                <w:sz w:val="20"/>
              </w:rPr>
              <w:t>January 6, 2011</w:t>
            </w:r>
          </w:p>
          <w:p w:rsidR="00B12105" w:rsidRPr="00354440" w:rsidRDefault="00B12105" w:rsidP="00D53740">
            <w:pPr>
              <w:jc w:val="both"/>
              <w:rPr>
                <w:rFonts w:eastAsia="Calibri"/>
                <w:sz w:val="20"/>
              </w:rPr>
            </w:pPr>
            <w:r w:rsidRPr="00354440">
              <w:rPr>
                <w:rFonts w:eastAsia="Calibri"/>
                <w:sz w:val="20"/>
              </w:rPr>
              <w:t>Ontario Superior Court of Justice</w:t>
            </w:r>
          </w:p>
          <w:p w:rsidR="00B12105" w:rsidRPr="00354440" w:rsidRDefault="00B12105" w:rsidP="00D53740">
            <w:pPr>
              <w:jc w:val="both"/>
              <w:rPr>
                <w:rFonts w:eastAsia="Calibri"/>
                <w:sz w:val="20"/>
              </w:rPr>
            </w:pPr>
            <w:r w:rsidRPr="00354440">
              <w:rPr>
                <w:rFonts w:eastAsia="Calibri"/>
                <w:sz w:val="20"/>
              </w:rPr>
              <w:t>(Allen J.)</w:t>
            </w:r>
          </w:p>
          <w:p w:rsidR="00B12105" w:rsidRPr="00354440" w:rsidRDefault="00B12105" w:rsidP="00D53740">
            <w:pPr>
              <w:jc w:val="both"/>
              <w:rPr>
                <w:rFonts w:eastAsia="Calibri"/>
                <w:sz w:val="20"/>
              </w:rPr>
            </w:pPr>
            <w:r w:rsidRPr="00354440">
              <w:rPr>
                <w:rFonts w:eastAsia="Calibri"/>
                <w:sz w:val="20"/>
              </w:rPr>
              <w:t>2011 ONSC 108</w:t>
            </w:r>
          </w:p>
          <w:p w:rsidR="00B12105" w:rsidRPr="00354440" w:rsidRDefault="00B12105" w:rsidP="00D53740">
            <w:pPr>
              <w:jc w:val="both"/>
              <w:rPr>
                <w:rFonts w:eastAsia="Calibri"/>
                <w:sz w:val="20"/>
              </w:rPr>
            </w:pPr>
          </w:p>
        </w:tc>
        <w:tc>
          <w:tcPr>
            <w:tcW w:w="243" w:type="pct"/>
          </w:tcPr>
          <w:p w:rsidR="00B12105" w:rsidRPr="00354440" w:rsidRDefault="00B12105" w:rsidP="00D53740">
            <w:pPr>
              <w:jc w:val="both"/>
              <w:rPr>
                <w:rFonts w:eastAsia="Calibri"/>
                <w:sz w:val="20"/>
              </w:rPr>
            </w:pPr>
          </w:p>
        </w:tc>
        <w:tc>
          <w:tcPr>
            <w:tcW w:w="2330" w:type="pct"/>
          </w:tcPr>
          <w:p w:rsidR="00B12105" w:rsidRPr="00354440" w:rsidRDefault="00B12105" w:rsidP="00D53740">
            <w:pPr>
              <w:jc w:val="both"/>
              <w:rPr>
                <w:rFonts w:eastAsia="Calibri"/>
                <w:sz w:val="20"/>
              </w:rPr>
            </w:pPr>
            <w:r w:rsidRPr="00354440">
              <w:rPr>
                <w:rFonts w:eastAsia="Calibri"/>
                <w:sz w:val="20"/>
              </w:rPr>
              <w:t>Application by Ms. Chan dismissed; application by Condominium Corporation granted with costs</w:t>
            </w:r>
          </w:p>
          <w:p w:rsidR="00B12105" w:rsidRPr="00354440" w:rsidRDefault="00B12105" w:rsidP="00D53740">
            <w:pPr>
              <w:jc w:val="both"/>
              <w:rPr>
                <w:rFonts w:eastAsia="Calibri"/>
                <w:sz w:val="20"/>
              </w:rPr>
            </w:pPr>
          </w:p>
        </w:tc>
      </w:tr>
      <w:tr w:rsidR="00B12105" w:rsidRPr="00354440" w:rsidTr="00D53740">
        <w:tc>
          <w:tcPr>
            <w:tcW w:w="2427" w:type="pct"/>
          </w:tcPr>
          <w:p w:rsidR="00B12105" w:rsidRPr="00354440" w:rsidRDefault="00B12105" w:rsidP="00D53740">
            <w:pPr>
              <w:jc w:val="both"/>
              <w:rPr>
                <w:rFonts w:eastAsia="Calibri"/>
                <w:sz w:val="20"/>
              </w:rPr>
            </w:pPr>
            <w:r w:rsidRPr="00354440">
              <w:rPr>
                <w:rFonts w:eastAsia="Calibri"/>
                <w:sz w:val="20"/>
              </w:rPr>
              <w:t>May 14, 2012</w:t>
            </w:r>
          </w:p>
          <w:p w:rsidR="00B12105" w:rsidRPr="00354440" w:rsidRDefault="00B12105" w:rsidP="00D53740">
            <w:pPr>
              <w:jc w:val="both"/>
              <w:rPr>
                <w:rFonts w:eastAsia="Calibri"/>
                <w:sz w:val="20"/>
              </w:rPr>
            </w:pPr>
            <w:r w:rsidRPr="00354440">
              <w:rPr>
                <w:rFonts w:eastAsia="Calibri"/>
                <w:sz w:val="20"/>
              </w:rPr>
              <w:t>Court of Appeal for Ontario</w:t>
            </w:r>
          </w:p>
          <w:p w:rsidR="00B12105" w:rsidRPr="00354440" w:rsidRDefault="00B12105" w:rsidP="00D53740">
            <w:pPr>
              <w:jc w:val="both"/>
              <w:rPr>
                <w:rFonts w:eastAsia="Calibri"/>
                <w:sz w:val="20"/>
              </w:rPr>
            </w:pPr>
            <w:r w:rsidRPr="00354440">
              <w:rPr>
                <w:rFonts w:eastAsia="Calibri"/>
                <w:sz w:val="20"/>
              </w:rPr>
              <w:t>(MacPherson, Gillese and Blair JJ.A.)</w:t>
            </w:r>
          </w:p>
          <w:p w:rsidR="00B12105" w:rsidRPr="00354440" w:rsidRDefault="00B12105" w:rsidP="00D53740">
            <w:pPr>
              <w:jc w:val="both"/>
              <w:rPr>
                <w:rFonts w:eastAsia="Calibri"/>
                <w:sz w:val="20"/>
              </w:rPr>
            </w:pPr>
            <w:r w:rsidRPr="00354440">
              <w:rPr>
                <w:rFonts w:eastAsia="Calibri"/>
                <w:sz w:val="20"/>
              </w:rPr>
              <w:t>2012 ONCA 312; C53242</w:t>
            </w:r>
          </w:p>
          <w:p w:rsidR="00B12105" w:rsidRPr="00354440" w:rsidRDefault="00B12105" w:rsidP="00D53740">
            <w:pPr>
              <w:jc w:val="both"/>
              <w:rPr>
                <w:rFonts w:eastAsia="Calibri"/>
                <w:sz w:val="20"/>
              </w:rPr>
            </w:pPr>
          </w:p>
        </w:tc>
        <w:tc>
          <w:tcPr>
            <w:tcW w:w="243" w:type="pct"/>
          </w:tcPr>
          <w:p w:rsidR="00B12105" w:rsidRPr="00354440" w:rsidRDefault="00B12105" w:rsidP="00D53740">
            <w:pPr>
              <w:jc w:val="both"/>
              <w:rPr>
                <w:rFonts w:eastAsia="Calibri"/>
                <w:sz w:val="20"/>
              </w:rPr>
            </w:pPr>
          </w:p>
        </w:tc>
        <w:tc>
          <w:tcPr>
            <w:tcW w:w="2330" w:type="pct"/>
          </w:tcPr>
          <w:p w:rsidR="00B12105" w:rsidRPr="00354440" w:rsidRDefault="00B12105" w:rsidP="00D53740">
            <w:pPr>
              <w:jc w:val="both"/>
              <w:rPr>
                <w:rFonts w:eastAsia="Calibri"/>
                <w:sz w:val="20"/>
              </w:rPr>
            </w:pPr>
            <w:r w:rsidRPr="00354440">
              <w:rPr>
                <w:rFonts w:eastAsia="Calibri"/>
                <w:sz w:val="20"/>
              </w:rPr>
              <w:t>Appeal dismissed</w:t>
            </w:r>
          </w:p>
          <w:p w:rsidR="00B12105" w:rsidRPr="00354440" w:rsidRDefault="00B12105" w:rsidP="00D53740">
            <w:pPr>
              <w:jc w:val="both"/>
              <w:rPr>
                <w:rFonts w:eastAsia="Calibri"/>
                <w:sz w:val="20"/>
              </w:rPr>
            </w:pPr>
          </w:p>
        </w:tc>
      </w:tr>
      <w:tr w:rsidR="00B12105" w:rsidRPr="00354440" w:rsidTr="00D53740">
        <w:tc>
          <w:tcPr>
            <w:tcW w:w="2427" w:type="pct"/>
          </w:tcPr>
          <w:p w:rsidR="00B12105" w:rsidRPr="00354440" w:rsidRDefault="00B12105" w:rsidP="00D53740">
            <w:pPr>
              <w:jc w:val="both"/>
              <w:rPr>
                <w:rFonts w:eastAsia="Calibri"/>
                <w:sz w:val="20"/>
              </w:rPr>
            </w:pPr>
            <w:r w:rsidRPr="00354440">
              <w:rPr>
                <w:rFonts w:eastAsia="Calibri"/>
                <w:sz w:val="20"/>
              </w:rPr>
              <w:t>August 10, 2012</w:t>
            </w:r>
          </w:p>
          <w:p w:rsidR="00B12105" w:rsidRPr="00354440" w:rsidRDefault="00B12105" w:rsidP="00D53740">
            <w:pPr>
              <w:jc w:val="both"/>
              <w:rPr>
                <w:rFonts w:eastAsia="Calibri"/>
                <w:sz w:val="20"/>
              </w:rPr>
            </w:pPr>
            <w:r w:rsidRPr="00354440">
              <w:rPr>
                <w:rFonts w:eastAsia="Calibri"/>
                <w:sz w:val="20"/>
              </w:rPr>
              <w:t>Supreme Court of Canada</w:t>
            </w:r>
          </w:p>
        </w:tc>
        <w:tc>
          <w:tcPr>
            <w:tcW w:w="243" w:type="pct"/>
          </w:tcPr>
          <w:p w:rsidR="00B12105" w:rsidRPr="00354440" w:rsidRDefault="00B12105" w:rsidP="00D53740">
            <w:pPr>
              <w:jc w:val="both"/>
              <w:rPr>
                <w:rFonts w:eastAsia="Calibri"/>
                <w:sz w:val="20"/>
              </w:rPr>
            </w:pPr>
          </w:p>
        </w:tc>
        <w:tc>
          <w:tcPr>
            <w:tcW w:w="2330" w:type="pct"/>
          </w:tcPr>
          <w:p w:rsidR="00B12105" w:rsidRPr="00354440" w:rsidRDefault="00B12105" w:rsidP="00D53740">
            <w:pPr>
              <w:jc w:val="both"/>
              <w:rPr>
                <w:rFonts w:eastAsia="Calibri"/>
                <w:sz w:val="20"/>
              </w:rPr>
            </w:pPr>
            <w:r w:rsidRPr="00354440">
              <w:rPr>
                <w:rFonts w:eastAsia="Calibri"/>
                <w:sz w:val="20"/>
              </w:rPr>
              <w:t>Application for leave to appeal filed</w:t>
            </w:r>
          </w:p>
          <w:p w:rsidR="00B12105" w:rsidRPr="00354440" w:rsidRDefault="00B12105" w:rsidP="00D53740">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80"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12105" w:rsidRPr="001D43E1" w:rsidTr="00D53740">
        <w:tc>
          <w:tcPr>
            <w:tcW w:w="5000" w:type="pct"/>
            <w:gridSpan w:val="3"/>
          </w:tcPr>
          <w:p w:rsidR="00B12105" w:rsidRPr="00354440" w:rsidRDefault="00B12105" w:rsidP="00D53740">
            <w:pPr>
              <w:jc w:val="both"/>
              <w:rPr>
                <w:rFonts w:eastAsia="Calibri"/>
                <w:sz w:val="20"/>
                <w:lang w:val="fr-CA"/>
              </w:rPr>
            </w:pPr>
            <w:r w:rsidRPr="00354440">
              <w:rPr>
                <w:rFonts w:eastAsia="Calibri"/>
                <w:sz w:val="20"/>
                <w:lang w:val="fr-CA"/>
              </w:rPr>
              <w:t>Procédure civile — Dépens — Demanderesse condamnée à payer à l'association condominiale la somme de 41 706,28 $ à titre de dépens sur la base d’une indemnisation totale — L'association condominiale allègue avoir engagé des « frais réels additionnels » afin d’obtenir une ordonnance pour faire observer la loi et les règles condominiales — La Cour d'appel a</w:t>
            </w:r>
            <w:r w:rsidRPr="00354440">
              <w:rPr>
                <w:rFonts w:eastAsia="Calibri"/>
                <w:sz w:val="20"/>
                <w:lang w:val="fr-CA"/>
              </w:rPr>
              <w:noBreakHyphen/>
              <w:t>t</w:t>
            </w:r>
            <w:r w:rsidRPr="00354440">
              <w:rPr>
                <w:rFonts w:eastAsia="Calibri"/>
                <w:sz w:val="20"/>
                <w:lang w:val="fr-CA"/>
              </w:rPr>
              <w:noBreakHyphen/>
              <w:t>elle eu tort de ne pas modifier l'ordonnance concernant les dépens? —</w:t>
            </w:r>
            <w:r w:rsidRPr="00354440">
              <w:rPr>
                <w:rFonts w:eastAsia="Calibri"/>
                <w:i/>
                <w:sz w:val="20"/>
                <w:lang w:val="fr-CA"/>
              </w:rPr>
              <w:t xml:space="preserve"> Loi sur les condominiums</w:t>
            </w:r>
            <w:r w:rsidRPr="00354440">
              <w:rPr>
                <w:rFonts w:eastAsia="Calibri"/>
                <w:sz w:val="20"/>
                <w:lang w:val="fr-CA"/>
              </w:rPr>
              <w:t>, L.O. 1998, ch. 19, par. 134(5).</w:t>
            </w:r>
          </w:p>
        </w:tc>
      </w:tr>
      <w:tr w:rsidR="00B12105" w:rsidRPr="001D43E1" w:rsidTr="00D53740">
        <w:tc>
          <w:tcPr>
            <w:tcW w:w="5000" w:type="pct"/>
            <w:gridSpan w:val="3"/>
          </w:tcPr>
          <w:p w:rsidR="00B12105" w:rsidRPr="00354440" w:rsidRDefault="00B12105" w:rsidP="00D53740">
            <w:pPr>
              <w:jc w:val="both"/>
              <w:rPr>
                <w:rFonts w:eastAsia="Calibri"/>
                <w:sz w:val="20"/>
                <w:lang w:val="fr-CA"/>
              </w:rPr>
            </w:pPr>
          </w:p>
        </w:tc>
      </w:tr>
      <w:tr w:rsidR="00B12105" w:rsidRPr="001D43E1" w:rsidTr="00D53740">
        <w:tc>
          <w:tcPr>
            <w:tcW w:w="5000" w:type="pct"/>
            <w:gridSpan w:val="3"/>
          </w:tcPr>
          <w:p w:rsidR="00B12105" w:rsidRPr="00354440" w:rsidRDefault="00B12105" w:rsidP="00D53740">
            <w:pPr>
              <w:jc w:val="both"/>
              <w:rPr>
                <w:rFonts w:eastAsia="Calibri"/>
                <w:sz w:val="20"/>
                <w:lang w:val="fr-CA"/>
              </w:rPr>
            </w:pPr>
            <w:r w:rsidRPr="00354440">
              <w:rPr>
                <w:rFonts w:eastAsia="Calibri"/>
                <w:sz w:val="20"/>
                <w:lang w:val="fr-CA"/>
              </w:rPr>
              <w:t xml:space="preserve">La demanderesse, Mme Chan, est propriétaire d'une partie privative de condominium qu'elle utilise comme bien locatif.  Elle a présenté une demande contre l'association intimée en Cour supérieure de justice de l'Ontario pour obtenir une ordonnance annulant un privilège que l'association avait fait enregistrer à l'égard de sa partie privative en application de la </w:t>
            </w:r>
            <w:r w:rsidRPr="00354440">
              <w:rPr>
                <w:rFonts w:eastAsia="Calibri"/>
                <w:i/>
                <w:sz w:val="20"/>
                <w:lang w:val="fr-CA"/>
              </w:rPr>
              <w:t>Loi sur les condominiums</w:t>
            </w:r>
            <w:r w:rsidRPr="00354440">
              <w:rPr>
                <w:rFonts w:eastAsia="Calibri"/>
                <w:sz w:val="20"/>
                <w:lang w:val="fr-CA"/>
              </w:rPr>
              <w:t xml:space="preserve"> pour recouvrer les coûts occasionnés par un dégâts d'eau.  Parallèlement, l'association a présenté une demande d'ordonnance de conformité pour obliger Mme Chan et ses locataires à se conformer aux dispositions de la loi et aux règles condominiales.</w:t>
            </w:r>
          </w:p>
          <w:p w:rsidR="00B12105" w:rsidRPr="00354440" w:rsidRDefault="00B12105" w:rsidP="00D53740">
            <w:pPr>
              <w:jc w:val="both"/>
              <w:rPr>
                <w:rFonts w:eastAsia="Calibri"/>
                <w:sz w:val="20"/>
                <w:lang w:val="fr-CA"/>
              </w:rPr>
            </w:pPr>
          </w:p>
          <w:p w:rsidR="00B12105" w:rsidRPr="00354440" w:rsidRDefault="00B12105" w:rsidP="00D53740">
            <w:pPr>
              <w:jc w:val="both"/>
              <w:rPr>
                <w:rFonts w:eastAsia="Calibri"/>
                <w:sz w:val="20"/>
                <w:lang w:val="fr-CA"/>
              </w:rPr>
            </w:pPr>
            <w:r w:rsidRPr="00354440">
              <w:rPr>
                <w:rFonts w:eastAsia="Calibri"/>
                <w:sz w:val="20"/>
                <w:lang w:val="fr-CA"/>
              </w:rPr>
              <w:t>La Cour supérieure de justice a rejeté la demande de Mme Chan et a accueilli la demande de l'association.  La juge Allen a ordonné à Mme Chan de retirer les serrures intérieures qui n'étaient pas conformes aux règles condominiales.  Elle a ordonné à Mme Chan de cesser l'usage non autorisé de la partie privative — à son avis, Mme Chan avait utilisé la partie privative comme maison de chambres ou une pension de famille et non comme [</w:t>
            </w:r>
            <w:r w:rsidRPr="00354440">
              <w:rPr>
                <w:rFonts w:eastAsia="Calibri"/>
                <w:smallCaps/>
                <w:sz w:val="20"/>
                <w:lang w:val="fr-CA"/>
              </w:rPr>
              <w:t>traduction</w:t>
            </w:r>
            <w:r w:rsidRPr="00354440">
              <w:rPr>
                <w:rFonts w:eastAsia="Calibri"/>
                <w:sz w:val="20"/>
                <w:lang w:val="fr-CA"/>
              </w:rPr>
              <w:t xml:space="preserve">] « habitation individuelle ».  La juge Allen a ordonné que la somme de 41 706,28 $ soit payée à l'association à titre de dépens sur la base d’une indemnisation totale, un montant qu'elle a jugé raisonnable en l'espèce. </w:t>
            </w:r>
          </w:p>
          <w:p w:rsidR="00B12105" w:rsidRPr="00354440" w:rsidRDefault="00B12105" w:rsidP="00D53740">
            <w:pPr>
              <w:jc w:val="both"/>
              <w:rPr>
                <w:rFonts w:eastAsia="Calibri"/>
                <w:sz w:val="20"/>
                <w:lang w:val="fr-CA"/>
              </w:rPr>
            </w:pPr>
          </w:p>
          <w:p w:rsidR="00B12105" w:rsidRPr="00354440" w:rsidRDefault="00B12105" w:rsidP="00D53740">
            <w:pPr>
              <w:jc w:val="both"/>
              <w:rPr>
                <w:rFonts w:eastAsia="Calibri"/>
                <w:sz w:val="20"/>
                <w:lang w:val="fr-CA"/>
              </w:rPr>
            </w:pPr>
            <w:r w:rsidRPr="00354440">
              <w:rPr>
                <w:rFonts w:eastAsia="Calibri"/>
                <w:sz w:val="20"/>
                <w:lang w:val="fr-CA"/>
              </w:rPr>
              <w:t>La Cour d'appel a rejeté l'appel de Mme Chan et n'a pas jugé bon d'infirmer l'allocation des dépens.  Elle a noté que Mme Chan aurait le droit, de toute façon, en vertu de l'art. 9 de la</w:t>
            </w:r>
            <w:r w:rsidRPr="00354440">
              <w:rPr>
                <w:rFonts w:eastAsia="Calibri"/>
                <w:i/>
                <w:sz w:val="20"/>
                <w:lang w:val="fr-CA"/>
              </w:rPr>
              <w:t xml:space="preserve"> Loi sur les procureurs</w:t>
            </w:r>
            <w:r w:rsidRPr="00354440">
              <w:rPr>
                <w:rFonts w:eastAsia="Calibri"/>
                <w:sz w:val="20"/>
                <w:lang w:val="fr-CA"/>
              </w:rPr>
              <w:t>, de faire liquider les frais additionnels demandés par l'association en application du par. 134(5) de la</w:t>
            </w:r>
            <w:r w:rsidRPr="00354440">
              <w:rPr>
                <w:rFonts w:eastAsia="Calibri"/>
                <w:i/>
                <w:sz w:val="20"/>
                <w:lang w:val="fr-CA"/>
              </w:rPr>
              <w:t xml:space="preserve"> Loi sur les condominiums</w:t>
            </w:r>
            <w:r w:rsidRPr="00354440">
              <w:rPr>
                <w:rFonts w:eastAsia="Calibri"/>
                <w:sz w:val="20"/>
                <w:lang w:val="fr-CA"/>
              </w:rPr>
              <w:t xml:space="preserve">. </w:t>
            </w:r>
          </w:p>
          <w:p w:rsidR="00B12105" w:rsidRPr="00354440" w:rsidRDefault="00B12105" w:rsidP="00D53740">
            <w:pPr>
              <w:jc w:val="both"/>
              <w:rPr>
                <w:rFonts w:eastAsia="Calibri"/>
                <w:sz w:val="20"/>
                <w:lang w:val="fr-CA"/>
              </w:rPr>
            </w:pPr>
          </w:p>
        </w:tc>
      </w:tr>
      <w:tr w:rsidR="00B12105" w:rsidRPr="001D43E1" w:rsidTr="00D53740">
        <w:tc>
          <w:tcPr>
            <w:tcW w:w="2427" w:type="pct"/>
          </w:tcPr>
          <w:p w:rsidR="00B12105" w:rsidRPr="00354440" w:rsidRDefault="00B12105" w:rsidP="00D53740">
            <w:pPr>
              <w:jc w:val="both"/>
              <w:rPr>
                <w:rFonts w:eastAsia="Calibri"/>
                <w:sz w:val="20"/>
                <w:lang w:val="fr-CA"/>
              </w:rPr>
            </w:pPr>
            <w:r w:rsidRPr="00354440">
              <w:rPr>
                <w:rFonts w:eastAsia="Calibri"/>
                <w:sz w:val="20"/>
                <w:lang w:val="fr-CA"/>
              </w:rPr>
              <w:t>6 janvier 2011</w:t>
            </w:r>
          </w:p>
          <w:p w:rsidR="00B12105" w:rsidRPr="00354440" w:rsidRDefault="00B12105" w:rsidP="00D53740">
            <w:pPr>
              <w:jc w:val="both"/>
              <w:rPr>
                <w:rFonts w:eastAsia="Calibri"/>
                <w:sz w:val="20"/>
                <w:lang w:val="fr-CA"/>
              </w:rPr>
            </w:pPr>
            <w:r w:rsidRPr="00354440">
              <w:rPr>
                <w:rFonts w:eastAsia="Calibri"/>
                <w:sz w:val="20"/>
                <w:lang w:val="fr-CA"/>
              </w:rPr>
              <w:t xml:space="preserve">Cour supérieure de justice de l'Ontario </w:t>
            </w:r>
          </w:p>
          <w:p w:rsidR="00B12105" w:rsidRPr="00354440" w:rsidRDefault="00B12105" w:rsidP="00D53740">
            <w:pPr>
              <w:jc w:val="both"/>
              <w:rPr>
                <w:rFonts w:eastAsia="Calibri"/>
                <w:sz w:val="20"/>
                <w:lang w:val="fr-CA"/>
              </w:rPr>
            </w:pPr>
            <w:r w:rsidRPr="00354440">
              <w:rPr>
                <w:rFonts w:eastAsia="Calibri"/>
                <w:sz w:val="20"/>
                <w:lang w:val="fr-CA"/>
              </w:rPr>
              <w:t>(Juge Allen)</w:t>
            </w:r>
          </w:p>
          <w:p w:rsidR="00B12105" w:rsidRPr="00354440" w:rsidRDefault="00B12105" w:rsidP="00D53740">
            <w:pPr>
              <w:jc w:val="both"/>
              <w:rPr>
                <w:rFonts w:eastAsia="Calibri"/>
                <w:sz w:val="20"/>
                <w:lang w:val="fr-CA"/>
              </w:rPr>
            </w:pPr>
            <w:r w:rsidRPr="00354440">
              <w:rPr>
                <w:rFonts w:eastAsia="Calibri"/>
                <w:sz w:val="20"/>
                <w:lang w:val="fr-CA"/>
              </w:rPr>
              <w:t>2011 ONSC 108</w:t>
            </w:r>
          </w:p>
          <w:p w:rsidR="00B12105" w:rsidRPr="00354440" w:rsidRDefault="00B12105" w:rsidP="00D53740">
            <w:pPr>
              <w:jc w:val="both"/>
              <w:rPr>
                <w:rFonts w:eastAsia="Calibri"/>
                <w:sz w:val="20"/>
                <w:lang w:val="fr-CA"/>
              </w:rPr>
            </w:pPr>
          </w:p>
        </w:tc>
        <w:tc>
          <w:tcPr>
            <w:tcW w:w="243" w:type="pct"/>
          </w:tcPr>
          <w:p w:rsidR="00B12105" w:rsidRPr="00354440" w:rsidRDefault="00B12105" w:rsidP="00D53740">
            <w:pPr>
              <w:jc w:val="both"/>
              <w:rPr>
                <w:rFonts w:eastAsia="Calibri"/>
                <w:sz w:val="20"/>
                <w:lang w:val="fr-CA"/>
              </w:rPr>
            </w:pPr>
          </w:p>
        </w:tc>
        <w:tc>
          <w:tcPr>
            <w:tcW w:w="2330" w:type="pct"/>
          </w:tcPr>
          <w:p w:rsidR="00B12105" w:rsidRPr="00354440" w:rsidRDefault="00B12105" w:rsidP="00D53740">
            <w:pPr>
              <w:jc w:val="both"/>
              <w:rPr>
                <w:rFonts w:eastAsia="Calibri"/>
                <w:sz w:val="20"/>
                <w:lang w:val="fr-CA"/>
              </w:rPr>
            </w:pPr>
            <w:r w:rsidRPr="00354440">
              <w:rPr>
                <w:rFonts w:eastAsia="Calibri"/>
                <w:sz w:val="20"/>
                <w:lang w:val="fr-CA"/>
              </w:rPr>
              <w:t>Demande de Mme Chan rejetée; demande de l'association condominiale, accueillie avec dépens</w:t>
            </w:r>
          </w:p>
          <w:p w:rsidR="00B12105" w:rsidRPr="00354440" w:rsidRDefault="00B12105" w:rsidP="00D53740">
            <w:pPr>
              <w:jc w:val="both"/>
              <w:rPr>
                <w:rFonts w:eastAsia="Calibri"/>
                <w:sz w:val="20"/>
                <w:lang w:val="fr-CA"/>
              </w:rPr>
            </w:pPr>
          </w:p>
        </w:tc>
      </w:tr>
      <w:tr w:rsidR="00B12105" w:rsidRPr="00354440" w:rsidTr="00D53740">
        <w:tc>
          <w:tcPr>
            <w:tcW w:w="2427" w:type="pct"/>
          </w:tcPr>
          <w:p w:rsidR="00B12105" w:rsidRPr="00354440" w:rsidRDefault="00B12105" w:rsidP="00D53740">
            <w:pPr>
              <w:jc w:val="both"/>
              <w:rPr>
                <w:rFonts w:eastAsia="Calibri"/>
                <w:sz w:val="20"/>
                <w:lang w:val="fr-CA"/>
              </w:rPr>
            </w:pPr>
            <w:r w:rsidRPr="00354440">
              <w:rPr>
                <w:rFonts w:eastAsia="Calibri"/>
                <w:sz w:val="20"/>
                <w:lang w:val="fr-CA"/>
              </w:rPr>
              <w:t>14 mai 2012</w:t>
            </w:r>
          </w:p>
          <w:p w:rsidR="00B12105" w:rsidRPr="00354440" w:rsidRDefault="00B12105" w:rsidP="00D53740">
            <w:pPr>
              <w:jc w:val="both"/>
              <w:rPr>
                <w:rFonts w:eastAsia="Calibri"/>
                <w:sz w:val="20"/>
                <w:lang w:val="fr-CA"/>
              </w:rPr>
            </w:pPr>
            <w:r w:rsidRPr="00354440">
              <w:rPr>
                <w:rFonts w:eastAsia="Calibri"/>
                <w:sz w:val="20"/>
                <w:lang w:val="fr-CA"/>
              </w:rPr>
              <w:t xml:space="preserve">Cour d'appel de l'Ontario </w:t>
            </w:r>
          </w:p>
          <w:p w:rsidR="00B12105" w:rsidRPr="00354440" w:rsidRDefault="00B12105" w:rsidP="00D53740">
            <w:pPr>
              <w:jc w:val="both"/>
              <w:rPr>
                <w:rFonts w:eastAsia="Calibri"/>
                <w:sz w:val="20"/>
                <w:lang w:val="fr-CA"/>
              </w:rPr>
            </w:pPr>
            <w:r w:rsidRPr="00354440">
              <w:rPr>
                <w:rFonts w:eastAsia="Calibri"/>
                <w:sz w:val="20"/>
                <w:lang w:val="fr-CA"/>
              </w:rPr>
              <w:t>(Juges MacPherson, Gillese et Blair)</w:t>
            </w:r>
          </w:p>
          <w:p w:rsidR="00B12105" w:rsidRPr="00354440" w:rsidRDefault="00B12105" w:rsidP="00D53740">
            <w:pPr>
              <w:jc w:val="both"/>
              <w:rPr>
                <w:rFonts w:eastAsia="Calibri"/>
                <w:sz w:val="20"/>
                <w:lang w:val="fr-CA"/>
              </w:rPr>
            </w:pPr>
            <w:r w:rsidRPr="00354440">
              <w:rPr>
                <w:rFonts w:eastAsia="Calibri"/>
                <w:sz w:val="20"/>
                <w:lang w:val="fr-CA"/>
              </w:rPr>
              <w:t>2012 ONCA 312; C53242</w:t>
            </w:r>
          </w:p>
          <w:p w:rsidR="00B12105" w:rsidRPr="00354440" w:rsidRDefault="00B12105" w:rsidP="00D53740">
            <w:pPr>
              <w:jc w:val="both"/>
              <w:rPr>
                <w:rFonts w:eastAsia="Calibri"/>
                <w:sz w:val="20"/>
                <w:lang w:val="fr-CA"/>
              </w:rPr>
            </w:pPr>
          </w:p>
        </w:tc>
        <w:tc>
          <w:tcPr>
            <w:tcW w:w="243" w:type="pct"/>
          </w:tcPr>
          <w:p w:rsidR="00B12105" w:rsidRPr="00354440" w:rsidRDefault="00B12105" w:rsidP="00D53740">
            <w:pPr>
              <w:jc w:val="both"/>
              <w:rPr>
                <w:rFonts w:eastAsia="Calibri"/>
                <w:sz w:val="20"/>
                <w:lang w:val="fr-CA"/>
              </w:rPr>
            </w:pPr>
          </w:p>
        </w:tc>
        <w:tc>
          <w:tcPr>
            <w:tcW w:w="2330" w:type="pct"/>
          </w:tcPr>
          <w:p w:rsidR="00B12105" w:rsidRPr="00354440" w:rsidRDefault="00B12105" w:rsidP="00D53740">
            <w:pPr>
              <w:jc w:val="both"/>
              <w:rPr>
                <w:rFonts w:eastAsia="Calibri"/>
                <w:sz w:val="20"/>
                <w:lang w:val="fr-CA"/>
              </w:rPr>
            </w:pPr>
            <w:r w:rsidRPr="00354440">
              <w:rPr>
                <w:rFonts w:eastAsia="Calibri"/>
                <w:sz w:val="20"/>
                <w:lang w:val="fr-CA"/>
              </w:rPr>
              <w:t>Appel rejeté</w:t>
            </w:r>
          </w:p>
          <w:p w:rsidR="00B12105" w:rsidRPr="00354440" w:rsidRDefault="00B12105" w:rsidP="00D53740">
            <w:pPr>
              <w:jc w:val="both"/>
              <w:rPr>
                <w:rFonts w:eastAsia="Calibri"/>
                <w:sz w:val="20"/>
                <w:lang w:val="fr-CA"/>
              </w:rPr>
            </w:pPr>
          </w:p>
        </w:tc>
      </w:tr>
      <w:tr w:rsidR="00B12105" w:rsidRPr="00354440" w:rsidTr="00D53740">
        <w:tc>
          <w:tcPr>
            <w:tcW w:w="2427" w:type="pct"/>
          </w:tcPr>
          <w:p w:rsidR="00B12105" w:rsidRPr="00354440" w:rsidRDefault="00B12105" w:rsidP="00D53740">
            <w:pPr>
              <w:jc w:val="both"/>
              <w:rPr>
                <w:rFonts w:eastAsia="Calibri"/>
                <w:sz w:val="20"/>
                <w:lang w:val="fr-CA"/>
              </w:rPr>
            </w:pPr>
            <w:r w:rsidRPr="00354440">
              <w:rPr>
                <w:rFonts w:eastAsia="Calibri"/>
                <w:sz w:val="20"/>
                <w:lang w:val="fr-CA"/>
              </w:rPr>
              <w:t>10 août 2012</w:t>
            </w:r>
          </w:p>
          <w:p w:rsidR="00B12105" w:rsidRPr="00354440" w:rsidRDefault="00B12105" w:rsidP="00D53740">
            <w:pPr>
              <w:jc w:val="both"/>
              <w:rPr>
                <w:rFonts w:eastAsia="Calibri"/>
                <w:sz w:val="20"/>
                <w:lang w:val="fr-CA"/>
              </w:rPr>
            </w:pPr>
            <w:r w:rsidRPr="00354440">
              <w:rPr>
                <w:rFonts w:eastAsia="Calibri"/>
                <w:sz w:val="20"/>
                <w:lang w:val="fr-CA"/>
              </w:rPr>
              <w:t>Cour suprême du Canada</w:t>
            </w:r>
          </w:p>
        </w:tc>
        <w:tc>
          <w:tcPr>
            <w:tcW w:w="243" w:type="pct"/>
          </w:tcPr>
          <w:p w:rsidR="00B12105" w:rsidRPr="00354440" w:rsidRDefault="00B12105" w:rsidP="00D53740">
            <w:pPr>
              <w:jc w:val="both"/>
              <w:rPr>
                <w:rFonts w:eastAsia="Calibri"/>
                <w:sz w:val="20"/>
                <w:lang w:val="fr-CA"/>
              </w:rPr>
            </w:pPr>
          </w:p>
        </w:tc>
        <w:tc>
          <w:tcPr>
            <w:tcW w:w="2330" w:type="pct"/>
          </w:tcPr>
          <w:p w:rsidR="00B12105" w:rsidRPr="00354440" w:rsidRDefault="00B12105" w:rsidP="00D53740">
            <w:pPr>
              <w:jc w:val="both"/>
              <w:rPr>
                <w:rFonts w:eastAsia="Calibri"/>
                <w:sz w:val="20"/>
                <w:lang w:val="fr-CA"/>
              </w:rPr>
            </w:pPr>
            <w:r w:rsidRPr="00354440">
              <w:rPr>
                <w:rFonts w:eastAsia="Calibri"/>
                <w:sz w:val="20"/>
                <w:lang w:val="fr-CA"/>
              </w:rPr>
              <w:t>Demande d'autorisation d'appel, déposée</w:t>
            </w:r>
          </w:p>
          <w:p w:rsidR="00B12105" w:rsidRPr="00354440" w:rsidRDefault="00B12105" w:rsidP="00D53740">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81"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599" w:rsidRPr="004C6E6E" w:rsidTr="00066741">
        <w:trPr>
          <w:cantSplit/>
        </w:trPr>
        <w:tc>
          <w:tcPr>
            <w:tcW w:w="1458" w:type="dxa"/>
          </w:tcPr>
          <w:p w:rsidR="008A5599" w:rsidRPr="004C6E6E" w:rsidRDefault="008A5599" w:rsidP="00066741">
            <w:pPr>
              <w:rPr>
                <w:sz w:val="20"/>
                <w:szCs w:val="20"/>
              </w:rPr>
            </w:pPr>
            <w:r w:rsidRPr="004C6E6E">
              <w:rPr>
                <w:rStyle w:val="SCCFileNumberChar"/>
                <w:sz w:val="20"/>
                <w:szCs w:val="20"/>
              </w:rPr>
              <w:t>34929</w:t>
            </w:r>
          </w:p>
          <w:p w:rsidR="008A5599" w:rsidRPr="004C6E6E" w:rsidRDefault="008A5599" w:rsidP="00066741">
            <w:pPr>
              <w:rPr>
                <w:b/>
                <w:sz w:val="20"/>
                <w:szCs w:val="20"/>
                <w:lang w:val="fr-CA"/>
              </w:rPr>
            </w:pPr>
          </w:p>
        </w:tc>
        <w:tc>
          <w:tcPr>
            <w:tcW w:w="8118" w:type="dxa"/>
          </w:tcPr>
          <w:p w:rsidR="008A5599" w:rsidRPr="004C6E6E" w:rsidRDefault="008A5599" w:rsidP="00066741">
            <w:pPr>
              <w:jc w:val="both"/>
              <w:rPr>
                <w:sz w:val="20"/>
                <w:szCs w:val="20"/>
              </w:rPr>
            </w:pPr>
            <w:r w:rsidRPr="008A5599">
              <w:rPr>
                <w:rStyle w:val="SCCLsocChar"/>
                <w:sz w:val="20"/>
                <w:szCs w:val="20"/>
                <w:lang w:val="en-CA"/>
              </w:rPr>
              <w:t>Paciorka Leaseholds Limited, Bruce Paciorka, Gordon Paciorka, Elizabeth Frey, Hilda Fisher House, Carlos Rafael Macchiavello, Virginia Rosalie Macchiavello, Frieda Pope, Rachel Lydia Beattie, Sharon Lily Pope, Nancy Louise Hillman and Judy Diane Listhaeghe v. Corporation of the City of Windsor</w:t>
            </w:r>
            <w:r w:rsidRPr="004C6E6E">
              <w:rPr>
                <w:sz w:val="20"/>
                <w:szCs w:val="20"/>
              </w:rPr>
              <w:t xml:space="preserve"> (Ont.) (Civil) (By Leave)</w:t>
            </w:r>
          </w:p>
          <w:p w:rsidR="008A5599" w:rsidRPr="004C6E6E" w:rsidRDefault="008A5599" w:rsidP="00066741">
            <w:pPr>
              <w:jc w:val="both"/>
              <w:rPr>
                <w:sz w:val="20"/>
                <w:szCs w:val="20"/>
              </w:rPr>
            </w:pPr>
          </w:p>
        </w:tc>
      </w:tr>
      <w:tr w:rsidR="008A5599" w:rsidRPr="004C6E6E" w:rsidTr="00066741">
        <w:trPr>
          <w:cantSplit/>
        </w:trPr>
        <w:tc>
          <w:tcPr>
            <w:tcW w:w="1458" w:type="dxa"/>
          </w:tcPr>
          <w:p w:rsidR="008A5599" w:rsidRPr="004C6E6E" w:rsidRDefault="008A5599" w:rsidP="00066741">
            <w:pPr>
              <w:rPr>
                <w:sz w:val="20"/>
                <w:szCs w:val="20"/>
              </w:rPr>
            </w:pPr>
            <w:r w:rsidRPr="004C6E6E">
              <w:rPr>
                <w:sz w:val="20"/>
                <w:szCs w:val="20"/>
              </w:rPr>
              <w:t>Coram :</w:t>
            </w:r>
          </w:p>
        </w:tc>
        <w:tc>
          <w:tcPr>
            <w:tcW w:w="8118" w:type="dxa"/>
          </w:tcPr>
          <w:p w:rsidR="008A5599" w:rsidRPr="004C6E6E" w:rsidRDefault="008A5599" w:rsidP="00066741">
            <w:pPr>
              <w:rPr>
                <w:sz w:val="20"/>
                <w:szCs w:val="20"/>
              </w:rPr>
            </w:pPr>
            <w:r w:rsidRPr="008A5599">
              <w:rPr>
                <w:rStyle w:val="SCCCoramChar"/>
                <w:sz w:val="20"/>
                <w:szCs w:val="20"/>
                <w:lang w:val="en-CA"/>
              </w:rPr>
              <w:t>LeBel, Abella and Cromwell JJ.</w:t>
            </w:r>
          </w:p>
          <w:p w:rsidR="008A5599" w:rsidRPr="004C6E6E" w:rsidRDefault="008A5599" w:rsidP="00066741">
            <w:pPr>
              <w:rPr>
                <w:sz w:val="20"/>
                <w:szCs w:val="20"/>
                <w:u w:val="single"/>
              </w:rPr>
            </w:pPr>
          </w:p>
        </w:tc>
      </w:tr>
      <w:tr w:rsidR="008A5599" w:rsidRPr="001D43E1" w:rsidTr="00066741">
        <w:trPr>
          <w:cantSplit/>
        </w:trPr>
        <w:tc>
          <w:tcPr>
            <w:tcW w:w="9576" w:type="dxa"/>
            <w:gridSpan w:val="2"/>
          </w:tcPr>
          <w:p w:rsidR="008A5599" w:rsidRPr="004C6E6E" w:rsidRDefault="008A5599" w:rsidP="00066741">
            <w:pPr>
              <w:pStyle w:val="SCCShortJudgment"/>
              <w:rPr>
                <w:szCs w:val="20"/>
              </w:rPr>
            </w:pPr>
            <w:r w:rsidRPr="004C6E6E">
              <w:rPr>
                <w:szCs w:val="20"/>
              </w:rPr>
              <w:t>The applications for leave to appeal from the judgments of the Court of Appeal for Ontario, Number C54542, 2012 ONCA 431, dated June 22, 2012, and 2012 ONCA 601, dated September 13, 2012, are dismissed with costs. The costs awarded in this Court are not payable until a determination is made by the Ontario Municipal Board, the matter is otherwise resolved or until the Court of Appeal otherwise orders.</w:t>
            </w:r>
          </w:p>
          <w:p w:rsidR="008A5599" w:rsidRPr="004C6E6E" w:rsidRDefault="008A5599" w:rsidP="00066741">
            <w:pPr>
              <w:pStyle w:val="SCCShortJudgment"/>
              <w:ind w:firstLine="0"/>
              <w:rPr>
                <w:szCs w:val="20"/>
              </w:rPr>
            </w:pPr>
          </w:p>
          <w:p w:rsidR="008A5599" w:rsidRPr="004C6E6E" w:rsidRDefault="008A5599" w:rsidP="00066741">
            <w:pPr>
              <w:pStyle w:val="SCCShortJudgment"/>
              <w:rPr>
                <w:szCs w:val="20"/>
                <w:lang w:val="fr-CA"/>
              </w:rPr>
            </w:pPr>
            <w:r w:rsidRPr="004C6E6E">
              <w:rPr>
                <w:szCs w:val="20"/>
                <w:lang w:val="fr-CA"/>
              </w:rPr>
              <w:t>Les demandes d’autorisation d’appel des  arrêts de la Cour d’appel de l’Ontario, numéro C54542, 2012 ONCA 431, daté du 22 juin 2012, et 2012 ONCA 601, daté du 13 septembre 2012, sont rejetées avec dépens. Le paiement des dépens accordés par notre Cour est suspendu jusqu’à ce que la Commission des affaires municipales de l’Ontario rende une décision, que l’affaire soit résolue autrement ou que la Cour d’appel prononce une ordonnance contraire.</w:t>
            </w:r>
          </w:p>
        </w:tc>
      </w:tr>
    </w:tbl>
    <w:p w:rsidR="00441FC4" w:rsidRPr="008A5599"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D7F" w:rsidRPr="00354440" w:rsidTr="00D53740">
        <w:tc>
          <w:tcPr>
            <w:tcW w:w="5000" w:type="pct"/>
            <w:gridSpan w:val="3"/>
          </w:tcPr>
          <w:p w:rsidR="00040D7F" w:rsidRPr="00354440" w:rsidRDefault="00040D7F" w:rsidP="00D53740">
            <w:pPr>
              <w:jc w:val="both"/>
              <w:rPr>
                <w:rFonts w:eastAsia="Calibri"/>
                <w:sz w:val="20"/>
              </w:rPr>
            </w:pPr>
            <w:r w:rsidRPr="00354440">
              <w:rPr>
                <w:rFonts w:eastAsia="Calibri"/>
                <w:sz w:val="20"/>
              </w:rPr>
              <w:t xml:space="preserve">Expropriation — Market value of land expropriated — Scope of expropriation scheme — Injurious affection — Whether Court of Appeal erred in its application of </w:t>
            </w:r>
            <w:r w:rsidRPr="00354440">
              <w:rPr>
                <w:rFonts w:eastAsia="Calibri"/>
                <w:i/>
                <w:sz w:val="20"/>
              </w:rPr>
              <w:t>Pointe Gourde</w:t>
            </w:r>
            <w:r w:rsidRPr="00354440">
              <w:rPr>
                <w:rFonts w:eastAsia="Calibri"/>
                <w:sz w:val="20"/>
              </w:rPr>
              <w:t xml:space="preserve"> principle enshrined in </w:t>
            </w:r>
            <w:r w:rsidRPr="00354440">
              <w:rPr>
                <w:rFonts w:eastAsia="Calibri"/>
                <w:i/>
                <w:sz w:val="20"/>
              </w:rPr>
              <w:t>Expropriations Act</w:t>
            </w:r>
            <w:r w:rsidRPr="00354440">
              <w:rPr>
                <w:rFonts w:eastAsia="Calibri"/>
                <w:sz w:val="20"/>
              </w:rPr>
              <w:t xml:space="preserve"> by requiring consideration of a government policy statement — Whether Court of Appeal erred in materially altering law with respect to injurious affection damages</w:t>
            </w:r>
            <w:r w:rsidRPr="00354440">
              <w:rPr>
                <w:rFonts w:eastAsia="Calibri"/>
                <w:i/>
                <w:sz w:val="20"/>
              </w:rPr>
              <w:t xml:space="preserve"> </w:t>
            </w:r>
            <w:r w:rsidRPr="00354440">
              <w:rPr>
                <w:rFonts w:eastAsia="Calibri"/>
                <w:sz w:val="20"/>
              </w:rPr>
              <w:t xml:space="preserve">— </w:t>
            </w:r>
            <w:r w:rsidRPr="00354440">
              <w:rPr>
                <w:rFonts w:eastAsia="Calibri"/>
                <w:i/>
                <w:sz w:val="20"/>
              </w:rPr>
              <w:t>Expropriations Act</w:t>
            </w:r>
            <w:r w:rsidRPr="00354440">
              <w:rPr>
                <w:rFonts w:eastAsia="Calibri"/>
                <w:sz w:val="20"/>
              </w:rPr>
              <w:t>, R.S.O. 1990, c. E.26, s. 14(4</w:t>
            </w:r>
            <w:proofErr w:type="gramStart"/>
            <w:r w:rsidRPr="00354440">
              <w:rPr>
                <w:rFonts w:eastAsia="Calibri"/>
                <w:sz w:val="20"/>
              </w:rPr>
              <w:t>)(</w:t>
            </w:r>
            <w:proofErr w:type="gramEnd"/>
            <w:r w:rsidRPr="00354440">
              <w:rPr>
                <w:rFonts w:eastAsia="Calibri"/>
                <w:sz w:val="20"/>
              </w:rPr>
              <w:t>b).</w:t>
            </w:r>
          </w:p>
        </w:tc>
      </w:tr>
      <w:tr w:rsidR="00040D7F" w:rsidRPr="00354440" w:rsidTr="00D53740">
        <w:tc>
          <w:tcPr>
            <w:tcW w:w="5000" w:type="pct"/>
            <w:gridSpan w:val="3"/>
          </w:tcPr>
          <w:p w:rsidR="00040D7F" w:rsidRPr="00354440" w:rsidRDefault="00040D7F" w:rsidP="00D53740">
            <w:pPr>
              <w:jc w:val="both"/>
              <w:rPr>
                <w:rFonts w:eastAsia="Calibri"/>
                <w:sz w:val="20"/>
              </w:rPr>
            </w:pPr>
          </w:p>
        </w:tc>
      </w:tr>
      <w:tr w:rsidR="00040D7F" w:rsidRPr="00354440" w:rsidTr="00D53740">
        <w:tc>
          <w:tcPr>
            <w:tcW w:w="5000" w:type="pct"/>
            <w:gridSpan w:val="3"/>
          </w:tcPr>
          <w:p w:rsidR="00040D7F" w:rsidRPr="00354440" w:rsidRDefault="00040D7F" w:rsidP="00D53740">
            <w:pPr>
              <w:jc w:val="both"/>
              <w:rPr>
                <w:rFonts w:eastAsia="Calibri"/>
                <w:sz w:val="20"/>
              </w:rPr>
            </w:pPr>
            <w:r w:rsidRPr="00354440">
              <w:rPr>
                <w:rFonts w:eastAsia="Calibri"/>
                <w:sz w:val="20"/>
              </w:rPr>
              <w:t xml:space="preserve">The applicants’ lands were subject to various governmental actions between 1983 and 2002, all designed to preserve the natural habitat in the area and protect endangered and threatened species.  The lands were eventually expropriated by the respondent City beginning in 2004.  Not all of the applicants’ lands were expropriated.  Pursuant to the </w:t>
            </w:r>
            <w:r w:rsidRPr="00354440">
              <w:rPr>
                <w:rFonts w:eastAsia="Calibri"/>
                <w:i/>
                <w:sz w:val="20"/>
              </w:rPr>
              <w:t>Expropriations Act</w:t>
            </w:r>
            <w:r w:rsidRPr="00354440">
              <w:rPr>
                <w:rFonts w:eastAsia="Calibri"/>
                <w:sz w:val="20"/>
              </w:rPr>
              <w:t xml:space="preserve">, the applicants brought claims before the Ontario Municipal Board for the market value of the expropriated lands and for injurious affection damages in respect of the parts of the applicants' properties that were not expropriated.  In determining market value, no account can be taken of any increase or decrease in the value of the land attributable to the government actions that culminated in the expropriation.  </w:t>
            </w:r>
          </w:p>
          <w:p w:rsidR="00040D7F" w:rsidRPr="00354440" w:rsidRDefault="00040D7F" w:rsidP="00D53740">
            <w:pPr>
              <w:jc w:val="both"/>
              <w:rPr>
                <w:rFonts w:eastAsia="Calibri"/>
                <w:sz w:val="20"/>
              </w:rPr>
            </w:pPr>
          </w:p>
          <w:p w:rsidR="00040D7F" w:rsidRPr="00354440" w:rsidRDefault="00040D7F" w:rsidP="00D53740">
            <w:pPr>
              <w:jc w:val="both"/>
              <w:rPr>
                <w:rFonts w:eastAsia="Calibri"/>
                <w:sz w:val="20"/>
              </w:rPr>
            </w:pPr>
            <w:r w:rsidRPr="00354440">
              <w:rPr>
                <w:rFonts w:eastAsia="Calibri"/>
                <w:sz w:val="20"/>
              </w:rPr>
              <w:t>The Board held that the identification and designation process that commenced in 1983 led to the expropriation.  It ultimately ordered the City to pay the applicants $3,771,384 for the market value of the expropriated properties and $767,000 for the loss in value of the remaining properties.  The Divisional Court, in a majority decision, applying a reasonableness standard of review, upheld the Board's decision in its entirety.  The Court of Appeal allowed the respondent City’s appeal.  It set aside the order of the Divisional Court and the order of the Board and directed a new hearing before a differently constituted panel of the Board.</w:t>
            </w:r>
          </w:p>
          <w:p w:rsidR="00040D7F" w:rsidRPr="00354440" w:rsidRDefault="00040D7F" w:rsidP="00D53740">
            <w:pPr>
              <w:jc w:val="both"/>
              <w:rPr>
                <w:rFonts w:eastAsia="Calibri"/>
                <w:sz w:val="20"/>
              </w:rPr>
            </w:pPr>
          </w:p>
        </w:tc>
      </w:tr>
      <w:tr w:rsidR="00040D7F" w:rsidRPr="00354440" w:rsidTr="00D53740">
        <w:tc>
          <w:tcPr>
            <w:tcW w:w="2427" w:type="pct"/>
          </w:tcPr>
          <w:p w:rsidR="00040D7F" w:rsidRPr="00354440" w:rsidRDefault="00040D7F" w:rsidP="00D53740">
            <w:pPr>
              <w:jc w:val="both"/>
              <w:rPr>
                <w:rFonts w:eastAsia="Calibri"/>
                <w:sz w:val="20"/>
              </w:rPr>
            </w:pPr>
            <w:r w:rsidRPr="00354440">
              <w:rPr>
                <w:rFonts w:eastAsia="Calibri"/>
                <w:sz w:val="20"/>
              </w:rPr>
              <w:t>May 16, 2011</w:t>
            </w:r>
          </w:p>
          <w:p w:rsidR="00040D7F" w:rsidRPr="00354440" w:rsidRDefault="00040D7F" w:rsidP="00D53740">
            <w:pPr>
              <w:jc w:val="both"/>
              <w:rPr>
                <w:rFonts w:eastAsia="Calibri"/>
                <w:sz w:val="20"/>
              </w:rPr>
            </w:pPr>
            <w:r w:rsidRPr="00354440">
              <w:rPr>
                <w:rFonts w:eastAsia="Calibri"/>
                <w:sz w:val="20"/>
              </w:rPr>
              <w:t>Ontario Superior Court of Justice,</w:t>
            </w:r>
          </w:p>
          <w:p w:rsidR="00040D7F" w:rsidRPr="00354440" w:rsidRDefault="00040D7F" w:rsidP="00D53740">
            <w:pPr>
              <w:jc w:val="both"/>
              <w:rPr>
                <w:rFonts w:eastAsia="Calibri"/>
                <w:sz w:val="20"/>
              </w:rPr>
            </w:pPr>
            <w:r w:rsidRPr="00354440">
              <w:rPr>
                <w:rFonts w:eastAsia="Calibri"/>
                <w:sz w:val="20"/>
              </w:rPr>
              <w:t>Divisional Court</w:t>
            </w:r>
          </w:p>
          <w:p w:rsidR="00040D7F" w:rsidRPr="00354440" w:rsidRDefault="00040D7F" w:rsidP="00D53740">
            <w:pPr>
              <w:jc w:val="both"/>
              <w:rPr>
                <w:rFonts w:eastAsia="Calibri"/>
                <w:sz w:val="20"/>
              </w:rPr>
            </w:pPr>
            <w:r w:rsidRPr="00354440">
              <w:rPr>
                <w:rFonts w:eastAsia="Calibri"/>
                <w:sz w:val="20"/>
              </w:rPr>
              <w:t xml:space="preserve">(Sachs (dissenting), Herman and Harvison </w:t>
            </w:r>
          </w:p>
          <w:p w:rsidR="00040D7F" w:rsidRPr="00354440" w:rsidRDefault="00040D7F" w:rsidP="00D53740">
            <w:pPr>
              <w:jc w:val="both"/>
              <w:rPr>
                <w:rFonts w:eastAsia="Calibri"/>
                <w:sz w:val="20"/>
              </w:rPr>
            </w:pPr>
            <w:r w:rsidRPr="00354440">
              <w:rPr>
                <w:rFonts w:eastAsia="Calibri"/>
                <w:sz w:val="20"/>
              </w:rPr>
              <w:t>Young JJ.)</w:t>
            </w:r>
          </w:p>
          <w:p w:rsidR="00040D7F" w:rsidRPr="00354440" w:rsidRDefault="00040D7F" w:rsidP="00D53740">
            <w:pPr>
              <w:jc w:val="both"/>
              <w:rPr>
                <w:rFonts w:eastAsia="Calibri"/>
                <w:sz w:val="20"/>
              </w:rPr>
            </w:pPr>
            <w:r w:rsidRPr="00354440">
              <w:rPr>
                <w:rFonts w:eastAsia="Calibri"/>
                <w:sz w:val="20"/>
              </w:rPr>
              <w:t>2011 ONSC 2876</w:t>
            </w:r>
          </w:p>
          <w:p w:rsidR="00040D7F" w:rsidRPr="00354440" w:rsidRDefault="00040D7F" w:rsidP="00D53740">
            <w:pPr>
              <w:jc w:val="both"/>
              <w:rPr>
                <w:rFonts w:eastAsia="Calibri"/>
                <w:sz w:val="20"/>
              </w:rPr>
            </w:pPr>
          </w:p>
        </w:tc>
        <w:tc>
          <w:tcPr>
            <w:tcW w:w="243" w:type="pct"/>
          </w:tcPr>
          <w:p w:rsidR="00040D7F" w:rsidRPr="00354440" w:rsidRDefault="00040D7F" w:rsidP="00D53740">
            <w:pPr>
              <w:jc w:val="both"/>
              <w:rPr>
                <w:rFonts w:eastAsia="Calibri"/>
                <w:sz w:val="20"/>
              </w:rPr>
            </w:pPr>
          </w:p>
        </w:tc>
        <w:tc>
          <w:tcPr>
            <w:tcW w:w="2330" w:type="pct"/>
          </w:tcPr>
          <w:p w:rsidR="00040D7F" w:rsidRPr="00354440" w:rsidRDefault="00040D7F" w:rsidP="00D53740">
            <w:pPr>
              <w:jc w:val="both"/>
              <w:rPr>
                <w:rFonts w:eastAsia="Calibri"/>
                <w:sz w:val="20"/>
              </w:rPr>
            </w:pPr>
            <w:r w:rsidRPr="00354440">
              <w:rPr>
                <w:rFonts w:eastAsia="Calibri"/>
                <w:sz w:val="20"/>
              </w:rPr>
              <w:t>Appeal dismissed</w:t>
            </w:r>
          </w:p>
          <w:p w:rsidR="00040D7F" w:rsidRPr="00354440" w:rsidRDefault="00040D7F" w:rsidP="00D53740">
            <w:pPr>
              <w:jc w:val="both"/>
              <w:rPr>
                <w:rFonts w:eastAsia="Calibri"/>
                <w:sz w:val="20"/>
              </w:rPr>
            </w:pPr>
          </w:p>
        </w:tc>
      </w:tr>
      <w:tr w:rsidR="00040D7F" w:rsidRPr="00354440" w:rsidTr="00D53740">
        <w:tc>
          <w:tcPr>
            <w:tcW w:w="2427" w:type="pct"/>
          </w:tcPr>
          <w:p w:rsidR="00040D7F" w:rsidRPr="00354440" w:rsidRDefault="00040D7F" w:rsidP="00D53740">
            <w:pPr>
              <w:jc w:val="both"/>
              <w:rPr>
                <w:rFonts w:eastAsia="Calibri"/>
                <w:sz w:val="20"/>
              </w:rPr>
            </w:pPr>
            <w:r w:rsidRPr="00354440">
              <w:rPr>
                <w:rFonts w:eastAsia="Calibri"/>
                <w:sz w:val="20"/>
              </w:rPr>
              <w:t>June 22, 2012</w:t>
            </w:r>
          </w:p>
          <w:p w:rsidR="00040D7F" w:rsidRPr="00354440" w:rsidRDefault="00040D7F" w:rsidP="00D53740">
            <w:pPr>
              <w:jc w:val="both"/>
              <w:rPr>
                <w:rFonts w:eastAsia="Calibri"/>
                <w:sz w:val="20"/>
              </w:rPr>
            </w:pPr>
            <w:r w:rsidRPr="00354440">
              <w:rPr>
                <w:rFonts w:eastAsia="Calibri"/>
                <w:sz w:val="20"/>
              </w:rPr>
              <w:t>Court of Appeal for Ontario</w:t>
            </w:r>
          </w:p>
          <w:p w:rsidR="00040D7F" w:rsidRPr="00354440" w:rsidRDefault="00040D7F" w:rsidP="00D53740">
            <w:pPr>
              <w:jc w:val="both"/>
              <w:rPr>
                <w:rFonts w:eastAsia="Calibri"/>
                <w:sz w:val="20"/>
              </w:rPr>
            </w:pPr>
            <w:r w:rsidRPr="00354440">
              <w:rPr>
                <w:rFonts w:eastAsia="Calibri"/>
                <w:sz w:val="20"/>
              </w:rPr>
              <w:t>(Doherty, LaForme JJ.A. and Turnbull J.</w:t>
            </w:r>
          </w:p>
          <w:p w:rsidR="00040D7F" w:rsidRPr="00354440" w:rsidRDefault="00040D7F" w:rsidP="00D53740">
            <w:pPr>
              <w:jc w:val="both"/>
              <w:rPr>
                <w:rFonts w:eastAsia="Calibri"/>
                <w:sz w:val="20"/>
              </w:rPr>
            </w:pPr>
            <w:r w:rsidRPr="00354440">
              <w:rPr>
                <w:rFonts w:eastAsia="Calibri"/>
                <w:sz w:val="20"/>
              </w:rPr>
              <w:t>(ad hoc))</w:t>
            </w:r>
          </w:p>
          <w:p w:rsidR="00040D7F" w:rsidRPr="00354440" w:rsidRDefault="00040D7F" w:rsidP="00D53740">
            <w:pPr>
              <w:jc w:val="both"/>
              <w:rPr>
                <w:rFonts w:eastAsia="Calibri"/>
                <w:sz w:val="20"/>
              </w:rPr>
            </w:pPr>
            <w:r w:rsidRPr="00354440">
              <w:rPr>
                <w:rFonts w:eastAsia="Calibri"/>
                <w:sz w:val="20"/>
              </w:rPr>
              <w:t>2012 ONCA 431</w:t>
            </w:r>
          </w:p>
          <w:p w:rsidR="00040D7F" w:rsidRPr="00354440" w:rsidRDefault="00040D7F" w:rsidP="00D53740">
            <w:pPr>
              <w:jc w:val="both"/>
              <w:rPr>
                <w:rFonts w:eastAsia="Calibri"/>
                <w:sz w:val="20"/>
              </w:rPr>
            </w:pPr>
          </w:p>
        </w:tc>
        <w:tc>
          <w:tcPr>
            <w:tcW w:w="243" w:type="pct"/>
          </w:tcPr>
          <w:p w:rsidR="00040D7F" w:rsidRPr="00354440" w:rsidRDefault="00040D7F" w:rsidP="00D53740">
            <w:pPr>
              <w:jc w:val="both"/>
              <w:rPr>
                <w:rFonts w:eastAsia="Calibri"/>
                <w:sz w:val="20"/>
              </w:rPr>
            </w:pPr>
          </w:p>
        </w:tc>
        <w:tc>
          <w:tcPr>
            <w:tcW w:w="2330" w:type="pct"/>
          </w:tcPr>
          <w:p w:rsidR="00040D7F" w:rsidRPr="00354440" w:rsidRDefault="00040D7F" w:rsidP="00D53740">
            <w:pPr>
              <w:jc w:val="both"/>
              <w:rPr>
                <w:rFonts w:eastAsia="Calibri"/>
                <w:sz w:val="20"/>
              </w:rPr>
            </w:pPr>
            <w:r w:rsidRPr="00354440">
              <w:rPr>
                <w:rFonts w:eastAsia="Calibri"/>
                <w:sz w:val="20"/>
              </w:rPr>
              <w:t>Appeal allowed</w:t>
            </w:r>
          </w:p>
          <w:p w:rsidR="00040D7F" w:rsidRPr="00354440" w:rsidRDefault="00040D7F" w:rsidP="00D53740">
            <w:pPr>
              <w:jc w:val="both"/>
              <w:rPr>
                <w:rFonts w:eastAsia="Calibri"/>
                <w:sz w:val="20"/>
              </w:rPr>
            </w:pPr>
          </w:p>
        </w:tc>
      </w:tr>
      <w:tr w:rsidR="00040D7F" w:rsidRPr="00354440" w:rsidTr="00D53740">
        <w:tc>
          <w:tcPr>
            <w:tcW w:w="2427" w:type="pct"/>
          </w:tcPr>
          <w:p w:rsidR="00040D7F" w:rsidRPr="00354440" w:rsidRDefault="00040D7F" w:rsidP="00D53740">
            <w:pPr>
              <w:jc w:val="both"/>
              <w:rPr>
                <w:rFonts w:eastAsia="Calibri"/>
                <w:sz w:val="20"/>
              </w:rPr>
            </w:pPr>
            <w:r w:rsidRPr="00354440">
              <w:rPr>
                <w:rFonts w:eastAsia="Calibri"/>
                <w:sz w:val="20"/>
              </w:rPr>
              <w:t>September 13, 2012</w:t>
            </w:r>
          </w:p>
          <w:p w:rsidR="00040D7F" w:rsidRPr="00354440" w:rsidRDefault="00040D7F" w:rsidP="00D53740">
            <w:pPr>
              <w:jc w:val="both"/>
              <w:rPr>
                <w:rFonts w:eastAsia="Calibri"/>
                <w:sz w:val="20"/>
              </w:rPr>
            </w:pPr>
            <w:r w:rsidRPr="00354440">
              <w:rPr>
                <w:rFonts w:eastAsia="Calibri"/>
                <w:sz w:val="20"/>
              </w:rPr>
              <w:t>Court of Appeal for Ontario</w:t>
            </w:r>
          </w:p>
          <w:p w:rsidR="00040D7F" w:rsidRPr="00354440" w:rsidRDefault="00040D7F" w:rsidP="00D53740">
            <w:pPr>
              <w:jc w:val="both"/>
              <w:rPr>
                <w:rFonts w:eastAsia="Calibri"/>
                <w:sz w:val="20"/>
              </w:rPr>
            </w:pPr>
            <w:r w:rsidRPr="00354440">
              <w:rPr>
                <w:rFonts w:eastAsia="Calibri"/>
                <w:sz w:val="20"/>
              </w:rPr>
              <w:t>(Doherty, LaForme JJ.A. and Turnbull J.</w:t>
            </w:r>
          </w:p>
          <w:p w:rsidR="00040D7F" w:rsidRPr="00354440" w:rsidRDefault="00040D7F" w:rsidP="00D53740">
            <w:pPr>
              <w:jc w:val="both"/>
              <w:rPr>
                <w:rFonts w:eastAsia="Calibri"/>
                <w:sz w:val="20"/>
              </w:rPr>
            </w:pPr>
            <w:r w:rsidRPr="00354440">
              <w:rPr>
                <w:rFonts w:eastAsia="Calibri"/>
                <w:sz w:val="20"/>
              </w:rPr>
              <w:t>(ad hoc))</w:t>
            </w:r>
          </w:p>
          <w:p w:rsidR="00040D7F" w:rsidRPr="00354440" w:rsidRDefault="00040D7F" w:rsidP="00D53740">
            <w:pPr>
              <w:jc w:val="both"/>
              <w:rPr>
                <w:rFonts w:eastAsia="Calibri"/>
                <w:sz w:val="20"/>
              </w:rPr>
            </w:pPr>
            <w:r w:rsidRPr="00354440">
              <w:rPr>
                <w:rFonts w:eastAsia="Calibri"/>
                <w:sz w:val="20"/>
              </w:rPr>
              <w:t>2012 ONCA 601</w:t>
            </w:r>
          </w:p>
          <w:p w:rsidR="00040D7F" w:rsidRPr="00354440" w:rsidRDefault="00040D7F" w:rsidP="00D53740">
            <w:pPr>
              <w:jc w:val="both"/>
              <w:rPr>
                <w:rFonts w:eastAsia="Calibri"/>
                <w:sz w:val="20"/>
              </w:rPr>
            </w:pPr>
          </w:p>
        </w:tc>
        <w:tc>
          <w:tcPr>
            <w:tcW w:w="243" w:type="pct"/>
          </w:tcPr>
          <w:p w:rsidR="00040D7F" w:rsidRPr="00354440" w:rsidRDefault="00040D7F" w:rsidP="00D53740">
            <w:pPr>
              <w:jc w:val="both"/>
              <w:rPr>
                <w:rFonts w:eastAsia="Calibri"/>
                <w:sz w:val="20"/>
              </w:rPr>
            </w:pPr>
          </w:p>
        </w:tc>
        <w:tc>
          <w:tcPr>
            <w:tcW w:w="2330" w:type="pct"/>
          </w:tcPr>
          <w:p w:rsidR="00040D7F" w:rsidRPr="00354440" w:rsidRDefault="00040D7F" w:rsidP="00D53740">
            <w:pPr>
              <w:jc w:val="both"/>
              <w:rPr>
                <w:rFonts w:eastAsia="Calibri"/>
                <w:sz w:val="20"/>
              </w:rPr>
            </w:pPr>
            <w:r w:rsidRPr="00354440">
              <w:rPr>
                <w:rFonts w:eastAsia="Calibri"/>
                <w:sz w:val="20"/>
              </w:rPr>
              <w:t>Respondent awarded costs of Divisional Court appeal and of proceedings in the Court of Appeal</w:t>
            </w:r>
          </w:p>
        </w:tc>
      </w:tr>
      <w:tr w:rsidR="00040D7F" w:rsidRPr="00354440" w:rsidTr="00D53740">
        <w:tc>
          <w:tcPr>
            <w:tcW w:w="2427" w:type="pct"/>
          </w:tcPr>
          <w:p w:rsidR="00040D7F" w:rsidRPr="00354440" w:rsidRDefault="00040D7F" w:rsidP="00D53740">
            <w:pPr>
              <w:jc w:val="both"/>
              <w:rPr>
                <w:rFonts w:eastAsia="Calibri"/>
                <w:sz w:val="20"/>
              </w:rPr>
            </w:pPr>
            <w:r w:rsidRPr="00354440">
              <w:rPr>
                <w:rFonts w:eastAsia="Calibri"/>
                <w:sz w:val="20"/>
              </w:rPr>
              <w:t>August 17, 2012</w:t>
            </w:r>
          </w:p>
          <w:p w:rsidR="00040D7F" w:rsidRPr="00354440" w:rsidRDefault="00040D7F" w:rsidP="00D53740">
            <w:pPr>
              <w:jc w:val="both"/>
              <w:rPr>
                <w:rFonts w:eastAsia="Calibri"/>
                <w:sz w:val="20"/>
              </w:rPr>
            </w:pPr>
            <w:r w:rsidRPr="00354440">
              <w:rPr>
                <w:rFonts w:eastAsia="Calibri"/>
                <w:sz w:val="20"/>
              </w:rPr>
              <w:t>Supreme Court of Canada</w:t>
            </w:r>
          </w:p>
          <w:p w:rsidR="00040D7F" w:rsidRPr="00354440" w:rsidRDefault="00040D7F" w:rsidP="00D53740">
            <w:pPr>
              <w:jc w:val="both"/>
              <w:rPr>
                <w:rFonts w:eastAsia="Calibri"/>
                <w:sz w:val="20"/>
              </w:rPr>
            </w:pPr>
          </w:p>
        </w:tc>
        <w:tc>
          <w:tcPr>
            <w:tcW w:w="243" w:type="pct"/>
          </w:tcPr>
          <w:p w:rsidR="00040D7F" w:rsidRPr="00354440" w:rsidRDefault="00040D7F" w:rsidP="00D53740">
            <w:pPr>
              <w:jc w:val="both"/>
              <w:rPr>
                <w:rFonts w:eastAsia="Calibri"/>
                <w:sz w:val="20"/>
              </w:rPr>
            </w:pPr>
          </w:p>
        </w:tc>
        <w:tc>
          <w:tcPr>
            <w:tcW w:w="2330" w:type="pct"/>
          </w:tcPr>
          <w:p w:rsidR="00040D7F" w:rsidRPr="00354440" w:rsidRDefault="00040D7F" w:rsidP="00D53740">
            <w:pPr>
              <w:jc w:val="both"/>
              <w:rPr>
                <w:rFonts w:eastAsia="Calibri"/>
                <w:sz w:val="20"/>
              </w:rPr>
            </w:pPr>
            <w:r w:rsidRPr="00354440">
              <w:rPr>
                <w:rFonts w:eastAsia="Calibri"/>
                <w:sz w:val="20"/>
              </w:rPr>
              <w:t>Application for leave to appeal filed</w:t>
            </w:r>
          </w:p>
          <w:p w:rsidR="00040D7F" w:rsidRPr="00354440" w:rsidRDefault="00040D7F" w:rsidP="00D53740">
            <w:pPr>
              <w:jc w:val="both"/>
              <w:rPr>
                <w:rFonts w:eastAsia="Calibri"/>
                <w:sz w:val="20"/>
              </w:rPr>
            </w:pPr>
          </w:p>
        </w:tc>
      </w:tr>
      <w:tr w:rsidR="00040D7F" w:rsidRPr="00354440" w:rsidTr="00D53740">
        <w:tc>
          <w:tcPr>
            <w:tcW w:w="2427" w:type="pct"/>
          </w:tcPr>
          <w:p w:rsidR="00040D7F" w:rsidRPr="00354440" w:rsidRDefault="00040D7F" w:rsidP="00D53740">
            <w:pPr>
              <w:jc w:val="both"/>
              <w:rPr>
                <w:rFonts w:eastAsia="Calibri"/>
                <w:sz w:val="20"/>
              </w:rPr>
            </w:pPr>
            <w:r w:rsidRPr="00354440">
              <w:rPr>
                <w:rFonts w:eastAsia="Calibri"/>
                <w:sz w:val="20"/>
              </w:rPr>
              <w:t>September 27, 2012</w:t>
            </w:r>
          </w:p>
          <w:p w:rsidR="00040D7F" w:rsidRPr="00354440" w:rsidRDefault="00040D7F" w:rsidP="00D53740">
            <w:pPr>
              <w:jc w:val="both"/>
              <w:rPr>
                <w:rFonts w:eastAsia="Calibri"/>
                <w:sz w:val="20"/>
              </w:rPr>
            </w:pPr>
            <w:r w:rsidRPr="00354440">
              <w:rPr>
                <w:rFonts w:eastAsia="Calibri"/>
                <w:sz w:val="20"/>
              </w:rPr>
              <w:t>Supreme Court of Canada</w:t>
            </w:r>
          </w:p>
        </w:tc>
        <w:tc>
          <w:tcPr>
            <w:tcW w:w="243" w:type="pct"/>
          </w:tcPr>
          <w:p w:rsidR="00040D7F" w:rsidRPr="00354440" w:rsidRDefault="00040D7F" w:rsidP="00D53740">
            <w:pPr>
              <w:jc w:val="both"/>
              <w:rPr>
                <w:rFonts w:eastAsia="Calibri"/>
                <w:sz w:val="20"/>
              </w:rPr>
            </w:pPr>
          </w:p>
        </w:tc>
        <w:tc>
          <w:tcPr>
            <w:tcW w:w="2330" w:type="pct"/>
          </w:tcPr>
          <w:p w:rsidR="00040D7F" w:rsidRPr="00354440" w:rsidRDefault="00040D7F" w:rsidP="00D53740">
            <w:pPr>
              <w:jc w:val="both"/>
              <w:rPr>
                <w:rFonts w:eastAsia="Calibri"/>
                <w:sz w:val="20"/>
              </w:rPr>
            </w:pPr>
            <w:r w:rsidRPr="00354440">
              <w:rPr>
                <w:rFonts w:eastAsia="Calibri"/>
                <w:sz w:val="20"/>
              </w:rPr>
              <w:t>Supplementary 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82"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40D7F" w:rsidRPr="001723C6" w:rsidTr="00D53740">
        <w:tc>
          <w:tcPr>
            <w:tcW w:w="5000" w:type="pct"/>
            <w:gridSpan w:val="3"/>
          </w:tcPr>
          <w:p w:rsidR="00040D7F" w:rsidRPr="00354440" w:rsidRDefault="00040D7F" w:rsidP="00D53740">
            <w:pPr>
              <w:jc w:val="both"/>
              <w:rPr>
                <w:rFonts w:eastAsia="Calibri"/>
                <w:sz w:val="20"/>
                <w:lang w:val="fr-CA"/>
              </w:rPr>
            </w:pPr>
            <w:r w:rsidRPr="00354440">
              <w:rPr>
                <w:rFonts w:eastAsia="Calibri"/>
                <w:sz w:val="20"/>
                <w:lang w:val="fr-CA"/>
              </w:rPr>
              <w:t>Expropriation — Valeur marchande du bien</w:t>
            </w:r>
            <w:r w:rsidRPr="00354440">
              <w:rPr>
                <w:rFonts w:eastAsia="Calibri"/>
                <w:sz w:val="20"/>
                <w:lang w:val="fr-CA"/>
              </w:rPr>
              <w:noBreakHyphen/>
              <w:t>fonds exproprié — Portée du régime d'expropriation — Effet préjudiciable — La Cour d'appel s’est</w:t>
            </w:r>
            <w:r w:rsidRPr="00354440">
              <w:rPr>
                <w:rFonts w:eastAsia="Calibri"/>
                <w:sz w:val="20"/>
                <w:lang w:val="fr-CA"/>
              </w:rPr>
              <w:noBreakHyphen/>
              <w:t xml:space="preserve">elle trompée dans son application du principe de l’arrêt </w:t>
            </w:r>
            <w:r w:rsidRPr="00354440">
              <w:rPr>
                <w:rFonts w:eastAsia="Calibri"/>
                <w:i/>
                <w:sz w:val="20"/>
                <w:lang w:val="fr-CA"/>
              </w:rPr>
              <w:t>Pointe Gourde</w:t>
            </w:r>
            <w:r w:rsidRPr="00354440">
              <w:rPr>
                <w:rFonts w:eastAsia="Calibri"/>
                <w:sz w:val="20"/>
                <w:lang w:val="fr-CA"/>
              </w:rPr>
              <w:t xml:space="preserve"> codifié dans la</w:t>
            </w:r>
            <w:r w:rsidRPr="00354440">
              <w:rPr>
                <w:rFonts w:eastAsia="Calibri"/>
                <w:i/>
                <w:sz w:val="20"/>
                <w:lang w:val="fr-CA"/>
              </w:rPr>
              <w:t xml:space="preserve"> Loi sur l'expropriation</w:t>
            </w:r>
            <w:r w:rsidRPr="00354440">
              <w:rPr>
                <w:rFonts w:eastAsia="Calibri"/>
                <w:sz w:val="20"/>
                <w:lang w:val="fr-CA"/>
              </w:rPr>
              <w:t xml:space="preserve"> en exigeant la prise en compte d'un énoncé de politique du gouvernement? — La Cour d'appel a</w:t>
            </w:r>
            <w:r w:rsidRPr="00354440">
              <w:rPr>
                <w:rFonts w:eastAsia="Calibri"/>
                <w:sz w:val="20"/>
                <w:lang w:val="fr-CA"/>
              </w:rPr>
              <w:noBreakHyphen/>
              <w:t>t</w:t>
            </w:r>
            <w:r w:rsidRPr="00354440">
              <w:rPr>
                <w:rFonts w:eastAsia="Calibri"/>
                <w:sz w:val="20"/>
                <w:lang w:val="fr-CA"/>
              </w:rPr>
              <w:noBreakHyphen/>
              <w:t>elle commis une erreur en modifiant de façon substantielle le droit relatif aux dommages</w:t>
            </w:r>
            <w:r w:rsidRPr="00354440">
              <w:rPr>
                <w:rFonts w:eastAsia="Calibri"/>
                <w:sz w:val="20"/>
                <w:lang w:val="fr-CA"/>
              </w:rPr>
              <w:noBreakHyphen/>
              <w:t>intérêts accordés pour effet préjudiciable? —</w:t>
            </w:r>
            <w:r w:rsidRPr="00354440">
              <w:rPr>
                <w:rFonts w:eastAsia="Calibri"/>
                <w:i/>
                <w:sz w:val="20"/>
                <w:lang w:val="fr-CA"/>
              </w:rPr>
              <w:t xml:space="preserve"> Loi sur l'expropriation</w:t>
            </w:r>
            <w:r w:rsidRPr="00354440">
              <w:rPr>
                <w:rFonts w:eastAsia="Calibri"/>
                <w:sz w:val="20"/>
                <w:lang w:val="fr-CA"/>
              </w:rPr>
              <w:t>, L.R.O. 1990, ch. E.26, al. 14(4)</w:t>
            </w:r>
            <w:r w:rsidRPr="00354440">
              <w:rPr>
                <w:rFonts w:eastAsia="Calibri"/>
                <w:i/>
                <w:sz w:val="20"/>
                <w:lang w:val="fr-CA"/>
              </w:rPr>
              <w:t>b</w:t>
            </w:r>
            <w:r w:rsidRPr="00354440">
              <w:rPr>
                <w:rFonts w:eastAsia="Calibri"/>
                <w:sz w:val="20"/>
                <w:lang w:val="fr-CA"/>
              </w:rPr>
              <w:t>).</w:t>
            </w:r>
          </w:p>
        </w:tc>
      </w:tr>
      <w:tr w:rsidR="00040D7F" w:rsidRPr="001723C6" w:rsidTr="00D53740">
        <w:tc>
          <w:tcPr>
            <w:tcW w:w="5000" w:type="pct"/>
            <w:gridSpan w:val="3"/>
          </w:tcPr>
          <w:p w:rsidR="00040D7F" w:rsidRPr="00354440" w:rsidRDefault="00040D7F" w:rsidP="00D53740">
            <w:pPr>
              <w:jc w:val="both"/>
              <w:rPr>
                <w:rFonts w:eastAsia="Calibri"/>
                <w:sz w:val="20"/>
                <w:lang w:val="fr-CA"/>
              </w:rPr>
            </w:pPr>
          </w:p>
        </w:tc>
      </w:tr>
      <w:tr w:rsidR="00040D7F" w:rsidRPr="00486CA3" w:rsidTr="00D53740">
        <w:tc>
          <w:tcPr>
            <w:tcW w:w="5000" w:type="pct"/>
            <w:gridSpan w:val="3"/>
          </w:tcPr>
          <w:p w:rsidR="00040D7F" w:rsidRPr="00354440" w:rsidRDefault="00040D7F" w:rsidP="00D53740">
            <w:pPr>
              <w:jc w:val="both"/>
              <w:rPr>
                <w:rFonts w:eastAsia="Calibri"/>
                <w:sz w:val="20"/>
                <w:lang w:val="fr-CA"/>
              </w:rPr>
            </w:pPr>
            <w:r w:rsidRPr="00354440">
              <w:rPr>
                <w:rFonts w:eastAsia="Calibri"/>
                <w:sz w:val="20"/>
                <w:lang w:val="fr-CA"/>
              </w:rPr>
              <w:t>Les biens</w:t>
            </w:r>
            <w:r w:rsidRPr="00354440">
              <w:rPr>
                <w:rFonts w:eastAsia="Calibri"/>
                <w:sz w:val="20"/>
                <w:lang w:val="fr-CA"/>
              </w:rPr>
              <w:noBreakHyphen/>
              <w:t>fonds des demandeurs ont été l'objet de diverses mesures gouvernementales entre 1983 et 2002, toutes destinées à conserver l'habitat naturel dans la zone et à protéger des espèces en voie de disparition ou menacées.  Les biens</w:t>
            </w:r>
            <w:r w:rsidRPr="00354440">
              <w:rPr>
                <w:rFonts w:eastAsia="Calibri"/>
                <w:sz w:val="20"/>
                <w:lang w:val="fr-CA"/>
              </w:rPr>
              <w:noBreakHyphen/>
              <w:t>fonds ont fini par être expropriés par la Ville intimée à partir de 2004. Certains biens</w:t>
            </w:r>
            <w:r w:rsidRPr="00354440">
              <w:rPr>
                <w:rFonts w:eastAsia="Calibri"/>
                <w:sz w:val="20"/>
                <w:lang w:val="fr-CA"/>
              </w:rPr>
              <w:noBreakHyphen/>
              <w:t>fonds des demandeurs n’ont pas été expropriés.  En application de la</w:t>
            </w:r>
            <w:r w:rsidRPr="00354440">
              <w:rPr>
                <w:rFonts w:eastAsia="Calibri"/>
                <w:i/>
                <w:sz w:val="20"/>
                <w:lang w:val="fr-CA"/>
              </w:rPr>
              <w:t xml:space="preserve"> Loi sur l'expropriation</w:t>
            </w:r>
            <w:r w:rsidRPr="00354440">
              <w:rPr>
                <w:rFonts w:eastAsia="Calibri"/>
                <w:sz w:val="20"/>
                <w:lang w:val="fr-CA"/>
              </w:rPr>
              <w:t>, les demandeurs ont introduit des demandes à la Commission des affaires municipales de l'Ontario, réclamant la valeur marchande des bien</w:t>
            </w:r>
            <w:r w:rsidRPr="00354440">
              <w:rPr>
                <w:rFonts w:eastAsia="Calibri"/>
                <w:sz w:val="20"/>
                <w:lang w:val="fr-CA"/>
              </w:rPr>
              <w:noBreakHyphen/>
              <w:t>fonds expropriés et des dommages</w:t>
            </w:r>
            <w:r w:rsidRPr="00354440">
              <w:rPr>
                <w:rFonts w:eastAsia="Calibri"/>
                <w:sz w:val="20"/>
                <w:lang w:val="fr-CA"/>
              </w:rPr>
              <w:noBreakHyphen/>
              <w:t>intérêts au titre de l'effet préjudiciable à l'égard des parties des biens des demandeurs qui n'ont pas été expropriés.  Pour fixer la valeur marchande, il ne peut être tenu compte de l'augmentation ou de la diminution de la valeur du bien</w:t>
            </w:r>
            <w:r w:rsidRPr="00354440">
              <w:rPr>
                <w:rFonts w:eastAsia="Calibri"/>
                <w:sz w:val="20"/>
                <w:lang w:val="fr-CA"/>
              </w:rPr>
              <w:noBreakHyphen/>
              <w:t xml:space="preserve">fonds attribuable aux mesures gouvernementales qui se sont soldées par l'expropriation.  </w:t>
            </w:r>
          </w:p>
          <w:p w:rsidR="00040D7F" w:rsidRPr="00354440" w:rsidRDefault="00040D7F" w:rsidP="00D53740">
            <w:pPr>
              <w:jc w:val="both"/>
              <w:rPr>
                <w:rFonts w:eastAsia="Calibri"/>
                <w:sz w:val="20"/>
                <w:lang w:val="fr-CA"/>
              </w:rPr>
            </w:pPr>
          </w:p>
          <w:p w:rsidR="00040D7F" w:rsidRPr="00354440" w:rsidRDefault="00040D7F" w:rsidP="00D53740">
            <w:pPr>
              <w:jc w:val="both"/>
              <w:rPr>
                <w:rFonts w:eastAsia="Calibri"/>
                <w:sz w:val="20"/>
                <w:lang w:val="fr-CA"/>
              </w:rPr>
            </w:pPr>
            <w:r w:rsidRPr="00354440">
              <w:rPr>
                <w:rFonts w:eastAsia="Calibri"/>
                <w:sz w:val="20"/>
                <w:lang w:val="fr-CA"/>
              </w:rPr>
              <w:t>La Commission a statué que le processus d'identification et de désignation entrepris en 1983 avait mené à l'expropriation.  Elle a fini par ordonner à la Ville de payer aux demandeurs la somme de 3 771 384 $ pour la valeur marchande des biens expropriés et la somme de 767 000 $ pour perte de la valeur de la partie restante des biens.  La Cour divisionnaire, dans une décision majoritaire, appliquant la norme de contrôle du caractère raisonnable, a confirmé la décision de la Commission dans son intégralité.  La Cour d'appel a accueilli l'appel de la Ville intimée.  Elle a annulé l'ordonnance de la Cour divisionnaire et l'ordonnance de la Commission et a ordonné la tenue d'une nouvelle audience devant une autre formation de la Commission.</w:t>
            </w:r>
          </w:p>
          <w:p w:rsidR="00040D7F" w:rsidRPr="00354440" w:rsidRDefault="00040D7F" w:rsidP="00D53740">
            <w:pPr>
              <w:jc w:val="both"/>
              <w:rPr>
                <w:rFonts w:eastAsia="Calibri"/>
                <w:sz w:val="20"/>
                <w:lang w:val="fr-CA"/>
              </w:rPr>
            </w:pPr>
          </w:p>
        </w:tc>
      </w:tr>
      <w:tr w:rsidR="00040D7F" w:rsidRPr="00354440" w:rsidTr="00D53740">
        <w:tc>
          <w:tcPr>
            <w:tcW w:w="2427" w:type="pct"/>
          </w:tcPr>
          <w:p w:rsidR="00040D7F" w:rsidRPr="00354440" w:rsidRDefault="00040D7F" w:rsidP="00D53740">
            <w:pPr>
              <w:jc w:val="both"/>
              <w:rPr>
                <w:rFonts w:eastAsia="Calibri"/>
                <w:sz w:val="20"/>
                <w:lang w:val="fr-CA"/>
              </w:rPr>
            </w:pPr>
            <w:r w:rsidRPr="00354440">
              <w:rPr>
                <w:rFonts w:eastAsia="Calibri"/>
                <w:sz w:val="20"/>
                <w:lang w:val="fr-CA"/>
              </w:rPr>
              <w:t>16 mai 2011</w:t>
            </w:r>
          </w:p>
          <w:p w:rsidR="00040D7F" w:rsidRPr="00354440" w:rsidRDefault="00040D7F" w:rsidP="00D53740">
            <w:pPr>
              <w:jc w:val="both"/>
              <w:rPr>
                <w:rFonts w:eastAsia="Calibri"/>
                <w:sz w:val="20"/>
                <w:lang w:val="fr-CA"/>
              </w:rPr>
            </w:pPr>
            <w:r w:rsidRPr="00354440">
              <w:rPr>
                <w:rFonts w:eastAsia="Calibri"/>
                <w:sz w:val="20"/>
                <w:lang w:val="fr-CA"/>
              </w:rPr>
              <w:t>Cour supérieure de justice de l'Ontario,</w:t>
            </w:r>
          </w:p>
          <w:p w:rsidR="00040D7F" w:rsidRPr="00354440" w:rsidRDefault="00040D7F" w:rsidP="00D53740">
            <w:pPr>
              <w:jc w:val="both"/>
              <w:rPr>
                <w:rFonts w:eastAsia="Calibri"/>
                <w:sz w:val="20"/>
                <w:lang w:val="fr-CA"/>
              </w:rPr>
            </w:pPr>
            <w:r w:rsidRPr="00354440">
              <w:rPr>
                <w:rFonts w:eastAsia="Calibri"/>
                <w:sz w:val="20"/>
                <w:lang w:val="fr-CA"/>
              </w:rPr>
              <w:t xml:space="preserve">Cour divisionnaire </w:t>
            </w:r>
          </w:p>
          <w:p w:rsidR="00040D7F" w:rsidRPr="00354440" w:rsidRDefault="00040D7F" w:rsidP="00D53740">
            <w:pPr>
              <w:jc w:val="both"/>
              <w:rPr>
                <w:rFonts w:eastAsia="Calibri"/>
                <w:sz w:val="20"/>
                <w:lang w:val="fr-CA"/>
              </w:rPr>
            </w:pPr>
            <w:r w:rsidRPr="00354440">
              <w:rPr>
                <w:rFonts w:eastAsia="Calibri"/>
                <w:sz w:val="20"/>
                <w:lang w:val="fr-CA"/>
              </w:rPr>
              <w:t xml:space="preserve">(Juges Sachs (dissidente), Herman et Harvison </w:t>
            </w:r>
          </w:p>
          <w:p w:rsidR="00040D7F" w:rsidRPr="00354440" w:rsidRDefault="00040D7F" w:rsidP="00D53740">
            <w:pPr>
              <w:jc w:val="both"/>
              <w:rPr>
                <w:rFonts w:eastAsia="Calibri"/>
                <w:sz w:val="20"/>
                <w:lang w:val="fr-CA"/>
              </w:rPr>
            </w:pPr>
            <w:r w:rsidRPr="00354440">
              <w:rPr>
                <w:rFonts w:eastAsia="Calibri"/>
                <w:sz w:val="20"/>
                <w:lang w:val="fr-CA"/>
              </w:rPr>
              <w:t>Young)</w:t>
            </w:r>
          </w:p>
          <w:p w:rsidR="00040D7F" w:rsidRPr="00354440" w:rsidRDefault="00040D7F" w:rsidP="00D53740">
            <w:pPr>
              <w:jc w:val="both"/>
              <w:rPr>
                <w:rFonts w:eastAsia="Calibri"/>
                <w:sz w:val="20"/>
                <w:lang w:val="fr-CA"/>
              </w:rPr>
            </w:pPr>
            <w:r w:rsidRPr="00354440">
              <w:rPr>
                <w:rFonts w:eastAsia="Calibri"/>
                <w:sz w:val="20"/>
                <w:lang w:val="fr-CA"/>
              </w:rPr>
              <w:t>2011 ONSC 2876</w:t>
            </w:r>
          </w:p>
          <w:p w:rsidR="00040D7F" w:rsidRPr="00354440" w:rsidRDefault="00040D7F" w:rsidP="00D53740">
            <w:pPr>
              <w:jc w:val="both"/>
              <w:rPr>
                <w:rFonts w:eastAsia="Calibri"/>
                <w:sz w:val="20"/>
                <w:lang w:val="fr-CA"/>
              </w:rPr>
            </w:pPr>
          </w:p>
        </w:tc>
        <w:tc>
          <w:tcPr>
            <w:tcW w:w="243" w:type="pct"/>
          </w:tcPr>
          <w:p w:rsidR="00040D7F" w:rsidRPr="00354440" w:rsidRDefault="00040D7F" w:rsidP="00D53740">
            <w:pPr>
              <w:jc w:val="both"/>
              <w:rPr>
                <w:rFonts w:eastAsia="Calibri"/>
                <w:sz w:val="20"/>
                <w:lang w:val="fr-CA"/>
              </w:rPr>
            </w:pPr>
          </w:p>
        </w:tc>
        <w:tc>
          <w:tcPr>
            <w:tcW w:w="2330" w:type="pct"/>
          </w:tcPr>
          <w:p w:rsidR="00040D7F" w:rsidRPr="00354440" w:rsidRDefault="00040D7F" w:rsidP="00D53740">
            <w:pPr>
              <w:jc w:val="both"/>
              <w:rPr>
                <w:rFonts w:eastAsia="Calibri"/>
                <w:sz w:val="20"/>
                <w:lang w:val="fr-CA"/>
              </w:rPr>
            </w:pPr>
            <w:r w:rsidRPr="00354440">
              <w:rPr>
                <w:rFonts w:eastAsia="Calibri"/>
                <w:sz w:val="20"/>
                <w:lang w:val="fr-CA"/>
              </w:rPr>
              <w:t>Appel rejeté</w:t>
            </w:r>
          </w:p>
          <w:p w:rsidR="00040D7F" w:rsidRPr="00354440" w:rsidRDefault="00040D7F" w:rsidP="00D53740">
            <w:pPr>
              <w:jc w:val="both"/>
              <w:rPr>
                <w:rFonts w:eastAsia="Calibri"/>
                <w:sz w:val="20"/>
                <w:lang w:val="fr-CA"/>
              </w:rPr>
            </w:pPr>
          </w:p>
        </w:tc>
      </w:tr>
      <w:tr w:rsidR="00040D7F" w:rsidRPr="00354440" w:rsidTr="00D53740">
        <w:tc>
          <w:tcPr>
            <w:tcW w:w="2427" w:type="pct"/>
          </w:tcPr>
          <w:p w:rsidR="00040D7F" w:rsidRPr="00354440" w:rsidRDefault="00040D7F" w:rsidP="00D53740">
            <w:pPr>
              <w:jc w:val="both"/>
              <w:rPr>
                <w:rFonts w:eastAsia="Calibri"/>
                <w:sz w:val="20"/>
                <w:lang w:val="fr-CA"/>
              </w:rPr>
            </w:pPr>
            <w:r w:rsidRPr="00354440">
              <w:rPr>
                <w:rFonts w:eastAsia="Calibri"/>
                <w:sz w:val="20"/>
                <w:lang w:val="fr-CA"/>
              </w:rPr>
              <w:t>22 juin 2012</w:t>
            </w:r>
          </w:p>
          <w:p w:rsidR="00040D7F" w:rsidRPr="00354440" w:rsidRDefault="00040D7F" w:rsidP="00D53740">
            <w:pPr>
              <w:jc w:val="both"/>
              <w:rPr>
                <w:rFonts w:eastAsia="Calibri"/>
                <w:sz w:val="20"/>
                <w:lang w:val="fr-CA"/>
              </w:rPr>
            </w:pPr>
            <w:r w:rsidRPr="00354440">
              <w:rPr>
                <w:rFonts w:eastAsia="Calibri"/>
                <w:sz w:val="20"/>
                <w:lang w:val="fr-CA"/>
              </w:rPr>
              <w:t xml:space="preserve">Cour d'appel de l'Ontario </w:t>
            </w:r>
          </w:p>
          <w:p w:rsidR="00040D7F" w:rsidRPr="00354440" w:rsidRDefault="00040D7F" w:rsidP="00D53740">
            <w:pPr>
              <w:jc w:val="both"/>
              <w:rPr>
                <w:rFonts w:eastAsia="Calibri"/>
                <w:sz w:val="20"/>
                <w:lang w:val="fr-CA"/>
              </w:rPr>
            </w:pPr>
            <w:r w:rsidRPr="00354440">
              <w:rPr>
                <w:rFonts w:eastAsia="Calibri"/>
                <w:sz w:val="20"/>
                <w:lang w:val="fr-CA"/>
              </w:rPr>
              <w:t>(Juges Doherty, LaForme et Turnbull</w:t>
            </w:r>
          </w:p>
          <w:p w:rsidR="00040D7F" w:rsidRPr="00354440" w:rsidRDefault="00040D7F" w:rsidP="00D53740">
            <w:pPr>
              <w:jc w:val="both"/>
              <w:rPr>
                <w:rFonts w:eastAsia="Calibri"/>
                <w:sz w:val="20"/>
                <w:lang w:val="fr-CA"/>
              </w:rPr>
            </w:pPr>
            <w:r w:rsidRPr="00354440">
              <w:rPr>
                <w:rFonts w:eastAsia="Calibri"/>
                <w:sz w:val="20"/>
                <w:lang w:val="fr-CA"/>
              </w:rPr>
              <w:t>(</w:t>
            </w:r>
            <w:r w:rsidRPr="00354440">
              <w:rPr>
                <w:rFonts w:eastAsia="Calibri"/>
                <w:i/>
                <w:sz w:val="20"/>
                <w:lang w:val="fr-CA"/>
              </w:rPr>
              <w:t>ad hoc</w:t>
            </w:r>
            <w:r w:rsidRPr="00354440">
              <w:rPr>
                <w:rFonts w:eastAsia="Calibri"/>
                <w:sz w:val="20"/>
                <w:lang w:val="fr-CA"/>
              </w:rPr>
              <w:t>))</w:t>
            </w:r>
          </w:p>
          <w:p w:rsidR="00040D7F" w:rsidRPr="00354440" w:rsidRDefault="00040D7F" w:rsidP="00D53740">
            <w:pPr>
              <w:jc w:val="both"/>
              <w:rPr>
                <w:rFonts w:eastAsia="Calibri"/>
                <w:sz w:val="20"/>
                <w:lang w:val="fr-CA"/>
              </w:rPr>
            </w:pPr>
            <w:r w:rsidRPr="00354440">
              <w:rPr>
                <w:rFonts w:eastAsia="Calibri"/>
                <w:sz w:val="20"/>
                <w:lang w:val="fr-CA"/>
              </w:rPr>
              <w:t>2012 ONCA 431</w:t>
            </w:r>
          </w:p>
          <w:p w:rsidR="00040D7F" w:rsidRPr="00354440" w:rsidRDefault="00040D7F" w:rsidP="00D53740">
            <w:pPr>
              <w:jc w:val="both"/>
              <w:rPr>
                <w:rFonts w:eastAsia="Calibri"/>
                <w:sz w:val="20"/>
                <w:lang w:val="fr-CA"/>
              </w:rPr>
            </w:pPr>
          </w:p>
        </w:tc>
        <w:tc>
          <w:tcPr>
            <w:tcW w:w="243" w:type="pct"/>
          </w:tcPr>
          <w:p w:rsidR="00040D7F" w:rsidRPr="00354440" w:rsidRDefault="00040D7F" w:rsidP="00D53740">
            <w:pPr>
              <w:jc w:val="both"/>
              <w:rPr>
                <w:rFonts w:eastAsia="Calibri"/>
                <w:sz w:val="20"/>
                <w:lang w:val="fr-CA"/>
              </w:rPr>
            </w:pPr>
          </w:p>
        </w:tc>
        <w:tc>
          <w:tcPr>
            <w:tcW w:w="2330" w:type="pct"/>
          </w:tcPr>
          <w:p w:rsidR="00040D7F" w:rsidRPr="00354440" w:rsidRDefault="00040D7F" w:rsidP="00D53740">
            <w:pPr>
              <w:jc w:val="both"/>
              <w:rPr>
                <w:rFonts w:eastAsia="Calibri"/>
                <w:sz w:val="20"/>
                <w:lang w:val="fr-CA"/>
              </w:rPr>
            </w:pPr>
            <w:r w:rsidRPr="00354440">
              <w:rPr>
                <w:rFonts w:eastAsia="Calibri"/>
                <w:sz w:val="20"/>
                <w:lang w:val="fr-CA"/>
              </w:rPr>
              <w:t>Appel accueilli</w:t>
            </w:r>
          </w:p>
          <w:p w:rsidR="00040D7F" w:rsidRPr="00354440" w:rsidRDefault="00040D7F" w:rsidP="00D53740">
            <w:pPr>
              <w:jc w:val="both"/>
              <w:rPr>
                <w:rFonts w:eastAsia="Calibri"/>
                <w:sz w:val="20"/>
                <w:lang w:val="fr-CA"/>
              </w:rPr>
            </w:pPr>
          </w:p>
        </w:tc>
      </w:tr>
      <w:tr w:rsidR="00040D7F" w:rsidRPr="00486CA3" w:rsidTr="00D53740">
        <w:tc>
          <w:tcPr>
            <w:tcW w:w="2427" w:type="pct"/>
          </w:tcPr>
          <w:p w:rsidR="00040D7F" w:rsidRPr="00354440" w:rsidRDefault="00040D7F" w:rsidP="00D53740">
            <w:pPr>
              <w:jc w:val="both"/>
              <w:rPr>
                <w:rFonts w:eastAsia="Calibri"/>
                <w:sz w:val="20"/>
                <w:lang w:val="fr-CA"/>
              </w:rPr>
            </w:pPr>
            <w:r w:rsidRPr="00354440">
              <w:rPr>
                <w:rFonts w:eastAsia="Calibri"/>
                <w:sz w:val="20"/>
                <w:lang w:val="fr-CA"/>
              </w:rPr>
              <w:t>13 septembre 2012</w:t>
            </w:r>
          </w:p>
          <w:p w:rsidR="00040D7F" w:rsidRPr="00354440" w:rsidRDefault="00040D7F" w:rsidP="00D53740">
            <w:pPr>
              <w:jc w:val="both"/>
              <w:rPr>
                <w:rFonts w:eastAsia="Calibri"/>
                <w:sz w:val="20"/>
                <w:lang w:val="fr-CA"/>
              </w:rPr>
            </w:pPr>
            <w:r w:rsidRPr="00354440">
              <w:rPr>
                <w:rFonts w:eastAsia="Calibri"/>
                <w:sz w:val="20"/>
                <w:lang w:val="fr-CA"/>
              </w:rPr>
              <w:t xml:space="preserve">Cour d'appel de l'Ontario </w:t>
            </w:r>
          </w:p>
          <w:p w:rsidR="00040D7F" w:rsidRPr="00354440" w:rsidRDefault="00040D7F" w:rsidP="00D53740">
            <w:pPr>
              <w:jc w:val="both"/>
              <w:rPr>
                <w:rFonts w:eastAsia="Calibri"/>
                <w:sz w:val="20"/>
                <w:lang w:val="fr-CA"/>
              </w:rPr>
            </w:pPr>
            <w:r w:rsidRPr="00354440">
              <w:rPr>
                <w:rFonts w:eastAsia="Calibri"/>
                <w:sz w:val="20"/>
                <w:lang w:val="fr-CA"/>
              </w:rPr>
              <w:t>(Juges Doherty, LaForme et Turnbull (ad hoc))</w:t>
            </w:r>
          </w:p>
          <w:p w:rsidR="00040D7F" w:rsidRPr="00354440" w:rsidRDefault="00040D7F" w:rsidP="00D53740">
            <w:pPr>
              <w:jc w:val="both"/>
              <w:rPr>
                <w:rFonts w:eastAsia="Calibri"/>
                <w:sz w:val="20"/>
                <w:lang w:val="fr-CA"/>
              </w:rPr>
            </w:pPr>
            <w:r w:rsidRPr="00354440">
              <w:rPr>
                <w:rFonts w:eastAsia="Calibri"/>
                <w:sz w:val="20"/>
                <w:lang w:val="fr-CA"/>
              </w:rPr>
              <w:t>2012 ONCA 601</w:t>
            </w:r>
          </w:p>
          <w:p w:rsidR="00040D7F" w:rsidRPr="00354440" w:rsidRDefault="00040D7F" w:rsidP="00D53740">
            <w:pPr>
              <w:jc w:val="both"/>
              <w:rPr>
                <w:rFonts w:eastAsia="Calibri"/>
                <w:sz w:val="20"/>
                <w:lang w:val="fr-CA"/>
              </w:rPr>
            </w:pPr>
          </w:p>
        </w:tc>
        <w:tc>
          <w:tcPr>
            <w:tcW w:w="243" w:type="pct"/>
          </w:tcPr>
          <w:p w:rsidR="00040D7F" w:rsidRPr="00354440" w:rsidRDefault="00040D7F" w:rsidP="00D53740">
            <w:pPr>
              <w:jc w:val="both"/>
              <w:rPr>
                <w:rFonts w:eastAsia="Calibri"/>
                <w:sz w:val="20"/>
                <w:lang w:val="fr-CA"/>
              </w:rPr>
            </w:pPr>
          </w:p>
        </w:tc>
        <w:tc>
          <w:tcPr>
            <w:tcW w:w="2330" w:type="pct"/>
          </w:tcPr>
          <w:p w:rsidR="00040D7F" w:rsidRPr="00354440" w:rsidRDefault="00040D7F" w:rsidP="00D53740">
            <w:pPr>
              <w:jc w:val="both"/>
              <w:rPr>
                <w:rFonts w:eastAsia="Calibri"/>
                <w:sz w:val="20"/>
                <w:lang w:val="fr-CA"/>
              </w:rPr>
            </w:pPr>
            <w:r w:rsidRPr="00354440">
              <w:rPr>
                <w:rFonts w:eastAsia="Calibri"/>
                <w:sz w:val="20"/>
                <w:lang w:val="fr-CA"/>
              </w:rPr>
              <w:t xml:space="preserve">L'intimée se voit accorder les dépens de l'appel à la Cour divisionnaire et de l'instance en Cour d'appel </w:t>
            </w:r>
          </w:p>
        </w:tc>
      </w:tr>
      <w:tr w:rsidR="00040D7F" w:rsidRPr="00354440" w:rsidTr="00D53740">
        <w:tc>
          <w:tcPr>
            <w:tcW w:w="2427" w:type="pct"/>
          </w:tcPr>
          <w:p w:rsidR="00040D7F" w:rsidRPr="00354440" w:rsidRDefault="00040D7F" w:rsidP="00D53740">
            <w:pPr>
              <w:jc w:val="both"/>
              <w:rPr>
                <w:rFonts w:eastAsia="Calibri"/>
                <w:sz w:val="20"/>
                <w:lang w:val="fr-CA"/>
              </w:rPr>
            </w:pPr>
            <w:r w:rsidRPr="00354440">
              <w:rPr>
                <w:rFonts w:eastAsia="Calibri"/>
                <w:sz w:val="20"/>
                <w:lang w:val="fr-CA"/>
              </w:rPr>
              <w:t>17 août 2012</w:t>
            </w:r>
          </w:p>
          <w:p w:rsidR="00040D7F" w:rsidRPr="00354440" w:rsidRDefault="00040D7F" w:rsidP="00D53740">
            <w:pPr>
              <w:jc w:val="both"/>
              <w:rPr>
                <w:rFonts w:eastAsia="Calibri"/>
                <w:sz w:val="20"/>
                <w:lang w:val="fr-CA"/>
              </w:rPr>
            </w:pPr>
            <w:r w:rsidRPr="00354440">
              <w:rPr>
                <w:rFonts w:eastAsia="Calibri"/>
                <w:sz w:val="20"/>
                <w:lang w:val="fr-CA"/>
              </w:rPr>
              <w:t>Cour suprême du Canada</w:t>
            </w:r>
          </w:p>
          <w:p w:rsidR="00040D7F" w:rsidRPr="00354440" w:rsidRDefault="00040D7F" w:rsidP="00D53740">
            <w:pPr>
              <w:jc w:val="both"/>
              <w:rPr>
                <w:rFonts w:eastAsia="Calibri"/>
                <w:sz w:val="20"/>
                <w:lang w:val="fr-CA"/>
              </w:rPr>
            </w:pPr>
          </w:p>
        </w:tc>
        <w:tc>
          <w:tcPr>
            <w:tcW w:w="243" w:type="pct"/>
          </w:tcPr>
          <w:p w:rsidR="00040D7F" w:rsidRPr="00354440" w:rsidRDefault="00040D7F" w:rsidP="00D53740">
            <w:pPr>
              <w:jc w:val="both"/>
              <w:rPr>
                <w:rFonts w:eastAsia="Calibri"/>
                <w:sz w:val="20"/>
                <w:lang w:val="fr-CA"/>
              </w:rPr>
            </w:pPr>
          </w:p>
        </w:tc>
        <w:tc>
          <w:tcPr>
            <w:tcW w:w="2330" w:type="pct"/>
          </w:tcPr>
          <w:p w:rsidR="00040D7F" w:rsidRPr="00354440" w:rsidRDefault="00040D7F" w:rsidP="00D53740">
            <w:pPr>
              <w:jc w:val="both"/>
              <w:rPr>
                <w:rFonts w:eastAsia="Calibri"/>
                <w:sz w:val="20"/>
                <w:lang w:val="fr-CA"/>
              </w:rPr>
            </w:pPr>
            <w:r w:rsidRPr="00354440">
              <w:rPr>
                <w:rFonts w:eastAsia="Calibri"/>
                <w:sz w:val="20"/>
                <w:lang w:val="fr-CA"/>
              </w:rPr>
              <w:t>Demande d'autorisation d'appel, déposée</w:t>
            </w:r>
          </w:p>
          <w:p w:rsidR="00040D7F" w:rsidRPr="00354440" w:rsidRDefault="00040D7F" w:rsidP="00D53740">
            <w:pPr>
              <w:jc w:val="both"/>
              <w:rPr>
                <w:rFonts w:eastAsia="Calibri"/>
                <w:sz w:val="20"/>
                <w:lang w:val="fr-CA"/>
              </w:rPr>
            </w:pPr>
          </w:p>
        </w:tc>
      </w:tr>
      <w:tr w:rsidR="00040D7F" w:rsidRPr="00486CA3" w:rsidTr="00D53740">
        <w:tc>
          <w:tcPr>
            <w:tcW w:w="2427" w:type="pct"/>
          </w:tcPr>
          <w:p w:rsidR="00040D7F" w:rsidRPr="00354440" w:rsidRDefault="00040D7F" w:rsidP="00D53740">
            <w:pPr>
              <w:jc w:val="both"/>
              <w:rPr>
                <w:rFonts w:eastAsia="Calibri"/>
                <w:sz w:val="20"/>
                <w:lang w:val="fr-CA"/>
              </w:rPr>
            </w:pPr>
            <w:r w:rsidRPr="00354440">
              <w:rPr>
                <w:rFonts w:eastAsia="Calibri"/>
                <w:sz w:val="20"/>
                <w:lang w:val="fr-CA"/>
              </w:rPr>
              <w:t>27 septembre 2012</w:t>
            </w:r>
          </w:p>
          <w:p w:rsidR="00040D7F" w:rsidRPr="00354440" w:rsidRDefault="00040D7F" w:rsidP="00D53740">
            <w:pPr>
              <w:jc w:val="both"/>
              <w:rPr>
                <w:rFonts w:eastAsia="Calibri"/>
                <w:sz w:val="20"/>
                <w:lang w:val="fr-CA"/>
              </w:rPr>
            </w:pPr>
            <w:r w:rsidRPr="00354440">
              <w:rPr>
                <w:rFonts w:eastAsia="Calibri"/>
                <w:sz w:val="20"/>
                <w:lang w:val="fr-CA"/>
              </w:rPr>
              <w:t>Cour suprême du Canada</w:t>
            </w:r>
          </w:p>
        </w:tc>
        <w:tc>
          <w:tcPr>
            <w:tcW w:w="243" w:type="pct"/>
          </w:tcPr>
          <w:p w:rsidR="00040D7F" w:rsidRPr="00354440" w:rsidRDefault="00040D7F" w:rsidP="00D53740">
            <w:pPr>
              <w:jc w:val="both"/>
              <w:rPr>
                <w:rFonts w:eastAsia="Calibri"/>
                <w:sz w:val="20"/>
                <w:lang w:val="fr-CA"/>
              </w:rPr>
            </w:pPr>
          </w:p>
        </w:tc>
        <w:tc>
          <w:tcPr>
            <w:tcW w:w="2330" w:type="pct"/>
          </w:tcPr>
          <w:p w:rsidR="00040D7F" w:rsidRPr="00354440" w:rsidRDefault="00040D7F" w:rsidP="00D53740">
            <w:pPr>
              <w:jc w:val="both"/>
              <w:rPr>
                <w:rFonts w:eastAsia="Calibri"/>
                <w:sz w:val="20"/>
                <w:lang w:val="fr-CA"/>
              </w:rPr>
            </w:pPr>
            <w:r w:rsidRPr="00354440">
              <w:rPr>
                <w:rFonts w:eastAsia="Calibri"/>
                <w:sz w:val="20"/>
                <w:lang w:val="fr-CA"/>
              </w:rPr>
              <w:t>Demande supplémentaire d'autorisation d'appel, déposée</w:t>
            </w:r>
          </w:p>
        </w:tc>
      </w:tr>
    </w:tbl>
    <w:p w:rsidR="00441FC4" w:rsidRPr="00040D7F" w:rsidRDefault="00441FC4" w:rsidP="00441FC4">
      <w:pPr>
        <w:rPr>
          <w:sz w:val="20"/>
          <w:szCs w:val="20"/>
          <w:lang w:val="fr-CA"/>
        </w:rPr>
      </w:pPr>
    </w:p>
    <w:p w:rsidR="00441FC4" w:rsidRDefault="00DB239D" w:rsidP="00441FC4">
      <w:pPr>
        <w:rPr>
          <w:sz w:val="20"/>
          <w:szCs w:val="20"/>
          <w:lang w:val="fr-CA"/>
        </w:rPr>
      </w:pPr>
      <w:r w:rsidRPr="00DB239D">
        <w:rPr>
          <w:sz w:val="20"/>
          <w:szCs w:val="20"/>
          <w:lang w:val="fr-CA"/>
        </w:rPr>
        <w:pict>
          <v:rect id="_x0000_i1083"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599" w:rsidRPr="004C6E6E" w:rsidTr="00066741">
        <w:trPr>
          <w:cantSplit/>
        </w:trPr>
        <w:tc>
          <w:tcPr>
            <w:tcW w:w="1458" w:type="dxa"/>
          </w:tcPr>
          <w:p w:rsidR="008A5599" w:rsidRPr="004C6E6E" w:rsidRDefault="008A5599" w:rsidP="00066741">
            <w:pPr>
              <w:rPr>
                <w:sz w:val="20"/>
                <w:szCs w:val="20"/>
              </w:rPr>
            </w:pPr>
            <w:r w:rsidRPr="004C6E6E">
              <w:rPr>
                <w:rStyle w:val="SCCFileNumberChar"/>
                <w:sz w:val="20"/>
                <w:szCs w:val="20"/>
              </w:rPr>
              <w:t>34930</w:t>
            </w:r>
          </w:p>
          <w:p w:rsidR="008A5599" w:rsidRPr="004C6E6E" w:rsidRDefault="008A5599" w:rsidP="00066741">
            <w:pPr>
              <w:rPr>
                <w:b/>
                <w:sz w:val="20"/>
                <w:szCs w:val="20"/>
                <w:lang w:val="fr-CA"/>
              </w:rPr>
            </w:pPr>
          </w:p>
        </w:tc>
        <w:tc>
          <w:tcPr>
            <w:tcW w:w="8118" w:type="dxa"/>
          </w:tcPr>
          <w:p w:rsidR="008A5599" w:rsidRPr="004C6E6E" w:rsidRDefault="008A5599" w:rsidP="00066741">
            <w:pPr>
              <w:jc w:val="both"/>
              <w:rPr>
                <w:sz w:val="20"/>
                <w:szCs w:val="20"/>
              </w:rPr>
            </w:pPr>
            <w:r w:rsidRPr="008A5599">
              <w:rPr>
                <w:rStyle w:val="SCCLsocChar"/>
                <w:sz w:val="20"/>
                <w:szCs w:val="20"/>
                <w:lang w:val="en-CA"/>
              </w:rPr>
              <w:t>Brian Conception v. Her Majesty the Queen, The Person in Charge of Centre for Addiction and Mental Health and the Person in Charge of the Mental Health Centre Penetanguishene</w:t>
            </w:r>
            <w:r w:rsidRPr="004C6E6E">
              <w:rPr>
                <w:sz w:val="20"/>
                <w:szCs w:val="20"/>
              </w:rPr>
              <w:t xml:space="preserve"> (Ont.) (Criminal) (By Leave)</w:t>
            </w:r>
          </w:p>
          <w:p w:rsidR="008A5599" w:rsidRPr="004C6E6E" w:rsidRDefault="008A5599" w:rsidP="00066741">
            <w:pPr>
              <w:jc w:val="both"/>
              <w:rPr>
                <w:sz w:val="20"/>
                <w:szCs w:val="20"/>
              </w:rPr>
            </w:pPr>
          </w:p>
        </w:tc>
      </w:tr>
      <w:tr w:rsidR="008A5599" w:rsidRPr="004C6E6E" w:rsidTr="00066741">
        <w:trPr>
          <w:cantSplit/>
        </w:trPr>
        <w:tc>
          <w:tcPr>
            <w:tcW w:w="1458" w:type="dxa"/>
          </w:tcPr>
          <w:p w:rsidR="008A5599" w:rsidRPr="004C6E6E" w:rsidRDefault="008A5599" w:rsidP="00066741">
            <w:pPr>
              <w:rPr>
                <w:sz w:val="20"/>
                <w:szCs w:val="20"/>
              </w:rPr>
            </w:pPr>
            <w:r w:rsidRPr="004C6E6E">
              <w:rPr>
                <w:sz w:val="20"/>
                <w:szCs w:val="20"/>
              </w:rPr>
              <w:t>Coram :</w:t>
            </w:r>
          </w:p>
        </w:tc>
        <w:tc>
          <w:tcPr>
            <w:tcW w:w="8118" w:type="dxa"/>
          </w:tcPr>
          <w:p w:rsidR="008A5599" w:rsidRPr="004C6E6E" w:rsidRDefault="008A5599" w:rsidP="00066741">
            <w:pPr>
              <w:rPr>
                <w:sz w:val="20"/>
                <w:szCs w:val="20"/>
              </w:rPr>
            </w:pPr>
            <w:r w:rsidRPr="008A5599">
              <w:rPr>
                <w:rStyle w:val="SCCCoramChar"/>
                <w:sz w:val="20"/>
                <w:szCs w:val="20"/>
                <w:lang w:val="en-CA"/>
              </w:rPr>
              <w:t>McLachlin C.J. and Rothstein and Moldaver JJ.</w:t>
            </w:r>
          </w:p>
          <w:p w:rsidR="008A5599" w:rsidRPr="004C6E6E" w:rsidRDefault="008A5599" w:rsidP="00066741">
            <w:pPr>
              <w:rPr>
                <w:sz w:val="20"/>
                <w:szCs w:val="20"/>
                <w:u w:val="single"/>
              </w:rPr>
            </w:pPr>
          </w:p>
        </w:tc>
      </w:tr>
      <w:tr w:rsidR="008A5599" w:rsidRPr="00486CA3" w:rsidTr="00066741">
        <w:trPr>
          <w:cantSplit/>
        </w:trPr>
        <w:tc>
          <w:tcPr>
            <w:tcW w:w="9576" w:type="dxa"/>
            <w:gridSpan w:val="2"/>
          </w:tcPr>
          <w:p w:rsidR="008A5599" w:rsidRPr="004C6E6E" w:rsidRDefault="008A5599" w:rsidP="00066741">
            <w:pPr>
              <w:pStyle w:val="SCCShortJudgment"/>
              <w:rPr>
                <w:szCs w:val="20"/>
              </w:rPr>
            </w:pPr>
            <w:r w:rsidRPr="004C6E6E">
              <w:rPr>
                <w:szCs w:val="20"/>
              </w:rPr>
              <w:t>The application for leave to appeal from the judgment of the Court of Appeal for Ontario, Number C51956, 2012 ONCA 342, dated May 24, 2012, is granted without costs.</w:t>
            </w:r>
          </w:p>
          <w:p w:rsidR="008A5599" w:rsidRPr="004C6E6E" w:rsidRDefault="008A5599" w:rsidP="00066741">
            <w:pPr>
              <w:pStyle w:val="SCCShortJudgment"/>
              <w:ind w:firstLine="0"/>
              <w:rPr>
                <w:szCs w:val="20"/>
              </w:rPr>
            </w:pPr>
          </w:p>
          <w:p w:rsidR="008A5599" w:rsidRPr="004C6E6E" w:rsidRDefault="008A5599" w:rsidP="00066741">
            <w:pPr>
              <w:pStyle w:val="SCCShortJudgment"/>
              <w:rPr>
                <w:szCs w:val="20"/>
                <w:lang w:val="fr-CA"/>
              </w:rPr>
            </w:pPr>
            <w:r w:rsidRPr="004C6E6E">
              <w:rPr>
                <w:szCs w:val="20"/>
                <w:lang w:val="fr-CA"/>
              </w:rPr>
              <w:t>La demande d’autorisation d’appel de l’arrêt de la Cour d’appel de l’Ontario, numéro C51956, 2012 ONCA 342, daté du 24 mai 2012, est accueillie sans dépens.</w:t>
            </w:r>
          </w:p>
        </w:tc>
      </w:tr>
    </w:tbl>
    <w:p w:rsidR="00441FC4" w:rsidRPr="008A5599"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53740" w:rsidRPr="00354440" w:rsidTr="00D53740">
        <w:tc>
          <w:tcPr>
            <w:tcW w:w="5000" w:type="pct"/>
            <w:gridSpan w:val="3"/>
          </w:tcPr>
          <w:p w:rsidR="00D53740" w:rsidRPr="00354440" w:rsidRDefault="00D53740" w:rsidP="00D53740">
            <w:pPr>
              <w:jc w:val="both"/>
              <w:rPr>
                <w:rFonts w:eastAsia="Calibri"/>
                <w:sz w:val="20"/>
              </w:rPr>
            </w:pPr>
            <w:r w:rsidRPr="00354440">
              <w:rPr>
                <w:rFonts w:eastAsia="Calibri"/>
                <w:i/>
                <w:sz w:val="20"/>
              </w:rPr>
              <w:t>Charter of Rights and Freedoms</w:t>
            </w:r>
            <w:r w:rsidRPr="00354440">
              <w:rPr>
                <w:rFonts w:eastAsia="Calibri"/>
                <w:sz w:val="20"/>
              </w:rPr>
              <w:t xml:space="preserve"> — Right to security of the person — Right to liberty — Fundamental justice — Treatment dispositions — Trial judge orders treatment forthwith of accused found unfit to stand trial — Commencement of treatment delayed 6 days for availability of bed — Whether s. 7 </w:t>
            </w:r>
            <w:r w:rsidRPr="00354440">
              <w:rPr>
                <w:rFonts w:eastAsia="Calibri"/>
                <w:i/>
                <w:sz w:val="20"/>
              </w:rPr>
              <w:t xml:space="preserve">Charter </w:t>
            </w:r>
            <w:r w:rsidRPr="00354440">
              <w:rPr>
                <w:rFonts w:eastAsia="Calibri"/>
                <w:sz w:val="20"/>
              </w:rPr>
              <w:t xml:space="preserve">rights of mentally disordered accused were violated by requirement  that no court shall make a treatment order without the consent of the person in charge of the hospital where the accused is to be treated — Whether order directing treatment forthwith of an accused who was declared unfit to stand trial should have been set aside on appeal because the treating facility had not provided its consent — </w:t>
            </w:r>
            <w:r w:rsidRPr="00354440">
              <w:rPr>
                <w:rFonts w:eastAsia="Calibri"/>
                <w:i/>
                <w:sz w:val="20"/>
              </w:rPr>
              <w:t>Criminal Code</w:t>
            </w:r>
            <w:r w:rsidRPr="00354440">
              <w:rPr>
                <w:rFonts w:eastAsia="Calibri"/>
                <w:sz w:val="20"/>
              </w:rPr>
              <w:t>, R.S.C. 1985, c. C</w:t>
            </w:r>
            <w:r w:rsidRPr="00354440">
              <w:rPr>
                <w:rFonts w:eastAsia="Calibri"/>
                <w:sz w:val="20"/>
              </w:rPr>
              <w:noBreakHyphen/>
              <w:t>46, ss. 672.58, 672.62(1)(</w:t>
            </w:r>
            <w:r w:rsidRPr="00354440">
              <w:rPr>
                <w:rFonts w:eastAsia="Calibri"/>
                <w:i/>
                <w:sz w:val="20"/>
              </w:rPr>
              <w:t>a</w:t>
            </w:r>
            <w:r w:rsidRPr="00354440">
              <w:rPr>
                <w:rFonts w:eastAsia="Calibri"/>
                <w:sz w:val="20"/>
              </w:rPr>
              <w:t>)</w:t>
            </w:r>
          </w:p>
        </w:tc>
      </w:tr>
      <w:tr w:rsidR="00D53740" w:rsidRPr="00354440" w:rsidTr="00D53740">
        <w:tc>
          <w:tcPr>
            <w:tcW w:w="5000" w:type="pct"/>
            <w:gridSpan w:val="3"/>
          </w:tcPr>
          <w:p w:rsidR="00D53740" w:rsidRPr="00354440" w:rsidRDefault="00D53740" w:rsidP="00D53740">
            <w:pPr>
              <w:jc w:val="both"/>
              <w:rPr>
                <w:rFonts w:eastAsia="Calibri"/>
                <w:sz w:val="20"/>
              </w:rPr>
            </w:pPr>
          </w:p>
        </w:tc>
      </w:tr>
      <w:tr w:rsidR="00D53740" w:rsidRPr="00354440" w:rsidTr="00D53740">
        <w:tc>
          <w:tcPr>
            <w:tcW w:w="5000" w:type="pct"/>
            <w:gridSpan w:val="3"/>
          </w:tcPr>
          <w:p w:rsidR="00D53740" w:rsidRPr="00354440" w:rsidRDefault="00D53740" w:rsidP="00D53740">
            <w:pPr>
              <w:jc w:val="both"/>
              <w:rPr>
                <w:rFonts w:eastAsia="Calibri"/>
                <w:sz w:val="20"/>
              </w:rPr>
            </w:pPr>
            <w:r w:rsidRPr="00354440">
              <w:rPr>
                <w:rFonts w:eastAsia="Calibri"/>
                <w:sz w:val="20"/>
              </w:rPr>
              <w:t>The applicant was charged with sexual assault.  When he appeared in court, he was in a psychotic state and was declared unfit to stand trial.  Crown counsel recommended a treatment order.  When asked about security concerns, a psychiatrist testified that treatment at Oak Ridge, a facility at the Mental Health Center Penetanguishene, would make more sense than the Center for Addiction and Mental Health or Whitby, another hospital with which he had experience.   The Crown stated that a bed would be available at Oak Ridge no later than the 19</w:t>
            </w:r>
            <w:r w:rsidRPr="00354440">
              <w:rPr>
                <w:rFonts w:eastAsia="Calibri"/>
                <w:sz w:val="20"/>
                <w:vertAlign w:val="superscript"/>
              </w:rPr>
              <w:t>th</w:t>
            </w:r>
            <w:r w:rsidRPr="00354440">
              <w:rPr>
                <w:rFonts w:eastAsia="Calibri"/>
                <w:sz w:val="20"/>
              </w:rPr>
              <w:t xml:space="preserve"> of April which was 6 days after the date of the hearing.  The hearing judge issued a “forthwith” treatment order pursuant to s. 672.58 of the </w:t>
            </w:r>
            <w:r w:rsidRPr="00354440">
              <w:rPr>
                <w:rFonts w:eastAsia="Calibri"/>
                <w:i/>
                <w:sz w:val="20"/>
              </w:rPr>
              <w:t xml:space="preserve">Criminal Code </w:t>
            </w:r>
            <w:r w:rsidRPr="00354440">
              <w:rPr>
                <w:rFonts w:eastAsia="Calibri"/>
                <w:sz w:val="20"/>
              </w:rPr>
              <w:t>directing that the applicant shall be taken directly to the Center for Addiction and Mental Health or a designate and not to a jail or correctional facility under any circumstances.  Court services delivered the applicant to the Mental Health Center Penetanguishene and left him in a hallway.  The respondent hospitals appealed the order.  Notwithstanding that the applicant thereafter was treated, eventually returned to court, and the charge stayed by the time the appeal began, the Court of Appeal proceeded to determine that ss. 672.58 and 672.62(1</w:t>
            </w:r>
            <w:proofErr w:type="gramStart"/>
            <w:r w:rsidRPr="00354440">
              <w:rPr>
                <w:rFonts w:eastAsia="Calibri"/>
                <w:sz w:val="20"/>
              </w:rPr>
              <w:t>)(</w:t>
            </w:r>
            <w:proofErr w:type="gramEnd"/>
            <w:r w:rsidRPr="00354440">
              <w:rPr>
                <w:rFonts w:eastAsia="Calibri"/>
                <w:i/>
                <w:sz w:val="20"/>
              </w:rPr>
              <w:t>a</w:t>
            </w:r>
            <w:r w:rsidRPr="00354440">
              <w:rPr>
                <w:rFonts w:eastAsia="Calibri"/>
                <w:sz w:val="20"/>
              </w:rPr>
              <w:t xml:space="preserve">) of the </w:t>
            </w:r>
            <w:r w:rsidRPr="00354440">
              <w:rPr>
                <w:rFonts w:eastAsia="Calibri"/>
                <w:i/>
                <w:sz w:val="20"/>
              </w:rPr>
              <w:t xml:space="preserve">Criminal Code </w:t>
            </w:r>
            <w:r w:rsidRPr="00354440">
              <w:rPr>
                <w:rFonts w:eastAsia="Calibri"/>
                <w:sz w:val="20"/>
              </w:rPr>
              <w:t xml:space="preserve">infringe the rights to liberty and security of the person under s. 7 of the </w:t>
            </w:r>
            <w:r w:rsidRPr="00354440">
              <w:rPr>
                <w:rFonts w:eastAsia="Calibri"/>
                <w:i/>
                <w:sz w:val="20"/>
              </w:rPr>
              <w:t>Charter</w:t>
            </w:r>
            <w:r w:rsidRPr="00354440">
              <w:rPr>
                <w:rFonts w:eastAsia="Calibri"/>
                <w:sz w:val="20"/>
              </w:rPr>
              <w:t xml:space="preserve"> but the infringement is in accordance with principles of fundamental justice.  The Court of appeal held that the respondents’ consent was not given for the treatment order as was required under 672.62(1</w:t>
            </w:r>
            <w:proofErr w:type="gramStart"/>
            <w:r w:rsidRPr="00354440">
              <w:rPr>
                <w:rFonts w:eastAsia="Calibri"/>
                <w:sz w:val="20"/>
              </w:rPr>
              <w:t>)(</w:t>
            </w:r>
            <w:proofErr w:type="gramEnd"/>
            <w:r w:rsidRPr="00354440">
              <w:rPr>
                <w:rFonts w:eastAsia="Calibri"/>
                <w:i/>
                <w:sz w:val="20"/>
              </w:rPr>
              <w:t>a</w:t>
            </w:r>
            <w:r w:rsidRPr="00354440">
              <w:rPr>
                <w:rFonts w:eastAsia="Calibri"/>
                <w:sz w:val="20"/>
              </w:rPr>
              <w:t xml:space="preserve">) of the </w:t>
            </w:r>
            <w:r w:rsidRPr="00354440">
              <w:rPr>
                <w:rFonts w:eastAsia="Calibri"/>
                <w:i/>
                <w:sz w:val="20"/>
              </w:rPr>
              <w:t xml:space="preserve">Criminal Code </w:t>
            </w:r>
            <w:r w:rsidRPr="00354440">
              <w:rPr>
                <w:rFonts w:eastAsia="Calibri"/>
                <w:sz w:val="20"/>
              </w:rPr>
              <w:t>therefore the treatment order was set aside.</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April 13, 2010</w:t>
            </w:r>
          </w:p>
          <w:p w:rsidR="00D53740" w:rsidRPr="00354440" w:rsidRDefault="00D53740" w:rsidP="00D53740">
            <w:pPr>
              <w:jc w:val="both"/>
              <w:rPr>
                <w:rFonts w:eastAsia="Calibri"/>
                <w:sz w:val="20"/>
              </w:rPr>
            </w:pPr>
            <w:r w:rsidRPr="00354440">
              <w:rPr>
                <w:rFonts w:eastAsia="Calibri"/>
                <w:sz w:val="20"/>
              </w:rPr>
              <w:t>Ontario Court of Justice</w:t>
            </w:r>
          </w:p>
          <w:p w:rsidR="00D53740" w:rsidRPr="00354440" w:rsidRDefault="00D53740" w:rsidP="00D53740">
            <w:pPr>
              <w:jc w:val="both"/>
              <w:rPr>
                <w:rFonts w:eastAsia="Calibri"/>
                <w:sz w:val="20"/>
              </w:rPr>
            </w:pPr>
            <w:r w:rsidRPr="00354440">
              <w:rPr>
                <w:rFonts w:eastAsia="Calibri"/>
                <w:sz w:val="20"/>
              </w:rPr>
              <w:t>(Hogan J.)</w:t>
            </w:r>
          </w:p>
          <w:p w:rsidR="00D53740" w:rsidRPr="00354440" w:rsidRDefault="00D53740" w:rsidP="00D53740">
            <w:pPr>
              <w:jc w:val="both"/>
              <w:rPr>
                <w:rFonts w:eastAsia="Calibri"/>
                <w:sz w:val="20"/>
              </w:rPr>
            </w:pP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Applicant declared unfit to stand trial and order issued directing treatment of applicant forthwith</w:t>
            </w: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May 24, 2012</w:t>
            </w:r>
          </w:p>
          <w:p w:rsidR="00D53740" w:rsidRPr="00354440" w:rsidRDefault="00D53740" w:rsidP="00D53740">
            <w:pPr>
              <w:jc w:val="both"/>
              <w:rPr>
                <w:rFonts w:eastAsia="Calibri"/>
                <w:sz w:val="20"/>
              </w:rPr>
            </w:pPr>
            <w:r w:rsidRPr="00354440">
              <w:rPr>
                <w:rFonts w:eastAsia="Calibri"/>
                <w:sz w:val="20"/>
              </w:rPr>
              <w:t>Court of Appeal for Ontario</w:t>
            </w:r>
          </w:p>
          <w:p w:rsidR="00D53740" w:rsidRPr="00354440" w:rsidRDefault="00D53740" w:rsidP="00D53740">
            <w:pPr>
              <w:jc w:val="both"/>
              <w:rPr>
                <w:rFonts w:eastAsia="Calibri"/>
                <w:sz w:val="20"/>
              </w:rPr>
            </w:pPr>
            <w:r w:rsidRPr="00354440">
              <w:rPr>
                <w:rFonts w:eastAsia="Calibri"/>
                <w:sz w:val="20"/>
              </w:rPr>
              <w:t>(Simmons, Blair, Hoy JJ.A.)</w:t>
            </w:r>
          </w:p>
          <w:p w:rsidR="00D53740" w:rsidRDefault="00D53740" w:rsidP="00D53740">
            <w:pPr>
              <w:jc w:val="both"/>
              <w:rPr>
                <w:rFonts w:eastAsia="Calibri"/>
                <w:sz w:val="20"/>
              </w:rPr>
            </w:pPr>
            <w:r w:rsidRPr="00354440">
              <w:rPr>
                <w:rFonts w:eastAsia="Calibri"/>
                <w:sz w:val="20"/>
              </w:rPr>
              <w:t>2012 ONCA 342; C51956</w:t>
            </w:r>
          </w:p>
          <w:p w:rsidR="008C65CB" w:rsidRPr="00354440" w:rsidRDefault="008C65CB" w:rsidP="00D53740">
            <w:pPr>
              <w:jc w:val="both"/>
              <w:rPr>
                <w:rFonts w:eastAsia="Calibri"/>
                <w:sz w:val="20"/>
              </w:rPr>
            </w:pP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Appeal allowed, ss. 672.58 &amp; 672.62(1)(</w:t>
            </w:r>
            <w:r w:rsidRPr="00354440">
              <w:rPr>
                <w:rFonts w:eastAsia="Calibri"/>
                <w:i/>
                <w:sz w:val="20"/>
              </w:rPr>
              <w:t>a</w:t>
            </w:r>
            <w:r w:rsidRPr="00354440">
              <w:rPr>
                <w:rFonts w:eastAsia="Calibri"/>
                <w:sz w:val="20"/>
              </w:rPr>
              <w:t xml:space="preserve">) of the </w:t>
            </w:r>
            <w:r w:rsidRPr="00354440">
              <w:rPr>
                <w:rFonts w:eastAsia="Calibri"/>
                <w:i/>
                <w:sz w:val="20"/>
              </w:rPr>
              <w:t>Criminal Code</w:t>
            </w:r>
            <w:r w:rsidRPr="00354440">
              <w:rPr>
                <w:rFonts w:eastAsia="Calibri"/>
                <w:sz w:val="20"/>
              </w:rPr>
              <w:t xml:space="preserve"> declared an infringement of s. 7 of the </w:t>
            </w:r>
            <w:r w:rsidRPr="00354440">
              <w:rPr>
                <w:rFonts w:eastAsia="Calibri"/>
                <w:i/>
                <w:sz w:val="20"/>
              </w:rPr>
              <w:t xml:space="preserve">Charter </w:t>
            </w:r>
            <w:r w:rsidRPr="00354440">
              <w:rPr>
                <w:rFonts w:eastAsia="Calibri"/>
                <w:sz w:val="20"/>
              </w:rPr>
              <w:t>but saved under s. 1, treatment order set aside</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August 15, 2012</w:t>
            </w:r>
          </w:p>
          <w:p w:rsidR="00D53740" w:rsidRPr="00354440" w:rsidRDefault="00D53740" w:rsidP="00D53740">
            <w:pPr>
              <w:jc w:val="both"/>
              <w:rPr>
                <w:rFonts w:eastAsia="Calibri"/>
                <w:sz w:val="20"/>
              </w:rPr>
            </w:pPr>
            <w:r w:rsidRPr="00354440">
              <w:rPr>
                <w:rFonts w:eastAsia="Calibri"/>
                <w:sz w:val="20"/>
              </w:rPr>
              <w:t>Supreme Court of Canada</w:t>
            </w: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Application for leave to appeal filed</w:t>
            </w:r>
          </w:p>
          <w:p w:rsidR="00D53740" w:rsidRPr="00354440" w:rsidRDefault="00D53740" w:rsidP="00D53740">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84"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53740" w:rsidRPr="00354440" w:rsidTr="00D53740">
        <w:tc>
          <w:tcPr>
            <w:tcW w:w="5000" w:type="pct"/>
            <w:gridSpan w:val="3"/>
          </w:tcPr>
          <w:p w:rsidR="00D53740" w:rsidRPr="00354440" w:rsidRDefault="00D53740" w:rsidP="00D53740">
            <w:pPr>
              <w:jc w:val="both"/>
              <w:rPr>
                <w:rFonts w:eastAsia="Calibri"/>
                <w:sz w:val="20"/>
                <w:lang w:val="fr-CA"/>
              </w:rPr>
            </w:pPr>
            <w:r w:rsidRPr="00354440">
              <w:rPr>
                <w:rFonts w:eastAsia="Calibri"/>
                <w:i/>
                <w:sz w:val="20"/>
                <w:lang w:val="fr-CA"/>
              </w:rPr>
              <w:t xml:space="preserve">Charte des droits et libertés </w:t>
            </w:r>
            <w:r w:rsidRPr="00354440">
              <w:rPr>
                <w:rFonts w:eastAsia="Calibri"/>
                <w:sz w:val="20"/>
                <w:lang w:val="fr-CA"/>
              </w:rPr>
              <w:t>— Droit à la sécurité de la personne — Droit à la liberté — Justice fondamentale — Décisions prévoyant un traitement — Le juge du procès ordonne le traitement immédiat d'un accusé jugé inapte à subir son procès — Le début du traitement est retardé de six jours en attendant qu'un lit soit disponible — L'exigence selon laquelle un tribunal ne peut rendre une ordonnance en matière de traitement sans le consentement du responsable de l'hôpital où l'accusé doit être traité viole</w:t>
            </w:r>
            <w:r w:rsidRPr="00354440">
              <w:rPr>
                <w:rFonts w:eastAsia="Calibri"/>
                <w:sz w:val="20"/>
                <w:lang w:val="fr-CA"/>
              </w:rPr>
              <w:noBreakHyphen/>
              <w:t>t</w:t>
            </w:r>
            <w:r w:rsidRPr="00354440">
              <w:rPr>
                <w:rFonts w:eastAsia="Calibri"/>
                <w:sz w:val="20"/>
                <w:lang w:val="fr-CA"/>
              </w:rPr>
              <w:noBreakHyphen/>
              <w:t xml:space="preserve">elle les droits, garantis par l'art. 7 de la </w:t>
            </w:r>
            <w:r w:rsidRPr="00354440">
              <w:rPr>
                <w:rFonts w:eastAsia="Calibri"/>
                <w:i/>
                <w:sz w:val="20"/>
                <w:lang w:val="fr-CA"/>
              </w:rPr>
              <w:t>Charte</w:t>
            </w:r>
            <w:r w:rsidRPr="00354440">
              <w:rPr>
                <w:rFonts w:eastAsia="Calibri"/>
                <w:sz w:val="20"/>
                <w:lang w:val="fr-CA"/>
              </w:rPr>
              <w:t>, de l'accusé atteint de troubles mentaux?</w:t>
            </w:r>
            <w:r w:rsidRPr="00354440">
              <w:rPr>
                <w:rFonts w:eastAsia="Calibri"/>
                <w:i/>
                <w:sz w:val="20"/>
                <w:lang w:val="fr-CA"/>
              </w:rPr>
              <w:t xml:space="preserve"> </w:t>
            </w:r>
            <w:r w:rsidRPr="00354440">
              <w:rPr>
                <w:rFonts w:eastAsia="Calibri"/>
                <w:sz w:val="20"/>
                <w:lang w:val="fr-CA"/>
              </w:rPr>
              <w:t>— L'ordonnance de traitement immédiat d'un accusé déclaré inapte à subir son procès aurait</w:t>
            </w:r>
            <w:r w:rsidRPr="00354440">
              <w:rPr>
                <w:rFonts w:eastAsia="Calibri"/>
                <w:sz w:val="20"/>
                <w:lang w:val="fr-CA"/>
              </w:rPr>
              <w:noBreakHyphen/>
              <w:t>elle dû être annulée en appel vu que l'établissement de traitement n'avait pas donné son consentement? —</w:t>
            </w:r>
            <w:r w:rsidRPr="00354440">
              <w:rPr>
                <w:rFonts w:eastAsia="Calibri"/>
                <w:i/>
                <w:sz w:val="20"/>
                <w:lang w:val="fr-CA"/>
              </w:rPr>
              <w:t xml:space="preserve"> Code criminel</w:t>
            </w:r>
            <w:r w:rsidRPr="00354440">
              <w:rPr>
                <w:rFonts w:eastAsia="Calibri"/>
                <w:sz w:val="20"/>
                <w:lang w:val="fr-CA"/>
              </w:rPr>
              <w:t>, L.R.C. 1985, ch. C</w:t>
            </w:r>
            <w:r w:rsidRPr="00354440">
              <w:rPr>
                <w:rFonts w:eastAsia="Calibri"/>
                <w:sz w:val="20"/>
                <w:lang w:val="fr-CA"/>
              </w:rPr>
              <w:noBreakHyphen/>
              <w:t>46, art. 672.58, 672.62(1)</w:t>
            </w:r>
            <w:r w:rsidRPr="00354440">
              <w:rPr>
                <w:rFonts w:eastAsia="Calibri"/>
                <w:i/>
                <w:sz w:val="20"/>
                <w:lang w:val="fr-CA"/>
              </w:rPr>
              <w:t>a</w:t>
            </w:r>
            <w:r w:rsidRPr="00354440">
              <w:rPr>
                <w:rFonts w:eastAsia="Calibri"/>
                <w:sz w:val="20"/>
                <w:lang w:val="fr-CA"/>
              </w:rPr>
              <w:t>)</w:t>
            </w:r>
          </w:p>
        </w:tc>
      </w:tr>
      <w:tr w:rsidR="00D53740" w:rsidRPr="00354440" w:rsidTr="00D53740">
        <w:tc>
          <w:tcPr>
            <w:tcW w:w="5000" w:type="pct"/>
            <w:gridSpan w:val="3"/>
          </w:tcPr>
          <w:p w:rsidR="00D53740" w:rsidRPr="00354440" w:rsidRDefault="00D53740" w:rsidP="00D53740">
            <w:pPr>
              <w:jc w:val="both"/>
              <w:rPr>
                <w:rFonts w:eastAsia="Calibri"/>
                <w:sz w:val="20"/>
                <w:lang w:val="fr-CA"/>
              </w:rPr>
            </w:pPr>
          </w:p>
        </w:tc>
      </w:tr>
      <w:tr w:rsidR="00D53740" w:rsidRPr="00486CA3" w:rsidTr="00D53740">
        <w:tc>
          <w:tcPr>
            <w:tcW w:w="5000" w:type="pct"/>
            <w:gridSpan w:val="3"/>
          </w:tcPr>
          <w:p w:rsidR="00D53740" w:rsidRPr="00354440" w:rsidRDefault="00D53740" w:rsidP="00D53740">
            <w:pPr>
              <w:jc w:val="both"/>
              <w:rPr>
                <w:rFonts w:eastAsia="Calibri"/>
                <w:sz w:val="20"/>
                <w:lang w:val="fr-CA"/>
              </w:rPr>
            </w:pPr>
            <w:r w:rsidRPr="00354440">
              <w:rPr>
                <w:rFonts w:eastAsia="Calibri"/>
                <w:sz w:val="20"/>
                <w:lang w:val="fr-CA"/>
              </w:rPr>
              <w:t>Le demandeur a été accusé d'agression sexuelle.  Lorsqu'il a comparu devant le tribunal, il se trouvait dans un état psychotique et il a été déclaré inapte à subir son procès.  L'avocat de la Couronne a recommandé une ordonnance de traitement.  Interrogé sur ses inquiétudes du point de vue de la sécurité, un psychiatre a affirmé dans son témoignage qu'un traitement à Oak Ridge, un établissement au Centre de santé mentale de Penetanguishene, serait préférable au Centre de toxicomanie et de santé mentale ou à Whitby, un autre hôpital qu'il connaissait d'expérience.  Le ministère public a affirmé qu'un lit serait disponible à Oak Ridge au plus tard le 19 avril, c'est</w:t>
            </w:r>
            <w:r w:rsidRPr="00354440">
              <w:rPr>
                <w:rFonts w:eastAsia="Calibri"/>
                <w:sz w:val="20"/>
                <w:lang w:val="fr-CA"/>
              </w:rPr>
              <w:noBreakHyphen/>
              <w:t>à</w:t>
            </w:r>
            <w:r w:rsidRPr="00354440">
              <w:rPr>
                <w:rFonts w:eastAsia="Calibri"/>
                <w:sz w:val="20"/>
                <w:lang w:val="fr-CA"/>
              </w:rPr>
              <w:noBreakHyphen/>
              <w:t>dire six jours après la date de l'audience.  Le juge à l'audience a décerné une ordonnance de traitement « immédiat » en application de l'art. 672.58 du</w:t>
            </w:r>
            <w:r w:rsidRPr="00354440">
              <w:rPr>
                <w:rFonts w:eastAsia="Calibri"/>
                <w:i/>
                <w:sz w:val="20"/>
                <w:lang w:val="fr-CA"/>
              </w:rPr>
              <w:t xml:space="preserve"> Code criminel</w:t>
            </w:r>
            <w:r w:rsidRPr="00354440">
              <w:rPr>
                <w:rFonts w:eastAsia="Calibri"/>
                <w:sz w:val="20"/>
                <w:lang w:val="fr-CA"/>
              </w:rPr>
              <w:t xml:space="preserve">, en précisant que le demandeur devait être transporté directement au Centre de toxicomanie et de santé mentale ou à un autre endroit désigné, mais dans aucun cas à une prison ou un établissement correctionnel.  Les services judiciaires ont transporté le demandeur au Centre de santé mentale de Penetanguishene et ils l’ont laissé dans un couloir.  Les hôpitaux intimés ont interjeté appel de l'ordonnance.  Même si par la suite le demandeur a été traité et renvoyé devant le tribunal et que l'accusation a été suspendue au moment où l'appel allait commencer, la Cour d'appel a jugé que </w:t>
            </w:r>
            <w:proofErr w:type="gramStart"/>
            <w:r w:rsidRPr="00354440">
              <w:rPr>
                <w:rFonts w:eastAsia="Calibri"/>
                <w:sz w:val="20"/>
                <w:lang w:val="fr-CA"/>
              </w:rPr>
              <w:t>les art</w:t>
            </w:r>
            <w:proofErr w:type="gramEnd"/>
            <w:r w:rsidRPr="00354440">
              <w:rPr>
                <w:rFonts w:eastAsia="Calibri"/>
                <w:sz w:val="20"/>
                <w:lang w:val="fr-CA"/>
              </w:rPr>
              <w:t>. 672.58 et 672.62(1)</w:t>
            </w:r>
            <w:r w:rsidRPr="00354440">
              <w:rPr>
                <w:rFonts w:eastAsia="Calibri"/>
                <w:i/>
                <w:sz w:val="20"/>
                <w:lang w:val="fr-CA"/>
              </w:rPr>
              <w:t>a</w:t>
            </w:r>
            <w:r w:rsidRPr="00354440">
              <w:rPr>
                <w:rFonts w:eastAsia="Calibri"/>
                <w:sz w:val="20"/>
                <w:lang w:val="fr-CA"/>
              </w:rPr>
              <w:t>) du</w:t>
            </w:r>
            <w:r w:rsidRPr="00354440">
              <w:rPr>
                <w:rFonts w:eastAsia="Calibri"/>
                <w:i/>
                <w:sz w:val="20"/>
                <w:lang w:val="fr-CA"/>
              </w:rPr>
              <w:t xml:space="preserve"> Code criminel</w:t>
            </w:r>
            <w:r w:rsidRPr="00354440">
              <w:rPr>
                <w:rFonts w:eastAsia="Calibri"/>
                <w:sz w:val="20"/>
                <w:lang w:val="fr-CA"/>
              </w:rPr>
              <w:t xml:space="preserve"> portaient atteinte aux droits à la liberté et à la sécurité de la personne garantis par l'art. 7 de la </w:t>
            </w:r>
            <w:r w:rsidRPr="00354440">
              <w:rPr>
                <w:rFonts w:eastAsia="Calibri"/>
                <w:i/>
                <w:sz w:val="20"/>
                <w:lang w:val="fr-CA"/>
              </w:rPr>
              <w:t>Charte</w:t>
            </w:r>
            <w:r w:rsidRPr="00354440">
              <w:rPr>
                <w:rFonts w:eastAsia="Calibri"/>
                <w:sz w:val="20"/>
                <w:lang w:val="fr-CA"/>
              </w:rPr>
              <w:t>, mais que l'atteinte était conforme aux principes de justice fondamentale.  La Cour d'appel a statué que les intimés n'avaient pas donné leur consentement à l'ordonnance de traitement comme l'exigeait l'alinéa 672.62(1)</w:t>
            </w:r>
            <w:r w:rsidRPr="00354440">
              <w:rPr>
                <w:rFonts w:eastAsia="Calibri"/>
                <w:i/>
                <w:sz w:val="20"/>
                <w:lang w:val="fr-CA"/>
              </w:rPr>
              <w:t>a</w:t>
            </w:r>
            <w:r w:rsidRPr="00354440">
              <w:rPr>
                <w:rFonts w:eastAsia="Calibri"/>
                <w:sz w:val="20"/>
                <w:lang w:val="fr-CA"/>
              </w:rPr>
              <w:t xml:space="preserve">) du </w:t>
            </w:r>
            <w:r w:rsidRPr="00354440">
              <w:rPr>
                <w:rFonts w:eastAsia="Calibri"/>
                <w:i/>
                <w:sz w:val="20"/>
                <w:lang w:val="fr-CA"/>
              </w:rPr>
              <w:t>Code criminel</w:t>
            </w:r>
            <w:r w:rsidRPr="00354440">
              <w:rPr>
                <w:rFonts w:eastAsia="Calibri"/>
                <w:sz w:val="20"/>
                <w:lang w:val="fr-CA"/>
              </w:rPr>
              <w:t>, si bien que l’ordonnance de traitement a été annulée.</w:t>
            </w:r>
          </w:p>
          <w:p w:rsidR="00D53740" w:rsidRPr="00354440" w:rsidRDefault="00D53740" w:rsidP="00D53740">
            <w:pPr>
              <w:jc w:val="both"/>
              <w:rPr>
                <w:rFonts w:eastAsia="Calibri"/>
                <w:sz w:val="20"/>
                <w:lang w:val="fr-CA"/>
              </w:rPr>
            </w:pPr>
          </w:p>
        </w:tc>
      </w:tr>
      <w:tr w:rsidR="00D53740" w:rsidRPr="00486CA3" w:rsidTr="00D53740">
        <w:tc>
          <w:tcPr>
            <w:tcW w:w="2427" w:type="pct"/>
          </w:tcPr>
          <w:p w:rsidR="00D53740" w:rsidRPr="00354440" w:rsidRDefault="00D53740" w:rsidP="00D53740">
            <w:pPr>
              <w:jc w:val="both"/>
              <w:rPr>
                <w:rFonts w:eastAsia="Calibri"/>
                <w:sz w:val="20"/>
                <w:lang w:val="fr-CA"/>
              </w:rPr>
            </w:pPr>
            <w:r w:rsidRPr="00354440">
              <w:rPr>
                <w:rFonts w:eastAsia="Calibri"/>
                <w:sz w:val="20"/>
                <w:lang w:val="fr-CA"/>
              </w:rPr>
              <w:t>13 avril 2010</w:t>
            </w:r>
          </w:p>
          <w:p w:rsidR="00D53740" w:rsidRPr="00354440" w:rsidRDefault="00D53740" w:rsidP="00D53740">
            <w:pPr>
              <w:jc w:val="both"/>
              <w:rPr>
                <w:rFonts w:eastAsia="Calibri"/>
                <w:sz w:val="20"/>
                <w:lang w:val="fr-CA"/>
              </w:rPr>
            </w:pPr>
            <w:r w:rsidRPr="00354440">
              <w:rPr>
                <w:rFonts w:eastAsia="Calibri"/>
                <w:sz w:val="20"/>
                <w:lang w:val="fr-CA"/>
              </w:rPr>
              <w:t xml:space="preserve">Cour de justice de l'Ontario </w:t>
            </w:r>
          </w:p>
          <w:p w:rsidR="00D53740" w:rsidRPr="00354440" w:rsidRDefault="00D53740" w:rsidP="00D53740">
            <w:pPr>
              <w:jc w:val="both"/>
              <w:rPr>
                <w:rFonts w:eastAsia="Calibri"/>
                <w:sz w:val="20"/>
                <w:lang w:val="fr-CA"/>
              </w:rPr>
            </w:pPr>
            <w:r w:rsidRPr="00354440">
              <w:rPr>
                <w:rFonts w:eastAsia="Calibri"/>
                <w:sz w:val="20"/>
                <w:lang w:val="fr-CA"/>
              </w:rPr>
              <w:t>(Juge Hogan)</w:t>
            </w:r>
          </w:p>
          <w:p w:rsidR="00D53740" w:rsidRPr="00354440" w:rsidRDefault="00D53740" w:rsidP="00D53740">
            <w:pPr>
              <w:jc w:val="both"/>
              <w:rPr>
                <w:rFonts w:eastAsia="Calibri"/>
                <w:sz w:val="20"/>
                <w:lang w:val="fr-CA"/>
              </w:rPr>
            </w:pPr>
          </w:p>
        </w:tc>
        <w:tc>
          <w:tcPr>
            <w:tcW w:w="243" w:type="pct"/>
          </w:tcPr>
          <w:p w:rsidR="00D53740" w:rsidRPr="00354440" w:rsidRDefault="00D53740" w:rsidP="00D53740">
            <w:pPr>
              <w:jc w:val="both"/>
              <w:rPr>
                <w:rFonts w:eastAsia="Calibri"/>
                <w:sz w:val="20"/>
                <w:lang w:val="fr-CA"/>
              </w:rPr>
            </w:pPr>
          </w:p>
        </w:tc>
        <w:tc>
          <w:tcPr>
            <w:tcW w:w="2330" w:type="pct"/>
          </w:tcPr>
          <w:p w:rsidR="00D53740" w:rsidRPr="00354440" w:rsidRDefault="00D53740" w:rsidP="00D53740">
            <w:pPr>
              <w:jc w:val="both"/>
              <w:rPr>
                <w:rFonts w:eastAsia="Calibri"/>
                <w:sz w:val="20"/>
                <w:lang w:val="fr-CA"/>
              </w:rPr>
            </w:pPr>
            <w:r w:rsidRPr="00354440">
              <w:rPr>
                <w:rFonts w:eastAsia="Calibri"/>
                <w:sz w:val="20"/>
                <w:lang w:val="fr-CA"/>
              </w:rPr>
              <w:t>Demandeur déclaré inapte à subir son procès et ordonnance de traitement immédiat du demandeur</w:t>
            </w:r>
          </w:p>
        </w:tc>
      </w:tr>
      <w:tr w:rsidR="00D53740" w:rsidRPr="00486CA3" w:rsidTr="00D53740">
        <w:tc>
          <w:tcPr>
            <w:tcW w:w="2427" w:type="pct"/>
          </w:tcPr>
          <w:p w:rsidR="00D53740" w:rsidRPr="00354440" w:rsidRDefault="00D53740" w:rsidP="00D53740">
            <w:pPr>
              <w:jc w:val="both"/>
              <w:rPr>
                <w:rFonts w:eastAsia="Calibri"/>
                <w:sz w:val="20"/>
                <w:lang w:val="fr-CA"/>
              </w:rPr>
            </w:pPr>
            <w:r w:rsidRPr="00354440">
              <w:rPr>
                <w:rFonts w:eastAsia="Calibri"/>
                <w:sz w:val="20"/>
                <w:lang w:val="fr-CA"/>
              </w:rPr>
              <w:t>24 mai 2012</w:t>
            </w:r>
          </w:p>
          <w:p w:rsidR="00D53740" w:rsidRPr="00354440" w:rsidRDefault="00D53740" w:rsidP="00D53740">
            <w:pPr>
              <w:jc w:val="both"/>
              <w:rPr>
                <w:rFonts w:eastAsia="Calibri"/>
                <w:sz w:val="20"/>
                <w:lang w:val="fr-CA"/>
              </w:rPr>
            </w:pPr>
            <w:r w:rsidRPr="00354440">
              <w:rPr>
                <w:rFonts w:eastAsia="Calibri"/>
                <w:sz w:val="20"/>
                <w:lang w:val="fr-CA"/>
              </w:rPr>
              <w:t xml:space="preserve">Cour d'appel de l'Ontario </w:t>
            </w:r>
          </w:p>
          <w:p w:rsidR="00D53740" w:rsidRPr="00354440" w:rsidRDefault="00D53740" w:rsidP="00D53740">
            <w:pPr>
              <w:jc w:val="both"/>
              <w:rPr>
                <w:rFonts w:eastAsia="Calibri"/>
                <w:sz w:val="20"/>
                <w:lang w:val="fr-CA"/>
              </w:rPr>
            </w:pPr>
            <w:r w:rsidRPr="00354440">
              <w:rPr>
                <w:rFonts w:eastAsia="Calibri"/>
                <w:sz w:val="20"/>
                <w:lang w:val="fr-CA"/>
              </w:rPr>
              <w:t>(Juges Simmons, Blair et Hoy)</w:t>
            </w:r>
          </w:p>
          <w:p w:rsidR="00D53740" w:rsidRPr="00354440" w:rsidRDefault="00D53740" w:rsidP="00D53740">
            <w:pPr>
              <w:jc w:val="both"/>
              <w:rPr>
                <w:rFonts w:eastAsia="Calibri"/>
                <w:sz w:val="20"/>
                <w:lang w:val="fr-CA"/>
              </w:rPr>
            </w:pPr>
            <w:r w:rsidRPr="00354440">
              <w:rPr>
                <w:rFonts w:eastAsia="Calibri"/>
                <w:sz w:val="20"/>
                <w:lang w:val="fr-CA"/>
              </w:rPr>
              <w:t>2012 ONCA 342; C51956</w:t>
            </w:r>
          </w:p>
        </w:tc>
        <w:tc>
          <w:tcPr>
            <w:tcW w:w="243" w:type="pct"/>
          </w:tcPr>
          <w:p w:rsidR="00D53740" w:rsidRPr="00354440" w:rsidRDefault="00D53740" w:rsidP="00D53740">
            <w:pPr>
              <w:jc w:val="both"/>
              <w:rPr>
                <w:rFonts w:eastAsia="Calibri"/>
                <w:sz w:val="20"/>
                <w:lang w:val="fr-CA"/>
              </w:rPr>
            </w:pPr>
          </w:p>
        </w:tc>
        <w:tc>
          <w:tcPr>
            <w:tcW w:w="2330" w:type="pct"/>
          </w:tcPr>
          <w:p w:rsidR="00D53740" w:rsidRPr="00354440" w:rsidRDefault="00D53740" w:rsidP="00D53740">
            <w:pPr>
              <w:jc w:val="both"/>
              <w:rPr>
                <w:rFonts w:eastAsia="Calibri"/>
                <w:sz w:val="20"/>
                <w:lang w:val="fr-CA"/>
              </w:rPr>
            </w:pPr>
            <w:r w:rsidRPr="00354440">
              <w:rPr>
                <w:rFonts w:eastAsia="Calibri"/>
                <w:sz w:val="20"/>
                <w:lang w:val="fr-CA"/>
              </w:rPr>
              <w:t xml:space="preserve">Appel accueilli, déclaration portant que </w:t>
            </w:r>
            <w:proofErr w:type="gramStart"/>
            <w:r w:rsidRPr="00354440">
              <w:rPr>
                <w:rFonts w:eastAsia="Calibri"/>
                <w:sz w:val="20"/>
                <w:lang w:val="fr-CA"/>
              </w:rPr>
              <w:t>les art</w:t>
            </w:r>
            <w:proofErr w:type="gramEnd"/>
            <w:r w:rsidRPr="00354440">
              <w:rPr>
                <w:rFonts w:eastAsia="Calibri"/>
                <w:sz w:val="20"/>
                <w:lang w:val="fr-CA"/>
              </w:rPr>
              <w:t>. 672.58 et 672.62(1)</w:t>
            </w:r>
            <w:r w:rsidRPr="00354440">
              <w:rPr>
                <w:rFonts w:eastAsia="Calibri"/>
                <w:i/>
                <w:sz w:val="20"/>
                <w:lang w:val="fr-CA"/>
              </w:rPr>
              <w:t>a</w:t>
            </w:r>
            <w:r w:rsidRPr="00354440">
              <w:rPr>
                <w:rFonts w:eastAsia="Calibri"/>
                <w:sz w:val="20"/>
                <w:lang w:val="fr-CA"/>
              </w:rPr>
              <w:t>) du</w:t>
            </w:r>
            <w:r w:rsidRPr="00354440">
              <w:rPr>
                <w:rFonts w:eastAsia="Calibri"/>
                <w:i/>
                <w:sz w:val="20"/>
                <w:lang w:val="fr-CA"/>
              </w:rPr>
              <w:t xml:space="preserve"> Code criminel</w:t>
            </w:r>
            <w:r w:rsidRPr="00354440">
              <w:rPr>
                <w:rFonts w:eastAsia="Calibri"/>
                <w:sz w:val="20"/>
                <w:lang w:val="fr-CA"/>
              </w:rPr>
              <w:t xml:space="preserve"> portent atteinte à l'art. 7 de la </w:t>
            </w:r>
            <w:r w:rsidRPr="00354440">
              <w:rPr>
                <w:rFonts w:eastAsia="Calibri"/>
                <w:i/>
                <w:sz w:val="20"/>
                <w:lang w:val="fr-CA"/>
              </w:rPr>
              <w:t>Charte</w:t>
            </w:r>
            <w:r w:rsidRPr="00354440">
              <w:rPr>
                <w:rFonts w:eastAsia="Calibri"/>
                <w:sz w:val="20"/>
                <w:lang w:val="fr-CA"/>
              </w:rPr>
              <w:t>, mais que l’atteinte est justifiée au regard de l'article premier, ordonnance de traitement annulée</w:t>
            </w:r>
          </w:p>
          <w:p w:rsidR="00D53740" w:rsidRPr="00354440" w:rsidRDefault="00D53740" w:rsidP="00D53740">
            <w:pPr>
              <w:jc w:val="both"/>
              <w:rPr>
                <w:rFonts w:eastAsia="Calibri"/>
                <w:sz w:val="20"/>
                <w:lang w:val="fr-CA"/>
              </w:rPr>
            </w:pPr>
          </w:p>
        </w:tc>
      </w:tr>
      <w:tr w:rsidR="00D53740" w:rsidRPr="00354440" w:rsidTr="00D53740">
        <w:tc>
          <w:tcPr>
            <w:tcW w:w="2427" w:type="pct"/>
          </w:tcPr>
          <w:p w:rsidR="00D53740" w:rsidRPr="00354440" w:rsidRDefault="00D53740" w:rsidP="00D53740">
            <w:pPr>
              <w:jc w:val="both"/>
              <w:rPr>
                <w:rFonts w:eastAsia="Calibri"/>
                <w:sz w:val="20"/>
                <w:lang w:val="fr-CA"/>
              </w:rPr>
            </w:pPr>
            <w:r w:rsidRPr="00354440">
              <w:rPr>
                <w:rFonts w:eastAsia="Calibri"/>
                <w:sz w:val="20"/>
                <w:lang w:val="fr-CA"/>
              </w:rPr>
              <w:t>15 août 2012</w:t>
            </w:r>
          </w:p>
          <w:p w:rsidR="00D53740" w:rsidRPr="00354440" w:rsidRDefault="00D53740" w:rsidP="00D53740">
            <w:pPr>
              <w:jc w:val="both"/>
              <w:rPr>
                <w:rFonts w:eastAsia="Calibri"/>
                <w:sz w:val="20"/>
                <w:lang w:val="fr-CA"/>
              </w:rPr>
            </w:pPr>
            <w:r w:rsidRPr="00354440">
              <w:rPr>
                <w:rFonts w:eastAsia="Calibri"/>
                <w:sz w:val="20"/>
                <w:lang w:val="fr-CA"/>
              </w:rPr>
              <w:t>Cour suprême du Canada</w:t>
            </w:r>
          </w:p>
        </w:tc>
        <w:tc>
          <w:tcPr>
            <w:tcW w:w="243" w:type="pct"/>
          </w:tcPr>
          <w:p w:rsidR="00D53740" w:rsidRPr="00354440" w:rsidRDefault="00D53740" w:rsidP="00D53740">
            <w:pPr>
              <w:jc w:val="both"/>
              <w:rPr>
                <w:rFonts w:eastAsia="Calibri"/>
                <w:sz w:val="20"/>
                <w:lang w:val="fr-CA"/>
              </w:rPr>
            </w:pPr>
          </w:p>
        </w:tc>
        <w:tc>
          <w:tcPr>
            <w:tcW w:w="2330" w:type="pct"/>
          </w:tcPr>
          <w:p w:rsidR="00D53740" w:rsidRPr="00354440" w:rsidRDefault="00D53740" w:rsidP="00D53740">
            <w:pPr>
              <w:jc w:val="both"/>
              <w:rPr>
                <w:rFonts w:eastAsia="Calibri"/>
                <w:sz w:val="20"/>
                <w:lang w:val="fr-CA"/>
              </w:rPr>
            </w:pPr>
            <w:r w:rsidRPr="00354440">
              <w:rPr>
                <w:rFonts w:eastAsia="Calibri"/>
                <w:sz w:val="20"/>
                <w:lang w:val="fr-CA"/>
              </w:rPr>
              <w:t>Demande d'autorisation d'appel, déposée</w:t>
            </w:r>
          </w:p>
          <w:p w:rsidR="00D53740" w:rsidRPr="00354440" w:rsidRDefault="00D53740" w:rsidP="00D53740">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85"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7994" w:rsidRPr="004C6E6E" w:rsidTr="00066741">
        <w:trPr>
          <w:cantSplit/>
        </w:trPr>
        <w:tc>
          <w:tcPr>
            <w:tcW w:w="1458" w:type="dxa"/>
          </w:tcPr>
          <w:p w:rsidR="00157994" w:rsidRPr="004C6E6E" w:rsidRDefault="00157994" w:rsidP="00066741">
            <w:pPr>
              <w:rPr>
                <w:sz w:val="20"/>
                <w:szCs w:val="20"/>
              </w:rPr>
            </w:pPr>
            <w:r w:rsidRPr="004C6E6E">
              <w:rPr>
                <w:rStyle w:val="SCCFileNumberChar"/>
                <w:sz w:val="20"/>
                <w:szCs w:val="20"/>
              </w:rPr>
              <w:t>34945</w:t>
            </w:r>
          </w:p>
          <w:p w:rsidR="00157994" w:rsidRPr="004C6E6E" w:rsidRDefault="00157994" w:rsidP="00066741">
            <w:pPr>
              <w:rPr>
                <w:b/>
                <w:sz w:val="20"/>
                <w:szCs w:val="20"/>
                <w:lang w:val="fr-CA"/>
              </w:rPr>
            </w:pPr>
          </w:p>
        </w:tc>
        <w:tc>
          <w:tcPr>
            <w:tcW w:w="8118" w:type="dxa"/>
          </w:tcPr>
          <w:p w:rsidR="00157994" w:rsidRPr="004C6E6E" w:rsidRDefault="00157994" w:rsidP="00066741">
            <w:pPr>
              <w:rPr>
                <w:sz w:val="20"/>
                <w:szCs w:val="20"/>
              </w:rPr>
            </w:pPr>
            <w:r w:rsidRPr="00157994">
              <w:rPr>
                <w:rStyle w:val="SCCLsocChar"/>
                <w:sz w:val="20"/>
                <w:szCs w:val="20"/>
                <w:lang w:val="en-CA"/>
              </w:rPr>
              <w:t>Patrick Dovigi v. Mojdeh Razi</w:t>
            </w:r>
            <w:r w:rsidRPr="004C6E6E">
              <w:rPr>
                <w:sz w:val="20"/>
                <w:szCs w:val="20"/>
              </w:rPr>
              <w:t xml:space="preserve"> (Ont.) (Civil) (By Leave)</w:t>
            </w:r>
          </w:p>
          <w:p w:rsidR="00157994" w:rsidRPr="004C6E6E" w:rsidRDefault="00157994" w:rsidP="00066741">
            <w:pPr>
              <w:rPr>
                <w:sz w:val="20"/>
                <w:szCs w:val="20"/>
              </w:rPr>
            </w:pPr>
          </w:p>
        </w:tc>
      </w:tr>
      <w:tr w:rsidR="00157994" w:rsidRPr="004C6E6E" w:rsidTr="00066741">
        <w:trPr>
          <w:cantSplit/>
        </w:trPr>
        <w:tc>
          <w:tcPr>
            <w:tcW w:w="1458" w:type="dxa"/>
          </w:tcPr>
          <w:p w:rsidR="00157994" w:rsidRPr="004C6E6E" w:rsidRDefault="00157994" w:rsidP="00066741">
            <w:pPr>
              <w:rPr>
                <w:sz w:val="20"/>
                <w:szCs w:val="20"/>
              </w:rPr>
            </w:pPr>
            <w:r w:rsidRPr="004C6E6E">
              <w:rPr>
                <w:sz w:val="20"/>
                <w:szCs w:val="20"/>
              </w:rPr>
              <w:t>Coram :</w:t>
            </w:r>
          </w:p>
        </w:tc>
        <w:tc>
          <w:tcPr>
            <w:tcW w:w="8118" w:type="dxa"/>
          </w:tcPr>
          <w:p w:rsidR="00157994" w:rsidRPr="004C6E6E" w:rsidRDefault="00157994" w:rsidP="00066741">
            <w:pPr>
              <w:rPr>
                <w:sz w:val="20"/>
                <w:szCs w:val="20"/>
              </w:rPr>
            </w:pPr>
            <w:r w:rsidRPr="00157994">
              <w:rPr>
                <w:rStyle w:val="SCCCoramChar"/>
                <w:sz w:val="20"/>
                <w:szCs w:val="20"/>
                <w:lang w:val="en-CA"/>
              </w:rPr>
              <w:t>LeBel, Fish and Karakatsanis JJ.</w:t>
            </w:r>
          </w:p>
          <w:p w:rsidR="00157994" w:rsidRPr="004C6E6E" w:rsidRDefault="00157994" w:rsidP="00066741">
            <w:pPr>
              <w:rPr>
                <w:sz w:val="20"/>
                <w:szCs w:val="20"/>
                <w:u w:val="single"/>
              </w:rPr>
            </w:pPr>
          </w:p>
        </w:tc>
      </w:tr>
      <w:tr w:rsidR="00157994" w:rsidRPr="00486CA3" w:rsidTr="00066741">
        <w:trPr>
          <w:cantSplit/>
        </w:trPr>
        <w:tc>
          <w:tcPr>
            <w:tcW w:w="9576" w:type="dxa"/>
            <w:gridSpan w:val="2"/>
          </w:tcPr>
          <w:p w:rsidR="00157994" w:rsidRPr="004C6E6E" w:rsidRDefault="00157994" w:rsidP="00066741">
            <w:pPr>
              <w:pStyle w:val="SCCShortJudgment"/>
              <w:rPr>
                <w:szCs w:val="20"/>
                <w:lang w:val="fr-CA"/>
              </w:rPr>
            </w:pPr>
            <w:r w:rsidRPr="004C6E6E">
              <w:rPr>
                <w:szCs w:val="20"/>
              </w:rPr>
              <w:t xml:space="preserve">The application for leave to appeal from the judgment of the Court of Appeal for Ontario, Number C55136/M41347, 2012 ONCA 361, dated May 31, 2012, is dismissed with costs. </w:t>
            </w:r>
            <w:r w:rsidRPr="004C6E6E">
              <w:rPr>
                <w:szCs w:val="20"/>
                <w:lang w:val="fr-CA"/>
              </w:rPr>
              <w:t>The request for special costs award is denied.</w:t>
            </w:r>
          </w:p>
          <w:p w:rsidR="00157994" w:rsidRPr="004C6E6E" w:rsidRDefault="00157994" w:rsidP="00066741">
            <w:pPr>
              <w:pStyle w:val="SCCShortJudgment"/>
              <w:ind w:firstLine="0"/>
              <w:rPr>
                <w:szCs w:val="20"/>
                <w:lang w:val="fr-CA"/>
              </w:rPr>
            </w:pPr>
          </w:p>
          <w:p w:rsidR="00157994" w:rsidRPr="004C6E6E" w:rsidRDefault="00157994" w:rsidP="00066741">
            <w:pPr>
              <w:pStyle w:val="SCCShortJudgment"/>
              <w:rPr>
                <w:szCs w:val="20"/>
                <w:lang w:val="fr-CA"/>
              </w:rPr>
            </w:pPr>
            <w:r w:rsidRPr="004C6E6E">
              <w:rPr>
                <w:szCs w:val="20"/>
                <w:lang w:val="fr-CA"/>
              </w:rPr>
              <w:t>La demande d’autorisation d’appel de l’arrêt de la Cour d’appel de l’Ontario, numéro C55136/M41347, 2012 ONCA 361, daté du 31 mai 2012, est rejetée avec dépens. La demande en vue d’obtenir des dépens spéciaux est refusée.</w:t>
            </w:r>
          </w:p>
        </w:tc>
      </w:tr>
    </w:tbl>
    <w:p w:rsidR="00441FC4" w:rsidRPr="00157994" w:rsidRDefault="00441FC4" w:rsidP="00441FC4">
      <w:pPr>
        <w:rPr>
          <w:sz w:val="20"/>
          <w:szCs w:val="20"/>
          <w:lang w:val="fr-CA"/>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53740" w:rsidRPr="00354440" w:rsidTr="00D53740">
        <w:tc>
          <w:tcPr>
            <w:tcW w:w="5000" w:type="pct"/>
            <w:gridSpan w:val="3"/>
          </w:tcPr>
          <w:p w:rsidR="00D53740" w:rsidRPr="00354440" w:rsidRDefault="00D53740" w:rsidP="00D53740">
            <w:pPr>
              <w:jc w:val="both"/>
              <w:rPr>
                <w:rFonts w:eastAsia="Calibri"/>
                <w:sz w:val="20"/>
              </w:rPr>
            </w:pPr>
            <w:r w:rsidRPr="00354440">
              <w:rPr>
                <w:rFonts w:eastAsia="Calibri"/>
                <w:sz w:val="20"/>
              </w:rPr>
              <w:t>Family law — Custody — Courts — Jurisdiction — Can an expecting mother dictate the jurisdiction of the court to regulate inter</w:t>
            </w:r>
            <w:r w:rsidRPr="00354440">
              <w:rPr>
                <w:rFonts w:eastAsia="Calibri"/>
                <w:sz w:val="20"/>
              </w:rPr>
              <w:noBreakHyphen/>
              <w:t xml:space="preserve">parental disputes as a function of her unfettered right to choose where she gives birth to the child? — Does the father’s equal right as a custodial parent become subordinated and denuded so the mother can arbitrarily determine the jurisdiction of any dispute involving the child? — What duty does a court have, within the controversy of the competing rights of the mother and father, to protect the child through the exercise of an available </w:t>
            </w:r>
            <w:r w:rsidRPr="00354440">
              <w:rPr>
                <w:rFonts w:eastAsia="Calibri"/>
                <w:i/>
                <w:sz w:val="20"/>
              </w:rPr>
              <w:t>parens patriae</w:t>
            </w:r>
            <w:r w:rsidRPr="00354440">
              <w:rPr>
                <w:rFonts w:eastAsia="Calibri"/>
                <w:sz w:val="20"/>
              </w:rPr>
              <w:t xml:space="preserve"> jurisdiction?</w:t>
            </w:r>
          </w:p>
        </w:tc>
      </w:tr>
      <w:tr w:rsidR="00D53740" w:rsidRPr="00354440" w:rsidTr="00D53740">
        <w:tc>
          <w:tcPr>
            <w:tcW w:w="5000" w:type="pct"/>
            <w:gridSpan w:val="3"/>
          </w:tcPr>
          <w:p w:rsidR="00D53740" w:rsidRPr="00354440" w:rsidRDefault="00D53740" w:rsidP="00D53740">
            <w:pPr>
              <w:jc w:val="both"/>
              <w:rPr>
                <w:rFonts w:eastAsia="Calibri"/>
                <w:sz w:val="20"/>
              </w:rPr>
            </w:pPr>
          </w:p>
        </w:tc>
      </w:tr>
      <w:tr w:rsidR="00D53740" w:rsidRPr="00354440" w:rsidTr="00D53740">
        <w:tc>
          <w:tcPr>
            <w:tcW w:w="5000" w:type="pct"/>
            <w:gridSpan w:val="3"/>
          </w:tcPr>
          <w:p w:rsidR="00D53740" w:rsidRPr="00354440" w:rsidRDefault="00D53740" w:rsidP="00D53740">
            <w:pPr>
              <w:jc w:val="both"/>
              <w:rPr>
                <w:rFonts w:eastAsia="Calibri"/>
                <w:sz w:val="20"/>
              </w:rPr>
            </w:pPr>
            <w:r w:rsidRPr="00354440">
              <w:rPr>
                <w:rFonts w:eastAsia="Calibri"/>
                <w:color w:val="000000"/>
                <w:sz w:val="20"/>
              </w:rPr>
              <w:t xml:space="preserve">The mother and father, who are the biological parents of the child, both resided in Ontario during the course of their relationship.  By November 2011, they were no longer romantically involved.  On November 26, 2011 the mother, then seven months pregnant, left Ontario for what the father allegedly understood was a visit to California.  The child was born on January 14, 2012 in California.  The mother is living there, and intends to become a permanent resident.  The child has never been physically present in Ontario.  The father brought an application under the </w:t>
            </w:r>
            <w:r w:rsidRPr="00354440">
              <w:rPr>
                <w:rFonts w:eastAsia="Calibri"/>
                <w:i/>
                <w:color w:val="000000"/>
                <w:sz w:val="20"/>
              </w:rPr>
              <w:t>Children’s Law Reform Act</w:t>
            </w:r>
            <w:r w:rsidRPr="00354440">
              <w:rPr>
                <w:rFonts w:eastAsia="Calibri"/>
                <w:color w:val="000000"/>
                <w:sz w:val="20"/>
              </w:rPr>
              <w:t>, R.S.O. 1990, c. C.12 for an order for temporary and permanent shared custody and equal decision</w:t>
            </w:r>
            <w:r w:rsidRPr="00354440">
              <w:rPr>
                <w:rFonts w:eastAsia="Calibri"/>
                <w:color w:val="000000"/>
                <w:sz w:val="20"/>
              </w:rPr>
              <w:noBreakHyphen/>
              <w:t>making on January 17, 2012.  The mother brought her own custodial application in California six days later.</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February 21, 2012</w:t>
            </w:r>
          </w:p>
          <w:p w:rsidR="00D53740" w:rsidRPr="00354440" w:rsidRDefault="00D53740" w:rsidP="00D53740">
            <w:pPr>
              <w:jc w:val="both"/>
              <w:rPr>
                <w:rFonts w:eastAsia="Calibri"/>
                <w:sz w:val="20"/>
              </w:rPr>
            </w:pPr>
            <w:r w:rsidRPr="00354440">
              <w:rPr>
                <w:rFonts w:eastAsia="Calibri"/>
                <w:sz w:val="20"/>
              </w:rPr>
              <w:t>Ontario Superior Court of Justice</w:t>
            </w:r>
          </w:p>
          <w:p w:rsidR="00D53740" w:rsidRPr="00354440" w:rsidRDefault="00D53740" w:rsidP="00D53740">
            <w:pPr>
              <w:jc w:val="both"/>
              <w:rPr>
                <w:rFonts w:eastAsia="Calibri"/>
                <w:sz w:val="20"/>
              </w:rPr>
            </w:pPr>
            <w:r w:rsidRPr="00354440">
              <w:rPr>
                <w:rFonts w:eastAsia="Calibri"/>
                <w:sz w:val="20"/>
              </w:rPr>
              <w:t>(Kiteley J.)</w:t>
            </w:r>
          </w:p>
          <w:p w:rsidR="00D53740" w:rsidRPr="00354440" w:rsidRDefault="00D53740" w:rsidP="00D53740">
            <w:pPr>
              <w:jc w:val="both"/>
              <w:rPr>
                <w:rFonts w:eastAsia="Calibri"/>
                <w:sz w:val="20"/>
              </w:rPr>
            </w:pPr>
            <w:r w:rsidRPr="00354440">
              <w:rPr>
                <w:rFonts w:eastAsia="Calibri"/>
                <w:sz w:val="20"/>
              </w:rPr>
              <w:t>2012 ONSC 1199</w:t>
            </w: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 xml:space="preserve">Decision that Ontario courts had jurisdiction to determine father’s application for temporary and permanent custody of child on the basis of court’s </w:t>
            </w:r>
            <w:r w:rsidRPr="00354440">
              <w:rPr>
                <w:rFonts w:eastAsia="Calibri"/>
                <w:i/>
                <w:sz w:val="20"/>
              </w:rPr>
              <w:t xml:space="preserve">parens patriae </w:t>
            </w:r>
            <w:r w:rsidRPr="00354440">
              <w:rPr>
                <w:rFonts w:eastAsia="Calibri"/>
                <w:sz w:val="20"/>
              </w:rPr>
              <w:t>power</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May 31, 2012</w:t>
            </w:r>
          </w:p>
          <w:p w:rsidR="00D53740" w:rsidRPr="00354440" w:rsidRDefault="00D53740" w:rsidP="00D53740">
            <w:pPr>
              <w:jc w:val="both"/>
              <w:rPr>
                <w:rFonts w:eastAsia="Calibri"/>
                <w:sz w:val="20"/>
              </w:rPr>
            </w:pPr>
            <w:r w:rsidRPr="00354440">
              <w:rPr>
                <w:rFonts w:eastAsia="Calibri"/>
                <w:sz w:val="20"/>
              </w:rPr>
              <w:t>Court of Appeal for Ontario</w:t>
            </w:r>
          </w:p>
          <w:p w:rsidR="00D53740" w:rsidRPr="00354440" w:rsidRDefault="00D53740" w:rsidP="00D53740">
            <w:pPr>
              <w:jc w:val="both"/>
              <w:rPr>
                <w:rFonts w:eastAsia="Calibri"/>
                <w:sz w:val="20"/>
              </w:rPr>
            </w:pPr>
            <w:r w:rsidRPr="00354440">
              <w:rPr>
                <w:rFonts w:eastAsia="Calibri"/>
                <w:sz w:val="20"/>
              </w:rPr>
              <w:t>(Cronk, Juriansz and Epstein JJ.A.)</w:t>
            </w:r>
          </w:p>
          <w:p w:rsidR="00D53740" w:rsidRPr="00354440" w:rsidRDefault="00D53740" w:rsidP="00D53740">
            <w:pPr>
              <w:jc w:val="both"/>
              <w:rPr>
                <w:rFonts w:eastAsia="Calibri"/>
                <w:sz w:val="20"/>
              </w:rPr>
            </w:pPr>
            <w:r w:rsidRPr="00354440">
              <w:rPr>
                <w:rFonts w:eastAsia="Calibri"/>
                <w:sz w:val="20"/>
              </w:rPr>
              <w:t>2012 ONCA 361</w:t>
            </w:r>
          </w:p>
          <w:p w:rsidR="00D53740" w:rsidRPr="00354440" w:rsidRDefault="00D53740" w:rsidP="00D53740">
            <w:pPr>
              <w:jc w:val="both"/>
              <w:rPr>
                <w:rFonts w:eastAsia="Calibri"/>
                <w:sz w:val="20"/>
              </w:rPr>
            </w:pP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Appeal allowed; Father’s application dismissed for want of jurisdiction</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August 29, 2012</w:t>
            </w:r>
          </w:p>
          <w:p w:rsidR="00D53740" w:rsidRPr="00354440" w:rsidRDefault="00D53740" w:rsidP="00D53740">
            <w:pPr>
              <w:jc w:val="both"/>
              <w:rPr>
                <w:rFonts w:eastAsia="Calibri"/>
                <w:sz w:val="20"/>
              </w:rPr>
            </w:pPr>
            <w:r w:rsidRPr="00354440">
              <w:rPr>
                <w:rFonts w:eastAsia="Calibri"/>
                <w:sz w:val="20"/>
              </w:rPr>
              <w:t>Supreme Court of Canada</w:t>
            </w: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Application for leave to appeal filed</w:t>
            </w:r>
          </w:p>
          <w:p w:rsidR="00D53740" w:rsidRPr="00354440" w:rsidRDefault="00D53740" w:rsidP="00D53740">
            <w:pPr>
              <w:jc w:val="both"/>
              <w:rPr>
                <w:rFonts w:eastAsia="Calibri"/>
                <w:sz w:val="20"/>
              </w:rPr>
            </w:pP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86"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53740" w:rsidRPr="00486CA3" w:rsidTr="00D53740">
        <w:tc>
          <w:tcPr>
            <w:tcW w:w="5000" w:type="pct"/>
            <w:gridSpan w:val="3"/>
          </w:tcPr>
          <w:p w:rsidR="00D53740" w:rsidRPr="00354440" w:rsidRDefault="00D53740" w:rsidP="00D53740">
            <w:pPr>
              <w:jc w:val="both"/>
              <w:rPr>
                <w:rFonts w:eastAsia="Calibri"/>
                <w:sz w:val="20"/>
                <w:lang w:val="fr-CA"/>
              </w:rPr>
            </w:pPr>
            <w:r w:rsidRPr="00354440">
              <w:rPr>
                <w:rFonts w:eastAsia="Calibri"/>
                <w:sz w:val="20"/>
                <w:lang w:val="fr-CA"/>
              </w:rPr>
              <w:t xml:space="preserve">Droit de la famille — Garde — Tribunaux — Compétence </w:t>
            </w:r>
            <w:r w:rsidRPr="00354440">
              <w:rPr>
                <w:rFonts w:eastAsia="Calibri"/>
                <w:sz w:val="20"/>
                <w:lang w:val="fr-CA"/>
              </w:rPr>
              <w:noBreakHyphen/>
              <w:t xml:space="preserve"> Une femme enceinte peut</w:t>
            </w:r>
            <w:r w:rsidRPr="00354440">
              <w:rPr>
                <w:rFonts w:eastAsia="Calibri"/>
                <w:sz w:val="20"/>
                <w:lang w:val="fr-CA"/>
              </w:rPr>
              <w:noBreakHyphen/>
              <w:t>elle décider de la compétence du tribunal pour trancher des différends opposant les parents en vertu de son droit inconditionnel de choisir le lieu où elle donne naissance à l'enfant? — Le droit égal du père en tant que parent ayant la garde devient</w:t>
            </w:r>
            <w:r w:rsidRPr="00354440">
              <w:rPr>
                <w:rFonts w:eastAsia="Calibri"/>
                <w:sz w:val="20"/>
                <w:lang w:val="fr-CA"/>
              </w:rPr>
              <w:noBreakHyphen/>
              <w:t xml:space="preserve">il subordonné et caduc de façon à ce que la mère puisse déterminer arbitrairement la compétence relative à tout différend intéressant l'enfant? — Quelle obligation a le tribunal, dans le cadre d’un litige opposant les droits concurrents de la mère et du père, de protéger l'enfant par l'exercice de sa compétence </w:t>
            </w:r>
            <w:r w:rsidRPr="00354440">
              <w:rPr>
                <w:rFonts w:eastAsia="Calibri"/>
                <w:i/>
                <w:sz w:val="20"/>
                <w:lang w:val="fr-CA"/>
              </w:rPr>
              <w:t>parens patriae</w:t>
            </w:r>
            <w:r w:rsidRPr="00354440">
              <w:rPr>
                <w:rFonts w:eastAsia="Calibri"/>
                <w:sz w:val="20"/>
                <w:lang w:val="fr-CA"/>
              </w:rPr>
              <w:t>, le cas échéant?</w:t>
            </w:r>
          </w:p>
        </w:tc>
      </w:tr>
      <w:tr w:rsidR="00D53740" w:rsidRPr="00486CA3" w:rsidTr="00D53740">
        <w:tc>
          <w:tcPr>
            <w:tcW w:w="5000" w:type="pct"/>
            <w:gridSpan w:val="3"/>
          </w:tcPr>
          <w:p w:rsidR="00D53740" w:rsidRPr="00354440" w:rsidRDefault="00D53740" w:rsidP="00D53740">
            <w:pPr>
              <w:jc w:val="both"/>
              <w:rPr>
                <w:rFonts w:eastAsia="Calibri"/>
                <w:sz w:val="20"/>
                <w:lang w:val="fr-CA"/>
              </w:rPr>
            </w:pPr>
          </w:p>
        </w:tc>
      </w:tr>
      <w:tr w:rsidR="00D53740" w:rsidRPr="00486CA3" w:rsidTr="00D53740">
        <w:tc>
          <w:tcPr>
            <w:tcW w:w="5000" w:type="pct"/>
            <w:gridSpan w:val="3"/>
          </w:tcPr>
          <w:p w:rsidR="00D53740" w:rsidRPr="00354440" w:rsidRDefault="00D53740" w:rsidP="00D53740">
            <w:pPr>
              <w:jc w:val="both"/>
              <w:rPr>
                <w:rFonts w:eastAsia="Calibri"/>
                <w:sz w:val="20"/>
                <w:lang w:val="fr-CA"/>
              </w:rPr>
            </w:pPr>
            <w:r w:rsidRPr="00354440">
              <w:rPr>
                <w:rFonts w:eastAsia="Calibri"/>
                <w:color w:val="000000"/>
                <w:sz w:val="20"/>
                <w:lang w:val="fr-CA"/>
              </w:rPr>
              <w:t>La mère et le père, qui sont les parents biologiques de l'enfant, résidaient tous les deux en Ontario pendant qu'ils étaient ensemble.  En novembre 2011, ils ne formaient déjà plus un couple.  Le 26 novembre 2011, la mère, alors enceinte de sept mois, a quitté l'Ontario pour faire, comme l’a censément cru le père, une visite en Californie.  L'enfant est né le 14 janvier 2012 en Californie.  La mère y vit actuellement et a l'intention de s'y établir.  L'enfant n'a jamais été physiquement présent en Ontario.  Le 17 janvier 2012, le père a présenté une demande en vertu de la</w:t>
            </w:r>
            <w:r w:rsidRPr="00354440">
              <w:rPr>
                <w:rFonts w:eastAsia="Calibri"/>
                <w:i/>
                <w:color w:val="000000"/>
                <w:sz w:val="20"/>
                <w:lang w:val="fr-CA"/>
              </w:rPr>
              <w:t xml:space="preserve"> Loi portant réforme du droit de l'enfance</w:t>
            </w:r>
            <w:r w:rsidRPr="00354440">
              <w:rPr>
                <w:rFonts w:eastAsia="Calibri"/>
                <w:color w:val="000000"/>
                <w:sz w:val="20"/>
                <w:lang w:val="fr-CA"/>
              </w:rPr>
              <w:t>, L.R.O. 1990, ch. C.12 pour obtenir une ordonnance de garde partagée temporaire et permanente de pouvoir décisionnel égal.  La mère a présenté sa propre demande de garde en Californie six jours plus tard.</w:t>
            </w:r>
          </w:p>
          <w:p w:rsidR="00D53740" w:rsidRPr="00354440" w:rsidRDefault="00D53740" w:rsidP="00D53740">
            <w:pPr>
              <w:jc w:val="both"/>
              <w:rPr>
                <w:rFonts w:eastAsia="Calibri"/>
                <w:sz w:val="20"/>
                <w:lang w:val="fr-CA"/>
              </w:rPr>
            </w:pPr>
          </w:p>
          <w:p w:rsidR="00D53740" w:rsidRPr="00354440" w:rsidRDefault="00D53740" w:rsidP="00D53740">
            <w:pPr>
              <w:jc w:val="both"/>
              <w:rPr>
                <w:rFonts w:eastAsia="Calibri"/>
                <w:sz w:val="20"/>
                <w:lang w:val="fr-CA"/>
              </w:rPr>
            </w:pPr>
          </w:p>
        </w:tc>
      </w:tr>
      <w:tr w:rsidR="00D53740" w:rsidRPr="00486CA3" w:rsidTr="00D53740">
        <w:tc>
          <w:tcPr>
            <w:tcW w:w="2427" w:type="pct"/>
          </w:tcPr>
          <w:p w:rsidR="00D53740" w:rsidRPr="00354440" w:rsidRDefault="00D53740" w:rsidP="00D53740">
            <w:pPr>
              <w:jc w:val="both"/>
              <w:rPr>
                <w:rFonts w:eastAsia="Calibri"/>
                <w:sz w:val="20"/>
                <w:lang w:val="fr-CA"/>
              </w:rPr>
            </w:pPr>
            <w:r w:rsidRPr="00354440">
              <w:rPr>
                <w:rFonts w:eastAsia="Calibri"/>
                <w:sz w:val="20"/>
                <w:lang w:val="fr-CA"/>
              </w:rPr>
              <w:t>21 février 2012</w:t>
            </w:r>
          </w:p>
          <w:p w:rsidR="00D53740" w:rsidRPr="00354440" w:rsidRDefault="00D53740" w:rsidP="00D53740">
            <w:pPr>
              <w:jc w:val="both"/>
              <w:rPr>
                <w:rFonts w:eastAsia="Calibri"/>
                <w:sz w:val="20"/>
                <w:lang w:val="fr-CA"/>
              </w:rPr>
            </w:pPr>
            <w:r w:rsidRPr="00354440">
              <w:rPr>
                <w:rFonts w:eastAsia="Calibri"/>
                <w:sz w:val="20"/>
                <w:lang w:val="fr-CA"/>
              </w:rPr>
              <w:t xml:space="preserve">Cour supérieure de justice de l'Ontario </w:t>
            </w:r>
          </w:p>
          <w:p w:rsidR="00D53740" w:rsidRPr="00354440" w:rsidRDefault="00D53740" w:rsidP="00D53740">
            <w:pPr>
              <w:jc w:val="both"/>
              <w:rPr>
                <w:rFonts w:eastAsia="Calibri"/>
                <w:sz w:val="20"/>
                <w:lang w:val="fr-CA"/>
              </w:rPr>
            </w:pPr>
            <w:r w:rsidRPr="00354440">
              <w:rPr>
                <w:rFonts w:eastAsia="Calibri"/>
                <w:sz w:val="20"/>
                <w:lang w:val="fr-CA"/>
              </w:rPr>
              <w:t>(Juge Kiteley)</w:t>
            </w:r>
          </w:p>
          <w:p w:rsidR="00D53740" w:rsidRPr="00354440" w:rsidRDefault="00D53740" w:rsidP="00D53740">
            <w:pPr>
              <w:jc w:val="both"/>
              <w:rPr>
                <w:rFonts w:eastAsia="Calibri"/>
                <w:sz w:val="20"/>
                <w:lang w:val="fr-CA"/>
              </w:rPr>
            </w:pPr>
            <w:r w:rsidRPr="00354440">
              <w:rPr>
                <w:rFonts w:eastAsia="Calibri"/>
                <w:sz w:val="20"/>
                <w:lang w:val="fr-CA"/>
              </w:rPr>
              <w:t>2012 ONSC 1199</w:t>
            </w:r>
          </w:p>
        </w:tc>
        <w:tc>
          <w:tcPr>
            <w:tcW w:w="243" w:type="pct"/>
          </w:tcPr>
          <w:p w:rsidR="00D53740" w:rsidRPr="00354440" w:rsidRDefault="00D53740" w:rsidP="00D53740">
            <w:pPr>
              <w:jc w:val="both"/>
              <w:rPr>
                <w:rFonts w:eastAsia="Calibri"/>
                <w:sz w:val="20"/>
                <w:lang w:val="fr-CA"/>
              </w:rPr>
            </w:pPr>
          </w:p>
        </w:tc>
        <w:tc>
          <w:tcPr>
            <w:tcW w:w="2330" w:type="pct"/>
          </w:tcPr>
          <w:p w:rsidR="00D53740" w:rsidRPr="00354440" w:rsidRDefault="00D53740" w:rsidP="00D53740">
            <w:pPr>
              <w:jc w:val="both"/>
              <w:rPr>
                <w:rFonts w:eastAsia="Calibri"/>
                <w:sz w:val="20"/>
                <w:lang w:val="fr-CA"/>
              </w:rPr>
            </w:pPr>
            <w:r w:rsidRPr="00354440">
              <w:rPr>
                <w:rFonts w:eastAsia="Calibri"/>
                <w:sz w:val="20"/>
                <w:lang w:val="fr-CA"/>
              </w:rPr>
              <w:t xml:space="preserve">Décision portant que les tribunaux de l'Ontario avaient compétence pour juger la demande du père en garde temporaire et permanente de l'enfant en vertu de la compétence </w:t>
            </w:r>
            <w:r w:rsidRPr="00354440">
              <w:rPr>
                <w:rFonts w:eastAsia="Calibri"/>
                <w:i/>
                <w:sz w:val="20"/>
                <w:lang w:val="fr-CA"/>
              </w:rPr>
              <w:t>parens patriae</w:t>
            </w:r>
            <w:r w:rsidRPr="00354440">
              <w:rPr>
                <w:rFonts w:eastAsia="Calibri"/>
                <w:sz w:val="20"/>
                <w:lang w:val="fr-CA"/>
              </w:rPr>
              <w:t xml:space="preserve"> du tribunal</w:t>
            </w:r>
          </w:p>
          <w:p w:rsidR="00D53740" w:rsidRPr="00354440" w:rsidRDefault="00D53740" w:rsidP="00D53740">
            <w:pPr>
              <w:jc w:val="both"/>
              <w:rPr>
                <w:rFonts w:eastAsia="Calibri"/>
                <w:sz w:val="20"/>
                <w:lang w:val="fr-CA"/>
              </w:rPr>
            </w:pPr>
          </w:p>
        </w:tc>
      </w:tr>
      <w:tr w:rsidR="00D53740" w:rsidRPr="00486CA3" w:rsidTr="00157994">
        <w:trPr>
          <w:cantSplit/>
        </w:trPr>
        <w:tc>
          <w:tcPr>
            <w:tcW w:w="2427" w:type="pct"/>
          </w:tcPr>
          <w:p w:rsidR="00D53740" w:rsidRPr="00354440" w:rsidRDefault="00D53740" w:rsidP="00D53740">
            <w:pPr>
              <w:jc w:val="both"/>
              <w:rPr>
                <w:rFonts w:eastAsia="Calibri"/>
                <w:sz w:val="20"/>
                <w:lang w:val="fr-CA"/>
              </w:rPr>
            </w:pPr>
            <w:r w:rsidRPr="00354440">
              <w:rPr>
                <w:rFonts w:eastAsia="Calibri"/>
                <w:sz w:val="20"/>
                <w:lang w:val="fr-CA"/>
              </w:rPr>
              <w:t>31 mai 2012</w:t>
            </w:r>
          </w:p>
          <w:p w:rsidR="00D53740" w:rsidRPr="00354440" w:rsidRDefault="00D53740" w:rsidP="00D53740">
            <w:pPr>
              <w:jc w:val="both"/>
              <w:rPr>
                <w:rFonts w:eastAsia="Calibri"/>
                <w:sz w:val="20"/>
                <w:lang w:val="fr-CA"/>
              </w:rPr>
            </w:pPr>
            <w:r w:rsidRPr="00354440">
              <w:rPr>
                <w:rFonts w:eastAsia="Calibri"/>
                <w:sz w:val="20"/>
                <w:lang w:val="fr-CA"/>
              </w:rPr>
              <w:t xml:space="preserve">Cour d'appel de l'Ontario </w:t>
            </w:r>
          </w:p>
          <w:p w:rsidR="00D53740" w:rsidRPr="00354440" w:rsidRDefault="00D53740" w:rsidP="00D53740">
            <w:pPr>
              <w:jc w:val="both"/>
              <w:rPr>
                <w:rFonts w:eastAsia="Calibri"/>
                <w:sz w:val="20"/>
                <w:lang w:val="fr-CA"/>
              </w:rPr>
            </w:pPr>
            <w:r w:rsidRPr="00354440">
              <w:rPr>
                <w:rFonts w:eastAsia="Calibri"/>
                <w:sz w:val="20"/>
                <w:lang w:val="fr-CA"/>
              </w:rPr>
              <w:t>(Juges Cronk, Juriansz et Epstein)</w:t>
            </w:r>
          </w:p>
          <w:p w:rsidR="00D53740" w:rsidRPr="00354440" w:rsidRDefault="00D53740" w:rsidP="00D53740">
            <w:pPr>
              <w:jc w:val="both"/>
              <w:rPr>
                <w:rFonts w:eastAsia="Calibri"/>
                <w:sz w:val="20"/>
                <w:lang w:val="fr-CA"/>
              </w:rPr>
            </w:pPr>
            <w:r w:rsidRPr="00354440">
              <w:rPr>
                <w:rFonts w:eastAsia="Calibri"/>
                <w:sz w:val="20"/>
                <w:lang w:val="fr-CA"/>
              </w:rPr>
              <w:t>2012 ONCA 361</w:t>
            </w:r>
          </w:p>
          <w:p w:rsidR="00D53740" w:rsidRPr="00354440" w:rsidRDefault="00D53740" w:rsidP="00D53740">
            <w:pPr>
              <w:jc w:val="both"/>
              <w:rPr>
                <w:rFonts w:eastAsia="Calibri"/>
                <w:sz w:val="20"/>
                <w:lang w:val="fr-CA"/>
              </w:rPr>
            </w:pPr>
          </w:p>
        </w:tc>
        <w:tc>
          <w:tcPr>
            <w:tcW w:w="243" w:type="pct"/>
          </w:tcPr>
          <w:p w:rsidR="00D53740" w:rsidRPr="00354440" w:rsidRDefault="00D53740" w:rsidP="00D53740">
            <w:pPr>
              <w:jc w:val="both"/>
              <w:rPr>
                <w:rFonts w:eastAsia="Calibri"/>
                <w:sz w:val="20"/>
                <w:lang w:val="fr-CA"/>
              </w:rPr>
            </w:pPr>
          </w:p>
        </w:tc>
        <w:tc>
          <w:tcPr>
            <w:tcW w:w="2330" w:type="pct"/>
          </w:tcPr>
          <w:p w:rsidR="00D53740" w:rsidRPr="00354440" w:rsidRDefault="00D53740" w:rsidP="00D53740">
            <w:pPr>
              <w:jc w:val="both"/>
              <w:rPr>
                <w:rFonts w:eastAsia="Calibri"/>
                <w:sz w:val="20"/>
                <w:lang w:val="fr-CA"/>
              </w:rPr>
            </w:pPr>
            <w:r w:rsidRPr="00354440">
              <w:rPr>
                <w:rFonts w:eastAsia="Calibri"/>
                <w:sz w:val="20"/>
                <w:lang w:val="fr-CA"/>
              </w:rPr>
              <w:t>Appel accueilli; la demande du père est rejetée faute de compétence</w:t>
            </w:r>
          </w:p>
          <w:p w:rsidR="00D53740" w:rsidRPr="00354440" w:rsidRDefault="00D53740" w:rsidP="00D53740">
            <w:pPr>
              <w:jc w:val="both"/>
              <w:rPr>
                <w:rFonts w:eastAsia="Calibri"/>
                <w:sz w:val="20"/>
                <w:lang w:val="fr-CA"/>
              </w:rPr>
            </w:pPr>
          </w:p>
        </w:tc>
      </w:tr>
      <w:tr w:rsidR="00D53740" w:rsidRPr="00354440" w:rsidTr="00157994">
        <w:trPr>
          <w:cantSplit/>
        </w:trPr>
        <w:tc>
          <w:tcPr>
            <w:tcW w:w="2427" w:type="pct"/>
          </w:tcPr>
          <w:p w:rsidR="00D53740" w:rsidRPr="00354440" w:rsidRDefault="00D53740" w:rsidP="00D53740">
            <w:pPr>
              <w:jc w:val="both"/>
              <w:rPr>
                <w:rFonts w:eastAsia="Calibri"/>
                <w:sz w:val="20"/>
                <w:lang w:val="fr-CA"/>
              </w:rPr>
            </w:pPr>
            <w:r w:rsidRPr="00354440">
              <w:rPr>
                <w:rFonts w:eastAsia="Calibri"/>
                <w:sz w:val="20"/>
                <w:lang w:val="fr-CA"/>
              </w:rPr>
              <w:t>29 août 2012</w:t>
            </w:r>
          </w:p>
          <w:p w:rsidR="00D53740" w:rsidRPr="00354440" w:rsidRDefault="00D53740" w:rsidP="00D53740">
            <w:pPr>
              <w:jc w:val="both"/>
              <w:rPr>
                <w:rFonts w:eastAsia="Calibri"/>
                <w:sz w:val="20"/>
                <w:lang w:val="fr-CA"/>
              </w:rPr>
            </w:pPr>
            <w:r w:rsidRPr="00354440">
              <w:rPr>
                <w:rFonts w:eastAsia="Calibri"/>
                <w:sz w:val="20"/>
                <w:lang w:val="fr-CA"/>
              </w:rPr>
              <w:t>Cour suprême du Canada</w:t>
            </w:r>
          </w:p>
        </w:tc>
        <w:tc>
          <w:tcPr>
            <w:tcW w:w="243" w:type="pct"/>
          </w:tcPr>
          <w:p w:rsidR="00D53740" w:rsidRPr="00354440" w:rsidRDefault="00D53740" w:rsidP="00D53740">
            <w:pPr>
              <w:jc w:val="both"/>
              <w:rPr>
                <w:rFonts w:eastAsia="Calibri"/>
                <w:sz w:val="20"/>
                <w:lang w:val="fr-CA"/>
              </w:rPr>
            </w:pPr>
          </w:p>
        </w:tc>
        <w:tc>
          <w:tcPr>
            <w:tcW w:w="2330" w:type="pct"/>
          </w:tcPr>
          <w:p w:rsidR="00D53740" w:rsidRPr="00354440" w:rsidRDefault="00D53740" w:rsidP="00D53740">
            <w:pPr>
              <w:jc w:val="both"/>
              <w:rPr>
                <w:rFonts w:eastAsia="Calibri"/>
                <w:sz w:val="20"/>
                <w:lang w:val="fr-CA"/>
              </w:rPr>
            </w:pPr>
            <w:r w:rsidRPr="00354440">
              <w:rPr>
                <w:rFonts w:eastAsia="Calibri"/>
                <w:sz w:val="20"/>
                <w:lang w:val="fr-CA"/>
              </w:rPr>
              <w:t>Demande d'autorisation d'appel, déposée</w:t>
            </w:r>
          </w:p>
          <w:p w:rsidR="00D53740" w:rsidRPr="00354440" w:rsidRDefault="00D53740" w:rsidP="00D53740">
            <w:pPr>
              <w:jc w:val="both"/>
              <w:rPr>
                <w:rFonts w:eastAsia="Calibri"/>
                <w:sz w:val="20"/>
                <w:lang w:val="fr-CA"/>
              </w:rPr>
            </w:pPr>
          </w:p>
        </w:tc>
      </w:tr>
    </w:tbl>
    <w:p w:rsidR="00441FC4" w:rsidRDefault="00441FC4" w:rsidP="00441FC4">
      <w:pPr>
        <w:rPr>
          <w:sz w:val="20"/>
          <w:szCs w:val="20"/>
        </w:rPr>
      </w:pPr>
    </w:p>
    <w:p w:rsidR="00441FC4" w:rsidRDefault="00DB239D" w:rsidP="00441FC4">
      <w:pPr>
        <w:rPr>
          <w:sz w:val="20"/>
          <w:szCs w:val="20"/>
          <w:lang w:val="fr-CA"/>
        </w:rPr>
      </w:pPr>
      <w:r w:rsidRPr="00DB239D">
        <w:rPr>
          <w:sz w:val="20"/>
          <w:szCs w:val="20"/>
          <w:lang w:val="fr-CA"/>
        </w:rPr>
        <w:pict>
          <v:rect id="_x0000_i1087" style="width:2in;height:1pt" o:hrpct="0" o:hralign="center" o:hrstd="t" o:hrnoshade="t" o:hr="t" fillcolor="black [3213]" stroked="f"/>
        </w:pict>
      </w:r>
    </w:p>
    <w:p w:rsidR="00441FC4" w:rsidRDefault="00441FC4" w:rsidP="00441FC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7994" w:rsidRPr="00486CA3" w:rsidTr="00066741">
        <w:trPr>
          <w:cantSplit/>
        </w:trPr>
        <w:tc>
          <w:tcPr>
            <w:tcW w:w="1458" w:type="dxa"/>
          </w:tcPr>
          <w:p w:rsidR="00157994" w:rsidRPr="004C6E6E" w:rsidRDefault="00157994" w:rsidP="00066741">
            <w:pPr>
              <w:rPr>
                <w:sz w:val="20"/>
                <w:szCs w:val="20"/>
              </w:rPr>
            </w:pPr>
            <w:r w:rsidRPr="004C6E6E">
              <w:rPr>
                <w:rStyle w:val="SCCFileNumberChar"/>
                <w:sz w:val="20"/>
                <w:szCs w:val="20"/>
              </w:rPr>
              <w:t>34955</w:t>
            </w:r>
          </w:p>
          <w:p w:rsidR="00157994" w:rsidRPr="004C6E6E" w:rsidRDefault="00157994" w:rsidP="00066741">
            <w:pPr>
              <w:rPr>
                <w:b/>
                <w:sz w:val="20"/>
                <w:szCs w:val="20"/>
                <w:lang w:val="fr-CA"/>
              </w:rPr>
            </w:pPr>
          </w:p>
        </w:tc>
        <w:tc>
          <w:tcPr>
            <w:tcW w:w="8118" w:type="dxa"/>
          </w:tcPr>
          <w:p w:rsidR="00157994" w:rsidRPr="004C6E6E" w:rsidRDefault="00157994" w:rsidP="00066741">
            <w:pPr>
              <w:rPr>
                <w:sz w:val="20"/>
                <w:szCs w:val="20"/>
                <w:lang w:val="fr-CA"/>
              </w:rPr>
            </w:pPr>
            <w:r w:rsidRPr="004C6E6E">
              <w:rPr>
                <w:rStyle w:val="SCCLsocChar"/>
                <w:sz w:val="20"/>
                <w:szCs w:val="20"/>
              </w:rPr>
              <w:t>Dominique Albernhe c. François Rondeau</w:t>
            </w:r>
            <w:r w:rsidRPr="004C6E6E">
              <w:rPr>
                <w:sz w:val="20"/>
                <w:szCs w:val="20"/>
                <w:lang w:val="fr-CA"/>
              </w:rPr>
              <w:t xml:space="preserve"> (Qc) (Civile) (Autorisation)</w:t>
            </w:r>
          </w:p>
          <w:p w:rsidR="00157994" w:rsidRPr="004C6E6E" w:rsidRDefault="00157994" w:rsidP="00066741">
            <w:pPr>
              <w:rPr>
                <w:sz w:val="20"/>
                <w:szCs w:val="20"/>
                <w:lang w:val="fr-CA"/>
              </w:rPr>
            </w:pPr>
          </w:p>
        </w:tc>
      </w:tr>
      <w:tr w:rsidR="00157994" w:rsidRPr="00486CA3" w:rsidTr="00066741">
        <w:trPr>
          <w:cantSplit/>
        </w:trPr>
        <w:tc>
          <w:tcPr>
            <w:tcW w:w="1458" w:type="dxa"/>
          </w:tcPr>
          <w:p w:rsidR="00157994" w:rsidRPr="004C6E6E" w:rsidRDefault="00157994" w:rsidP="00066741">
            <w:pPr>
              <w:rPr>
                <w:sz w:val="20"/>
                <w:szCs w:val="20"/>
              </w:rPr>
            </w:pPr>
            <w:r w:rsidRPr="004C6E6E">
              <w:rPr>
                <w:sz w:val="20"/>
                <w:szCs w:val="20"/>
              </w:rPr>
              <w:t>Coram :</w:t>
            </w:r>
          </w:p>
        </w:tc>
        <w:tc>
          <w:tcPr>
            <w:tcW w:w="8118" w:type="dxa"/>
          </w:tcPr>
          <w:p w:rsidR="00157994" w:rsidRPr="004C6E6E" w:rsidRDefault="00157994" w:rsidP="00066741">
            <w:pPr>
              <w:rPr>
                <w:sz w:val="20"/>
                <w:szCs w:val="20"/>
                <w:lang w:val="fr-CA"/>
              </w:rPr>
            </w:pPr>
            <w:r w:rsidRPr="004C6E6E">
              <w:rPr>
                <w:rStyle w:val="SCCCoramChar"/>
                <w:sz w:val="20"/>
                <w:szCs w:val="20"/>
              </w:rPr>
              <w:t>Les juges LeBel, Abella et Cromwell</w:t>
            </w:r>
          </w:p>
          <w:p w:rsidR="00157994" w:rsidRPr="004C6E6E" w:rsidRDefault="00157994" w:rsidP="00066741">
            <w:pPr>
              <w:rPr>
                <w:sz w:val="20"/>
                <w:szCs w:val="20"/>
                <w:u w:val="single"/>
                <w:lang w:val="fr-CA"/>
              </w:rPr>
            </w:pPr>
          </w:p>
        </w:tc>
      </w:tr>
      <w:tr w:rsidR="00157994" w:rsidRPr="004C6E6E" w:rsidTr="00066741">
        <w:trPr>
          <w:cantSplit/>
        </w:trPr>
        <w:tc>
          <w:tcPr>
            <w:tcW w:w="9576" w:type="dxa"/>
            <w:gridSpan w:val="2"/>
          </w:tcPr>
          <w:p w:rsidR="00157994" w:rsidRPr="004C6E6E" w:rsidRDefault="00157994" w:rsidP="00066741">
            <w:pPr>
              <w:pStyle w:val="SCCShortJudgment"/>
              <w:rPr>
                <w:szCs w:val="20"/>
                <w:lang w:val="fr-CA"/>
              </w:rPr>
            </w:pPr>
            <w:r w:rsidRPr="004C6E6E">
              <w:rPr>
                <w:szCs w:val="20"/>
                <w:lang w:val="fr-CA"/>
              </w:rPr>
              <w:t>La requête en prorogation du délai de signification et de dépôt de la demande d’autorisation d’appel est accueillie. La demande d’autorisation d’appel de l’arrêt de la Cour d’appel du Québec (Québec), numéro 200-09-007636-126, 2012 QCCA 463, daté du 12 mars 2012, est rejetée sans dépens.</w:t>
            </w:r>
          </w:p>
          <w:p w:rsidR="00157994" w:rsidRPr="004C6E6E" w:rsidRDefault="00157994" w:rsidP="00066741">
            <w:pPr>
              <w:pStyle w:val="SCCShortJudgment"/>
              <w:ind w:firstLine="0"/>
              <w:rPr>
                <w:szCs w:val="20"/>
                <w:lang w:val="fr-CA"/>
              </w:rPr>
            </w:pPr>
          </w:p>
          <w:p w:rsidR="00157994" w:rsidRPr="004C6E6E" w:rsidRDefault="00157994" w:rsidP="00066741">
            <w:pPr>
              <w:pStyle w:val="SCCShortJudgment"/>
              <w:rPr>
                <w:szCs w:val="20"/>
              </w:rPr>
            </w:pPr>
            <w:r w:rsidRPr="004C6E6E">
              <w:rPr>
                <w:szCs w:val="20"/>
              </w:rPr>
              <w:t>The motion for an extension of time to serve and file the application for leave to appeal is granted. The application for leave to appeal from the judgment of the Court of Appeal of Quebec (Québec), Number 200-09-007636-126, 2012 QCCA 463, dated March 12, 2012, is dismissed without costs.</w:t>
            </w:r>
          </w:p>
        </w:tc>
      </w:tr>
    </w:tbl>
    <w:p w:rsidR="00441FC4" w:rsidRPr="00157994" w:rsidRDefault="00441FC4" w:rsidP="00441FC4">
      <w:pPr>
        <w:rPr>
          <w:sz w:val="20"/>
          <w:szCs w:val="20"/>
        </w:rPr>
      </w:pPr>
    </w:p>
    <w:p w:rsidR="00441FC4" w:rsidRPr="001B157C" w:rsidRDefault="00441FC4" w:rsidP="00441FC4">
      <w:pPr>
        <w:rPr>
          <w:sz w:val="20"/>
          <w:szCs w:val="20"/>
          <w:u w:val="single"/>
        </w:rPr>
      </w:pPr>
      <w:r w:rsidRPr="001B157C">
        <w:rPr>
          <w:sz w:val="20"/>
          <w:szCs w:val="20"/>
          <w:u w:val="single"/>
        </w:rPr>
        <w:t>CASE SUMMARY</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53740" w:rsidRPr="00354440" w:rsidTr="00D53740">
        <w:tc>
          <w:tcPr>
            <w:tcW w:w="5000" w:type="pct"/>
            <w:gridSpan w:val="3"/>
          </w:tcPr>
          <w:p w:rsidR="00D53740" w:rsidRPr="00354440" w:rsidRDefault="00D53740" w:rsidP="00D53740">
            <w:pPr>
              <w:jc w:val="both"/>
              <w:rPr>
                <w:rFonts w:eastAsia="Calibri"/>
                <w:sz w:val="20"/>
              </w:rPr>
            </w:pPr>
            <w:r w:rsidRPr="00354440">
              <w:rPr>
                <w:rFonts w:eastAsia="Calibri"/>
                <w:sz w:val="20"/>
              </w:rPr>
              <w:t>Civil procedure — Motion to dismiss appeal — Proceeding seeking equal partition and licitation of residence held in undivided co</w:t>
            </w:r>
            <w:r w:rsidRPr="00354440">
              <w:rPr>
                <w:rFonts w:eastAsia="Calibri"/>
                <w:sz w:val="20"/>
              </w:rPr>
              <w:noBreakHyphen/>
              <w:t>ownership — End of indivision declared and equal partition ordered — Whether Court of Appeal wrongly allowed motion to dismiss appeal — Whether Superior Court should have ordered payment of indemnity for unjust enrichment.</w:t>
            </w:r>
          </w:p>
        </w:tc>
      </w:tr>
      <w:tr w:rsidR="00D53740" w:rsidRPr="00354440" w:rsidTr="00D53740">
        <w:tc>
          <w:tcPr>
            <w:tcW w:w="5000" w:type="pct"/>
            <w:gridSpan w:val="3"/>
          </w:tcPr>
          <w:p w:rsidR="00D53740" w:rsidRPr="00354440" w:rsidRDefault="00D53740" w:rsidP="00D53740">
            <w:pPr>
              <w:jc w:val="both"/>
              <w:rPr>
                <w:rFonts w:eastAsia="Calibri"/>
                <w:sz w:val="20"/>
              </w:rPr>
            </w:pPr>
          </w:p>
        </w:tc>
      </w:tr>
      <w:tr w:rsidR="00D53740" w:rsidRPr="00354440" w:rsidTr="00D53740">
        <w:tc>
          <w:tcPr>
            <w:tcW w:w="5000" w:type="pct"/>
            <w:gridSpan w:val="3"/>
          </w:tcPr>
          <w:p w:rsidR="00D53740" w:rsidRPr="00354440" w:rsidRDefault="00D53740" w:rsidP="00D53740">
            <w:pPr>
              <w:jc w:val="both"/>
              <w:rPr>
                <w:rFonts w:eastAsia="Calibri"/>
                <w:sz w:val="20"/>
              </w:rPr>
            </w:pPr>
            <w:r w:rsidRPr="00354440">
              <w:rPr>
                <w:rFonts w:eastAsia="Calibri"/>
                <w:sz w:val="20"/>
              </w:rPr>
              <w:t xml:space="preserve">The parties, who had been </w:t>
            </w:r>
            <w:r w:rsidRPr="00354440">
              <w:rPr>
                <w:rFonts w:eastAsia="Calibri"/>
                <w:i/>
                <w:sz w:val="20"/>
              </w:rPr>
              <w:t>de facto</w:t>
            </w:r>
            <w:r w:rsidRPr="00354440">
              <w:rPr>
                <w:rFonts w:eastAsia="Calibri"/>
                <w:sz w:val="20"/>
              </w:rPr>
              <w:t xml:space="preserve"> spouses since 1996, separated for good in 2010.  They were the undivided co</w:t>
            </w:r>
            <w:r w:rsidRPr="00354440">
              <w:rPr>
                <w:rFonts w:eastAsia="Calibri"/>
                <w:sz w:val="20"/>
              </w:rPr>
              <w:noBreakHyphen/>
              <w:t>owners of a heritage home that they had renovated.  Mr. Rondeau applied to the Superior Court for an order ending the indivision.  The Superior Court allowed the action.   Parent J. found that only one conclusion was possible in light of the evidence, namely that Ms. Albernhe [</w:t>
            </w:r>
            <w:r w:rsidRPr="00354440">
              <w:rPr>
                <w:rFonts w:eastAsia="Calibri"/>
                <w:smallCaps/>
                <w:sz w:val="20"/>
              </w:rPr>
              <w:t>translation</w:t>
            </w:r>
            <w:r w:rsidRPr="00354440">
              <w:rPr>
                <w:rFonts w:eastAsia="Calibri"/>
                <w:sz w:val="20"/>
              </w:rPr>
              <w:t xml:space="preserve">] “has not rebutted the presumption set out in art. 1015 </w:t>
            </w:r>
            <w:r w:rsidRPr="00354440">
              <w:rPr>
                <w:rFonts w:eastAsia="Calibri"/>
                <w:i/>
                <w:sz w:val="20"/>
              </w:rPr>
              <w:t>C.C.Q.</w:t>
            </w:r>
            <w:r w:rsidRPr="00354440">
              <w:rPr>
                <w:rFonts w:eastAsia="Calibri"/>
                <w:sz w:val="20"/>
              </w:rPr>
              <w:t xml:space="preserve"> on a balance of probabilities” (para. 55), which meant that the parties had to be considered equal undivided co</w:t>
            </w:r>
            <w:r w:rsidRPr="00354440">
              <w:rPr>
                <w:rFonts w:eastAsia="Calibri"/>
                <w:sz w:val="20"/>
              </w:rPr>
              <w:noBreakHyphen/>
              <w:t>owners.  The judge ordered the sale of the immovable and established terms and conditions for the sale.  He also dealt with several additional claims, which he dismissed for the most part.</w:t>
            </w:r>
          </w:p>
          <w:p w:rsidR="00D53740" w:rsidRPr="00354440" w:rsidRDefault="00D53740" w:rsidP="00D53740">
            <w:pPr>
              <w:jc w:val="both"/>
              <w:rPr>
                <w:rFonts w:eastAsia="Calibri"/>
                <w:sz w:val="20"/>
              </w:rPr>
            </w:pPr>
          </w:p>
          <w:p w:rsidR="00D53740" w:rsidRPr="00354440" w:rsidRDefault="00D53740" w:rsidP="00D53740">
            <w:pPr>
              <w:jc w:val="both"/>
              <w:rPr>
                <w:rFonts w:eastAsia="Calibri"/>
                <w:sz w:val="20"/>
              </w:rPr>
            </w:pPr>
            <w:r w:rsidRPr="00354440">
              <w:rPr>
                <w:rFonts w:eastAsia="Calibri"/>
                <w:sz w:val="20"/>
              </w:rPr>
              <w:t>On appeal, since the Court of Appeal was of the opinion that the appeal raised only questions relating to the assessment of evidence and could not succeed, it allowed Mr. Rondeau’s motion to dismiss the appeal and dismissed Ms. Albernhe’s appeal at the preliminary stage.</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December 28, 2011</w:t>
            </w:r>
          </w:p>
          <w:p w:rsidR="00D53740" w:rsidRPr="00354440" w:rsidRDefault="00D53740" w:rsidP="00D53740">
            <w:pPr>
              <w:jc w:val="both"/>
              <w:rPr>
                <w:rFonts w:eastAsia="Calibri"/>
                <w:sz w:val="20"/>
              </w:rPr>
            </w:pPr>
            <w:r w:rsidRPr="00354440">
              <w:rPr>
                <w:rFonts w:eastAsia="Calibri"/>
                <w:sz w:val="20"/>
              </w:rPr>
              <w:t>Quebec Superior Court</w:t>
            </w:r>
          </w:p>
          <w:p w:rsidR="00D53740" w:rsidRPr="00354440" w:rsidRDefault="00D53740" w:rsidP="00D53740">
            <w:pPr>
              <w:jc w:val="both"/>
              <w:rPr>
                <w:rFonts w:eastAsia="Calibri"/>
                <w:sz w:val="20"/>
              </w:rPr>
            </w:pPr>
            <w:r w:rsidRPr="00354440">
              <w:rPr>
                <w:rFonts w:eastAsia="Calibri"/>
                <w:sz w:val="20"/>
              </w:rPr>
              <w:t>(Parent J.)</w:t>
            </w:r>
          </w:p>
          <w:p w:rsidR="00D53740" w:rsidRPr="00354440" w:rsidRDefault="00D53740" w:rsidP="00D53740">
            <w:pPr>
              <w:jc w:val="both"/>
              <w:rPr>
                <w:rFonts w:eastAsia="Calibri"/>
                <w:sz w:val="20"/>
              </w:rPr>
            </w:pPr>
            <w:r w:rsidRPr="00354440">
              <w:rPr>
                <w:rFonts w:eastAsia="Calibri"/>
                <w:sz w:val="20"/>
              </w:rPr>
              <w:t>2011 QCCS 7356</w:t>
            </w:r>
          </w:p>
          <w:p w:rsidR="00D53740" w:rsidRPr="00354440" w:rsidRDefault="00D53740" w:rsidP="00D53740">
            <w:pPr>
              <w:jc w:val="both"/>
              <w:rPr>
                <w:rFonts w:eastAsia="Calibri"/>
                <w:sz w:val="20"/>
              </w:rPr>
            </w:pP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Motion seeking equal partition and licitation of residence held in undivided co</w:t>
            </w:r>
            <w:r w:rsidRPr="00354440">
              <w:rPr>
                <w:rFonts w:eastAsia="Calibri"/>
                <w:sz w:val="20"/>
              </w:rPr>
              <w:noBreakHyphen/>
              <w:t>ownership allowed</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March 12, 2012</w:t>
            </w:r>
          </w:p>
          <w:p w:rsidR="00D53740" w:rsidRPr="00354440" w:rsidRDefault="00D53740" w:rsidP="00D53740">
            <w:pPr>
              <w:jc w:val="both"/>
              <w:rPr>
                <w:rFonts w:eastAsia="Calibri"/>
                <w:sz w:val="20"/>
              </w:rPr>
            </w:pPr>
            <w:r w:rsidRPr="00354440">
              <w:rPr>
                <w:rFonts w:eastAsia="Calibri"/>
                <w:sz w:val="20"/>
              </w:rPr>
              <w:t>Quebec Court of Appeal (Québec)</w:t>
            </w:r>
          </w:p>
          <w:p w:rsidR="00D53740" w:rsidRPr="00354440" w:rsidRDefault="00D53740" w:rsidP="00D53740">
            <w:pPr>
              <w:jc w:val="both"/>
              <w:rPr>
                <w:rFonts w:eastAsia="Calibri"/>
                <w:sz w:val="20"/>
              </w:rPr>
            </w:pPr>
            <w:r w:rsidRPr="00354440">
              <w:rPr>
                <w:rFonts w:eastAsia="Calibri"/>
                <w:sz w:val="20"/>
              </w:rPr>
              <w:t>(Rochette, Rochon and Giroux JJ.A.)</w:t>
            </w:r>
          </w:p>
          <w:p w:rsidR="00D53740" w:rsidRPr="00354440" w:rsidRDefault="00D53740" w:rsidP="00D53740">
            <w:pPr>
              <w:jc w:val="both"/>
              <w:rPr>
                <w:rFonts w:eastAsia="Calibri"/>
                <w:sz w:val="20"/>
              </w:rPr>
            </w:pPr>
            <w:r w:rsidRPr="00354440">
              <w:rPr>
                <w:rFonts w:eastAsia="Calibri"/>
                <w:sz w:val="20"/>
              </w:rPr>
              <w:t>2012 QCCA 463; 200</w:t>
            </w:r>
            <w:r w:rsidRPr="00354440">
              <w:rPr>
                <w:rFonts w:eastAsia="Calibri"/>
                <w:sz w:val="20"/>
              </w:rPr>
              <w:noBreakHyphen/>
              <w:t>09</w:t>
            </w:r>
            <w:r w:rsidRPr="00354440">
              <w:rPr>
                <w:rFonts w:eastAsia="Calibri"/>
                <w:sz w:val="20"/>
              </w:rPr>
              <w:noBreakHyphen/>
              <w:t>007636</w:t>
            </w:r>
            <w:r w:rsidRPr="00354440">
              <w:rPr>
                <w:rFonts w:eastAsia="Calibri"/>
                <w:sz w:val="20"/>
              </w:rPr>
              <w:noBreakHyphen/>
              <w:t>126</w:t>
            </w:r>
          </w:p>
          <w:p w:rsidR="00D53740" w:rsidRPr="00354440" w:rsidRDefault="00D53740" w:rsidP="00D53740">
            <w:pPr>
              <w:jc w:val="both"/>
              <w:rPr>
                <w:rFonts w:eastAsia="Calibri"/>
                <w:sz w:val="20"/>
              </w:rPr>
            </w:pP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Motion to dismiss appeal allowed; appeal dismissed</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 xml:space="preserve">May 11, 2012 </w:t>
            </w:r>
          </w:p>
          <w:p w:rsidR="00D53740" w:rsidRPr="00354440" w:rsidRDefault="00D53740" w:rsidP="00D53740">
            <w:pPr>
              <w:jc w:val="both"/>
              <w:rPr>
                <w:rFonts w:eastAsia="Calibri"/>
                <w:sz w:val="20"/>
              </w:rPr>
            </w:pPr>
            <w:r w:rsidRPr="00354440">
              <w:rPr>
                <w:rFonts w:eastAsia="Calibri"/>
                <w:sz w:val="20"/>
              </w:rPr>
              <w:t>Quebec Court of Appeal (Québec)</w:t>
            </w:r>
          </w:p>
          <w:p w:rsidR="00D53740" w:rsidRPr="00354440" w:rsidRDefault="00D53740" w:rsidP="00D53740">
            <w:pPr>
              <w:jc w:val="both"/>
              <w:rPr>
                <w:rFonts w:eastAsia="Calibri"/>
                <w:sz w:val="20"/>
              </w:rPr>
            </w:pPr>
            <w:r w:rsidRPr="00354440">
              <w:rPr>
                <w:rFonts w:eastAsia="Calibri"/>
                <w:sz w:val="20"/>
              </w:rPr>
              <w:t>(Chamberland, Doyon and Gagnon JJ.A.)</w:t>
            </w:r>
          </w:p>
          <w:p w:rsidR="00D53740" w:rsidRPr="00354440" w:rsidRDefault="00D53740" w:rsidP="00D53740">
            <w:pPr>
              <w:jc w:val="both"/>
              <w:rPr>
                <w:rFonts w:eastAsia="Calibri"/>
                <w:sz w:val="20"/>
              </w:rPr>
            </w:pPr>
            <w:r w:rsidRPr="00354440">
              <w:rPr>
                <w:rFonts w:eastAsia="Calibri"/>
                <w:sz w:val="20"/>
              </w:rPr>
              <w:t>2012 QCCA 977; 200</w:t>
            </w:r>
            <w:r w:rsidRPr="00354440">
              <w:rPr>
                <w:rFonts w:eastAsia="Calibri"/>
                <w:sz w:val="20"/>
              </w:rPr>
              <w:noBreakHyphen/>
              <w:t>09</w:t>
            </w:r>
            <w:r w:rsidRPr="00354440">
              <w:rPr>
                <w:rFonts w:eastAsia="Calibri"/>
                <w:sz w:val="20"/>
              </w:rPr>
              <w:noBreakHyphen/>
              <w:t>007636</w:t>
            </w:r>
            <w:r w:rsidRPr="00354440">
              <w:rPr>
                <w:rFonts w:eastAsia="Calibri"/>
                <w:sz w:val="20"/>
              </w:rPr>
              <w:noBreakHyphen/>
              <w:t>126</w:t>
            </w:r>
          </w:p>
          <w:p w:rsidR="00D53740" w:rsidRPr="00354440" w:rsidRDefault="00D53740" w:rsidP="00D53740">
            <w:pPr>
              <w:jc w:val="both"/>
              <w:rPr>
                <w:rFonts w:eastAsia="Calibri"/>
                <w:sz w:val="20"/>
              </w:rPr>
            </w:pP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Motion in revocation of judgment dismissed</w:t>
            </w:r>
          </w:p>
          <w:p w:rsidR="00D53740" w:rsidRPr="00354440" w:rsidRDefault="00D53740" w:rsidP="00D53740">
            <w:pPr>
              <w:jc w:val="both"/>
              <w:rPr>
                <w:rFonts w:eastAsia="Calibri"/>
                <w:sz w:val="20"/>
              </w:rPr>
            </w:pPr>
          </w:p>
        </w:tc>
      </w:tr>
      <w:tr w:rsidR="00D53740" w:rsidRPr="00354440" w:rsidTr="00D53740">
        <w:tc>
          <w:tcPr>
            <w:tcW w:w="2427" w:type="pct"/>
          </w:tcPr>
          <w:p w:rsidR="00D53740" w:rsidRPr="00354440" w:rsidRDefault="00D53740" w:rsidP="00D53740">
            <w:pPr>
              <w:jc w:val="both"/>
              <w:rPr>
                <w:rFonts w:eastAsia="Calibri"/>
                <w:sz w:val="20"/>
              </w:rPr>
            </w:pPr>
            <w:r w:rsidRPr="00354440">
              <w:rPr>
                <w:rFonts w:eastAsia="Calibri"/>
                <w:sz w:val="20"/>
              </w:rPr>
              <w:t>September 5, 2012</w:t>
            </w:r>
          </w:p>
          <w:p w:rsidR="00D53740" w:rsidRPr="00354440" w:rsidRDefault="00D53740" w:rsidP="00D53740">
            <w:pPr>
              <w:jc w:val="both"/>
              <w:rPr>
                <w:rFonts w:eastAsia="Calibri"/>
                <w:sz w:val="20"/>
              </w:rPr>
            </w:pPr>
            <w:r w:rsidRPr="00354440">
              <w:rPr>
                <w:rFonts w:eastAsia="Calibri"/>
                <w:sz w:val="20"/>
              </w:rPr>
              <w:t>Supreme Court of Canada</w:t>
            </w:r>
          </w:p>
        </w:tc>
        <w:tc>
          <w:tcPr>
            <w:tcW w:w="243" w:type="pct"/>
          </w:tcPr>
          <w:p w:rsidR="00D53740" w:rsidRPr="00354440" w:rsidRDefault="00D53740" w:rsidP="00D53740">
            <w:pPr>
              <w:jc w:val="both"/>
              <w:rPr>
                <w:rFonts w:eastAsia="Calibri"/>
                <w:sz w:val="20"/>
              </w:rPr>
            </w:pPr>
          </w:p>
        </w:tc>
        <w:tc>
          <w:tcPr>
            <w:tcW w:w="2330" w:type="pct"/>
          </w:tcPr>
          <w:p w:rsidR="00D53740" w:rsidRPr="00354440" w:rsidRDefault="00D53740" w:rsidP="00D53740">
            <w:pPr>
              <w:jc w:val="both"/>
              <w:rPr>
                <w:rFonts w:eastAsia="Calibri"/>
                <w:sz w:val="20"/>
              </w:rPr>
            </w:pPr>
            <w:r w:rsidRPr="00354440">
              <w:rPr>
                <w:rFonts w:eastAsia="Calibri"/>
                <w:sz w:val="20"/>
              </w:rPr>
              <w:t>Motion to extend time to serve and file application for leave to appeal and application for leave to appeal filed</w:t>
            </w:r>
          </w:p>
        </w:tc>
      </w:tr>
    </w:tbl>
    <w:p w:rsidR="00441FC4" w:rsidRDefault="00441FC4" w:rsidP="00441FC4">
      <w:pPr>
        <w:rPr>
          <w:sz w:val="20"/>
          <w:szCs w:val="20"/>
        </w:rPr>
      </w:pPr>
    </w:p>
    <w:p w:rsidR="00441FC4" w:rsidRPr="00C50A5C" w:rsidRDefault="00DB239D" w:rsidP="00441FC4">
      <w:pPr>
        <w:rPr>
          <w:sz w:val="20"/>
          <w:szCs w:val="20"/>
        </w:rPr>
      </w:pPr>
      <w:r w:rsidRPr="00DB239D">
        <w:rPr>
          <w:sz w:val="20"/>
          <w:szCs w:val="20"/>
          <w:lang w:val="fr-CA"/>
        </w:rPr>
        <w:pict>
          <v:rect id="_x0000_i1088" style="width:2in;height:1pt" o:hrpct="0" o:hralign="center" o:hrstd="t" o:hrnoshade="t" o:hr="t" fillcolor="black [3213]" stroked="f"/>
        </w:pict>
      </w:r>
    </w:p>
    <w:p w:rsidR="00441FC4" w:rsidRDefault="00441FC4" w:rsidP="00441FC4">
      <w:pPr>
        <w:rPr>
          <w:sz w:val="20"/>
          <w:szCs w:val="20"/>
        </w:rPr>
      </w:pPr>
    </w:p>
    <w:p w:rsidR="00441FC4" w:rsidRPr="001B157C" w:rsidRDefault="00441FC4" w:rsidP="00441FC4">
      <w:pPr>
        <w:rPr>
          <w:sz w:val="20"/>
          <w:szCs w:val="20"/>
          <w:u w:val="single"/>
          <w:lang w:val="fr-CA"/>
        </w:rPr>
      </w:pPr>
      <w:r w:rsidRPr="001B157C">
        <w:rPr>
          <w:sz w:val="20"/>
          <w:szCs w:val="20"/>
          <w:u w:val="single"/>
          <w:lang w:val="fr-CA"/>
        </w:rPr>
        <w:t>RÉSUMÉ DE L’AFFAIRE</w:t>
      </w:r>
    </w:p>
    <w:p w:rsidR="00441FC4" w:rsidRDefault="00441FC4" w:rsidP="00441F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552E1" w:rsidRPr="00486CA3" w:rsidTr="004C4C5C">
        <w:tc>
          <w:tcPr>
            <w:tcW w:w="5000" w:type="pct"/>
            <w:gridSpan w:val="3"/>
          </w:tcPr>
          <w:p w:rsidR="003552E1" w:rsidRPr="00354440" w:rsidRDefault="003552E1" w:rsidP="004C4C5C">
            <w:pPr>
              <w:jc w:val="both"/>
              <w:rPr>
                <w:rFonts w:eastAsia="Calibri"/>
                <w:sz w:val="20"/>
                <w:lang w:val="fr-CA"/>
              </w:rPr>
            </w:pPr>
            <w:r w:rsidRPr="00354440">
              <w:rPr>
                <w:rFonts w:eastAsia="Calibri"/>
                <w:sz w:val="20"/>
                <w:lang w:val="fr-CA"/>
              </w:rPr>
              <w:t>Procédure civile — Requête en rejet d’appel — Procédure demandant le partage en parts égales et la licitation d’une résidence détenue en copropriété indivise — Fin de l’indivision prononcée et partage à parts égales ordonné — Est</w:t>
            </w:r>
            <w:r w:rsidRPr="00354440">
              <w:rPr>
                <w:rFonts w:eastAsia="Calibri"/>
                <w:sz w:val="20"/>
                <w:lang w:val="fr-CA"/>
              </w:rPr>
              <w:noBreakHyphen/>
              <w:t>ce à tort que la Cour d’appel a accueilli la requête en rejet d’appel? — La Cour supérieure aurait</w:t>
            </w:r>
            <w:r w:rsidRPr="00354440">
              <w:rPr>
                <w:rFonts w:eastAsia="Calibri"/>
                <w:sz w:val="20"/>
                <w:lang w:val="fr-CA"/>
              </w:rPr>
              <w:noBreakHyphen/>
              <w:t>elle dû ordonner le paiement d’une indemnité pour enrichissement injustifié?</w:t>
            </w:r>
          </w:p>
        </w:tc>
      </w:tr>
      <w:tr w:rsidR="003552E1" w:rsidRPr="00486CA3" w:rsidTr="004C4C5C">
        <w:tc>
          <w:tcPr>
            <w:tcW w:w="5000" w:type="pct"/>
            <w:gridSpan w:val="3"/>
          </w:tcPr>
          <w:p w:rsidR="003552E1" w:rsidRPr="00354440" w:rsidRDefault="003552E1" w:rsidP="004C4C5C">
            <w:pPr>
              <w:jc w:val="both"/>
              <w:rPr>
                <w:rFonts w:eastAsia="Calibri"/>
                <w:sz w:val="20"/>
                <w:lang w:val="fr-CA"/>
              </w:rPr>
            </w:pPr>
          </w:p>
        </w:tc>
      </w:tr>
      <w:tr w:rsidR="003552E1" w:rsidRPr="00486CA3" w:rsidTr="004C4C5C">
        <w:tc>
          <w:tcPr>
            <w:tcW w:w="5000" w:type="pct"/>
            <w:gridSpan w:val="3"/>
          </w:tcPr>
          <w:p w:rsidR="003552E1" w:rsidRPr="00354440" w:rsidRDefault="003552E1" w:rsidP="004C4C5C">
            <w:pPr>
              <w:jc w:val="both"/>
              <w:rPr>
                <w:rFonts w:eastAsia="Calibri"/>
                <w:sz w:val="20"/>
                <w:lang w:val="fr-CA"/>
              </w:rPr>
            </w:pPr>
            <w:r w:rsidRPr="00354440">
              <w:rPr>
                <w:rFonts w:eastAsia="Calibri"/>
                <w:sz w:val="20"/>
                <w:lang w:val="fr-CA"/>
              </w:rPr>
              <w:t xml:space="preserve">Les parties, </w:t>
            </w:r>
            <w:proofErr w:type="gramStart"/>
            <w:r w:rsidRPr="00354440">
              <w:rPr>
                <w:rFonts w:eastAsia="Calibri"/>
                <w:sz w:val="20"/>
                <w:lang w:val="fr-CA"/>
              </w:rPr>
              <w:t>conjoints</w:t>
            </w:r>
            <w:proofErr w:type="gramEnd"/>
            <w:r w:rsidRPr="00354440">
              <w:rPr>
                <w:rFonts w:eastAsia="Calibri"/>
                <w:sz w:val="20"/>
                <w:lang w:val="fr-CA"/>
              </w:rPr>
              <w:t xml:space="preserve"> de fait depuis 1996, se séparent définitivement en 2010.  Ils sont propriétaires d’une maison historique qu’ils ont rénovée et qu’ils détiennent en copropriété indivise.  M. Rondeau s’adresse à la Cour supérieure pour obtenir une ordonnance mettant fin à l’indivision.  La Cour supérieure accueille la demande.  Le juge Parent estime qu’à la lumière de la preuve, une seule conclusion s’impose : Mme Albernhe « n’a pas repoussé par prépondérance de preuve la présomption édictée par l’article 1015 </w:t>
            </w:r>
            <w:r w:rsidRPr="00354440">
              <w:rPr>
                <w:rFonts w:eastAsia="Calibri"/>
                <w:i/>
                <w:sz w:val="20"/>
                <w:lang w:val="fr-CA"/>
              </w:rPr>
              <w:t>C.c.Q</w:t>
            </w:r>
            <w:r w:rsidRPr="00354440">
              <w:rPr>
                <w:rFonts w:eastAsia="Calibri"/>
                <w:sz w:val="20"/>
                <w:lang w:val="fr-CA"/>
              </w:rPr>
              <w:t xml:space="preserve">. » (par. 55), de sorte que les parties doivent être considérées comme des propriétaires indivis à parts égales.  Le juge ordonne la vente de l’immeuble et prévoit des modalités en ce sens.  Il se prononce également sur plusieurs réclamations additionnelles, qu’il rejette pour l’essentiel. </w:t>
            </w:r>
          </w:p>
          <w:p w:rsidR="003552E1" w:rsidRPr="00354440" w:rsidRDefault="003552E1" w:rsidP="004C4C5C">
            <w:pPr>
              <w:jc w:val="both"/>
              <w:rPr>
                <w:rFonts w:eastAsia="Calibri"/>
                <w:sz w:val="20"/>
                <w:lang w:val="fr-CA"/>
              </w:rPr>
            </w:pPr>
          </w:p>
          <w:p w:rsidR="003552E1" w:rsidRPr="00354440" w:rsidRDefault="003552E1" w:rsidP="004C4C5C">
            <w:pPr>
              <w:jc w:val="both"/>
              <w:rPr>
                <w:rFonts w:eastAsia="Calibri"/>
                <w:sz w:val="20"/>
                <w:lang w:val="fr-CA"/>
              </w:rPr>
            </w:pPr>
            <w:r w:rsidRPr="00354440">
              <w:rPr>
                <w:rFonts w:eastAsia="Calibri"/>
                <w:sz w:val="20"/>
                <w:lang w:val="fr-CA"/>
              </w:rPr>
              <w:t>En appel, d’avis que l’appel ne soulève que des questions d’appréciation de la preuve et est voué à l’échec, la Cour d’appel accueille la requête de M. Rondeau en rejet d’appel et rejette l’appel de Mme Albernhe au stade préliminaire.</w:t>
            </w:r>
          </w:p>
          <w:p w:rsidR="003552E1" w:rsidRPr="00354440" w:rsidRDefault="003552E1" w:rsidP="004C4C5C">
            <w:pPr>
              <w:jc w:val="both"/>
              <w:rPr>
                <w:rFonts w:eastAsia="Calibri"/>
                <w:sz w:val="20"/>
                <w:lang w:val="fr-CA"/>
              </w:rPr>
            </w:pPr>
          </w:p>
        </w:tc>
      </w:tr>
      <w:tr w:rsidR="003552E1" w:rsidRPr="00486CA3" w:rsidTr="004C4C5C">
        <w:tc>
          <w:tcPr>
            <w:tcW w:w="2427" w:type="pct"/>
          </w:tcPr>
          <w:p w:rsidR="003552E1" w:rsidRPr="00354440" w:rsidRDefault="003552E1" w:rsidP="004C4C5C">
            <w:pPr>
              <w:jc w:val="both"/>
              <w:rPr>
                <w:rFonts w:eastAsia="Calibri"/>
                <w:sz w:val="20"/>
                <w:lang w:val="fr-CA"/>
              </w:rPr>
            </w:pPr>
            <w:r w:rsidRPr="00354440">
              <w:rPr>
                <w:rFonts w:eastAsia="Calibri"/>
                <w:sz w:val="20"/>
                <w:lang w:val="fr-CA"/>
              </w:rPr>
              <w:t>Le 28 décembre 2011</w:t>
            </w:r>
          </w:p>
          <w:p w:rsidR="003552E1" w:rsidRPr="00354440" w:rsidRDefault="003552E1" w:rsidP="004C4C5C">
            <w:pPr>
              <w:jc w:val="both"/>
              <w:rPr>
                <w:rFonts w:eastAsia="Calibri"/>
                <w:sz w:val="20"/>
                <w:lang w:val="fr-CA"/>
              </w:rPr>
            </w:pPr>
            <w:r w:rsidRPr="00354440">
              <w:rPr>
                <w:rFonts w:eastAsia="Calibri"/>
                <w:sz w:val="20"/>
                <w:lang w:val="fr-CA"/>
              </w:rPr>
              <w:t>Cour supérieure du Québec</w:t>
            </w:r>
          </w:p>
          <w:p w:rsidR="003552E1" w:rsidRPr="00354440" w:rsidRDefault="003552E1" w:rsidP="004C4C5C">
            <w:pPr>
              <w:jc w:val="both"/>
              <w:rPr>
                <w:rFonts w:eastAsia="Calibri"/>
                <w:sz w:val="20"/>
                <w:lang w:val="fr-CA"/>
              </w:rPr>
            </w:pPr>
            <w:r w:rsidRPr="00354440">
              <w:rPr>
                <w:rFonts w:eastAsia="Calibri"/>
                <w:sz w:val="20"/>
                <w:lang w:val="fr-CA"/>
              </w:rPr>
              <w:t>(Le juge Parent)</w:t>
            </w:r>
          </w:p>
          <w:p w:rsidR="003552E1" w:rsidRPr="00354440" w:rsidRDefault="003552E1" w:rsidP="004C4C5C">
            <w:pPr>
              <w:jc w:val="both"/>
              <w:rPr>
                <w:rFonts w:eastAsia="Calibri"/>
                <w:sz w:val="20"/>
                <w:lang w:val="fr-CA"/>
              </w:rPr>
            </w:pPr>
            <w:r w:rsidRPr="00354440">
              <w:rPr>
                <w:rFonts w:eastAsia="Calibri"/>
                <w:sz w:val="20"/>
                <w:lang w:val="fr-CA"/>
              </w:rPr>
              <w:t>2011 QCCS 7356</w:t>
            </w:r>
          </w:p>
          <w:p w:rsidR="003552E1" w:rsidRPr="00354440" w:rsidRDefault="003552E1" w:rsidP="004C4C5C">
            <w:pPr>
              <w:jc w:val="both"/>
              <w:rPr>
                <w:rFonts w:eastAsia="Calibri"/>
                <w:sz w:val="20"/>
              </w:rPr>
            </w:pPr>
          </w:p>
        </w:tc>
        <w:tc>
          <w:tcPr>
            <w:tcW w:w="243" w:type="pct"/>
          </w:tcPr>
          <w:p w:rsidR="003552E1" w:rsidRPr="00354440" w:rsidRDefault="003552E1" w:rsidP="004C4C5C">
            <w:pPr>
              <w:jc w:val="both"/>
              <w:rPr>
                <w:rFonts w:eastAsia="Calibri"/>
                <w:sz w:val="20"/>
              </w:rPr>
            </w:pPr>
          </w:p>
        </w:tc>
        <w:tc>
          <w:tcPr>
            <w:tcW w:w="2330" w:type="pct"/>
          </w:tcPr>
          <w:p w:rsidR="003552E1" w:rsidRPr="00354440" w:rsidRDefault="003552E1" w:rsidP="004C4C5C">
            <w:pPr>
              <w:jc w:val="both"/>
              <w:rPr>
                <w:rFonts w:eastAsia="Calibri"/>
                <w:sz w:val="20"/>
                <w:lang w:val="fr-CA"/>
              </w:rPr>
            </w:pPr>
            <w:r w:rsidRPr="00354440">
              <w:rPr>
                <w:rFonts w:eastAsia="Calibri"/>
                <w:sz w:val="20"/>
                <w:lang w:val="fr-CA"/>
              </w:rPr>
              <w:t>Requête demandant le partage en parts égales et la licitation d’une résidence détenue en copropriété indivise accueillie</w:t>
            </w:r>
          </w:p>
          <w:p w:rsidR="003552E1" w:rsidRPr="00354440" w:rsidRDefault="003552E1" w:rsidP="004C4C5C">
            <w:pPr>
              <w:jc w:val="both"/>
              <w:rPr>
                <w:rFonts w:eastAsia="Calibri"/>
                <w:sz w:val="20"/>
                <w:lang w:val="fr-CA"/>
              </w:rPr>
            </w:pPr>
          </w:p>
        </w:tc>
      </w:tr>
      <w:tr w:rsidR="003552E1" w:rsidRPr="00486CA3" w:rsidTr="004C4C5C">
        <w:tc>
          <w:tcPr>
            <w:tcW w:w="2427" w:type="pct"/>
          </w:tcPr>
          <w:p w:rsidR="003552E1" w:rsidRPr="00354440" w:rsidRDefault="003552E1" w:rsidP="004C4C5C">
            <w:pPr>
              <w:jc w:val="both"/>
              <w:rPr>
                <w:rFonts w:eastAsia="Calibri"/>
                <w:sz w:val="20"/>
                <w:lang w:val="fr-CA"/>
              </w:rPr>
            </w:pPr>
            <w:r w:rsidRPr="00354440">
              <w:rPr>
                <w:rFonts w:eastAsia="Calibri"/>
                <w:sz w:val="20"/>
                <w:lang w:val="fr-CA"/>
              </w:rPr>
              <w:t>Le 12 mars 2012</w:t>
            </w:r>
          </w:p>
          <w:p w:rsidR="003552E1" w:rsidRPr="00354440" w:rsidRDefault="003552E1" w:rsidP="004C4C5C">
            <w:pPr>
              <w:jc w:val="both"/>
              <w:rPr>
                <w:rFonts w:eastAsia="Calibri"/>
                <w:sz w:val="20"/>
                <w:lang w:val="fr-CA"/>
              </w:rPr>
            </w:pPr>
            <w:r w:rsidRPr="00354440">
              <w:rPr>
                <w:rFonts w:eastAsia="Calibri"/>
                <w:sz w:val="20"/>
                <w:lang w:val="fr-CA"/>
              </w:rPr>
              <w:t>Cour d’appel du Québec (Québec)</w:t>
            </w:r>
          </w:p>
          <w:p w:rsidR="003552E1" w:rsidRPr="00354440" w:rsidRDefault="003552E1" w:rsidP="004C4C5C">
            <w:pPr>
              <w:jc w:val="both"/>
              <w:rPr>
                <w:rFonts w:eastAsia="Calibri"/>
                <w:sz w:val="20"/>
                <w:lang w:val="fr-CA"/>
              </w:rPr>
            </w:pPr>
            <w:r w:rsidRPr="00354440">
              <w:rPr>
                <w:rFonts w:eastAsia="Calibri"/>
                <w:sz w:val="20"/>
                <w:lang w:val="fr-CA"/>
              </w:rPr>
              <w:t>(Les juges Rochette, Rochon et Giroux)</w:t>
            </w:r>
          </w:p>
          <w:p w:rsidR="003552E1" w:rsidRPr="00354440" w:rsidRDefault="003552E1" w:rsidP="004C4C5C">
            <w:pPr>
              <w:jc w:val="both"/>
              <w:rPr>
                <w:rFonts w:eastAsia="Calibri"/>
                <w:sz w:val="20"/>
                <w:lang w:val="fr-CA"/>
              </w:rPr>
            </w:pPr>
            <w:r w:rsidRPr="00354440">
              <w:rPr>
                <w:rFonts w:eastAsia="Calibri"/>
                <w:sz w:val="20"/>
                <w:lang w:val="fr-CA"/>
              </w:rPr>
              <w:t>2012 QCCA 463; 200</w:t>
            </w:r>
            <w:r w:rsidRPr="00354440">
              <w:rPr>
                <w:rFonts w:eastAsia="Calibri"/>
                <w:sz w:val="20"/>
                <w:lang w:val="fr-CA"/>
              </w:rPr>
              <w:noBreakHyphen/>
              <w:t>09</w:t>
            </w:r>
            <w:r w:rsidRPr="00354440">
              <w:rPr>
                <w:rFonts w:eastAsia="Calibri"/>
                <w:sz w:val="20"/>
                <w:lang w:val="fr-CA"/>
              </w:rPr>
              <w:noBreakHyphen/>
              <w:t>007636</w:t>
            </w:r>
            <w:r w:rsidRPr="00354440">
              <w:rPr>
                <w:rFonts w:eastAsia="Calibri"/>
                <w:sz w:val="20"/>
                <w:lang w:val="fr-CA"/>
              </w:rPr>
              <w:noBreakHyphen/>
              <w:t>126</w:t>
            </w:r>
          </w:p>
          <w:p w:rsidR="003552E1" w:rsidRPr="00354440" w:rsidRDefault="003552E1" w:rsidP="004C4C5C">
            <w:pPr>
              <w:jc w:val="both"/>
              <w:rPr>
                <w:rFonts w:eastAsia="Calibri"/>
                <w:sz w:val="20"/>
                <w:lang w:val="fr-CA"/>
              </w:rPr>
            </w:pPr>
          </w:p>
        </w:tc>
        <w:tc>
          <w:tcPr>
            <w:tcW w:w="243" w:type="pct"/>
          </w:tcPr>
          <w:p w:rsidR="003552E1" w:rsidRPr="00354440" w:rsidRDefault="003552E1" w:rsidP="004C4C5C">
            <w:pPr>
              <w:jc w:val="both"/>
              <w:rPr>
                <w:rFonts w:eastAsia="Calibri"/>
                <w:sz w:val="20"/>
                <w:lang w:val="fr-CA"/>
              </w:rPr>
            </w:pPr>
          </w:p>
        </w:tc>
        <w:tc>
          <w:tcPr>
            <w:tcW w:w="2330" w:type="pct"/>
          </w:tcPr>
          <w:p w:rsidR="003552E1" w:rsidRPr="00354440" w:rsidRDefault="003552E1" w:rsidP="004C4C5C">
            <w:pPr>
              <w:jc w:val="both"/>
              <w:rPr>
                <w:rFonts w:eastAsia="Calibri"/>
                <w:sz w:val="20"/>
                <w:lang w:val="fr-CA"/>
              </w:rPr>
            </w:pPr>
            <w:r w:rsidRPr="00354440">
              <w:rPr>
                <w:rFonts w:eastAsia="Calibri"/>
                <w:sz w:val="20"/>
                <w:lang w:val="fr-CA"/>
              </w:rPr>
              <w:t>Requête en rejet d’appel accueillie; appel rejeté</w:t>
            </w:r>
          </w:p>
          <w:p w:rsidR="003552E1" w:rsidRPr="00354440" w:rsidRDefault="003552E1" w:rsidP="004C4C5C">
            <w:pPr>
              <w:jc w:val="both"/>
              <w:rPr>
                <w:rFonts w:eastAsia="Calibri"/>
                <w:sz w:val="20"/>
                <w:lang w:val="fr-CA"/>
              </w:rPr>
            </w:pPr>
          </w:p>
        </w:tc>
      </w:tr>
      <w:tr w:rsidR="003552E1" w:rsidRPr="00486CA3" w:rsidTr="004C4C5C">
        <w:tc>
          <w:tcPr>
            <w:tcW w:w="2427" w:type="pct"/>
          </w:tcPr>
          <w:p w:rsidR="003552E1" w:rsidRPr="00354440" w:rsidRDefault="003552E1" w:rsidP="004C4C5C">
            <w:pPr>
              <w:jc w:val="both"/>
              <w:rPr>
                <w:rFonts w:eastAsia="Calibri"/>
                <w:sz w:val="20"/>
                <w:lang w:val="fr-CA"/>
              </w:rPr>
            </w:pPr>
            <w:r w:rsidRPr="00354440">
              <w:rPr>
                <w:rFonts w:eastAsia="Calibri"/>
                <w:sz w:val="20"/>
                <w:lang w:val="fr-CA"/>
              </w:rPr>
              <w:t xml:space="preserve">Le 11 mai 2012 </w:t>
            </w:r>
          </w:p>
          <w:p w:rsidR="003552E1" w:rsidRPr="00354440" w:rsidRDefault="003552E1" w:rsidP="004C4C5C">
            <w:pPr>
              <w:jc w:val="both"/>
              <w:rPr>
                <w:rFonts w:eastAsia="Calibri"/>
                <w:sz w:val="20"/>
                <w:lang w:val="fr-CA"/>
              </w:rPr>
            </w:pPr>
            <w:r w:rsidRPr="00354440">
              <w:rPr>
                <w:rFonts w:eastAsia="Calibri"/>
                <w:sz w:val="20"/>
                <w:lang w:val="fr-CA"/>
              </w:rPr>
              <w:t>Cour d’appel du Québec (Québec)</w:t>
            </w:r>
          </w:p>
          <w:p w:rsidR="003552E1" w:rsidRPr="00354440" w:rsidRDefault="003552E1" w:rsidP="004C4C5C">
            <w:pPr>
              <w:jc w:val="both"/>
              <w:rPr>
                <w:rFonts w:eastAsia="Calibri"/>
                <w:sz w:val="20"/>
                <w:lang w:val="fr-CA"/>
              </w:rPr>
            </w:pPr>
            <w:r w:rsidRPr="00354440">
              <w:rPr>
                <w:rFonts w:eastAsia="Calibri"/>
                <w:sz w:val="20"/>
                <w:lang w:val="fr-CA"/>
              </w:rPr>
              <w:t>(Les juges Chamberland, Doyon et Gagnon)</w:t>
            </w:r>
          </w:p>
          <w:p w:rsidR="003552E1" w:rsidRPr="00354440" w:rsidRDefault="003552E1" w:rsidP="004C4C5C">
            <w:pPr>
              <w:jc w:val="both"/>
              <w:rPr>
                <w:rFonts w:eastAsia="Calibri"/>
                <w:sz w:val="20"/>
                <w:lang w:val="fr-CA"/>
              </w:rPr>
            </w:pPr>
            <w:r w:rsidRPr="00354440">
              <w:rPr>
                <w:rFonts w:eastAsia="Calibri"/>
                <w:sz w:val="20"/>
                <w:lang w:val="fr-CA"/>
              </w:rPr>
              <w:t>2012 QCCA 977; 200</w:t>
            </w:r>
            <w:r w:rsidRPr="00354440">
              <w:rPr>
                <w:rFonts w:eastAsia="Calibri"/>
                <w:sz w:val="20"/>
                <w:lang w:val="fr-CA"/>
              </w:rPr>
              <w:noBreakHyphen/>
              <w:t>09</w:t>
            </w:r>
            <w:r w:rsidRPr="00354440">
              <w:rPr>
                <w:rFonts w:eastAsia="Calibri"/>
                <w:sz w:val="20"/>
                <w:lang w:val="fr-CA"/>
              </w:rPr>
              <w:noBreakHyphen/>
              <w:t>007636</w:t>
            </w:r>
            <w:r w:rsidRPr="00354440">
              <w:rPr>
                <w:rFonts w:eastAsia="Calibri"/>
                <w:sz w:val="20"/>
                <w:lang w:val="fr-CA"/>
              </w:rPr>
              <w:noBreakHyphen/>
              <w:t>126</w:t>
            </w:r>
          </w:p>
          <w:p w:rsidR="003552E1" w:rsidRPr="00354440" w:rsidRDefault="003552E1" w:rsidP="004C4C5C">
            <w:pPr>
              <w:jc w:val="both"/>
              <w:rPr>
                <w:rFonts w:eastAsia="Calibri"/>
                <w:sz w:val="20"/>
                <w:lang w:val="fr-CA"/>
              </w:rPr>
            </w:pPr>
          </w:p>
        </w:tc>
        <w:tc>
          <w:tcPr>
            <w:tcW w:w="243" w:type="pct"/>
          </w:tcPr>
          <w:p w:rsidR="003552E1" w:rsidRPr="00354440" w:rsidRDefault="003552E1" w:rsidP="004C4C5C">
            <w:pPr>
              <w:jc w:val="both"/>
              <w:rPr>
                <w:rFonts w:eastAsia="Calibri"/>
                <w:sz w:val="20"/>
                <w:lang w:val="fr-CA"/>
              </w:rPr>
            </w:pPr>
          </w:p>
        </w:tc>
        <w:tc>
          <w:tcPr>
            <w:tcW w:w="2330" w:type="pct"/>
          </w:tcPr>
          <w:p w:rsidR="003552E1" w:rsidRPr="00354440" w:rsidRDefault="003552E1" w:rsidP="004C4C5C">
            <w:pPr>
              <w:jc w:val="both"/>
              <w:rPr>
                <w:rFonts w:eastAsia="Calibri"/>
                <w:sz w:val="20"/>
                <w:lang w:val="fr-CA"/>
              </w:rPr>
            </w:pPr>
            <w:r w:rsidRPr="00354440">
              <w:rPr>
                <w:rFonts w:eastAsia="Calibri"/>
                <w:sz w:val="20"/>
                <w:lang w:val="fr-CA"/>
              </w:rPr>
              <w:t>Requête en rétractation de jugement rejetée</w:t>
            </w:r>
          </w:p>
          <w:p w:rsidR="003552E1" w:rsidRPr="00354440" w:rsidRDefault="003552E1" w:rsidP="004C4C5C">
            <w:pPr>
              <w:jc w:val="both"/>
              <w:rPr>
                <w:rFonts w:eastAsia="Calibri"/>
                <w:sz w:val="20"/>
                <w:lang w:val="fr-CA"/>
              </w:rPr>
            </w:pPr>
          </w:p>
        </w:tc>
      </w:tr>
      <w:tr w:rsidR="003552E1" w:rsidRPr="00486CA3" w:rsidTr="004C4C5C">
        <w:tc>
          <w:tcPr>
            <w:tcW w:w="2427" w:type="pct"/>
          </w:tcPr>
          <w:p w:rsidR="003552E1" w:rsidRPr="00354440" w:rsidRDefault="003552E1" w:rsidP="004C4C5C">
            <w:pPr>
              <w:jc w:val="both"/>
              <w:rPr>
                <w:rFonts w:eastAsia="Calibri"/>
                <w:sz w:val="20"/>
                <w:lang w:val="fr-CA"/>
              </w:rPr>
            </w:pPr>
            <w:r w:rsidRPr="00354440">
              <w:rPr>
                <w:rFonts w:eastAsia="Calibri"/>
                <w:sz w:val="20"/>
                <w:lang w:val="fr-CA"/>
              </w:rPr>
              <w:t>Le 5 septembre 2012</w:t>
            </w:r>
          </w:p>
          <w:p w:rsidR="003552E1" w:rsidRPr="00354440" w:rsidRDefault="003552E1" w:rsidP="004C4C5C">
            <w:pPr>
              <w:jc w:val="both"/>
              <w:rPr>
                <w:rFonts w:eastAsia="Calibri"/>
                <w:sz w:val="20"/>
                <w:lang w:val="fr-CA"/>
              </w:rPr>
            </w:pPr>
            <w:r w:rsidRPr="00354440">
              <w:rPr>
                <w:rFonts w:eastAsia="Calibri"/>
                <w:sz w:val="20"/>
                <w:lang w:val="fr-CA"/>
              </w:rPr>
              <w:t>Cour suprême du Canada</w:t>
            </w:r>
          </w:p>
        </w:tc>
        <w:tc>
          <w:tcPr>
            <w:tcW w:w="243" w:type="pct"/>
          </w:tcPr>
          <w:p w:rsidR="003552E1" w:rsidRPr="00354440" w:rsidRDefault="003552E1" w:rsidP="004C4C5C">
            <w:pPr>
              <w:jc w:val="both"/>
              <w:rPr>
                <w:rFonts w:eastAsia="Calibri"/>
                <w:sz w:val="20"/>
                <w:lang w:val="fr-CA"/>
              </w:rPr>
            </w:pPr>
          </w:p>
        </w:tc>
        <w:tc>
          <w:tcPr>
            <w:tcW w:w="2330" w:type="pct"/>
          </w:tcPr>
          <w:p w:rsidR="003552E1" w:rsidRPr="00354440" w:rsidRDefault="003552E1" w:rsidP="004C4C5C">
            <w:pPr>
              <w:jc w:val="both"/>
              <w:rPr>
                <w:rFonts w:eastAsia="Calibri"/>
                <w:sz w:val="20"/>
                <w:lang w:val="fr-CA"/>
              </w:rPr>
            </w:pPr>
            <w:r w:rsidRPr="00354440">
              <w:rPr>
                <w:rFonts w:eastAsia="Calibri"/>
                <w:sz w:val="20"/>
                <w:lang w:val="fr-CA"/>
              </w:rPr>
              <w:t>Requête en prorogation du délai de signification et dépôt d’une demande d’autorisation d’appel et demande d'autorisation d’appel déposé</w:t>
            </w:r>
          </w:p>
        </w:tc>
      </w:tr>
    </w:tbl>
    <w:p w:rsidR="00441FC4" w:rsidRPr="003552E1" w:rsidRDefault="00441FC4" w:rsidP="00441FC4">
      <w:pPr>
        <w:rPr>
          <w:sz w:val="20"/>
          <w:szCs w:val="20"/>
          <w:lang w:val="fr-CA"/>
        </w:rPr>
      </w:pPr>
    </w:p>
    <w:p w:rsidR="00441FC4" w:rsidRDefault="00DB239D" w:rsidP="00441FC4">
      <w:pPr>
        <w:rPr>
          <w:sz w:val="20"/>
          <w:szCs w:val="20"/>
          <w:lang w:val="fr-CA"/>
        </w:rPr>
      </w:pPr>
      <w:r w:rsidRPr="00DB239D">
        <w:rPr>
          <w:sz w:val="20"/>
          <w:szCs w:val="20"/>
          <w:lang w:val="fr-CA"/>
        </w:rPr>
        <w:pict>
          <v:rect id="_x0000_i1089"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44B16" w:rsidRPr="007D7EDE" w:rsidRDefault="00544B16" w:rsidP="00544B16">
      <w:pPr>
        <w:tabs>
          <w:tab w:val="left" w:pos="-1440"/>
          <w:tab w:val="left" w:pos="-720"/>
        </w:tabs>
        <w:jc w:val="both"/>
        <w:rPr>
          <w:sz w:val="20"/>
          <w:szCs w:val="20"/>
        </w:rPr>
      </w:pPr>
      <w:r w:rsidRPr="007D7EDE">
        <w:rPr>
          <w:sz w:val="20"/>
          <w:szCs w:val="20"/>
        </w:rPr>
        <w:t>08.11.2012</w:t>
      </w: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r w:rsidRPr="007D7EDE">
        <w:rPr>
          <w:sz w:val="20"/>
          <w:szCs w:val="20"/>
        </w:rPr>
        <w:t xml:space="preserve">Before / </w:t>
      </w:r>
      <w:proofErr w:type="gramStart"/>
      <w:r w:rsidRPr="007D7EDE">
        <w:rPr>
          <w:sz w:val="20"/>
          <w:szCs w:val="20"/>
        </w:rPr>
        <w:t>Devant :</w:t>
      </w:r>
      <w:proofErr w:type="gramEnd"/>
      <w:r w:rsidRPr="007D7EDE">
        <w:rPr>
          <w:sz w:val="20"/>
          <w:szCs w:val="20"/>
        </w:rPr>
        <w:t xml:space="preserve">   THE REGISTRAR / LE REGISTRAIRE</w:t>
      </w:r>
    </w:p>
    <w:p w:rsidR="00544B16" w:rsidRPr="007D7EDE" w:rsidRDefault="00544B16" w:rsidP="00544B1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4B16" w:rsidRPr="009E192B" w:rsidTr="004C4C5C">
        <w:tc>
          <w:tcPr>
            <w:tcW w:w="4338" w:type="dxa"/>
          </w:tcPr>
          <w:p w:rsidR="00544B16" w:rsidRPr="007D7EDE" w:rsidRDefault="00DB239D" w:rsidP="004C4C5C">
            <w:pPr>
              <w:tabs>
                <w:tab w:val="left" w:pos="-1440"/>
                <w:tab w:val="left" w:pos="-720"/>
              </w:tabs>
              <w:jc w:val="both"/>
              <w:rPr>
                <w:b/>
                <w:sz w:val="20"/>
                <w:szCs w:val="20"/>
              </w:rPr>
            </w:pPr>
            <w:r w:rsidRPr="007D7EDE">
              <w:rPr>
                <w:sz w:val="20"/>
                <w:szCs w:val="20"/>
              </w:rPr>
              <w:fldChar w:fldCharType="begin"/>
            </w:r>
            <w:r w:rsidR="00544B16" w:rsidRPr="007D7EDE">
              <w:rPr>
                <w:sz w:val="20"/>
                <w:szCs w:val="20"/>
              </w:rPr>
              <w:instrText xml:space="preserve"> SEQ CHAPTER \h \r 1</w:instrText>
            </w:r>
            <w:r w:rsidRPr="007D7EDE">
              <w:rPr>
                <w:sz w:val="20"/>
                <w:szCs w:val="20"/>
              </w:rPr>
              <w:fldChar w:fldCharType="end"/>
            </w:r>
            <w:r w:rsidR="00544B16" w:rsidRPr="007D7EDE">
              <w:rPr>
                <w:b/>
                <w:bCs/>
                <w:sz w:val="20"/>
                <w:szCs w:val="20"/>
              </w:rPr>
              <w:t xml:space="preserve">Motion to extend the time to serve and file the appellant’s record, factum and book of authorities </w:t>
            </w:r>
          </w:p>
        </w:tc>
        <w:tc>
          <w:tcPr>
            <w:tcW w:w="1170" w:type="dxa"/>
          </w:tcPr>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tc>
        <w:tc>
          <w:tcPr>
            <w:tcW w:w="4327" w:type="dxa"/>
          </w:tcPr>
          <w:p w:rsidR="00544B16" w:rsidRPr="007D7EDE" w:rsidRDefault="00DB239D" w:rsidP="004C4C5C">
            <w:pPr>
              <w:tabs>
                <w:tab w:val="left" w:pos="-1440"/>
                <w:tab w:val="left" w:pos="-720"/>
              </w:tabs>
              <w:jc w:val="both"/>
              <w:rPr>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b/>
                <w:bCs/>
                <w:sz w:val="20"/>
                <w:szCs w:val="20"/>
                <w:lang w:val="fr-CA"/>
              </w:rPr>
              <w:t xml:space="preserve">Requête en prorogation du délai de signification et de dépôt </w:t>
            </w:r>
            <w:proofErr w:type="gramStart"/>
            <w:r w:rsidR="00544B16" w:rsidRPr="007D7EDE">
              <w:rPr>
                <w:b/>
                <w:bCs/>
                <w:sz w:val="20"/>
                <w:szCs w:val="20"/>
                <w:lang w:val="fr-CA"/>
              </w:rPr>
              <w:t>des dossier</w:t>
            </w:r>
            <w:proofErr w:type="gramEnd"/>
            <w:r w:rsidR="00544B16" w:rsidRPr="007D7EDE">
              <w:rPr>
                <w:b/>
                <w:bCs/>
                <w:sz w:val="20"/>
                <w:szCs w:val="20"/>
                <w:lang w:val="fr-CA"/>
              </w:rPr>
              <w:t xml:space="preserve">, mémoire et recueil de sources de l’appelante </w:t>
            </w: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p>
        </w:tc>
      </w:tr>
      <w:tr w:rsidR="00544B16" w:rsidRPr="007D7EDE" w:rsidTr="004C4C5C">
        <w:tc>
          <w:tcPr>
            <w:tcW w:w="4338" w:type="dxa"/>
          </w:tcPr>
          <w:p w:rsidR="00544B16" w:rsidRPr="007D7EDE" w:rsidRDefault="00544B16" w:rsidP="004C4C5C">
            <w:pPr>
              <w:tabs>
                <w:tab w:val="left" w:pos="-1440"/>
                <w:tab w:val="left" w:pos="-720"/>
              </w:tabs>
              <w:jc w:val="both"/>
              <w:rPr>
                <w:sz w:val="20"/>
                <w:szCs w:val="20"/>
              </w:rPr>
            </w:pPr>
            <w:r w:rsidRPr="007D7EDE">
              <w:rPr>
                <w:sz w:val="20"/>
                <w:szCs w:val="20"/>
              </w:rPr>
              <w:t>Her Majesty the Queen</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ab/>
              <w:t>v. (34522)</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lang w:val="fr-CA"/>
              </w:rPr>
            </w:pPr>
            <w:r w:rsidRPr="007D7EDE">
              <w:rPr>
                <w:sz w:val="20"/>
                <w:szCs w:val="20"/>
                <w:lang w:val="fr-CA"/>
              </w:rPr>
              <w:t>W. H. (Crim.) (N.L.)</w:t>
            </w:r>
          </w:p>
        </w:tc>
        <w:tc>
          <w:tcPr>
            <w:tcW w:w="1170" w:type="dxa"/>
          </w:tcPr>
          <w:p w:rsidR="00544B16" w:rsidRPr="007D7EDE" w:rsidRDefault="00544B16" w:rsidP="004C4C5C">
            <w:pPr>
              <w:tabs>
                <w:tab w:val="left" w:pos="-1440"/>
                <w:tab w:val="left" w:pos="-720"/>
              </w:tabs>
              <w:jc w:val="both"/>
              <w:rPr>
                <w:sz w:val="20"/>
                <w:szCs w:val="20"/>
                <w:lang w:val="fr-CA"/>
              </w:rPr>
            </w:pPr>
          </w:p>
        </w:tc>
        <w:tc>
          <w:tcPr>
            <w:tcW w:w="4327" w:type="dxa"/>
          </w:tcPr>
          <w:p w:rsidR="00544B16" w:rsidRPr="007D7EDE" w:rsidRDefault="00544B16" w:rsidP="004C4C5C">
            <w:pPr>
              <w:tabs>
                <w:tab w:val="left" w:pos="-1440"/>
                <w:tab w:val="left" w:pos="-720"/>
              </w:tabs>
              <w:jc w:val="both"/>
              <w:rPr>
                <w:sz w:val="20"/>
                <w:szCs w:val="20"/>
                <w:lang w:val="fr-CA"/>
              </w:rPr>
            </w:pPr>
          </w:p>
        </w:tc>
      </w:tr>
    </w:tbl>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b/>
          <w:sz w:val="20"/>
          <w:szCs w:val="20"/>
          <w:lang w:val="fr-CA"/>
        </w:rPr>
      </w:pPr>
      <w:r w:rsidRPr="007D7EDE">
        <w:rPr>
          <w:b/>
          <w:sz w:val="20"/>
          <w:szCs w:val="20"/>
          <w:lang w:val="fr-CA"/>
        </w:rPr>
        <w:t>GRANTED / ACCORDÉE</w: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pStyle w:val="BodyText"/>
        <w:spacing w:after="0"/>
        <w:jc w:val="both"/>
        <w:rPr>
          <w:sz w:val="20"/>
          <w:szCs w:val="20"/>
          <w:lang w:val="en-US"/>
        </w:rPr>
      </w:pPr>
      <w:r w:rsidRPr="007D7EDE">
        <w:rPr>
          <w:b/>
          <w:sz w:val="20"/>
          <w:szCs w:val="20"/>
          <w:lang w:val="en-US"/>
        </w:rPr>
        <w:t>UPON APPLICATION</w:t>
      </w:r>
      <w:r w:rsidRPr="007D7EDE">
        <w:rPr>
          <w:sz w:val="20"/>
          <w:szCs w:val="20"/>
          <w:lang w:val="en-US"/>
        </w:rPr>
        <w:t xml:space="preserve"> by counsel on behalf of the appellant, for an order extending the time within which to serve and file its Record, Factum and Book of Authorities to September 17, 2012.</w:t>
      </w:r>
    </w:p>
    <w:p w:rsidR="00544B16" w:rsidRPr="007D7EDE" w:rsidRDefault="00544B16" w:rsidP="00544B16">
      <w:pPr>
        <w:pStyle w:val="BodyText"/>
        <w:spacing w:after="0"/>
        <w:jc w:val="both"/>
        <w:rPr>
          <w:b/>
          <w:sz w:val="20"/>
          <w:szCs w:val="20"/>
          <w:lang w:val="en-US"/>
        </w:rPr>
      </w:pPr>
    </w:p>
    <w:p w:rsidR="00544B16" w:rsidRPr="007D7EDE" w:rsidRDefault="00544B16" w:rsidP="00544B16">
      <w:pPr>
        <w:pStyle w:val="BodyText"/>
        <w:spacing w:after="0"/>
        <w:jc w:val="both"/>
        <w:rPr>
          <w:sz w:val="20"/>
          <w:szCs w:val="20"/>
          <w:lang w:val="en-US"/>
        </w:rPr>
      </w:pPr>
      <w:r w:rsidRPr="007D7EDE">
        <w:rPr>
          <w:b/>
          <w:sz w:val="20"/>
          <w:szCs w:val="20"/>
          <w:lang w:val="en-US"/>
        </w:rPr>
        <w:t>IT IS ORDERED</w:t>
      </w:r>
      <w:r w:rsidRPr="007D7EDE">
        <w:rPr>
          <w:sz w:val="20"/>
          <w:szCs w:val="20"/>
          <w:lang w:val="en-US"/>
        </w:rPr>
        <w:t xml:space="preserve"> that the motion is granted.</w:t>
      </w: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7D7EDE">
        <w:rPr>
          <w:b/>
          <w:sz w:val="20"/>
          <w:szCs w:val="20"/>
          <w:lang w:val="fr-CA"/>
        </w:rPr>
        <w:t>À LA SUITE DE LA DEMANDE</w:t>
      </w:r>
      <w:r w:rsidRPr="007D7EDE">
        <w:rPr>
          <w:sz w:val="20"/>
          <w:szCs w:val="20"/>
          <w:lang w:val="fr-CA"/>
        </w:rPr>
        <w:t xml:space="preserve"> présentée par l’avocat de la demanderesse en vue d'obtenir la prorogation du délai de signification et de dépôt de </w:t>
      </w:r>
      <w:proofErr w:type="gramStart"/>
      <w:r w:rsidRPr="007D7EDE">
        <w:rPr>
          <w:sz w:val="20"/>
          <w:szCs w:val="20"/>
          <w:lang w:val="fr-CA"/>
        </w:rPr>
        <w:t>ses dossier</w:t>
      </w:r>
      <w:proofErr w:type="gramEnd"/>
      <w:r w:rsidRPr="007D7EDE">
        <w:rPr>
          <w:sz w:val="20"/>
          <w:szCs w:val="20"/>
          <w:lang w:val="fr-CA"/>
        </w:rPr>
        <w:t>, mémoire et recueil de sources jusqu'au17 septembre 2012;</w:t>
      </w:r>
    </w:p>
    <w:p w:rsidR="00544B16" w:rsidRPr="007D7EDE" w:rsidRDefault="00544B16" w:rsidP="0054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544B16" w:rsidRPr="007D7EDE" w:rsidRDefault="00544B16" w:rsidP="0054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7D7EDE">
        <w:rPr>
          <w:b/>
          <w:sz w:val="20"/>
          <w:szCs w:val="20"/>
          <w:lang w:val="fr-CA"/>
        </w:rPr>
        <w:t>IL EST ORDONNÉ</w:t>
      </w:r>
      <w:r w:rsidRPr="007D7EDE">
        <w:rPr>
          <w:sz w:val="20"/>
          <w:szCs w:val="20"/>
          <w:lang w:val="fr-CA"/>
        </w:rPr>
        <w:t xml:space="preserve"> que la requête </w:t>
      </w:r>
      <w:proofErr w:type="gramStart"/>
      <w:r w:rsidRPr="007D7EDE">
        <w:rPr>
          <w:sz w:val="20"/>
          <w:szCs w:val="20"/>
          <w:lang w:val="fr-CA"/>
        </w:rPr>
        <w:t>est</w:t>
      </w:r>
      <w:proofErr w:type="gramEnd"/>
      <w:r w:rsidRPr="007D7EDE">
        <w:rPr>
          <w:sz w:val="20"/>
          <w:szCs w:val="20"/>
          <w:lang w:val="fr-CA"/>
        </w:rPr>
        <w:t xml:space="preserve"> accueillie.</w:t>
      </w:r>
    </w:p>
    <w:p w:rsidR="00544B16" w:rsidRPr="007D7EDE" w:rsidRDefault="00544B16" w:rsidP="00544B16">
      <w:pPr>
        <w:tabs>
          <w:tab w:val="left" w:pos="-1440"/>
          <w:tab w:val="left" w:pos="-720"/>
        </w:tabs>
        <w:jc w:val="both"/>
        <w:rPr>
          <w:sz w:val="20"/>
          <w:szCs w:val="20"/>
          <w:lang w:val="fr-CA"/>
        </w:rPr>
      </w:pPr>
    </w:p>
    <w:p w:rsidR="00544B16" w:rsidRPr="007D7EDE" w:rsidRDefault="00DB239D" w:rsidP="00544B16">
      <w:pPr>
        <w:tabs>
          <w:tab w:val="left" w:pos="-1440"/>
          <w:tab w:val="left" w:pos="-720"/>
        </w:tabs>
        <w:jc w:val="both"/>
        <w:rPr>
          <w:sz w:val="20"/>
          <w:szCs w:val="20"/>
          <w:lang w:val="fr-CA"/>
        </w:rPr>
      </w:pPr>
      <w:r w:rsidRPr="00DB239D">
        <w:rPr>
          <w:sz w:val="20"/>
          <w:szCs w:val="20"/>
          <w:lang w:val="fr-CA"/>
        </w:rPr>
        <w:pict>
          <v:rect id="_x0000_i1092" style="width:2in;height:1pt" o:hrpct="0" o:hralign="center" o:hrstd="t" o:hrnoshade="t" o:hr="t" fillcolor="black [3213]" stroked="f"/>
        </w:pic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rPr>
      </w:pPr>
      <w:r w:rsidRPr="007D7EDE">
        <w:rPr>
          <w:sz w:val="20"/>
          <w:szCs w:val="20"/>
        </w:rPr>
        <w:t>08.11.2012</w:t>
      </w: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r w:rsidRPr="007D7EDE">
        <w:rPr>
          <w:sz w:val="20"/>
          <w:szCs w:val="20"/>
        </w:rPr>
        <w:t xml:space="preserve">Before / </w:t>
      </w:r>
      <w:proofErr w:type="gramStart"/>
      <w:r w:rsidRPr="007D7EDE">
        <w:rPr>
          <w:sz w:val="20"/>
          <w:szCs w:val="20"/>
        </w:rPr>
        <w:t>Devant :</w:t>
      </w:r>
      <w:proofErr w:type="gramEnd"/>
      <w:r w:rsidRPr="007D7EDE">
        <w:rPr>
          <w:sz w:val="20"/>
          <w:szCs w:val="20"/>
        </w:rPr>
        <w:t xml:space="preserve">   THE REGISTRAR / LE REGISTRAIRE</w:t>
      </w:r>
    </w:p>
    <w:p w:rsidR="00544B16" w:rsidRPr="007D7EDE" w:rsidRDefault="00544B16" w:rsidP="00544B1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4B16" w:rsidRPr="009E192B" w:rsidTr="004C4C5C">
        <w:tc>
          <w:tcPr>
            <w:tcW w:w="4338" w:type="dxa"/>
          </w:tcPr>
          <w:p w:rsidR="00544B16" w:rsidRPr="007D7EDE" w:rsidRDefault="00DB239D" w:rsidP="004C4C5C">
            <w:pPr>
              <w:tabs>
                <w:tab w:val="left" w:pos="-1440"/>
                <w:tab w:val="left" w:pos="-720"/>
              </w:tabs>
              <w:jc w:val="both"/>
              <w:rPr>
                <w:b/>
                <w:sz w:val="20"/>
                <w:szCs w:val="20"/>
              </w:rPr>
            </w:pPr>
            <w:r w:rsidRPr="007D7EDE">
              <w:rPr>
                <w:sz w:val="20"/>
                <w:szCs w:val="20"/>
              </w:rPr>
              <w:fldChar w:fldCharType="begin"/>
            </w:r>
            <w:r w:rsidR="00544B16" w:rsidRPr="007D7EDE">
              <w:rPr>
                <w:sz w:val="20"/>
                <w:szCs w:val="20"/>
              </w:rPr>
              <w:instrText xml:space="preserve"> SEQ CHAPTER \h \r 1</w:instrText>
            </w:r>
            <w:r w:rsidRPr="007D7EDE">
              <w:rPr>
                <w:sz w:val="20"/>
                <w:szCs w:val="20"/>
              </w:rPr>
              <w:fldChar w:fldCharType="end"/>
            </w:r>
            <w:r w:rsidR="00544B16" w:rsidRPr="007D7EDE">
              <w:rPr>
                <w:b/>
                <w:bCs/>
                <w:sz w:val="20"/>
                <w:szCs w:val="20"/>
              </w:rPr>
              <w:t xml:space="preserve">Motion to extend the time to serve and file the respondent’s record, factum and book of authorities </w:t>
            </w:r>
          </w:p>
        </w:tc>
        <w:tc>
          <w:tcPr>
            <w:tcW w:w="1170" w:type="dxa"/>
          </w:tcPr>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tc>
        <w:tc>
          <w:tcPr>
            <w:tcW w:w="4327" w:type="dxa"/>
          </w:tcPr>
          <w:p w:rsidR="00544B16" w:rsidRPr="007D7EDE" w:rsidRDefault="00DB239D" w:rsidP="004C4C5C">
            <w:pPr>
              <w:tabs>
                <w:tab w:val="left" w:pos="-1440"/>
                <w:tab w:val="left" w:pos="-720"/>
              </w:tabs>
              <w:jc w:val="both"/>
              <w:rPr>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b/>
                <w:bCs/>
                <w:sz w:val="20"/>
                <w:szCs w:val="20"/>
                <w:lang w:val="fr-CA"/>
              </w:rPr>
              <w:t xml:space="preserve">Requête de l’intimé en prorogation du délai de signification et de dépôt de </w:t>
            </w:r>
            <w:proofErr w:type="gramStart"/>
            <w:r w:rsidR="00544B16" w:rsidRPr="007D7EDE">
              <w:rPr>
                <w:b/>
                <w:bCs/>
                <w:sz w:val="20"/>
                <w:szCs w:val="20"/>
                <w:lang w:val="fr-CA"/>
              </w:rPr>
              <w:t>ses dossier</w:t>
            </w:r>
            <w:proofErr w:type="gramEnd"/>
            <w:r w:rsidR="00544B16" w:rsidRPr="007D7EDE">
              <w:rPr>
                <w:b/>
                <w:bCs/>
                <w:sz w:val="20"/>
                <w:szCs w:val="20"/>
                <w:lang w:val="fr-CA"/>
              </w:rPr>
              <w:t xml:space="preserve">, mémoire et recueil de sources </w:t>
            </w: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p>
        </w:tc>
      </w:tr>
      <w:tr w:rsidR="00544B16" w:rsidRPr="007D7EDE" w:rsidTr="004C4C5C">
        <w:tc>
          <w:tcPr>
            <w:tcW w:w="4338" w:type="dxa"/>
          </w:tcPr>
          <w:p w:rsidR="00544B16" w:rsidRPr="007D7EDE" w:rsidRDefault="00544B16" w:rsidP="004C4C5C">
            <w:pPr>
              <w:tabs>
                <w:tab w:val="left" w:pos="-1440"/>
                <w:tab w:val="left" w:pos="-720"/>
              </w:tabs>
              <w:jc w:val="both"/>
              <w:rPr>
                <w:sz w:val="20"/>
                <w:szCs w:val="20"/>
              </w:rPr>
            </w:pPr>
            <w:r w:rsidRPr="007D7EDE">
              <w:rPr>
                <w:sz w:val="20"/>
                <w:szCs w:val="20"/>
              </w:rPr>
              <w:t>Her Majesty the Queen</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ab/>
              <w:t>v. (34522)</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lang w:val="fr-CA"/>
              </w:rPr>
            </w:pPr>
            <w:r w:rsidRPr="007D7EDE">
              <w:rPr>
                <w:sz w:val="20"/>
                <w:szCs w:val="20"/>
                <w:lang w:val="fr-CA"/>
              </w:rPr>
              <w:t>W. H. (Crim.) (N.L.)</w:t>
            </w:r>
          </w:p>
        </w:tc>
        <w:tc>
          <w:tcPr>
            <w:tcW w:w="1170" w:type="dxa"/>
          </w:tcPr>
          <w:p w:rsidR="00544B16" w:rsidRPr="007D7EDE" w:rsidRDefault="00544B16" w:rsidP="004C4C5C">
            <w:pPr>
              <w:tabs>
                <w:tab w:val="left" w:pos="-1440"/>
                <w:tab w:val="left" w:pos="-720"/>
              </w:tabs>
              <w:jc w:val="both"/>
              <w:rPr>
                <w:sz w:val="20"/>
                <w:szCs w:val="20"/>
                <w:lang w:val="fr-CA"/>
              </w:rPr>
            </w:pPr>
          </w:p>
        </w:tc>
        <w:tc>
          <w:tcPr>
            <w:tcW w:w="4327" w:type="dxa"/>
          </w:tcPr>
          <w:p w:rsidR="00544B16" w:rsidRPr="007D7EDE" w:rsidRDefault="00544B16" w:rsidP="004C4C5C">
            <w:pPr>
              <w:tabs>
                <w:tab w:val="left" w:pos="-1440"/>
                <w:tab w:val="left" w:pos="-720"/>
              </w:tabs>
              <w:jc w:val="both"/>
              <w:rPr>
                <w:sz w:val="20"/>
                <w:szCs w:val="20"/>
                <w:lang w:val="fr-CA"/>
              </w:rPr>
            </w:pPr>
          </w:p>
        </w:tc>
      </w:tr>
    </w:tbl>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b/>
          <w:sz w:val="20"/>
          <w:szCs w:val="20"/>
          <w:lang w:val="fr-CA"/>
        </w:rPr>
      </w:pPr>
      <w:r w:rsidRPr="007D7EDE">
        <w:rPr>
          <w:b/>
          <w:sz w:val="20"/>
          <w:szCs w:val="20"/>
          <w:lang w:val="fr-CA"/>
        </w:rPr>
        <w:t>GRANTED / ACCORDÉE</w: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pStyle w:val="BodyText"/>
        <w:spacing w:after="0"/>
        <w:jc w:val="both"/>
        <w:rPr>
          <w:sz w:val="20"/>
          <w:szCs w:val="20"/>
          <w:lang w:val="en-US"/>
        </w:rPr>
      </w:pPr>
      <w:r w:rsidRPr="007D7EDE">
        <w:rPr>
          <w:b/>
          <w:sz w:val="20"/>
          <w:szCs w:val="20"/>
          <w:lang w:val="en-US"/>
        </w:rPr>
        <w:t>UPON APPLICATION</w:t>
      </w:r>
      <w:r w:rsidRPr="007D7EDE">
        <w:rPr>
          <w:sz w:val="20"/>
          <w:szCs w:val="20"/>
          <w:lang w:val="en-US"/>
        </w:rPr>
        <w:t xml:space="preserve"> by counsel on behalf of the respondent, for an order extending the time within which to serve and file its Record, Factum and Book of Authorities to December 18, 2012.</w:t>
      </w:r>
    </w:p>
    <w:p w:rsidR="00544B16" w:rsidRPr="007D7EDE" w:rsidRDefault="00544B16" w:rsidP="00544B16">
      <w:pPr>
        <w:pStyle w:val="BodyText"/>
        <w:spacing w:after="0"/>
        <w:jc w:val="both"/>
        <w:rPr>
          <w:b/>
          <w:sz w:val="20"/>
          <w:szCs w:val="20"/>
          <w:lang w:val="en-US"/>
        </w:rPr>
      </w:pPr>
    </w:p>
    <w:p w:rsidR="00544B16" w:rsidRPr="007D7EDE" w:rsidRDefault="00544B16" w:rsidP="00544B16">
      <w:pPr>
        <w:pStyle w:val="BodyText"/>
        <w:spacing w:after="0"/>
        <w:jc w:val="both"/>
        <w:rPr>
          <w:sz w:val="20"/>
          <w:szCs w:val="20"/>
          <w:lang w:val="en-US"/>
        </w:rPr>
      </w:pPr>
      <w:r w:rsidRPr="007D7EDE">
        <w:rPr>
          <w:b/>
          <w:sz w:val="20"/>
          <w:szCs w:val="20"/>
          <w:lang w:val="en-US"/>
        </w:rPr>
        <w:t>IT IS ORDERED</w:t>
      </w:r>
      <w:r w:rsidRPr="007D7EDE">
        <w:rPr>
          <w:sz w:val="20"/>
          <w:szCs w:val="20"/>
          <w:lang w:val="en-US"/>
        </w:rPr>
        <w:t xml:space="preserve"> that the motion is granted.</w:t>
      </w: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7D7EDE">
        <w:rPr>
          <w:b/>
          <w:sz w:val="20"/>
          <w:szCs w:val="20"/>
          <w:lang w:val="fr-CA"/>
        </w:rPr>
        <w:t>À LA SUITE DE LA DEMANDE</w:t>
      </w:r>
      <w:r w:rsidRPr="007D7EDE">
        <w:rPr>
          <w:sz w:val="20"/>
          <w:szCs w:val="20"/>
          <w:lang w:val="fr-CA"/>
        </w:rPr>
        <w:t xml:space="preserve"> présentée par l’avocat de l’intimé(e) en vue d'obtenir la prorogation du délai de signification et de dépôt de </w:t>
      </w:r>
      <w:proofErr w:type="gramStart"/>
      <w:r w:rsidRPr="007D7EDE">
        <w:rPr>
          <w:sz w:val="20"/>
          <w:szCs w:val="20"/>
          <w:lang w:val="fr-CA"/>
        </w:rPr>
        <w:t>ses dossier</w:t>
      </w:r>
      <w:proofErr w:type="gramEnd"/>
      <w:r w:rsidRPr="007D7EDE">
        <w:rPr>
          <w:sz w:val="20"/>
          <w:szCs w:val="20"/>
          <w:lang w:val="fr-CA"/>
        </w:rPr>
        <w:t>, mémoire et recueil de sources jusqu'au18 décembre 2012;</w:t>
      </w:r>
    </w:p>
    <w:p w:rsidR="00544B16" w:rsidRPr="007D7EDE" w:rsidRDefault="00544B16" w:rsidP="0054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p>
    <w:p w:rsidR="00544B16" w:rsidRPr="007D7EDE" w:rsidRDefault="00544B16" w:rsidP="0054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lang w:val="fr-CA"/>
        </w:rPr>
      </w:pPr>
      <w:r w:rsidRPr="007D7EDE">
        <w:rPr>
          <w:b/>
          <w:sz w:val="20"/>
          <w:szCs w:val="20"/>
          <w:lang w:val="fr-CA"/>
        </w:rPr>
        <w:t>IL EST ORDONNÉ</w:t>
      </w:r>
      <w:r w:rsidRPr="007D7EDE">
        <w:rPr>
          <w:sz w:val="20"/>
          <w:szCs w:val="20"/>
          <w:lang w:val="fr-CA"/>
        </w:rPr>
        <w:t xml:space="preserve"> que la requête </w:t>
      </w:r>
      <w:proofErr w:type="gramStart"/>
      <w:r w:rsidRPr="007D7EDE">
        <w:rPr>
          <w:sz w:val="20"/>
          <w:szCs w:val="20"/>
          <w:lang w:val="fr-CA"/>
        </w:rPr>
        <w:t>est</w:t>
      </w:r>
      <w:proofErr w:type="gramEnd"/>
      <w:r w:rsidRPr="007D7EDE">
        <w:rPr>
          <w:sz w:val="20"/>
          <w:szCs w:val="20"/>
          <w:lang w:val="fr-CA"/>
        </w:rPr>
        <w:t xml:space="preserve"> accueillie.</w:t>
      </w:r>
    </w:p>
    <w:p w:rsidR="00544B16" w:rsidRPr="007D7EDE" w:rsidRDefault="00544B16" w:rsidP="00544B16">
      <w:pPr>
        <w:tabs>
          <w:tab w:val="left" w:pos="-1440"/>
          <w:tab w:val="left" w:pos="-720"/>
        </w:tabs>
        <w:jc w:val="both"/>
        <w:rPr>
          <w:sz w:val="20"/>
          <w:szCs w:val="20"/>
          <w:lang w:val="fr-CA"/>
        </w:rPr>
      </w:pPr>
    </w:p>
    <w:p w:rsidR="00544B16" w:rsidRPr="007D7EDE" w:rsidRDefault="00DB239D" w:rsidP="00544B16">
      <w:pPr>
        <w:tabs>
          <w:tab w:val="left" w:pos="-1440"/>
          <w:tab w:val="left" w:pos="-720"/>
        </w:tabs>
        <w:jc w:val="both"/>
        <w:rPr>
          <w:sz w:val="20"/>
          <w:szCs w:val="20"/>
          <w:lang w:val="fr-CA"/>
        </w:rPr>
      </w:pPr>
      <w:r w:rsidRPr="00DB239D">
        <w:rPr>
          <w:sz w:val="20"/>
          <w:szCs w:val="20"/>
          <w:lang w:val="fr-CA"/>
        </w:rPr>
        <w:pict>
          <v:rect id="_x0000_i1093" style="width:2in;height:1pt" o:hrpct="0" o:hralign="center" o:hrstd="t" o:hrnoshade="t" o:hr="t" fillcolor="black [3213]" stroked="f"/>
        </w:pic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lang w:val="fr-CA"/>
        </w:rPr>
      </w:pPr>
      <w:r w:rsidRPr="007D7EDE">
        <w:rPr>
          <w:sz w:val="20"/>
          <w:szCs w:val="20"/>
          <w:lang w:val="fr-CA"/>
        </w:rPr>
        <w:t>09.11.2012</w: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lang w:val="fr-CA"/>
        </w:rPr>
      </w:pPr>
      <w:r w:rsidRPr="007D7EDE">
        <w:rPr>
          <w:sz w:val="20"/>
          <w:szCs w:val="20"/>
          <w:lang w:val="fr-CA"/>
        </w:rPr>
        <w:t>Before / Devant :   LEBEL J. / LE JUGE LEBEL</w:t>
      </w:r>
    </w:p>
    <w:p w:rsidR="00544B16" w:rsidRPr="007D7EDE" w:rsidRDefault="00544B16" w:rsidP="00544B1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4B16" w:rsidRPr="00486CA3" w:rsidTr="004C4C5C">
        <w:tc>
          <w:tcPr>
            <w:tcW w:w="4338" w:type="dxa"/>
          </w:tcPr>
          <w:p w:rsidR="00544B16" w:rsidRPr="007D7EDE" w:rsidRDefault="00DB239D" w:rsidP="004C4C5C">
            <w:pPr>
              <w:tabs>
                <w:tab w:val="left" w:pos="-1440"/>
                <w:tab w:val="left" w:pos="-720"/>
              </w:tabs>
              <w:jc w:val="both"/>
              <w:rPr>
                <w:b/>
                <w:sz w:val="20"/>
                <w:szCs w:val="20"/>
              </w:rPr>
            </w:pPr>
            <w:r w:rsidRPr="007D7EDE">
              <w:rPr>
                <w:sz w:val="20"/>
                <w:szCs w:val="20"/>
              </w:rPr>
              <w:fldChar w:fldCharType="begin"/>
            </w:r>
            <w:r w:rsidR="00544B16" w:rsidRPr="007D7EDE">
              <w:rPr>
                <w:sz w:val="20"/>
                <w:szCs w:val="20"/>
              </w:rPr>
              <w:instrText xml:space="preserve"> SEQ CHAPTER \h \r 1</w:instrText>
            </w:r>
            <w:r w:rsidRPr="007D7EDE">
              <w:rPr>
                <w:sz w:val="20"/>
                <w:szCs w:val="20"/>
              </w:rPr>
              <w:fldChar w:fldCharType="end"/>
            </w:r>
            <w:r w:rsidR="00544B16" w:rsidRPr="007D7EDE">
              <w:rPr>
                <w:b/>
                <w:bCs/>
                <w:sz w:val="20"/>
                <w:szCs w:val="20"/>
              </w:rPr>
              <w:t xml:space="preserve">Motion to extend the time to serve and file the respondent, Criminal Lawyers' Association of Ontario’s record, factum and book of authorities to September 19, 2012, and for an order pursuant to Rule 71(3) permitting oral argument at the hearing of the appeal </w:t>
            </w:r>
          </w:p>
        </w:tc>
        <w:tc>
          <w:tcPr>
            <w:tcW w:w="1170" w:type="dxa"/>
          </w:tcPr>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tc>
        <w:tc>
          <w:tcPr>
            <w:tcW w:w="4327" w:type="dxa"/>
          </w:tcPr>
          <w:p w:rsidR="00544B16" w:rsidRPr="007D7EDE" w:rsidRDefault="00DB239D" w:rsidP="004C4C5C">
            <w:pPr>
              <w:tabs>
                <w:tab w:val="left" w:pos="-1440"/>
                <w:tab w:val="left" w:pos="-720"/>
              </w:tabs>
              <w:jc w:val="both"/>
              <w:rPr>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b/>
                <w:bCs/>
                <w:sz w:val="20"/>
                <w:szCs w:val="20"/>
                <w:lang w:val="fr-CA"/>
              </w:rPr>
              <w:t xml:space="preserve">Requête de l’intimée, la Criminal Lawyers' Association of Ontario, en prorogation du délai de signification et de dépôt de ses dossier, mémoire et recueil de sources jusqu’au 19 septembre 2012, et en autorisation de présenter une plaidoirie orale à l'audition en vertu du par. 71(3) des </w:t>
            </w:r>
            <w:r w:rsidR="00544B16" w:rsidRPr="007D7EDE">
              <w:rPr>
                <w:b/>
                <w:bCs/>
                <w:i/>
                <w:iCs/>
                <w:sz w:val="20"/>
                <w:szCs w:val="20"/>
                <w:lang w:val="fr-CA"/>
              </w:rPr>
              <w:t>Règles</w:t>
            </w:r>
            <w:r w:rsidR="00544B16" w:rsidRPr="007D7EDE">
              <w:rPr>
                <w:b/>
                <w:bCs/>
                <w:iCs/>
                <w:sz w:val="20"/>
                <w:szCs w:val="20"/>
                <w:lang w:val="fr-CA"/>
              </w:rPr>
              <w:t xml:space="preserve"> </w:t>
            </w: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p>
        </w:tc>
      </w:tr>
      <w:tr w:rsidR="00544B16" w:rsidRPr="007D7EDE" w:rsidTr="004C4C5C">
        <w:tc>
          <w:tcPr>
            <w:tcW w:w="4338" w:type="dxa"/>
          </w:tcPr>
          <w:p w:rsidR="00544B16" w:rsidRPr="007D7EDE" w:rsidRDefault="00544B16" w:rsidP="004C4C5C">
            <w:pPr>
              <w:tabs>
                <w:tab w:val="left" w:pos="-1440"/>
                <w:tab w:val="left" w:pos="-720"/>
              </w:tabs>
              <w:jc w:val="both"/>
              <w:rPr>
                <w:sz w:val="20"/>
                <w:szCs w:val="20"/>
              </w:rPr>
            </w:pPr>
            <w:r w:rsidRPr="007D7EDE">
              <w:rPr>
                <w:sz w:val="20"/>
                <w:szCs w:val="20"/>
              </w:rPr>
              <w:t>Her Majesty the Queen</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ab/>
              <w:t>v. (34317)</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Criminal Lawyers' Association of Ontario et al. (Crim.) (Ont.)</w:t>
            </w:r>
          </w:p>
        </w:tc>
        <w:tc>
          <w:tcPr>
            <w:tcW w:w="1170" w:type="dxa"/>
          </w:tcPr>
          <w:p w:rsidR="00544B16" w:rsidRPr="007D7EDE" w:rsidRDefault="00544B16" w:rsidP="004C4C5C">
            <w:pPr>
              <w:tabs>
                <w:tab w:val="left" w:pos="-1440"/>
                <w:tab w:val="left" w:pos="-720"/>
              </w:tabs>
              <w:jc w:val="both"/>
              <w:rPr>
                <w:sz w:val="20"/>
                <w:szCs w:val="20"/>
              </w:rPr>
            </w:pPr>
          </w:p>
        </w:tc>
        <w:tc>
          <w:tcPr>
            <w:tcW w:w="4327" w:type="dxa"/>
          </w:tcPr>
          <w:p w:rsidR="00544B16" w:rsidRPr="007D7EDE" w:rsidRDefault="00544B16" w:rsidP="004C4C5C">
            <w:pPr>
              <w:tabs>
                <w:tab w:val="left" w:pos="-1440"/>
                <w:tab w:val="left" w:pos="-720"/>
              </w:tabs>
              <w:jc w:val="both"/>
              <w:rPr>
                <w:sz w:val="20"/>
                <w:szCs w:val="20"/>
              </w:rPr>
            </w:pPr>
          </w:p>
        </w:tc>
      </w:tr>
    </w:tbl>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b/>
          <w:sz w:val="20"/>
          <w:szCs w:val="20"/>
        </w:rPr>
      </w:pPr>
      <w:r w:rsidRPr="007D7EDE">
        <w:rPr>
          <w:b/>
          <w:sz w:val="20"/>
          <w:szCs w:val="20"/>
        </w:rPr>
        <w:t>GRANTED / ACCORDÉE</w:t>
      </w:r>
    </w:p>
    <w:p w:rsidR="00544B16" w:rsidRPr="007D7EDE" w:rsidRDefault="00544B16" w:rsidP="00544B16">
      <w:pPr>
        <w:tabs>
          <w:tab w:val="left" w:pos="-1440"/>
          <w:tab w:val="left" w:pos="-720"/>
        </w:tabs>
        <w:jc w:val="both"/>
        <w:rPr>
          <w:sz w:val="20"/>
          <w:szCs w:val="20"/>
        </w:rPr>
      </w:pPr>
    </w:p>
    <w:p w:rsidR="00544B16" w:rsidRPr="007D7EDE" w:rsidRDefault="00DB239D" w:rsidP="00544B16">
      <w:pPr>
        <w:tabs>
          <w:tab w:val="left" w:pos="-1440"/>
          <w:tab w:val="left" w:pos="-720"/>
        </w:tabs>
        <w:jc w:val="both"/>
        <w:rPr>
          <w:sz w:val="20"/>
          <w:szCs w:val="20"/>
        </w:rPr>
      </w:pPr>
      <w:r w:rsidRPr="00DB239D">
        <w:rPr>
          <w:sz w:val="20"/>
          <w:szCs w:val="20"/>
          <w:lang w:val="fr-CA"/>
        </w:rPr>
        <w:pict>
          <v:rect id="_x0000_i1094" style="width:2in;height:1pt" o:hrpct="0" o:hralign="center" o:hrstd="t" o:hrnoshade="t" o:hr="t" fillcolor="black [3213]" stroked="f"/>
        </w:pict>
      </w: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r w:rsidRPr="007D7EDE">
        <w:rPr>
          <w:sz w:val="20"/>
          <w:szCs w:val="20"/>
        </w:rPr>
        <w:t>09.11.2012</w:t>
      </w:r>
    </w:p>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r w:rsidRPr="007D7EDE">
        <w:rPr>
          <w:sz w:val="20"/>
          <w:szCs w:val="20"/>
        </w:rPr>
        <w:t xml:space="preserve">Before / </w:t>
      </w:r>
      <w:proofErr w:type="gramStart"/>
      <w:r w:rsidRPr="007D7EDE">
        <w:rPr>
          <w:sz w:val="20"/>
          <w:szCs w:val="20"/>
        </w:rPr>
        <w:t>Devant :</w:t>
      </w:r>
      <w:proofErr w:type="gramEnd"/>
      <w:r w:rsidRPr="007D7EDE">
        <w:rPr>
          <w:sz w:val="20"/>
          <w:szCs w:val="20"/>
        </w:rPr>
        <w:t xml:space="preserve">   THE REGISTRAR / LE REGISTRAIRE</w:t>
      </w:r>
    </w:p>
    <w:p w:rsidR="00544B16" w:rsidRPr="007D7EDE" w:rsidRDefault="00544B16" w:rsidP="00544B16">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4B16" w:rsidRPr="00486CA3" w:rsidTr="004C4C5C">
        <w:tc>
          <w:tcPr>
            <w:tcW w:w="4338" w:type="dxa"/>
          </w:tcPr>
          <w:p w:rsidR="00544B16" w:rsidRPr="007D7EDE" w:rsidRDefault="00DB239D" w:rsidP="004C4C5C">
            <w:pPr>
              <w:tabs>
                <w:tab w:val="left" w:pos="-1440"/>
                <w:tab w:val="left" w:pos="-720"/>
              </w:tabs>
              <w:jc w:val="both"/>
              <w:rPr>
                <w:b/>
                <w:sz w:val="20"/>
                <w:szCs w:val="20"/>
              </w:rPr>
            </w:pPr>
            <w:r w:rsidRPr="007D7EDE">
              <w:rPr>
                <w:sz w:val="20"/>
                <w:szCs w:val="20"/>
              </w:rPr>
              <w:fldChar w:fldCharType="begin"/>
            </w:r>
            <w:r w:rsidR="00544B16" w:rsidRPr="007D7EDE">
              <w:rPr>
                <w:sz w:val="20"/>
                <w:szCs w:val="20"/>
              </w:rPr>
              <w:instrText xml:space="preserve"> SEQ CHAPTER \h \r 1</w:instrText>
            </w:r>
            <w:r w:rsidRPr="007D7EDE">
              <w:rPr>
                <w:sz w:val="20"/>
                <w:szCs w:val="20"/>
              </w:rPr>
              <w:fldChar w:fldCharType="end"/>
            </w:r>
            <w:r w:rsidR="00544B16" w:rsidRPr="007D7EDE">
              <w:rPr>
                <w:b/>
                <w:bCs/>
                <w:sz w:val="20"/>
                <w:szCs w:val="20"/>
              </w:rPr>
              <w:t xml:space="preserve">Motion to allow the applicant to file a single leave application from the judgments of the Court of Appeal of British Columbia numbers CA037382 dated May 14, 2010 and CA039064 dated August 7, 2012 </w:t>
            </w:r>
            <w:r w:rsidRPr="007D7EDE">
              <w:rPr>
                <w:sz w:val="20"/>
                <w:szCs w:val="20"/>
              </w:rPr>
              <w:fldChar w:fldCharType="begin"/>
            </w:r>
            <w:r w:rsidR="00544B16" w:rsidRPr="007D7EDE">
              <w:rPr>
                <w:sz w:val="20"/>
                <w:szCs w:val="20"/>
              </w:rPr>
              <w:instrText xml:space="preserve"> SEQ CHAPTER \h \r 1</w:instrText>
            </w:r>
            <w:r w:rsidRPr="007D7EDE">
              <w:rPr>
                <w:sz w:val="20"/>
                <w:szCs w:val="20"/>
              </w:rPr>
              <w:fldChar w:fldCharType="end"/>
            </w:r>
            <w:r w:rsidRPr="007D7EDE">
              <w:rPr>
                <w:sz w:val="20"/>
                <w:szCs w:val="20"/>
              </w:rPr>
              <w:fldChar w:fldCharType="begin"/>
            </w:r>
            <w:r w:rsidR="00544B16" w:rsidRPr="007D7EDE">
              <w:rPr>
                <w:sz w:val="20"/>
                <w:szCs w:val="20"/>
              </w:rPr>
              <w:instrText xml:space="preserve"> SEQ CHAPTER \h \r 1</w:instrText>
            </w:r>
            <w:r w:rsidRPr="007D7EDE">
              <w:rPr>
                <w:sz w:val="20"/>
                <w:szCs w:val="20"/>
              </w:rPr>
              <w:fldChar w:fldCharType="end"/>
            </w:r>
          </w:p>
        </w:tc>
        <w:tc>
          <w:tcPr>
            <w:tcW w:w="1170" w:type="dxa"/>
          </w:tcPr>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p>
        </w:tc>
        <w:tc>
          <w:tcPr>
            <w:tcW w:w="4327" w:type="dxa"/>
          </w:tcPr>
          <w:p w:rsidR="00544B16" w:rsidRPr="007D7EDE" w:rsidRDefault="00DB239D" w:rsidP="004C4C5C">
            <w:pPr>
              <w:tabs>
                <w:tab w:val="left" w:pos="-1440"/>
                <w:tab w:val="left" w:pos="-720"/>
              </w:tabs>
              <w:jc w:val="both"/>
              <w:rPr>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b/>
                <w:bCs/>
                <w:sz w:val="20"/>
                <w:szCs w:val="20"/>
                <w:lang w:val="fr-CA"/>
              </w:rPr>
              <w:t>Requête en vue de déposer une seule demande d'autorisation d'appel à l'égard des jugements de la Cour d'appel de la Colombie-Britannique numéros CA037382, daté du 14 mai 2010, et CA</w:t>
            </w:r>
            <w:r w:rsidR="00544B16" w:rsidRPr="007D7EDE">
              <w:rPr>
                <w:b/>
                <w:bCs/>
                <w:sz w:val="20"/>
                <w:szCs w:val="20"/>
                <w:lang w:val="fr-FR"/>
              </w:rPr>
              <w:t>039064,</w:t>
            </w:r>
            <w:r w:rsidR="00544B16" w:rsidRPr="007D7EDE">
              <w:rPr>
                <w:b/>
                <w:bCs/>
                <w:sz w:val="20"/>
                <w:szCs w:val="20"/>
                <w:lang w:val="fr-CA"/>
              </w:rPr>
              <w:t xml:space="preserve"> daté du 7 août 2012 </w:t>
            </w: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sz w:val="20"/>
                <w:szCs w:val="20"/>
                <w:lang w:val="fr-CA"/>
              </w:rPr>
              <w:t xml:space="preserve"> </w:t>
            </w: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p>
        </w:tc>
      </w:tr>
      <w:tr w:rsidR="00544B16" w:rsidRPr="007D7EDE" w:rsidTr="004C4C5C">
        <w:tc>
          <w:tcPr>
            <w:tcW w:w="4338" w:type="dxa"/>
          </w:tcPr>
          <w:p w:rsidR="00544B16" w:rsidRPr="007D7EDE" w:rsidRDefault="00544B16" w:rsidP="004C4C5C">
            <w:pPr>
              <w:tabs>
                <w:tab w:val="left" w:pos="-1440"/>
                <w:tab w:val="left" w:pos="-720"/>
              </w:tabs>
              <w:jc w:val="both"/>
              <w:rPr>
                <w:sz w:val="20"/>
                <w:szCs w:val="20"/>
              </w:rPr>
            </w:pPr>
            <w:r w:rsidRPr="007D7EDE">
              <w:rPr>
                <w:sz w:val="20"/>
                <w:szCs w:val="20"/>
              </w:rPr>
              <w:t>Sattva Capital Corporation (formerly Sattva Capital Inc.)</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ab/>
              <w:t>v. (35026)</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Creston Moly Corporation (formerly Georgia Ventures Inc.) (B.C.)</w:t>
            </w:r>
          </w:p>
        </w:tc>
        <w:tc>
          <w:tcPr>
            <w:tcW w:w="1170" w:type="dxa"/>
          </w:tcPr>
          <w:p w:rsidR="00544B16" w:rsidRPr="007D7EDE" w:rsidRDefault="00544B16" w:rsidP="004C4C5C">
            <w:pPr>
              <w:tabs>
                <w:tab w:val="left" w:pos="-1440"/>
                <w:tab w:val="left" w:pos="-720"/>
              </w:tabs>
              <w:jc w:val="both"/>
              <w:rPr>
                <w:sz w:val="20"/>
                <w:szCs w:val="20"/>
              </w:rPr>
            </w:pPr>
          </w:p>
        </w:tc>
        <w:tc>
          <w:tcPr>
            <w:tcW w:w="4327" w:type="dxa"/>
          </w:tcPr>
          <w:p w:rsidR="00544B16" w:rsidRPr="007D7EDE" w:rsidRDefault="00544B16" w:rsidP="004C4C5C">
            <w:pPr>
              <w:tabs>
                <w:tab w:val="left" w:pos="-1440"/>
                <w:tab w:val="left" w:pos="-720"/>
              </w:tabs>
              <w:jc w:val="both"/>
              <w:rPr>
                <w:sz w:val="20"/>
                <w:szCs w:val="20"/>
              </w:rPr>
            </w:pPr>
          </w:p>
        </w:tc>
      </w:tr>
    </w:tbl>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b/>
          <w:sz w:val="20"/>
          <w:szCs w:val="20"/>
        </w:rPr>
      </w:pPr>
      <w:r w:rsidRPr="007D7EDE">
        <w:rPr>
          <w:b/>
          <w:sz w:val="20"/>
          <w:szCs w:val="20"/>
        </w:rPr>
        <w:t>GRANTED / ACCORDÉE</w:t>
      </w:r>
    </w:p>
    <w:p w:rsidR="00544B16" w:rsidRPr="007D7EDE" w:rsidRDefault="00544B16" w:rsidP="00544B16">
      <w:pPr>
        <w:tabs>
          <w:tab w:val="left" w:pos="-1440"/>
          <w:tab w:val="left" w:pos="-720"/>
        </w:tabs>
        <w:jc w:val="both"/>
        <w:rPr>
          <w:sz w:val="20"/>
          <w:szCs w:val="20"/>
          <w:lang w:val="fr-FR"/>
        </w:rPr>
      </w:pPr>
    </w:p>
    <w:p w:rsidR="00544B16" w:rsidRPr="007D7EDE" w:rsidRDefault="00DB239D" w:rsidP="00544B16">
      <w:pPr>
        <w:tabs>
          <w:tab w:val="left" w:pos="-1440"/>
          <w:tab w:val="left" w:pos="-720"/>
        </w:tabs>
        <w:jc w:val="both"/>
        <w:rPr>
          <w:sz w:val="20"/>
          <w:szCs w:val="20"/>
          <w:lang w:val="fr-CA"/>
        </w:rPr>
      </w:pPr>
      <w:r w:rsidRPr="00DB239D">
        <w:rPr>
          <w:sz w:val="20"/>
          <w:szCs w:val="20"/>
          <w:lang w:val="fr-CA"/>
        </w:rPr>
        <w:pict>
          <v:rect id="_x0000_i1095" style="width:2in;height:1pt" o:hrpct="0" o:hralign="center" o:hrstd="t" o:hrnoshade="t" o:hr="t" fillcolor="black [3213]" stroked="f"/>
        </w:pict>
      </w:r>
    </w:p>
    <w:p w:rsidR="00544B16" w:rsidRPr="007D7EDE" w:rsidRDefault="00544B16" w:rsidP="00544B16">
      <w:pPr>
        <w:rPr>
          <w:sz w:val="20"/>
          <w:szCs w:val="20"/>
          <w:lang w:val="fr-CA"/>
        </w:rPr>
      </w:pPr>
    </w:p>
    <w:p w:rsidR="00544B16" w:rsidRPr="007D7EDE" w:rsidRDefault="00544B16" w:rsidP="00544B16">
      <w:pPr>
        <w:rPr>
          <w:sz w:val="20"/>
          <w:szCs w:val="20"/>
          <w:lang w:val="fr-CA"/>
        </w:rPr>
      </w:pPr>
      <w:r w:rsidRPr="007D7EDE">
        <w:rPr>
          <w:sz w:val="20"/>
          <w:szCs w:val="20"/>
          <w:lang w:val="fr-CA"/>
        </w:rPr>
        <w:br w:type="page"/>
      </w:r>
    </w:p>
    <w:p w:rsidR="00544B16" w:rsidRPr="007D7EDE" w:rsidRDefault="00544B16" w:rsidP="00544B16">
      <w:pPr>
        <w:tabs>
          <w:tab w:val="left" w:pos="-1440"/>
          <w:tab w:val="left" w:pos="-720"/>
        </w:tabs>
        <w:jc w:val="both"/>
        <w:rPr>
          <w:sz w:val="20"/>
          <w:szCs w:val="20"/>
          <w:lang w:val="fr-CA"/>
        </w:rPr>
      </w:pPr>
      <w:r w:rsidRPr="007D7EDE">
        <w:rPr>
          <w:sz w:val="20"/>
          <w:szCs w:val="20"/>
          <w:lang w:val="fr-CA"/>
        </w:rPr>
        <w:t>14.11.2012</w: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lang w:val="fr-CA"/>
        </w:rPr>
      </w:pPr>
      <w:r w:rsidRPr="007D7EDE">
        <w:rPr>
          <w:sz w:val="20"/>
          <w:szCs w:val="20"/>
          <w:lang w:val="fr-CA"/>
        </w:rPr>
        <w:t>Before / Devant :   ROTHSTEIN J. / LE JUGE ROTHSTEIN</w:t>
      </w:r>
    </w:p>
    <w:p w:rsidR="00544B16" w:rsidRPr="007D7EDE" w:rsidRDefault="00544B16" w:rsidP="00544B1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44B16" w:rsidRPr="00486CA3" w:rsidTr="004C4C5C">
        <w:tc>
          <w:tcPr>
            <w:tcW w:w="4338" w:type="dxa"/>
            <w:gridSpan w:val="2"/>
          </w:tcPr>
          <w:p w:rsidR="00544B16" w:rsidRPr="007D7EDE" w:rsidRDefault="00544B16" w:rsidP="004C4C5C">
            <w:pPr>
              <w:jc w:val="both"/>
              <w:rPr>
                <w:b/>
                <w:sz w:val="20"/>
                <w:szCs w:val="20"/>
              </w:rPr>
            </w:pPr>
            <w:r w:rsidRPr="007D7EDE">
              <w:rPr>
                <w:b/>
                <w:sz w:val="20"/>
                <w:szCs w:val="20"/>
              </w:rPr>
              <w:t xml:space="preserve">Order on interventions with respect to oral argument </w:t>
            </w:r>
            <w:r w:rsidR="00DB239D" w:rsidRPr="007D7EDE">
              <w:rPr>
                <w:b/>
                <w:sz w:val="20"/>
                <w:szCs w:val="20"/>
              </w:rPr>
              <w:fldChar w:fldCharType="begin"/>
            </w:r>
            <w:r w:rsidRPr="007D7EDE">
              <w:rPr>
                <w:b/>
                <w:sz w:val="20"/>
                <w:szCs w:val="20"/>
              </w:rPr>
              <w:instrText xml:space="preserve"> SEQ CHAPTER \h \r 1</w:instrText>
            </w:r>
            <w:r w:rsidR="00DB239D" w:rsidRPr="007D7EDE">
              <w:rPr>
                <w:b/>
                <w:sz w:val="20"/>
                <w:szCs w:val="20"/>
              </w:rPr>
              <w:fldChar w:fldCharType="end"/>
            </w:r>
          </w:p>
        </w:tc>
        <w:tc>
          <w:tcPr>
            <w:tcW w:w="1170" w:type="dxa"/>
          </w:tcPr>
          <w:p w:rsidR="00544B16" w:rsidRPr="007D7EDE" w:rsidRDefault="00544B16" w:rsidP="004C4C5C">
            <w:pPr>
              <w:rPr>
                <w:sz w:val="20"/>
                <w:szCs w:val="20"/>
              </w:rPr>
            </w:pPr>
          </w:p>
          <w:p w:rsidR="00544B16" w:rsidRPr="007D7EDE" w:rsidRDefault="00544B16" w:rsidP="004C4C5C">
            <w:pPr>
              <w:rPr>
                <w:sz w:val="20"/>
                <w:szCs w:val="20"/>
              </w:rPr>
            </w:pPr>
          </w:p>
          <w:p w:rsidR="00544B16" w:rsidRPr="007D7EDE" w:rsidRDefault="00544B16" w:rsidP="004C4C5C">
            <w:pPr>
              <w:rPr>
                <w:sz w:val="20"/>
                <w:szCs w:val="20"/>
              </w:rPr>
            </w:pPr>
          </w:p>
        </w:tc>
        <w:tc>
          <w:tcPr>
            <w:tcW w:w="4327" w:type="dxa"/>
          </w:tcPr>
          <w:p w:rsidR="00544B16" w:rsidRPr="007D7EDE" w:rsidRDefault="00544B16" w:rsidP="004C4C5C">
            <w:pPr>
              <w:jc w:val="both"/>
              <w:rPr>
                <w:b/>
                <w:sz w:val="20"/>
                <w:szCs w:val="20"/>
                <w:lang w:val="fr-CA"/>
              </w:rPr>
            </w:pPr>
            <w:r w:rsidRPr="007D7EDE">
              <w:rPr>
                <w:b/>
                <w:sz w:val="20"/>
                <w:szCs w:val="20"/>
                <w:lang w:val="fr-CA"/>
              </w:rPr>
              <w:t>Ordonnance relative à la présentation d’une plaidoirie orale par les intervenants</w:t>
            </w:r>
            <w:r w:rsidR="00DB239D" w:rsidRPr="007D7EDE">
              <w:rPr>
                <w:b/>
                <w:sz w:val="20"/>
                <w:szCs w:val="20"/>
              </w:rPr>
              <w:fldChar w:fldCharType="begin"/>
            </w:r>
            <w:r w:rsidRPr="007D7EDE">
              <w:rPr>
                <w:b/>
                <w:sz w:val="20"/>
                <w:szCs w:val="20"/>
                <w:lang w:val="fr-CA"/>
              </w:rPr>
              <w:instrText xml:space="preserve"> SEQ CHAPTER \h \r 1</w:instrText>
            </w:r>
            <w:r w:rsidR="00DB239D" w:rsidRPr="007D7EDE">
              <w:rPr>
                <w:b/>
                <w:sz w:val="20"/>
                <w:szCs w:val="20"/>
              </w:rPr>
              <w:fldChar w:fldCharType="end"/>
            </w:r>
          </w:p>
        </w:tc>
      </w:tr>
      <w:tr w:rsidR="00544B16" w:rsidRPr="007D7EDE" w:rsidTr="004C4C5C">
        <w:tc>
          <w:tcPr>
            <w:tcW w:w="1368" w:type="dxa"/>
          </w:tcPr>
          <w:p w:rsidR="00544B16" w:rsidRPr="007D7EDE" w:rsidRDefault="00544B16" w:rsidP="004C4C5C">
            <w:pPr>
              <w:rPr>
                <w:sz w:val="20"/>
                <w:szCs w:val="20"/>
              </w:rPr>
            </w:pPr>
            <w:r w:rsidRPr="007D7EDE">
              <w:rPr>
                <w:sz w:val="20"/>
                <w:szCs w:val="20"/>
              </w:rPr>
              <w:t>RE:</w:t>
            </w:r>
          </w:p>
        </w:tc>
        <w:tc>
          <w:tcPr>
            <w:tcW w:w="2970" w:type="dxa"/>
          </w:tcPr>
          <w:p w:rsidR="00544B16" w:rsidRPr="007D7EDE" w:rsidRDefault="00544B16" w:rsidP="004C4C5C">
            <w:pPr>
              <w:rPr>
                <w:sz w:val="20"/>
                <w:szCs w:val="20"/>
              </w:rPr>
            </w:pPr>
            <w:r w:rsidRPr="007D7EDE">
              <w:rPr>
                <w:bCs/>
                <w:sz w:val="20"/>
                <w:szCs w:val="20"/>
              </w:rPr>
              <w:t>C</w:t>
            </w:r>
            <w:r w:rsidRPr="007D7EDE">
              <w:rPr>
                <w:sz w:val="20"/>
                <w:szCs w:val="20"/>
              </w:rPr>
              <w:t>onstruction Owners Association of Alberta;</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Construction Labour Relations - an Alberta Association and Enform;</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Canadian National Railway Company;</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Canadian Pacific Railway Company and Via Rail Canada Inc.;</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Alberta Federation of Labour;</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Communications, Energy and Paperworkers Union of Canada, Local 707;</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Canadian Civil Liberties Association;</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Alliance of Manufacturers &amp; Exporters of Canada, carrying on business as Canadian Manufacturers &amp; Exporters;</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Canadian Mining Association;</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Mining Association of British Columbia, Mining Association of Manitoba Inc., Quebec Mining Association, Ontario Mining Association and Saskatchewan Mining Association;</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Power Workers' Union</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r w:rsidRPr="007D7EDE">
              <w:rPr>
                <w:sz w:val="20"/>
                <w:szCs w:val="20"/>
              </w:rPr>
              <w:t>IN / DANS :</w:t>
            </w:r>
          </w:p>
        </w:tc>
        <w:tc>
          <w:tcPr>
            <w:tcW w:w="2970" w:type="dxa"/>
          </w:tcPr>
          <w:p w:rsidR="00544B16" w:rsidRPr="007D7EDE" w:rsidRDefault="00544B16" w:rsidP="004C4C5C">
            <w:pPr>
              <w:rPr>
                <w:sz w:val="20"/>
                <w:szCs w:val="20"/>
              </w:rPr>
            </w:pPr>
            <w:r w:rsidRPr="007D7EDE">
              <w:rPr>
                <w:sz w:val="20"/>
                <w:szCs w:val="20"/>
              </w:rPr>
              <w:t>Communications, Energy and Paperworkers Union of Canada, Local 30</w:t>
            </w:r>
          </w:p>
          <w:p w:rsidR="00544B16" w:rsidRPr="007D7EDE" w:rsidRDefault="00544B16" w:rsidP="004C4C5C">
            <w:pPr>
              <w:rPr>
                <w:sz w:val="20"/>
                <w:szCs w:val="20"/>
              </w:rPr>
            </w:pP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rPr>
                <w:sz w:val="20"/>
                <w:szCs w:val="20"/>
              </w:rPr>
            </w:pPr>
            <w:r w:rsidRPr="007D7EDE">
              <w:rPr>
                <w:sz w:val="20"/>
                <w:szCs w:val="20"/>
              </w:rPr>
              <w:tab/>
              <w:t>v. (34473)</w:t>
            </w:r>
          </w:p>
          <w:p w:rsidR="00544B16" w:rsidRPr="007D7EDE" w:rsidRDefault="00544B16" w:rsidP="004C4C5C">
            <w:pPr>
              <w:rPr>
                <w:sz w:val="20"/>
                <w:szCs w:val="20"/>
              </w:rPr>
            </w:pP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r w:rsidR="00544B16" w:rsidRPr="007D7EDE" w:rsidTr="004C4C5C">
        <w:tc>
          <w:tcPr>
            <w:tcW w:w="1368" w:type="dxa"/>
          </w:tcPr>
          <w:p w:rsidR="00544B16" w:rsidRPr="007D7EDE" w:rsidRDefault="00544B16" w:rsidP="004C4C5C">
            <w:pPr>
              <w:rPr>
                <w:sz w:val="20"/>
                <w:szCs w:val="20"/>
              </w:rPr>
            </w:pPr>
          </w:p>
        </w:tc>
        <w:tc>
          <w:tcPr>
            <w:tcW w:w="2970" w:type="dxa"/>
          </w:tcPr>
          <w:p w:rsidR="00544B16" w:rsidRPr="007D7EDE" w:rsidRDefault="00544B16" w:rsidP="004C4C5C">
            <w:pPr>
              <w:jc w:val="both"/>
              <w:rPr>
                <w:sz w:val="20"/>
                <w:szCs w:val="20"/>
              </w:rPr>
            </w:pPr>
            <w:r w:rsidRPr="007D7EDE">
              <w:rPr>
                <w:sz w:val="20"/>
                <w:szCs w:val="20"/>
              </w:rPr>
              <w:t>Irving Pulp &amp; Paper, Limited (N.B.)</w:t>
            </w:r>
          </w:p>
        </w:tc>
        <w:tc>
          <w:tcPr>
            <w:tcW w:w="1170" w:type="dxa"/>
          </w:tcPr>
          <w:p w:rsidR="00544B16" w:rsidRPr="007D7EDE" w:rsidRDefault="00544B16" w:rsidP="004C4C5C">
            <w:pPr>
              <w:rPr>
                <w:sz w:val="20"/>
                <w:szCs w:val="20"/>
              </w:rPr>
            </w:pPr>
          </w:p>
        </w:tc>
        <w:tc>
          <w:tcPr>
            <w:tcW w:w="4327" w:type="dxa"/>
          </w:tcPr>
          <w:p w:rsidR="00544B16" w:rsidRPr="007D7EDE" w:rsidRDefault="00544B16" w:rsidP="004C4C5C">
            <w:pPr>
              <w:rPr>
                <w:sz w:val="20"/>
                <w:szCs w:val="20"/>
              </w:rPr>
            </w:pPr>
          </w:p>
        </w:tc>
      </w:tr>
    </w:tbl>
    <w:p w:rsidR="00544B16" w:rsidRPr="007D7EDE" w:rsidRDefault="00544B16" w:rsidP="00544B16">
      <w:pPr>
        <w:tabs>
          <w:tab w:val="left" w:pos="-1440"/>
          <w:tab w:val="left" w:pos="-720"/>
        </w:tabs>
        <w:jc w:val="both"/>
        <w:rPr>
          <w:sz w:val="20"/>
          <w:szCs w:val="20"/>
        </w:rPr>
      </w:pPr>
    </w:p>
    <w:p w:rsidR="00544B16" w:rsidRPr="007D7EDE" w:rsidRDefault="00544B16" w:rsidP="00544B16">
      <w:pPr>
        <w:spacing w:line="230" w:lineRule="auto"/>
        <w:jc w:val="both"/>
        <w:rPr>
          <w:sz w:val="20"/>
          <w:szCs w:val="20"/>
        </w:rPr>
      </w:pPr>
      <w:r w:rsidRPr="007D7EDE">
        <w:rPr>
          <w:b/>
          <w:bCs/>
          <w:sz w:val="20"/>
          <w:szCs w:val="20"/>
        </w:rPr>
        <w:t>FURTHER TO THE ORDER</w:t>
      </w:r>
      <w:r w:rsidRPr="007D7EDE">
        <w:rPr>
          <w:sz w:val="20"/>
          <w:szCs w:val="20"/>
        </w:rPr>
        <w:t xml:space="preserve"> dated September 14, 2012, granting leave to intervene to</w:t>
      </w:r>
      <w:r w:rsidRPr="007D7EDE">
        <w:rPr>
          <w:b/>
          <w:bCs/>
          <w:sz w:val="20"/>
          <w:szCs w:val="20"/>
        </w:rPr>
        <w:t xml:space="preserve"> </w:t>
      </w:r>
      <w:r w:rsidRPr="007D7EDE">
        <w:rPr>
          <w:bCs/>
          <w:sz w:val="20"/>
          <w:szCs w:val="20"/>
        </w:rPr>
        <w:t>the C</w:t>
      </w:r>
      <w:r w:rsidRPr="007D7EDE">
        <w:rPr>
          <w:sz w:val="20"/>
          <w:szCs w:val="20"/>
        </w:rPr>
        <w:t>onstruction Owners Association of Alberta, Construction Labour Relations - an Alberta Association and Enform, the Canadian National Railway Company, Canadian Pacific Railway Company and Via Rail Canada Inc., the Alberta Federation of Labour, the Communications, Energy and Paperworkers Union of Canada, Local 707, the Canadian Civil Liberties Association, the Alliance of Manufacturers &amp; Exporters of Canada, carrying on business as Canadian Manufacturers &amp; Exporters, the Canadian Mining Association, Mining Association of British Columbia, Mining Association of Manitoba Inc., Quebec Mining Association, Ontario Mining Association and Saskatchewan Mining Association and the Power Workers' Union;</w:t>
      </w:r>
    </w:p>
    <w:p w:rsidR="00544B16" w:rsidRPr="007D7EDE" w:rsidRDefault="00544B16" w:rsidP="00544B16">
      <w:pPr>
        <w:spacing w:line="230" w:lineRule="auto"/>
        <w:jc w:val="both"/>
        <w:rPr>
          <w:sz w:val="20"/>
          <w:szCs w:val="20"/>
        </w:rPr>
      </w:pPr>
    </w:p>
    <w:p w:rsidR="00544B16" w:rsidRPr="007D7EDE" w:rsidRDefault="00544B16" w:rsidP="00544B16">
      <w:pPr>
        <w:spacing w:line="230" w:lineRule="auto"/>
        <w:ind w:left="-23"/>
        <w:jc w:val="both"/>
        <w:rPr>
          <w:sz w:val="20"/>
          <w:szCs w:val="20"/>
        </w:rPr>
      </w:pPr>
      <w:r w:rsidRPr="007D7EDE">
        <w:rPr>
          <w:b/>
          <w:sz w:val="20"/>
          <w:szCs w:val="20"/>
        </w:rPr>
        <w:t xml:space="preserve">IT IS HEREBY FURTHER ORDERED THAT </w:t>
      </w:r>
      <w:r w:rsidRPr="007D7EDE">
        <w:rPr>
          <w:sz w:val="20"/>
          <w:szCs w:val="20"/>
        </w:rPr>
        <w:t>the following six groups, the Canadian National Railway Company, Canadian Pacific Railway Company and Via Rail Canada Inc., the Communications, Energy and Paperworkers Union of Canada, Local 707, the Canadian Civil Liberties Association, the Alliance of Manufacturers &amp; Exporters of Canada, carrying on business as Canadian Manufacturers &amp; Exporters, the Canadian Mining Association, Mining Association of British Columbia, Mining Association of Manitoba Inc., Quebec Mining Association, Ontario Mining Association and Saskatchewan Mining Association and the Power Workers' Union, are each granted permission to present oral argument not exceeding ten (10) minutes at the hearing of the appeal.</w:t>
      </w:r>
    </w:p>
    <w:p w:rsidR="00544B16" w:rsidRPr="007D7EDE" w:rsidRDefault="00544B16" w:rsidP="00544B16">
      <w:pPr>
        <w:spacing w:line="230" w:lineRule="auto"/>
        <w:ind w:left="-23"/>
        <w:jc w:val="both"/>
        <w:rPr>
          <w:sz w:val="20"/>
          <w:szCs w:val="20"/>
        </w:rPr>
      </w:pPr>
    </w:p>
    <w:p w:rsidR="00544B16" w:rsidRPr="007D7EDE" w:rsidRDefault="00544B16" w:rsidP="00544B16">
      <w:pPr>
        <w:spacing w:line="225" w:lineRule="auto"/>
        <w:jc w:val="both"/>
        <w:rPr>
          <w:sz w:val="20"/>
          <w:szCs w:val="20"/>
        </w:rPr>
      </w:pPr>
      <w:r w:rsidRPr="007D7EDE">
        <w:rPr>
          <w:b/>
          <w:bCs/>
          <w:sz w:val="20"/>
          <w:szCs w:val="20"/>
        </w:rPr>
        <w:t xml:space="preserve">AND IT IS HEREBY FURTHER ORDERED THAT </w:t>
      </w:r>
      <w:r w:rsidRPr="007D7EDE">
        <w:rPr>
          <w:sz w:val="20"/>
          <w:szCs w:val="20"/>
        </w:rPr>
        <w:t xml:space="preserve">the </w:t>
      </w:r>
      <w:r w:rsidRPr="007D7EDE">
        <w:rPr>
          <w:bCs/>
          <w:sz w:val="20"/>
          <w:szCs w:val="20"/>
        </w:rPr>
        <w:t>C</w:t>
      </w:r>
      <w:r w:rsidRPr="007D7EDE">
        <w:rPr>
          <w:sz w:val="20"/>
          <w:szCs w:val="20"/>
        </w:rPr>
        <w:t>onstruction Owners Association of Alberta, Construction Labour Relations - an Alberta Association and Enform and the Alberta Federation of Labour are not permitted to present oral argument at the hearing of the appeal.</w:t>
      </w:r>
    </w:p>
    <w:p w:rsidR="00544B16" w:rsidRPr="007D7EDE" w:rsidRDefault="00544B16" w:rsidP="00544B16">
      <w:pPr>
        <w:spacing w:line="225" w:lineRule="auto"/>
        <w:jc w:val="both"/>
        <w:rPr>
          <w:sz w:val="20"/>
          <w:szCs w:val="20"/>
        </w:rPr>
      </w:pPr>
    </w:p>
    <w:p w:rsidR="00544B16" w:rsidRPr="007D7EDE" w:rsidRDefault="00544B16" w:rsidP="00544B16">
      <w:pPr>
        <w:spacing w:line="225" w:lineRule="auto"/>
        <w:jc w:val="both"/>
        <w:rPr>
          <w:sz w:val="20"/>
          <w:szCs w:val="20"/>
        </w:rPr>
      </w:pPr>
    </w:p>
    <w:p w:rsidR="00544B16" w:rsidRPr="007D7EDE" w:rsidRDefault="00544B16" w:rsidP="00544B16">
      <w:pPr>
        <w:spacing w:line="225" w:lineRule="auto"/>
        <w:jc w:val="both"/>
        <w:rPr>
          <w:sz w:val="20"/>
          <w:szCs w:val="20"/>
        </w:rPr>
      </w:pPr>
    </w:p>
    <w:p w:rsidR="00544B16" w:rsidRPr="007D7EDE" w:rsidRDefault="00544B16" w:rsidP="00544B16">
      <w:pPr>
        <w:spacing w:line="230" w:lineRule="auto"/>
        <w:jc w:val="both"/>
        <w:rPr>
          <w:sz w:val="20"/>
          <w:szCs w:val="20"/>
          <w:lang w:val="fr-FR"/>
        </w:rPr>
      </w:pPr>
      <w:r w:rsidRPr="007D7EDE">
        <w:rPr>
          <w:b/>
          <w:bCs/>
          <w:sz w:val="20"/>
          <w:szCs w:val="20"/>
          <w:lang w:val="fr-FR"/>
        </w:rPr>
        <w:t xml:space="preserve">À LA SUITE DE L’ORDONNANCE </w:t>
      </w:r>
      <w:r w:rsidRPr="007D7EDE">
        <w:rPr>
          <w:bCs/>
          <w:sz w:val="20"/>
          <w:szCs w:val="20"/>
          <w:lang w:val="fr-FR"/>
        </w:rPr>
        <w:t>datée du 14 septembre 2012 accordant l’autorisation d’intervenir à la C</w:t>
      </w:r>
      <w:r w:rsidRPr="007D7EDE">
        <w:rPr>
          <w:sz w:val="20"/>
          <w:szCs w:val="20"/>
          <w:lang w:val="fr-FR"/>
        </w:rPr>
        <w:t xml:space="preserve">onstruction Owners Association of Alberta, la Construction Labour Relations - an Alberta Association et Enform, </w:t>
      </w:r>
      <w:bookmarkStart w:id="2" w:name="OLE_LINK1"/>
      <w:bookmarkStart w:id="3" w:name="OLE_LINK2"/>
      <w:r w:rsidRPr="007D7EDE">
        <w:rPr>
          <w:sz w:val="20"/>
          <w:szCs w:val="20"/>
          <w:lang w:val="fr-FR"/>
        </w:rPr>
        <w:t xml:space="preserve">à </w:t>
      </w:r>
      <w:bookmarkEnd w:id="2"/>
      <w:bookmarkEnd w:id="3"/>
      <w:r w:rsidRPr="007D7EDE">
        <w:rPr>
          <w:sz w:val="20"/>
          <w:szCs w:val="20"/>
          <w:lang w:val="fr-FR"/>
        </w:rPr>
        <w:t>la Compagnie des chemins de fer nationaux du Canada, le Chemin de fer Canadien Pacifique et VIA Rail Canada Inc., à l’Alberta Federation of Labour, au  Syndicat canadien des communications, de l’énergie et du papier, section locale 707, à l’Association canadienne des libertés civiles, à l’Alliance des manufacturiers et exportateurs du Canada, faisant affaire sous le nom de Manufacturiers et exportateurs du Canada,  à l’Association minière du Canada, la Mining Association of British Columbia, la Mining Association of Manitoba Inc., l’Association minière du Québec, l’Ontario Mining Association et la Saskatchewan Mining Association et à la Power Workers' Union;</w:t>
      </w:r>
    </w:p>
    <w:p w:rsidR="00544B16" w:rsidRPr="007D7EDE" w:rsidRDefault="00544B16" w:rsidP="00544B16">
      <w:pPr>
        <w:spacing w:line="230" w:lineRule="auto"/>
        <w:jc w:val="both"/>
        <w:rPr>
          <w:sz w:val="20"/>
          <w:szCs w:val="20"/>
          <w:lang w:val="fr-FR"/>
        </w:rPr>
      </w:pPr>
    </w:p>
    <w:p w:rsidR="00544B16" w:rsidRPr="007D7EDE" w:rsidRDefault="00544B16" w:rsidP="00544B16">
      <w:pPr>
        <w:spacing w:line="230" w:lineRule="auto"/>
        <w:ind w:left="-23"/>
        <w:jc w:val="both"/>
        <w:rPr>
          <w:sz w:val="20"/>
          <w:szCs w:val="20"/>
          <w:lang w:val="fr-FR"/>
        </w:rPr>
      </w:pPr>
      <w:r w:rsidRPr="007D7EDE">
        <w:rPr>
          <w:b/>
          <w:sz w:val="20"/>
          <w:szCs w:val="20"/>
          <w:lang w:val="fr-FR"/>
        </w:rPr>
        <w:t xml:space="preserve">IL EST EN OUTRE ORDONNÉ QUE  </w:t>
      </w:r>
      <w:r w:rsidRPr="007D7EDE">
        <w:rPr>
          <w:sz w:val="20"/>
          <w:szCs w:val="20"/>
          <w:lang w:val="fr-FR"/>
        </w:rPr>
        <w:t xml:space="preserve">les six intervenants ou groupes d’intervenants suivants, soit la Compagnie des chemins de fer nationaux du Canada, le Chemin de fer Canadien Pacifique et VIA Rail Canada Inc., le Syndicat canadien des communications, de l’énergie et du papier, section locale 707, l’Association canadienne des libertés civiles, l’Alliance des manufacturiers et exportateurs du Canada, faisant affaire sous le nom de Manufacturiers et exportateurs du Canada, l’Association minière du Canada, la Mining Association of British Columbia, la Mining Association of Manitoba Inc., l’Association minière du Québec, l’Ontario Mining Association et la Saskatchewan Mining Association et la Power Workers' Union, pourront présenter chacun une plaidoirie orale d’au plus dix (10) minutes lors de l’audition de l’appel. </w:t>
      </w:r>
    </w:p>
    <w:p w:rsidR="00544B16" w:rsidRPr="007D7EDE" w:rsidRDefault="00544B16" w:rsidP="00544B16">
      <w:pPr>
        <w:spacing w:line="230" w:lineRule="auto"/>
        <w:ind w:left="-23"/>
        <w:jc w:val="both"/>
        <w:rPr>
          <w:sz w:val="20"/>
          <w:szCs w:val="20"/>
          <w:lang w:val="fr-FR"/>
        </w:rPr>
      </w:pPr>
    </w:p>
    <w:p w:rsidR="00544B16" w:rsidRPr="007D7EDE" w:rsidRDefault="00544B16" w:rsidP="00544B16">
      <w:pPr>
        <w:spacing w:line="230" w:lineRule="auto"/>
        <w:ind w:left="-23"/>
        <w:jc w:val="both"/>
        <w:rPr>
          <w:sz w:val="20"/>
          <w:szCs w:val="20"/>
          <w:lang w:val="fr-FR"/>
        </w:rPr>
      </w:pPr>
      <w:r w:rsidRPr="007D7EDE">
        <w:rPr>
          <w:b/>
          <w:bCs/>
          <w:sz w:val="20"/>
          <w:szCs w:val="20"/>
          <w:lang w:val="fr-FR"/>
        </w:rPr>
        <w:t xml:space="preserve">ET IL EST EN OUTRE ORDONNÉ QUE </w:t>
      </w:r>
      <w:r w:rsidRPr="007D7EDE">
        <w:rPr>
          <w:sz w:val="20"/>
          <w:szCs w:val="20"/>
          <w:lang w:val="fr-FR"/>
        </w:rPr>
        <w:t xml:space="preserve">la </w:t>
      </w:r>
      <w:r w:rsidRPr="007D7EDE">
        <w:rPr>
          <w:bCs/>
          <w:sz w:val="20"/>
          <w:szCs w:val="20"/>
          <w:lang w:val="fr-FR"/>
        </w:rPr>
        <w:t>C</w:t>
      </w:r>
      <w:r w:rsidRPr="007D7EDE">
        <w:rPr>
          <w:sz w:val="20"/>
          <w:szCs w:val="20"/>
          <w:lang w:val="fr-FR"/>
        </w:rPr>
        <w:t>onstruction Owners Association of Alberta, la Construction Labour Relations - an Alberta Association et Enform et l’Alberta Federation of Labour ne sont pas autorisées à présenter une plaidoirie orale lors de l’audition de l’appel.</w:t>
      </w:r>
    </w:p>
    <w:p w:rsidR="00544B16" w:rsidRPr="007D7EDE" w:rsidRDefault="00544B16" w:rsidP="00544B16">
      <w:pPr>
        <w:spacing w:line="225" w:lineRule="auto"/>
        <w:jc w:val="both"/>
        <w:rPr>
          <w:sz w:val="20"/>
          <w:szCs w:val="20"/>
          <w:lang w:val="fr-FR"/>
        </w:rPr>
      </w:pPr>
    </w:p>
    <w:p w:rsidR="00544B16" w:rsidRPr="007D7EDE" w:rsidRDefault="00DB239D" w:rsidP="00544B16">
      <w:pPr>
        <w:tabs>
          <w:tab w:val="left" w:pos="-1440"/>
          <w:tab w:val="left" w:pos="-720"/>
        </w:tabs>
        <w:jc w:val="both"/>
        <w:rPr>
          <w:sz w:val="20"/>
          <w:szCs w:val="20"/>
          <w:lang w:val="fr-CA"/>
        </w:rPr>
      </w:pPr>
      <w:r w:rsidRPr="00DB239D">
        <w:rPr>
          <w:sz w:val="20"/>
          <w:szCs w:val="20"/>
          <w:lang w:val="fr-CA"/>
        </w:rPr>
        <w:pict>
          <v:rect id="_x0000_i1096" style="width:2in;height:1pt" o:hrpct="0" o:hralign="center" o:hrstd="t" o:hrnoshade="t" o:hr="t" fillcolor="black [3213]" stroked="f"/>
        </w:pic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lang w:val="fr-CA"/>
        </w:rPr>
      </w:pPr>
      <w:r w:rsidRPr="007D7EDE">
        <w:rPr>
          <w:sz w:val="20"/>
          <w:szCs w:val="20"/>
          <w:lang w:val="fr-CA"/>
        </w:rPr>
        <w:t>14.11.2012</w: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rPr>
      </w:pPr>
      <w:r w:rsidRPr="007D7EDE">
        <w:rPr>
          <w:sz w:val="20"/>
          <w:szCs w:val="20"/>
        </w:rPr>
        <w:t xml:space="preserve">Before / </w:t>
      </w:r>
      <w:proofErr w:type="gramStart"/>
      <w:r w:rsidRPr="007D7EDE">
        <w:rPr>
          <w:sz w:val="20"/>
          <w:szCs w:val="20"/>
        </w:rPr>
        <w:t>Devant :</w:t>
      </w:r>
      <w:proofErr w:type="gramEnd"/>
      <w:r w:rsidRPr="007D7EDE">
        <w:rPr>
          <w:sz w:val="20"/>
          <w:szCs w:val="20"/>
        </w:rPr>
        <w:t xml:space="preserve">   THE REGISTRAR / LE REGISTRAIRE</w:t>
      </w:r>
    </w:p>
    <w:p w:rsidR="00544B16" w:rsidRPr="007D7EDE" w:rsidRDefault="00544B16" w:rsidP="00544B1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44B16" w:rsidRPr="007D7EDE" w:rsidTr="004C4C5C">
        <w:trPr>
          <w:trHeight w:val="151"/>
        </w:trPr>
        <w:tc>
          <w:tcPr>
            <w:tcW w:w="4338" w:type="dxa"/>
          </w:tcPr>
          <w:p w:rsidR="00544B16" w:rsidRPr="007D7EDE" w:rsidRDefault="00DB239D" w:rsidP="004C4C5C">
            <w:pPr>
              <w:tabs>
                <w:tab w:val="left" w:pos="-1440"/>
                <w:tab w:val="left" w:pos="-720"/>
              </w:tabs>
              <w:jc w:val="both"/>
              <w:rPr>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b/>
                <w:bCs/>
                <w:sz w:val="20"/>
                <w:szCs w:val="20"/>
                <w:lang w:val="fr-CA"/>
              </w:rPr>
              <w:t>Miscellaneous motion</w:t>
            </w:r>
          </w:p>
          <w:p w:rsidR="00544B16" w:rsidRPr="007D7EDE" w:rsidRDefault="00DB239D" w:rsidP="004C4C5C">
            <w:pPr>
              <w:tabs>
                <w:tab w:val="left" w:pos="-1440"/>
                <w:tab w:val="left" w:pos="-720"/>
              </w:tabs>
              <w:jc w:val="both"/>
              <w:rPr>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p>
        </w:tc>
        <w:tc>
          <w:tcPr>
            <w:tcW w:w="1170" w:type="dxa"/>
          </w:tcPr>
          <w:p w:rsidR="00544B16" w:rsidRPr="007D7EDE" w:rsidRDefault="00544B16" w:rsidP="004C4C5C">
            <w:pPr>
              <w:jc w:val="both"/>
              <w:rPr>
                <w:sz w:val="20"/>
                <w:szCs w:val="20"/>
                <w:lang w:val="fr-CA"/>
              </w:rPr>
            </w:pPr>
          </w:p>
          <w:p w:rsidR="00544B16" w:rsidRPr="007D7EDE" w:rsidRDefault="00544B16" w:rsidP="004C4C5C">
            <w:pPr>
              <w:jc w:val="both"/>
              <w:rPr>
                <w:sz w:val="20"/>
                <w:szCs w:val="20"/>
                <w:lang w:val="fr-CA"/>
              </w:rPr>
            </w:pPr>
          </w:p>
        </w:tc>
        <w:tc>
          <w:tcPr>
            <w:tcW w:w="4327" w:type="dxa"/>
          </w:tcPr>
          <w:p w:rsidR="00544B16" w:rsidRPr="007D7EDE" w:rsidRDefault="00DB239D" w:rsidP="004C4C5C">
            <w:pPr>
              <w:jc w:val="both"/>
              <w:rPr>
                <w:b/>
                <w:sz w:val="20"/>
                <w:szCs w:val="20"/>
                <w:lang w:val="fr-CA"/>
              </w:rPr>
            </w:pPr>
            <w:r w:rsidRPr="007D7EDE">
              <w:rPr>
                <w:sz w:val="20"/>
                <w:szCs w:val="20"/>
              </w:rPr>
              <w:fldChar w:fldCharType="begin"/>
            </w:r>
            <w:r w:rsidR="00544B16" w:rsidRPr="007D7EDE">
              <w:rPr>
                <w:sz w:val="20"/>
                <w:szCs w:val="20"/>
                <w:lang w:val="fr-CA"/>
              </w:rPr>
              <w:instrText xml:space="preserve"> SEQ CHAPTER \h \r 1</w:instrText>
            </w:r>
            <w:r w:rsidRPr="007D7EDE">
              <w:rPr>
                <w:sz w:val="20"/>
                <w:szCs w:val="20"/>
              </w:rPr>
              <w:fldChar w:fldCharType="end"/>
            </w:r>
            <w:r w:rsidR="00544B16" w:rsidRPr="007D7EDE">
              <w:rPr>
                <w:b/>
                <w:bCs/>
                <w:sz w:val="20"/>
                <w:szCs w:val="20"/>
                <w:lang w:val="fr-CA"/>
              </w:rPr>
              <w:t>Requête diverse</w:t>
            </w:r>
          </w:p>
          <w:p w:rsidR="00544B16" w:rsidRPr="007D7EDE" w:rsidRDefault="00DB239D" w:rsidP="004C4C5C">
            <w:pPr>
              <w:jc w:val="both"/>
              <w:rPr>
                <w:b/>
                <w:sz w:val="20"/>
                <w:szCs w:val="20"/>
                <w:lang w:val="fr-CA"/>
              </w:rPr>
            </w:pPr>
            <w:r w:rsidRPr="007D7EDE">
              <w:rPr>
                <w:b/>
                <w:sz w:val="20"/>
                <w:szCs w:val="20"/>
              </w:rPr>
              <w:fldChar w:fldCharType="begin"/>
            </w:r>
            <w:r w:rsidR="00544B16" w:rsidRPr="007D7EDE">
              <w:rPr>
                <w:b/>
                <w:sz w:val="20"/>
                <w:szCs w:val="20"/>
                <w:lang w:val="fr-CA"/>
              </w:rPr>
              <w:instrText xml:space="preserve"> SEQ CHAPTER \h \r 1</w:instrText>
            </w:r>
            <w:r w:rsidRPr="007D7EDE">
              <w:rPr>
                <w:b/>
                <w:sz w:val="20"/>
                <w:szCs w:val="20"/>
              </w:rPr>
              <w:fldChar w:fldCharType="end"/>
            </w:r>
            <w:r w:rsidRPr="007D7EDE">
              <w:rPr>
                <w:b/>
                <w:sz w:val="20"/>
                <w:szCs w:val="20"/>
              </w:rPr>
              <w:fldChar w:fldCharType="begin"/>
            </w:r>
            <w:r w:rsidR="00544B16" w:rsidRPr="007D7EDE">
              <w:rPr>
                <w:b/>
                <w:sz w:val="20"/>
                <w:szCs w:val="20"/>
                <w:lang w:val="fr-CA"/>
              </w:rPr>
              <w:instrText xml:space="preserve"> SEQ CHAPTER \h \r 1</w:instrText>
            </w:r>
            <w:r w:rsidRPr="007D7EDE">
              <w:rPr>
                <w:b/>
                <w:sz w:val="20"/>
                <w:szCs w:val="20"/>
              </w:rPr>
              <w:fldChar w:fldCharType="end"/>
            </w:r>
          </w:p>
        </w:tc>
      </w:tr>
      <w:tr w:rsidR="00544B16" w:rsidRPr="007D7EDE" w:rsidTr="004C4C5C">
        <w:trPr>
          <w:trHeight w:val="150"/>
        </w:trPr>
        <w:tc>
          <w:tcPr>
            <w:tcW w:w="4338" w:type="dxa"/>
          </w:tcPr>
          <w:p w:rsidR="00544B16" w:rsidRPr="007D7EDE" w:rsidRDefault="00544B16" w:rsidP="004C4C5C">
            <w:pPr>
              <w:tabs>
                <w:tab w:val="left" w:pos="-1440"/>
                <w:tab w:val="left" w:pos="-720"/>
              </w:tabs>
              <w:jc w:val="both"/>
              <w:rPr>
                <w:sz w:val="20"/>
                <w:szCs w:val="20"/>
              </w:rPr>
            </w:pPr>
            <w:r w:rsidRPr="007D7EDE">
              <w:rPr>
                <w:sz w:val="20"/>
                <w:szCs w:val="20"/>
              </w:rPr>
              <w:t>Robert Glen Harrison</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ab/>
              <w:t>v. (35043)</w:t>
            </w:r>
          </w:p>
          <w:p w:rsidR="00544B16" w:rsidRPr="007D7EDE" w:rsidRDefault="00544B16" w:rsidP="004C4C5C">
            <w:pPr>
              <w:tabs>
                <w:tab w:val="left" w:pos="-1440"/>
                <w:tab w:val="left" w:pos="-720"/>
              </w:tabs>
              <w:jc w:val="both"/>
              <w:rPr>
                <w:sz w:val="20"/>
                <w:szCs w:val="20"/>
              </w:rPr>
            </w:pPr>
          </w:p>
          <w:p w:rsidR="00544B16" w:rsidRPr="007D7EDE" w:rsidRDefault="00544B16" w:rsidP="004C4C5C">
            <w:pPr>
              <w:tabs>
                <w:tab w:val="left" w:pos="-1440"/>
                <w:tab w:val="left" w:pos="-720"/>
              </w:tabs>
              <w:jc w:val="both"/>
              <w:rPr>
                <w:sz w:val="20"/>
                <w:szCs w:val="20"/>
              </w:rPr>
            </w:pPr>
            <w:r w:rsidRPr="007D7EDE">
              <w:rPr>
                <w:sz w:val="20"/>
                <w:szCs w:val="20"/>
              </w:rPr>
              <w:t>Ministry of Children and Family Development, Attorney General of British Columbia et al. (B.C.)</w:t>
            </w:r>
          </w:p>
        </w:tc>
        <w:tc>
          <w:tcPr>
            <w:tcW w:w="1170" w:type="dxa"/>
          </w:tcPr>
          <w:p w:rsidR="00544B16" w:rsidRPr="007D7EDE" w:rsidRDefault="00544B16" w:rsidP="004C4C5C">
            <w:pPr>
              <w:jc w:val="both"/>
              <w:rPr>
                <w:sz w:val="20"/>
                <w:szCs w:val="20"/>
              </w:rPr>
            </w:pPr>
          </w:p>
        </w:tc>
        <w:tc>
          <w:tcPr>
            <w:tcW w:w="4327" w:type="dxa"/>
          </w:tcPr>
          <w:p w:rsidR="00544B16" w:rsidRPr="007D7EDE" w:rsidRDefault="00544B16" w:rsidP="004C4C5C">
            <w:pPr>
              <w:jc w:val="both"/>
              <w:rPr>
                <w:sz w:val="20"/>
                <w:szCs w:val="20"/>
              </w:rPr>
            </w:pPr>
          </w:p>
        </w:tc>
      </w:tr>
    </w:tbl>
    <w:p w:rsidR="00544B16" w:rsidRPr="007D7EDE" w:rsidRDefault="00544B16" w:rsidP="00544B16">
      <w:pPr>
        <w:tabs>
          <w:tab w:val="left" w:pos="-1440"/>
          <w:tab w:val="left" w:pos="-720"/>
        </w:tabs>
        <w:jc w:val="both"/>
        <w:rPr>
          <w:sz w:val="20"/>
          <w:szCs w:val="20"/>
        </w:rPr>
      </w:pPr>
    </w:p>
    <w:p w:rsidR="00544B16" w:rsidRPr="007D7EDE" w:rsidRDefault="00544B16" w:rsidP="00544B16">
      <w:pPr>
        <w:tabs>
          <w:tab w:val="left" w:pos="-1440"/>
          <w:tab w:val="left" w:pos="-720"/>
        </w:tabs>
        <w:jc w:val="both"/>
        <w:rPr>
          <w:sz w:val="20"/>
          <w:szCs w:val="20"/>
        </w:rPr>
      </w:pPr>
      <w:r w:rsidRPr="007D7EDE">
        <w:rPr>
          <w:b/>
          <w:sz w:val="20"/>
          <w:szCs w:val="20"/>
        </w:rPr>
        <w:t>GRANTED / ACCORDÉE</w:t>
      </w:r>
    </w:p>
    <w:p w:rsidR="00544B16" w:rsidRPr="007D7EDE" w:rsidRDefault="00544B16" w:rsidP="00544B16">
      <w:pPr>
        <w:tabs>
          <w:tab w:val="left" w:pos="-1440"/>
          <w:tab w:val="left" w:pos="-720"/>
        </w:tabs>
        <w:jc w:val="both"/>
        <w:rPr>
          <w:sz w:val="20"/>
          <w:szCs w:val="20"/>
        </w:rPr>
      </w:pPr>
    </w:p>
    <w:p w:rsidR="00544B16" w:rsidRPr="007D7EDE" w:rsidRDefault="00544B16" w:rsidP="00544B16">
      <w:pPr>
        <w:jc w:val="both"/>
        <w:rPr>
          <w:sz w:val="20"/>
          <w:szCs w:val="20"/>
        </w:rPr>
      </w:pPr>
      <w:r w:rsidRPr="007D7EDE">
        <w:rPr>
          <w:b/>
          <w:bCs/>
          <w:sz w:val="20"/>
          <w:szCs w:val="20"/>
        </w:rPr>
        <w:t>UPON APPLICATION</w:t>
      </w:r>
      <w:r w:rsidRPr="007D7EDE">
        <w:rPr>
          <w:sz w:val="20"/>
          <w:szCs w:val="20"/>
        </w:rPr>
        <w:t xml:space="preserve"> by the applicant for an order allowing the applicant to file a single joint application for leave to appeal from two judgments of the Court of Appeal of British </w:t>
      </w:r>
      <w:proofErr w:type="gramStart"/>
      <w:r w:rsidRPr="007D7EDE">
        <w:rPr>
          <w:sz w:val="20"/>
          <w:szCs w:val="20"/>
        </w:rPr>
        <w:t>Columbia  Numbers</w:t>
      </w:r>
      <w:proofErr w:type="gramEnd"/>
      <w:r w:rsidRPr="007D7EDE">
        <w:rPr>
          <w:sz w:val="20"/>
          <w:szCs w:val="20"/>
        </w:rPr>
        <w:t xml:space="preserve"> CA039367 and CA039859.</w:t>
      </w:r>
    </w:p>
    <w:p w:rsidR="00544B16" w:rsidRPr="007D7EDE" w:rsidRDefault="00544B16" w:rsidP="00544B16">
      <w:pPr>
        <w:rPr>
          <w:b/>
          <w:bCs/>
          <w:sz w:val="20"/>
          <w:szCs w:val="20"/>
        </w:rPr>
      </w:pPr>
    </w:p>
    <w:p w:rsidR="00544B16" w:rsidRPr="007D7EDE" w:rsidRDefault="00544B16" w:rsidP="00544B16">
      <w:pPr>
        <w:rPr>
          <w:sz w:val="20"/>
          <w:szCs w:val="20"/>
        </w:rPr>
      </w:pPr>
      <w:r w:rsidRPr="007D7EDE">
        <w:rPr>
          <w:b/>
          <w:bCs/>
          <w:sz w:val="20"/>
          <w:szCs w:val="20"/>
        </w:rPr>
        <w:t>AND HAVING READ</w:t>
      </w:r>
      <w:r w:rsidRPr="007D7EDE">
        <w:rPr>
          <w:sz w:val="20"/>
          <w:szCs w:val="20"/>
        </w:rPr>
        <w:t xml:space="preserve"> the material filed;</w:t>
      </w:r>
    </w:p>
    <w:p w:rsidR="00544B16" w:rsidRPr="007D7EDE" w:rsidRDefault="00544B16" w:rsidP="00544B16">
      <w:pPr>
        <w:rPr>
          <w:b/>
          <w:bCs/>
          <w:sz w:val="20"/>
          <w:szCs w:val="20"/>
        </w:rPr>
      </w:pPr>
      <w:r w:rsidRPr="007D7EDE">
        <w:rPr>
          <w:b/>
          <w:bCs/>
          <w:sz w:val="20"/>
          <w:szCs w:val="20"/>
        </w:rPr>
        <w:br w:type="page"/>
      </w:r>
    </w:p>
    <w:p w:rsidR="00544B16" w:rsidRPr="007D7EDE" w:rsidRDefault="00544B16" w:rsidP="00544B16">
      <w:pPr>
        <w:rPr>
          <w:b/>
          <w:bCs/>
          <w:sz w:val="20"/>
          <w:szCs w:val="20"/>
        </w:rPr>
      </w:pPr>
      <w:r w:rsidRPr="007D7EDE">
        <w:rPr>
          <w:b/>
          <w:bCs/>
          <w:sz w:val="20"/>
          <w:szCs w:val="20"/>
        </w:rPr>
        <w:t>IT IS HEREBY ORDERED THAT:</w:t>
      </w:r>
    </w:p>
    <w:p w:rsidR="00544B16" w:rsidRPr="007D7EDE" w:rsidRDefault="00544B16" w:rsidP="00544B16">
      <w:pPr>
        <w:rPr>
          <w:sz w:val="20"/>
          <w:szCs w:val="20"/>
        </w:rPr>
      </w:pPr>
    </w:p>
    <w:p w:rsidR="00544B16" w:rsidRPr="007D7EDE" w:rsidRDefault="00544B16" w:rsidP="00544B16">
      <w:pPr>
        <w:rPr>
          <w:sz w:val="20"/>
          <w:szCs w:val="20"/>
          <w:lang w:val="fr-CA"/>
        </w:rPr>
      </w:pPr>
      <w:r w:rsidRPr="007D7EDE">
        <w:rPr>
          <w:sz w:val="20"/>
          <w:szCs w:val="20"/>
        </w:rPr>
        <w:tab/>
      </w:r>
      <w:r w:rsidRPr="007D7EDE">
        <w:rPr>
          <w:sz w:val="20"/>
          <w:szCs w:val="20"/>
          <w:lang w:val="fr-CA"/>
        </w:rPr>
        <w:t>The motion is granted</w:t>
      </w: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tabs>
          <w:tab w:val="left" w:pos="-1440"/>
          <w:tab w:val="left" w:pos="-720"/>
        </w:tabs>
        <w:jc w:val="both"/>
        <w:rPr>
          <w:sz w:val="20"/>
          <w:szCs w:val="20"/>
          <w:lang w:val="fr-CA"/>
        </w:rPr>
      </w:pPr>
    </w:p>
    <w:p w:rsidR="00544B16" w:rsidRPr="007D7EDE" w:rsidRDefault="00544B16" w:rsidP="00544B16">
      <w:pPr>
        <w:jc w:val="both"/>
        <w:rPr>
          <w:sz w:val="20"/>
          <w:szCs w:val="20"/>
          <w:lang w:val="fr-CA"/>
        </w:rPr>
      </w:pPr>
      <w:r w:rsidRPr="007D7EDE">
        <w:rPr>
          <w:b/>
          <w:sz w:val="20"/>
          <w:szCs w:val="20"/>
          <w:lang w:val="fr-CA"/>
        </w:rPr>
        <w:t>À LA SUITE DE LA DEMANDE</w:t>
      </w:r>
      <w:r w:rsidRPr="007D7EDE">
        <w:rPr>
          <w:sz w:val="20"/>
          <w:szCs w:val="20"/>
          <w:lang w:val="fr-CA"/>
        </w:rPr>
        <w:t xml:space="preserve"> du demandeur pour être autorisé à déposer une seule demande conjointe d’autorisation d’appel de deux jugements de la Cour d’appel de la Colombie-Britannique portant les numéros CA039367 et CA039859;</w:t>
      </w:r>
    </w:p>
    <w:p w:rsidR="00544B16" w:rsidRPr="007D7EDE" w:rsidRDefault="00544B16" w:rsidP="00544B16">
      <w:pPr>
        <w:rPr>
          <w:sz w:val="20"/>
          <w:szCs w:val="20"/>
          <w:lang w:val="fr-CA"/>
        </w:rPr>
      </w:pPr>
      <w:r w:rsidRPr="007D7EDE">
        <w:rPr>
          <w:sz w:val="20"/>
          <w:szCs w:val="20"/>
          <w:lang w:val="fr-CA"/>
        </w:rPr>
        <w:t xml:space="preserve"> </w:t>
      </w:r>
    </w:p>
    <w:p w:rsidR="00544B16" w:rsidRPr="007D7EDE" w:rsidRDefault="00544B16" w:rsidP="00544B16">
      <w:pPr>
        <w:rPr>
          <w:sz w:val="20"/>
          <w:szCs w:val="20"/>
          <w:lang w:val="fr-CA"/>
        </w:rPr>
      </w:pPr>
      <w:r w:rsidRPr="007D7EDE">
        <w:rPr>
          <w:b/>
          <w:sz w:val="20"/>
          <w:szCs w:val="20"/>
          <w:lang w:val="fr-CA"/>
        </w:rPr>
        <w:t>ET APRÈS EXAMEN</w:t>
      </w:r>
      <w:r w:rsidRPr="007D7EDE">
        <w:rPr>
          <w:sz w:val="20"/>
          <w:szCs w:val="20"/>
          <w:lang w:val="fr-CA"/>
        </w:rPr>
        <w:t xml:space="preserve"> des documents déposés; </w:t>
      </w:r>
    </w:p>
    <w:p w:rsidR="00544B16" w:rsidRPr="007D7EDE" w:rsidRDefault="00544B16" w:rsidP="00544B16">
      <w:pPr>
        <w:rPr>
          <w:sz w:val="20"/>
          <w:szCs w:val="20"/>
          <w:lang w:val="fr-CA"/>
        </w:rPr>
      </w:pPr>
    </w:p>
    <w:p w:rsidR="00544B16" w:rsidRPr="007D7EDE" w:rsidRDefault="00544B16" w:rsidP="00544B16">
      <w:pPr>
        <w:rPr>
          <w:b/>
          <w:sz w:val="20"/>
          <w:szCs w:val="20"/>
          <w:lang w:val="fr-CA"/>
        </w:rPr>
      </w:pPr>
      <w:r w:rsidRPr="007D7EDE">
        <w:rPr>
          <w:b/>
          <w:sz w:val="20"/>
          <w:szCs w:val="20"/>
          <w:lang w:val="fr-CA"/>
        </w:rPr>
        <w:t xml:space="preserve">IL EST ORDONNÉ CE QUI SUIT : </w:t>
      </w:r>
    </w:p>
    <w:p w:rsidR="00544B16" w:rsidRPr="007D7EDE" w:rsidRDefault="00544B16" w:rsidP="00544B16">
      <w:pPr>
        <w:rPr>
          <w:sz w:val="20"/>
          <w:szCs w:val="20"/>
          <w:lang w:val="fr-CA"/>
        </w:rPr>
      </w:pPr>
    </w:p>
    <w:p w:rsidR="00544B16" w:rsidRPr="007D7EDE" w:rsidRDefault="00544B16" w:rsidP="00544B16">
      <w:pPr>
        <w:tabs>
          <w:tab w:val="left" w:pos="-1440"/>
          <w:tab w:val="left" w:pos="-720"/>
        </w:tabs>
        <w:jc w:val="both"/>
        <w:rPr>
          <w:sz w:val="20"/>
          <w:szCs w:val="20"/>
          <w:lang w:val="fr-CA"/>
        </w:rPr>
      </w:pPr>
      <w:r w:rsidRPr="007D7EDE">
        <w:rPr>
          <w:sz w:val="20"/>
          <w:szCs w:val="20"/>
          <w:lang w:val="fr-CA"/>
        </w:rPr>
        <w:tab/>
        <w:t>La requête est accueillie.</w:t>
      </w:r>
    </w:p>
    <w:p w:rsidR="00544B16" w:rsidRPr="007D7EDE" w:rsidRDefault="00544B16" w:rsidP="00544B16">
      <w:pPr>
        <w:tabs>
          <w:tab w:val="left" w:pos="-1440"/>
          <w:tab w:val="left" w:pos="-720"/>
        </w:tabs>
        <w:jc w:val="both"/>
        <w:rPr>
          <w:sz w:val="20"/>
          <w:szCs w:val="20"/>
        </w:rPr>
      </w:pPr>
    </w:p>
    <w:p w:rsidR="00544B16" w:rsidRPr="007D7EDE" w:rsidRDefault="00DB239D" w:rsidP="00544B16">
      <w:pPr>
        <w:tabs>
          <w:tab w:val="left" w:pos="-1440"/>
          <w:tab w:val="left" w:pos="-720"/>
        </w:tabs>
        <w:jc w:val="both"/>
        <w:rPr>
          <w:sz w:val="20"/>
          <w:szCs w:val="20"/>
        </w:rPr>
      </w:pPr>
      <w:r w:rsidRPr="00DB239D">
        <w:rPr>
          <w:sz w:val="20"/>
          <w:szCs w:val="20"/>
          <w:lang w:val="fr-CA"/>
        </w:rPr>
        <w:pict>
          <v:rect id="_x0000_i1097" style="width:2in;height:1pt" o:hrpct="0" o:hralign="center" o:hrstd="t" o:hrnoshade="t" o:hr="t" fillcolor="black [3213]" stroked="f"/>
        </w:pict>
      </w:r>
    </w:p>
    <w:p w:rsidR="00544B16" w:rsidRPr="007D7EDE" w:rsidRDefault="00544B16" w:rsidP="00544B16">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86CA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894BF3" w:rsidRDefault="004C4C5C" w:rsidP="003B3977">
            <w:pPr>
              <w:rPr>
                <w:sz w:val="20"/>
                <w:szCs w:val="20"/>
                <w:lang w:val="fr-CA"/>
              </w:rPr>
            </w:pPr>
            <w:r w:rsidRPr="00894BF3">
              <w:rPr>
                <w:sz w:val="20"/>
                <w:szCs w:val="20"/>
                <w:lang w:val="fr-CA"/>
              </w:rPr>
              <w:t>14</w:t>
            </w:r>
            <w:r w:rsidR="0010587F" w:rsidRPr="00894BF3">
              <w:rPr>
                <w:sz w:val="20"/>
                <w:szCs w:val="20"/>
                <w:lang w:val="fr-CA"/>
              </w:rPr>
              <w:t>.1</w:t>
            </w:r>
            <w:r w:rsidRPr="00894BF3">
              <w:rPr>
                <w:sz w:val="20"/>
                <w:szCs w:val="20"/>
                <w:lang w:val="fr-CA"/>
              </w:rPr>
              <w:t>1</w:t>
            </w:r>
            <w:r w:rsidR="0010587F" w:rsidRPr="00894BF3">
              <w:rPr>
                <w:sz w:val="20"/>
                <w:szCs w:val="20"/>
                <w:lang w:val="fr-CA"/>
              </w:rPr>
              <w:t>.201</w:t>
            </w:r>
            <w:r w:rsidRPr="00894BF3">
              <w:rPr>
                <w:sz w:val="20"/>
                <w:szCs w:val="20"/>
                <w:lang w:val="fr-CA"/>
              </w:rPr>
              <w:t>2</w:t>
            </w:r>
          </w:p>
          <w:p w:rsidR="0010587F" w:rsidRPr="00894BF3" w:rsidRDefault="0010587F" w:rsidP="003B3977">
            <w:pPr>
              <w:rPr>
                <w:sz w:val="20"/>
                <w:szCs w:val="20"/>
                <w:lang w:val="fr-CA"/>
              </w:rPr>
            </w:pPr>
          </w:p>
          <w:p w:rsidR="0010587F" w:rsidRPr="00894BF3" w:rsidRDefault="004C4C5C" w:rsidP="003B3977">
            <w:pPr>
              <w:rPr>
                <w:b/>
                <w:sz w:val="20"/>
                <w:szCs w:val="20"/>
                <w:lang w:val="fr-CA"/>
              </w:rPr>
            </w:pPr>
            <w:r w:rsidRPr="00894BF3">
              <w:rPr>
                <w:b/>
                <w:sz w:val="20"/>
                <w:szCs w:val="20"/>
                <w:lang w:val="fr-CA"/>
              </w:rPr>
              <w:t>A.I. Enterprises Ltd</w:t>
            </w:r>
            <w:r w:rsidR="00551AA7">
              <w:rPr>
                <w:b/>
                <w:sz w:val="20"/>
                <w:szCs w:val="20"/>
                <w:lang w:val="fr-CA"/>
              </w:rPr>
              <w:t>.</w:t>
            </w:r>
            <w:r w:rsidR="00894BF3" w:rsidRPr="00894BF3">
              <w:rPr>
                <w:b/>
                <w:sz w:val="20"/>
                <w:szCs w:val="20"/>
                <w:lang w:val="fr-CA"/>
              </w:rPr>
              <w:t xml:space="preserve"> et al.</w:t>
            </w:r>
          </w:p>
          <w:p w:rsidR="0010587F" w:rsidRPr="00894BF3" w:rsidRDefault="0010587F" w:rsidP="003B3977">
            <w:pPr>
              <w:rPr>
                <w:b/>
                <w:sz w:val="20"/>
                <w:szCs w:val="20"/>
                <w:lang w:val="fr-CA"/>
              </w:rPr>
            </w:pPr>
          </w:p>
          <w:p w:rsidR="0010587F" w:rsidRPr="00500F85" w:rsidRDefault="0010587F" w:rsidP="003B3977">
            <w:pPr>
              <w:rPr>
                <w:b/>
                <w:sz w:val="20"/>
                <w:szCs w:val="20"/>
                <w:lang w:val="fr-CA"/>
              </w:rPr>
            </w:pPr>
            <w:r w:rsidRPr="00894BF3">
              <w:rPr>
                <w:b/>
                <w:sz w:val="20"/>
                <w:szCs w:val="20"/>
                <w:lang w:val="fr-CA"/>
              </w:rPr>
              <w:tab/>
            </w:r>
            <w:r w:rsidRPr="00500F85">
              <w:rPr>
                <w:b/>
                <w:sz w:val="20"/>
                <w:szCs w:val="20"/>
                <w:lang w:val="fr-CA"/>
              </w:rPr>
              <w:t>v. (3</w:t>
            </w:r>
            <w:r w:rsidR="00894BF3" w:rsidRPr="00500F85">
              <w:rPr>
                <w:b/>
                <w:sz w:val="20"/>
                <w:szCs w:val="20"/>
                <w:lang w:val="fr-CA"/>
              </w:rPr>
              <w:t>4863</w:t>
            </w:r>
            <w:r w:rsidRPr="00500F85">
              <w:rPr>
                <w:b/>
                <w:sz w:val="20"/>
                <w:szCs w:val="20"/>
                <w:lang w:val="fr-CA"/>
              </w:rPr>
              <w:t>)</w:t>
            </w:r>
          </w:p>
          <w:p w:rsidR="0010587F" w:rsidRPr="00500F85" w:rsidRDefault="0010587F" w:rsidP="003B3977">
            <w:pPr>
              <w:rPr>
                <w:b/>
                <w:sz w:val="20"/>
                <w:szCs w:val="20"/>
                <w:lang w:val="fr-CA"/>
              </w:rPr>
            </w:pPr>
          </w:p>
          <w:p w:rsidR="0010587F" w:rsidRPr="003B3977" w:rsidRDefault="00894BF3" w:rsidP="003B3977">
            <w:pPr>
              <w:rPr>
                <w:b/>
                <w:sz w:val="20"/>
                <w:szCs w:val="20"/>
              </w:rPr>
            </w:pPr>
            <w:r w:rsidRPr="00500F85">
              <w:rPr>
                <w:b/>
                <w:sz w:val="20"/>
                <w:szCs w:val="20"/>
                <w:lang w:val="fr-CA"/>
              </w:rPr>
              <w:t>B</w:t>
            </w:r>
            <w:r w:rsidR="0010587F" w:rsidRPr="00500F85">
              <w:rPr>
                <w:b/>
                <w:sz w:val="20"/>
                <w:szCs w:val="20"/>
                <w:lang w:val="fr-CA"/>
              </w:rPr>
              <w:t>ra</w:t>
            </w:r>
            <w:r w:rsidRPr="00500F85">
              <w:rPr>
                <w:b/>
                <w:sz w:val="20"/>
                <w:szCs w:val="20"/>
                <w:lang w:val="fr-CA"/>
              </w:rPr>
              <w:t>m En</w:t>
            </w:r>
            <w:r w:rsidR="0010587F" w:rsidRPr="00500F85">
              <w:rPr>
                <w:b/>
                <w:sz w:val="20"/>
                <w:szCs w:val="20"/>
                <w:lang w:val="fr-CA"/>
              </w:rPr>
              <w:t>te</w:t>
            </w:r>
            <w:r w:rsidRPr="00500F85">
              <w:rPr>
                <w:b/>
                <w:sz w:val="20"/>
                <w:szCs w:val="20"/>
                <w:lang w:val="fr-CA"/>
              </w:rPr>
              <w:t>rprises</w:t>
            </w:r>
            <w:r w:rsidR="0010587F" w:rsidRPr="00500F85">
              <w:rPr>
                <w:b/>
                <w:sz w:val="20"/>
                <w:szCs w:val="20"/>
                <w:lang w:val="fr-CA"/>
              </w:rPr>
              <w:t xml:space="preserve"> </w:t>
            </w:r>
            <w:r w:rsidR="00551AA7" w:rsidRPr="00500F85">
              <w:rPr>
                <w:b/>
                <w:sz w:val="20"/>
                <w:szCs w:val="20"/>
                <w:lang w:val="fr-CA"/>
              </w:rPr>
              <w:t xml:space="preserve">Ltd. </w:t>
            </w:r>
            <w:r w:rsidR="0010587F" w:rsidRPr="00500F85">
              <w:rPr>
                <w:b/>
                <w:sz w:val="20"/>
                <w:szCs w:val="20"/>
                <w:lang w:val="fr-CA"/>
              </w:rPr>
              <w:t>e</w:t>
            </w:r>
            <w:r w:rsidRPr="00500F85">
              <w:rPr>
                <w:b/>
                <w:sz w:val="20"/>
                <w:szCs w:val="20"/>
                <w:lang w:val="fr-CA"/>
              </w:rPr>
              <w:t>t al.</w:t>
            </w:r>
            <w:r w:rsidR="0010587F" w:rsidRPr="00500F85">
              <w:rPr>
                <w:b/>
                <w:sz w:val="20"/>
                <w:szCs w:val="20"/>
                <w:lang w:val="fr-CA"/>
              </w:rPr>
              <w:t xml:space="preserve"> </w:t>
            </w:r>
            <w:r w:rsidR="0010587F" w:rsidRPr="003B3977">
              <w:rPr>
                <w:b/>
                <w:sz w:val="20"/>
                <w:szCs w:val="20"/>
              </w:rPr>
              <w:t>(</w:t>
            </w:r>
            <w:r>
              <w:rPr>
                <w:b/>
                <w:sz w:val="20"/>
                <w:szCs w:val="20"/>
              </w:rPr>
              <w:t>N.B</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894BF3">
              <w:rPr>
                <w:sz w:val="20"/>
                <w:szCs w:val="20"/>
              </w:rPr>
              <w:t>By Leave</w:t>
            </w:r>
            <w:r w:rsidRPr="003B3977">
              <w:rPr>
                <w:sz w:val="20"/>
                <w:szCs w:val="20"/>
              </w:rPr>
              <w:t>)</w:t>
            </w:r>
          </w:p>
          <w:p w:rsidR="0010587F" w:rsidRPr="003B3977" w:rsidRDefault="0010587F" w:rsidP="003B3977">
            <w:pPr>
              <w:rPr>
                <w:sz w:val="20"/>
                <w:szCs w:val="20"/>
              </w:rPr>
            </w:pPr>
          </w:p>
          <w:p w:rsidR="0010587F" w:rsidRPr="00894BF3" w:rsidRDefault="00DB239D" w:rsidP="003B3977">
            <w:pPr>
              <w:rPr>
                <w:sz w:val="20"/>
                <w:szCs w:val="20"/>
              </w:rPr>
            </w:pPr>
            <w:r w:rsidRPr="00DB239D">
              <w:rPr>
                <w:sz w:val="20"/>
                <w:szCs w:val="20"/>
                <w:lang w:val="fr-CA"/>
              </w:rPr>
              <w:pict>
                <v:rect id="_x0000_i110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486CA3"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2A27D1" w:rsidRDefault="001B4038" w:rsidP="002A27D1">
      <w:pPr>
        <w:widowControl w:val="0"/>
        <w:rPr>
          <w:sz w:val="20"/>
          <w:szCs w:val="20"/>
        </w:rPr>
      </w:pPr>
      <w:r>
        <w:rPr>
          <w:sz w:val="20"/>
          <w:szCs w:val="20"/>
        </w:rPr>
        <w:t>16</w:t>
      </w:r>
      <w:r w:rsidR="002A27D1">
        <w:rPr>
          <w:sz w:val="20"/>
          <w:szCs w:val="20"/>
        </w:rPr>
        <w:t>.11.201</w:t>
      </w:r>
      <w:r>
        <w:rPr>
          <w:sz w:val="20"/>
          <w:szCs w:val="20"/>
        </w:rPr>
        <w:t>2</w:t>
      </w:r>
    </w:p>
    <w:p w:rsidR="002A27D1" w:rsidRDefault="002A27D1" w:rsidP="002A27D1">
      <w:pPr>
        <w:widowControl w:val="0"/>
        <w:rPr>
          <w:sz w:val="20"/>
          <w:szCs w:val="20"/>
        </w:rPr>
      </w:pPr>
    </w:p>
    <w:p w:rsidR="00507E71" w:rsidRPr="00462ADC" w:rsidRDefault="00507E71" w:rsidP="00507E71">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462ADC">
        <w:rPr>
          <w:rFonts w:eastAsia="Calibri" w:cs="Times New Roman"/>
          <w:sz w:val="20"/>
          <w:szCs w:val="20"/>
        </w:rPr>
        <w:t xml:space="preserve">Coram: </w:t>
      </w:r>
      <w:r w:rsidRPr="00462ADC">
        <w:rPr>
          <w:rFonts w:eastAsia="Calibri" w:cs="Times New Roman"/>
          <w:sz w:val="20"/>
          <w:szCs w:val="20"/>
        </w:rPr>
        <w:tab/>
      </w:r>
      <w:r w:rsidRPr="00462ADC">
        <w:rPr>
          <w:rFonts w:eastAsia="Calibri" w:cs="Times New Roman"/>
          <w:sz w:val="20"/>
          <w:szCs w:val="20"/>
          <w:u w:val="single"/>
        </w:rPr>
        <w:t>LeBel, Fish, Rothstein, Cromwell, Moldaver, Karakatsanis and Wagner JJ.</w:t>
      </w:r>
    </w:p>
    <w:p w:rsidR="002A27D1" w:rsidRDefault="002A27D1" w:rsidP="002A27D1">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A27D1" w:rsidRPr="00C50A5C" w:rsidTr="002A4AFA">
        <w:tc>
          <w:tcPr>
            <w:tcW w:w="4380" w:type="dxa"/>
            <w:tcMar>
              <w:left w:w="0" w:type="dxa"/>
              <w:right w:w="0" w:type="dxa"/>
            </w:tcMar>
          </w:tcPr>
          <w:p w:rsidR="002A27D1" w:rsidRDefault="00507E71" w:rsidP="002A4AFA">
            <w:pPr>
              <w:widowControl w:val="0"/>
              <w:jc w:val="both"/>
              <w:rPr>
                <w:b/>
                <w:sz w:val="20"/>
                <w:szCs w:val="20"/>
              </w:rPr>
            </w:pPr>
            <w:r w:rsidRPr="00462ADC">
              <w:rPr>
                <w:rFonts w:eastAsia="Calibri" w:cs="Times New Roman"/>
                <w:b/>
                <w:iCs/>
                <w:sz w:val="20"/>
                <w:szCs w:val="20"/>
              </w:rPr>
              <w:t>D.J.W.</w:t>
            </w:r>
          </w:p>
          <w:p w:rsidR="002A27D1" w:rsidRPr="00C50A5C" w:rsidRDefault="002A27D1" w:rsidP="002A4AFA">
            <w:pPr>
              <w:widowControl w:val="0"/>
              <w:jc w:val="both"/>
              <w:rPr>
                <w:b/>
                <w:sz w:val="20"/>
                <w:szCs w:val="20"/>
              </w:rPr>
            </w:pPr>
          </w:p>
          <w:p w:rsidR="002A27D1" w:rsidRPr="00C50A5C" w:rsidRDefault="002A27D1" w:rsidP="002A4AFA">
            <w:pPr>
              <w:widowControl w:val="0"/>
              <w:tabs>
                <w:tab w:val="left" w:pos="736"/>
              </w:tabs>
              <w:jc w:val="both"/>
              <w:rPr>
                <w:b/>
                <w:sz w:val="20"/>
                <w:szCs w:val="20"/>
              </w:rPr>
            </w:pPr>
            <w:r w:rsidRPr="00C50A5C">
              <w:rPr>
                <w:b/>
                <w:sz w:val="20"/>
                <w:szCs w:val="20"/>
              </w:rPr>
              <w:tab/>
              <w:t>v. (3</w:t>
            </w:r>
            <w:r>
              <w:rPr>
                <w:b/>
                <w:sz w:val="20"/>
                <w:szCs w:val="20"/>
              </w:rPr>
              <w:t>4</w:t>
            </w:r>
            <w:r w:rsidR="00507E71">
              <w:rPr>
                <w:b/>
                <w:sz w:val="20"/>
                <w:szCs w:val="20"/>
              </w:rPr>
              <w:t>623</w:t>
            </w:r>
            <w:r w:rsidRPr="00C50A5C">
              <w:rPr>
                <w:b/>
                <w:sz w:val="20"/>
                <w:szCs w:val="20"/>
              </w:rPr>
              <w:t>)</w:t>
            </w:r>
          </w:p>
          <w:p w:rsidR="002A27D1" w:rsidRPr="00C50A5C" w:rsidRDefault="002A27D1" w:rsidP="002A4AFA">
            <w:pPr>
              <w:widowControl w:val="0"/>
              <w:jc w:val="both"/>
              <w:rPr>
                <w:b/>
                <w:sz w:val="20"/>
                <w:szCs w:val="20"/>
              </w:rPr>
            </w:pPr>
          </w:p>
          <w:p w:rsidR="00507E71" w:rsidRDefault="00507E71" w:rsidP="00507E71">
            <w:pPr>
              <w:widowControl w:val="0"/>
              <w:jc w:val="both"/>
              <w:rPr>
                <w:b/>
                <w:sz w:val="20"/>
                <w:szCs w:val="20"/>
              </w:rPr>
            </w:pPr>
            <w:r w:rsidRPr="00462ADC">
              <w:rPr>
                <w:rFonts w:eastAsia="Calibri" w:cs="Times New Roman"/>
                <w:b/>
                <w:iCs/>
                <w:sz w:val="20"/>
                <w:szCs w:val="20"/>
              </w:rPr>
              <w:t>Her Majesty the Queen</w:t>
            </w:r>
            <w:r w:rsidR="002A27D1" w:rsidRPr="00C50A5C">
              <w:rPr>
                <w:b/>
                <w:sz w:val="20"/>
                <w:szCs w:val="20"/>
              </w:rPr>
              <w:t xml:space="preserve"> (</w:t>
            </w:r>
            <w:r>
              <w:rPr>
                <w:b/>
                <w:sz w:val="20"/>
                <w:szCs w:val="20"/>
              </w:rPr>
              <w:t>B.C</w:t>
            </w:r>
            <w:r w:rsidR="002A27D1" w:rsidRPr="00C50A5C">
              <w:rPr>
                <w:b/>
                <w:sz w:val="20"/>
                <w:szCs w:val="20"/>
              </w:rPr>
              <w:t>.) (C</w:t>
            </w:r>
            <w:r w:rsidR="002A27D1">
              <w:rPr>
                <w:b/>
                <w:sz w:val="20"/>
                <w:szCs w:val="20"/>
              </w:rPr>
              <w:t>r</w:t>
            </w:r>
            <w:r w:rsidR="002A27D1" w:rsidRPr="00C50A5C">
              <w:rPr>
                <w:b/>
                <w:sz w:val="20"/>
                <w:szCs w:val="20"/>
              </w:rPr>
              <w:t>i</w:t>
            </w:r>
            <w:r w:rsidR="002A27D1">
              <w:rPr>
                <w:b/>
                <w:sz w:val="20"/>
                <w:szCs w:val="20"/>
              </w:rPr>
              <w:t>m</w:t>
            </w:r>
            <w:r w:rsidR="002A27D1" w:rsidRPr="00C50A5C">
              <w:rPr>
                <w:b/>
                <w:sz w:val="20"/>
                <w:szCs w:val="20"/>
              </w:rPr>
              <w:t>i</w:t>
            </w:r>
            <w:r w:rsidR="002A27D1">
              <w:rPr>
                <w:b/>
                <w:sz w:val="20"/>
                <w:szCs w:val="20"/>
              </w:rPr>
              <w:t>na</w:t>
            </w:r>
            <w:r w:rsidR="002A27D1" w:rsidRPr="00C50A5C">
              <w:rPr>
                <w:b/>
                <w:sz w:val="20"/>
                <w:szCs w:val="20"/>
              </w:rPr>
              <w:t xml:space="preserve">l) </w:t>
            </w:r>
          </w:p>
          <w:p w:rsidR="00507E71" w:rsidRPr="0093057E" w:rsidRDefault="002A27D1" w:rsidP="00507E71">
            <w:pPr>
              <w:widowControl w:val="0"/>
              <w:jc w:val="both"/>
              <w:rPr>
                <w:sz w:val="20"/>
                <w:szCs w:val="20"/>
              </w:rPr>
            </w:pPr>
            <w:r w:rsidRPr="00C50A5C">
              <w:rPr>
                <w:b/>
                <w:sz w:val="20"/>
                <w:szCs w:val="20"/>
              </w:rPr>
              <w:t>(</w:t>
            </w:r>
            <w:r>
              <w:rPr>
                <w:b/>
                <w:sz w:val="20"/>
                <w:szCs w:val="20"/>
              </w:rPr>
              <w:t>As of Right</w:t>
            </w:r>
            <w:r w:rsidR="00507E71">
              <w:rPr>
                <w:b/>
                <w:sz w:val="20"/>
                <w:szCs w:val="20"/>
              </w:rPr>
              <w:t xml:space="preserve"> / By Leave</w:t>
            </w:r>
            <w:r w:rsidRPr="00C50A5C">
              <w:rPr>
                <w:b/>
                <w:sz w:val="20"/>
                <w:szCs w:val="20"/>
              </w:rPr>
              <w:t>)</w:t>
            </w:r>
          </w:p>
        </w:tc>
        <w:tc>
          <w:tcPr>
            <w:tcW w:w="720" w:type="dxa"/>
            <w:tcMar>
              <w:left w:w="0" w:type="dxa"/>
              <w:right w:w="0" w:type="dxa"/>
            </w:tcMar>
          </w:tcPr>
          <w:p w:rsidR="002A27D1" w:rsidRPr="0093057E" w:rsidRDefault="002A27D1" w:rsidP="002A4AFA">
            <w:pPr>
              <w:widowControl w:val="0"/>
              <w:jc w:val="center"/>
              <w:rPr>
                <w:sz w:val="20"/>
                <w:szCs w:val="20"/>
              </w:rPr>
            </w:pPr>
          </w:p>
        </w:tc>
        <w:tc>
          <w:tcPr>
            <w:tcW w:w="4380" w:type="dxa"/>
            <w:tcMar>
              <w:left w:w="0" w:type="dxa"/>
              <w:right w:w="0" w:type="dxa"/>
            </w:tcMar>
          </w:tcPr>
          <w:p w:rsidR="009042B6" w:rsidRPr="00E965D9" w:rsidRDefault="009042B6" w:rsidP="009042B6">
            <w:pPr>
              <w:jc w:val="both"/>
              <w:rPr>
                <w:sz w:val="20"/>
                <w:szCs w:val="20"/>
              </w:rPr>
            </w:pPr>
            <w:r w:rsidRPr="00E965D9">
              <w:rPr>
                <w:sz w:val="20"/>
                <w:szCs w:val="20"/>
              </w:rPr>
              <w:t>Douglas H. Christie</w:t>
            </w:r>
            <w:r>
              <w:rPr>
                <w:sz w:val="20"/>
                <w:szCs w:val="20"/>
              </w:rPr>
              <w:t xml:space="preserve"> f</w:t>
            </w:r>
            <w:r w:rsidRPr="00E965D9">
              <w:rPr>
                <w:sz w:val="20"/>
                <w:szCs w:val="20"/>
              </w:rPr>
              <w:t xml:space="preserve">or the </w:t>
            </w:r>
            <w:r>
              <w:rPr>
                <w:sz w:val="20"/>
                <w:szCs w:val="20"/>
              </w:rPr>
              <w:t>a</w:t>
            </w:r>
            <w:r w:rsidRPr="00E965D9">
              <w:rPr>
                <w:sz w:val="20"/>
                <w:szCs w:val="20"/>
              </w:rPr>
              <w:t>ppellant.</w:t>
            </w:r>
          </w:p>
          <w:p w:rsidR="009042B6" w:rsidRPr="00E965D9" w:rsidRDefault="009042B6" w:rsidP="009042B6">
            <w:pPr>
              <w:jc w:val="both"/>
              <w:rPr>
                <w:sz w:val="20"/>
                <w:szCs w:val="20"/>
              </w:rPr>
            </w:pPr>
          </w:p>
          <w:p w:rsidR="009042B6" w:rsidRPr="00E965D9" w:rsidRDefault="009042B6" w:rsidP="009042B6">
            <w:pPr>
              <w:jc w:val="both"/>
              <w:rPr>
                <w:sz w:val="20"/>
                <w:szCs w:val="20"/>
              </w:rPr>
            </w:pPr>
            <w:r w:rsidRPr="00E965D9">
              <w:rPr>
                <w:sz w:val="20"/>
                <w:szCs w:val="20"/>
              </w:rPr>
              <w:t>Margaret A. Mereigh</w:t>
            </w:r>
            <w:r>
              <w:rPr>
                <w:sz w:val="20"/>
                <w:szCs w:val="20"/>
              </w:rPr>
              <w:t xml:space="preserve"> f</w:t>
            </w:r>
            <w:r w:rsidRPr="00E965D9">
              <w:rPr>
                <w:sz w:val="20"/>
                <w:szCs w:val="20"/>
              </w:rPr>
              <w:t xml:space="preserve">or the </w:t>
            </w:r>
            <w:r>
              <w:rPr>
                <w:sz w:val="20"/>
                <w:szCs w:val="20"/>
              </w:rPr>
              <w:t>r</w:t>
            </w:r>
            <w:r w:rsidRPr="00E965D9">
              <w:rPr>
                <w:sz w:val="20"/>
                <w:szCs w:val="20"/>
              </w:rPr>
              <w:t>espondent.</w:t>
            </w:r>
          </w:p>
          <w:p w:rsidR="002A27D1" w:rsidRPr="00C50A5C" w:rsidRDefault="002A27D1" w:rsidP="002A4AFA">
            <w:pPr>
              <w:widowControl w:val="0"/>
              <w:jc w:val="both"/>
              <w:rPr>
                <w:sz w:val="20"/>
                <w:szCs w:val="20"/>
              </w:rPr>
            </w:pPr>
          </w:p>
        </w:tc>
      </w:tr>
    </w:tbl>
    <w:p w:rsidR="002A27D1" w:rsidRDefault="002A27D1" w:rsidP="002A27D1">
      <w:pPr>
        <w:widowControl w:val="0"/>
        <w:rPr>
          <w:sz w:val="20"/>
          <w:szCs w:val="20"/>
        </w:rPr>
      </w:pPr>
    </w:p>
    <w:p w:rsidR="00507E71" w:rsidRPr="00462ADC" w:rsidRDefault="00507E71" w:rsidP="00507E71">
      <w:pPr>
        <w:jc w:val="both"/>
        <w:rPr>
          <w:rFonts w:eastAsia="Calibri" w:cs="Times New Roman"/>
          <w:b/>
          <w:sz w:val="20"/>
          <w:szCs w:val="20"/>
        </w:rPr>
      </w:pPr>
      <w:r w:rsidRPr="00462ADC">
        <w:rPr>
          <w:rFonts w:eastAsia="Calibri" w:cs="Times New Roman"/>
          <w:b/>
          <w:sz w:val="20"/>
          <w:szCs w:val="20"/>
        </w:rPr>
        <w:t>2012 SCC 63 / 2012 CSC 63</w:t>
      </w:r>
    </w:p>
    <w:p w:rsidR="00507E71" w:rsidRDefault="00507E71" w:rsidP="002A27D1">
      <w:pPr>
        <w:widowControl w:val="0"/>
        <w:rPr>
          <w:sz w:val="20"/>
          <w:szCs w:val="20"/>
        </w:rPr>
      </w:pPr>
    </w:p>
    <w:p w:rsidR="00507E71" w:rsidRPr="00462ADC" w:rsidRDefault="00507E71" w:rsidP="00507E71">
      <w:pPr>
        <w:rPr>
          <w:rFonts w:eastAsia="Calibri" w:cs="Times New Roman"/>
          <w:sz w:val="20"/>
          <w:szCs w:val="20"/>
          <w:lang w:val="fr-CA"/>
        </w:rPr>
      </w:pPr>
      <w:r w:rsidRPr="00462ADC">
        <w:rPr>
          <w:rFonts w:eastAsia="Calibri" w:cs="Times New Roman"/>
          <w:b/>
          <w:bCs/>
          <w:sz w:val="20"/>
          <w:szCs w:val="20"/>
          <w:lang w:val="fr-CA"/>
        </w:rPr>
        <w:t>DISMISSED / REJETÉ</w:t>
      </w:r>
    </w:p>
    <w:p w:rsidR="002A27D1" w:rsidRDefault="002A27D1" w:rsidP="002A27D1"/>
    <w:tbl>
      <w:tblPr>
        <w:tblW w:w="0" w:type="auto"/>
        <w:tblLayout w:type="fixed"/>
        <w:tblCellMar>
          <w:left w:w="0" w:type="dxa"/>
          <w:right w:w="0" w:type="dxa"/>
        </w:tblCellMar>
        <w:tblLook w:val="0000"/>
      </w:tblPr>
      <w:tblGrid>
        <w:gridCol w:w="4380"/>
        <w:gridCol w:w="720"/>
        <w:gridCol w:w="4380"/>
      </w:tblGrid>
      <w:tr w:rsidR="002A27D1" w:rsidRPr="00507E71" w:rsidTr="002A4AFA">
        <w:tc>
          <w:tcPr>
            <w:tcW w:w="4380" w:type="dxa"/>
            <w:tcMar>
              <w:left w:w="0" w:type="dxa"/>
              <w:right w:w="0" w:type="dxa"/>
            </w:tcMar>
          </w:tcPr>
          <w:p w:rsidR="002A27D1" w:rsidRPr="00CC4D84" w:rsidRDefault="002A27D1" w:rsidP="002A4AFA">
            <w:pPr>
              <w:widowControl w:val="0"/>
              <w:jc w:val="both"/>
              <w:rPr>
                <w:b/>
                <w:sz w:val="20"/>
                <w:szCs w:val="20"/>
                <w:u w:val="single"/>
              </w:rPr>
            </w:pPr>
            <w:r>
              <w:rPr>
                <w:b/>
                <w:sz w:val="20"/>
                <w:szCs w:val="20"/>
                <w:u w:val="single"/>
              </w:rPr>
              <w:t>JUDGMENT</w:t>
            </w:r>
            <w:r w:rsidRPr="00CC4D84">
              <w:rPr>
                <w:b/>
                <w:sz w:val="20"/>
                <w:szCs w:val="20"/>
                <w:u w:val="single"/>
              </w:rPr>
              <w:t>:</w:t>
            </w:r>
          </w:p>
          <w:p w:rsidR="002A27D1" w:rsidRPr="001A663B" w:rsidRDefault="002A27D1" w:rsidP="002A4AFA">
            <w:pPr>
              <w:widowControl w:val="0"/>
              <w:jc w:val="both"/>
              <w:rPr>
                <w:b/>
                <w:sz w:val="20"/>
                <w:szCs w:val="20"/>
              </w:rPr>
            </w:pPr>
          </w:p>
          <w:p w:rsidR="00507E71" w:rsidRPr="00F46FC7" w:rsidRDefault="00507E71" w:rsidP="00507E71">
            <w:pPr>
              <w:jc w:val="both"/>
              <w:rPr>
                <w:sz w:val="20"/>
                <w:szCs w:val="20"/>
              </w:rPr>
            </w:pPr>
            <w:r w:rsidRPr="00F46FC7">
              <w:rPr>
                <w:sz w:val="20"/>
                <w:szCs w:val="20"/>
              </w:rPr>
              <w:t>The appeal from the judgment of the Court of Appeal for British Columbia (Vancouver), Numbers CA037623 and  CA037983, 2011 BCCA 522, dated December 22, 2011, was heard this day and the following judgment was rendered orally:</w:t>
            </w:r>
          </w:p>
          <w:p w:rsidR="00507E71" w:rsidRPr="00F46FC7" w:rsidRDefault="00507E71" w:rsidP="00507E71">
            <w:pPr>
              <w:jc w:val="center"/>
              <w:rPr>
                <w:sz w:val="20"/>
                <w:szCs w:val="20"/>
              </w:rPr>
            </w:pPr>
          </w:p>
          <w:p w:rsidR="00507E71" w:rsidRPr="00F46FC7" w:rsidRDefault="00507E71" w:rsidP="00507E71">
            <w:pPr>
              <w:jc w:val="both"/>
              <w:rPr>
                <w:smallCaps/>
                <w:sz w:val="20"/>
                <w:szCs w:val="20"/>
                <w:lang w:val="en-US"/>
              </w:rPr>
            </w:pPr>
          </w:p>
          <w:p w:rsidR="002A27D1" w:rsidRPr="00C1697B" w:rsidRDefault="00507E71" w:rsidP="00507E71">
            <w:pPr>
              <w:jc w:val="both"/>
              <w:rPr>
                <w:b/>
                <w:sz w:val="20"/>
                <w:szCs w:val="20"/>
              </w:rPr>
            </w:pPr>
            <w:r w:rsidRPr="00F46FC7">
              <w:rPr>
                <w:smallCaps/>
                <w:sz w:val="20"/>
                <w:szCs w:val="20"/>
                <w:lang w:val="en-US"/>
              </w:rPr>
              <w:t xml:space="preserve">LeBel J. </w:t>
            </w:r>
            <w:r w:rsidRPr="00F46FC7">
              <w:rPr>
                <w:sz w:val="20"/>
                <w:szCs w:val="20"/>
                <w:lang w:val="en-US"/>
              </w:rPr>
              <w:t>— We all agree with Hinkson J.A., writing for a unanimous Court of Appeal, that all the elements of the charges against the appellant had been established. We will not comment on whether the charge of assault with a weapon should have been stayed, as this issue was not raised in this Court. Nor do we need, on the specific facts of this case, to rule definitively on whether a circumcision performed by a person without medical training can ever be considered reasonable and in the child’s best interest. For these reasons, the appeal is dismissed.</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2A27D1" w:rsidRPr="00C1697B" w:rsidRDefault="002A27D1" w:rsidP="002A4AFA">
            <w:pPr>
              <w:widowControl w:val="0"/>
              <w:jc w:val="both"/>
              <w:rPr>
                <w:sz w:val="20"/>
                <w:szCs w:val="20"/>
                <w:lang w:val="fr-CA"/>
              </w:rPr>
            </w:pPr>
          </w:p>
          <w:p w:rsidR="00507E71" w:rsidRPr="00F46FC7" w:rsidRDefault="00507E71" w:rsidP="00507E71">
            <w:pPr>
              <w:jc w:val="both"/>
              <w:rPr>
                <w:sz w:val="20"/>
                <w:szCs w:val="20"/>
                <w:lang w:val="fr-CA"/>
              </w:rPr>
            </w:pPr>
            <w:r w:rsidRPr="00F46FC7">
              <w:rPr>
                <w:sz w:val="20"/>
                <w:szCs w:val="20"/>
                <w:lang w:val="fr-CA"/>
              </w:rPr>
              <w:t>L’appel interjeté contre l’arrêt de la Cour d’appel de la Colombie-Britannique (Vancouver), numéros CA037623 et CA037983, 2011 BCCA 522, en date du 22 décembre 2011, a été entendu aujourd’hui et le jugement suivant a été rendu oralement :</w:t>
            </w:r>
          </w:p>
          <w:p w:rsidR="00507E71" w:rsidRPr="00F46FC7" w:rsidRDefault="00507E71" w:rsidP="00507E71">
            <w:pPr>
              <w:jc w:val="center"/>
              <w:rPr>
                <w:sz w:val="20"/>
                <w:szCs w:val="20"/>
                <w:lang w:val="fr-CA"/>
              </w:rPr>
            </w:pPr>
          </w:p>
          <w:p w:rsidR="00507E71" w:rsidRPr="00F46FC7" w:rsidRDefault="00507E71" w:rsidP="00507E71">
            <w:pPr>
              <w:jc w:val="both"/>
              <w:rPr>
                <w:sz w:val="20"/>
                <w:szCs w:val="20"/>
                <w:lang w:val="fr-CA"/>
              </w:rPr>
            </w:pPr>
            <w:r w:rsidRPr="00F46FC7">
              <w:rPr>
                <w:rFonts w:cs="Times New Roman"/>
                <w:sz w:val="20"/>
                <w:szCs w:val="20"/>
                <w:lang w:val="fr-CA"/>
              </w:rPr>
              <w:t>[</w:t>
            </w:r>
            <w:r w:rsidRPr="00F46FC7">
              <w:rPr>
                <w:rFonts w:cs="Times New Roman"/>
                <w:smallCaps/>
                <w:sz w:val="20"/>
                <w:szCs w:val="20"/>
                <w:lang w:val="fr-CA"/>
              </w:rPr>
              <w:t>traduction</w:t>
            </w:r>
            <w:r w:rsidRPr="00F46FC7">
              <w:rPr>
                <w:rFonts w:asciiTheme="minorBidi" w:hAnsiTheme="minorBidi"/>
                <w:sz w:val="20"/>
                <w:szCs w:val="20"/>
                <w:lang w:val="fr-CA"/>
              </w:rPr>
              <w:t>]</w:t>
            </w:r>
          </w:p>
          <w:p w:rsidR="002A27D1" w:rsidRPr="00C1697B" w:rsidRDefault="00507E71" w:rsidP="00507E71">
            <w:pPr>
              <w:jc w:val="both"/>
              <w:rPr>
                <w:sz w:val="20"/>
                <w:szCs w:val="20"/>
                <w:lang w:val="fr-CA"/>
              </w:rPr>
            </w:pPr>
            <w:r w:rsidRPr="00F46FC7">
              <w:rPr>
                <w:smallCaps/>
                <w:sz w:val="20"/>
                <w:szCs w:val="20"/>
                <w:lang w:val="fr-CA"/>
              </w:rPr>
              <w:t>Le juge LeBel</w:t>
            </w:r>
            <w:r w:rsidRPr="00F46FC7">
              <w:rPr>
                <w:sz w:val="20"/>
                <w:szCs w:val="20"/>
                <w:lang w:val="fr-CA"/>
              </w:rPr>
              <w:t xml:space="preserve"> — Nous convenons tous avec le juge Hinkson, auteur des motifs unanimes de la Cour d’appel, que chacun des éléments des infractions reprochées à l’appelant a été établi. Nous ne nous prononçons pas sur la question de savoir s’il y aurait dû y avoir arrêt des procédures relativement à l’accusation d’agression armée, car elle ne fait pas l’objet du pourvoi. Point n’est besoin non plus, étant donné les faits particuliers de l’affaire, de trancher définitivement la question de savoir s’il pourrait jamais être raisonnable et dans son intérêt qu’un enfant soit circoncis par une personne qui n’a pas de formation médicale. Pour ces motifs, le pourvoi est rejeté.</w:t>
            </w:r>
          </w:p>
        </w:tc>
      </w:tr>
    </w:tbl>
    <w:p w:rsidR="002A27D1" w:rsidRPr="00DE1CAD" w:rsidRDefault="002A27D1" w:rsidP="002A27D1">
      <w:pPr>
        <w:rPr>
          <w:lang w:val="fr-CA"/>
        </w:rPr>
      </w:pPr>
    </w:p>
    <w:tbl>
      <w:tblPr>
        <w:tblW w:w="0" w:type="auto"/>
        <w:tblLayout w:type="fixed"/>
        <w:tblCellMar>
          <w:left w:w="0" w:type="dxa"/>
          <w:right w:w="0" w:type="dxa"/>
        </w:tblCellMar>
        <w:tblLook w:val="0000"/>
      </w:tblPr>
      <w:tblGrid>
        <w:gridCol w:w="4380"/>
        <w:gridCol w:w="720"/>
        <w:gridCol w:w="4380"/>
      </w:tblGrid>
      <w:tr w:rsidR="002A27D1" w:rsidRPr="00486CA3" w:rsidTr="002A4AFA">
        <w:tc>
          <w:tcPr>
            <w:tcW w:w="4380" w:type="dxa"/>
            <w:tcMar>
              <w:left w:w="0" w:type="dxa"/>
              <w:right w:w="0" w:type="dxa"/>
            </w:tcMar>
          </w:tcPr>
          <w:p w:rsidR="002A27D1" w:rsidRPr="00CC4D84" w:rsidRDefault="002A27D1" w:rsidP="002A4AFA">
            <w:pPr>
              <w:widowControl w:val="0"/>
              <w:jc w:val="both"/>
              <w:rPr>
                <w:b/>
                <w:sz w:val="20"/>
                <w:szCs w:val="20"/>
                <w:u w:val="single"/>
              </w:rPr>
            </w:pPr>
            <w:r w:rsidRPr="00CC4D84">
              <w:rPr>
                <w:b/>
                <w:sz w:val="20"/>
                <w:szCs w:val="20"/>
                <w:u w:val="single"/>
              </w:rPr>
              <w:t>Nature of the case:</w:t>
            </w:r>
          </w:p>
          <w:p w:rsidR="002A27D1" w:rsidRPr="001A663B" w:rsidRDefault="002A27D1" w:rsidP="002A4AFA">
            <w:pPr>
              <w:widowControl w:val="0"/>
              <w:jc w:val="both"/>
              <w:rPr>
                <w:b/>
                <w:sz w:val="20"/>
                <w:szCs w:val="20"/>
              </w:rPr>
            </w:pPr>
          </w:p>
          <w:p w:rsidR="00202D1D" w:rsidRPr="00A571E7" w:rsidRDefault="00202D1D" w:rsidP="00202D1D">
            <w:pPr>
              <w:widowControl w:val="0"/>
              <w:jc w:val="both"/>
              <w:rPr>
                <w:smallCaps/>
                <w:sz w:val="20"/>
                <w:szCs w:val="20"/>
              </w:rPr>
            </w:pPr>
            <w:r w:rsidRPr="00A571E7">
              <w:rPr>
                <w:smallCaps/>
                <w:sz w:val="20"/>
                <w:szCs w:val="20"/>
              </w:rPr>
              <w:t xml:space="preserve">(Publication </w:t>
            </w:r>
            <w:r>
              <w:rPr>
                <w:smallCaps/>
                <w:sz w:val="20"/>
                <w:szCs w:val="20"/>
              </w:rPr>
              <w:t>B</w:t>
            </w:r>
            <w:r w:rsidRPr="00A571E7">
              <w:rPr>
                <w:smallCaps/>
                <w:sz w:val="20"/>
                <w:szCs w:val="20"/>
              </w:rPr>
              <w:t xml:space="preserve">an in </w:t>
            </w:r>
            <w:r>
              <w:rPr>
                <w:smallCaps/>
                <w:sz w:val="20"/>
                <w:szCs w:val="20"/>
              </w:rPr>
              <w:t>C</w:t>
            </w:r>
            <w:r w:rsidRPr="00A571E7">
              <w:rPr>
                <w:smallCaps/>
                <w:sz w:val="20"/>
                <w:szCs w:val="20"/>
              </w:rPr>
              <w:t xml:space="preserve">ase) (Publication </w:t>
            </w:r>
            <w:r>
              <w:rPr>
                <w:smallCaps/>
                <w:sz w:val="20"/>
                <w:szCs w:val="20"/>
              </w:rPr>
              <w:t>B</w:t>
            </w:r>
            <w:r w:rsidRPr="00A571E7">
              <w:rPr>
                <w:smallCaps/>
                <w:sz w:val="20"/>
                <w:szCs w:val="20"/>
              </w:rPr>
              <w:t xml:space="preserve">an on </w:t>
            </w:r>
            <w:r>
              <w:rPr>
                <w:smallCaps/>
                <w:sz w:val="20"/>
                <w:szCs w:val="20"/>
              </w:rPr>
              <w:t>P</w:t>
            </w:r>
            <w:r w:rsidRPr="00A571E7">
              <w:rPr>
                <w:smallCaps/>
                <w:sz w:val="20"/>
                <w:szCs w:val="20"/>
              </w:rPr>
              <w:t>arty)</w:t>
            </w:r>
          </w:p>
          <w:p w:rsidR="00202D1D" w:rsidRDefault="00202D1D" w:rsidP="00202D1D">
            <w:pPr>
              <w:widowControl w:val="0"/>
              <w:jc w:val="both"/>
              <w:rPr>
                <w:sz w:val="20"/>
                <w:szCs w:val="20"/>
              </w:rPr>
            </w:pPr>
          </w:p>
          <w:p w:rsidR="00202D1D" w:rsidRPr="00A571E7" w:rsidRDefault="00202D1D" w:rsidP="00202D1D">
            <w:pPr>
              <w:widowControl w:val="0"/>
              <w:jc w:val="both"/>
              <w:rPr>
                <w:sz w:val="20"/>
                <w:szCs w:val="20"/>
              </w:rPr>
            </w:pPr>
          </w:p>
          <w:p w:rsidR="002A27D1" w:rsidRPr="00C1697B" w:rsidRDefault="00202D1D" w:rsidP="00202D1D">
            <w:pPr>
              <w:widowControl w:val="0"/>
              <w:jc w:val="both"/>
              <w:rPr>
                <w:b/>
                <w:sz w:val="20"/>
                <w:szCs w:val="20"/>
              </w:rPr>
            </w:pPr>
            <w:r w:rsidRPr="00A571E7">
              <w:rPr>
                <w:sz w:val="20"/>
                <w:szCs w:val="20"/>
              </w:rPr>
              <w:t xml:space="preserve">Criminal law </w:t>
            </w:r>
            <w:r w:rsidRPr="00A571E7">
              <w:rPr>
                <w:sz w:val="20"/>
                <w:szCs w:val="20"/>
              </w:rPr>
              <w:noBreakHyphen/>
              <w:t xml:space="preserve"> Offences </w:t>
            </w:r>
            <w:r w:rsidRPr="00A571E7">
              <w:rPr>
                <w:sz w:val="20"/>
                <w:szCs w:val="20"/>
              </w:rPr>
              <w:noBreakHyphen/>
              <w:t xml:space="preserve"> Criminal negligence causing bodily harm </w:t>
            </w:r>
            <w:r w:rsidRPr="00A571E7">
              <w:rPr>
                <w:sz w:val="20"/>
                <w:szCs w:val="20"/>
              </w:rPr>
              <w:noBreakHyphen/>
              <w:t xml:space="preserve"> Whether the trial judge erred in acquitting the appellant of aggravated assault and the lesser included offense of assault causing bodily harm </w:t>
            </w:r>
            <w:r w:rsidRPr="00A571E7">
              <w:rPr>
                <w:sz w:val="20"/>
                <w:szCs w:val="20"/>
              </w:rPr>
              <w:noBreakHyphen/>
              <w:t xml:space="preserve"> Whether the trial judge erred in acquitting the appellant of assault with a weapon </w:t>
            </w:r>
            <w:r w:rsidRPr="00A571E7">
              <w:rPr>
                <w:sz w:val="20"/>
                <w:szCs w:val="20"/>
              </w:rPr>
              <w:noBreakHyphen/>
              <w:t xml:space="preserve"> Whether the trial judge correctly applied the law regarding criminal negligence in the context of sincere religious belief in circumcision.</w:t>
            </w:r>
          </w:p>
        </w:tc>
        <w:tc>
          <w:tcPr>
            <w:tcW w:w="720" w:type="dxa"/>
            <w:tcMar>
              <w:left w:w="0" w:type="dxa"/>
              <w:right w:w="0" w:type="dxa"/>
            </w:tcMar>
          </w:tcPr>
          <w:p w:rsidR="002A27D1" w:rsidRPr="00C1697B" w:rsidRDefault="002A27D1" w:rsidP="002A4AFA">
            <w:pPr>
              <w:widowControl w:val="0"/>
              <w:jc w:val="center"/>
              <w:rPr>
                <w:sz w:val="20"/>
                <w:szCs w:val="20"/>
              </w:rPr>
            </w:pPr>
          </w:p>
        </w:tc>
        <w:tc>
          <w:tcPr>
            <w:tcW w:w="4380" w:type="dxa"/>
            <w:tcMar>
              <w:left w:w="0" w:type="dxa"/>
              <w:right w:w="0" w:type="dxa"/>
            </w:tcMar>
          </w:tcPr>
          <w:p w:rsidR="002A27D1" w:rsidRPr="00CC4D84" w:rsidRDefault="002A27D1" w:rsidP="002A4AFA">
            <w:pPr>
              <w:widowControl w:val="0"/>
              <w:jc w:val="both"/>
              <w:rPr>
                <w:b/>
                <w:sz w:val="20"/>
                <w:szCs w:val="20"/>
                <w:u w:val="single"/>
                <w:lang w:val="fr-CA"/>
              </w:rPr>
            </w:pPr>
            <w:r w:rsidRPr="00CC4D84">
              <w:rPr>
                <w:b/>
                <w:sz w:val="20"/>
                <w:szCs w:val="20"/>
                <w:u w:val="single"/>
                <w:lang w:val="fr-CA"/>
              </w:rPr>
              <w:t>Nature de la cause :</w:t>
            </w:r>
          </w:p>
          <w:p w:rsidR="002A27D1" w:rsidRDefault="002A27D1" w:rsidP="002A4AFA">
            <w:pPr>
              <w:widowControl w:val="0"/>
              <w:jc w:val="both"/>
              <w:rPr>
                <w:sz w:val="20"/>
                <w:szCs w:val="20"/>
                <w:lang w:val="fr-CA"/>
              </w:rPr>
            </w:pPr>
          </w:p>
          <w:p w:rsidR="00202D1D" w:rsidRPr="001F6FB3" w:rsidRDefault="00202D1D" w:rsidP="00202D1D">
            <w:pPr>
              <w:widowControl w:val="0"/>
              <w:jc w:val="both"/>
              <w:rPr>
                <w:smallCaps/>
                <w:sz w:val="20"/>
                <w:szCs w:val="20"/>
                <w:lang w:val="fr-CA"/>
              </w:rPr>
            </w:pPr>
            <w:r w:rsidRPr="001F6FB3">
              <w:rPr>
                <w:smallCaps/>
                <w:sz w:val="20"/>
                <w:szCs w:val="20"/>
                <w:lang w:val="fr-CA"/>
              </w:rPr>
              <w:t>(Ordonnance de non</w:t>
            </w:r>
            <w:r w:rsidRPr="001F6FB3">
              <w:rPr>
                <w:smallCaps/>
                <w:sz w:val="20"/>
                <w:szCs w:val="20"/>
                <w:lang w:val="fr-CA"/>
              </w:rPr>
              <w:noBreakHyphen/>
              <w:t>publication dans le dossier) (Ordonnance de non</w:t>
            </w:r>
            <w:r w:rsidRPr="001F6FB3">
              <w:rPr>
                <w:smallCaps/>
                <w:sz w:val="20"/>
                <w:szCs w:val="20"/>
                <w:lang w:val="fr-CA"/>
              </w:rPr>
              <w:noBreakHyphen/>
              <w:t>publication visant une partie)</w:t>
            </w:r>
          </w:p>
          <w:p w:rsidR="00202D1D" w:rsidRPr="001F6FB3" w:rsidRDefault="00202D1D" w:rsidP="00202D1D">
            <w:pPr>
              <w:widowControl w:val="0"/>
              <w:jc w:val="both"/>
              <w:rPr>
                <w:sz w:val="20"/>
                <w:szCs w:val="20"/>
                <w:lang w:val="fr-CA"/>
              </w:rPr>
            </w:pPr>
          </w:p>
          <w:p w:rsidR="00507E71" w:rsidRPr="00C1697B" w:rsidRDefault="00202D1D" w:rsidP="00202D1D">
            <w:pPr>
              <w:widowControl w:val="0"/>
              <w:jc w:val="both"/>
              <w:rPr>
                <w:sz w:val="20"/>
                <w:szCs w:val="20"/>
                <w:lang w:val="fr-CA"/>
              </w:rPr>
            </w:pPr>
            <w:r w:rsidRPr="001F6FB3">
              <w:rPr>
                <w:sz w:val="20"/>
                <w:szCs w:val="20"/>
                <w:lang w:val="fr-CA"/>
              </w:rPr>
              <w:t xml:space="preserve">Droit criminel </w:t>
            </w:r>
            <w:r w:rsidRPr="001F6FB3">
              <w:rPr>
                <w:sz w:val="20"/>
                <w:szCs w:val="20"/>
                <w:lang w:val="fr-CA"/>
              </w:rPr>
              <w:noBreakHyphen/>
              <w:t xml:space="preserve"> Infractions </w:t>
            </w:r>
            <w:r w:rsidRPr="001F6FB3">
              <w:rPr>
                <w:sz w:val="20"/>
                <w:szCs w:val="20"/>
                <w:lang w:val="fr-CA"/>
              </w:rPr>
              <w:noBreakHyphen/>
              <w:t xml:space="preserve"> Négligence criminelle causant des lésions corporelles </w:t>
            </w:r>
            <w:r w:rsidRPr="001F6FB3">
              <w:rPr>
                <w:sz w:val="20"/>
                <w:szCs w:val="20"/>
                <w:lang w:val="fr-CA"/>
              </w:rPr>
              <w:noBreakHyphen/>
              <w:t xml:space="preserve"> La juge de première instance a</w:t>
            </w:r>
            <w:r w:rsidRPr="001F6FB3">
              <w:rPr>
                <w:sz w:val="20"/>
                <w:szCs w:val="20"/>
                <w:lang w:val="fr-CA"/>
              </w:rPr>
              <w:noBreakHyphen/>
              <w:t>t</w:t>
            </w:r>
            <w:r w:rsidRPr="001F6FB3">
              <w:rPr>
                <w:sz w:val="20"/>
                <w:szCs w:val="20"/>
                <w:lang w:val="fr-CA"/>
              </w:rPr>
              <w:noBreakHyphen/>
              <w:t xml:space="preserve">elle eu tort d’acquitter l’appelant de voies de fait graves et de l’infraction incluse moindre de voies de fait causant des lésions corporelles? </w:t>
            </w:r>
            <w:r w:rsidRPr="001F6FB3">
              <w:rPr>
                <w:sz w:val="20"/>
                <w:szCs w:val="20"/>
                <w:lang w:val="fr-CA"/>
              </w:rPr>
              <w:noBreakHyphen/>
              <w:t xml:space="preserve"> La juge de première instance a</w:t>
            </w:r>
            <w:r w:rsidRPr="001F6FB3">
              <w:rPr>
                <w:sz w:val="20"/>
                <w:szCs w:val="20"/>
                <w:lang w:val="fr-CA"/>
              </w:rPr>
              <w:noBreakHyphen/>
              <w:t>t</w:t>
            </w:r>
            <w:r w:rsidRPr="001F6FB3">
              <w:rPr>
                <w:sz w:val="20"/>
                <w:szCs w:val="20"/>
                <w:lang w:val="fr-CA"/>
              </w:rPr>
              <w:noBreakHyphen/>
              <w:t xml:space="preserve">elle eu tort d’acquitter l’appelant d’agression armée? </w:t>
            </w:r>
            <w:r w:rsidRPr="001F6FB3">
              <w:rPr>
                <w:sz w:val="20"/>
                <w:szCs w:val="20"/>
                <w:lang w:val="fr-CA"/>
              </w:rPr>
              <w:noBreakHyphen/>
              <w:t xml:space="preserve"> La juge de première instance a</w:t>
            </w:r>
            <w:r w:rsidRPr="001F6FB3">
              <w:rPr>
                <w:sz w:val="20"/>
                <w:szCs w:val="20"/>
                <w:lang w:val="fr-CA"/>
              </w:rPr>
              <w:noBreakHyphen/>
              <w:t>t</w:t>
            </w:r>
            <w:r w:rsidRPr="001F6FB3">
              <w:rPr>
                <w:sz w:val="20"/>
                <w:szCs w:val="20"/>
                <w:lang w:val="fr-CA"/>
              </w:rPr>
              <w:noBreakHyphen/>
              <w:t>elle correctement appliqué la règle de droit en matière de négligence criminelle dans le contexte de la croyance religieuse sincère à l’égard de la circoncision?</w:t>
            </w:r>
          </w:p>
        </w:tc>
      </w:tr>
    </w:tbl>
    <w:p w:rsidR="002A27D1" w:rsidRDefault="002A27D1" w:rsidP="002A27D1">
      <w:pPr>
        <w:widowControl w:val="0"/>
        <w:rPr>
          <w:sz w:val="20"/>
          <w:szCs w:val="20"/>
          <w:lang w:val="fr-CA"/>
        </w:rPr>
      </w:pPr>
    </w:p>
    <w:p w:rsidR="00E940EB" w:rsidRPr="00C1697B" w:rsidRDefault="00DB239D" w:rsidP="00732DB7">
      <w:pPr>
        <w:widowControl w:val="0"/>
        <w:rPr>
          <w:sz w:val="20"/>
          <w:szCs w:val="20"/>
          <w:lang w:val="fr-CA"/>
        </w:rPr>
      </w:pPr>
      <w:r w:rsidRPr="00DB239D">
        <w:rPr>
          <w:sz w:val="20"/>
          <w:szCs w:val="20"/>
          <w:lang w:val="fr-CA"/>
        </w:rPr>
        <w:pict>
          <v:rect id="_x0000_i1103"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86CA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1B4038" w:rsidP="00AF1715">
      <w:pPr>
        <w:rPr>
          <w:b/>
          <w:sz w:val="20"/>
          <w:szCs w:val="20"/>
        </w:rPr>
      </w:pPr>
      <w:r>
        <w:rPr>
          <w:b/>
          <w:sz w:val="20"/>
          <w:szCs w:val="20"/>
        </w:rPr>
        <w:t>N</w:t>
      </w:r>
      <w:r w:rsidR="00AF1715" w:rsidRPr="003B3977">
        <w:rPr>
          <w:b/>
          <w:sz w:val="20"/>
          <w:szCs w:val="20"/>
        </w:rPr>
        <w:t>O</w:t>
      </w:r>
      <w:r>
        <w:rPr>
          <w:b/>
          <w:sz w:val="20"/>
          <w:szCs w:val="20"/>
        </w:rPr>
        <w:t>VEM</w:t>
      </w:r>
      <w:r w:rsidR="00AF1715" w:rsidRPr="003B3977">
        <w:rPr>
          <w:b/>
          <w:sz w:val="20"/>
          <w:szCs w:val="20"/>
        </w:rPr>
        <w:t xml:space="preserve">BER </w:t>
      </w:r>
      <w:r w:rsidR="004E1E0A">
        <w:rPr>
          <w:b/>
          <w:sz w:val="20"/>
          <w:szCs w:val="20"/>
        </w:rPr>
        <w:t>2</w:t>
      </w:r>
      <w:r>
        <w:rPr>
          <w:b/>
          <w:sz w:val="20"/>
          <w:szCs w:val="20"/>
        </w:rPr>
        <w:t>3</w:t>
      </w:r>
      <w:r w:rsidR="00AF1715" w:rsidRPr="003B3977">
        <w:rPr>
          <w:b/>
          <w:sz w:val="20"/>
          <w:szCs w:val="20"/>
        </w:rPr>
        <w:t>, 201</w:t>
      </w:r>
      <w:r w:rsidR="004E1E0A">
        <w:rPr>
          <w:b/>
          <w:sz w:val="20"/>
          <w:szCs w:val="20"/>
        </w:rPr>
        <w:t>2</w:t>
      </w:r>
      <w:r w:rsidR="00AF1715" w:rsidRPr="003B3977">
        <w:rPr>
          <w:b/>
          <w:sz w:val="20"/>
          <w:szCs w:val="20"/>
        </w:rPr>
        <w:t xml:space="preserve"> / LE </w:t>
      </w:r>
      <w:r w:rsidR="004E1E0A">
        <w:rPr>
          <w:b/>
          <w:sz w:val="20"/>
          <w:szCs w:val="20"/>
        </w:rPr>
        <w:t>2</w:t>
      </w:r>
      <w:r>
        <w:rPr>
          <w:b/>
          <w:sz w:val="20"/>
          <w:szCs w:val="20"/>
        </w:rPr>
        <w:t>3</w:t>
      </w:r>
      <w:r w:rsidR="00AF1715" w:rsidRPr="003B3977">
        <w:rPr>
          <w:b/>
          <w:sz w:val="20"/>
          <w:szCs w:val="20"/>
        </w:rPr>
        <w:t xml:space="preserve"> </w:t>
      </w:r>
      <w:r>
        <w:rPr>
          <w:b/>
          <w:sz w:val="20"/>
          <w:szCs w:val="20"/>
        </w:rPr>
        <w:t>N</w:t>
      </w:r>
      <w:r w:rsidR="00AF1715" w:rsidRPr="003B3977">
        <w:rPr>
          <w:b/>
          <w:sz w:val="20"/>
          <w:szCs w:val="20"/>
        </w:rPr>
        <w:t>O</w:t>
      </w:r>
      <w:r>
        <w:rPr>
          <w:b/>
          <w:sz w:val="20"/>
          <w:szCs w:val="20"/>
        </w:rPr>
        <w:t>VEM</w:t>
      </w:r>
      <w:r w:rsidR="00AF1715" w:rsidRPr="003B3977">
        <w:rPr>
          <w:b/>
          <w:sz w:val="20"/>
          <w:szCs w:val="20"/>
        </w:rPr>
        <w:t>BRE 201</w:t>
      </w:r>
      <w:r w:rsidR="004E1E0A">
        <w:rPr>
          <w:b/>
          <w:sz w:val="20"/>
          <w:szCs w:val="20"/>
        </w:rPr>
        <w:t>2</w:t>
      </w:r>
    </w:p>
    <w:p w:rsidR="00AF1715" w:rsidRDefault="00AF1715" w:rsidP="00AF1715">
      <w:pPr>
        <w:rPr>
          <w:sz w:val="20"/>
          <w:szCs w:val="20"/>
        </w:rPr>
      </w:pPr>
    </w:p>
    <w:p w:rsidR="00852DF1" w:rsidRPr="009C0A51" w:rsidRDefault="00852DF1" w:rsidP="00852DF1">
      <w:pPr>
        <w:pStyle w:val="SCCLsocParty"/>
        <w:ind w:left="1440" w:hanging="1440"/>
        <w:jc w:val="both"/>
        <w:rPr>
          <w:rStyle w:val="Hyperlink"/>
          <w:color w:val="000000"/>
          <w:sz w:val="20"/>
          <w:lang w:val="en-US"/>
        </w:rPr>
      </w:pPr>
      <w:r w:rsidRPr="009C0A51">
        <w:rPr>
          <w:b/>
          <w:color w:val="000000"/>
          <w:sz w:val="20"/>
          <w:lang w:val="en-US"/>
        </w:rPr>
        <w:t>34147</w:t>
      </w:r>
      <w:r w:rsidRPr="009C0A51">
        <w:rPr>
          <w:b/>
          <w:color w:val="000000"/>
          <w:sz w:val="20"/>
          <w:lang w:val="en-US"/>
        </w:rPr>
        <w:tab/>
      </w:r>
      <w:r w:rsidRPr="009C0A51">
        <w:rPr>
          <w:b/>
          <w:color w:val="000000"/>
          <w:sz w:val="20"/>
          <w:u w:val="single"/>
          <w:lang w:val="en-US"/>
        </w:rPr>
        <w:t>Attorney General of Canada v. Robert Kane</w:t>
      </w:r>
      <w:r w:rsidRPr="009C0A51">
        <w:rPr>
          <w:b/>
          <w:color w:val="000000"/>
          <w:sz w:val="20"/>
          <w:lang w:val="en-US"/>
        </w:rPr>
        <w:t xml:space="preserve"> </w:t>
      </w:r>
      <w:r w:rsidRPr="009C0A51">
        <w:rPr>
          <w:iCs/>
          <w:color w:val="000000"/>
          <w:sz w:val="20"/>
          <w:lang w:val="en-US"/>
        </w:rPr>
        <w:t xml:space="preserve">(F.C.) </w:t>
      </w:r>
    </w:p>
    <w:p w:rsidR="00852DF1" w:rsidRPr="009C0A51" w:rsidRDefault="00852DF1" w:rsidP="00852DF1">
      <w:pPr>
        <w:ind w:left="1440" w:hanging="1440"/>
        <w:jc w:val="both"/>
        <w:rPr>
          <w:b/>
          <w:color w:val="000000"/>
          <w:sz w:val="20"/>
        </w:rPr>
      </w:pPr>
      <w:r>
        <w:rPr>
          <w:b/>
          <w:color w:val="000000"/>
          <w:sz w:val="20"/>
        </w:rPr>
        <w:tab/>
      </w:r>
      <w:r w:rsidRPr="009C0A51">
        <w:rPr>
          <w:b/>
          <w:color w:val="000000"/>
          <w:sz w:val="20"/>
        </w:rPr>
        <w:t>2012 SCC 64 / 2012 CSC 64</w:t>
      </w:r>
    </w:p>
    <w:p w:rsidR="00852DF1" w:rsidRPr="009C0A51" w:rsidRDefault="00852DF1" w:rsidP="00852DF1">
      <w:pPr>
        <w:ind w:left="1440" w:hanging="1440"/>
        <w:jc w:val="both"/>
        <w:rPr>
          <w:b/>
          <w:color w:val="000000"/>
          <w:sz w:val="20"/>
        </w:rPr>
      </w:pPr>
    </w:p>
    <w:p w:rsidR="00852DF1" w:rsidRPr="009C0A51" w:rsidRDefault="009237AF" w:rsidP="00852DF1">
      <w:pPr>
        <w:ind w:left="1440" w:hanging="1440"/>
        <w:jc w:val="both"/>
        <w:rPr>
          <w:color w:val="000000"/>
          <w:sz w:val="20"/>
          <w:u w:val="single"/>
        </w:rPr>
      </w:pPr>
      <w:r>
        <w:rPr>
          <w:color w:val="000000"/>
          <w:sz w:val="20"/>
        </w:rPr>
        <w:t>Coram:</w:t>
      </w:r>
      <w:r w:rsidR="00852DF1">
        <w:rPr>
          <w:color w:val="000000"/>
          <w:sz w:val="20"/>
        </w:rPr>
        <w:tab/>
      </w:r>
      <w:r w:rsidR="00852DF1" w:rsidRPr="009C0A51">
        <w:rPr>
          <w:color w:val="000000"/>
          <w:sz w:val="20"/>
          <w:u w:val="single"/>
        </w:rPr>
        <w:t xml:space="preserve">McLachlin C.J. and LeBel, Abella, Rothstein, Cromwell, Moldaver and Karakatsanis JJ. </w:t>
      </w:r>
    </w:p>
    <w:p w:rsidR="00852DF1" w:rsidRPr="009C0A51" w:rsidRDefault="00852DF1" w:rsidP="00852DF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rPr>
      </w:pPr>
    </w:p>
    <w:p w:rsidR="00852DF1" w:rsidRPr="009C0A51" w:rsidRDefault="00852DF1" w:rsidP="00852DF1">
      <w:pPr>
        <w:jc w:val="both"/>
        <w:rPr>
          <w:color w:val="000000"/>
          <w:sz w:val="20"/>
        </w:rPr>
      </w:pPr>
      <w:r w:rsidRPr="009C0A51">
        <w:rPr>
          <w:color w:val="000000"/>
          <w:sz w:val="20"/>
        </w:rPr>
        <w:t>The appeal from the judgment of the Federal Court of Appeal, Number A-394-09, 2011 FCA 19, dated January 19, 2011, heard on November 6, 2012, is allowed with costs and the decision of the Tribunal is affirmed.</w:t>
      </w:r>
    </w:p>
    <w:p w:rsidR="00852DF1" w:rsidRPr="009C0A51" w:rsidRDefault="00852DF1" w:rsidP="00852DF1">
      <w:pPr>
        <w:jc w:val="both"/>
        <w:rPr>
          <w:color w:val="000000"/>
          <w:sz w:val="20"/>
        </w:rPr>
      </w:pPr>
    </w:p>
    <w:p w:rsidR="00852DF1" w:rsidRPr="009C0A51" w:rsidRDefault="00852DF1" w:rsidP="00852DF1">
      <w:pPr>
        <w:jc w:val="both"/>
        <w:rPr>
          <w:color w:val="000000"/>
          <w:sz w:val="20"/>
          <w:lang w:val="fr-CA"/>
        </w:rPr>
      </w:pPr>
      <w:r w:rsidRPr="009C0A51">
        <w:rPr>
          <w:color w:val="000000"/>
          <w:sz w:val="20"/>
          <w:lang w:val="fr-CA"/>
        </w:rPr>
        <w:t>L’appel interjeté contre l’arrêt de la Cour d’appel fédérale, numéro A-394-09, 2011 CAF 19, en date du 19 janvier 2011, entendu le 6 novembre 2012 est accueilli avec dépens et la décision du tribunal est confirmée.</w:t>
      </w:r>
    </w:p>
    <w:p w:rsidR="001B4038" w:rsidRPr="00852DF1" w:rsidRDefault="001B4038" w:rsidP="00AF1715">
      <w:pPr>
        <w:rPr>
          <w:sz w:val="20"/>
          <w:szCs w:val="20"/>
          <w:lang w:val="fr-CA"/>
        </w:rPr>
      </w:pPr>
    </w:p>
    <w:p w:rsidR="00AF1715" w:rsidRPr="003B3977" w:rsidRDefault="00DB239D" w:rsidP="00AF1715">
      <w:pPr>
        <w:spacing w:line="0" w:lineRule="atLeast"/>
        <w:rPr>
          <w:sz w:val="20"/>
          <w:szCs w:val="20"/>
        </w:rPr>
      </w:pPr>
      <w:r w:rsidRPr="00DB239D">
        <w:rPr>
          <w:b/>
          <w:sz w:val="20"/>
          <w:szCs w:val="20"/>
        </w:rPr>
        <w:pict>
          <v:rect id="_x0000_i1106"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6029E" w:rsidRPr="00330EE2" w:rsidRDefault="00C6029E" w:rsidP="00C6029E">
      <w:pPr>
        <w:jc w:val="both"/>
        <w:rPr>
          <w:rFonts w:eastAsia="Calibri" w:cs="Times New Roman"/>
          <w:sz w:val="20"/>
          <w:szCs w:val="20"/>
          <w:lang w:val="en-GB"/>
        </w:rPr>
      </w:pPr>
      <w:r w:rsidRPr="00330EE2">
        <w:rPr>
          <w:rFonts w:eastAsia="Calibri" w:cs="Times New Roman"/>
          <w:i/>
          <w:sz w:val="20"/>
          <w:szCs w:val="20"/>
        </w:rPr>
        <w:t>Attorney General of Canada v. Robert Kane</w:t>
      </w:r>
      <w:r w:rsidRPr="00330EE2">
        <w:rPr>
          <w:rFonts w:eastAsia="Calibri" w:cs="Times New Roman"/>
          <w:sz w:val="20"/>
          <w:szCs w:val="20"/>
        </w:rPr>
        <w:t xml:space="preserve"> (F.C.) (34147)</w:t>
      </w:r>
    </w:p>
    <w:p w:rsidR="007355BC" w:rsidRPr="007355BC" w:rsidRDefault="007355BC" w:rsidP="007355BC">
      <w:pPr>
        <w:jc w:val="both"/>
        <w:rPr>
          <w:b/>
          <w:sz w:val="20"/>
          <w:szCs w:val="20"/>
        </w:rPr>
      </w:pPr>
      <w:r w:rsidRPr="0087346B">
        <w:rPr>
          <w:b/>
          <w:sz w:val="20"/>
          <w:szCs w:val="20"/>
        </w:rPr>
        <w:t xml:space="preserve">Indexed as:  Canada (Attorney General) </w:t>
      </w:r>
      <w:r w:rsidRPr="0087346B">
        <w:rPr>
          <w:b/>
          <w:i/>
          <w:sz w:val="20"/>
          <w:szCs w:val="20"/>
        </w:rPr>
        <w:t>v.</w:t>
      </w:r>
      <w:r w:rsidRPr="0087346B">
        <w:rPr>
          <w:b/>
          <w:sz w:val="20"/>
          <w:szCs w:val="20"/>
        </w:rPr>
        <w:t xml:space="preserve"> Kane</w:t>
      </w:r>
      <w:r>
        <w:rPr>
          <w:b/>
          <w:sz w:val="20"/>
          <w:szCs w:val="20"/>
        </w:rPr>
        <w:t xml:space="preserve"> / </w:t>
      </w:r>
      <w:proofErr w:type="gramStart"/>
      <w:r w:rsidRPr="007355BC">
        <w:rPr>
          <w:b/>
          <w:sz w:val="20"/>
          <w:szCs w:val="20"/>
        </w:rPr>
        <w:t>Répertorié :</w:t>
      </w:r>
      <w:proofErr w:type="gramEnd"/>
      <w:r w:rsidRPr="007355BC">
        <w:rPr>
          <w:b/>
          <w:sz w:val="20"/>
          <w:szCs w:val="20"/>
        </w:rPr>
        <w:t xml:space="preserve"> Canada (Procureur général) </w:t>
      </w:r>
      <w:r w:rsidRPr="007355BC">
        <w:rPr>
          <w:b/>
          <w:i/>
          <w:sz w:val="20"/>
          <w:szCs w:val="20"/>
        </w:rPr>
        <w:t>c.</w:t>
      </w:r>
      <w:r w:rsidRPr="007355BC">
        <w:rPr>
          <w:b/>
          <w:sz w:val="20"/>
          <w:szCs w:val="20"/>
        </w:rPr>
        <w:t xml:space="preserve"> Kane</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4E1E0A">
        <w:rPr>
          <w:sz w:val="20"/>
        </w:rPr>
        <w:t>2</w:t>
      </w:r>
      <w:proofErr w:type="gramEnd"/>
      <w:r w:rsidRPr="003B3977">
        <w:rPr>
          <w:sz w:val="20"/>
        </w:rPr>
        <w:t xml:space="preserve"> SCC </w:t>
      </w:r>
      <w:r w:rsidR="00C6029E">
        <w:rPr>
          <w:sz w:val="20"/>
        </w:rPr>
        <w:t>64</w:t>
      </w:r>
      <w:r w:rsidRPr="003B3977">
        <w:rPr>
          <w:sz w:val="20"/>
        </w:rPr>
        <w:t xml:space="preserve"> / Référence neutre : 201</w:t>
      </w:r>
      <w:r w:rsidR="004E1E0A">
        <w:rPr>
          <w:sz w:val="20"/>
        </w:rPr>
        <w:t>2</w:t>
      </w:r>
      <w:r w:rsidRPr="003B3977">
        <w:rPr>
          <w:sz w:val="20"/>
        </w:rPr>
        <w:t xml:space="preserve"> CSC </w:t>
      </w:r>
      <w:r w:rsidR="00C6029E">
        <w:rPr>
          <w:sz w:val="20"/>
        </w:rPr>
        <w:t>64</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7355BC">
        <w:rPr>
          <w:rFonts w:cs="Times New Roman"/>
          <w:sz w:val="20"/>
          <w:szCs w:val="20"/>
          <w:lang w:val="fr-CA"/>
        </w:rPr>
        <w:t>November</w:t>
      </w:r>
      <w:proofErr w:type="gramEnd"/>
      <w:r w:rsidR="007355BC">
        <w:rPr>
          <w:rFonts w:cs="Times New Roman"/>
          <w:sz w:val="20"/>
          <w:szCs w:val="20"/>
          <w:lang w:val="fr-CA"/>
        </w:rPr>
        <w:t xml:space="preserve"> 6</w:t>
      </w:r>
      <w:r w:rsidRPr="003B3977">
        <w:rPr>
          <w:rFonts w:cs="Times New Roman"/>
          <w:sz w:val="20"/>
          <w:szCs w:val="20"/>
          <w:lang w:val="fr-CA"/>
        </w:rPr>
        <w:t>, 201</w:t>
      </w:r>
      <w:r w:rsidR="00C6029E">
        <w:rPr>
          <w:rFonts w:cs="Times New Roman"/>
          <w:sz w:val="20"/>
          <w:szCs w:val="20"/>
          <w:lang w:val="fr-CA"/>
        </w:rPr>
        <w:t>2</w:t>
      </w:r>
      <w:r w:rsidRPr="003B3977">
        <w:rPr>
          <w:rFonts w:cs="Times New Roman"/>
          <w:sz w:val="20"/>
          <w:szCs w:val="20"/>
          <w:lang w:val="fr-CA"/>
        </w:rPr>
        <w:t xml:space="preserve"> / Judgment:  </w:t>
      </w:r>
      <w:r w:rsidR="00C6029E">
        <w:rPr>
          <w:rFonts w:cs="Times New Roman"/>
          <w:sz w:val="20"/>
          <w:szCs w:val="20"/>
          <w:lang w:val="fr-CA"/>
        </w:rPr>
        <w:t>Novem</w:t>
      </w:r>
      <w:r w:rsidRPr="003B3977">
        <w:rPr>
          <w:rFonts w:cs="Times New Roman"/>
          <w:sz w:val="20"/>
          <w:szCs w:val="20"/>
          <w:lang w:val="fr-CA"/>
        </w:rPr>
        <w:t>ber 2</w:t>
      </w:r>
      <w:r w:rsidR="00C6029E">
        <w:rPr>
          <w:rFonts w:cs="Times New Roman"/>
          <w:sz w:val="20"/>
          <w:szCs w:val="20"/>
          <w:lang w:val="fr-CA"/>
        </w:rPr>
        <w:t>3</w:t>
      </w:r>
      <w:r w:rsidRPr="003B3977">
        <w:rPr>
          <w:rFonts w:cs="Times New Roman"/>
          <w:sz w:val="20"/>
          <w:szCs w:val="20"/>
          <w:lang w:val="fr-CA"/>
        </w:rPr>
        <w:t>, 201</w:t>
      </w:r>
      <w:r w:rsidR="004E1E0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355BC">
        <w:rPr>
          <w:rFonts w:cs="Times New Roman"/>
          <w:sz w:val="20"/>
          <w:szCs w:val="20"/>
          <w:lang w:val="fr-CA"/>
        </w:rPr>
        <w:t>6 n</w:t>
      </w:r>
      <w:r w:rsidRPr="003B3977">
        <w:rPr>
          <w:rFonts w:cs="Times New Roman"/>
          <w:sz w:val="20"/>
          <w:szCs w:val="20"/>
          <w:lang w:val="fr-CA"/>
        </w:rPr>
        <w:t>o</w:t>
      </w:r>
      <w:r w:rsidR="007355BC">
        <w:rPr>
          <w:rFonts w:cs="Times New Roman"/>
          <w:sz w:val="20"/>
          <w:szCs w:val="20"/>
          <w:lang w:val="fr-CA"/>
        </w:rPr>
        <w:t>vem</w:t>
      </w:r>
      <w:r w:rsidRPr="003B3977">
        <w:rPr>
          <w:rFonts w:cs="Times New Roman"/>
          <w:sz w:val="20"/>
          <w:szCs w:val="20"/>
          <w:lang w:val="fr-CA"/>
        </w:rPr>
        <w:t>bre 201</w:t>
      </w:r>
      <w:r w:rsidR="00C6029E">
        <w:rPr>
          <w:rFonts w:cs="Times New Roman"/>
          <w:sz w:val="20"/>
          <w:szCs w:val="20"/>
          <w:lang w:val="fr-CA"/>
        </w:rPr>
        <w:t>2</w:t>
      </w:r>
      <w:r w:rsidRPr="003B3977">
        <w:rPr>
          <w:rFonts w:cs="Times New Roman"/>
          <w:sz w:val="20"/>
          <w:szCs w:val="20"/>
          <w:lang w:val="fr-CA"/>
        </w:rPr>
        <w:t xml:space="preserve"> / Jugement : Le 2</w:t>
      </w:r>
      <w:r w:rsidR="00C6029E">
        <w:rPr>
          <w:rFonts w:cs="Times New Roman"/>
          <w:sz w:val="20"/>
          <w:szCs w:val="20"/>
          <w:lang w:val="fr-CA"/>
        </w:rPr>
        <w:t>3</w:t>
      </w:r>
      <w:r w:rsidRPr="003B3977">
        <w:rPr>
          <w:rFonts w:cs="Times New Roman"/>
          <w:sz w:val="20"/>
          <w:szCs w:val="20"/>
          <w:lang w:val="fr-CA"/>
        </w:rPr>
        <w:t xml:space="preserve"> </w:t>
      </w:r>
      <w:r w:rsidR="00C6029E">
        <w:rPr>
          <w:rFonts w:cs="Times New Roman"/>
          <w:sz w:val="20"/>
          <w:szCs w:val="20"/>
          <w:lang w:val="fr-CA"/>
        </w:rPr>
        <w:t>n</w:t>
      </w:r>
      <w:r w:rsidRPr="003B3977">
        <w:rPr>
          <w:rFonts w:cs="Times New Roman"/>
          <w:sz w:val="20"/>
          <w:szCs w:val="20"/>
          <w:lang w:val="fr-CA"/>
        </w:rPr>
        <w:t>o</w:t>
      </w:r>
      <w:r w:rsidR="00C6029E">
        <w:rPr>
          <w:rFonts w:cs="Times New Roman"/>
          <w:sz w:val="20"/>
          <w:szCs w:val="20"/>
          <w:lang w:val="fr-CA"/>
        </w:rPr>
        <w:t>vem</w:t>
      </w:r>
      <w:r w:rsidRPr="003B3977">
        <w:rPr>
          <w:rFonts w:cs="Times New Roman"/>
          <w:sz w:val="20"/>
          <w:szCs w:val="20"/>
          <w:lang w:val="fr-CA"/>
        </w:rPr>
        <w:t>bre 201</w:t>
      </w:r>
      <w:r w:rsidR="004E1E0A">
        <w:rPr>
          <w:rFonts w:cs="Times New Roman"/>
          <w:sz w:val="20"/>
          <w:szCs w:val="20"/>
          <w:lang w:val="fr-CA"/>
        </w:rPr>
        <w:t>2</w:t>
      </w:r>
    </w:p>
    <w:p w:rsidR="005C6840" w:rsidRPr="003B3977" w:rsidRDefault="00DB239D" w:rsidP="005C6840">
      <w:pPr>
        <w:rPr>
          <w:rFonts w:cs="Times New Roman"/>
          <w:sz w:val="20"/>
          <w:szCs w:val="20"/>
          <w:lang w:val="fr-CA"/>
        </w:rPr>
      </w:pPr>
      <w:r w:rsidRPr="00DB239D">
        <w:rPr>
          <w:rFonts w:cs="Times New Roman"/>
          <w:i/>
          <w:sz w:val="20"/>
          <w:szCs w:val="20"/>
        </w:rPr>
        <w:pict>
          <v:rect id="_x0000_i110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355BC" w:rsidRPr="0087346B" w:rsidRDefault="007355BC" w:rsidP="007355BC">
      <w:pPr>
        <w:jc w:val="both"/>
        <w:rPr>
          <w:sz w:val="20"/>
          <w:szCs w:val="20"/>
        </w:rPr>
      </w:pPr>
      <w:r w:rsidRPr="0087346B">
        <w:rPr>
          <w:sz w:val="20"/>
          <w:szCs w:val="20"/>
        </w:rPr>
        <w:t>Present:  McLachlin C.J. and LeBel, Abella, Rothstein, Cromwell, Moldaver and Karakatsanis JJ.</w:t>
      </w:r>
    </w:p>
    <w:p w:rsidR="007355BC" w:rsidRDefault="007355BC" w:rsidP="007355BC">
      <w:pPr>
        <w:pStyle w:val="SCCLowerCourtNameLowercase"/>
        <w:spacing w:line="240" w:lineRule="auto"/>
        <w:rPr>
          <w:sz w:val="20"/>
        </w:rPr>
      </w:pPr>
    </w:p>
    <w:p w:rsidR="007355BC" w:rsidRPr="0087346B" w:rsidRDefault="007355BC" w:rsidP="007355BC">
      <w:pPr>
        <w:pStyle w:val="SCCNormalDoubleSpacing"/>
        <w:widowControl w:val="0"/>
        <w:spacing w:line="240" w:lineRule="auto"/>
        <w:rPr>
          <w:sz w:val="20"/>
        </w:rPr>
      </w:pPr>
      <w:r w:rsidRPr="0087346B">
        <w:rPr>
          <w:sz w:val="20"/>
        </w:rPr>
        <w:tab/>
      </w:r>
      <w:r w:rsidRPr="0087346B">
        <w:rPr>
          <w:i/>
          <w:sz w:val="20"/>
        </w:rPr>
        <w:t>Administrative law —</w:t>
      </w:r>
      <w:r w:rsidRPr="0087346B">
        <w:rPr>
          <w:sz w:val="20"/>
        </w:rPr>
        <w:t xml:space="preserve"> </w:t>
      </w:r>
      <w:r w:rsidRPr="0087346B">
        <w:rPr>
          <w:i/>
          <w:sz w:val="20"/>
        </w:rPr>
        <w:t>Judicial review —</w:t>
      </w:r>
      <w:r w:rsidRPr="0087346B">
        <w:rPr>
          <w:sz w:val="20"/>
        </w:rPr>
        <w:t xml:space="preserve"> </w:t>
      </w:r>
      <w:r w:rsidRPr="0087346B">
        <w:rPr>
          <w:i/>
          <w:sz w:val="20"/>
        </w:rPr>
        <w:t>Standard of review —</w:t>
      </w:r>
      <w:r w:rsidRPr="0087346B">
        <w:rPr>
          <w:sz w:val="20"/>
        </w:rPr>
        <w:t xml:space="preserve"> </w:t>
      </w:r>
      <w:r w:rsidRPr="0087346B">
        <w:rPr>
          <w:i/>
          <w:sz w:val="20"/>
        </w:rPr>
        <w:t>Public Service Staffing Tribunal concluding that decision by employer to staff position by means of advertised process did not constitute abuse of authority —</w:t>
      </w:r>
      <w:r w:rsidRPr="0087346B">
        <w:rPr>
          <w:sz w:val="20"/>
        </w:rPr>
        <w:t xml:space="preserve"> </w:t>
      </w:r>
      <w:r w:rsidRPr="0087346B">
        <w:rPr>
          <w:i/>
          <w:sz w:val="20"/>
        </w:rPr>
        <w:t>Whether decision of Tribunal reviewable on standard of reasonableness. </w:t>
      </w:r>
    </w:p>
    <w:p w:rsidR="007355BC" w:rsidRDefault="007355BC" w:rsidP="007355BC">
      <w:pPr>
        <w:pStyle w:val="SCCNormalDoubleSpacing"/>
        <w:widowControl w:val="0"/>
        <w:spacing w:line="240" w:lineRule="auto"/>
        <w:rPr>
          <w:sz w:val="20"/>
        </w:rPr>
      </w:pPr>
    </w:p>
    <w:p w:rsidR="007355BC" w:rsidRPr="0087346B" w:rsidRDefault="007355BC" w:rsidP="007355BC">
      <w:pPr>
        <w:pStyle w:val="SCCNormalDoubleSpacing"/>
        <w:widowControl w:val="0"/>
        <w:spacing w:line="240" w:lineRule="auto"/>
        <w:rPr>
          <w:sz w:val="20"/>
        </w:rPr>
      </w:pPr>
      <w:r w:rsidRPr="0087346B">
        <w:rPr>
          <w:sz w:val="20"/>
        </w:rPr>
        <w:tab/>
        <w:t>K was employed by Service Canada in a position classified at the PM</w:t>
      </w:r>
      <w:r w:rsidRPr="0087346B">
        <w:rPr>
          <w:sz w:val="20"/>
        </w:rPr>
        <w:noBreakHyphen/>
        <w:t xml:space="preserve">05 level.  As part of </w:t>
      </w:r>
      <w:proofErr w:type="gramStart"/>
      <w:r w:rsidRPr="0087346B">
        <w:rPr>
          <w:sz w:val="20"/>
        </w:rPr>
        <w:t>a reorganization</w:t>
      </w:r>
      <w:proofErr w:type="gramEnd"/>
      <w:r w:rsidRPr="0087346B">
        <w:rPr>
          <w:sz w:val="20"/>
        </w:rPr>
        <w:t>, the position of Regional Manager was created at the PM</w:t>
      </w:r>
      <w:r w:rsidRPr="0087346B">
        <w:rPr>
          <w:sz w:val="20"/>
        </w:rPr>
        <w:noBreakHyphen/>
        <w:t>06 level.  The employer decided to fill the PM</w:t>
      </w:r>
      <w:r w:rsidRPr="0087346B">
        <w:rPr>
          <w:sz w:val="20"/>
        </w:rPr>
        <w:noBreakHyphen/>
        <w:t xml:space="preserve">06 position through an internal advertised process.  K applied to the competition but failed a mandatory examination.  K filed a complaint with the Public Service Staffing Tribunal stating an abuse of authority contrary to the </w:t>
      </w:r>
      <w:r w:rsidRPr="0087346B">
        <w:rPr>
          <w:i/>
          <w:sz w:val="20"/>
        </w:rPr>
        <w:t>Public Service Employment Act</w:t>
      </w:r>
      <w:r w:rsidRPr="0087346B">
        <w:rPr>
          <w:sz w:val="20"/>
        </w:rPr>
        <w:t xml:space="preserve">.  The Tribunal dismissed K’s claim because he had not established abuse of authority.  The Federal Court affirmed the Tribunal’s decision.  The Federal Court of Appeal allowed the appeal </w:t>
      </w:r>
      <w:r w:rsidRPr="0087346B">
        <w:rPr>
          <w:sz w:val="20"/>
          <w:lang w:val="en-US"/>
        </w:rPr>
        <w:t>sent this case back to the Tribunal</w:t>
      </w:r>
      <w:r w:rsidRPr="0087346B">
        <w:rPr>
          <w:sz w:val="20"/>
        </w:rPr>
        <w:t>.</w:t>
      </w:r>
    </w:p>
    <w:p w:rsidR="007355BC" w:rsidRDefault="007355BC" w:rsidP="007355BC">
      <w:pPr>
        <w:pStyle w:val="SCCNormalDoubleSpacing"/>
        <w:widowControl w:val="0"/>
        <w:spacing w:line="240" w:lineRule="auto"/>
        <w:rPr>
          <w:sz w:val="20"/>
        </w:rPr>
      </w:pPr>
    </w:p>
    <w:p w:rsidR="007355BC" w:rsidRPr="0087346B" w:rsidRDefault="007355BC" w:rsidP="007355BC">
      <w:pPr>
        <w:pStyle w:val="SCCNormalDoubleSpacing"/>
        <w:widowControl w:val="0"/>
        <w:spacing w:line="240" w:lineRule="auto"/>
        <w:rPr>
          <w:sz w:val="20"/>
        </w:rPr>
      </w:pPr>
      <w:r w:rsidRPr="0087346B">
        <w:rPr>
          <w:sz w:val="20"/>
        </w:rPr>
        <w:tab/>
      </w:r>
      <w:r w:rsidRPr="0087346B">
        <w:rPr>
          <w:i/>
          <w:sz w:val="20"/>
        </w:rPr>
        <w:t>Held</w:t>
      </w:r>
      <w:r w:rsidRPr="0087346B">
        <w:rPr>
          <w:sz w:val="20"/>
        </w:rPr>
        <w:t>: The appeal is allowed with costs and the decision of the Tribunal is affirmed.</w:t>
      </w:r>
    </w:p>
    <w:p w:rsidR="007355BC" w:rsidRDefault="007355BC" w:rsidP="007355BC">
      <w:pPr>
        <w:pStyle w:val="SCCNormalDoubleSpacing"/>
        <w:widowControl w:val="0"/>
        <w:spacing w:line="240" w:lineRule="auto"/>
        <w:rPr>
          <w:sz w:val="20"/>
        </w:rPr>
      </w:pPr>
    </w:p>
    <w:p w:rsidR="007355BC" w:rsidRDefault="007355BC" w:rsidP="007355BC">
      <w:pPr>
        <w:pStyle w:val="SCCNormalDoubleSpacing"/>
        <w:widowControl w:val="0"/>
        <w:spacing w:line="240" w:lineRule="auto"/>
        <w:rPr>
          <w:sz w:val="20"/>
        </w:rPr>
      </w:pPr>
      <w:r w:rsidRPr="0087346B">
        <w:rPr>
          <w:sz w:val="20"/>
        </w:rPr>
        <w:tab/>
        <w:t xml:space="preserve">The decision of the majority of the Federal Court of Appeal must be set aside for four reasons.  First, there is nothing in either the </w:t>
      </w:r>
      <w:r w:rsidRPr="0087346B">
        <w:rPr>
          <w:i/>
          <w:sz w:val="20"/>
        </w:rPr>
        <w:t>Public Service Employment Act</w:t>
      </w:r>
      <w:r w:rsidRPr="0087346B">
        <w:rPr>
          <w:sz w:val="20"/>
        </w:rPr>
        <w:t xml:space="preserve"> or the </w:t>
      </w:r>
      <w:r w:rsidRPr="0087346B">
        <w:rPr>
          <w:i/>
          <w:sz w:val="20"/>
        </w:rPr>
        <w:t>Public Service Employment Regulations</w:t>
      </w:r>
      <w:r w:rsidRPr="0087346B">
        <w:rPr>
          <w:sz w:val="20"/>
        </w:rPr>
        <w:t xml:space="preserve"> which requires a deputy head to utilize a particular selection process.  Second, the majority assessed the decision of the Public Service Staffing Tribunal against a claim that K did not make.  Third, the decision to send this case back to the Tribunal was based on the majority’s reading of the “principal justification” for the employer’s decision but the Tribunal made no finding as to what the employer’s “principal justification” may have been.  Finally, there was no realistic possibility that the Tribunal could find an irrational finding of fact in this case.</w:t>
      </w:r>
    </w:p>
    <w:p w:rsidR="007355BC" w:rsidRDefault="007355BC" w:rsidP="007355BC">
      <w:pPr>
        <w:pStyle w:val="SCCNormalDoubleSpacing"/>
        <w:widowControl w:val="0"/>
        <w:spacing w:line="240" w:lineRule="auto"/>
        <w:rPr>
          <w:sz w:val="20"/>
        </w:rPr>
      </w:pPr>
    </w:p>
    <w:p w:rsidR="007355BC" w:rsidRPr="0087346B" w:rsidRDefault="007355BC" w:rsidP="007355BC">
      <w:pPr>
        <w:pStyle w:val="SCCNormalDoubleSpacing"/>
        <w:widowControl w:val="0"/>
        <w:spacing w:line="240" w:lineRule="auto"/>
        <w:rPr>
          <w:sz w:val="20"/>
        </w:rPr>
      </w:pPr>
      <w:r w:rsidRPr="0087346B">
        <w:rPr>
          <w:sz w:val="20"/>
        </w:rPr>
        <w:tab/>
        <w:t>APPEAL from a judgment of the Federal Court of Appeal (Evans, Dawson and Stratas JJ.A.), 2011 FCA 19, 413 N.R. 351, 328 D.L.R. (4th) 193, 36 Admin. L.R. (5th) 48, [2011] F.C.J. No. 79 (QL), 2011 CarswellNat 103, setting aside a decision of Heneghan J., 2009 FC 740, 356 F.T.R. 127, [2009] F.C.J. No. 1396 (QL), 2009 CarswellNat 3528, dismissing an application for judicial review from a decision of the Public Service Staffing Tribunal, 2007 PSST 35 (CanLII). Appeal allowed.</w:t>
      </w:r>
    </w:p>
    <w:p w:rsidR="007355BC" w:rsidRDefault="007355BC" w:rsidP="007355BC">
      <w:pPr>
        <w:pStyle w:val="SCCNormalDoubleSpacing"/>
        <w:widowControl w:val="0"/>
        <w:spacing w:line="240" w:lineRule="auto"/>
        <w:rPr>
          <w:i/>
          <w:sz w:val="20"/>
        </w:rPr>
      </w:pPr>
    </w:p>
    <w:p w:rsidR="007355BC" w:rsidRPr="0087346B" w:rsidRDefault="007355BC" w:rsidP="007355BC">
      <w:pPr>
        <w:pStyle w:val="SCCNormalDoubleSpacing"/>
        <w:widowControl w:val="0"/>
        <w:spacing w:line="240" w:lineRule="auto"/>
        <w:rPr>
          <w:sz w:val="20"/>
        </w:rPr>
      </w:pPr>
      <w:r w:rsidRPr="0087346B">
        <w:rPr>
          <w:i/>
          <w:sz w:val="20"/>
        </w:rPr>
        <w:tab/>
      </w:r>
      <w:proofErr w:type="gramStart"/>
      <w:r w:rsidRPr="0087346B">
        <w:rPr>
          <w:i/>
          <w:sz w:val="20"/>
        </w:rPr>
        <w:t>Christopher Rupar</w:t>
      </w:r>
      <w:r w:rsidRPr="0087346B">
        <w:rPr>
          <w:sz w:val="20"/>
        </w:rPr>
        <w:t xml:space="preserve"> and </w:t>
      </w:r>
      <w:r w:rsidRPr="0087346B">
        <w:rPr>
          <w:i/>
          <w:sz w:val="20"/>
        </w:rPr>
        <w:t>François Joyal</w:t>
      </w:r>
      <w:r w:rsidRPr="0087346B">
        <w:rPr>
          <w:sz w:val="20"/>
        </w:rPr>
        <w:t>, for the appellant.</w:t>
      </w:r>
      <w:proofErr w:type="gramEnd"/>
    </w:p>
    <w:p w:rsidR="007355BC" w:rsidRDefault="007355BC" w:rsidP="007355BC">
      <w:pPr>
        <w:pStyle w:val="SCCNormalDoubleSpacing"/>
        <w:widowControl w:val="0"/>
        <w:spacing w:line="240" w:lineRule="auto"/>
        <w:rPr>
          <w:i/>
          <w:sz w:val="20"/>
        </w:rPr>
      </w:pPr>
    </w:p>
    <w:p w:rsidR="007355BC" w:rsidRPr="0087346B" w:rsidRDefault="007355BC" w:rsidP="007355BC">
      <w:pPr>
        <w:pStyle w:val="SCCNormalDoubleSpacing"/>
        <w:widowControl w:val="0"/>
        <w:spacing w:line="240" w:lineRule="auto"/>
        <w:rPr>
          <w:sz w:val="20"/>
        </w:rPr>
      </w:pPr>
      <w:r w:rsidRPr="0087346B">
        <w:rPr>
          <w:i/>
          <w:sz w:val="20"/>
        </w:rPr>
        <w:tab/>
      </w:r>
      <w:proofErr w:type="gramStart"/>
      <w:r w:rsidRPr="0087346B">
        <w:rPr>
          <w:i/>
          <w:sz w:val="20"/>
        </w:rPr>
        <w:t>Andrew Raven</w:t>
      </w:r>
      <w:r w:rsidRPr="0087346B">
        <w:rPr>
          <w:sz w:val="20"/>
        </w:rPr>
        <w:t xml:space="preserve"> and </w:t>
      </w:r>
      <w:r w:rsidRPr="0087346B">
        <w:rPr>
          <w:i/>
          <w:sz w:val="20"/>
        </w:rPr>
        <w:t>Andrew Astritis</w:t>
      </w:r>
      <w:r w:rsidRPr="0087346B">
        <w:rPr>
          <w:sz w:val="20"/>
        </w:rPr>
        <w:t>, for the respondent.</w:t>
      </w:r>
      <w:proofErr w:type="gramEnd"/>
    </w:p>
    <w:p w:rsidR="007355BC" w:rsidRDefault="007355BC" w:rsidP="007355BC">
      <w:pPr>
        <w:pStyle w:val="SCCLawFirm"/>
        <w:widowControl w:val="0"/>
        <w:spacing w:line="240" w:lineRule="auto"/>
        <w:rPr>
          <w:sz w:val="20"/>
        </w:rPr>
      </w:pPr>
    </w:p>
    <w:p w:rsidR="007355BC" w:rsidRPr="0087346B" w:rsidRDefault="007355BC" w:rsidP="007355BC">
      <w:pPr>
        <w:pStyle w:val="SCCLawFirm"/>
        <w:widowControl w:val="0"/>
        <w:spacing w:line="240" w:lineRule="auto"/>
        <w:rPr>
          <w:sz w:val="20"/>
        </w:rPr>
      </w:pPr>
      <w:r w:rsidRPr="0087346B">
        <w:rPr>
          <w:sz w:val="20"/>
        </w:rPr>
        <w:tab/>
        <w:t>Solicitor for the appellant:  Attorney General of Canada, Ottawa and Montréal.</w:t>
      </w:r>
    </w:p>
    <w:p w:rsidR="007355BC" w:rsidRDefault="007355BC" w:rsidP="007355BC">
      <w:pPr>
        <w:pStyle w:val="SCCLawFirm"/>
        <w:spacing w:line="240" w:lineRule="auto"/>
        <w:rPr>
          <w:sz w:val="20"/>
        </w:rPr>
      </w:pPr>
    </w:p>
    <w:p w:rsidR="007355BC" w:rsidRDefault="007355BC" w:rsidP="007355BC">
      <w:pPr>
        <w:pStyle w:val="SCCLawFirm"/>
        <w:spacing w:line="240" w:lineRule="auto"/>
        <w:rPr>
          <w:sz w:val="20"/>
        </w:rPr>
      </w:pPr>
      <w:r w:rsidRPr="0087346B">
        <w:rPr>
          <w:sz w:val="20"/>
        </w:rPr>
        <w:tab/>
        <w:t xml:space="preserve">Solicitors for the respondent:  Raven, Cameron, Ballantyne &amp; Yazbeck, </w:t>
      </w:r>
      <w:proofErr w:type="gramStart"/>
      <w:r w:rsidRPr="0087346B">
        <w:rPr>
          <w:sz w:val="20"/>
        </w:rPr>
        <w:t>Ottawa</w:t>
      </w:r>
      <w:proofErr w:type="gramEnd"/>
      <w:r w:rsidRPr="0087346B">
        <w:rPr>
          <w:sz w:val="20"/>
        </w:rPr>
        <w:t>.</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355BC" w:rsidRPr="007B77EA" w:rsidRDefault="007355BC" w:rsidP="007355BC">
      <w:pPr>
        <w:jc w:val="both"/>
        <w:rPr>
          <w:sz w:val="20"/>
          <w:szCs w:val="20"/>
          <w:lang w:val="fr-CA"/>
        </w:rPr>
      </w:pPr>
      <w:r w:rsidRPr="007B77EA">
        <w:rPr>
          <w:sz w:val="20"/>
          <w:szCs w:val="20"/>
          <w:lang w:val="fr-CA"/>
        </w:rPr>
        <w:t>Présents : La juge en chef McLachlin et les juges LeBel, Abella, Rothstein, Cromwell, Moldaver et Karakatsanis.</w:t>
      </w:r>
    </w:p>
    <w:p w:rsidR="007355BC" w:rsidRDefault="007355BC" w:rsidP="007355BC">
      <w:pPr>
        <w:jc w:val="both"/>
        <w:rPr>
          <w:smallCaps/>
          <w:sz w:val="20"/>
          <w:lang w:val="fr-CA"/>
        </w:rPr>
      </w:pPr>
    </w:p>
    <w:p w:rsidR="007355BC" w:rsidRPr="007B77EA" w:rsidRDefault="007355BC" w:rsidP="007355BC">
      <w:pPr>
        <w:pStyle w:val="SCCNormalDoubleSpacing"/>
        <w:spacing w:line="240" w:lineRule="auto"/>
        <w:rPr>
          <w:i/>
          <w:sz w:val="20"/>
          <w:lang w:val="fr-CA"/>
        </w:rPr>
      </w:pPr>
      <w:r w:rsidRPr="007B77EA">
        <w:rPr>
          <w:sz w:val="20"/>
          <w:lang w:val="fr-CA"/>
        </w:rPr>
        <w:tab/>
      </w:r>
      <w:r w:rsidRPr="007B77EA">
        <w:rPr>
          <w:i/>
          <w:sz w:val="20"/>
          <w:lang w:val="fr-CA"/>
        </w:rPr>
        <w:t>Droit administratif — Contrôle judiciaire — Norme de contrôle — Conclusion du Tribunal de la dotation de la fonction publique portant que la décision de l’employeur de doter le poste au moyen d’un processus de nomination annoncé ne constituait pas un abus de pouvoir — Est</w:t>
      </w:r>
      <w:r w:rsidRPr="007B77EA">
        <w:rPr>
          <w:i/>
          <w:sz w:val="20"/>
          <w:lang w:val="fr-CA"/>
        </w:rPr>
        <w:noBreakHyphen/>
        <w:t xml:space="preserve">ce que la décision du Tribunal est susceptible de contrôle suivant la norme de la décision raisonnable? </w:t>
      </w:r>
    </w:p>
    <w:p w:rsidR="007355BC" w:rsidRDefault="007355BC" w:rsidP="007355BC">
      <w:pPr>
        <w:pStyle w:val="SCCNormalDoubleSpacing"/>
        <w:spacing w:line="240" w:lineRule="auto"/>
        <w:rPr>
          <w:sz w:val="20"/>
          <w:lang w:val="fr-CA"/>
        </w:rPr>
      </w:pPr>
    </w:p>
    <w:p w:rsidR="007355BC" w:rsidRPr="007B77EA" w:rsidRDefault="007355BC" w:rsidP="007355BC">
      <w:pPr>
        <w:pStyle w:val="SCCNormalDoubleSpacing"/>
        <w:spacing w:line="240" w:lineRule="auto"/>
        <w:rPr>
          <w:sz w:val="20"/>
          <w:lang w:val="fr-CA"/>
        </w:rPr>
      </w:pPr>
      <w:r w:rsidRPr="007B77EA">
        <w:rPr>
          <w:sz w:val="20"/>
          <w:lang w:val="fr-CA"/>
        </w:rPr>
        <w:tab/>
        <w:t>K travaillait pour Service Canada et occupait un poste classé au niveau PM</w:t>
      </w:r>
      <w:r w:rsidRPr="007B77EA">
        <w:rPr>
          <w:sz w:val="20"/>
          <w:lang w:val="fr-CA"/>
        </w:rPr>
        <w:noBreakHyphen/>
        <w:t>05.  Dans le cadre d’une réorganisation, le poste de gestionnaire régional de niveau PM</w:t>
      </w:r>
      <w:r w:rsidRPr="007B77EA">
        <w:rPr>
          <w:sz w:val="20"/>
          <w:lang w:val="fr-CA"/>
        </w:rPr>
        <w:noBreakHyphen/>
        <w:t xml:space="preserve">06 a été créé.  L’employeur a décidé de doter ce poste au moyen d’un processus de nomination interne annoncé.  K a participé au concours, mais il a échoué à un examen obligatoire.  Il a déposé auprès du Tribunal de la dotation de la fonction publique une plainte reprochant un abus d’autorité au sens de la </w:t>
      </w:r>
      <w:r w:rsidRPr="007B77EA">
        <w:rPr>
          <w:i/>
          <w:sz w:val="20"/>
          <w:lang w:val="fr-CA"/>
        </w:rPr>
        <w:t>Loi sur l’emploi dans la fonction publique</w:t>
      </w:r>
      <w:r w:rsidRPr="007B77EA">
        <w:rPr>
          <w:sz w:val="20"/>
          <w:lang w:val="fr-CA"/>
        </w:rPr>
        <w:t>.  Le Tribunal a rejeté la plainte de K, au motif que ce dernier n’avait pas établi l’existence d’un abus de pouvoir.  La Cour fédérale a confirmé la décision du Tribunal.  La Cour d’appel fédérale a accueilli l’appel formé devant elle et renvoyé l’affaire au Tribunal.</w:t>
      </w:r>
    </w:p>
    <w:p w:rsidR="007355BC" w:rsidRDefault="007355BC" w:rsidP="007355BC">
      <w:pPr>
        <w:pStyle w:val="SCCNormalDoubleSpacing"/>
        <w:spacing w:line="240" w:lineRule="auto"/>
        <w:rPr>
          <w:sz w:val="20"/>
          <w:lang w:val="fr-CA"/>
        </w:rPr>
      </w:pPr>
    </w:p>
    <w:p w:rsidR="007355BC" w:rsidRPr="007B77EA" w:rsidRDefault="007355BC" w:rsidP="007355BC">
      <w:pPr>
        <w:pStyle w:val="SCCNormalDoubleSpacing"/>
        <w:spacing w:line="240" w:lineRule="auto"/>
        <w:rPr>
          <w:sz w:val="20"/>
          <w:lang w:val="fr-CA"/>
        </w:rPr>
      </w:pPr>
      <w:r w:rsidRPr="007B77EA">
        <w:rPr>
          <w:sz w:val="20"/>
          <w:lang w:val="fr-CA"/>
        </w:rPr>
        <w:tab/>
      </w:r>
      <w:r w:rsidRPr="007B77EA">
        <w:rPr>
          <w:i/>
          <w:sz w:val="20"/>
          <w:lang w:val="fr-CA"/>
        </w:rPr>
        <w:t>Arrêt</w:t>
      </w:r>
      <w:r w:rsidRPr="007B77EA">
        <w:rPr>
          <w:sz w:val="20"/>
          <w:lang w:val="fr-CA"/>
        </w:rPr>
        <w:t> : L’appel est accueilli et la décision du Tribunal est confirmée.</w:t>
      </w:r>
    </w:p>
    <w:p w:rsidR="007355BC" w:rsidRDefault="007355BC" w:rsidP="007355BC">
      <w:pPr>
        <w:pStyle w:val="SCCNormalDoubleSpacing"/>
        <w:spacing w:line="240" w:lineRule="auto"/>
        <w:rPr>
          <w:sz w:val="20"/>
          <w:lang w:val="fr-CA"/>
        </w:rPr>
      </w:pPr>
    </w:p>
    <w:p w:rsidR="007355BC" w:rsidRDefault="007355BC" w:rsidP="007355BC">
      <w:pPr>
        <w:pStyle w:val="SCCNormalDoubleSpacing"/>
        <w:spacing w:line="240" w:lineRule="auto"/>
        <w:rPr>
          <w:sz w:val="20"/>
          <w:lang w:val="fr-CA"/>
        </w:rPr>
      </w:pPr>
      <w:r w:rsidRPr="007B77EA">
        <w:rPr>
          <w:sz w:val="20"/>
          <w:lang w:val="fr-CA"/>
        </w:rPr>
        <w:tab/>
        <w:t xml:space="preserve">La décision des juges majoritaires de la Cour d’appel fédérale doit être annulée, et ce, pour quatre raisons.  Premièrement, rien dans la </w:t>
      </w:r>
      <w:r w:rsidRPr="007B77EA">
        <w:rPr>
          <w:i/>
          <w:sz w:val="20"/>
          <w:lang w:val="fr-CA"/>
        </w:rPr>
        <w:t>Loi sur l’emploi dans la fonction publique</w:t>
      </w:r>
      <w:r w:rsidRPr="007B77EA">
        <w:rPr>
          <w:sz w:val="20"/>
          <w:lang w:val="fr-CA"/>
        </w:rPr>
        <w:t xml:space="preserve"> ou dans le </w:t>
      </w:r>
      <w:r w:rsidRPr="007B77EA">
        <w:rPr>
          <w:i/>
          <w:sz w:val="20"/>
          <w:lang w:val="fr-CA"/>
        </w:rPr>
        <w:t>Règlement sur l’emploi dans la fonction publique</w:t>
      </w:r>
      <w:r w:rsidRPr="007B77EA">
        <w:rPr>
          <w:sz w:val="20"/>
          <w:lang w:val="fr-CA"/>
        </w:rPr>
        <w:t xml:space="preserve"> n’oblige un administrateur général à utiliser un processus de sélection en particulier.  Deuxièmement, les juges majoritaires ont évalué la décision du Tribunal à la lumière d’un argument que K n’a pas soulevé.  Troisièmement, la décision de renvoyer l’affaire au Tribunal découlait de la conclusion tirée par les juges majoritaires relativement à la « principale raison » justifiant la décision de l’employeur, mais le Tribunal n’a tiré aucune conclusion sur ce qu’a pu être la « principale raison » de l’employeur pour agir comme il l’a fait.  Enfin, il n’existait aucune possibilité véritable que le Tribunal trouve une conclusion de fait irrationnelle en l’espèce.</w:t>
      </w:r>
    </w:p>
    <w:p w:rsidR="007355BC" w:rsidRDefault="007355BC" w:rsidP="007355BC">
      <w:pPr>
        <w:pStyle w:val="SCCNormalDoubleSpacing"/>
        <w:spacing w:line="240" w:lineRule="auto"/>
        <w:rPr>
          <w:sz w:val="20"/>
          <w:lang w:val="fr-CA"/>
        </w:rPr>
      </w:pPr>
    </w:p>
    <w:p w:rsidR="007355BC" w:rsidRPr="007B77EA" w:rsidRDefault="007355BC" w:rsidP="007355BC">
      <w:pPr>
        <w:pStyle w:val="SCCNormalDoubleSpacing"/>
        <w:spacing w:line="240" w:lineRule="auto"/>
        <w:rPr>
          <w:sz w:val="20"/>
          <w:lang w:val="fr-CA"/>
        </w:rPr>
      </w:pPr>
      <w:r w:rsidRPr="007B77EA">
        <w:rPr>
          <w:sz w:val="20"/>
          <w:lang w:val="fr-CA"/>
        </w:rPr>
        <w:tab/>
        <w:t>POURVOI contre un arrêt de la Cour d’appel fédérale (les juges Evans, Dawson et Stratas), 2011 CAF 19, 413 N.R. 351, 328 D.L.R. (4th) 193, 36 Admin. L.R. (5th) 48, [2011] A.C.F. n</w:t>
      </w:r>
      <w:r w:rsidRPr="007B77EA">
        <w:rPr>
          <w:sz w:val="20"/>
          <w:vertAlign w:val="superscript"/>
          <w:lang w:val="fr-CA"/>
        </w:rPr>
        <w:t>o </w:t>
      </w:r>
      <w:r w:rsidRPr="007B77EA">
        <w:rPr>
          <w:sz w:val="20"/>
          <w:lang w:val="fr-CA"/>
        </w:rPr>
        <w:t>79 (QL), 2011 CarswellNat 2679, qui a infirmé une décision de la juge Heneghan, 2009 CF 740, 356 F.T.R. 127, [2009] A.C.F. n</w:t>
      </w:r>
      <w:r w:rsidRPr="007B77EA">
        <w:rPr>
          <w:sz w:val="20"/>
          <w:vertAlign w:val="superscript"/>
          <w:lang w:val="fr-CA"/>
        </w:rPr>
        <w:t>o</w:t>
      </w:r>
      <w:r w:rsidRPr="007B77EA">
        <w:rPr>
          <w:sz w:val="20"/>
          <w:lang w:val="fr-CA"/>
        </w:rPr>
        <w:t> 1396 (QL), 2009 CarswellNat 4907, ayant rejeté la demande de contrôle judiciaire d’une décision du Tribunal de la dotation de la fonction publique, 2007 TDFP 35 (CanLII). Pourvoi accueilli.</w:t>
      </w:r>
    </w:p>
    <w:p w:rsidR="007355BC" w:rsidRDefault="007355BC" w:rsidP="007355BC">
      <w:pPr>
        <w:pStyle w:val="SCCNormalDoubleSpacing"/>
        <w:spacing w:line="240" w:lineRule="auto"/>
        <w:rPr>
          <w:i/>
          <w:sz w:val="20"/>
          <w:lang w:val="fr-CA"/>
        </w:rPr>
      </w:pPr>
    </w:p>
    <w:p w:rsidR="007355BC" w:rsidRPr="007B77EA" w:rsidRDefault="007355BC" w:rsidP="007355BC">
      <w:pPr>
        <w:pStyle w:val="SCCNormalDoubleSpacing"/>
        <w:spacing w:line="240" w:lineRule="auto"/>
        <w:rPr>
          <w:sz w:val="20"/>
          <w:lang w:val="fr-CA"/>
        </w:rPr>
      </w:pPr>
      <w:r w:rsidRPr="007B77EA">
        <w:rPr>
          <w:i/>
          <w:sz w:val="20"/>
          <w:lang w:val="fr-CA"/>
        </w:rPr>
        <w:tab/>
        <w:t>Christopher Rupar</w:t>
      </w:r>
      <w:r w:rsidRPr="007B77EA">
        <w:rPr>
          <w:sz w:val="20"/>
          <w:lang w:val="fr-CA"/>
        </w:rPr>
        <w:t xml:space="preserve"> et </w:t>
      </w:r>
      <w:r w:rsidRPr="007B77EA">
        <w:rPr>
          <w:i/>
          <w:sz w:val="20"/>
          <w:lang w:val="fr-CA"/>
        </w:rPr>
        <w:t>François Joyal</w:t>
      </w:r>
      <w:r w:rsidRPr="007B77EA">
        <w:rPr>
          <w:sz w:val="20"/>
          <w:lang w:val="fr-CA"/>
        </w:rPr>
        <w:t>, pour l’appelant.</w:t>
      </w:r>
    </w:p>
    <w:p w:rsidR="007355BC" w:rsidRDefault="007355BC" w:rsidP="007355BC">
      <w:pPr>
        <w:pStyle w:val="SCCNormalDoubleSpacing"/>
        <w:spacing w:line="240" w:lineRule="auto"/>
        <w:rPr>
          <w:i/>
          <w:sz w:val="20"/>
          <w:lang w:val="fr-CA"/>
        </w:rPr>
      </w:pPr>
    </w:p>
    <w:p w:rsidR="007355BC" w:rsidRPr="007B77EA" w:rsidRDefault="007355BC" w:rsidP="007355BC">
      <w:pPr>
        <w:pStyle w:val="SCCNormalDoubleSpacing"/>
        <w:spacing w:line="240" w:lineRule="auto"/>
        <w:rPr>
          <w:sz w:val="20"/>
          <w:lang w:val="fr-CA"/>
        </w:rPr>
      </w:pPr>
      <w:r w:rsidRPr="007B77EA">
        <w:rPr>
          <w:i/>
          <w:sz w:val="20"/>
          <w:lang w:val="fr-CA"/>
        </w:rPr>
        <w:tab/>
        <w:t>Andrew Raven</w:t>
      </w:r>
      <w:r w:rsidRPr="007B77EA">
        <w:rPr>
          <w:sz w:val="20"/>
          <w:lang w:val="fr-CA"/>
        </w:rPr>
        <w:t xml:space="preserve"> et </w:t>
      </w:r>
      <w:r w:rsidRPr="007B77EA">
        <w:rPr>
          <w:i/>
          <w:sz w:val="20"/>
          <w:lang w:val="fr-CA"/>
        </w:rPr>
        <w:t>Andrew Astritis</w:t>
      </w:r>
      <w:r w:rsidRPr="007B77EA">
        <w:rPr>
          <w:sz w:val="20"/>
          <w:lang w:val="fr-CA"/>
        </w:rPr>
        <w:t>, pour l’intimé.</w:t>
      </w:r>
    </w:p>
    <w:p w:rsidR="007355BC" w:rsidRDefault="007355BC" w:rsidP="007355BC">
      <w:pPr>
        <w:pStyle w:val="SCCLawFirm"/>
        <w:spacing w:line="240" w:lineRule="auto"/>
        <w:rPr>
          <w:sz w:val="20"/>
          <w:lang w:val="fr-CA"/>
        </w:rPr>
      </w:pPr>
    </w:p>
    <w:p w:rsidR="007355BC" w:rsidRPr="007B77EA" w:rsidRDefault="007355BC" w:rsidP="007355BC">
      <w:pPr>
        <w:pStyle w:val="SCCLawFirm"/>
        <w:spacing w:line="240" w:lineRule="auto"/>
        <w:rPr>
          <w:sz w:val="20"/>
          <w:lang w:val="fr-CA"/>
        </w:rPr>
      </w:pPr>
      <w:r w:rsidRPr="007B77EA">
        <w:rPr>
          <w:sz w:val="20"/>
          <w:lang w:val="fr-CA"/>
        </w:rPr>
        <w:tab/>
        <w:t>Procureur de l’appelant : Procureur général du Canada, Ottawa et Montréal.</w:t>
      </w:r>
    </w:p>
    <w:p w:rsidR="007355BC" w:rsidRDefault="007355BC" w:rsidP="007355BC">
      <w:pPr>
        <w:pStyle w:val="SCCLawFirm"/>
        <w:spacing w:line="240" w:lineRule="auto"/>
        <w:rPr>
          <w:sz w:val="20"/>
          <w:lang w:val="fr-CA"/>
        </w:rPr>
      </w:pPr>
    </w:p>
    <w:p w:rsidR="007355BC" w:rsidRDefault="007355BC" w:rsidP="007355BC">
      <w:pPr>
        <w:pStyle w:val="SCCLawFirm"/>
        <w:spacing w:line="240" w:lineRule="auto"/>
        <w:rPr>
          <w:sz w:val="20"/>
          <w:lang w:val="fr-CA"/>
        </w:rPr>
      </w:pPr>
      <w:r w:rsidRPr="007B77EA">
        <w:rPr>
          <w:sz w:val="20"/>
          <w:lang w:val="fr-CA"/>
        </w:rPr>
        <w:tab/>
        <w:t>Procureurs de l’intimé : Raven, Cameron, Ballantyne &amp; Yazbeck, Ottawa.</w:t>
      </w:r>
    </w:p>
    <w:p w:rsidR="007355BC" w:rsidRDefault="007355BC" w:rsidP="005C6840">
      <w:pPr>
        <w:jc w:val="both"/>
        <w:rPr>
          <w:rFonts w:cs="Times New Roman"/>
          <w:sz w:val="20"/>
          <w:szCs w:val="20"/>
          <w:lang w:val="fr-CA"/>
        </w:rPr>
      </w:pPr>
    </w:p>
    <w:p w:rsidR="00762224" w:rsidRDefault="00DB239D" w:rsidP="005C6840">
      <w:pPr>
        <w:rPr>
          <w:rFonts w:cs="Times New Roman"/>
          <w:sz w:val="20"/>
          <w:szCs w:val="20"/>
          <w:lang w:val="fr-CA"/>
        </w:rPr>
      </w:pPr>
      <w:r w:rsidRPr="00DB239D">
        <w:rPr>
          <w:rFonts w:cs="Times New Roman"/>
          <w:sz w:val="20"/>
          <w:szCs w:val="20"/>
          <w:lang w:val="fr-CA"/>
        </w:rPr>
        <w:pict>
          <v:rect id="_x0000_i1110" style="width:144.3pt;height:1pt" o:hrpct="300" o:hralign="center" o:hrstd="t" o:hrnoshade="t" o:hr="t" fillcolor="black [3213]" stroked="f"/>
        </w:pict>
      </w:r>
    </w:p>
    <w:p w:rsidR="00762224" w:rsidRDefault="00762224" w:rsidP="005C6840">
      <w:pPr>
        <w:rPr>
          <w:rFonts w:cs="Times New Roman"/>
          <w:sz w:val="20"/>
          <w:szCs w:val="20"/>
          <w:lang w:val="fr-CA"/>
        </w:rPr>
      </w:pPr>
    </w:p>
    <w:p w:rsidR="00762224" w:rsidRDefault="00762224" w:rsidP="005C6840">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CB1B28">
            <w:pPr>
              <w:keepNext/>
              <w:keepLines/>
              <w:rPr>
                <w:b/>
                <w:szCs w:val="24"/>
              </w:rPr>
            </w:pPr>
            <w:r w:rsidRPr="00C50A5C">
              <w:rPr>
                <w:b/>
                <w:szCs w:val="24"/>
              </w:rPr>
              <w:t xml:space="preserve">AGENDA FOR </w:t>
            </w:r>
            <w:r w:rsidR="00CB1B28">
              <w:rPr>
                <w:b/>
                <w:szCs w:val="24"/>
              </w:rPr>
              <w:t>DECEMB</w:t>
            </w:r>
            <w:r w:rsidRPr="00C50A5C">
              <w:rPr>
                <w:b/>
                <w:szCs w:val="24"/>
              </w:rPr>
              <w:t>ER</w:t>
            </w:r>
            <w:r w:rsidR="00CB1B28">
              <w:rPr>
                <w:b/>
                <w:szCs w:val="24"/>
              </w:rPr>
              <w:t xml:space="preserve">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BF542F">
            <w:pPr>
              <w:keepNext/>
              <w:keepLines/>
              <w:rPr>
                <w:b/>
                <w:szCs w:val="24"/>
                <w:lang w:val="fr-CA"/>
              </w:rPr>
            </w:pPr>
            <w:r w:rsidRPr="00C50A5C">
              <w:rPr>
                <w:b/>
                <w:szCs w:val="24"/>
                <w:lang w:val="fr-CA"/>
              </w:rPr>
              <w:t xml:space="preserve">CALENDRIER DE </w:t>
            </w:r>
            <w:r w:rsidR="00CB1B28">
              <w:rPr>
                <w:b/>
                <w:szCs w:val="24"/>
                <w:lang w:val="fr-CA"/>
              </w:rPr>
              <w:t>DÉC</w:t>
            </w:r>
            <w:r w:rsidRPr="00C50A5C">
              <w:rPr>
                <w:b/>
                <w:szCs w:val="24"/>
                <w:lang w:val="fr-CA"/>
              </w:rPr>
              <w:t>E</w:t>
            </w:r>
            <w:r w:rsidR="00CB1B28">
              <w:rPr>
                <w:b/>
                <w:szCs w:val="24"/>
                <w:lang w:val="fr-CA"/>
              </w:rPr>
              <w:t>MB</w:t>
            </w:r>
            <w:r w:rsidRPr="00C50A5C">
              <w:rPr>
                <w:b/>
                <w:szCs w:val="24"/>
                <w:lang w:val="fr-CA"/>
              </w:rPr>
              <w:t>RE</w:t>
            </w:r>
            <w:r w:rsidR="00CB1B28">
              <w:rPr>
                <w:b/>
                <w:szCs w:val="24"/>
                <w:lang w:val="fr-CA"/>
              </w:rPr>
              <w:t xml:space="preserve"> 2012</w:t>
            </w:r>
          </w:p>
        </w:tc>
      </w:tr>
    </w:tbl>
    <w:p w:rsidR="004B66B4" w:rsidRPr="00DD0B49" w:rsidRDefault="004B66B4" w:rsidP="004B66B4">
      <w:pPr>
        <w:rPr>
          <w:b/>
          <w:sz w:val="20"/>
          <w:szCs w:val="20"/>
        </w:rPr>
      </w:pPr>
    </w:p>
    <w:p w:rsidR="00CB1B28" w:rsidRPr="00DD0B49" w:rsidRDefault="00CB1B28" w:rsidP="00CB1B28">
      <w:pPr>
        <w:rPr>
          <w:b/>
          <w:sz w:val="20"/>
          <w:szCs w:val="20"/>
        </w:rPr>
      </w:pPr>
      <w:proofErr w:type="gramStart"/>
      <w:r w:rsidRPr="00DD0B49">
        <w:rPr>
          <w:b/>
          <w:sz w:val="20"/>
          <w:szCs w:val="20"/>
        </w:rPr>
        <w:t xml:space="preserve">AGENDA for the weeks of </w:t>
      </w:r>
      <w:r>
        <w:rPr>
          <w:b/>
          <w:sz w:val="20"/>
          <w:szCs w:val="20"/>
        </w:rPr>
        <w:t>Dec</w:t>
      </w:r>
      <w:r w:rsidRPr="00DD0B49">
        <w:rPr>
          <w:b/>
          <w:sz w:val="20"/>
          <w:szCs w:val="20"/>
        </w:rPr>
        <w:t xml:space="preserve">ember </w:t>
      </w:r>
      <w:r>
        <w:rPr>
          <w:b/>
          <w:sz w:val="20"/>
          <w:szCs w:val="20"/>
        </w:rPr>
        <w:t>3</w:t>
      </w:r>
      <w:r w:rsidRPr="00DD0B49">
        <w:rPr>
          <w:b/>
          <w:sz w:val="20"/>
          <w:szCs w:val="20"/>
        </w:rPr>
        <w:t xml:space="preserve"> and </w:t>
      </w:r>
      <w:r>
        <w:rPr>
          <w:b/>
          <w:sz w:val="20"/>
          <w:szCs w:val="20"/>
        </w:rPr>
        <w:t>10</w:t>
      </w:r>
      <w:r w:rsidRPr="00DD0B49">
        <w:rPr>
          <w:b/>
          <w:sz w:val="20"/>
          <w:szCs w:val="20"/>
        </w:rPr>
        <w:t>, 201</w:t>
      </w:r>
      <w:r>
        <w:rPr>
          <w:b/>
          <w:sz w:val="20"/>
          <w:szCs w:val="20"/>
        </w:rPr>
        <w:t>2</w:t>
      </w:r>
      <w:r w:rsidRPr="00DD0B49">
        <w:rPr>
          <w:b/>
          <w:sz w:val="20"/>
          <w:szCs w:val="20"/>
        </w:rPr>
        <w:t>.</w:t>
      </w:r>
      <w:proofErr w:type="gramEnd"/>
    </w:p>
    <w:p w:rsidR="00CB1B28" w:rsidRPr="00DD0B49" w:rsidRDefault="00CB1B28" w:rsidP="00CB1B28">
      <w:pPr>
        <w:rPr>
          <w:sz w:val="20"/>
          <w:szCs w:val="20"/>
          <w:lang w:val="fr-CA"/>
        </w:rPr>
      </w:pPr>
      <w:r w:rsidRPr="00DD0B49">
        <w:rPr>
          <w:b/>
          <w:sz w:val="20"/>
          <w:szCs w:val="20"/>
          <w:lang w:val="fr-CA"/>
        </w:rPr>
        <w:t xml:space="preserve">CALENDRIER de la semaine du </w:t>
      </w:r>
      <w:r>
        <w:rPr>
          <w:b/>
          <w:sz w:val="20"/>
          <w:szCs w:val="20"/>
          <w:lang w:val="fr-CA"/>
        </w:rPr>
        <w:t>3</w:t>
      </w:r>
      <w:r w:rsidRPr="00DD0B49">
        <w:rPr>
          <w:b/>
          <w:sz w:val="20"/>
          <w:szCs w:val="20"/>
          <w:lang w:val="fr-CA"/>
        </w:rPr>
        <w:t xml:space="preserve"> </w:t>
      </w:r>
      <w:r>
        <w:rPr>
          <w:b/>
          <w:sz w:val="20"/>
          <w:szCs w:val="20"/>
          <w:lang w:val="fr-CA"/>
        </w:rPr>
        <w:t>déce</w:t>
      </w:r>
      <w:r w:rsidRPr="00DD0B49">
        <w:rPr>
          <w:b/>
          <w:sz w:val="20"/>
          <w:szCs w:val="20"/>
          <w:lang w:val="fr-CA"/>
        </w:rPr>
        <w:t xml:space="preserve">mbre et celle du </w:t>
      </w:r>
      <w:r>
        <w:rPr>
          <w:b/>
          <w:sz w:val="20"/>
          <w:szCs w:val="20"/>
          <w:lang w:val="fr-CA"/>
        </w:rPr>
        <w:t>10</w:t>
      </w:r>
      <w:r w:rsidRPr="00DD0B49">
        <w:rPr>
          <w:b/>
          <w:sz w:val="20"/>
          <w:szCs w:val="20"/>
          <w:lang w:val="fr-CA"/>
        </w:rPr>
        <w:t xml:space="preserve"> </w:t>
      </w:r>
      <w:r>
        <w:rPr>
          <w:b/>
          <w:sz w:val="20"/>
          <w:szCs w:val="20"/>
          <w:lang w:val="fr-CA"/>
        </w:rPr>
        <w:t>déc</w:t>
      </w:r>
      <w:r w:rsidRPr="00DD0B49">
        <w:rPr>
          <w:b/>
          <w:sz w:val="20"/>
          <w:szCs w:val="20"/>
          <w:lang w:val="fr-CA"/>
        </w:rPr>
        <w:t>embre 201</w:t>
      </w:r>
      <w:r>
        <w:rPr>
          <w:b/>
          <w:sz w:val="20"/>
          <w:szCs w:val="20"/>
          <w:lang w:val="fr-CA"/>
        </w:rPr>
        <w:t>2</w:t>
      </w:r>
      <w:r w:rsidRPr="00DD0B49">
        <w:rPr>
          <w:b/>
          <w:sz w:val="20"/>
          <w:szCs w:val="20"/>
          <w:lang w:val="fr-CA"/>
        </w:rPr>
        <w:t>.</w:t>
      </w:r>
    </w:p>
    <w:p w:rsidR="00CB1B28" w:rsidRPr="00DD0B49" w:rsidRDefault="00CB1B28" w:rsidP="00CB1B28">
      <w:pPr>
        <w:rPr>
          <w:sz w:val="20"/>
          <w:szCs w:val="20"/>
          <w:lang w:val="fr-CA"/>
        </w:rPr>
      </w:pPr>
    </w:p>
    <w:p w:rsidR="00CB1B28" w:rsidRPr="00DD0B49" w:rsidRDefault="00CB1B28" w:rsidP="00CB1B28">
      <w:pPr>
        <w:rPr>
          <w:sz w:val="20"/>
          <w:szCs w:val="20"/>
        </w:rPr>
      </w:pPr>
      <w:r w:rsidRPr="00DD0B49">
        <w:rPr>
          <w:sz w:val="20"/>
          <w:szCs w:val="20"/>
        </w:rPr>
        <w:t xml:space="preserve">The Court will not be sitting during the weeks of </w:t>
      </w:r>
      <w:r>
        <w:rPr>
          <w:sz w:val="20"/>
          <w:szCs w:val="20"/>
        </w:rPr>
        <w:t>Dec</w:t>
      </w:r>
      <w:r w:rsidRPr="00DD0B49">
        <w:rPr>
          <w:sz w:val="20"/>
          <w:szCs w:val="20"/>
        </w:rPr>
        <w:t>ember 1</w:t>
      </w:r>
      <w:r>
        <w:rPr>
          <w:sz w:val="20"/>
          <w:szCs w:val="20"/>
        </w:rPr>
        <w:t>7, 24</w:t>
      </w:r>
      <w:r w:rsidRPr="00DD0B49">
        <w:rPr>
          <w:sz w:val="20"/>
          <w:szCs w:val="20"/>
        </w:rPr>
        <w:t xml:space="preserve"> and </w:t>
      </w:r>
      <w:r>
        <w:rPr>
          <w:sz w:val="20"/>
          <w:szCs w:val="20"/>
        </w:rPr>
        <w:t>31</w:t>
      </w:r>
      <w:r w:rsidRPr="00DD0B49">
        <w:rPr>
          <w:sz w:val="20"/>
          <w:szCs w:val="20"/>
        </w:rPr>
        <w:t>, 201</w:t>
      </w:r>
      <w:r>
        <w:rPr>
          <w:sz w:val="20"/>
          <w:szCs w:val="20"/>
        </w:rPr>
        <w:t>2</w:t>
      </w:r>
      <w:r w:rsidRPr="00DD0B49">
        <w:rPr>
          <w:sz w:val="20"/>
          <w:szCs w:val="20"/>
        </w:rPr>
        <w:t>.</w:t>
      </w:r>
    </w:p>
    <w:p w:rsidR="00CB1B28" w:rsidRPr="00DD0B49" w:rsidRDefault="00CB1B28" w:rsidP="00CB1B28">
      <w:pPr>
        <w:rPr>
          <w:sz w:val="20"/>
          <w:szCs w:val="20"/>
          <w:lang w:val="fr-CA"/>
        </w:rPr>
      </w:pPr>
      <w:r w:rsidRPr="00DD0B49">
        <w:rPr>
          <w:sz w:val="20"/>
          <w:szCs w:val="20"/>
          <w:lang w:val="fr-CA"/>
        </w:rPr>
        <w:t>La Cour ne siègera pas pendant les semaines du 1</w:t>
      </w:r>
      <w:r>
        <w:rPr>
          <w:sz w:val="20"/>
          <w:szCs w:val="20"/>
          <w:lang w:val="fr-CA"/>
        </w:rPr>
        <w:t>7, 24</w:t>
      </w:r>
      <w:r w:rsidRPr="00DD0B49">
        <w:rPr>
          <w:sz w:val="20"/>
          <w:szCs w:val="20"/>
          <w:lang w:val="fr-CA"/>
        </w:rPr>
        <w:t xml:space="preserve"> et du </w:t>
      </w:r>
      <w:r>
        <w:rPr>
          <w:sz w:val="20"/>
          <w:szCs w:val="20"/>
          <w:lang w:val="fr-CA"/>
        </w:rPr>
        <w:t>31</w:t>
      </w:r>
      <w:r w:rsidRPr="00DD0B49">
        <w:rPr>
          <w:sz w:val="20"/>
          <w:szCs w:val="20"/>
          <w:lang w:val="fr-CA"/>
        </w:rPr>
        <w:t xml:space="preserve"> </w:t>
      </w:r>
      <w:r>
        <w:rPr>
          <w:sz w:val="20"/>
          <w:szCs w:val="20"/>
          <w:lang w:val="fr-CA"/>
        </w:rPr>
        <w:t>déc</w:t>
      </w:r>
      <w:r w:rsidRPr="00DD0B49">
        <w:rPr>
          <w:sz w:val="20"/>
          <w:szCs w:val="20"/>
          <w:lang w:val="fr-CA"/>
        </w:rPr>
        <w:t>embre 201</w:t>
      </w:r>
      <w:r>
        <w:rPr>
          <w:sz w:val="20"/>
          <w:szCs w:val="20"/>
          <w:lang w:val="fr-CA"/>
        </w:rPr>
        <w:t>2</w:t>
      </w:r>
      <w:r w:rsidRPr="00DD0B49">
        <w:rPr>
          <w:sz w:val="20"/>
          <w:szCs w:val="20"/>
          <w:lang w:val="fr-CA"/>
        </w:rPr>
        <w:t>.</w:t>
      </w:r>
    </w:p>
    <w:p w:rsidR="00CB1B28" w:rsidRPr="00DD0B49" w:rsidRDefault="00DB239D" w:rsidP="00CB1B28">
      <w:pPr>
        <w:rPr>
          <w:sz w:val="20"/>
          <w:szCs w:val="20"/>
        </w:rPr>
      </w:pPr>
      <w:r w:rsidRPr="00DB239D">
        <w:rPr>
          <w:sz w:val="20"/>
          <w:szCs w:val="20"/>
        </w:rPr>
        <w:pict>
          <v:rect id="_x0000_i1113" style="width:480.95pt;height:1pt" o:hralign="center" o:hrstd="t" o:hrnoshade="t" o:hr="t" fillcolor="black [3213]" stroked="f"/>
        </w:pict>
      </w:r>
    </w:p>
    <w:p w:rsidR="00CB1B28" w:rsidRDefault="00CB1B28" w:rsidP="00CB1B28">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CB1B28" w:rsidRPr="00486CA3" w:rsidTr="00F21E5E">
        <w:trPr>
          <w:cantSplit/>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DATE OF HEARING /</w:t>
            </w:r>
          </w:p>
          <w:p w:rsidR="00CB1B28" w:rsidRPr="003A74F5" w:rsidRDefault="00CB1B28" w:rsidP="00F21E5E">
            <w:pPr>
              <w:rPr>
                <w:rFonts w:eastAsia="Calibri" w:cs="Times New Roman"/>
                <w:sz w:val="20"/>
                <w:szCs w:val="20"/>
              </w:rPr>
            </w:pPr>
            <w:r w:rsidRPr="003A74F5">
              <w:rPr>
                <w:rFonts w:eastAsia="Calibri" w:cs="Times New Roman"/>
                <w:sz w:val="20"/>
                <w:szCs w:val="20"/>
              </w:rPr>
              <w:t>DATE D’AUDITION</w:t>
            </w:r>
          </w:p>
        </w:tc>
        <w:tc>
          <w:tcPr>
            <w:tcW w:w="7178" w:type="dxa"/>
          </w:tcPr>
          <w:p w:rsidR="00CB1B28" w:rsidRPr="003A74F5" w:rsidRDefault="00CB1B28" w:rsidP="00F21E5E">
            <w:pPr>
              <w:rPr>
                <w:rFonts w:eastAsia="Calibri" w:cs="Times New Roman"/>
                <w:sz w:val="20"/>
                <w:szCs w:val="20"/>
                <w:lang w:val="fr-CA"/>
              </w:rPr>
            </w:pPr>
            <w:r w:rsidRPr="003A74F5">
              <w:rPr>
                <w:rFonts w:eastAsia="Calibri" w:cs="Times New Roman"/>
                <w:sz w:val="20"/>
                <w:szCs w:val="20"/>
                <w:lang w:val="fr-CA"/>
              </w:rPr>
              <w:t>NAME AND CASE NUMBER /</w:t>
            </w:r>
          </w:p>
          <w:p w:rsidR="00CB1B28" w:rsidRDefault="00CB1B28" w:rsidP="00F21E5E">
            <w:pPr>
              <w:rPr>
                <w:sz w:val="20"/>
                <w:szCs w:val="20"/>
                <w:lang w:val="fr-CA"/>
              </w:rPr>
            </w:pPr>
            <w:r w:rsidRPr="003A74F5">
              <w:rPr>
                <w:rFonts w:eastAsia="Calibri" w:cs="Times New Roman"/>
                <w:sz w:val="20"/>
                <w:szCs w:val="20"/>
                <w:lang w:val="fr-CA"/>
              </w:rPr>
              <w:t>NOM DE LA CAUSE ET NUMÉRO</w:t>
            </w:r>
          </w:p>
          <w:p w:rsidR="00CB1B28" w:rsidRPr="003A74F5" w:rsidRDefault="00CB1B28" w:rsidP="00F21E5E">
            <w:pPr>
              <w:rPr>
                <w:rFonts w:eastAsia="Calibri" w:cs="Times New Roman"/>
                <w:sz w:val="20"/>
                <w:szCs w:val="20"/>
                <w:lang w:val="fr-CA"/>
              </w:rPr>
            </w:pPr>
          </w:p>
        </w:tc>
      </w:tr>
      <w:tr w:rsidR="00CB1B28" w:rsidRPr="003A74F5" w:rsidTr="002647B4">
        <w:trPr>
          <w:cantSplit/>
          <w:trHeight w:val="720"/>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2012-1</w:t>
            </w:r>
            <w:r w:rsidR="00F21E5E">
              <w:rPr>
                <w:rFonts w:eastAsia="Calibri" w:cs="Times New Roman"/>
                <w:sz w:val="20"/>
                <w:szCs w:val="20"/>
              </w:rPr>
              <w:t>2</w:t>
            </w:r>
            <w:r w:rsidRPr="003A74F5">
              <w:rPr>
                <w:rFonts w:eastAsia="Calibri" w:cs="Times New Roman"/>
                <w:sz w:val="20"/>
                <w:szCs w:val="20"/>
              </w:rPr>
              <w:t>-0</w:t>
            </w:r>
            <w:r w:rsidR="00F21E5E">
              <w:rPr>
                <w:rFonts w:eastAsia="Calibri" w:cs="Times New Roman"/>
                <w:sz w:val="20"/>
                <w:szCs w:val="20"/>
              </w:rPr>
              <w:t>4</w:t>
            </w:r>
          </w:p>
        </w:tc>
        <w:tc>
          <w:tcPr>
            <w:tcW w:w="7178" w:type="dxa"/>
          </w:tcPr>
          <w:p w:rsidR="00CB1B28" w:rsidRDefault="00F21E5E" w:rsidP="00F21E5E">
            <w:pPr>
              <w:jc w:val="both"/>
              <w:rPr>
                <w:rFonts w:eastAsia="Calibri" w:cs="Times New Roman"/>
                <w:sz w:val="20"/>
                <w:szCs w:val="20"/>
              </w:rPr>
            </w:pPr>
            <w:r>
              <w:rPr>
                <w:rFonts w:eastAsia="Calibri" w:cs="Times New Roman"/>
                <w:i/>
                <w:sz w:val="20"/>
                <w:szCs w:val="20"/>
              </w:rPr>
              <w:t>Cassidy Alexis Ediger, a</w:t>
            </w:r>
            <w:r w:rsidR="00CB1B28">
              <w:rPr>
                <w:rFonts w:eastAsia="Calibri" w:cs="Times New Roman"/>
                <w:i/>
                <w:sz w:val="20"/>
                <w:szCs w:val="20"/>
              </w:rPr>
              <w:t>n</w:t>
            </w:r>
            <w:r>
              <w:rPr>
                <w:rFonts w:eastAsia="Calibri" w:cs="Times New Roman"/>
                <w:i/>
                <w:sz w:val="20"/>
                <w:szCs w:val="20"/>
              </w:rPr>
              <w:t xml:space="preserve"> infant by her Guardian Ad Litem, </w:t>
            </w:r>
            <w:r w:rsidR="00CB1B28">
              <w:rPr>
                <w:rFonts w:eastAsia="Calibri" w:cs="Times New Roman"/>
                <w:i/>
                <w:sz w:val="20"/>
                <w:szCs w:val="20"/>
              </w:rPr>
              <w:t>Ca</w:t>
            </w:r>
            <w:r>
              <w:rPr>
                <w:rFonts w:eastAsia="Calibri" w:cs="Times New Roman"/>
                <w:i/>
                <w:sz w:val="20"/>
                <w:szCs w:val="20"/>
              </w:rPr>
              <w:t>roly</w:t>
            </w:r>
            <w:r w:rsidR="00CB1B28">
              <w:rPr>
                <w:rFonts w:eastAsia="Calibri" w:cs="Times New Roman"/>
                <w:i/>
                <w:sz w:val="20"/>
                <w:szCs w:val="20"/>
              </w:rPr>
              <w:t>n</w:t>
            </w:r>
            <w:r>
              <w:rPr>
                <w:rFonts w:eastAsia="Calibri" w:cs="Times New Roman"/>
                <w:i/>
                <w:sz w:val="20"/>
                <w:szCs w:val="20"/>
              </w:rPr>
              <w:t xml:space="preserve"> Gr</w:t>
            </w:r>
            <w:r w:rsidR="00CB1B28">
              <w:rPr>
                <w:rFonts w:eastAsia="Calibri" w:cs="Times New Roman"/>
                <w:i/>
                <w:sz w:val="20"/>
                <w:szCs w:val="20"/>
              </w:rPr>
              <w:t>a</w:t>
            </w:r>
            <w:r>
              <w:rPr>
                <w:rFonts w:eastAsia="Calibri" w:cs="Times New Roman"/>
                <w:i/>
                <w:sz w:val="20"/>
                <w:szCs w:val="20"/>
              </w:rPr>
              <w:t>ce E</w:t>
            </w:r>
            <w:r w:rsidR="00CB1B28">
              <w:rPr>
                <w:rFonts w:eastAsia="Calibri" w:cs="Times New Roman"/>
                <w:i/>
                <w:sz w:val="20"/>
                <w:szCs w:val="20"/>
              </w:rPr>
              <w:t>d</w:t>
            </w:r>
            <w:r>
              <w:rPr>
                <w:rFonts w:eastAsia="Calibri" w:cs="Times New Roman"/>
                <w:i/>
                <w:sz w:val="20"/>
                <w:szCs w:val="20"/>
              </w:rPr>
              <w:t>iger</w:t>
            </w:r>
            <w:r w:rsidR="00CB1B28">
              <w:rPr>
                <w:rFonts w:eastAsia="Calibri" w:cs="Times New Roman"/>
                <w:i/>
                <w:sz w:val="20"/>
                <w:szCs w:val="20"/>
              </w:rPr>
              <w:t xml:space="preserve"> </w:t>
            </w:r>
            <w:r w:rsidR="00CB1B28" w:rsidRPr="003A74F5">
              <w:rPr>
                <w:rFonts w:eastAsia="Calibri" w:cs="Times New Roman"/>
                <w:i/>
                <w:sz w:val="20"/>
                <w:szCs w:val="20"/>
              </w:rPr>
              <w:t xml:space="preserve">v. </w:t>
            </w:r>
            <w:r>
              <w:rPr>
                <w:rFonts w:eastAsia="Calibri" w:cs="Times New Roman"/>
                <w:i/>
                <w:sz w:val="20"/>
                <w:szCs w:val="20"/>
              </w:rPr>
              <w:t>William G. Johnston</w:t>
            </w:r>
            <w:r w:rsidR="00CB1B28">
              <w:rPr>
                <w:rFonts w:eastAsia="Calibri" w:cs="Times New Roman"/>
                <w:i/>
                <w:sz w:val="20"/>
                <w:szCs w:val="20"/>
              </w:rPr>
              <w:t xml:space="preserve"> </w:t>
            </w:r>
            <w:r w:rsidR="00CB1B28" w:rsidRPr="003A74F5">
              <w:rPr>
                <w:rFonts w:eastAsia="Calibri" w:cs="Times New Roman"/>
                <w:sz w:val="20"/>
                <w:szCs w:val="20"/>
              </w:rPr>
              <w:t>(</w:t>
            </w:r>
            <w:r>
              <w:rPr>
                <w:rFonts w:eastAsia="Calibri" w:cs="Times New Roman"/>
                <w:sz w:val="20"/>
                <w:szCs w:val="20"/>
              </w:rPr>
              <w:t>B</w:t>
            </w:r>
            <w:r w:rsidR="00CB1B28">
              <w:rPr>
                <w:rFonts w:eastAsia="Calibri" w:cs="Times New Roman"/>
                <w:sz w:val="20"/>
                <w:szCs w:val="20"/>
              </w:rPr>
              <w:t>.C</w:t>
            </w:r>
            <w:r w:rsidR="00CB1B28" w:rsidRPr="003A74F5">
              <w:rPr>
                <w:rFonts w:eastAsia="Calibri" w:cs="Times New Roman"/>
                <w:sz w:val="20"/>
                <w:szCs w:val="20"/>
              </w:rPr>
              <w:t>.) (Ci</w:t>
            </w:r>
            <w:r w:rsidR="00CB1B28">
              <w:rPr>
                <w:rFonts w:eastAsia="Calibri" w:cs="Times New Roman"/>
                <w:sz w:val="20"/>
                <w:szCs w:val="20"/>
              </w:rPr>
              <w:t>v</w:t>
            </w:r>
            <w:r w:rsidR="00CB1B28" w:rsidRPr="003A74F5">
              <w:rPr>
                <w:rFonts w:eastAsia="Calibri" w:cs="Times New Roman"/>
                <w:sz w:val="20"/>
                <w:szCs w:val="20"/>
              </w:rPr>
              <w:t>il) (By Leave) (34</w:t>
            </w:r>
            <w:r w:rsidR="00CB1B28">
              <w:rPr>
                <w:rFonts w:eastAsia="Calibri" w:cs="Times New Roman"/>
                <w:sz w:val="20"/>
                <w:szCs w:val="20"/>
              </w:rPr>
              <w:t>4</w:t>
            </w:r>
            <w:r>
              <w:rPr>
                <w:rFonts w:eastAsia="Calibri" w:cs="Times New Roman"/>
                <w:sz w:val="20"/>
                <w:szCs w:val="20"/>
              </w:rPr>
              <w:t>08</w:t>
            </w:r>
            <w:r w:rsidR="00CB1B28" w:rsidRPr="003A74F5">
              <w:rPr>
                <w:rFonts w:eastAsia="Calibri" w:cs="Times New Roman"/>
                <w:sz w:val="20"/>
                <w:szCs w:val="20"/>
              </w:rPr>
              <w:t>)</w:t>
            </w:r>
          </w:p>
          <w:p w:rsidR="00CB1B28" w:rsidRPr="003A74F5" w:rsidRDefault="00CB1B28" w:rsidP="002647B4">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CB1B28" w:rsidRPr="00486CA3" w:rsidTr="001A4DC5">
        <w:trPr>
          <w:cantSplit/>
          <w:trHeight w:val="288"/>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2012-1</w:t>
            </w:r>
            <w:r w:rsidR="00F21E5E">
              <w:rPr>
                <w:rFonts w:eastAsia="Calibri" w:cs="Times New Roman"/>
                <w:sz w:val="20"/>
                <w:szCs w:val="20"/>
              </w:rPr>
              <w:t>2</w:t>
            </w:r>
            <w:r w:rsidRPr="003A74F5">
              <w:rPr>
                <w:rFonts w:eastAsia="Calibri" w:cs="Times New Roman"/>
                <w:sz w:val="20"/>
                <w:szCs w:val="20"/>
              </w:rPr>
              <w:t>-</w:t>
            </w:r>
            <w:r>
              <w:rPr>
                <w:rFonts w:eastAsia="Calibri" w:cs="Times New Roman"/>
                <w:sz w:val="20"/>
                <w:szCs w:val="20"/>
              </w:rPr>
              <w:t>0</w:t>
            </w:r>
            <w:r w:rsidR="00F21E5E">
              <w:rPr>
                <w:rFonts w:eastAsia="Calibri" w:cs="Times New Roman"/>
                <w:sz w:val="20"/>
                <w:szCs w:val="20"/>
              </w:rPr>
              <w:t>5</w:t>
            </w:r>
          </w:p>
        </w:tc>
        <w:tc>
          <w:tcPr>
            <w:tcW w:w="7178" w:type="dxa"/>
          </w:tcPr>
          <w:p w:rsidR="00CB1B28" w:rsidRPr="00F21E5E" w:rsidRDefault="00F21E5E" w:rsidP="002647B4">
            <w:pPr>
              <w:jc w:val="both"/>
              <w:rPr>
                <w:rFonts w:eastAsia="Calibri" w:cs="Times New Roman"/>
                <w:sz w:val="20"/>
                <w:szCs w:val="20"/>
                <w:lang w:val="fr-CA"/>
              </w:rPr>
            </w:pPr>
            <w:r w:rsidRPr="00F21E5E">
              <w:rPr>
                <w:rFonts w:eastAsia="Calibri" w:cs="Times New Roman"/>
                <w:i/>
                <w:sz w:val="20"/>
                <w:szCs w:val="20"/>
                <w:lang w:val="fr-CA"/>
              </w:rPr>
              <w:t xml:space="preserve">Sa </w:t>
            </w:r>
            <w:r w:rsidR="00CB1B28" w:rsidRPr="00F21E5E">
              <w:rPr>
                <w:rFonts w:eastAsia="Calibri" w:cs="Times New Roman"/>
                <w:i/>
                <w:sz w:val="20"/>
                <w:szCs w:val="20"/>
                <w:lang w:val="fr-CA"/>
              </w:rPr>
              <w:t>Majest</w:t>
            </w:r>
            <w:r w:rsidRPr="00F21E5E">
              <w:rPr>
                <w:rFonts w:eastAsia="Calibri" w:cs="Times New Roman"/>
                <w:i/>
                <w:sz w:val="20"/>
                <w:szCs w:val="20"/>
                <w:lang w:val="fr-CA"/>
              </w:rPr>
              <w:t>é la Reine</w:t>
            </w:r>
            <w:r w:rsidR="00CB1B28" w:rsidRPr="00F21E5E">
              <w:rPr>
                <w:rFonts w:eastAsia="Calibri" w:cs="Times New Roman"/>
                <w:i/>
                <w:sz w:val="20"/>
                <w:szCs w:val="20"/>
                <w:lang w:val="fr-CA"/>
              </w:rPr>
              <w:t xml:space="preserve"> </w:t>
            </w:r>
            <w:r w:rsidRPr="00F21E5E">
              <w:rPr>
                <w:rFonts w:eastAsia="Calibri" w:cs="Times New Roman"/>
                <w:i/>
                <w:sz w:val="20"/>
                <w:szCs w:val="20"/>
                <w:lang w:val="fr-CA"/>
              </w:rPr>
              <w:t>c</w:t>
            </w:r>
            <w:r w:rsidR="00CB1B28" w:rsidRPr="00F21E5E">
              <w:rPr>
                <w:rFonts w:eastAsia="Calibri" w:cs="Times New Roman"/>
                <w:i/>
                <w:sz w:val="20"/>
                <w:szCs w:val="20"/>
                <w:lang w:val="fr-CA"/>
              </w:rPr>
              <w:t xml:space="preserve">. </w:t>
            </w:r>
            <w:r>
              <w:rPr>
                <w:rFonts w:eastAsia="Calibri" w:cs="Times New Roman"/>
                <w:i/>
                <w:sz w:val="20"/>
                <w:szCs w:val="20"/>
                <w:lang w:val="fr-CA"/>
              </w:rPr>
              <w:t>Alp</w:t>
            </w:r>
            <w:r w:rsidR="00CB1B28" w:rsidRPr="00F21E5E">
              <w:rPr>
                <w:rFonts w:eastAsia="Calibri" w:cs="Times New Roman"/>
                <w:i/>
                <w:sz w:val="20"/>
                <w:szCs w:val="20"/>
                <w:lang w:val="fr-CA"/>
              </w:rPr>
              <w:t>hi</w:t>
            </w:r>
            <w:r>
              <w:rPr>
                <w:rFonts w:eastAsia="Calibri" w:cs="Times New Roman"/>
                <w:i/>
                <w:sz w:val="20"/>
                <w:szCs w:val="20"/>
                <w:lang w:val="fr-CA"/>
              </w:rPr>
              <w:t>d</w:t>
            </w:r>
            <w:r w:rsidR="00CB1B28" w:rsidRPr="00F21E5E">
              <w:rPr>
                <w:rFonts w:eastAsia="Calibri" w:cs="Times New Roman"/>
                <w:i/>
                <w:sz w:val="20"/>
                <w:szCs w:val="20"/>
                <w:lang w:val="fr-CA"/>
              </w:rPr>
              <w:t>e</w:t>
            </w:r>
            <w:r>
              <w:rPr>
                <w:rFonts w:eastAsia="Calibri" w:cs="Times New Roman"/>
                <w:i/>
                <w:sz w:val="20"/>
                <w:szCs w:val="20"/>
                <w:lang w:val="fr-CA"/>
              </w:rPr>
              <w:t xml:space="preserve"> M</w:t>
            </w:r>
            <w:r w:rsidR="00CB1B28" w:rsidRPr="00F21E5E">
              <w:rPr>
                <w:rFonts w:eastAsia="Calibri" w:cs="Times New Roman"/>
                <w:i/>
                <w:sz w:val="20"/>
                <w:szCs w:val="20"/>
                <w:lang w:val="fr-CA"/>
              </w:rPr>
              <w:t>a</w:t>
            </w:r>
            <w:r>
              <w:rPr>
                <w:rFonts w:eastAsia="Calibri" w:cs="Times New Roman"/>
                <w:i/>
                <w:sz w:val="20"/>
                <w:szCs w:val="20"/>
                <w:lang w:val="fr-CA"/>
              </w:rPr>
              <w:t>nning</w:t>
            </w:r>
            <w:r w:rsidR="00CB1B28" w:rsidRPr="00F21E5E">
              <w:rPr>
                <w:rFonts w:eastAsia="Calibri" w:cs="Times New Roman"/>
                <w:sz w:val="20"/>
                <w:szCs w:val="20"/>
                <w:lang w:val="fr-CA"/>
              </w:rPr>
              <w:t xml:space="preserve"> (</w:t>
            </w:r>
            <w:r>
              <w:rPr>
                <w:rFonts w:eastAsia="Calibri" w:cs="Times New Roman"/>
                <w:sz w:val="20"/>
                <w:szCs w:val="20"/>
                <w:lang w:val="fr-CA"/>
              </w:rPr>
              <w:t>Qc</w:t>
            </w:r>
            <w:r w:rsidR="00CB1B28" w:rsidRPr="00F21E5E">
              <w:rPr>
                <w:rFonts w:eastAsia="Calibri" w:cs="Times New Roman"/>
                <w:sz w:val="20"/>
                <w:szCs w:val="20"/>
                <w:lang w:val="fr-CA"/>
              </w:rPr>
              <w:t>) (Crimin</w:t>
            </w:r>
            <w:r w:rsidRPr="00F21E5E">
              <w:rPr>
                <w:rFonts w:eastAsia="Calibri" w:cs="Times New Roman"/>
                <w:sz w:val="20"/>
                <w:szCs w:val="20"/>
                <w:lang w:val="fr-CA"/>
              </w:rPr>
              <w:t>e</w:t>
            </w:r>
            <w:r w:rsidR="00CB1B28" w:rsidRPr="00F21E5E">
              <w:rPr>
                <w:rFonts w:eastAsia="Calibri" w:cs="Times New Roman"/>
                <w:sz w:val="20"/>
                <w:szCs w:val="20"/>
                <w:lang w:val="fr-CA"/>
              </w:rPr>
              <w:t>l</w:t>
            </w:r>
            <w:r w:rsidRPr="00F21E5E">
              <w:rPr>
                <w:rFonts w:eastAsia="Calibri" w:cs="Times New Roman"/>
                <w:sz w:val="20"/>
                <w:szCs w:val="20"/>
                <w:lang w:val="fr-CA"/>
              </w:rPr>
              <w:t>le</w:t>
            </w:r>
            <w:r w:rsidR="00CB1B28" w:rsidRPr="00F21E5E">
              <w:rPr>
                <w:rFonts w:eastAsia="Calibri" w:cs="Times New Roman"/>
                <w:sz w:val="20"/>
                <w:szCs w:val="20"/>
                <w:lang w:val="fr-CA"/>
              </w:rPr>
              <w:t>) (A</w:t>
            </w:r>
            <w:r w:rsidRPr="00F21E5E">
              <w:rPr>
                <w:rFonts w:eastAsia="Calibri" w:cs="Times New Roman"/>
                <w:sz w:val="20"/>
                <w:szCs w:val="20"/>
                <w:lang w:val="fr-CA"/>
              </w:rPr>
              <w:t>utori</w:t>
            </w:r>
            <w:r w:rsidR="00CB1B28" w:rsidRPr="00F21E5E">
              <w:rPr>
                <w:rFonts w:eastAsia="Calibri" w:cs="Times New Roman"/>
                <w:sz w:val="20"/>
                <w:szCs w:val="20"/>
                <w:lang w:val="fr-CA"/>
              </w:rPr>
              <w:t>s</w:t>
            </w:r>
            <w:r w:rsidRPr="00F21E5E">
              <w:rPr>
                <w:rFonts w:eastAsia="Calibri" w:cs="Times New Roman"/>
                <w:sz w:val="20"/>
                <w:szCs w:val="20"/>
                <w:lang w:val="fr-CA"/>
              </w:rPr>
              <w:t>ati</w:t>
            </w:r>
            <w:r w:rsidR="00CB1B28" w:rsidRPr="00F21E5E">
              <w:rPr>
                <w:rFonts w:eastAsia="Calibri" w:cs="Times New Roman"/>
                <w:sz w:val="20"/>
                <w:szCs w:val="20"/>
                <w:lang w:val="fr-CA"/>
              </w:rPr>
              <w:t>o</w:t>
            </w:r>
            <w:r w:rsidRPr="00F21E5E">
              <w:rPr>
                <w:rFonts w:eastAsia="Calibri" w:cs="Times New Roman"/>
                <w:sz w:val="20"/>
                <w:szCs w:val="20"/>
                <w:lang w:val="fr-CA"/>
              </w:rPr>
              <w:t>n</w:t>
            </w:r>
            <w:r w:rsidR="00CB1B28" w:rsidRPr="00F21E5E">
              <w:rPr>
                <w:rFonts w:eastAsia="Calibri" w:cs="Times New Roman"/>
                <w:sz w:val="20"/>
                <w:szCs w:val="20"/>
                <w:lang w:val="fr-CA"/>
              </w:rPr>
              <w:t>) (34</w:t>
            </w:r>
            <w:r w:rsidRPr="00F21E5E">
              <w:rPr>
                <w:rFonts w:eastAsia="Calibri" w:cs="Times New Roman"/>
                <w:sz w:val="20"/>
                <w:szCs w:val="20"/>
                <w:lang w:val="fr-CA"/>
              </w:rPr>
              <w:t>3</w:t>
            </w:r>
            <w:r w:rsidR="00CB1B28" w:rsidRPr="00F21E5E">
              <w:rPr>
                <w:rFonts w:eastAsia="Calibri" w:cs="Times New Roman"/>
                <w:sz w:val="20"/>
                <w:szCs w:val="20"/>
                <w:lang w:val="fr-CA"/>
              </w:rPr>
              <w:t>5</w:t>
            </w:r>
            <w:r w:rsidRPr="00F21E5E">
              <w:rPr>
                <w:rFonts w:eastAsia="Calibri" w:cs="Times New Roman"/>
                <w:sz w:val="20"/>
                <w:szCs w:val="20"/>
                <w:lang w:val="fr-CA"/>
              </w:rPr>
              <w:t>8</w:t>
            </w:r>
            <w:r w:rsidR="00CB1B28" w:rsidRPr="00F21E5E">
              <w:rPr>
                <w:rFonts w:eastAsia="Calibri" w:cs="Times New Roman"/>
                <w:sz w:val="20"/>
                <w:szCs w:val="20"/>
                <w:lang w:val="fr-CA"/>
              </w:rPr>
              <w:t>)</w:t>
            </w:r>
          </w:p>
        </w:tc>
      </w:tr>
      <w:tr w:rsidR="00CB1B28" w:rsidRPr="002647B4" w:rsidTr="001A4DC5">
        <w:trPr>
          <w:cantSplit/>
          <w:trHeight w:val="518"/>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2012-1</w:t>
            </w:r>
            <w:r w:rsidR="00F21E5E">
              <w:rPr>
                <w:rFonts w:eastAsia="Calibri" w:cs="Times New Roman"/>
                <w:sz w:val="20"/>
                <w:szCs w:val="20"/>
              </w:rPr>
              <w:t>2</w:t>
            </w:r>
            <w:r w:rsidRPr="003A74F5">
              <w:rPr>
                <w:rFonts w:eastAsia="Calibri" w:cs="Times New Roman"/>
                <w:sz w:val="20"/>
                <w:szCs w:val="20"/>
              </w:rPr>
              <w:t>-</w:t>
            </w:r>
            <w:r>
              <w:rPr>
                <w:rFonts w:eastAsia="Calibri" w:cs="Times New Roman"/>
                <w:sz w:val="20"/>
                <w:szCs w:val="20"/>
              </w:rPr>
              <w:t>0</w:t>
            </w:r>
            <w:r w:rsidR="00F21E5E">
              <w:rPr>
                <w:rFonts w:eastAsia="Calibri" w:cs="Times New Roman"/>
                <w:sz w:val="20"/>
                <w:szCs w:val="20"/>
              </w:rPr>
              <w:t>6</w:t>
            </w:r>
          </w:p>
        </w:tc>
        <w:tc>
          <w:tcPr>
            <w:tcW w:w="7178" w:type="dxa"/>
          </w:tcPr>
          <w:p w:rsidR="00CB1B28" w:rsidRPr="002647B4" w:rsidRDefault="00F21E5E" w:rsidP="002647B4">
            <w:pPr>
              <w:jc w:val="both"/>
              <w:rPr>
                <w:rFonts w:eastAsia="Calibri" w:cs="Times New Roman"/>
                <w:sz w:val="20"/>
                <w:szCs w:val="20"/>
              </w:rPr>
            </w:pPr>
            <w:r w:rsidRPr="002647B4">
              <w:rPr>
                <w:rFonts w:eastAsia="Calibri" w:cs="Times New Roman"/>
                <w:i/>
                <w:sz w:val="20"/>
                <w:szCs w:val="20"/>
              </w:rPr>
              <w:t>Her Majesty the Queen</w:t>
            </w:r>
            <w:r w:rsidR="00CB1B28" w:rsidRPr="002647B4">
              <w:rPr>
                <w:rFonts w:eastAsia="Calibri" w:cs="Times New Roman"/>
                <w:i/>
                <w:sz w:val="20"/>
                <w:szCs w:val="20"/>
              </w:rPr>
              <w:t xml:space="preserve"> </w:t>
            </w:r>
            <w:r w:rsidRPr="002647B4">
              <w:rPr>
                <w:rFonts w:eastAsia="Calibri" w:cs="Times New Roman"/>
                <w:i/>
                <w:sz w:val="20"/>
                <w:szCs w:val="20"/>
              </w:rPr>
              <w:t>v</w:t>
            </w:r>
            <w:r w:rsidR="00CB1B28" w:rsidRPr="002647B4">
              <w:rPr>
                <w:rFonts w:eastAsia="Calibri" w:cs="Times New Roman"/>
                <w:i/>
                <w:sz w:val="20"/>
                <w:szCs w:val="20"/>
              </w:rPr>
              <w:t xml:space="preserve">. </w:t>
            </w:r>
            <w:r w:rsidRPr="002647B4">
              <w:rPr>
                <w:rFonts w:eastAsia="Calibri" w:cs="Times New Roman"/>
                <w:i/>
                <w:sz w:val="20"/>
                <w:szCs w:val="20"/>
              </w:rPr>
              <w:t>K</w:t>
            </w:r>
            <w:r w:rsidR="00CB1B28" w:rsidRPr="002647B4">
              <w:rPr>
                <w:rFonts w:eastAsia="Calibri" w:cs="Times New Roman"/>
                <w:i/>
                <w:sz w:val="20"/>
                <w:szCs w:val="20"/>
              </w:rPr>
              <w:t>e</w:t>
            </w:r>
            <w:r w:rsidRPr="002647B4">
              <w:rPr>
                <w:rFonts w:eastAsia="Calibri" w:cs="Times New Roman"/>
                <w:i/>
                <w:sz w:val="20"/>
                <w:szCs w:val="20"/>
              </w:rPr>
              <w:t>lly Jo</w:t>
            </w:r>
            <w:r w:rsidR="00CB1B28" w:rsidRPr="002647B4">
              <w:rPr>
                <w:rFonts w:eastAsia="Calibri" w:cs="Times New Roman"/>
                <w:i/>
                <w:sz w:val="20"/>
                <w:szCs w:val="20"/>
              </w:rPr>
              <w:t>se</w:t>
            </w:r>
            <w:r w:rsidRPr="002647B4">
              <w:rPr>
                <w:rFonts w:eastAsia="Calibri" w:cs="Times New Roman"/>
                <w:i/>
                <w:sz w:val="20"/>
                <w:szCs w:val="20"/>
              </w:rPr>
              <w:t>ph O’Bri</w:t>
            </w:r>
            <w:r w:rsidR="00CB1B28" w:rsidRPr="002647B4">
              <w:rPr>
                <w:rFonts w:eastAsia="Calibri" w:cs="Times New Roman"/>
                <w:i/>
                <w:sz w:val="20"/>
                <w:szCs w:val="20"/>
              </w:rPr>
              <w:t xml:space="preserve">en </w:t>
            </w:r>
            <w:r w:rsidR="00CB1B28" w:rsidRPr="002647B4">
              <w:rPr>
                <w:rFonts w:eastAsia="Calibri" w:cs="Times New Roman"/>
                <w:sz w:val="20"/>
                <w:szCs w:val="20"/>
              </w:rPr>
              <w:t>(</w:t>
            </w:r>
            <w:r w:rsidRPr="002647B4">
              <w:rPr>
                <w:rFonts w:eastAsia="Calibri" w:cs="Times New Roman"/>
                <w:sz w:val="20"/>
                <w:szCs w:val="20"/>
              </w:rPr>
              <w:t>Man.)</w:t>
            </w:r>
            <w:r w:rsidR="00CB1B28" w:rsidRPr="002647B4">
              <w:rPr>
                <w:rFonts w:eastAsia="Calibri" w:cs="Times New Roman"/>
                <w:sz w:val="20"/>
                <w:szCs w:val="20"/>
              </w:rPr>
              <w:t xml:space="preserve"> (C</w:t>
            </w:r>
            <w:r w:rsidRPr="002647B4">
              <w:rPr>
                <w:rFonts w:eastAsia="Calibri" w:cs="Times New Roman"/>
                <w:sz w:val="20"/>
                <w:szCs w:val="20"/>
              </w:rPr>
              <w:t>r</w:t>
            </w:r>
            <w:r w:rsidR="00CB1B28" w:rsidRPr="002647B4">
              <w:rPr>
                <w:rFonts w:eastAsia="Calibri" w:cs="Times New Roman"/>
                <w:sz w:val="20"/>
                <w:szCs w:val="20"/>
              </w:rPr>
              <w:t>i</w:t>
            </w:r>
            <w:r w:rsidRPr="002647B4">
              <w:rPr>
                <w:rFonts w:eastAsia="Calibri" w:cs="Times New Roman"/>
                <w:sz w:val="20"/>
                <w:szCs w:val="20"/>
              </w:rPr>
              <w:t>m</w:t>
            </w:r>
            <w:r w:rsidR="00CB1B28" w:rsidRPr="002647B4">
              <w:rPr>
                <w:rFonts w:eastAsia="Calibri" w:cs="Times New Roman"/>
                <w:sz w:val="20"/>
                <w:szCs w:val="20"/>
              </w:rPr>
              <w:t>i</w:t>
            </w:r>
            <w:r w:rsidRPr="002647B4">
              <w:rPr>
                <w:rFonts w:eastAsia="Calibri" w:cs="Times New Roman"/>
                <w:sz w:val="20"/>
                <w:szCs w:val="20"/>
              </w:rPr>
              <w:t>na</w:t>
            </w:r>
            <w:r w:rsidR="00CB1B28" w:rsidRPr="002647B4">
              <w:rPr>
                <w:rFonts w:eastAsia="Calibri" w:cs="Times New Roman"/>
                <w:sz w:val="20"/>
                <w:szCs w:val="20"/>
              </w:rPr>
              <w:t>l) (A</w:t>
            </w:r>
            <w:r w:rsidRPr="002647B4">
              <w:rPr>
                <w:rFonts w:eastAsia="Calibri" w:cs="Times New Roman"/>
                <w:sz w:val="20"/>
                <w:szCs w:val="20"/>
              </w:rPr>
              <w:t xml:space="preserve">s </w:t>
            </w:r>
            <w:r w:rsidR="00CB1B28" w:rsidRPr="002647B4">
              <w:rPr>
                <w:rFonts w:eastAsia="Calibri" w:cs="Times New Roman"/>
                <w:sz w:val="20"/>
                <w:szCs w:val="20"/>
              </w:rPr>
              <w:t>o</w:t>
            </w:r>
            <w:r w:rsidRPr="002647B4">
              <w:rPr>
                <w:rFonts w:eastAsia="Calibri" w:cs="Times New Roman"/>
                <w:sz w:val="20"/>
                <w:szCs w:val="20"/>
              </w:rPr>
              <w:t>f R</w:t>
            </w:r>
            <w:r w:rsidR="00CB1B28" w:rsidRPr="002647B4">
              <w:rPr>
                <w:rFonts w:eastAsia="Calibri" w:cs="Times New Roman"/>
                <w:sz w:val="20"/>
                <w:szCs w:val="20"/>
              </w:rPr>
              <w:t>i</w:t>
            </w:r>
            <w:r w:rsidRPr="002647B4">
              <w:rPr>
                <w:rFonts w:eastAsia="Calibri" w:cs="Times New Roman"/>
                <w:sz w:val="20"/>
                <w:szCs w:val="20"/>
              </w:rPr>
              <w:t>gh</w:t>
            </w:r>
            <w:r w:rsidR="00CB1B28" w:rsidRPr="002647B4">
              <w:rPr>
                <w:rFonts w:eastAsia="Calibri" w:cs="Times New Roman"/>
                <w:sz w:val="20"/>
                <w:szCs w:val="20"/>
              </w:rPr>
              <w:t>t) (34</w:t>
            </w:r>
            <w:r w:rsidRPr="002647B4">
              <w:rPr>
                <w:rFonts w:eastAsia="Calibri" w:cs="Times New Roman"/>
                <w:sz w:val="20"/>
                <w:szCs w:val="20"/>
              </w:rPr>
              <w:t>694</w:t>
            </w:r>
            <w:r w:rsidR="00CB1B28" w:rsidRPr="002647B4">
              <w:rPr>
                <w:rFonts w:eastAsia="Calibri" w:cs="Times New Roman"/>
                <w:sz w:val="20"/>
                <w:szCs w:val="20"/>
              </w:rPr>
              <w:t>)</w:t>
            </w:r>
          </w:p>
        </w:tc>
      </w:tr>
      <w:tr w:rsidR="00CB1B28" w:rsidRPr="00CB1B28" w:rsidTr="001A4DC5">
        <w:trPr>
          <w:cantSplit/>
          <w:trHeight w:val="518"/>
        </w:trPr>
        <w:tc>
          <w:tcPr>
            <w:tcW w:w="2398" w:type="dxa"/>
          </w:tcPr>
          <w:p w:rsidR="00CB1B28" w:rsidRPr="00216AEB" w:rsidRDefault="00CB1B28" w:rsidP="00F21E5E">
            <w:pPr>
              <w:rPr>
                <w:rFonts w:eastAsia="Calibri" w:cs="Times New Roman"/>
                <w:sz w:val="20"/>
                <w:szCs w:val="20"/>
                <w:lang w:val="fr-CA"/>
              </w:rPr>
            </w:pPr>
            <w:r w:rsidRPr="00216AEB">
              <w:rPr>
                <w:rFonts w:eastAsia="Calibri" w:cs="Times New Roman"/>
                <w:sz w:val="20"/>
                <w:szCs w:val="20"/>
                <w:lang w:val="fr-CA"/>
              </w:rPr>
              <w:t>2012-1</w:t>
            </w:r>
            <w:r w:rsidR="00F21E5E">
              <w:rPr>
                <w:rFonts w:eastAsia="Calibri" w:cs="Times New Roman"/>
                <w:sz w:val="20"/>
                <w:szCs w:val="20"/>
                <w:lang w:val="fr-CA"/>
              </w:rPr>
              <w:t>2</w:t>
            </w:r>
            <w:r w:rsidRPr="00216AEB">
              <w:rPr>
                <w:rFonts w:eastAsia="Calibri" w:cs="Times New Roman"/>
                <w:sz w:val="20"/>
                <w:szCs w:val="20"/>
                <w:lang w:val="fr-CA"/>
              </w:rPr>
              <w:t>-0</w:t>
            </w:r>
            <w:r w:rsidR="00F21E5E">
              <w:rPr>
                <w:rFonts w:eastAsia="Calibri" w:cs="Times New Roman"/>
                <w:sz w:val="20"/>
                <w:szCs w:val="20"/>
                <w:lang w:val="fr-CA"/>
              </w:rPr>
              <w:t>6</w:t>
            </w:r>
          </w:p>
        </w:tc>
        <w:tc>
          <w:tcPr>
            <w:tcW w:w="7178" w:type="dxa"/>
          </w:tcPr>
          <w:p w:rsidR="00CB1B28" w:rsidRPr="00216AEB" w:rsidRDefault="001D2DF7" w:rsidP="002647B4">
            <w:pPr>
              <w:jc w:val="both"/>
              <w:rPr>
                <w:rFonts w:eastAsia="Calibri" w:cs="Times New Roman"/>
                <w:sz w:val="20"/>
                <w:szCs w:val="20"/>
                <w:lang w:val="fr-CA"/>
              </w:rPr>
            </w:pPr>
            <w:r w:rsidRPr="001D2DF7">
              <w:rPr>
                <w:rFonts w:eastAsia="Calibri" w:cs="Times New Roman"/>
                <w:i/>
                <w:sz w:val="20"/>
                <w:szCs w:val="20"/>
              </w:rPr>
              <w:t>Her Majesty the Queen v</w:t>
            </w:r>
            <w:r w:rsidR="00CB1B28" w:rsidRPr="001D2DF7">
              <w:rPr>
                <w:rFonts w:eastAsia="Calibri" w:cs="Times New Roman"/>
                <w:i/>
                <w:sz w:val="20"/>
                <w:szCs w:val="20"/>
              </w:rPr>
              <w:t xml:space="preserve">. </w:t>
            </w:r>
            <w:r w:rsidRPr="001D2DF7">
              <w:rPr>
                <w:rFonts w:eastAsia="Calibri" w:cs="Times New Roman"/>
                <w:i/>
                <w:sz w:val="20"/>
                <w:szCs w:val="20"/>
              </w:rPr>
              <w:t>H</w:t>
            </w:r>
            <w:r w:rsidR="00CB1B28" w:rsidRPr="001D2DF7">
              <w:rPr>
                <w:rFonts w:eastAsia="Calibri" w:cs="Times New Roman"/>
                <w:i/>
                <w:sz w:val="20"/>
                <w:szCs w:val="20"/>
              </w:rPr>
              <w:t>a</w:t>
            </w:r>
            <w:r w:rsidRPr="001D2DF7">
              <w:rPr>
                <w:rFonts w:eastAsia="Calibri" w:cs="Times New Roman"/>
                <w:i/>
                <w:sz w:val="20"/>
                <w:szCs w:val="20"/>
              </w:rPr>
              <w:t>rry Pers</w:t>
            </w:r>
            <w:r w:rsidR="00CB1B28" w:rsidRPr="001D2DF7">
              <w:rPr>
                <w:rFonts w:eastAsia="Calibri" w:cs="Times New Roman"/>
                <w:i/>
                <w:sz w:val="20"/>
                <w:szCs w:val="20"/>
              </w:rPr>
              <w:t>au</w:t>
            </w:r>
            <w:r w:rsidRPr="001D2DF7">
              <w:rPr>
                <w:rFonts w:eastAsia="Calibri" w:cs="Times New Roman"/>
                <w:i/>
                <w:sz w:val="20"/>
                <w:szCs w:val="20"/>
              </w:rPr>
              <w:t>d Sani</w:t>
            </w:r>
            <w:r w:rsidR="00CB1B28" w:rsidRPr="001D2DF7">
              <w:rPr>
                <w:rFonts w:eastAsia="Calibri" w:cs="Times New Roman"/>
                <w:i/>
                <w:sz w:val="20"/>
                <w:szCs w:val="20"/>
              </w:rPr>
              <w:t>s</w:t>
            </w:r>
            <w:r w:rsidRPr="001D2DF7">
              <w:rPr>
                <w:rFonts w:eastAsia="Calibri" w:cs="Times New Roman"/>
                <w:i/>
                <w:sz w:val="20"/>
                <w:szCs w:val="20"/>
              </w:rPr>
              <w:t>har</w:t>
            </w:r>
            <w:r w:rsidR="00CB1B28" w:rsidRPr="001D2DF7">
              <w:rPr>
                <w:rFonts w:eastAsia="Calibri" w:cs="Times New Roman"/>
                <w:sz w:val="20"/>
                <w:szCs w:val="20"/>
              </w:rPr>
              <w:t xml:space="preserve"> (</w:t>
            </w:r>
            <w:r w:rsidRPr="001D2DF7">
              <w:rPr>
                <w:rFonts w:eastAsia="Calibri" w:cs="Times New Roman"/>
                <w:sz w:val="20"/>
                <w:szCs w:val="20"/>
              </w:rPr>
              <w:t>Ont.</w:t>
            </w:r>
            <w:r w:rsidR="00CB1B28" w:rsidRPr="001D2DF7">
              <w:rPr>
                <w:rFonts w:eastAsia="Calibri" w:cs="Times New Roman"/>
                <w:sz w:val="20"/>
                <w:szCs w:val="20"/>
              </w:rPr>
              <w:t xml:space="preserve">) </w:t>
            </w:r>
            <w:r w:rsidR="00CB1B28" w:rsidRPr="00216AEB">
              <w:rPr>
                <w:rFonts w:eastAsia="Calibri" w:cs="Times New Roman"/>
                <w:sz w:val="20"/>
                <w:szCs w:val="20"/>
                <w:lang w:val="fr-CA"/>
              </w:rPr>
              <w:t>(C</w:t>
            </w:r>
            <w:r>
              <w:rPr>
                <w:rFonts w:eastAsia="Calibri" w:cs="Times New Roman"/>
                <w:sz w:val="20"/>
                <w:szCs w:val="20"/>
                <w:lang w:val="fr-CA"/>
              </w:rPr>
              <w:t>r</w:t>
            </w:r>
            <w:r w:rsidR="00CB1B28" w:rsidRPr="00216AEB">
              <w:rPr>
                <w:rFonts w:eastAsia="Calibri" w:cs="Times New Roman"/>
                <w:sz w:val="20"/>
                <w:szCs w:val="20"/>
                <w:lang w:val="fr-CA"/>
              </w:rPr>
              <w:t>i</w:t>
            </w:r>
            <w:r>
              <w:rPr>
                <w:rFonts w:eastAsia="Calibri" w:cs="Times New Roman"/>
                <w:sz w:val="20"/>
                <w:szCs w:val="20"/>
                <w:lang w:val="fr-CA"/>
              </w:rPr>
              <w:t>m</w:t>
            </w:r>
            <w:r w:rsidR="00CB1B28" w:rsidRPr="00216AEB">
              <w:rPr>
                <w:rFonts w:eastAsia="Calibri" w:cs="Times New Roman"/>
                <w:sz w:val="20"/>
                <w:szCs w:val="20"/>
                <w:lang w:val="fr-CA"/>
              </w:rPr>
              <w:t>i</w:t>
            </w:r>
            <w:r>
              <w:rPr>
                <w:rFonts w:eastAsia="Calibri" w:cs="Times New Roman"/>
                <w:sz w:val="20"/>
                <w:szCs w:val="20"/>
                <w:lang w:val="fr-CA"/>
              </w:rPr>
              <w:t>na</w:t>
            </w:r>
            <w:r w:rsidR="00CB1B28" w:rsidRPr="00216AEB">
              <w:rPr>
                <w:rFonts w:eastAsia="Calibri" w:cs="Times New Roman"/>
                <w:sz w:val="20"/>
                <w:szCs w:val="20"/>
                <w:lang w:val="fr-CA"/>
              </w:rPr>
              <w:t>l) (</w:t>
            </w:r>
            <w:r w:rsidR="00CB1B28">
              <w:rPr>
                <w:rFonts w:eastAsia="Calibri" w:cs="Times New Roman"/>
                <w:sz w:val="20"/>
                <w:szCs w:val="20"/>
                <w:lang w:val="fr-CA"/>
              </w:rPr>
              <w:t>As</w:t>
            </w:r>
            <w:r>
              <w:rPr>
                <w:rFonts w:eastAsia="Calibri" w:cs="Times New Roman"/>
                <w:sz w:val="20"/>
                <w:szCs w:val="20"/>
                <w:lang w:val="fr-CA"/>
              </w:rPr>
              <w:t xml:space="preserve"> </w:t>
            </w:r>
            <w:r w:rsidR="00CB1B28">
              <w:rPr>
                <w:rFonts w:eastAsia="Calibri" w:cs="Times New Roman"/>
                <w:sz w:val="20"/>
                <w:szCs w:val="20"/>
                <w:lang w:val="fr-CA"/>
              </w:rPr>
              <w:t>o</w:t>
            </w:r>
            <w:r>
              <w:rPr>
                <w:rFonts w:eastAsia="Calibri" w:cs="Times New Roman"/>
                <w:sz w:val="20"/>
                <w:szCs w:val="20"/>
                <w:lang w:val="fr-CA"/>
              </w:rPr>
              <w:t>r Right</w:t>
            </w:r>
            <w:r w:rsidR="00CB1B28" w:rsidRPr="00216AEB">
              <w:rPr>
                <w:rFonts w:eastAsia="Calibri" w:cs="Times New Roman"/>
                <w:sz w:val="20"/>
                <w:szCs w:val="20"/>
                <w:lang w:val="fr-CA"/>
              </w:rPr>
              <w:t>) (34</w:t>
            </w:r>
            <w:r>
              <w:rPr>
                <w:rFonts w:eastAsia="Calibri" w:cs="Times New Roman"/>
                <w:sz w:val="20"/>
                <w:szCs w:val="20"/>
                <w:lang w:val="fr-CA"/>
              </w:rPr>
              <w:t>720</w:t>
            </w:r>
            <w:r w:rsidR="00CB1B28" w:rsidRPr="00216AEB">
              <w:rPr>
                <w:rFonts w:eastAsia="Calibri" w:cs="Times New Roman"/>
                <w:sz w:val="20"/>
                <w:szCs w:val="20"/>
                <w:lang w:val="fr-CA"/>
              </w:rPr>
              <w:t>)</w:t>
            </w:r>
          </w:p>
        </w:tc>
      </w:tr>
      <w:tr w:rsidR="00CB1B28" w:rsidRPr="00216AEB" w:rsidTr="002647B4">
        <w:trPr>
          <w:cantSplit/>
          <w:trHeight w:val="720"/>
        </w:trPr>
        <w:tc>
          <w:tcPr>
            <w:tcW w:w="2398" w:type="dxa"/>
          </w:tcPr>
          <w:p w:rsidR="00CB1B28" w:rsidRPr="00216AEB" w:rsidRDefault="00CB1B28" w:rsidP="00F21E5E">
            <w:pPr>
              <w:rPr>
                <w:rFonts w:eastAsia="Calibri" w:cs="Times New Roman"/>
                <w:sz w:val="20"/>
                <w:szCs w:val="20"/>
                <w:lang w:val="fr-CA"/>
              </w:rPr>
            </w:pPr>
            <w:r w:rsidRPr="00216AEB">
              <w:rPr>
                <w:rFonts w:eastAsia="Calibri" w:cs="Times New Roman"/>
                <w:sz w:val="20"/>
                <w:szCs w:val="20"/>
                <w:lang w:val="fr-CA"/>
              </w:rPr>
              <w:t>2012-1</w:t>
            </w:r>
            <w:r w:rsidR="00F21E5E">
              <w:rPr>
                <w:rFonts w:eastAsia="Calibri" w:cs="Times New Roman"/>
                <w:sz w:val="20"/>
                <w:szCs w:val="20"/>
                <w:lang w:val="fr-CA"/>
              </w:rPr>
              <w:t>2</w:t>
            </w:r>
            <w:r w:rsidRPr="00216AEB">
              <w:rPr>
                <w:rFonts w:eastAsia="Calibri" w:cs="Times New Roman"/>
                <w:sz w:val="20"/>
                <w:szCs w:val="20"/>
                <w:lang w:val="fr-CA"/>
              </w:rPr>
              <w:t>-0</w:t>
            </w:r>
            <w:r w:rsidR="00F21E5E">
              <w:rPr>
                <w:rFonts w:eastAsia="Calibri" w:cs="Times New Roman"/>
                <w:sz w:val="20"/>
                <w:szCs w:val="20"/>
                <w:lang w:val="fr-CA"/>
              </w:rPr>
              <w:t>7</w:t>
            </w:r>
          </w:p>
        </w:tc>
        <w:tc>
          <w:tcPr>
            <w:tcW w:w="7178" w:type="dxa"/>
          </w:tcPr>
          <w:p w:rsidR="00CB1B28" w:rsidRDefault="001D2DF7" w:rsidP="002647B4">
            <w:pPr>
              <w:jc w:val="both"/>
              <w:rPr>
                <w:rFonts w:eastAsia="Calibri" w:cs="Times New Roman"/>
                <w:sz w:val="20"/>
                <w:szCs w:val="20"/>
              </w:rPr>
            </w:pPr>
            <w:r w:rsidRPr="001D2DF7">
              <w:rPr>
                <w:rFonts w:eastAsia="Calibri" w:cs="Times New Roman"/>
                <w:i/>
                <w:sz w:val="20"/>
                <w:szCs w:val="20"/>
              </w:rPr>
              <w:t>Communications, Energy and Paperworkers Union of Canada, Local 30</w:t>
            </w:r>
            <w:r w:rsidR="00CB1B28" w:rsidRPr="001D2DF7">
              <w:rPr>
                <w:rFonts w:eastAsia="Calibri" w:cs="Times New Roman"/>
                <w:i/>
                <w:sz w:val="20"/>
                <w:szCs w:val="20"/>
              </w:rPr>
              <w:t xml:space="preserve"> v. </w:t>
            </w:r>
            <w:r>
              <w:rPr>
                <w:rFonts w:eastAsia="Calibri" w:cs="Times New Roman"/>
                <w:i/>
                <w:sz w:val="20"/>
                <w:szCs w:val="20"/>
              </w:rPr>
              <w:t>I</w:t>
            </w:r>
            <w:r w:rsidR="00CB1B28" w:rsidRPr="001D2DF7">
              <w:rPr>
                <w:rFonts w:eastAsia="Calibri" w:cs="Times New Roman"/>
                <w:i/>
                <w:sz w:val="20"/>
                <w:szCs w:val="20"/>
              </w:rPr>
              <w:t>r</w:t>
            </w:r>
            <w:r>
              <w:rPr>
                <w:rFonts w:eastAsia="Calibri" w:cs="Times New Roman"/>
                <w:i/>
                <w:sz w:val="20"/>
                <w:szCs w:val="20"/>
              </w:rPr>
              <w:t>ving Pulp &amp; P</w:t>
            </w:r>
            <w:r w:rsidR="00CB1B28" w:rsidRPr="0085047E">
              <w:rPr>
                <w:rFonts w:eastAsia="Calibri" w:cs="Times New Roman"/>
                <w:i/>
                <w:sz w:val="20"/>
                <w:szCs w:val="20"/>
              </w:rPr>
              <w:t>a</w:t>
            </w:r>
            <w:r>
              <w:rPr>
                <w:rFonts w:eastAsia="Calibri" w:cs="Times New Roman"/>
                <w:i/>
                <w:sz w:val="20"/>
                <w:szCs w:val="20"/>
              </w:rPr>
              <w:t>p</w:t>
            </w:r>
            <w:r w:rsidR="00CB1B28" w:rsidRPr="0085047E">
              <w:rPr>
                <w:rFonts w:eastAsia="Calibri" w:cs="Times New Roman"/>
                <w:i/>
                <w:sz w:val="20"/>
                <w:szCs w:val="20"/>
              </w:rPr>
              <w:t>e</w:t>
            </w:r>
            <w:r>
              <w:rPr>
                <w:rFonts w:eastAsia="Calibri" w:cs="Times New Roman"/>
                <w:i/>
                <w:sz w:val="20"/>
                <w:szCs w:val="20"/>
              </w:rPr>
              <w:t>r, Limi</w:t>
            </w:r>
            <w:r w:rsidR="00CB1B28" w:rsidRPr="0085047E">
              <w:rPr>
                <w:rFonts w:eastAsia="Calibri" w:cs="Times New Roman"/>
                <w:i/>
                <w:sz w:val="20"/>
                <w:szCs w:val="20"/>
              </w:rPr>
              <w:t>t</w:t>
            </w:r>
            <w:r>
              <w:rPr>
                <w:rFonts w:eastAsia="Calibri" w:cs="Times New Roman"/>
                <w:i/>
                <w:sz w:val="20"/>
                <w:szCs w:val="20"/>
              </w:rPr>
              <w:t>ed</w:t>
            </w:r>
            <w:r w:rsidR="00CB1B28" w:rsidRPr="0085047E">
              <w:rPr>
                <w:rFonts w:eastAsia="Calibri" w:cs="Times New Roman"/>
                <w:sz w:val="20"/>
                <w:szCs w:val="20"/>
              </w:rPr>
              <w:t xml:space="preserve"> (</w:t>
            </w:r>
            <w:r>
              <w:rPr>
                <w:rFonts w:eastAsia="Calibri" w:cs="Times New Roman"/>
                <w:sz w:val="20"/>
                <w:szCs w:val="20"/>
              </w:rPr>
              <w:t>N.B</w:t>
            </w:r>
            <w:r w:rsidR="00CB1B28" w:rsidRPr="0085047E">
              <w:rPr>
                <w:rFonts w:eastAsia="Calibri" w:cs="Times New Roman"/>
                <w:sz w:val="20"/>
                <w:szCs w:val="20"/>
              </w:rPr>
              <w:t xml:space="preserve">.) </w:t>
            </w:r>
            <w:r w:rsidR="00CB1B28" w:rsidRPr="001D2DF7">
              <w:rPr>
                <w:rFonts w:eastAsia="Calibri" w:cs="Times New Roman"/>
                <w:sz w:val="20"/>
                <w:szCs w:val="20"/>
              </w:rPr>
              <w:t>(Ci</w:t>
            </w:r>
            <w:r>
              <w:rPr>
                <w:rFonts w:eastAsia="Calibri" w:cs="Times New Roman"/>
                <w:sz w:val="20"/>
                <w:szCs w:val="20"/>
              </w:rPr>
              <w:t>v</w:t>
            </w:r>
            <w:r w:rsidR="00CB1B28" w:rsidRPr="001D2DF7">
              <w:rPr>
                <w:rFonts w:eastAsia="Calibri" w:cs="Times New Roman"/>
                <w:sz w:val="20"/>
                <w:szCs w:val="20"/>
              </w:rPr>
              <w:t>il) (</w:t>
            </w:r>
            <w:r>
              <w:rPr>
                <w:rFonts w:eastAsia="Calibri" w:cs="Times New Roman"/>
                <w:sz w:val="20"/>
                <w:szCs w:val="20"/>
              </w:rPr>
              <w:t>By Leave</w:t>
            </w:r>
            <w:r w:rsidR="00CB1B28" w:rsidRPr="001D2DF7">
              <w:rPr>
                <w:rFonts w:eastAsia="Calibri" w:cs="Times New Roman"/>
                <w:sz w:val="20"/>
                <w:szCs w:val="20"/>
              </w:rPr>
              <w:t>) (34</w:t>
            </w:r>
            <w:r w:rsidRPr="001D2DF7">
              <w:rPr>
                <w:rFonts w:eastAsia="Calibri" w:cs="Times New Roman"/>
                <w:sz w:val="20"/>
                <w:szCs w:val="20"/>
              </w:rPr>
              <w:t>4</w:t>
            </w:r>
            <w:r w:rsidR="00CB1B28" w:rsidRPr="001D2DF7">
              <w:rPr>
                <w:rFonts w:eastAsia="Calibri" w:cs="Times New Roman"/>
                <w:sz w:val="20"/>
                <w:szCs w:val="20"/>
              </w:rPr>
              <w:t>7</w:t>
            </w:r>
            <w:r w:rsidRPr="001D2DF7">
              <w:rPr>
                <w:rFonts w:eastAsia="Calibri" w:cs="Times New Roman"/>
                <w:sz w:val="20"/>
                <w:szCs w:val="20"/>
              </w:rPr>
              <w:t>3</w:t>
            </w:r>
            <w:r w:rsidR="00CB1B28" w:rsidRPr="001D2DF7">
              <w:rPr>
                <w:rFonts w:eastAsia="Calibri" w:cs="Times New Roman"/>
                <w:sz w:val="20"/>
                <w:szCs w:val="20"/>
              </w:rPr>
              <w:t>)</w:t>
            </w:r>
          </w:p>
          <w:p w:rsidR="002647B4" w:rsidRPr="001D2DF7" w:rsidRDefault="002647B4" w:rsidP="002647B4">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CB1B28" w:rsidRPr="003A74F5" w:rsidTr="002647B4">
        <w:trPr>
          <w:cantSplit/>
          <w:trHeight w:val="720"/>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2012-1</w:t>
            </w:r>
            <w:r w:rsidR="00F21E5E">
              <w:rPr>
                <w:rFonts w:eastAsia="Calibri" w:cs="Times New Roman"/>
                <w:sz w:val="20"/>
                <w:szCs w:val="20"/>
              </w:rPr>
              <w:t>2</w:t>
            </w:r>
            <w:r w:rsidRPr="003A74F5">
              <w:rPr>
                <w:rFonts w:eastAsia="Calibri" w:cs="Times New Roman"/>
                <w:sz w:val="20"/>
                <w:szCs w:val="20"/>
              </w:rPr>
              <w:t>-1</w:t>
            </w:r>
            <w:r w:rsidR="00F21E5E">
              <w:rPr>
                <w:rFonts w:eastAsia="Calibri" w:cs="Times New Roman"/>
                <w:sz w:val="20"/>
                <w:szCs w:val="20"/>
              </w:rPr>
              <w:t>0</w:t>
            </w:r>
          </w:p>
        </w:tc>
        <w:tc>
          <w:tcPr>
            <w:tcW w:w="7178" w:type="dxa"/>
          </w:tcPr>
          <w:p w:rsidR="00CB1B28" w:rsidRDefault="001D2DF7" w:rsidP="00F21E5E">
            <w:pPr>
              <w:jc w:val="both"/>
              <w:rPr>
                <w:rFonts w:eastAsia="Calibri" w:cs="Times New Roman"/>
                <w:sz w:val="20"/>
                <w:szCs w:val="20"/>
              </w:rPr>
            </w:pPr>
            <w:r>
              <w:rPr>
                <w:rFonts w:eastAsia="Calibri" w:cs="Times New Roman"/>
                <w:i/>
                <w:sz w:val="20"/>
                <w:szCs w:val="20"/>
              </w:rPr>
              <w:t>B</w:t>
            </w:r>
            <w:r w:rsidR="00CB1B28" w:rsidRPr="0085047E">
              <w:rPr>
                <w:rFonts w:eastAsia="Calibri" w:cs="Times New Roman"/>
                <w:i/>
                <w:sz w:val="20"/>
                <w:szCs w:val="20"/>
              </w:rPr>
              <w:t>ria</w:t>
            </w:r>
            <w:r>
              <w:rPr>
                <w:rFonts w:eastAsia="Calibri" w:cs="Times New Roman"/>
                <w:i/>
                <w:sz w:val="20"/>
                <w:szCs w:val="20"/>
              </w:rPr>
              <w:t>n C</w:t>
            </w:r>
            <w:r w:rsidR="00CB1B28" w:rsidRPr="0085047E">
              <w:rPr>
                <w:rFonts w:eastAsia="Calibri" w:cs="Times New Roman"/>
                <w:i/>
                <w:sz w:val="20"/>
                <w:szCs w:val="20"/>
              </w:rPr>
              <w:t>u</w:t>
            </w:r>
            <w:r>
              <w:rPr>
                <w:rFonts w:eastAsia="Calibri" w:cs="Times New Roman"/>
                <w:i/>
                <w:sz w:val="20"/>
                <w:szCs w:val="20"/>
              </w:rPr>
              <w:t xml:space="preserve">thbertson </w:t>
            </w:r>
            <w:r w:rsidR="00CB1B28" w:rsidRPr="0085047E">
              <w:rPr>
                <w:rFonts w:eastAsia="Calibri" w:cs="Times New Roman"/>
                <w:i/>
                <w:sz w:val="20"/>
                <w:szCs w:val="20"/>
              </w:rPr>
              <w:t xml:space="preserve">et al. v. </w:t>
            </w:r>
            <w:r>
              <w:rPr>
                <w:rFonts w:eastAsia="Calibri" w:cs="Times New Roman"/>
                <w:i/>
                <w:sz w:val="20"/>
                <w:szCs w:val="20"/>
              </w:rPr>
              <w:t>Hassan Ras</w:t>
            </w:r>
            <w:r w:rsidR="00CB1B28">
              <w:rPr>
                <w:rFonts w:eastAsia="Calibri" w:cs="Times New Roman"/>
                <w:i/>
                <w:sz w:val="20"/>
                <w:szCs w:val="20"/>
              </w:rPr>
              <w:t>ou</w:t>
            </w:r>
            <w:r>
              <w:rPr>
                <w:rFonts w:eastAsia="Calibri" w:cs="Times New Roman"/>
                <w:i/>
                <w:sz w:val="20"/>
                <w:szCs w:val="20"/>
              </w:rPr>
              <w:t>l</w:t>
            </w:r>
            <w:r w:rsidR="00CB1B28">
              <w:rPr>
                <w:rFonts w:eastAsia="Calibri" w:cs="Times New Roman"/>
                <w:i/>
                <w:sz w:val="20"/>
                <w:szCs w:val="20"/>
              </w:rPr>
              <w:t>i</w:t>
            </w:r>
            <w:r>
              <w:rPr>
                <w:rFonts w:eastAsia="Calibri" w:cs="Times New Roman"/>
                <w:i/>
                <w:sz w:val="20"/>
                <w:szCs w:val="20"/>
              </w:rPr>
              <w:t xml:space="preserve"> by his Litig</w:t>
            </w:r>
            <w:r w:rsidR="00CB1B28">
              <w:rPr>
                <w:rFonts w:eastAsia="Calibri" w:cs="Times New Roman"/>
                <w:i/>
                <w:sz w:val="20"/>
                <w:szCs w:val="20"/>
              </w:rPr>
              <w:t>a</w:t>
            </w:r>
            <w:r>
              <w:rPr>
                <w:rFonts w:eastAsia="Calibri" w:cs="Times New Roman"/>
                <w:i/>
                <w:sz w:val="20"/>
                <w:szCs w:val="20"/>
              </w:rPr>
              <w:t>ti</w:t>
            </w:r>
            <w:r w:rsidR="00CB1B28" w:rsidRPr="0085047E">
              <w:rPr>
                <w:rFonts w:eastAsia="Calibri" w:cs="Times New Roman"/>
                <w:i/>
                <w:sz w:val="20"/>
                <w:szCs w:val="20"/>
              </w:rPr>
              <w:t>on</w:t>
            </w:r>
            <w:r>
              <w:rPr>
                <w:rFonts w:eastAsia="Calibri" w:cs="Times New Roman"/>
                <w:i/>
                <w:sz w:val="20"/>
                <w:szCs w:val="20"/>
              </w:rPr>
              <w:t xml:space="preserve"> Gu</w:t>
            </w:r>
            <w:r w:rsidR="00CB1B28">
              <w:rPr>
                <w:rFonts w:eastAsia="Calibri" w:cs="Times New Roman"/>
                <w:i/>
                <w:sz w:val="20"/>
                <w:szCs w:val="20"/>
              </w:rPr>
              <w:t>a</w:t>
            </w:r>
            <w:r>
              <w:rPr>
                <w:rFonts w:eastAsia="Calibri" w:cs="Times New Roman"/>
                <w:i/>
                <w:sz w:val="20"/>
                <w:szCs w:val="20"/>
              </w:rPr>
              <w:t>rdi</w:t>
            </w:r>
            <w:r w:rsidR="00CB1B28">
              <w:rPr>
                <w:rFonts w:eastAsia="Calibri" w:cs="Times New Roman"/>
                <w:i/>
                <w:sz w:val="20"/>
                <w:szCs w:val="20"/>
              </w:rPr>
              <w:t>an</w:t>
            </w:r>
            <w:r>
              <w:rPr>
                <w:rFonts w:eastAsia="Calibri" w:cs="Times New Roman"/>
                <w:i/>
                <w:sz w:val="20"/>
                <w:szCs w:val="20"/>
              </w:rPr>
              <w:t xml:space="preserve"> and Susbstitute Decision M</w:t>
            </w:r>
            <w:r w:rsidR="00CB1B28">
              <w:rPr>
                <w:rFonts w:eastAsia="Calibri" w:cs="Times New Roman"/>
                <w:i/>
                <w:sz w:val="20"/>
                <w:szCs w:val="20"/>
              </w:rPr>
              <w:t>a</w:t>
            </w:r>
            <w:r>
              <w:rPr>
                <w:rFonts w:eastAsia="Calibri" w:cs="Times New Roman"/>
                <w:i/>
                <w:sz w:val="20"/>
                <w:szCs w:val="20"/>
              </w:rPr>
              <w:t>k</w:t>
            </w:r>
            <w:r w:rsidR="00CB1B28">
              <w:rPr>
                <w:rFonts w:eastAsia="Calibri" w:cs="Times New Roman"/>
                <w:i/>
                <w:sz w:val="20"/>
                <w:szCs w:val="20"/>
              </w:rPr>
              <w:t>er</w:t>
            </w:r>
            <w:r>
              <w:rPr>
                <w:rFonts w:eastAsia="Calibri" w:cs="Times New Roman"/>
                <w:i/>
                <w:sz w:val="20"/>
                <w:szCs w:val="20"/>
              </w:rPr>
              <w:t>, Parich</w:t>
            </w:r>
            <w:r w:rsidR="00CB1B28" w:rsidRPr="0085047E">
              <w:rPr>
                <w:rFonts w:eastAsia="Calibri" w:cs="Times New Roman"/>
                <w:i/>
                <w:sz w:val="20"/>
                <w:szCs w:val="20"/>
              </w:rPr>
              <w:t>e</w:t>
            </w:r>
            <w:r w:rsidR="00CA0834">
              <w:rPr>
                <w:rFonts w:eastAsia="Calibri" w:cs="Times New Roman"/>
                <w:i/>
                <w:sz w:val="20"/>
                <w:szCs w:val="20"/>
              </w:rPr>
              <w:t>h</w:t>
            </w:r>
            <w:r>
              <w:rPr>
                <w:rFonts w:eastAsia="Calibri" w:cs="Times New Roman"/>
                <w:i/>
                <w:sz w:val="20"/>
                <w:szCs w:val="20"/>
              </w:rPr>
              <w:t>r S</w:t>
            </w:r>
            <w:r w:rsidR="00CB1B28" w:rsidRPr="0085047E">
              <w:rPr>
                <w:rFonts w:eastAsia="Calibri" w:cs="Times New Roman"/>
                <w:i/>
                <w:sz w:val="20"/>
                <w:szCs w:val="20"/>
              </w:rPr>
              <w:t>al</w:t>
            </w:r>
            <w:r>
              <w:rPr>
                <w:rFonts w:eastAsia="Calibri" w:cs="Times New Roman"/>
                <w:i/>
                <w:sz w:val="20"/>
                <w:szCs w:val="20"/>
              </w:rPr>
              <w:t>asel</w:t>
            </w:r>
            <w:r w:rsidR="00CB1B28" w:rsidRPr="0085047E">
              <w:rPr>
                <w:rFonts w:eastAsia="Calibri" w:cs="Times New Roman"/>
                <w:sz w:val="20"/>
                <w:szCs w:val="20"/>
              </w:rPr>
              <w:t xml:space="preserve"> </w:t>
            </w:r>
            <w:r w:rsidR="00CB1B28" w:rsidRPr="003A74F5">
              <w:rPr>
                <w:rFonts w:eastAsia="Calibri" w:cs="Times New Roman"/>
                <w:sz w:val="20"/>
                <w:szCs w:val="20"/>
              </w:rPr>
              <w:t>(</w:t>
            </w:r>
            <w:r>
              <w:rPr>
                <w:rFonts w:eastAsia="Calibri" w:cs="Times New Roman"/>
                <w:sz w:val="20"/>
                <w:szCs w:val="20"/>
              </w:rPr>
              <w:t>Ont</w:t>
            </w:r>
            <w:r w:rsidR="00CB1B28" w:rsidRPr="003A74F5">
              <w:rPr>
                <w:rFonts w:eastAsia="Calibri" w:cs="Times New Roman"/>
                <w:sz w:val="20"/>
                <w:szCs w:val="20"/>
              </w:rPr>
              <w:t>.) (Civil) (By Leave) (34</w:t>
            </w:r>
            <w:r w:rsidR="00CB1B28">
              <w:rPr>
                <w:rFonts w:eastAsia="Calibri" w:cs="Times New Roman"/>
                <w:sz w:val="20"/>
                <w:szCs w:val="20"/>
              </w:rPr>
              <w:t>3</w:t>
            </w:r>
            <w:r>
              <w:rPr>
                <w:rFonts w:eastAsia="Calibri" w:cs="Times New Roman"/>
                <w:sz w:val="20"/>
                <w:szCs w:val="20"/>
              </w:rPr>
              <w:t>62</w:t>
            </w:r>
            <w:r w:rsidR="00CB1B28" w:rsidRPr="003A74F5">
              <w:rPr>
                <w:rFonts w:eastAsia="Calibri" w:cs="Times New Roman"/>
                <w:sz w:val="20"/>
                <w:szCs w:val="20"/>
              </w:rPr>
              <w:t>)</w:t>
            </w:r>
          </w:p>
          <w:p w:rsidR="00CB1B28" w:rsidRPr="003A74F5" w:rsidRDefault="001D2DF7" w:rsidP="002647B4">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CB1B28" w:rsidRPr="003A74F5" w:rsidTr="001A4DC5">
        <w:trPr>
          <w:cantSplit/>
          <w:trHeight w:val="518"/>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2012-1</w:t>
            </w:r>
            <w:r w:rsidR="00F21E5E">
              <w:rPr>
                <w:rFonts w:eastAsia="Calibri" w:cs="Times New Roman"/>
                <w:sz w:val="20"/>
                <w:szCs w:val="20"/>
              </w:rPr>
              <w:t>2</w:t>
            </w:r>
            <w:r w:rsidRPr="003A74F5">
              <w:rPr>
                <w:rFonts w:eastAsia="Calibri" w:cs="Times New Roman"/>
                <w:sz w:val="20"/>
                <w:szCs w:val="20"/>
              </w:rPr>
              <w:t>-1</w:t>
            </w:r>
            <w:r w:rsidR="00F21E5E">
              <w:rPr>
                <w:rFonts w:eastAsia="Calibri" w:cs="Times New Roman"/>
                <w:sz w:val="20"/>
                <w:szCs w:val="20"/>
              </w:rPr>
              <w:t>1</w:t>
            </w:r>
          </w:p>
        </w:tc>
        <w:tc>
          <w:tcPr>
            <w:tcW w:w="7178" w:type="dxa"/>
          </w:tcPr>
          <w:p w:rsidR="00CB1B28" w:rsidRPr="001C0139" w:rsidRDefault="001D2DF7" w:rsidP="00F21E5E">
            <w:pPr>
              <w:jc w:val="both"/>
              <w:rPr>
                <w:rFonts w:eastAsia="Calibri" w:cs="Times New Roman"/>
                <w:sz w:val="20"/>
                <w:szCs w:val="20"/>
              </w:rPr>
            </w:pPr>
            <w:r>
              <w:rPr>
                <w:rFonts w:eastAsia="Calibri" w:cs="Times New Roman"/>
                <w:i/>
                <w:sz w:val="20"/>
                <w:szCs w:val="20"/>
              </w:rPr>
              <w:t xml:space="preserve">Sally Behn </w:t>
            </w:r>
            <w:r w:rsidR="00CB1B28" w:rsidRPr="00202908">
              <w:rPr>
                <w:rFonts w:eastAsia="Calibri" w:cs="Times New Roman"/>
                <w:i/>
                <w:sz w:val="20"/>
                <w:szCs w:val="20"/>
              </w:rPr>
              <w:t>e</w:t>
            </w:r>
            <w:r>
              <w:rPr>
                <w:rFonts w:eastAsia="Calibri" w:cs="Times New Roman"/>
                <w:i/>
                <w:sz w:val="20"/>
                <w:szCs w:val="20"/>
              </w:rPr>
              <w:t xml:space="preserve">t </w:t>
            </w:r>
            <w:r w:rsidR="00CB1B28" w:rsidRPr="00202908">
              <w:rPr>
                <w:rFonts w:eastAsia="Calibri" w:cs="Times New Roman"/>
                <w:i/>
                <w:sz w:val="20"/>
                <w:szCs w:val="20"/>
              </w:rPr>
              <w:t>a</w:t>
            </w:r>
            <w:r>
              <w:rPr>
                <w:rFonts w:eastAsia="Calibri" w:cs="Times New Roman"/>
                <w:i/>
                <w:sz w:val="20"/>
                <w:szCs w:val="20"/>
              </w:rPr>
              <w:t>l</w:t>
            </w:r>
            <w:r w:rsidR="00BF542F">
              <w:rPr>
                <w:rFonts w:eastAsia="Calibri" w:cs="Times New Roman"/>
                <w:i/>
                <w:sz w:val="20"/>
                <w:szCs w:val="20"/>
              </w:rPr>
              <w:t>.</w:t>
            </w:r>
            <w:r>
              <w:rPr>
                <w:rFonts w:eastAsia="Calibri" w:cs="Times New Roman"/>
                <w:i/>
                <w:sz w:val="20"/>
                <w:szCs w:val="20"/>
              </w:rPr>
              <w:t xml:space="preserve"> v. Moult</w:t>
            </w:r>
            <w:r w:rsidR="00CB1B28">
              <w:rPr>
                <w:rFonts w:eastAsia="Calibri" w:cs="Times New Roman"/>
                <w:i/>
                <w:sz w:val="20"/>
                <w:szCs w:val="20"/>
              </w:rPr>
              <w:t>on</w:t>
            </w:r>
            <w:r>
              <w:rPr>
                <w:rFonts w:eastAsia="Calibri" w:cs="Times New Roman"/>
                <w:i/>
                <w:sz w:val="20"/>
                <w:szCs w:val="20"/>
              </w:rPr>
              <w:t xml:space="preserve"> C</w:t>
            </w:r>
            <w:r w:rsidR="00CB1B28">
              <w:rPr>
                <w:rFonts w:eastAsia="Calibri" w:cs="Times New Roman"/>
                <w:i/>
                <w:sz w:val="20"/>
                <w:szCs w:val="20"/>
              </w:rPr>
              <w:t>ontra</w:t>
            </w:r>
            <w:r>
              <w:rPr>
                <w:rFonts w:eastAsia="Calibri" w:cs="Times New Roman"/>
                <w:i/>
                <w:sz w:val="20"/>
                <w:szCs w:val="20"/>
              </w:rPr>
              <w:t>c</w:t>
            </w:r>
            <w:r w:rsidR="00CB1B28">
              <w:rPr>
                <w:rFonts w:eastAsia="Calibri" w:cs="Times New Roman"/>
                <w:i/>
                <w:sz w:val="20"/>
                <w:szCs w:val="20"/>
              </w:rPr>
              <w:t>tin</w:t>
            </w:r>
            <w:r>
              <w:rPr>
                <w:rFonts w:eastAsia="Calibri" w:cs="Times New Roman"/>
                <w:i/>
                <w:sz w:val="20"/>
                <w:szCs w:val="20"/>
              </w:rPr>
              <w:t>g L</w:t>
            </w:r>
            <w:r w:rsidR="00CB1B28">
              <w:rPr>
                <w:rFonts w:eastAsia="Calibri" w:cs="Times New Roman"/>
                <w:i/>
                <w:sz w:val="20"/>
                <w:szCs w:val="20"/>
              </w:rPr>
              <w:t>t</w:t>
            </w:r>
            <w:r>
              <w:rPr>
                <w:rFonts w:eastAsia="Calibri" w:cs="Times New Roman"/>
                <w:i/>
                <w:sz w:val="20"/>
                <w:szCs w:val="20"/>
              </w:rPr>
              <w:t xml:space="preserve">d. et </w:t>
            </w:r>
            <w:r w:rsidR="00CB1B28">
              <w:rPr>
                <w:rFonts w:eastAsia="Calibri" w:cs="Times New Roman"/>
                <w:i/>
                <w:sz w:val="20"/>
                <w:szCs w:val="20"/>
              </w:rPr>
              <w:t>a</w:t>
            </w:r>
            <w:r>
              <w:rPr>
                <w:rFonts w:eastAsia="Calibri" w:cs="Times New Roman"/>
                <w:i/>
                <w:sz w:val="20"/>
                <w:szCs w:val="20"/>
              </w:rPr>
              <w:t>l.</w:t>
            </w:r>
            <w:r w:rsidR="00CB1B28">
              <w:rPr>
                <w:rFonts w:eastAsia="Calibri" w:cs="Times New Roman"/>
                <w:i/>
                <w:sz w:val="20"/>
                <w:szCs w:val="20"/>
              </w:rPr>
              <w:t xml:space="preserve"> </w:t>
            </w:r>
            <w:r w:rsidR="00CB1B28" w:rsidRPr="00202908">
              <w:rPr>
                <w:rFonts w:eastAsia="Calibri" w:cs="Times New Roman"/>
                <w:sz w:val="20"/>
                <w:szCs w:val="20"/>
              </w:rPr>
              <w:t>(</w:t>
            </w:r>
            <w:r>
              <w:rPr>
                <w:rFonts w:eastAsia="Calibri" w:cs="Times New Roman"/>
                <w:sz w:val="20"/>
                <w:szCs w:val="20"/>
              </w:rPr>
              <w:t>B</w:t>
            </w:r>
            <w:r w:rsidR="00CB1B28" w:rsidRPr="00202908">
              <w:rPr>
                <w:rFonts w:eastAsia="Calibri" w:cs="Times New Roman"/>
                <w:sz w:val="20"/>
                <w:szCs w:val="20"/>
              </w:rPr>
              <w:t>.</w:t>
            </w:r>
            <w:r>
              <w:rPr>
                <w:rFonts w:eastAsia="Calibri" w:cs="Times New Roman"/>
                <w:sz w:val="20"/>
                <w:szCs w:val="20"/>
              </w:rPr>
              <w:t>C.</w:t>
            </w:r>
            <w:r w:rsidR="00CB1B28" w:rsidRPr="00202908">
              <w:rPr>
                <w:rFonts w:eastAsia="Calibri" w:cs="Times New Roman"/>
                <w:sz w:val="20"/>
                <w:szCs w:val="20"/>
              </w:rPr>
              <w:t xml:space="preserve">) </w:t>
            </w:r>
            <w:r w:rsidR="00CB1B28" w:rsidRPr="00F21E5E">
              <w:rPr>
                <w:rFonts w:eastAsia="Calibri" w:cs="Times New Roman"/>
                <w:sz w:val="20"/>
                <w:szCs w:val="20"/>
              </w:rPr>
              <w:t>(Civil) (By Leave) (344</w:t>
            </w:r>
            <w:r>
              <w:rPr>
                <w:rFonts w:eastAsia="Calibri" w:cs="Times New Roman"/>
                <w:sz w:val="20"/>
                <w:szCs w:val="20"/>
              </w:rPr>
              <w:t>04</w:t>
            </w:r>
            <w:r w:rsidR="00CB1B28" w:rsidRPr="00F21E5E">
              <w:rPr>
                <w:rFonts w:eastAsia="Calibri" w:cs="Times New Roman"/>
                <w:sz w:val="20"/>
                <w:szCs w:val="20"/>
              </w:rPr>
              <w:t>)</w:t>
            </w:r>
          </w:p>
          <w:p w:rsidR="00CB1B28" w:rsidRPr="003A74F5" w:rsidRDefault="002647B4" w:rsidP="00F21E5E">
            <w:pPr>
              <w:jc w:val="both"/>
              <w:rPr>
                <w:rFonts w:eastAsia="Calibri" w:cs="Times New Roman"/>
                <w:sz w:val="20"/>
                <w:szCs w:val="20"/>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CB1B28" w:rsidRPr="0085047E" w:rsidTr="001A4DC5">
        <w:trPr>
          <w:cantSplit/>
          <w:trHeight w:val="720"/>
        </w:trPr>
        <w:tc>
          <w:tcPr>
            <w:tcW w:w="2398" w:type="dxa"/>
          </w:tcPr>
          <w:p w:rsidR="00CB1B28" w:rsidRPr="003A74F5" w:rsidRDefault="00CB1B28" w:rsidP="00F21E5E">
            <w:pPr>
              <w:rPr>
                <w:rFonts w:eastAsia="Calibri" w:cs="Times New Roman"/>
                <w:sz w:val="20"/>
                <w:szCs w:val="20"/>
              </w:rPr>
            </w:pPr>
            <w:r w:rsidRPr="003A74F5">
              <w:rPr>
                <w:rFonts w:eastAsia="Calibri" w:cs="Times New Roman"/>
                <w:sz w:val="20"/>
                <w:szCs w:val="20"/>
              </w:rPr>
              <w:t>2012-1</w:t>
            </w:r>
            <w:r w:rsidR="00F21E5E">
              <w:rPr>
                <w:rFonts w:eastAsia="Calibri" w:cs="Times New Roman"/>
                <w:sz w:val="20"/>
                <w:szCs w:val="20"/>
              </w:rPr>
              <w:t>2</w:t>
            </w:r>
            <w:r w:rsidRPr="003A74F5">
              <w:rPr>
                <w:rFonts w:eastAsia="Calibri" w:cs="Times New Roman"/>
                <w:sz w:val="20"/>
                <w:szCs w:val="20"/>
              </w:rPr>
              <w:t>-1</w:t>
            </w:r>
            <w:r w:rsidR="00F21E5E">
              <w:rPr>
                <w:rFonts w:eastAsia="Calibri" w:cs="Times New Roman"/>
                <w:sz w:val="20"/>
                <w:szCs w:val="20"/>
              </w:rPr>
              <w:t>2</w:t>
            </w:r>
          </w:p>
        </w:tc>
        <w:tc>
          <w:tcPr>
            <w:tcW w:w="7178" w:type="dxa"/>
          </w:tcPr>
          <w:p w:rsidR="00CB1B28" w:rsidRPr="00BF542F" w:rsidRDefault="001D2DF7" w:rsidP="00F21E5E">
            <w:pPr>
              <w:jc w:val="both"/>
              <w:rPr>
                <w:rFonts w:eastAsia="Calibri" w:cs="Times New Roman"/>
                <w:sz w:val="20"/>
                <w:szCs w:val="20"/>
              </w:rPr>
            </w:pP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Pr="001D2DF7">
              <w:rPr>
                <w:rFonts w:eastAsia="Calibri" w:cs="Times New Roman"/>
                <w:i/>
                <w:sz w:val="20"/>
                <w:szCs w:val="20"/>
              </w:rPr>
              <w:t xml:space="preserve"> </w:t>
            </w:r>
            <w:r w:rsidR="00CB1B28" w:rsidRPr="001D2DF7">
              <w:rPr>
                <w:rFonts w:eastAsia="Calibri" w:cs="Times New Roman"/>
                <w:i/>
                <w:sz w:val="20"/>
                <w:szCs w:val="20"/>
              </w:rPr>
              <w:t xml:space="preserve">v. </w:t>
            </w:r>
            <w:r>
              <w:rPr>
                <w:rFonts w:eastAsia="Calibri" w:cs="Times New Roman"/>
                <w:i/>
                <w:sz w:val="20"/>
                <w:szCs w:val="20"/>
              </w:rPr>
              <w:t>C</w:t>
            </w:r>
            <w:r w:rsidR="00CB1B28" w:rsidRPr="001D2DF7">
              <w:rPr>
                <w:rFonts w:eastAsia="Calibri" w:cs="Times New Roman"/>
                <w:i/>
                <w:sz w:val="20"/>
                <w:szCs w:val="20"/>
              </w:rPr>
              <w:t>ri</w:t>
            </w:r>
            <w:r>
              <w:rPr>
                <w:rFonts w:eastAsia="Calibri" w:cs="Times New Roman"/>
                <w:i/>
                <w:sz w:val="20"/>
                <w:szCs w:val="20"/>
              </w:rPr>
              <w:t>minal Lawy</w:t>
            </w:r>
            <w:r w:rsidR="00CB1B28" w:rsidRPr="001D2DF7">
              <w:rPr>
                <w:rFonts w:eastAsia="Calibri" w:cs="Times New Roman"/>
                <w:i/>
                <w:sz w:val="20"/>
                <w:szCs w:val="20"/>
              </w:rPr>
              <w:t>er</w:t>
            </w:r>
            <w:r>
              <w:rPr>
                <w:rFonts w:eastAsia="Calibri" w:cs="Times New Roman"/>
                <w:i/>
                <w:sz w:val="20"/>
                <w:szCs w:val="20"/>
              </w:rPr>
              <w:t>s' Ass</w:t>
            </w:r>
            <w:r w:rsidR="00CB1B28" w:rsidRPr="001D2DF7">
              <w:rPr>
                <w:rFonts w:eastAsia="Calibri" w:cs="Times New Roman"/>
                <w:i/>
                <w:sz w:val="20"/>
                <w:szCs w:val="20"/>
              </w:rPr>
              <w:t>o</w:t>
            </w:r>
            <w:r>
              <w:rPr>
                <w:rFonts w:eastAsia="Calibri" w:cs="Times New Roman"/>
                <w:i/>
                <w:sz w:val="20"/>
                <w:szCs w:val="20"/>
              </w:rPr>
              <w:t>ciatio</w:t>
            </w:r>
            <w:r w:rsidR="00CB1B28" w:rsidRPr="001D2DF7">
              <w:rPr>
                <w:rFonts w:eastAsia="Calibri" w:cs="Times New Roman"/>
                <w:i/>
                <w:sz w:val="20"/>
                <w:szCs w:val="20"/>
              </w:rPr>
              <w:t>n</w:t>
            </w:r>
            <w:r w:rsidR="002647B4">
              <w:rPr>
                <w:rFonts w:eastAsia="Calibri" w:cs="Times New Roman"/>
                <w:i/>
                <w:sz w:val="20"/>
                <w:szCs w:val="20"/>
              </w:rPr>
              <w:t xml:space="preserve"> of Ontario</w:t>
            </w:r>
            <w:r w:rsidR="00CB1B28" w:rsidRPr="001D2DF7">
              <w:rPr>
                <w:rFonts w:eastAsia="Calibri" w:cs="Times New Roman"/>
                <w:i/>
                <w:sz w:val="20"/>
                <w:szCs w:val="20"/>
              </w:rPr>
              <w:t xml:space="preserve"> et al.</w:t>
            </w:r>
            <w:r w:rsidR="00CB1B28" w:rsidRPr="001D2DF7">
              <w:rPr>
                <w:rFonts w:eastAsia="Calibri" w:cs="Times New Roman"/>
                <w:sz w:val="20"/>
                <w:szCs w:val="20"/>
              </w:rPr>
              <w:t xml:space="preserve"> (</w:t>
            </w:r>
            <w:r w:rsidR="002647B4">
              <w:rPr>
                <w:rFonts w:eastAsia="Calibri" w:cs="Times New Roman"/>
                <w:sz w:val="20"/>
                <w:szCs w:val="20"/>
              </w:rPr>
              <w:t>On</w:t>
            </w:r>
            <w:r w:rsidR="00CB1B28" w:rsidRPr="001D2DF7">
              <w:rPr>
                <w:rFonts w:eastAsia="Calibri" w:cs="Times New Roman"/>
                <w:sz w:val="20"/>
                <w:szCs w:val="20"/>
              </w:rPr>
              <w:t>t.) (C</w:t>
            </w:r>
            <w:r w:rsidR="002647B4">
              <w:rPr>
                <w:rFonts w:eastAsia="Calibri" w:cs="Times New Roman"/>
                <w:sz w:val="20"/>
                <w:szCs w:val="20"/>
              </w:rPr>
              <w:t>r</w:t>
            </w:r>
            <w:r w:rsidR="00CB1B28" w:rsidRPr="001D2DF7">
              <w:rPr>
                <w:rFonts w:eastAsia="Calibri" w:cs="Times New Roman"/>
                <w:sz w:val="20"/>
                <w:szCs w:val="20"/>
              </w:rPr>
              <w:t>i</w:t>
            </w:r>
            <w:r w:rsidR="002647B4">
              <w:rPr>
                <w:rFonts w:eastAsia="Calibri" w:cs="Times New Roman"/>
                <w:sz w:val="20"/>
                <w:szCs w:val="20"/>
              </w:rPr>
              <w:t>m</w:t>
            </w:r>
            <w:r w:rsidR="00CB1B28" w:rsidRPr="001D2DF7">
              <w:rPr>
                <w:rFonts w:eastAsia="Calibri" w:cs="Times New Roman"/>
                <w:sz w:val="20"/>
                <w:szCs w:val="20"/>
              </w:rPr>
              <w:t>i</w:t>
            </w:r>
            <w:r w:rsidR="002647B4">
              <w:rPr>
                <w:rFonts w:eastAsia="Calibri" w:cs="Times New Roman"/>
                <w:sz w:val="20"/>
                <w:szCs w:val="20"/>
              </w:rPr>
              <w:t>na</w:t>
            </w:r>
            <w:r w:rsidR="00CB1B28" w:rsidRPr="001D2DF7">
              <w:rPr>
                <w:rFonts w:eastAsia="Calibri" w:cs="Times New Roman"/>
                <w:sz w:val="20"/>
                <w:szCs w:val="20"/>
              </w:rPr>
              <w:t>l) (By Leave) (34</w:t>
            </w:r>
            <w:r w:rsidR="002647B4">
              <w:rPr>
                <w:rFonts w:eastAsia="Calibri" w:cs="Times New Roman"/>
                <w:sz w:val="20"/>
                <w:szCs w:val="20"/>
              </w:rPr>
              <w:t>317</w:t>
            </w:r>
            <w:r w:rsidR="00CB1B28" w:rsidRPr="00BF542F">
              <w:rPr>
                <w:rFonts w:eastAsia="Calibri" w:cs="Times New Roman"/>
                <w:sz w:val="20"/>
                <w:szCs w:val="20"/>
              </w:rPr>
              <w:t>)</w:t>
            </w:r>
          </w:p>
          <w:p w:rsidR="00CB1B28" w:rsidRPr="003A74F5" w:rsidRDefault="002647B4" w:rsidP="002647B4">
            <w:pPr>
              <w:jc w:val="both"/>
              <w:rPr>
                <w:rFonts w:eastAsia="Calibri" w:cs="Times New Roman"/>
                <w:sz w:val="20"/>
                <w:szCs w:val="20"/>
                <w:lang w:val="fr-CA"/>
              </w:rPr>
            </w:pPr>
            <w:r w:rsidRPr="00E4453F">
              <w:rPr>
                <w:rFonts w:eastAsia="Calibri" w:cs="Times New Roman"/>
                <w:sz w:val="20"/>
                <w:szCs w:val="20"/>
              </w:rPr>
              <w:t>(</w:t>
            </w:r>
            <w:r w:rsidRPr="00E4453F">
              <w:rPr>
                <w:rFonts w:eastAsia="Calibri" w:cs="Times New Roman"/>
                <w:sz w:val="20"/>
                <w:szCs w:val="20"/>
                <w:lang w:val="en-US"/>
              </w:rPr>
              <w:t>Early start time: 9:00 a.m. / Horaire modifié : audience débutant à 9 h)</w:t>
            </w:r>
          </w:p>
        </w:tc>
      </w:tr>
      <w:tr w:rsidR="00F21E5E" w:rsidRPr="00486CA3" w:rsidTr="001A4DC5">
        <w:trPr>
          <w:cantSplit/>
          <w:trHeight w:val="288"/>
        </w:trPr>
        <w:tc>
          <w:tcPr>
            <w:tcW w:w="2398" w:type="dxa"/>
          </w:tcPr>
          <w:p w:rsidR="00F21E5E" w:rsidRPr="003A74F5" w:rsidRDefault="00F21E5E" w:rsidP="00F21E5E">
            <w:pPr>
              <w:rPr>
                <w:rFonts w:eastAsia="Calibri" w:cs="Times New Roman"/>
                <w:sz w:val="20"/>
                <w:szCs w:val="20"/>
              </w:rPr>
            </w:pPr>
            <w:r>
              <w:rPr>
                <w:rFonts w:eastAsia="Calibri" w:cs="Times New Roman"/>
                <w:sz w:val="20"/>
                <w:szCs w:val="20"/>
              </w:rPr>
              <w:t>2012-12-13</w:t>
            </w:r>
          </w:p>
        </w:tc>
        <w:tc>
          <w:tcPr>
            <w:tcW w:w="7178" w:type="dxa"/>
          </w:tcPr>
          <w:p w:rsidR="00F21E5E" w:rsidRPr="002647B4" w:rsidRDefault="002647B4" w:rsidP="002647B4">
            <w:pPr>
              <w:jc w:val="both"/>
              <w:rPr>
                <w:rFonts w:eastAsia="Calibri" w:cs="Times New Roman"/>
                <w:sz w:val="20"/>
                <w:szCs w:val="20"/>
                <w:lang w:val="fr-CA"/>
              </w:rPr>
            </w:pPr>
            <w:r w:rsidRPr="002647B4">
              <w:rPr>
                <w:rFonts w:eastAsia="Calibri" w:cs="Times New Roman"/>
                <w:i/>
                <w:sz w:val="20"/>
                <w:szCs w:val="20"/>
                <w:lang w:val="fr-CA"/>
              </w:rPr>
              <w:t>Cathie Gauthier</w:t>
            </w:r>
            <w:r w:rsidR="00F21E5E" w:rsidRPr="002647B4">
              <w:rPr>
                <w:rFonts w:eastAsia="Calibri" w:cs="Times New Roman"/>
                <w:i/>
                <w:sz w:val="20"/>
                <w:szCs w:val="20"/>
                <w:lang w:val="fr-CA"/>
              </w:rPr>
              <w:t xml:space="preserve"> </w:t>
            </w:r>
            <w:r w:rsidRPr="002647B4">
              <w:rPr>
                <w:rFonts w:eastAsia="Calibri" w:cs="Times New Roman"/>
                <w:i/>
                <w:sz w:val="20"/>
                <w:szCs w:val="20"/>
                <w:lang w:val="fr-CA"/>
              </w:rPr>
              <w:t>c</w:t>
            </w:r>
            <w:r w:rsidR="00F21E5E" w:rsidRPr="002647B4">
              <w:rPr>
                <w:rFonts w:eastAsia="Calibri" w:cs="Times New Roman"/>
                <w:i/>
                <w:sz w:val="20"/>
                <w:szCs w:val="20"/>
                <w:lang w:val="fr-CA"/>
              </w:rPr>
              <w:t xml:space="preserve">. </w:t>
            </w:r>
            <w:r w:rsidRPr="00F21E5E">
              <w:rPr>
                <w:rFonts w:eastAsia="Calibri" w:cs="Times New Roman"/>
                <w:i/>
                <w:sz w:val="20"/>
                <w:szCs w:val="20"/>
                <w:lang w:val="fr-CA"/>
              </w:rPr>
              <w:t>Sa Majesté la Reine</w:t>
            </w:r>
            <w:r w:rsidRPr="002647B4">
              <w:rPr>
                <w:rFonts w:eastAsia="Calibri" w:cs="Times New Roman"/>
                <w:sz w:val="20"/>
                <w:szCs w:val="20"/>
                <w:lang w:val="fr-CA"/>
              </w:rPr>
              <w:t xml:space="preserve"> </w:t>
            </w:r>
            <w:r w:rsidR="00F21E5E" w:rsidRPr="002647B4">
              <w:rPr>
                <w:rFonts w:eastAsia="Calibri" w:cs="Times New Roman"/>
                <w:sz w:val="20"/>
                <w:szCs w:val="20"/>
                <w:lang w:val="fr-CA"/>
              </w:rPr>
              <w:t>(</w:t>
            </w:r>
            <w:r w:rsidRPr="002647B4">
              <w:rPr>
                <w:rFonts w:eastAsia="Calibri" w:cs="Times New Roman"/>
                <w:sz w:val="20"/>
                <w:szCs w:val="20"/>
                <w:lang w:val="fr-CA"/>
              </w:rPr>
              <w:t>Qc</w:t>
            </w:r>
            <w:r w:rsidR="00F21E5E" w:rsidRPr="002647B4">
              <w:rPr>
                <w:rFonts w:eastAsia="Calibri" w:cs="Times New Roman"/>
                <w:sz w:val="20"/>
                <w:szCs w:val="20"/>
                <w:lang w:val="fr-CA"/>
              </w:rPr>
              <w:t>) (Crimin</w:t>
            </w:r>
            <w:r w:rsidRPr="002647B4">
              <w:rPr>
                <w:rFonts w:eastAsia="Calibri" w:cs="Times New Roman"/>
                <w:sz w:val="20"/>
                <w:szCs w:val="20"/>
                <w:lang w:val="fr-CA"/>
              </w:rPr>
              <w:t>e</w:t>
            </w:r>
            <w:r w:rsidR="00F21E5E" w:rsidRPr="002647B4">
              <w:rPr>
                <w:rFonts w:eastAsia="Calibri" w:cs="Times New Roman"/>
                <w:sz w:val="20"/>
                <w:szCs w:val="20"/>
                <w:lang w:val="fr-CA"/>
              </w:rPr>
              <w:t>l</w:t>
            </w:r>
            <w:r w:rsidRPr="002647B4">
              <w:rPr>
                <w:rFonts w:eastAsia="Calibri" w:cs="Times New Roman"/>
                <w:sz w:val="20"/>
                <w:szCs w:val="20"/>
                <w:lang w:val="fr-CA"/>
              </w:rPr>
              <w:t>le</w:t>
            </w:r>
            <w:r w:rsidR="00F21E5E" w:rsidRPr="002647B4">
              <w:rPr>
                <w:rFonts w:eastAsia="Calibri" w:cs="Times New Roman"/>
                <w:sz w:val="20"/>
                <w:szCs w:val="20"/>
                <w:lang w:val="fr-CA"/>
              </w:rPr>
              <w:t>) (A</w:t>
            </w:r>
            <w:r w:rsidRPr="002647B4">
              <w:rPr>
                <w:rFonts w:eastAsia="Calibri" w:cs="Times New Roman"/>
                <w:sz w:val="20"/>
                <w:szCs w:val="20"/>
                <w:lang w:val="fr-CA"/>
              </w:rPr>
              <w:t>utori</w:t>
            </w:r>
            <w:r w:rsidR="00F21E5E" w:rsidRPr="002647B4">
              <w:rPr>
                <w:rFonts w:eastAsia="Calibri" w:cs="Times New Roman"/>
                <w:sz w:val="20"/>
                <w:szCs w:val="20"/>
                <w:lang w:val="fr-CA"/>
              </w:rPr>
              <w:t>s</w:t>
            </w:r>
            <w:r>
              <w:rPr>
                <w:rFonts w:eastAsia="Calibri" w:cs="Times New Roman"/>
                <w:sz w:val="20"/>
                <w:szCs w:val="20"/>
                <w:lang w:val="fr-CA"/>
              </w:rPr>
              <w:t>a</w:t>
            </w:r>
            <w:r w:rsidR="00F21E5E" w:rsidRPr="002647B4">
              <w:rPr>
                <w:rFonts w:eastAsia="Calibri" w:cs="Times New Roman"/>
                <w:sz w:val="20"/>
                <w:szCs w:val="20"/>
                <w:lang w:val="fr-CA"/>
              </w:rPr>
              <w:t>t</w:t>
            </w:r>
            <w:r>
              <w:rPr>
                <w:rFonts w:eastAsia="Calibri" w:cs="Times New Roman"/>
                <w:sz w:val="20"/>
                <w:szCs w:val="20"/>
                <w:lang w:val="fr-CA"/>
              </w:rPr>
              <w:t>ion)</w:t>
            </w:r>
            <w:r w:rsidR="00F21E5E" w:rsidRPr="002647B4">
              <w:rPr>
                <w:rFonts w:eastAsia="Calibri" w:cs="Times New Roman"/>
                <w:sz w:val="20"/>
                <w:szCs w:val="20"/>
                <w:lang w:val="fr-CA"/>
              </w:rPr>
              <w:t xml:space="preserve"> (34</w:t>
            </w:r>
            <w:r>
              <w:rPr>
                <w:rFonts w:eastAsia="Calibri" w:cs="Times New Roman"/>
                <w:sz w:val="20"/>
                <w:szCs w:val="20"/>
                <w:lang w:val="fr-CA"/>
              </w:rPr>
              <w:t>444</w:t>
            </w:r>
            <w:r w:rsidR="00F21E5E" w:rsidRPr="002647B4">
              <w:rPr>
                <w:rFonts w:eastAsia="Calibri" w:cs="Times New Roman"/>
                <w:sz w:val="20"/>
                <w:szCs w:val="20"/>
                <w:lang w:val="fr-CA"/>
              </w:rPr>
              <w:t>)</w:t>
            </w:r>
          </w:p>
        </w:tc>
      </w:tr>
      <w:tr w:rsidR="00F21E5E" w:rsidRPr="0085047E" w:rsidTr="00F21E5E">
        <w:trPr>
          <w:cantSplit/>
          <w:trHeight w:val="288"/>
        </w:trPr>
        <w:tc>
          <w:tcPr>
            <w:tcW w:w="2398" w:type="dxa"/>
          </w:tcPr>
          <w:p w:rsidR="00F21E5E" w:rsidRPr="0085047E" w:rsidRDefault="00F21E5E" w:rsidP="00F21E5E">
            <w:pPr>
              <w:rPr>
                <w:rFonts w:eastAsia="Calibri" w:cs="Times New Roman"/>
                <w:sz w:val="20"/>
                <w:szCs w:val="20"/>
                <w:lang w:val="fr-CA"/>
              </w:rPr>
            </w:pPr>
            <w:r w:rsidRPr="0085047E">
              <w:rPr>
                <w:rFonts w:eastAsia="Calibri" w:cs="Times New Roman"/>
                <w:sz w:val="20"/>
                <w:szCs w:val="20"/>
                <w:lang w:val="fr-CA"/>
              </w:rPr>
              <w:t>2012-1</w:t>
            </w:r>
            <w:r>
              <w:rPr>
                <w:rFonts w:eastAsia="Calibri" w:cs="Times New Roman"/>
                <w:sz w:val="20"/>
                <w:szCs w:val="20"/>
                <w:lang w:val="fr-CA"/>
              </w:rPr>
              <w:t>2</w:t>
            </w:r>
            <w:r w:rsidRPr="0085047E">
              <w:rPr>
                <w:rFonts w:eastAsia="Calibri" w:cs="Times New Roman"/>
                <w:sz w:val="20"/>
                <w:szCs w:val="20"/>
                <w:lang w:val="fr-CA"/>
              </w:rPr>
              <w:t>-1</w:t>
            </w:r>
            <w:r>
              <w:rPr>
                <w:rFonts w:eastAsia="Calibri" w:cs="Times New Roman"/>
                <w:sz w:val="20"/>
                <w:szCs w:val="20"/>
                <w:lang w:val="fr-CA"/>
              </w:rPr>
              <w:t>4</w:t>
            </w:r>
          </w:p>
        </w:tc>
        <w:tc>
          <w:tcPr>
            <w:tcW w:w="7178" w:type="dxa"/>
          </w:tcPr>
          <w:p w:rsidR="00F21E5E" w:rsidRPr="001C0139" w:rsidRDefault="002647B4" w:rsidP="002647B4">
            <w:pPr>
              <w:jc w:val="both"/>
              <w:rPr>
                <w:rFonts w:eastAsia="Calibri" w:cs="Times New Roman"/>
                <w:sz w:val="20"/>
                <w:szCs w:val="20"/>
              </w:rPr>
            </w:pPr>
            <w:r>
              <w:rPr>
                <w:rFonts w:eastAsia="Calibri" w:cs="Times New Roman"/>
                <w:i/>
                <w:sz w:val="20"/>
                <w:szCs w:val="20"/>
              </w:rPr>
              <w:t>IBM Canada Limited</w:t>
            </w:r>
            <w:r w:rsidR="00F21E5E" w:rsidRPr="003A74F5">
              <w:rPr>
                <w:rFonts w:eastAsia="Calibri" w:cs="Times New Roman"/>
                <w:i/>
                <w:sz w:val="20"/>
                <w:szCs w:val="20"/>
              </w:rPr>
              <w:t xml:space="preserve"> v. </w:t>
            </w:r>
            <w:r>
              <w:rPr>
                <w:rFonts w:eastAsia="Calibri" w:cs="Times New Roman"/>
                <w:i/>
                <w:sz w:val="20"/>
                <w:szCs w:val="20"/>
              </w:rPr>
              <w:t>Richa</w:t>
            </w:r>
            <w:r w:rsidR="00F21E5E" w:rsidRPr="003A74F5">
              <w:rPr>
                <w:rFonts w:eastAsia="Calibri" w:cs="Times New Roman"/>
                <w:i/>
                <w:sz w:val="20"/>
                <w:szCs w:val="20"/>
              </w:rPr>
              <w:t>r</w:t>
            </w:r>
            <w:r>
              <w:rPr>
                <w:rFonts w:eastAsia="Calibri" w:cs="Times New Roman"/>
                <w:i/>
                <w:sz w:val="20"/>
                <w:szCs w:val="20"/>
              </w:rPr>
              <w:t>d W</w:t>
            </w:r>
            <w:r w:rsidR="00F21E5E" w:rsidRPr="003A74F5">
              <w:rPr>
                <w:rFonts w:eastAsia="Calibri" w:cs="Times New Roman"/>
                <w:i/>
                <w:sz w:val="20"/>
                <w:szCs w:val="20"/>
              </w:rPr>
              <w:t>a</w:t>
            </w:r>
            <w:r w:rsidR="00F21E5E">
              <w:rPr>
                <w:rFonts w:eastAsia="Calibri" w:cs="Times New Roman"/>
                <w:i/>
                <w:sz w:val="20"/>
                <w:szCs w:val="20"/>
              </w:rPr>
              <w:t>te</w:t>
            </w:r>
            <w:r>
              <w:rPr>
                <w:rFonts w:eastAsia="Calibri" w:cs="Times New Roman"/>
                <w:i/>
                <w:sz w:val="20"/>
                <w:szCs w:val="20"/>
              </w:rPr>
              <w:t>rma</w:t>
            </w:r>
            <w:r w:rsidR="00F21E5E">
              <w:rPr>
                <w:rFonts w:eastAsia="Calibri" w:cs="Times New Roman"/>
                <w:i/>
                <w:sz w:val="20"/>
                <w:szCs w:val="20"/>
              </w:rPr>
              <w:t>n</w:t>
            </w:r>
            <w:r w:rsidR="00F21E5E" w:rsidRPr="003A74F5">
              <w:rPr>
                <w:rFonts w:eastAsia="Calibri" w:cs="Times New Roman"/>
                <w:sz w:val="20"/>
                <w:szCs w:val="20"/>
              </w:rPr>
              <w:t xml:space="preserve"> (B.C.) (Ci</w:t>
            </w:r>
            <w:r>
              <w:rPr>
                <w:rFonts w:eastAsia="Calibri" w:cs="Times New Roman"/>
                <w:sz w:val="20"/>
                <w:szCs w:val="20"/>
              </w:rPr>
              <w:t>v</w:t>
            </w:r>
            <w:r w:rsidR="00F21E5E" w:rsidRPr="003A74F5">
              <w:rPr>
                <w:rFonts w:eastAsia="Calibri" w:cs="Times New Roman"/>
                <w:sz w:val="20"/>
                <w:szCs w:val="20"/>
              </w:rPr>
              <w:t>il) (By Leave) (34</w:t>
            </w:r>
            <w:r>
              <w:rPr>
                <w:rFonts w:eastAsia="Calibri" w:cs="Times New Roman"/>
                <w:sz w:val="20"/>
                <w:szCs w:val="20"/>
              </w:rPr>
              <w:t>47</w:t>
            </w:r>
            <w:r w:rsidR="00F21E5E">
              <w:rPr>
                <w:rFonts w:eastAsia="Calibri" w:cs="Times New Roman"/>
                <w:sz w:val="20"/>
                <w:szCs w:val="20"/>
              </w:rPr>
              <w:t>2)</w:t>
            </w:r>
          </w:p>
        </w:tc>
      </w:tr>
    </w:tbl>
    <w:p w:rsidR="00CB1B28" w:rsidRPr="001C0139" w:rsidRDefault="00CB1B28" w:rsidP="00CB1B28">
      <w:pPr>
        <w:rPr>
          <w:sz w:val="20"/>
          <w:szCs w:val="20"/>
        </w:rPr>
      </w:pPr>
    </w:p>
    <w:p w:rsidR="00CB1B28" w:rsidRPr="0085047E" w:rsidRDefault="00DB239D" w:rsidP="00CB1B28">
      <w:pPr>
        <w:jc w:val="both"/>
        <w:rPr>
          <w:sz w:val="20"/>
          <w:szCs w:val="20"/>
          <w:lang w:val="fr-CA"/>
        </w:rPr>
      </w:pPr>
      <w:r w:rsidRPr="00DB239D">
        <w:rPr>
          <w:sz w:val="20"/>
          <w:szCs w:val="20"/>
          <w:lang w:val="fr-CA"/>
        </w:rPr>
        <w:pict>
          <v:rect id="_x0000_i1114" style="width:2in;height:1pt" o:hrpct="0" o:hralign="center" o:hrstd="t" o:hrnoshade="t" o:hr="t" fillcolor="black [3213]" stroked="f"/>
        </w:pict>
      </w:r>
    </w:p>
    <w:p w:rsidR="00CB1B28" w:rsidRPr="0085047E" w:rsidRDefault="00CB1B28" w:rsidP="00CB1B28">
      <w:pPr>
        <w:tabs>
          <w:tab w:val="left" w:pos="1980"/>
        </w:tabs>
        <w:jc w:val="both"/>
        <w:rPr>
          <w:sz w:val="20"/>
          <w:szCs w:val="20"/>
          <w:lang w:val="fr-CA"/>
        </w:rPr>
      </w:pPr>
    </w:p>
    <w:p w:rsidR="00CB1B28" w:rsidRPr="00DD0B49" w:rsidRDefault="00CB1B28" w:rsidP="00CB1B28">
      <w:pPr>
        <w:jc w:val="both"/>
        <w:rPr>
          <w:sz w:val="20"/>
          <w:szCs w:val="20"/>
        </w:rPr>
      </w:pPr>
      <w:r w:rsidRPr="00390150">
        <w:rPr>
          <w:b/>
          <w:sz w:val="20"/>
          <w:szCs w:val="20"/>
        </w:rPr>
        <w:t>NOTE:</w:t>
      </w:r>
      <w:r w:rsidRPr="00390150">
        <w:rPr>
          <w:sz w:val="20"/>
          <w:szCs w:val="20"/>
        </w:rPr>
        <w:t xml:space="preserve"> This agenda is subject to change. Hearings normally commence at 9:30 a.m.; however, cases with multiple partie</w:t>
      </w:r>
      <w:r w:rsidRPr="00DD0B49">
        <w:rPr>
          <w:sz w:val="20"/>
          <w:szCs w:val="20"/>
        </w:rPr>
        <w:t>s often commence at 9:00 a.m.  Where two cases are scheduled on a given day, the second case may be heard immediately after the first one or at 2:00 p.m.  Hearing dates and times should be confirmed with Registry staff at (613) 996-8666.</w:t>
      </w:r>
    </w:p>
    <w:p w:rsidR="00CB1B28" w:rsidRPr="00DD0B49" w:rsidRDefault="00CB1B28" w:rsidP="00CB1B28">
      <w:pPr>
        <w:jc w:val="both"/>
        <w:rPr>
          <w:sz w:val="20"/>
          <w:szCs w:val="20"/>
        </w:rPr>
      </w:pPr>
    </w:p>
    <w:p w:rsidR="00CB1B28" w:rsidRPr="00DD0B49" w:rsidRDefault="00CB1B28" w:rsidP="00CB1B28">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B1B28" w:rsidRDefault="005F263E" w:rsidP="005F263E">
      <w:pPr>
        <w:tabs>
          <w:tab w:val="left" w:pos="-1440"/>
          <w:tab w:val="left" w:pos="-720"/>
        </w:tabs>
        <w:ind w:left="720" w:hanging="720"/>
        <w:jc w:val="both"/>
        <w:rPr>
          <w:sz w:val="20"/>
          <w:szCs w:val="20"/>
        </w:rPr>
      </w:pPr>
    </w:p>
    <w:p w:rsidR="00A818DB" w:rsidRPr="009366DB" w:rsidRDefault="00DB239D" w:rsidP="00A818DB">
      <w:pPr>
        <w:widowControl w:val="0"/>
        <w:ind w:left="720" w:hanging="720"/>
        <w:jc w:val="both"/>
        <w:rPr>
          <w:sz w:val="20"/>
          <w:szCs w:val="20"/>
        </w:rPr>
      </w:pPr>
      <w:r w:rsidRPr="009366DB">
        <w:rPr>
          <w:b/>
          <w:sz w:val="20"/>
          <w:szCs w:val="20"/>
        </w:rPr>
        <w:fldChar w:fldCharType="begin"/>
      </w:r>
      <w:r w:rsidR="00A818DB" w:rsidRPr="009366DB">
        <w:rPr>
          <w:b/>
          <w:sz w:val="20"/>
          <w:szCs w:val="20"/>
        </w:rPr>
        <w:instrText xml:space="preserve"> SEQ CHAPTER \h \r 1</w:instrText>
      </w:r>
      <w:r w:rsidRPr="009366DB">
        <w:rPr>
          <w:b/>
          <w:sz w:val="20"/>
          <w:szCs w:val="20"/>
        </w:rPr>
        <w:fldChar w:fldCharType="end"/>
      </w:r>
      <w:r w:rsidR="00A818DB" w:rsidRPr="009366DB">
        <w:rPr>
          <w:b/>
          <w:sz w:val="20"/>
          <w:szCs w:val="20"/>
        </w:rPr>
        <w:t>34408</w:t>
      </w:r>
      <w:r w:rsidR="00A818DB" w:rsidRPr="009366DB">
        <w:rPr>
          <w:sz w:val="20"/>
          <w:szCs w:val="20"/>
        </w:rPr>
        <w:tab/>
      </w:r>
      <w:r w:rsidR="00A818DB" w:rsidRPr="009366DB">
        <w:rPr>
          <w:b/>
          <w:i/>
          <w:sz w:val="20"/>
          <w:szCs w:val="20"/>
        </w:rPr>
        <w:t>Cassidy Alexis Ediger, an infant by her Guardian Ad Litem, Carolyn Grace Ediger v. William G. Johnston</w:t>
      </w:r>
    </w:p>
    <w:p w:rsidR="00A818DB" w:rsidRPr="009366DB" w:rsidRDefault="00A818DB" w:rsidP="00A818DB">
      <w:pPr>
        <w:widowControl w:val="0"/>
        <w:jc w:val="both"/>
        <w:rPr>
          <w:sz w:val="20"/>
          <w:szCs w:val="20"/>
        </w:rPr>
      </w:pPr>
    </w:p>
    <w:p w:rsidR="00A818DB" w:rsidRPr="009366DB" w:rsidRDefault="00A818DB" w:rsidP="00A818DB">
      <w:pPr>
        <w:widowControl w:val="0"/>
        <w:jc w:val="both"/>
        <w:rPr>
          <w:sz w:val="20"/>
          <w:szCs w:val="20"/>
        </w:rPr>
      </w:pPr>
      <w:r w:rsidRPr="009366DB">
        <w:rPr>
          <w:sz w:val="20"/>
          <w:szCs w:val="20"/>
        </w:rPr>
        <w:t xml:space="preserve">Torts </w:t>
      </w:r>
      <w:r w:rsidRPr="009366DB">
        <w:rPr>
          <w:sz w:val="20"/>
          <w:szCs w:val="20"/>
        </w:rPr>
        <w:noBreakHyphen/>
        <w:t xml:space="preserve"> Negligence </w:t>
      </w:r>
      <w:r w:rsidRPr="009366DB">
        <w:rPr>
          <w:sz w:val="20"/>
          <w:szCs w:val="20"/>
        </w:rPr>
        <w:noBreakHyphen/>
        <w:t xml:space="preserve"> Medical malpractice </w:t>
      </w:r>
      <w:r w:rsidRPr="009366DB">
        <w:rPr>
          <w:sz w:val="20"/>
          <w:szCs w:val="20"/>
        </w:rPr>
        <w:noBreakHyphen/>
        <w:t xml:space="preserve"> Causation </w:t>
      </w:r>
      <w:r w:rsidRPr="009366DB">
        <w:rPr>
          <w:sz w:val="20"/>
          <w:szCs w:val="20"/>
        </w:rPr>
        <w:noBreakHyphen/>
        <w:t xml:space="preserve"> Trial judge finding respondent obstetrician liable for infant appellant’s injuries </w:t>
      </w:r>
      <w:r w:rsidRPr="009366DB">
        <w:rPr>
          <w:sz w:val="20"/>
          <w:szCs w:val="20"/>
        </w:rPr>
        <w:noBreakHyphen/>
        <w:t xml:space="preserve"> Whether the Court of Appeal misinterpreted </w:t>
      </w:r>
      <w:r w:rsidRPr="009366DB">
        <w:rPr>
          <w:i/>
          <w:sz w:val="20"/>
          <w:szCs w:val="20"/>
        </w:rPr>
        <w:t xml:space="preserve">Snell v. Farrell, </w:t>
      </w:r>
      <w:r w:rsidRPr="009366DB">
        <w:rPr>
          <w:sz w:val="20"/>
          <w:szCs w:val="20"/>
        </w:rPr>
        <w:t xml:space="preserve">[1990] 2 S.C.R. 311, in holding that the trial judge was not permitted to draw an inference of causation, because both parties had led expert evidence on the issue </w:t>
      </w:r>
      <w:r w:rsidRPr="009366DB">
        <w:rPr>
          <w:sz w:val="20"/>
          <w:szCs w:val="20"/>
        </w:rPr>
        <w:noBreakHyphen/>
        <w:t xml:space="preserve"> Whether the Court of Appeal erred in holding that there were insufficient findings and evidence to support an inference that the respondent’s breaches of the standard of care caused the appellant’s injuries </w:t>
      </w:r>
      <w:r w:rsidRPr="009366DB">
        <w:rPr>
          <w:sz w:val="20"/>
          <w:szCs w:val="20"/>
        </w:rPr>
        <w:noBreakHyphen/>
        <w:t xml:space="preserve"> Alternatively, whether the Court of Appeal misapprehended the “but for” test in holding that the plaintiff bore the legal burden of proving the threshold issue that the respondent’s application of the forceps was a cause of the bradycardia </w:t>
      </w:r>
      <w:r w:rsidRPr="009366DB">
        <w:rPr>
          <w:sz w:val="20"/>
          <w:szCs w:val="20"/>
        </w:rPr>
        <w:noBreakHyphen/>
        <w:t xml:space="preserve"> Alternatively, whether the Court of Appeal misapprehended the burden of proof of factual causation when it refused to apply recognized exceptions to the “but for” test in circumstances where the trial judge found that it was not possible to establish with precision the causal mechanism of cord compression resulting in the appellant’s bradycardia, and found that the appellant’s mother would likely not have consented to the mid</w:t>
      </w:r>
      <w:r w:rsidRPr="009366DB">
        <w:rPr>
          <w:sz w:val="20"/>
          <w:szCs w:val="20"/>
        </w:rPr>
        <w:noBreakHyphen/>
        <w:t>forceps procedure had she been properly informed of the material risks of injury.</w:t>
      </w:r>
    </w:p>
    <w:p w:rsidR="00A818DB" w:rsidRPr="009366DB" w:rsidRDefault="00A818DB" w:rsidP="00A818DB">
      <w:pPr>
        <w:widowControl w:val="0"/>
        <w:jc w:val="both"/>
        <w:rPr>
          <w:sz w:val="20"/>
          <w:szCs w:val="20"/>
        </w:rPr>
      </w:pPr>
    </w:p>
    <w:p w:rsidR="00A818DB" w:rsidRPr="009366DB" w:rsidRDefault="00A818DB" w:rsidP="00A818DB">
      <w:pPr>
        <w:widowControl w:val="0"/>
        <w:jc w:val="both"/>
        <w:rPr>
          <w:sz w:val="20"/>
          <w:szCs w:val="20"/>
        </w:rPr>
      </w:pPr>
      <w:r w:rsidRPr="009366DB">
        <w:rPr>
          <w:sz w:val="20"/>
          <w:szCs w:val="20"/>
        </w:rPr>
        <w:t>The appellant sued the respondent, Dr. Johnston, an obstetrician and gynaecologist, for damages arising from serious injury during her birth.  The appellant sued through her mother, Carolyn Ediger.  Late in Mrs. Ediger’s labour, Dr. Johnston attempted a rotational</w:t>
      </w:r>
      <w:r w:rsidR="00AB01D7">
        <w:rPr>
          <w:sz w:val="20"/>
          <w:szCs w:val="20"/>
        </w:rPr>
        <w:t xml:space="preserve"> </w:t>
      </w:r>
      <w:r w:rsidR="00AB01D7" w:rsidRPr="009379F9">
        <w:rPr>
          <w:sz w:val="20"/>
          <w:szCs w:val="20"/>
        </w:rPr>
        <w:t>“mid</w:t>
      </w:r>
      <w:r w:rsidR="00AB01D7" w:rsidRPr="009379F9">
        <w:rPr>
          <w:sz w:val="20"/>
          <w:szCs w:val="20"/>
        </w:rPr>
        <w:noBreakHyphen/>
        <w:t xml:space="preserve">level” </w:t>
      </w:r>
      <w:r w:rsidRPr="009366DB">
        <w:rPr>
          <w:sz w:val="20"/>
          <w:szCs w:val="20"/>
        </w:rPr>
        <w:t>forceps procedure to assist the delivery, but was unable to place the forceps satisfactorily.  Shortly after he abandoned the procedure, the appellant’s heart action slowed in a bradycardia which deprived her of necessary oxygen, and persisted until she was delivered by Caesarean section and resuscitated approximately eighteen minutes later, causing severe brain damage which is permanent.  The trial judge concluded that Dr. Johnston breached the standard of care in attempting a rotational mid</w:t>
      </w:r>
      <w:r w:rsidRPr="009366DB">
        <w:rPr>
          <w:sz w:val="20"/>
          <w:szCs w:val="20"/>
        </w:rPr>
        <w:noBreakHyphen/>
        <w:t>forceps delivery without first checking on the availability of back</w:t>
      </w:r>
      <w:r w:rsidRPr="009366DB">
        <w:rPr>
          <w:sz w:val="20"/>
          <w:szCs w:val="20"/>
        </w:rPr>
        <w:noBreakHyphen/>
        <w:t>up for Caesarean section delivery if necessary.  Despite what she found to have been an interlude of between one and two minutes after the forceps attempt and before the onset of the bradycardia, the trial judge concluded that the evidence was sufficient to establish that the one caused the other.  She concluded as well that the appellant had also proven her claim based on the absence of Mrs. Ediger’s informed consent to the forceps procedure before the appellant’s birth.  Dr. Johnston appealed the finding of liability on the issue of causation only.  The Court of Appeal allowed the appeal and dismissed the action.</w:t>
      </w:r>
    </w:p>
    <w:p w:rsidR="00A818DB" w:rsidRPr="009366DB" w:rsidRDefault="00A818DB" w:rsidP="00A818DB">
      <w:pPr>
        <w:widowControl w:val="0"/>
        <w:jc w:val="both"/>
        <w:rPr>
          <w:sz w:val="20"/>
          <w:szCs w:val="20"/>
        </w:rPr>
      </w:pPr>
    </w:p>
    <w:p w:rsidR="00A818DB" w:rsidRPr="009366DB" w:rsidRDefault="00A818DB" w:rsidP="00A818DB">
      <w:pPr>
        <w:widowControl w:val="0"/>
        <w:jc w:val="both"/>
        <w:rPr>
          <w:sz w:val="20"/>
          <w:szCs w:val="20"/>
        </w:rPr>
      </w:pPr>
    </w:p>
    <w:p w:rsidR="00A818DB" w:rsidRPr="009366DB" w:rsidRDefault="00A818DB" w:rsidP="00A818DB">
      <w:pPr>
        <w:widowControl w:val="0"/>
        <w:ind w:left="2880" w:hanging="2880"/>
        <w:jc w:val="both"/>
        <w:rPr>
          <w:sz w:val="20"/>
          <w:szCs w:val="20"/>
        </w:rPr>
      </w:pPr>
      <w:r w:rsidRPr="009366DB">
        <w:rPr>
          <w:sz w:val="20"/>
          <w:szCs w:val="20"/>
        </w:rPr>
        <w:t>Origin of the case:</w:t>
      </w:r>
      <w:r w:rsidRPr="009366DB">
        <w:rPr>
          <w:sz w:val="20"/>
          <w:szCs w:val="20"/>
        </w:rPr>
        <w:tab/>
        <w:t>British Columbia</w:t>
      </w:r>
    </w:p>
    <w:p w:rsidR="00A818DB" w:rsidRPr="009366DB" w:rsidRDefault="00A818DB" w:rsidP="00A818DB">
      <w:pPr>
        <w:widowControl w:val="0"/>
        <w:ind w:left="2880" w:hanging="2880"/>
        <w:jc w:val="both"/>
        <w:rPr>
          <w:sz w:val="20"/>
          <w:szCs w:val="20"/>
        </w:rPr>
      </w:pPr>
    </w:p>
    <w:p w:rsidR="00A818DB" w:rsidRPr="009366DB" w:rsidRDefault="00A818DB" w:rsidP="00A818DB">
      <w:pPr>
        <w:widowControl w:val="0"/>
        <w:ind w:left="2880" w:hanging="2880"/>
        <w:jc w:val="both"/>
        <w:rPr>
          <w:sz w:val="20"/>
          <w:szCs w:val="20"/>
        </w:rPr>
      </w:pPr>
      <w:r w:rsidRPr="009366DB">
        <w:rPr>
          <w:sz w:val="20"/>
          <w:szCs w:val="20"/>
        </w:rPr>
        <w:t>File No.:</w:t>
      </w:r>
      <w:r w:rsidRPr="009366DB">
        <w:rPr>
          <w:sz w:val="20"/>
          <w:szCs w:val="20"/>
        </w:rPr>
        <w:tab/>
        <w:t>34408</w:t>
      </w:r>
    </w:p>
    <w:p w:rsidR="00A818DB" w:rsidRPr="009366DB" w:rsidRDefault="00A818DB" w:rsidP="00A818DB">
      <w:pPr>
        <w:widowControl w:val="0"/>
        <w:ind w:left="2880" w:hanging="2880"/>
        <w:jc w:val="both"/>
        <w:rPr>
          <w:sz w:val="20"/>
          <w:szCs w:val="20"/>
        </w:rPr>
      </w:pPr>
    </w:p>
    <w:p w:rsidR="00A818DB" w:rsidRPr="009366DB" w:rsidRDefault="00A818DB" w:rsidP="00A818DB">
      <w:pPr>
        <w:widowControl w:val="0"/>
        <w:ind w:left="2880" w:hanging="2880"/>
        <w:jc w:val="both"/>
        <w:rPr>
          <w:sz w:val="20"/>
          <w:szCs w:val="20"/>
        </w:rPr>
      </w:pPr>
      <w:r w:rsidRPr="009366DB">
        <w:rPr>
          <w:sz w:val="20"/>
          <w:szCs w:val="20"/>
        </w:rPr>
        <w:t>Judgment of the Court of Appeal:</w:t>
      </w:r>
      <w:r w:rsidRPr="009366DB">
        <w:rPr>
          <w:sz w:val="20"/>
          <w:szCs w:val="20"/>
        </w:rPr>
        <w:tab/>
        <w:t>May 30, 2011</w:t>
      </w:r>
    </w:p>
    <w:p w:rsidR="00A818DB" w:rsidRPr="009366DB" w:rsidRDefault="00A818DB" w:rsidP="00A818DB">
      <w:pPr>
        <w:widowControl w:val="0"/>
        <w:ind w:left="2880" w:hanging="2880"/>
        <w:jc w:val="both"/>
        <w:rPr>
          <w:sz w:val="20"/>
          <w:szCs w:val="20"/>
        </w:rPr>
      </w:pPr>
    </w:p>
    <w:p w:rsidR="00A818DB" w:rsidRPr="009366DB" w:rsidRDefault="00A818DB" w:rsidP="00A818DB">
      <w:pPr>
        <w:widowControl w:val="0"/>
        <w:ind w:left="2880" w:hanging="2880"/>
        <w:jc w:val="both"/>
        <w:rPr>
          <w:sz w:val="20"/>
          <w:szCs w:val="20"/>
        </w:rPr>
      </w:pPr>
      <w:r w:rsidRPr="009366DB">
        <w:rPr>
          <w:sz w:val="20"/>
          <w:szCs w:val="20"/>
        </w:rPr>
        <w:t>Counsel:</w:t>
      </w:r>
      <w:r w:rsidRPr="009366DB">
        <w:rPr>
          <w:sz w:val="20"/>
          <w:szCs w:val="20"/>
        </w:rPr>
        <w:tab/>
        <w:t>Vincent R. K. Orchard, Q.C. and Paul T. McGivern for the appellant</w:t>
      </w:r>
    </w:p>
    <w:p w:rsidR="00A818DB" w:rsidRPr="009366DB" w:rsidRDefault="00A818DB" w:rsidP="00A818DB">
      <w:pPr>
        <w:widowControl w:val="0"/>
        <w:ind w:left="2880" w:hanging="2880"/>
        <w:jc w:val="both"/>
        <w:rPr>
          <w:sz w:val="20"/>
          <w:szCs w:val="20"/>
        </w:rPr>
      </w:pPr>
      <w:r>
        <w:rPr>
          <w:sz w:val="20"/>
          <w:szCs w:val="20"/>
        </w:rPr>
        <w:tab/>
      </w:r>
      <w:r w:rsidRPr="009366DB">
        <w:rPr>
          <w:sz w:val="20"/>
          <w:szCs w:val="20"/>
        </w:rPr>
        <w:t>James M. Lepp, Q.C., Michael G. Thomas and Daniel J. Reid for the respondent</w:t>
      </w:r>
    </w:p>
    <w:p w:rsidR="00CB1B28" w:rsidRPr="00063106" w:rsidRDefault="00CB1B28" w:rsidP="00CB1B28">
      <w:pPr>
        <w:widowControl w:val="0"/>
        <w:jc w:val="both"/>
        <w:rPr>
          <w:sz w:val="20"/>
          <w:szCs w:val="20"/>
        </w:rPr>
      </w:pPr>
    </w:p>
    <w:p w:rsidR="00CB1B28" w:rsidRPr="00DD0B49" w:rsidRDefault="00DB239D" w:rsidP="00CB1B28">
      <w:pPr>
        <w:tabs>
          <w:tab w:val="left" w:pos="-1440"/>
          <w:tab w:val="left" w:pos="-720"/>
        </w:tabs>
        <w:ind w:left="720" w:hanging="720"/>
        <w:jc w:val="both"/>
        <w:rPr>
          <w:sz w:val="20"/>
          <w:szCs w:val="20"/>
          <w:lang w:val="fr-CA"/>
        </w:rPr>
      </w:pPr>
      <w:r w:rsidRPr="00DB239D">
        <w:rPr>
          <w:sz w:val="20"/>
          <w:szCs w:val="20"/>
          <w:lang w:val="fr-CA"/>
        </w:rPr>
        <w:pict>
          <v:rect id="_x0000_i1117"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sz w:val="20"/>
          <w:szCs w:val="20"/>
          <w:lang w:val="fr-CA"/>
        </w:rPr>
      </w:pPr>
    </w:p>
    <w:p w:rsidR="000B3C9A" w:rsidRPr="00DD0B49" w:rsidRDefault="000B3C9A"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B3018E" w:rsidRPr="001E7FA6" w:rsidRDefault="00DB239D" w:rsidP="00B3018E">
      <w:pPr>
        <w:widowControl w:val="0"/>
        <w:ind w:left="720" w:hanging="720"/>
        <w:jc w:val="both"/>
        <w:rPr>
          <w:b/>
          <w:i/>
          <w:sz w:val="20"/>
          <w:szCs w:val="20"/>
          <w:lang w:val="fr-CA"/>
        </w:rPr>
      </w:pPr>
      <w:r w:rsidRPr="001E7FA6">
        <w:rPr>
          <w:b/>
          <w:sz w:val="20"/>
          <w:szCs w:val="20"/>
          <w:lang w:val="fr-CA"/>
        </w:rPr>
        <w:fldChar w:fldCharType="begin"/>
      </w:r>
      <w:r w:rsidR="00B3018E" w:rsidRPr="001E7FA6">
        <w:rPr>
          <w:b/>
          <w:sz w:val="20"/>
          <w:szCs w:val="20"/>
          <w:lang w:val="fr-CA"/>
        </w:rPr>
        <w:instrText xml:space="preserve"> SEQ CHAPTER \h \r 1</w:instrText>
      </w:r>
      <w:r w:rsidRPr="001E7FA6">
        <w:rPr>
          <w:b/>
          <w:sz w:val="20"/>
          <w:szCs w:val="20"/>
          <w:lang w:val="fr-CA"/>
        </w:rPr>
        <w:fldChar w:fldCharType="end"/>
      </w:r>
      <w:r w:rsidR="00B3018E" w:rsidRPr="001E7FA6">
        <w:rPr>
          <w:b/>
          <w:sz w:val="20"/>
          <w:szCs w:val="20"/>
          <w:lang w:val="fr-CA"/>
        </w:rPr>
        <w:t>34408</w:t>
      </w:r>
      <w:r w:rsidR="00B3018E" w:rsidRPr="001E7FA6">
        <w:rPr>
          <w:sz w:val="20"/>
          <w:szCs w:val="20"/>
          <w:lang w:val="fr-CA"/>
        </w:rPr>
        <w:tab/>
      </w:r>
      <w:bookmarkStart w:id="4" w:name="3"/>
      <w:bookmarkEnd w:id="4"/>
      <w:r w:rsidR="00B3018E" w:rsidRPr="001E7FA6">
        <w:rPr>
          <w:b/>
          <w:i/>
          <w:sz w:val="20"/>
          <w:szCs w:val="20"/>
          <w:lang w:val="fr-CA"/>
        </w:rPr>
        <w:t>Cassidy Alexis Ediger, mineure représentée par sa tutrice à l’instance, Carolyn Grace Ediger c. William G. Johnston</w:t>
      </w:r>
    </w:p>
    <w:p w:rsidR="00B3018E" w:rsidRPr="001E7FA6" w:rsidRDefault="00B3018E" w:rsidP="00B3018E">
      <w:pPr>
        <w:widowControl w:val="0"/>
        <w:ind w:left="720" w:hanging="720"/>
        <w:jc w:val="both"/>
        <w:rPr>
          <w:sz w:val="20"/>
          <w:szCs w:val="20"/>
          <w:lang w:val="fr-CA"/>
        </w:rPr>
      </w:pPr>
    </w:p>
    <w:p w:rsidR="00B3018E" w:rsidRPr="001E7FA6" w:rsidRDefault="00B3018E" w:rsidP="00B3018E">
      <w:pPr>
        <w:widowControl w:val="0"/>
        <w:jc w:val="both"/>
        <w:rPr>
          <w:sz w:val="20"/>
          <w:szCs w:val="20"/>
          <w:lang w:val="fr-CA"/>
        </w:rPr>
      </w:pPr>
      <w:r w:rsidRPr="001E7FA6">
        <w:rPr>
          <w:sz w:val="20"/>
          <w:szCs w:val="20"/>
          <w:lang w:val="fr-CA"/>
        </w:rPr>
        <w:t xml:space="preserve">Responsabilité délictuelle </w:t>
      </w:r>
      <w:r w:rsidRPr="001E7FA6">
        <w:rPr>
          <w:sz w:val="20"/>
          <w:szCs w:val="20"/>
          <w:lang w:val="fr-CA"/>
        </w:rPr>
        <w:noBreakHyphen/>
        <w:t xml:space="preserve"> Négligence </w:t>
      </w:r>
      <w:r w:rsidRPr="001E7FA6">
        <w:rPr>
          <w:sz w:val="20"/>
          <w:szCs w:val="20"/>
          <w:lang w:val="fr-CA"/>
        </w:rPr>
        <w:noBreakHyphen/>
        <w:t xml:space="preserve"> Faute professionnelle médicale </w:t>
      </w:r>
      <w:r w:rsidRPr="001E7FA6">
        <w:rPr>
          <w:sz w:val="20"/>
          <w:szCs w:val="20"/>
          <w:lang w:val="fr-CA"/>
        </w:rPr>
        <w:noBreakHyphen/>
        <w:t xml:space="preserve"> Lien de causalité </w:t>
      </w:r>
      <w:r w:rsidRPr="001E7FA6">
        <w:rPr>
          <w:sz w:val="20"/>
          <w:szCs w:val="20"/>
          <w:lang w:val="fr-CA"/>
        </w:rPr>
        <w:noBreakHyphen/>
        <w:t xml:space="preserve"> La juge du procès a conclu à la responsabilité de l’obstétricien intimé pour le préjudice subi par la mineure appelante </w:t>
      </w:r>
      <w:r w:rsidRPr="001E7FA6">
        <w:rPr>
          <w:sz w:val="20"/>
          <w:szCs w:val="20"/>
          <w:lang w:val="fr-CA"/>
        </w:rPr>
        <w:noBreakHyphen/>
        <w:t xml:space="preserve"> La Cour d’appel a</w:t>
      </w:r>
      <w:r w:rsidRPr="001E7FA6">
        <w:rPr>
          <w:sz w:val="20"/>
          <w:szCs w:val="20"/>
          <w:lang w:val="fr-CA"/>
        </w:rPr>
        <w:noBreakHyphen/>
        <w:t>t</w:t>
      </w:r>
      <w:r w:rsidRPr="001E7FA6">
        <w:rPr>
          <w:sz w:val="20"/>
          <w:szCs w:val="20"/>
          <w:lang w:val="fr-CA"/>
        </w:rPr>
        <w:noBreakHyphen/>
        <w:t xml:space="preserve">elle mal interprété l’arrêt </w:t>
      </w:r>
      <w:r w:rsidRPr="001E7FA6">
        <w:rPr>
          <w:i/>
          <w:sz w:val="20"/>
          <w:szCs w:val="20"/>
          <w:lang w:val="fr-CA"/>
        </w:rPr>
        <w:t>Snell c. Farrell</w:t>
      </w:r>
      <w:r w:rsidRPr="001E7FA6">
        <w:rPr>
          <w:sz w:val="20"/>
          <w:szCs w:val="20"/>
          <w:lang w:val="fr-CA"/>
        </w:rPr>
        <w:t>,</w:t>
      </w:r>
      <w:r w:rsidRPr="001E7FA6">
        <w:rPr>
          <w:i/>
          <w:sz w:val="20"/>
          <w:szCs w:val="20"/>
          <w:lang w:val="fr-CA"/>
        </w:rPr>
        <w:t xml:space="preserve"> </w:t>
      </w:r>
      <w:r w:rsidRPr="001E7FA6">
        <w:rPr>
          <w:sz w:val="20"/>
          <w:szCs w:val="20"/>
          <w:lang w:val="fr-CA"/>
        </w:rPr>
        <w:t xml:space="preserve">[1990] 2 R.C.S. 311 en statuant qu’il n’était pas loisible à la juge du procès de faire une inférence de causalité, puisque les deux parties avaient présenté une preuve d’expert sur la question? </w:t>
      </w:r>
      <w:r w:rsidRPr="001E7FA6">
        <w:rPr>
          <w:sz w:val="20"/>
          <w:szCs w:val="20"/>
          <w:lang w:val="fr-CA"/>
        </w:rPr>
        <w:noBreakHyphen/>
        <w:t xml:space="preserve"> La Cour d’appel a</w:t>
      </w:r>
      <w:r w:rsidRPr="001E7FA6">
        <w:rPr>
          <w:sz w:val="20"/>
          <w:szCs w:val="20"/>
          <w:lang w:val="fr-CA"/>
        </w:rPr>
        <w:noBreakHyphen/>
        <w:t>t</w:t>
      </w:r>
      <w:r w:rsidRPr="001E7FA6">
        <w:rPr>
          <w:sz w:val="20"/>
          <w:szCs w:val="20"/>
          <w:lang w:val="fr-CA"/>
        </w:rPr>
        <w:noBreakHyphen/>
        <w:t xml:space="preserve">elle eu tort de conclure qu’il n’y avait pas suffisamment de conclusions et d’éléments de preuve pour appuyer une inférence selon laquelle les manquements de l’intimé à la norme de diligence avaient causé le préjudice subis par l’appelante? </w:t>
      </w:r>
      <w:r w:rsidRPr="001E7FA6">
        <w:rPr>
          <w:sz w:val="20"/>
          <w:szCs w:val="20"/>
          <w:lang w:val="fr-CA"/>
        </w:rPr>
        <w:noBreakHyphen/>
        <w:t xml:space="preserve"> À titre subsidiaire, la Cour d’appel a</w:t>
      </w:r>
      <w:r w:rsidRPr="001E7FA6">
        <w:rPr>
          <w:sz w:val="20"/>
          <w:szCs w:val="20"/>
          <w:lang w:val="fr-CA"/>
        </w:rPr>
        <w:noBreakHyphen/>
        <w:t>t</w:t>
      </w:r>
      <w:r w:rsidRPr="001E7FA6">
        <w:rPr>
          <w:sz w:val="20"/>
          <w:szCs w:val="20"/>
          <w:lang w:val="fr-CA"/>
        </w:rPr>
        <w:noBreakHyphen/>
        <w:t xml:space="preserve">elle mal interprété le critère du « facteur déterminant » en statuant que la demanderesse avait le fardeau ultime de prouver la question préliminaire selon laquelle l’application des forceps par l’intimé avait été une cause de la bradycardie? </w:t>
      </w:r>
      <w:r w:rsidRPr="001E7FA6">
        <w:rPr>
          <w:sz w:val="20"/>
          <w:szCs w:val="20"/>
          <w:lang w:val="fr-CA"/>
        </w:rPr>
        <w:noBreakHyphen/>
        <w:t xml:space="preserve"> À titre subsidiaire, la Cour d’appel a</w:t>
      </w:r>
      <w:r w:rsidRPr="001E7FA6">
        <w:rPr>
          <w:sz w:val="20"/>
          <w:szCs w:val="20"/>
          <w:lang w:val="fr-CA"/>
        </w:rPr>
        <w:noBreakHyphen/>
        <w:t>t</w:t>
      </w:r>
      <w:r w:rsidRPr="001E7FA6">
        <w:rPr>
          <w:sz w:val="20"/>
          <w:szCs w:val="20"/>
          <w:lang w:val="fr-CA"/>
        </w:rPr>
        <w:noBreakHyphen/>
        <w:t>elle mal interprété le fardeau de la preuve de la causalité factuelle lorsqu’elle a refusé d’appliquer les exceptions reconnues au critère du « facteur déterminant » dans une situation où la juge du procès avait conclu qu’il n’était pas possible d’établir avec précision le mécanisme par lequel la compression du cordon avait causé la bradycardie de l’appelante et avait conclu que la mère de l’appelante n’aurait vraisemblablement pas consenti à l’intervention au moyen de forceps si elle avait été dûment informée des risques importants de préjudice?</w:t>
      </w:r>
    </w:p>
    <w:p w:rsidR="00B3018E" w:rsidRPr="001E7FA6" w:rsidRDefault="00B3018E" w:rsidP="00B3018E">
      <w:pPr>
        <w:widowControl w:val="0"/>
        <w:jc w:val="both"/>
        <w:rPr>
          <w:sz w:val="20"/>
          <w:szCs w:val="20"/>
          <w:lang w:val="fr-CA"/>
        </w:rPr>
      </w:pPr>
    </w:p>
    <w:p w:rsidR="00B3018E" w:rsidRPr="001E7FA6" w:rsidRDefault="00B3018E" w:rsidP="00B3018E">
      <w:pPr>
        <w:widowControl w:val="0"/>
        <w:jc w:val="both"/>
        <w:rPr>
          <w:sz w:val="20"/>
          <w:szCs w:val="20"/>
          <w:lang w:val="fr-CA"/>
        </w:rPr>
      </w:pPr>
      <w:r w:rsidRPr="001E7FA6">
        <w:rPr>
          <w:sz w:val="20"/>
          <w:szCs w:val="20"/>
          <w:lang w:val="fr-CA"/>
        </w:rPr>
        <w:t>Par l’entremise de sa mère, Carolyn Ediger, l’appelante a intenté une action en dommages</w:t>
      </w:r>
      <w:r w:rsidRPr="001E7FA6">
        <w:rPr>
          <w:sz w:val="20"/>
          <w:szCs w:val="20"/>
          <w:lang w:val="fr-CA"/>
        </w:rPr>
        <w:noBreakHyphen/>
        <w:t>intérêts contre l’intimé, le D</w:t>
      </w:r>
      <w:r w:rsidRPr="001E7FA6">
        <w:rPr>
          <w:sz w:val="20"/>
          <w:szCs w:val="20"/>
          <w:vertAlign w:val="superscript"/>
          <w:lang w:val="fr-CA"/>
        </w:rPr>
        <w:t>r</w:t>
      </w:r>
      <w:r w:rsidRPr="001E7FA6">
        <w:rPr>
          <w:sz w:val="20"/>
          <w:szCs w:val="20"/>
          <w:lang w:val="fr-CA"/>
        </w:rPr>
        <w:t> Johnston, obstétricien gynécologue, pour le grave préjudice subi lors de sa naissance.  Le travail de sa mère avait atteint un stade avancé lorsque le D</w:t>
      </w:r>
      <w:r w:rsidRPr="001E7FA6">
        <w:rPr>
          <w:sz w:val="20"/>
          <w:szCs w:val="20"/>
          <w:vertAlign w:val="superscript"/>
          <w:lang w:val="fr-CA"/>
        </w:rPr>
        <w:t>r</w:t>
      </w:r>
      <w:r w:rsidRPr="001E7FA6">
        <w:rPr>
          <w:sz w:val="20"/>
          <w:szCs w:val="20"/>
          <w:lang w:val="fr-CA"/>
        </w:rPr>
        <w:t> Johnston a tenté une manoeuvre de rotation partielle à l’aide de forceps pour faciliter la naissance, mais il n’a pu mettre l’instrument en place correctement.  Peu après qu’il eut mis fin à la tentative, la fréquence cardiaque de l’appelante a diminué (bradycardie) au point de la priver de l’oxygène dont elle avait besoin.  Cet état a persisté jusqu’à la naissance de l’enfant par césarienne et sa réanimation quelque dix</w:t>
      </w:r>
      <w:r w:rsidRPr="001E7FA6">
        <w:rPr>
          <w:sz w:val="20"/>
          <w:szCs w:val="20"/>
          <w:lang w:val="fr-CA"/>
        </w:rPr>
        <w:noBreakHyphen/>
        <w:t>huit minutes plus tard.  L’appelante a subi de graves dommages au cerveau, et le préjudice est permanent.  La juge du procès a conclu que le D</w:t>
      </w:r>
      <w:r w:rsidRPr="001E7FA6">
        <w:rPr>
          <w:sz w:val="20"/>
          <w:szCs w:val="20"/>
          <w:vertAlign w:val="superscript"/>
          <w:lang w:val="fr-CA"/>
        </w:rPr>
        <w:t>r</w:t>
      </w:r>
      <w:r w:rsidRPr="001E7FA6">
        <w:rPr>
          <w:sz w:val="20"/>
          <w:szCs w:val="20"/>
          <w:lang w:val="fr-CA"/>
        </w:rPr>
        <w:t> Johnston avait manqué à son obligation de diligence en tentant une rotation de la tête une fois l’enfant engagé dans la filière pelvi</w:t>
      </w:r>
      <w:r w:rsidRPr="001E7FA6">
        <w:rPr>
          <w:sz w:val="20"/>
          <w:szCs w:val="20"/>
          <w:lang w:val="fr-CA"/>
        </w:rPr>
        <w:noBreakHyphen/>
        <w:t>génitale, sans s’assurer d’abord qu’une équipe était prête à prendre le relais à la salle d’accouchement par césarienne.  Malgré sa conclusion qu’il s’était écoulé une ou deux minutes entre le recours aux forceps et les premiers signes de bradycardie, la juge du procès a estimé que la preuve permettait d’attribuer le ralentissement cardiaque à la mesure prise.  À son avis, le bien</w:t>
      </w:r>
      <w:r w:rsidRPr="001E7FA6">
        <w:rPr>
          <w:sz w:val="20"/>
          <w:szCs w:val="20"/>
          <w:lang w:val="fr-CA"/>
        </w:rPr>
        <w:noBreakHyphen/>
        <w:t>fondé de la poursuite découlait également de l’absence de consentement éclairé de M</w:t>
      </w:r>
      <w:r w:rsidRPr="001E7FA6">
        <w:rPr>
          <w:sz w:val="20"/>
          <w:szCs w:val="20"/>
          <w:vertAlign w:val="superscript"/>
          <w:lang w:val="fr-CA"/>
        </w:rPr>
        <w:t>me</w:t>
      </w:r>
      <w:r w:rsidRPr="001E7FA6">
        <w:rPr>
          <w:sz w:val="20"/>
          <w:szCs w:val="20"/>
          <w:lang w:val="fr-CA"/>
        </w:rPr>
        <w:t> Ediger à l’utilisation des forceps avant la naissance.  Le D</w:t>
      </w:r>
      <w:r w:rsidRPr="001E7FA6">
        <w:rPr>
          <w:sz w:val="20"/>
          <w:szCs w:val="20"/>
          <w:vertAlign w:val="superscript"/>
          <w:lang w:val="fr-CA"/>
        </w:rPr>
        <w:t>r</w:t>
      </w:r>
      <w:r w:rsidRPr="001E7FA6">
        <w:rPr>
          <w:sz w:val="20"/>
          <w:szCs w:val="20"/>
          <w:lang w:val="fr-CA"/>
        </w:rPr>
        <w:t> Johnston a interjeté appel du jugement qui le déclarait responsable du préjudice en invoquant la seule question du lien de causalité.  La Cour d’appel a accueilli l’appel et rejeté l’action.</w:t>
      </w:r>
    </w:p>
    <w:p w:rsidR="00B3018E" w:rsidRPr="001E7FA6" w:rsidRDefault="00B3018E" w:rsidP="00B3018E">
      <w:pPr>
        <w:widowControl w:val="0"/>
        <w:jc w:val="both"/>
        <w:rPr>
          <w:sz w:val="20"/>
          <w:szCs w:val="20"/>
          <w:lang w:val="fr-CA"/>
        </w:rPr>
      </w:pPr>
    </w:p>
    <w:p w:rsidR="00B3018E" w:rsidRPr="001E7FA6" w:rsidRDefault="00B3018E" w:rsidP="00B3018E">
      <w:pPr>
        <w:widowControl w:val="0"/>
        <w:jc w:val="both"/>
        <w:rPr>
          <w:sz w:val="20"/>
          <w:szCs w:val="20"/>
          <w:lang w:val="fr-CA"/>
        </w:rPr>
      </w:pPr>
    </w:p>
    <w:p w:rsidR="00B3018E" w:rsidRPr="001E7FA6" w:rsidRDefault="00B3018E" w:rsidP="00B3018E">
      <w:pPr>
        <w:widowControl w:val="0"/>
        <w:ind w:left="2880" w:hanging="2880"/>
        <w:jc w:val="both"/>
        <w:rPr>
          <w:sz w:val="20"/>
          <w:szCs w:val="20"/>
          <w:lang w:val="fr-CA"/>
        </w:rPr>
      </w:pPr>
      <w:r w:rsidRPr="001E7FA6">
        <w:rPr>
          <w:sz w:val="20"/>
          <w:szCs w:val="20"/>
          <w:lang w:val="fr-CA"/>
        </w:rPr>
        <w:t>Origine :</w:t>
      </w:r>
      <w:r w:rsidRPr="001E7FA6">
        <w:rPr>
          <w:sz w:val="20"/>
          <w:szCs w:val="20"/>
          <w:lang w:val="fr-CA"/>
        </w:rPr>
        <w:tab/>
      </w:r>
      <w:bookmarkStart w:id="5" w:name="4"/>
      <w:bookmarkEnd w:id="5"/>
      <w:r w:rsidRPr="001E7FA6">
        <w:rPr>
          <w:sz w:val="20"/>
          <w:szCs w:val="20"/>
          <w:lang w:val="fr-CA"/>
        </w:rPr>
        <w:t>Colombie</w:t>
      </w:r>
      <w:r w:rsidRPr="001E7FA6">
        <w:rPr>
          <w:sz w:val="20"/>
          <w:szCs w:val="20"/>
          <w:lang w:val="fr-CA"/>
        </w:rPr>
        <w:noBreakHyphen/>
        <w:t>Britannique</w:t>
      </w:r>
    </w:p>
    <w:p w:rsidR="00B3018E" w:rsidRPr="001E7FA6" w:rsidRDefault="00B3018E" w:rsidP="00B3018E">
      <w:pPr>
        <w:widowControl w:val="0"/>
        <w:ind w:left="2880" w:hanging="2880"/>
        <w:jc w:val="both"/>
        <w:rPr>
          <w:sz w:val="20"/>
          <w:szCs w:val="20"/>
          <w:lang w:val="fr-CA"/>
        </w:rPr>
      </w:pPr>
    </w:p>
    <w:p w:rsidR="00B3018E" w:rsidRPr="001E7FA6" w:rsidRDefault="00B3018E" w:rsidP="00B3018E">
      <w:pPr>
        <w:widowControl w:val="0"/>
        <w:ind w:left="2880" w:hanging="2880"/>
        <w:jc w:val="both"/>
        <w:rPr>
          <w:sz w:val="20"/>
          <w:szCs w:val="20"/>
          <w:lang w:val="fr-CA"/>
        </w:rPr>
      </w:pPr>
      <w:r w:rsidRPr="001E7FA6">
        <w:rPr>
          <w:sz w:val="20"/>
          <w:szCs w:val="20"/>
          <w:lang w:val="fr-CA"/>
        </w:rPr>
        <w:t>N</w:t>
      </w:r>
      <w:r w:rsidRPr="001E7FA6">
        <w:rPr>
          <w:sz w:val="20"/>
          <w:szCs w:val="20"/>
          <w:vertAlign w:val="superscript"/>
          <w:lang w:val="fr-CA"/>
        </w:rPr>
        <w:t>o</w:t>
      </w:r>
      <w:r w:rsidRPr="001E7FA6">
        <w:rPr>
          <w:sz w:val="20"/>
          <w:szCs w:val="20"/>
          <w:lang w:val="fr-CA"/>
        </w:rPr>
        <w:t xml:space="preserve"> du greffe :</w:t>
      </w:r>
      <w:r w:rsidRPr="001E7FA6">
        <w:rPr>
          <w:sz w:val="20"/>
          <w:szCs w:val="20"/>
          <w:lang w:val="fr-CA"/>
        </w:rPr>
        <w:tab/>
      </w:r>
      <w:bookmarkStart w:id="6" w:name="2"/>
      <w:bookmarkEnd w:id="6"/>
      <w:r w:rsidRPr="001E7FA6">
        <w:rPr>
          <w:sz w:val="20"/>
          <w:szCs w:val="20"/>
          <w:lang w:val="fr-CA"/>
        </w:rPr>
        <w:t>34408</w:t>
      </w:r>
    </w:p>
    <w:p w:rsidR="00B3018E" w:rsidRPr="001E7FA6" w:rsidRDefault="00B3018E" w:rsidP="00B3018E">
      <w:pPr>
        <w:widowControl w:val="0"/>
        <w:ind w:left="2880" w:hanging="2880"/>
        <w:jc w:val="both"/>
        <w:rPr>
          <w:sz w:val="20"/>
          <w:szCs w:val="20"/>
          <w:lang w:val="fr-CA"/>
        </w:rPr>
      </w:pPr>
    </w:p>
    <w:p w:rsidR="00B3018E" w:rsidRPr="001E7FA6" w:rsidRDefault="00B3018E" w:rsidP="00B3018E">
      <w:pPr>
        <w:widowControl w:val="0"/>
        <w:ind w:left="2880" w:hanging="2880"/>
        <w:jc w:val="both"/>
        <w:rPr>
          <w:sz w:val="20"/>
          <w:szCs w:val="20"/>
          <w:lang w:val="fr-CA"/>
        </w:rPr>
      </w:pPr>
      <w:r w:rsidRPr="001E7FA6">
        <w:rPr>
          <w:sz w:val="20"/>
          <w:szCs w:val="20"/>
          <w:lang w:val="fr-CA"/>
        </w:rPr>
        <w:t>Arrêt de la Cour d’appel :</w:t>
      </w:r>
      <w:r w:rsidRPr="001E7FA6">
        <w:rPr>
          <w:sz w:val="20"/>
          <w:szCs w:val="20"/>
          <w:lang w:val="fr-CA"/>
        </w:rPr>
        <w:tab/>
      </w:r>
      <w:bookmarkStart w:id="7" w:name="5"/>
      <w:bookmarkEnd w:id="7"/>
      <w:r w:rsidRPr="001E7FA6">
        <w:rPr>
          <w:sz w:val="20"/>
          <w:szCs w:val="20"/>
          <w:lang w:val="fr-CA"/>
        </w:rPr>
        <w:t>le 30 mai 2011</w:t>
      </w:r>
    </w:p>
    <w:p w:rsidR="00B3018E" w:rsidRPr="001E7FA6" w:rsidRDefault="00B3018E" w:rsidP="00B3018E">
      <w:pPr>
        <w:widowControl w:val="0"/>
        <w:ind w:left="2880" w:hanging="2880"/>
        <w:jc w:val="both"/>
        <w:rPr>
          <w:sz w:val="20"/>
          <w:szCs w:val="20"/>
          <w:lang w:val="fr-CA"/>
        </w:rPr>
      </w:pPr>
    </w:p>
    <w:p w:rsidR="00B3018E" w:rsidRPr="001E7FA6" w:rsidRDefault="00B3018E" w:rsidP="00B3018E">
      <w:pPr>
        <w:widowControl w:val="0"/>
        <w:ind w:left="2880" w:hanging="2880"/>
        <w:jc w:val="both"/>
        <w:rPr>
          <w:sz w:val="20"/>
          <w:szCs w:val="20"/>
          <w:lang w:val="fr-CA"/>
        </w:rPr>
      </w:pPr>
      <w:r w:rsidRPr="001E7FA6">
        <w:rPr>
          <w:sz w:val="20"/>
          <w:szCs w:val="20"/>
          <w:lang w:val="fr-CA"/>
        </w:rPr>
        <w:t>Avocats :</w:t>
      </w:r>
      <w:r w:rsidRPr="001E7FA6">
        <w:rPr>
          <w:sz w:val="20"/>
          <w:szCs w:val="20"/>
          <w:lang w:val="fr-CA"/>
        </w:rPr>
        <w:tab/>
      </w:r>
      <w:bookmarkStart w:id="8" w:name="6"/>
      <w:bookmarkEnd w:id="8"/>
      <w:r w:rsidRPr="001E7FA6">
        <w:rPr>
          <w:sz w:val="20"/>
          <w:szCs w:val="20"/>
          <w:lang w:val="fr-CA"/>
        </w:rPr>
        <w:t>Vincent R. K. Orchard, c.r. et Paul T. McGivern pour l’appelante</w:t>
      </w:r>
    </w:p>
    <w:p w:rsidR="00B3018E" w:rsidRPr="001E7FA6" w:rsidRDefault="00B3018E" w:rsidP="00B3018E">
      <w:pPr>
        <w:widowControl w:val="0"/>
        <w:ind w:left="2880" w:hanging="2880"/>
        <w:jc w:val="both"/>
        <w:rPr>
          <w:sz w:val="20"/>
          <w:szCs w:val="20"/>
          <w:lang w:val="fr-CA"/>
        </w:rPr>
      </w:pPr>
      <w:bookmarkStart w:id="9" w:name="7"/>
      <w:bookmarkEnd w:id="9"/>
      <w:r>
        <w:rPr>
          <w:sz w:val="20"/>
          <w:szCs w:val="20"/>
          <w:lang w:val="fr-CA"/>
        </w:rPr>
        <w:tab/>
      </w:r>
      <w:r w:rsidRPr="001E7FA6">
        <w:rPr>
          <w:sz w:val="20"/>
          <w:szCs w:val="20"/>
          <w:lang w:val="fr-CA"/>
        </w:rPr>
        <w:t xml:space="preserve">James M. Lepp, </w:t>
      </w:r>
      <w:proofErr w:type="gramStart"/>
      <w:r w:rsidRPr="001E7FA6">
        <w:rPr>
          <w:sz w:val="20"/>
          <w:szCs w:val="20"/>
          <w:lang w:val="fr-CA"/>
        </w:rPr>
        <w:t>c.r.,</w:t>
      </w:r>
      <w:proofErr w:type="gramEnd"/>
      <w:r w:rsidRPr="001E7FA6">
        <w:rPr>
          <w:sz w:val="20"/>
          <w:szCs w:val="20"/>
          <w:lang w:val="fr-CA"/>
        </w:rPr>
        <w:t xml:space="preserve"> Michael G. Thomas et Daniel J. Reid pour l’intimé</w:t>
      </w:r>
    </w:p>
    <w:p w:rsidR="00CB1B28" w:rsidRPr="00BC78D9" w:rsidRDefault="00CB1B28" w:rsidP="00CB1B28">
      <w:pPr>
        <w:widowControl w:val="0"/>
        <w:jc w:val="both"/>
        <w:rPr>
          <w:sz w:val="20"/>
          <w:szCs w:val="20"/>
          <w:lang w:val="fr-CA"/>
        </w:rPr>
      </w:pPr>
    </w:p>
    <w:p w:rsidR="000B3C9A" w:rsidRPr="00DD0B49" w:rsidRDefault="000B3C9A" w:rsidP="000B3C9A">
      <w:pPr>
        <w:tabs>
          <w:tab w:val="left" w:pos="-1440"/>
          <w:tab w:val="left" w:pos="-720"/>
        </w:tabs>
        <w:jc w:val="both"/>
        <w:rPr>
          <w:sz w:val="20"/>
          <w:szCs w:val="20"/>
          <w:lang w:val="fr-CA"/>
        </w:rPr>
      </w:pPr>
    </w:p>
    <w:p w:rsidR="000B3C9A" w:rsidRDefault="00DB239D" w:rsidP="000B3C9A">
      <w:pPr>
        <w:tabs>
          <w:tab w:val="left" w:pos="-1440"/>
          <w:tab w:val="left" w:pos="-720"/>
        </w:tabs>
        <w:jc w:val="both"/>
        <w:rPr>
          <w:sz w:val="20"/>
          <w:szCs w:val="20"/>
          <w:lang w:val="fr-CA"/>
        </w:rPr>
      </w:pPr>
      <w:r w:rsidRPr="00DB239D">
        <w:rPr>
          <w:sz w:val="20"/>
          <w:szCs w:val="20"/>
          <w:lang w:val="fr-CA"/>
        </w:rPr>
        <w:pict>
          <v:rect id="_x0000_i1118" style="width:2in;height:1pt" o:hrpct="0" o:hralign="center" o:hrstd="t" o:hrnoshade="t" o:hr="t" fillcolor="black [3213]" stroked="f"/>
        </w:pict>
      </w:r>
    </w:p>
    <w:p w:rsidR="00A818DB" w:rsidRDefault="00A818DB">
      <w:pPr>
        <w:rPr>
          <w:sz w:val="20"/>
          <w:szCs w:val="20"/>
          <w:lang w:val="fr-CA"/>
        </w:rPr>
      </w:pPr>
      <w:r>
        <w:rPr>
          <w:sz w:val="20"/>
          <w:szCs w:val="20"/>
          <w:lang w:val="fr-CA"/>
        </w:rPr>
        <w:br w:type="page"/>
      </w:r>
    </w:p>
    <w:bookmarkStart w:id="10" w:name="1"/>
    <w:bookmarkEnd w:id="10"/>
    <w:p w:rsidR="00BE05B9" w:rsidRPr="00D4402E" w:rsidRDefault="00DB239D" w:rsidP="00BE05B9">
      <w:pPr>
        <w:widowControl w:val="0"/>
        <w:ind w:left="720" w:hanging="720"/>
        <w:jc w:val="both"/>
        <w:rPr>
          <w:sz w:val="20"/>
          <w:szCs w:val="20"/>
        </w:rPr>
      </w:pPr>
      <w:r w:rsidRPr="00D4402E">
        <w:rPr>
          <w:b/>
          <w:sz w:val="20"/>
          <w:szCs w:val="20"/>
        </w:rPr>
        <w:fldChar w:fldCharType="begin"/>
      </w:r>
      <w:r w:rsidR="00BE05B9" w:rsidRPr="00D4402E">
        <w:rPr>
          <w:b/>
          <w:sz w:val="20"/>
          <w:szCs w:val="20"/>
        </w:rPr>
        <w:instrText xml:space="preserve"> SEQ CHAPTER \h \r 1</w:instrText>
      </w:r>
      <w:r w:rsidRPr="00D4402E">
        <w:rPr>
          <w:b/>
          <w:sz w:val="20"/>
          <w:szCs w:val="20"/>
        </w:rPr>
        <w:fldChar w:fldCharType="end"/>
      </w:r>
      <w:r w:rsidR="00BE05B9" w:rsidRPr="00D4402E">
        <w:rPr>
          <w:b/>
          <w:sz w:val="20"/>
          <w:szCs w:val="20"/>
        </w:rPr>
        <w:t>34358</w:t>
      </w:r>
      <w:r w:rsidR="00BE05B9" w:rsidRPr="00D4402E">
        <w:rPr>
          <w:sz w:val="20"/>
          <w:szCs w:val="20"/>
        </w:rPr>
        <w:tab/>
      </w:r>
      <w:r w:rsidR="00BE05B9" w:rsidRPr="00D4402E">
        <w:rPr>
          <w:b/>
          <w:i/>
          <w:sz w:val="20"/>
          <w:szCs w:val="20"/>
        </w:rPr>
        <w:t xml:space="preserve"> Her Majesty the Queen v. Alphide Manning</w:t>
      </w:r>
    </w:p>
    <w:p w:rsidR="00BE05B9" w:rsidRPr="00D4402E" w:rsidRDefault="00BE05B9" w:rsidP="00BE05B9">
      <w:pPr>
        <w:widowControl w:val="0"/>
        <w:jc w:val="both"/>
        <w:rPr>
          <w:sz w:val="20"/>
          <w:szCs w:val="20"/>
        </w:rPr>
      </w:pPr>
    </w:p>
    <w:p w:rsidR="00BE05B9" w:rsidRPr="00D4402E" w:rsidRDefault="00BE05B9" w:rsidP="00BE05B9">
      <w:pPr>
        <w:widowControl w:val="0"/>
        <w:jc w:val="both"/>
        <w:rPr>
          <w:sz w:val="20"/>
          <w:szCs w:val="20"/>
        </w:rPr>
      </w:pPr>
      <w:r w:rsidRPr="00D4402E">
        <w:rPr>
          <w:sz w:val="20"/>
          <w:szCs w:val="20"/>
        </w:rPr>
        <w:t>Criminal law - Forfeiture of offence</w:t>
      </w:r>
      <w:r w:rsidRPr="00D4402E">
        <w:rPr>
          <w:sz w:val="20"/>
          <w:szCs w:val="20"/>
        </w:rPr>
        <w:noBreakHyphen/>
        <w:t>related property - Factors to be considered by court in deciding not to order forfeiture of offence</w:t>
      </w:r>
      <w:r w:rsidRPr="00D4402E">
        <w:rPr>
          <w:sz w:val="20"/>
          <w:szCs w:val="20"/>
        </w:rPr>
        <w:noBreakHyphen/>
        <w:t>related property - Whether Court of Appeal erred as regards factors that can be considered in balancing exercise used to determine whether impact of order of forfeiture of property other than dwelling</w:t>
      </w:r>
      <w:r w:rsidRPr="00D4402E">
        <w:rPr>
          <w:sz w:val="20"/>
          <w:szCs w:val="20"/>
        </w:rPr>
        <w:noBreakHyphen/>
        <w:t xml:space="preserve">house is disproportionate under s. 490.41(3) </w:t>
      </w:r>
      <w:r w:rsidRPr="00D4402E">
        <w:rPr>
          <w:i/>
          <w:sz w:val="20"/>
          <w:szCs w:val="20"/>
        </w:rPr>
        <w:t>Cr.C.</w:t>
      </w:r>
      <w:r w:rsidRPr="00D4402E">
        <w:rPr>
          <w:sz w:val="20"/>
          <w:szCs w:val="20"/>
        </w:rPr>
        <w:t xml:space="preserve"> - </w:t>
      </w:r>
      <w:r w:rsidRPr="00D4402E">
        <w:rPr>
          <w:i/>
          <w:sz w:val="20"/>
          <w:szCs w:val="20"/>
        </w:rPr>
        <w:t>Criminal Code</w:t>
      </w:r>
      <w:r w:rsidRPr="00D4402E">
        <w:rPr>
          <w:sz w:val="20"/>
          <w:szCs w:val="20"/>
        </w:rPr>
        <w:t>, R.S.C. 1985, c. C</w:t>
      </w:r>
      <w:r w:rsidRPr="00D4402E">
        <w:rPr>
          <w:sz w:val="20"/>
          <w:szCs w:val="20"/>
        </w:rPr>
        <w:noBreakHyphen/>
        <w:t>46, s. 490.41(3).</w:t>
      </w:r>
    </w:p>
    <w:p w:rsidR="00BE05B9" w:rsidRPr="00D4402E" w:rsidRDefault="00BE05B9" w:rsidP="00BE05B9">
      <w:pPr>
        <w:widowControl w:val="0"/>
        <w:jc w:val="both"/>
        <w:rPr>
          <w:sz w:val="20"/>
          <w:szCs w:val="20"/>
        </w:rPr>
      </w:pPr>
    </w:p>
    <w:p w:rsidR="00BE05B9" w:rsidRPr="00D4402E" w:rsidRDefault="00BE05B9" w:rsidP="00BE05B9">
      <w:pPr>
        <w:jc w:val="both"/>
        <w:rPr>
          <w:sz w:val="20"/>
          <w:szCs w:val="20"/>
        </w:rPr>
      </w:pPr>
      <w:r w:rsidRPr="00D4402E">
        <w:rPr>
          <w:sz w:val="20"/>
          <w:szCs w:val="20"/>
        </w:rPr>
        <w:t>The respondent pleaded guilty to two counts of operating a motor vehicle with a blood alcohol level over the legal limit.  He had similar prior convictions from 1989, 1982 and 1975.  He was sentenced to imprisonment for twelve months on the first count and five months on the second count.  He was also prohibited from driving for five years following the end of his period of imprisonment.  The Crown applied for forfeiture of the vehicle driven by the respondent at the time of the offence on the ground that it was offence</w:t>
      </w:r>
      <w:r w:rsidRPr="00D4402E">
        <w:rPr>
          <w:sz w:val="20"/>
          <w:szCs w:val="20"/>
        </w:rPr>
        <w:noBreakHyphen/>
        <w:t xml:space="preserve">related property within the meaning of the </w:t>
      </w:r>
      <w:r w:rsidRPr="00D4402E">
        <w:rPr>
          <w:i/>
          <w:sz w:val="20"/>
          <w:szCs w:val="20"/>
        </w:rPr>
        <w:t>Criminal Code</w:t>
      </w:r>
      <w:r w:rsidRPr="00D4402E">
        <w:rPr>
          <w:sz w:val="20"/>
          <w:szCs w:val="20"/>
        </w:rPr>
        <w:t xml:space="preserve">.  The Court of Québec dismissed the Crown’s motion for forfeiture of the vehicle pursuant to s. 490.41(3) of the </w:t>
      </w:r>
      <w:r w:rsidRPr="00D4402E">
        <w:rPr>
          <w:i/>
          <w:sz w:val="20"/>
          <w:szCs w:val="20"/>
        </w:rPr>
        <w:t>Criminal Code</w:t>
      </w:r>
      <w:r w:rsidRPr="00D4402E">
        <w:rPr>
          <w:sz w:val="20"/>
          <w:szCs w:val="20"/>
        </w:rPr>
        <w:t>, and the Court of Appeal dismissed the Crown’s appeal.</w:t>
      </w:r>
    </w:p>
    <w:p w:rsidR="00BE05B9" w:rsidRPr="00D4402E" w:rsidRDefault="00BE05B9" w:rsidP="00BE05B9">
      <w:pPr>
        <w:widowControl w:val="0"/>
        <w:jc w:val="both"/>
        <w:rPr>
          <w:sz w:val="20"/>
          <w:szCs w:val="20"/>
        </w:rPr>
      </w:pPr>
    </w:p>
    <w:p w:rsidR="00BE05B9" w:rsidRPr="00D4402E" w:rsidRDefault="00BE05B9" w:rsidP="00BE05B9">
      <w:pPr>
        <w:widowControl w:val="0"/>
        <w:jc w:val="both"/>
        <w:rPr>
          <w:sz w:val="20"/>
          <w:szCs w:val="20"/>
        </w:rPr>
      </w:pPr>
    </w:p>
    <w:p w:rsidR="00BE05B9" w:rsidRPr="00D4402E" w:rsidRDefault="00BE05B9" w:rsidP="00BE05B9">
      <w:pPr>
        <w:widowControl w:val="0"/>
        <w:ind w:left="2880" w:hanging="2880"/>
        <w:jc w:val="both"/>
        <w:rPr>
          <w:sz w:val="20"/>
          <w:szCs w:val="20"/>
        </w:rPr>
      </w:pPr>
      <w:r w:rsidRPr="00D4402E">
        <w:rPr>
          <w:sz w:val="20"/>
          <w:szCs w:val="20"/>
        </w:rPr>
        <w:t>Origin of the case:</w:t>
      </w:r>
      <w:r w:rsidRPr="00D4402E">
        <w:rPr>
          <w:sz w:val="20"/>
          <w:szCs w:val="20"/>
        </w:rPr>
        <w:tab/>
        <w:t>Quebec</w:t>
      </w:r>
    </w:p>
    <w:p w:rsidR="00BE05B9" w:rsidRPr="00D4402E" w:rsidRDefault="00BE05B9" w:rsidP="00BE05B9">
      <w:pPr>
        <w:widowControl w:val="0"/>
        <w:ind w:left="2880" w:hanging="2880"/>
        <w:jc w:val="both"/>
        <w:rPr>
          <w:sz w:val="20"/>
          <w:szCs w:val="20"/>
        </w:rPr>
      </w:pPr>
    </w:p>
    <w:p w:rsidR="00BE05B9" w:rsidRPr="00D4402E" w:rsidRDefault="00BE05B9" w:rsidP="00BE05B9">
      <w:pPr>
        <w:widowControl w:val="0"/>
        <w:ind w:left="2880" w:hanging="2880"/>
        <w:jc w:val="both"/>
        <w:rPr>
          <w:sz w:val="20"/>
          <w:szCs w:val="20"/>
        </w:rPr>
      </w:pPr>
      <w:r w:rsidRPr="00D4402E">
        <w:rPr>
          <w:sz w:val="20"/>
          <w:szCs w:val="20"/>
        </w:rPr>
        <w:t>File No.:</w:t>
      </w:r>
      <w:r w:rsidRPr="00D4402E">
        <w:rPr>
          <w:sz w:val="20"/>
          <w:szCs w:val="20"/>
        </w:rPr>
        <w:tab/>
        <w:t>34358</w:t>
      </w:r>
    </w:p>
    <w:p w:rsidR="00BE05B9" w:rsidRPr="00D4402E" w:rsidRDefault="00BE05B9" w:rsidP="00BE05B9">
      <w:pPr>
        <w:widowControl w:val="0"/>
        <w:ind w:left="2880" w:hanging="2880"/>
        <w:jc w:val="both"/>
        <w:rPr>
          <w:sz w:val="20"/>
          <w:szCs w:val="20"/>
        </w:rPr>
      </w:pPr>
    </w:p>
    <w:p w:rsidR="00BE05B9" w:rsidRPr="00D4402E" w:rsidRDefault="00BE05B9" w:rsidP="00BE05B9">
      <w:pPr>
        <w:widowControl w:val="0"/>
        <w:ind w:left="2880" w:hanging="2880"/>
        <w:jc w:val="both"/>
        <w:rPr>
          <w:sz w:val="20"/>
          <w:szCs w:val="20"/>
        </w:rPr>
      </w:pPr>
      <w:r w:rsidRPr="00D4402E">
        <w:rPr>
          <w:sz w:val="20"/>
          <w:szCs w:val="20"/>
        </w:rPr>
        <w:t>Judgment of the Court of Appeal:</w:t>
      </w:r>
      <w:r w:rsidRPr="00D4402E">
        <w:rPr>
          <w:sz w:val="20"/>
          <w:szCs w:val="20"/>
        </w:rPr>
        <w:tab/>
        <w:t>May 16, 2011</w:t>
      </w:r>
    </w:p>
    <w:p w:rsidR="00BE05B9" w:rsidRPr="00D4402E" w:rsidRDefault="00BE05B9" w:rsidP="00BE05B9">
      <w:pPr>
        <w:widowControl w:val="0"/>
        <w:ind w:left="2880" w:hanging="2880"/>
        <w:jc w:val="both"/>
        <w:rPr>
          <w:sz w:val="20"/>
          <w:szCs w:val="20"/>
        </w:rPr>
      </w:pPr>
    </w:p>
    <w:p w:rsidR="00BE05B9" w:rsidRPr="00D4402E" w:rsidRDefault="00BE05B9" w:rsidP="00BE05B9">
      <w:pPr>
        <w:widowControl w:val="0"/>
        <w:ind w:left="2880" w:hanging="2880"/>
        <w:jc w:val="both"/>
        <w:rPr>
          <w:sz w:val="20"/>
          <w:szCs w:val="20"/>
        </w:rPr>
      </w:pPr>
      <w:r w:rsidRPr="00D4402E">
        <w:rPr>
          <w:sz w:val="20"/>
          <w:szCs w:val="20"/>
        </w:rPr>
        <w:t>Counsel:</w:t>
      </w:r>
      <w:r w:rsidRPr="00D4402E">
        <w:rPr>
          <w:sz w:val="20"/>
          <w:szCs w:val="20"/>
        </w:rPr>
        <w:tab/>
        <w:t>Robin Tremblay for the appellant</w:t>
      </w:r>
    </w:p>
    <w:p w:rsidR="00BE05B9" w:rsidRPr="00D4402E" w:rsidRDefault="00BE05B9" w:rsidP="00BE05B9">
      <w:pPr>
        <w:widowControl w:val="0"/>
        <w:ind w:left="2880" w:hanging="2880"/>
        <w:jc w:val="both"/>
        <w:rPr>
          <w:sz w:val="20"/>
          <w:szCs w:val="20"/>
        </w:rPr>
      </w:pPr>
      <w:r w:rsidRPr="00D4402E">
        <w:rPr>
          <w:sz w:val="20"/>
          <w:szCs w:val="20"/>
        </w:rPr>
        <w:tab/>
        <w:t>Patrick Jacques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19"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lang w:val="fr-CA"/>
        </w:rPr>
      </w:pPr>
      <w:r>
        <w:rPr>
          <w:lang w:val="fr-CA"/>
        </w:rPr>
        <w:br w:type="page"/>
      </w:r>
    </w:p>
    <w:p w:rsidR="00BE05B9" w:rsidRPr="00867B25" w:rsidRDefault="00DB239D" w:rsidP="00BE05B9">
      <w:pPr>
        <w:widowControl w:val="0"/>
        <w:ind w:left="720" w:hanging="720"/>
        <w:jc w:val="both"/>
        <w:rPr>
          <w:sz w:val="20"/>
          <w:szCs w:val="20"/>
          <w:lang w:val="fr-CA"/>
        </w:rPr>
      </w:pPr>
      <w:r w:rsidRPr="00DB239D">
        <w:rPr>
          <w:b/>
          <w:sz w:val="20"/>
          <w:szCs w:val="20"/>
          <w:lang w:val="fr-CA"/>
        </w:rPr>
        <w:fldChar w:fldCharType="begin"/>
      </w:r>
      <w:r w:rsidR="00BE05B9" w:rsidRPr="00867B25">
        <w:rPr>
          <w:b/>
          <w:sz w:val="20"/>
          <w:szCs w:val="20"/>
          <w:lang w:val="fr-CA"/>
        </w:rPr>
        <w:instrText xml:space="preserve"> SEQ CHAPTER \h \r 1</w:instrText>
      </w:r>
      <w:r w:rsidRPr="00867B25">
        <w:rPr>
          <w:b/>
          <w:sz w:val="20"/>
          <w:szCs w:val="20"/>
        </w:rPr>
        <w:fldChar w:fldCharType="end"/>
      </w:r>
      <w:r w:rsidR="00BE05B9" w:rsidRPr="00867B25">
        <w:rPr>
          <w:b/>
          <w:sz w:val="20"/>
          <w:szCs w:val="20"/>
          <w:lang w:val="fr-CA"/>
        </w:rPr>
        <w:t>34358</w:t>
      </w:r>
      <w:r w:rsidR="00BE05B9" w:rsidRPr="00867B25">
        <w:rPr>
          <w:sz w:val="20"/>
          <w:szCs w:val="20"/>
          <w:lang w:val="fr-CA"/>
        </w:rPr>
        <w:tab/>
      </w:r>
      <w:r w:rsidR="00BE05B9" w:rsidRPr="00867B25">
        <w:rPr>
          <w:b/>
          <w:i/>
          <w:sz w:val="20"/>
          <w:szCs w:val="20"/>
          <w:lang w:val="fr-CA"/>
        </w:rPr>
        <w:t xml:space="preserve"> Sa Majesté la Reine c. Alphide Manning</w:t>
      </w:r>
    </w:p>
    <w:p w:rsidR="00BE05B9" w:rsidRPr="00867B25" w:rsidRDefault="00BE05B9" w:rsidP="00BE05B9">
      <w:pPr>
        <w:widowControl w:val="0"/>
        <w:jc w:val="both"/>
        <w:rPr>
          <w:sz w:val="20"/>
          <w:szCs w:val="20"/>
          <w:lang w:val="fr-CA"/>
        </w:rPr>
      </w:pPr>
    </w:p>
    <w:p w:rsidR="00BE05B9" w:rsidRPr="00867B25" w:rsidRDefault="00BE05B9" w:rsidP="00BE05B9">
      <w:pPr>
        <w:jc w:val="both"/>
        <w:rPr>
          <w:sz w:val="20"/>
          <w:szCs w:val="20"/>
          <w:lang w:val="fr-CA"/>
        </w:rPr>
      </w:pPr>
      <w:r w:rsidRPr="00867B25">
        <w:rPr>
          <w:sz w:val="20"/>
          <w:szCs w:val="20"/>
          <w:lang w:val="fr-CA"/>
        </w:rPr>
        <w:t>Droit criminel - Confiscation de biens infractionnels - Facteurs à considérer par le tribunal pour ne pas ordonner la confiscation d’un bien infractionnel - La Cour d’appel a</w:t>
      </w:r>
      <w:r w:rsidRPr="00867B25">
        <w:rPr>
          <w:sz w:val="20"/>
          <w:szCs w:val="20"/>
          <w:lang w:val="fr-CA"/>
        </w:rPr>
        <w:noBreakHyphen/>
        <w:t>t</w:t>
      </w:r>
      <w:r w:rsidRPr="00867B25">
        <w:rPr>
          <w:sz w:val="20"/>
          <w:szCs w:val="20"/>
          <w:lang w:val="fr-CA"/>
        </w:rPr>
        <w:noBreakHyphen/>
        <w:t xml:space="preserve">elle erré quant aux facteurs pouvant être pris en compte dans l’exercice de pondération visant à déterminer si la confiscation d’un bien autre qu’une maison d’habitation est ou non démesurée suivant le paragraphe 490.41 (3) </w:t>
      </w:r>
      <w:r w:rsidRPr="00867B25">
        <w:rPr>
          <w:i/>
          <w:sz w:val="20"/>
          <w:szCs w:val="20"/>
          <w:lang w:val="fr-CA"/>
        </w:rPr>
        <w:t>C.cr</w:t>
      </w:r>
      <w:r w:rsidRPr="00867B25">
        <w:rPr>
          <w:sz w:val="20"/>
          <w:szCs w:val="20"/>
          <w:lang w:val="fr-CA"/>
        </w:rPr>
        <w:t xml:space="preserve">.? - </w:t>
      </w:r>
      <w:r w:rsidRPr="00867B25">
        <w:rPr>
          <w:i/>
          <w:sz w:val="20"/>
          <w:szCs w:val="20"/>
          <w:lang w:val="fr-CA"/>
        </w:rPr>
        <w:t>Code criminel</w:t>
      </w:r>
      <w:r w:rsidRPr="00867B25">
        <w:rPr>
          <w:sz w:val="20"/>
          <w:szCs w:val="20"/>
          <w:lang w:val="fr-CA"/>
        </w:rPr>
        <w:t>, L.R.C. 1985, ch. C</w:t>
      </w:r>
      <w:r w:rsidRPr="00867B25">
        <w:rPr>
          <w:sz w:val="20"/>
          <w:szCs w:val="20"/>
          <w:lang w:val="fr-CA"/>
        </w:rPr>
        <w:noBreakHyphen/>
        <w:t>46, art. 490.41(3).</w:t>
      </w:r>
    </w:p>
    <w:p w:rsidR="00BE05B9" w:rsidRPr="00867B25" w:rsidRDefault="00BE05B9" w:rsidP="00BE05B9">
      <w:pPr>
        <w:widowControl w:val="0"/>
        <w:jc w:val="both"/>
        <w:rPr>
          <w:sz w:val="20"/>
          <w:szCs w:val="20"/>
          <w:lang w:val="fr-CA"/>
        </w:rPr>
      </w:pPr>
    </w:p>
    <w:p w:rsidR="00BE05B9" w:rsidRPr="00867B25" w:rsidRDefault="00BE05B9" w:rsidP="00BE05B9">
      <w:pPr>
        <w:jc w:val="both"/>
        <w:rPr>
          <w:sz w:val="20"/>
          <w:szCs w:val="20"/>
          <w:lang w:val="fr-CA"/>
        </w:rPr>
      </w:pPr>
      <w:r w:rsidRPr="00867B25">
        <w:rPr>
          <w:sz w:val="20"/>
          <w:szCs w:val="20"/>
          <w:lang w:val="fr-CA"/>
        </w:rPr>
        <w:t xml:space="preserve">L’intimé plaide coupable à deux infractions d’avoir conduit un véhicule à moteur alors que son taux d’alcoolémie dans le sang dépassait la limite permise.  L’intimé a déjà des antécédents judiciaires en semblable matière remontant à 1989, 1982 et 1975.  Il est condamné à douze mois de prison pour la première infraction et cinq mois de prison pour la deuxième, ainsi qu’à une interdiction de conduire de cinq ans à compter de la fin de la période d’emprisonnement.  Le ministère public demande que le véhicule de l’intimé conduit lors de l’infraction soit confisqué au motif qu’il s’agit d’un bien infractionnel au sens du </w:t>
      </w:r>
      <w:r w:rsidRPr="00867B25">
        <w:rPr>
          <w:i/>
          <w:sz w:val="20"/>
          <w:szCs w:val="20"/>
          <w:lang w:val="fr-CA"/>
        </w:rPr>
        <w:t>Code criminel</w:t>
      </w:r>
      <w:r w:rsidRPr="00867B25">
        <w:rPr>
          <w:sz w:val="20"/>
          <w:szCs w:val="20"/>
          <w:lang w:val="fr-CA"/>
        </w:rPr>
        <w:t xml:space="preserve">.  La Cour du Québec rejette la requête pour confiscation de véhicule du ministère public, en application de l’art. 490.41(3) du </w:t>
      </w:r>
      <w:r w:rsidRPr="00867B25">
        <w:rPr>
          <w:i/>
          <w:sz w:val="20"/>
          <w:szCs w:val="20"/>
          <w:lang w:val="fr-CA"/>
        </w:rPr>
        <w:t>Code criminel</w:t>
      </w:r>
      <w:r w:rsidRPr="00867B25">
        <w:rPr>
          <w:sz w:val="20"/>
          <w:szCs w:val="20"/>
          <w:lang w:val="fr-CA"/>
        </w:rPr>
        <w:t xml:space="preserve"> et la Cour d’appel rejette l’appel du ministère public.</w:t>
      </w:r>
    </w:p>
    <w:p w:rsidR="00BE05B9" w:rsidRPr="00867B25" w:rsidRDefault="00BE05B9" w:rsidP="00BE05B9">
      <w:pPr>
        <w:widowControl w:val="0"/>
        <w:jc w:val="both"/>
        <w:rPr>
          <w:sz w:val="20"/>
          <w:szCs w:val="20"/>
          <w:lang w:val="fr-CA"/>
        </w:rPr>
      </w:pPr>
    </w:p>
    <w:p w:rsidR="00BE05B9" w:rsidRPr="00867B25" w:rsidRDefault="00BE05B9" w:rsidP="00BE05B9">
      <w:pPr>
        <w:widowControl w:val="0"/>
        <w:jc w:val="both"/>
        <w:rPr>
          <w:sz w:val="20"/>
          <w:szCs w:val="20"/>
          <w:lang w:val="fr-CA"/>
        </w:rPr>
      </w:pPr>
    </w:p>
    <w:p w:rsidR="00BE05B9" w:rsidRPr="00867B25" w:rsidRDefault="00BE05B9" w:rsidP="00BE05B9">
      <w:pPr>
        <w:widowControl w:val="0"/>
        <w:ind w:left="2880" w:hanging="2880"/>
        <w:jc w:val="both"/>
        <w:rPr>
          <w:sz w:val="20"/>
          <w:szCs w:val="20"/>
          <w:lang w:val="fr-CA"/>
        </w:rPr>
      </w:pPr>
      <w:r w:rsidRPr="00867B25">
        <w:rPr>
          <w:sz w:val="20"/>
          <w:szCs w:val="20"/>
          <w:lang w:val="fr-CA"/>
        </w:rPr>
        <w:t>Origine :</w:t>
      </w:r>
      <w:r w:rsidRPr="00867B25">
        <w:rPr>
          <w:sz w:val="20"/>
          <w:szCs w:val="20"/>
          <w:lang w:val="fr-CA"/>
        </w:rPr>
        <w:tab/>
        <w:t>Québec</w:t>
      </w:r>
    </w:p>
    <w:p w:rsidR="00BE05B9" w:rsidRPr="00867B25" w:rsidRDefault="00BE05B9" w:rsidP="00BE05B9">
      <w:pPr>
        <w:widowControl w:val="0"/>
        <w:ind w:left="2880" w:hanging="2880"/>
        <w:jc w:val="both"/>
        <w:rPr>
          <w:sz w:val="20"/>
          <w:szCs w:val="20"/>
          <w:lang w:val="fr-CA"/>
        </w:rPr>
      </w:pPr>
    </w:p>
    <w:p w:rsidR="00BE05B9" w:rsidRPr="00867B25" w:rsidRDefault="00BE05B9" w:rsidP="00BE05B9">
      <w:pPr>
        <w:widowControl w:val="0"/>
        <w:ind w:left="2880" w:hanging="2880"/>
        <w:jc w:val="both"/>
        <w:rPr>
          <w:sz w:val="20"/>
          <w:szCs w:val="20"/>
          <w:lang w:val="fr-CA"/>
        </w:rPr>
      </w:pPr>
      <w:r w:rsidRPr="00867B25">
        <w:rPr>
          <w:sz w:val="20"/>
          <w:szCs w:val="20"/>
          <w:lang w:val="fr-CA"/>
        </w:rPr>
        <w:t>N</w:t>
      </w:r>
      <w:r w:rsidRPr="00867B25">
        <w:rPr>
          <w:sz w:val="20"/>
          <w:szCs w:val="20"/>
          <w:vertAlign w:val="superscript"/>
          <w:lang w:val="fr-CA"/>
        </w:rPr>
        <w:t>o</w:t>
      </w:r>
      <w:r w:rsidRPr="00867B25">
        <w:rPr>
          <w:sz w:val="20"/>
          <w:szCs w:val="20"/>
          <w:lang w:val="fr-CA"/>
        </w:rPr>
        <w:t xml:space="preserve"> du greffe :</w:t>
      </w:r>
      <w:r w:rsidRPr="00867B25">
        <w:rPr>
          <w:sz w:val="20"/>
          <w:szCs w:val="20"/>
          <w:lang w:val="fr-CA"/>
        </w:rPr>
        <w:tab/>
        <w:t>34358</w:t>
      </w:r>
    </w:p>
    <w:p w:rsidR="00BE05B9" w:rsidRPr="00867B25" w:rsidRDefault="00BE05B9" w:rsidP="00BE05B9">
      <w:pPr>
        <w:widowControl w:val="0"/>
        <w:ind w:left="2880" w:hanging="2880"/>
        <w:jc w:val="both"/>
        <w:rPr>
          <w:sz w:val="20"/>
          <w:szCs w:val="20"/>
          <w:lang w:val="fr-CA"/>
        </w:rPr>
      </w:pPr>
    </w:p>
    <w:p w:rsidR="00BE05B9" w:rsidRPr="00867B25" w:rsidRDefault="00BE05B9" w:rsidP="00BE05B9">
      <w:pPr>
        <w:widowControl w:val="0"/>
        <w:ind w:left="2880" w:hanging="2880"/>
        <w:jc w:val="both"/>
        <w:rPr>
          <w:sz w:val="20"/>
          <w:szCs w:val="20"/>
          <w:lang w:val="fr-CA"/>
        </w:rPr>
      </w:pPr>
      <w:r w:rsidRPr="00867B25">
        <w:rPr>
          <w:sz w:val="20"/>
          <w:szCs w:val="20"/>
          <w:lang w:val="fr-CA"/>
        </w:rPr>
        <w:t>Arrêt de la Cour d’appel :</w:t>
      </w:r>
      <w:r w:rsidRPr="00867B25">
        <w:rPr>
          <w:sz w:val="20"/>
          <w:szCs w:val="20"/>
          <w:lang w:val="fr-CA"/>
        </w:rPr>
        <w:tab/>
        <w:t>Le 16 mai 2011</w:t>
      </w:r>
    </w:p>
    <w:p w:rsidR="00BE05B9" w:rsidRPr="00867B25" w:rsidRDefault="00BE05B9" w:rsidP="00BE05B9">
      <w:pPr>
        <w:widowControl w:val="0"/>
        <w:ind w:left="2880" w:hanging="2880"/>
        <w:jc w:val="both"/>
        <w:rPr>
          <w:sz w:val="20"/>
          <w:szCs w:val="20"/>
          <w:lang w:val="fr-CA"/>
        </w:rPr>
      </w:pPr>
    </w:p>
    <w:p w:rsidR="00BE05B9" w:rsidRPr="00867B25" w:rsidRDefault="00BE05B9" w:rsidP="00BE05B9">
      <w:pPr>
        <w:widowControl w:val="0"/>
        <w:ind w:left="2880" w:hanging="2880"/>
        <w:jc w:val="both"/>
        <w:rPr>
          <w:sz w:val="20"/>
          <w:szCs w:val="20"/>
          <w:lang w:val="fr-CA"/>
        </w:rPr>
      </w:pPr>
      <w:r w:rsidRPr="00867B25">
        <w:rPr>
          <w:sz w:val="20"/>
          <w:szCs w:val="20"/>
          <w:lang w:val="fr-CA"/>
        </w:rPr>
        <w:t>Avocats :</w:t>
      </w:r>
      <w:r w:rsidRPr="00867B25">
        <w:rPr>
          <w:sz w:val="20"/>
          <w:szCs w:val="20"/>
          <w:lang w:val="fr-CA"/>
        </w:rPr>
        <w:tab/>
        <w:t>Robin Tremblay pour l’appelante</w:t>
      </w:r>
    </w:p>
    <w:p w:rsidR="00BE05B9" w:rsidRPr="00867B25" w:rsidRDefault="00BE05B9" w:rsidP="00BE05B9">
      <w:pPr>
        <w:widowControl w:val="0"/>
        <w:ind w:left="2880" w:hanging="2880"/>
        <w:jc w:val="both"/>
        <w:rPr>
          <w:sz w:val="20"/>
          <w:szCs w:val="20"/>
          <w:lang w:val="fr-CA"/>
        </w:rPr>
      </w:pPr>
      <w:r w:rsidRPr="00867B25">
        <w:rPr>
          <w:sz w:val="20"/>
          <w:szCs w:val="20"/>
          <w:lang w:val="fr-CA"/>
        </w:rPr>
        <w:tab/>
        <w:t>Patrick Jacques pour l’intimé</w:t>
      </w:r>
    </w:p>
    <w:p w:rsidR="00A818DB" w:rsidRPr="00A818DB" w:rsidRDefault="00A818DB">
      <w:pPr>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0"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lang w:val="fr-CA"/>
        </w:rPr>
      </w:pPr>
    </w:p>
    <w:p w:rsidR="00A818DB" w:rsidRDefault="00A818DB">
      <w:pPr>
        <w:rPr>
          <w:lang w:val="fr-CA"/>
        </w:rPr>
      </w:pPr>
      <w:r>
        <w:rPr>
          <w:lang w:val="fr-CA"/>
        </w:rPr>
        <w:br w:type="page"/>
      </w:r>
    </w:p>
    <w:p w:rsidR="00BE05B9" w:rsidRPr="00CB728F" w:rsidRDefault="00DB239D" w:rsidP="00BE05B9">
      <w:pPr>
        <w:widowControl w:val="0"/>
        <w:ind w:left="720" w:hanging="720"/>
        <w:jc w:val="both"/>
        <w:rPr>
          <w:sz w:val="20"/>
          <w:szCs w:val="20"/>
        </w:rPr>
      </w:pPr>
      <w:r w:rsidRPr="00CB728F">
        <w:rPr>
          <w:b/>
          <w:sz w:val="20"/>
          <w:szCs w:val="20"/>
        </w:rPr>
        <w:fldChar w:fldCharType="begin"/>
      </w:r>
      <w:r w:rsidR="00BE05B9" w:rsidRPr="00CB728F">
        <w:rPr>
          <w:b/>
          <w:sz w:val="20"/>
          <w:szCs w:val="20"/>
        </w:rPr>
        <w:instrText xml:space="preserve"> SEQ CHAPTER \h \r 1</w:instrText>
      </w:r>
      <w:r w:rsidRPr="00CB728F">
        <w:rPr>
          <w:b/>
          <w:sz w:val="20"/>
          <w:szCs w:val="20"/>
        </w:rPr>
        <w:fldChar w:fldCharType="end"/>
      </w:r>
      <w:r w:rsidR="00BE05B9" w:rsidRPr="00CB728F">
        <w:rPr>
          <w:b/>
          <w:sz w:val="20"/>
          <w:szCs w:val="20"/>
        </w:rPr>
        <w:t>34694</w:t>
      </w:r>
      <w:r w:rsidR="00BE05B9" w:rsidRPr="00CB728F">
        <w:rPr>
          <w:sz w:val="20"/>
          <w:szCs w:val="20"/>
        </w:rPr>
        <w:tab/>
      </w:r>
      <w:r w:rsidR="00BE05B9" w:rsidRPr="00CB728F">
        <w:rPr>
          <w:b/>
          <w:i/>
          <w:sz w:val="20"/>
          <w:szCs w:val="20"/>
        </w:rPr>
        <w:t>Her Majesty the Queen v. Kelly Joseph O’Brien</w:t>
      </w:r>
    </w:p>
    <w:p w:rsidR="00BE05B9" w:rsidRPr="00CB728F" w:rsidRDefault="00BE05B9" w:rsidP="00BE05B9">
      <w:pPr>
        <w:widowControl w:val="0"/>
        <w:jc w:val="both"/>
        <w:rPr>
          <w:sz w:val="20"/>
          <w:szCs w:val="20"/>
        </w:rPr>
      </w:pPr>
    </w:p>
    <w:p w:rsidR="00BE05B9" w:rsidRPr="00CB728F" w:rsidRDefault="00BE05B9" w:rsidP="00BE05B9">
      <w:pPr>
        <w:widowControl w:val="0"/>
        <w:jc w:val="both"/>
        <w:rPr>
          <w:sz w:val="20"/>
          <w:szCs w:val="20"/>
        </w:rPr>
      </w:pPr>
      <w:r w:rsidRPr="00CB728F">
        <w:rPr>
          <w:sz w:val="20"/>
          <w:szCs w:val="20"/>
        </w:rPr>
        <w:t xml:space="preserve">Criminal law </w:t>
      </w:r>
      <w:r w:rsidRPr="00CB728F">
        <w:rPr>
          <w:sz w:val="20"/>
          <w:szCs w:val="20"/>
        </w:rPr>
        <w:noBreakHyphen/>
        <w:t xml:space="preserve"> Offences </w:t>
      </w:r>
      <w:r w:rsidRPr="00CB728F">
        <w:rPr>
          <w:sz w:val="20"/>
          <w:szCs w:val="20"/>
        </w:rPr>
        <w:noBreakHyphen/>
        <w:t xml:space="preserve"> Elements of the offence </w:t>
      </w:r>
      <w:r w:rsidRPr="00CB728F">
        <w:rPr>
          <w:sz w:val="20"/>
          <w:szCs w:val="20"/>
        </w:rPr>
        <w:noBreakHyphen/>
        <w:t xml:space="preserve"> Uttering threats </w:t>
      </w:r>
      <w:r w:rsidRPr="00CB728F">
        <w:rPr>
          <w:sz w:val="20"/>
          <w:szCs w:val="20"/>
        </w:rPr>
        <w:noBreakHyphen/>
        <w:t xml:space="preserve"> </w:t>
      </w:r>
      <w:r w:rsidRPr="00CB728F">
        <w:rPr>
          <w:i/>
          <w:sz w:val="20"/>
          <w:szCs w:val="20"/>
        </w:rPr>
        <w:t>Mens rea</w:t>
      </w:r>
      <w:r w:rsidRPr="00CB728F">
        <w:rPr>
          <w:sz w:val="20"/>
          <w:szCs w:val="20"/>
        </w:rPr>
        <w:t xml:space="preserve"> requirement </w:t>
      </w:r>
      <w:r w:rsidRPr="00CB728F">
        <w:rPr>
          <w:sz w:val="20"/>
          <w:szCs w:val="20"/>
        </w:rPr>
        <w:noBreakHyphen/>
        <w:t xml:space="preserve"> Whether the Court of Appeal erred in assessing the </w:t>
      </w:r>
      <w:r w:rsidRPr="00CB728F">
        <w:rPr>
          <w:i/>
          <w:sz w:val="20"/>
          <w:szCs w:val="20"/>
        </w:rPr>
        <w:t>mens rea</w:t>
      </w:r>
      <w:r w:rsidRPr="00CB728F">
        <w:rPr>
          <w:sz w:val="20"/>
          <w:szCs w:val="20"/>
        </w:rPr>
        <w:t xml:space="preserve"> requirement for the offence of uttering threats </w:t>
      </w:r>
      <w:r w:rsidRPr="00CB728F">
        <w:rPr>
          <w:sz w:val="20"/>
          <w:szCs w:val="20"/>
        </w:rPr>
        <w:noBreakHyphen/>
        <w:t xml:space="preserve"> Whether the Court of Appeal erred in finding that the evidence of the complainant was the determinative factor in the analysis of the </w:t>
      </w:r>
      <w:r w:rsidRPr="00CB728F">
        <w:rPr>
          <w:i/>
          <w:sz w:val="20"/>
          <w:szCs w:val="20"/>
        </w:rPr>
        <w:t>mens rea</w:t>
      </w:r>
      <w:r w:rsidRPr="00CB728F">
        <w:rPr>
          <w:sz w:val="20"/>
          <w:szCs w:val="20"/>
        </w:rPr>
        <w:t xml:space="preserve"> requirement for uttering threats </w:t>
      </w:r>
      <w:r w:rsidRPr="00CB728F">
        <w:rPr>
          <w:sz w:val="20"/>
          <w:szCs w:val="20"/>
        </w:rPr>
        <w:noBreakHyphen/>
        <w:t xml:space="preserve"> </w:t>
      </w:r>
      <w:r w:rsidRPr="00CB728F">
        <w:rPr>
          <w:i/>
          <w:sz w:val="20"/>
          <w:szCs w:val="20"/>
        </w:rPr>
        <w:t>Criminal Code</w:t>
      </w:r>
      <w:r w:rsidRPr="00CB728F">
        <w:rPr>
          <w:sz w:val="20"/>
          <w:szCs w:val="20"/>
        </w:rPr>
        <w:t>, R.S.C. 1985, c. C</w:t>
      </w:r>
      <w:r w:rsidRPr="00CB728F">
        <w:rPr>
          <w:sz w:val="20"/>
          <w:szCs w:val="20"/>
        </w:rPr>
        <w:noBreakHyphen/>
        <w:t>46, s. 264.1(1</w:t>
      </w:r>
      <w:proofErr w:type="gramStart"/>
      <w:r w:rsidRPr="00CB728F">
        <w:rPr>
          <w:sz w:val="20"/>
          <w:szCs w:val="20"/>
        </w:rPr>
        <w:t>)(</w:t>
      </w:r>
      <w:proofErr w:type="gramEnd"/>
      <w:r w:rsidRPr="00CB728F">
        <w:rPr>
          <w:i/>
          <w:sz w:val="20"/>
          <w:szCs w:val="20"/>
        </w:rPr>
        <w:t>a</w:t>
      </w:r>
      <w:r w:rsidRPr="00CB728F">
        <w:rPr>
          <w:sz w:val="20"/>
          <w:szCs w:val="20"/>
        </w:rPr>
        <w:t xml:space="preserve">). </w:t>
      </w:r>
    </w:p>
    <w:p w:rsidR="00BE05B9" w:rsidRPr="00CB728F" w:rsidRDefault="00BE05B9" w:rsidP="00BE05B9">
      <w:pPr>
        <w:widowControl w:val="0"/>
        <w:jc w:val="both"/>
        <w:rPr>
          <w:sz w:val="20"/>
          <w:szCs w:val="20"/>
        </w:rPr>
      </w:pPr>
    </w:p>
    <w:p w:rsidR="00BE05B9" w:rsidRPr="00CB728F" w:rsidRDefault="00BE05B9" w:rsidP="00BE05B9">
      <w:pPr>
        <w:widowControl w:val="0"/>
        <w:jc w:val="both"/>
        <w:rPr>
          <w:sz w:val="20"/>
          <w:szCs w:val="20"/>
        </w:rPr>
      </w:pPr>
      <w:r w:rsidRPr="00CB728F">
        <w:rPr>
          <w:sz w:val="20"/>
          <w:szCs w:val="20"/>
        </w:rPr>
        <w:t xml:space="preserve">The respondent was acquitted on two counts of uttering threats and two counts of breach of probation.  While incarcerated, he threatened by telephone to kill his girlfriend if she aborted their child.  The complaint was made by the staff of the correctional centre.  When called to testify, the girlfriend explained that the respondent’s words did not cause her any fear and that he was just being loud and belligerent with her.  The Crown appealed the acquittals on two grounds.  First, it argued that in her assessment of the </w:t>
      </w:r>
      <w:r w:rsidRPr="00CB728F">
        <w:rPr>
          <w:i/>
          <w:sz w:val="20"/>
          <w:szCs w:val="20"/>
        </w:rPr>
        <w:t>mens rea</w:t>
      </w:r>
      <w:r w:rsidRPr="00CB728F">
        <w:rPr>
          <w:sz w:val="20"/>
          <w:szCs w:val="20"/>
        </w:rPr>
        <w:t xml:space="preserve"> of the offence, the trial judge erred by relying exclusively on the girlfriend’s evidence.  In the Crown’s view, the trial judge ought to have looked at whether a reasonable person, thinking objectively, would have considered the words to be a threat.  Second, the Crown argued that in the absence of testimony from an accused, the question of whether he had the intention to intimidate will usually be determined by the words used, the context in which they were used and the person to whom they were directed.  The Crown submitted that the trial judge failed to do so in this case.  The majority of the Court of Appeal dismissed the appeal.  Steel J.A., dissenting, would have allowed the appeal on the basis that the trial judge erred with respect to the legal effects of the girlfriend’s evidence as it related to the </w:t>
      </w:r>
      <w:r w:rsidRPr="00CB728F">
        <w:rPr>
          <w:i/>
          <w:sz w:val="20"/>
          <w:szCs w:val="20"/>
        </w:rPr>
        <w:t>mens rea</w:t>
      </w:r>
      <w:r w:rsidRPr="00CB728F">
        <w:rPr>
          <w:sz w:val="20"/>
          <w:szCs w:val="20"/>
        </w:rPr>
        <w:t xml:space="preserve"> requirement for uttering threats.</w:t>
      </w:r>
    </w:p>
    <w:p w:rsidR="00BE05B9" w:rsidRPr="00CB728F" w:rsidRDefault="00BE05B9" w:rsidP="00BE05B9">
      <w:pPr>
        <w:widowControl w:val="0"/>
        <w:jc w:val="both"/>
        <w:rPr>
          <w:sz w:val="20"/>
          <w:szCs w:val="20"/>
        </w:rPr>
      </w:pPr>
    </w:p>
    <w:p w:rsidR="00BE05B9" w:rsidRPr="00CB728F" w:rsidRDefault="00BE05B9" w:rsidP="00BE05B9">
      <w:pPr>
        <w:widowControl w:val="0"/>
        <w:jc w:val="both"/>
        <w:rPr>
          <w:sz w:val="20"/>
          <w:szCs w:val="20"/>
        </w:rPr>
      </w:pPr>
    </w:p>
    <w:p w:rsidR="00BE05B9" w:rsidRPr="00CB728F" w:rsidRDefault="00BE05B9" w:rsidP="00BE05B9">
      <w:pPr>
        <w:widowControl w:val="0"/>
        <w:ind w:left="2880" w:hanging="2880"/>
        <w:jc w:val="both"/>
        <w:rPr>
          <w:sz w:val="20"/>
          <w:szCs w:val="20"/>
        </w:rPr>
      </w:pPr>
      <w:r w:rsidRPr="00CB728F">
        <w:rPr>
          <w:sz w:val="20"/>
          <w:szCs w:val="20"/>
        </w:rPr>
        <w:t>Origin of the case:</w:t>
      </w:r>
      <w:r w:rsidRPr="00CB728F">
        <w:rPr>
          <w:sz w:val="20"/>
          <w:szCs w:val="20"/>
        </w:rPr>
        <w:tab/>
        <w:t>Manitoba</w:t>
      </w:r>
    </w:p>
    <w:p w:rsidR="00BE05B9" w:rsidRPr="00CB728F" w:rsidRDefault="00BE05B9" w:rsidP="00BE05B9">
      <w:pPr>
        <w:widowControl w:val="0"/>
        <w:ind w:left="2880" w:hanging="2880"/>
        <w:jc w:val="both"/>
        <w:rPr>
          <w:sz w:val="20"/>
          <w:szCs w:val="20"/>
        </w:rPr>
      </w:pPr>
    </w:p>
    <w:p w:rsidR="00BE05B9" w:rsidRPr="00CB728F" w:rsidRDefault="00BE05B9" w:rsidP="00BE05B9">
      <w:pPr>
        <w:widowControl w:val="0"/>
        <w:ind w:left="2880" w:hanging="2880"/>
        <w:jc w:val="both"/>
        <w:rPr>
          <w:sz w:val="20"/>
          <w:szCs w:val="20"/>
        </w:rPr>
      </w:pPr>
      <w:r w:rsidRPr="00CB728F">
        <w:rPr>
          <w:sz w:val="20"/>
          <w:szCs w:val="20"/>
        </w:rPr>
        <w:t>File No.:</w:t>
      </w:r>
      <w:r w:rsidRPr="00CB728F">
        <w:rPr>
          <w:sz w:val="20"/>
          <w:szCs w:val="20"/>
        </w:rPr>
        <w:tab/>
        <w:t>34694</w:t>
      </w:r>
    </w:p>
    <w:p w:rsidR="00BE05B9" w:rsidRPr="00CB728F" w:rsidRDefault="00BE05B9" w:rsidP="00BE05B9">
      <w:pPr>
        <w:widowControl w:val="0"/>
        <w:ind w:left="2880" w:hanging="2880"/>
        <w:jc w:val="both"/>
        <w:rPr>
          <w:sz w:val="20"/>
          <w:szCs w:val="20"/>
        </w:rPr>
      </w:pPr>
    </w:p>
    <w:p w:rsidR="00BE05B9" w:rsidRPr="00CB728F" w:rsidRDefault="00BE05B9" w:rsidP="00BE05B9">
      <w:pPr>
        <w:widowControl w:val="0"/>
        <w:ind w:left="2880" w:hanging="2880"/>
        <w:jc w:val="both"/>
        <w:rPr>
          <w:sz w:val="20"/>
          <w:szCs w:val="20"/>
        </w:rPr>
      </w:pPr>
      <w:r w:rsidRPr="00CB728F">
        <w:rPr>
          <w:sz w:val="20"/>
          <w:szCs w:val="20"/>
        </w:rPr>
        <w:t>Judgment of the Court of Appeal:</w:t>
      </w:r>
      <w:r w:rsidRPr="00CB728F">
        <w:rPr>
          <w:sz w:val="20"/>
          <w:szCs w:val="20"/>
        </w:rPr>
        <w:tab/>
        <w:t>January 26, 2012</w:t>
      </w:r>
    </w:p>
    <w:p w:rsidR="00BE05B9" w:rsidRPr="00CB728F" w:rsidRDefault="00BE05B9" w:rsidP="00BE05B9">
      <w:pPr>
        <w:widowControl w:val="0"/>
        <w:ind w:left="2880" w:hanging="2880"/>
        <w:jc w:val="both"/>
        <w:rPr>
          <w:sz w:val="20"/>
          <w:szCs w:val="20"/>
        </w:rPr>
      </w:pPr>
    </w:p>
    <w:p w:rsidR="00BE05B9" w:rsidRPr="00CB728F" w:rsidRDefault="00BE05B9" w:rsidP="00BE05B9">
      <w:pPr>
        <w:widowControl w:val="0"/>
        <w:ind w:left="2880" w:hanging="2880"/>
        <w:jc w:val="both"/>
        <w:rPr>
          <w:sz w:val="20"/>
          <w:szCs w:val="20"/>
        </w:rPr>
      </w:pPr>
      <w:r w:rsidRPr="00CB728F">
        <w:rPr>
          <w:sz w:val="20"/>
          <w:szCs w:val="20"/>
        </w:rPr>
        <w:t>Counsel:</w:t>
      </w:r>
      <w:r w:rsidRPr="00CB728F">
        <w:rPr>
          <w:sz w:val="20"/>
          <w:szCs w:val="20"/>
        </w:rPr>
        <w:tab/>
        <w:t>Rekka Malaviya and Ami Kotler for the appellant</w:t>
      </w:r>
    </w:p>
    <w:p w:rsidR="00BE05B9" w:rsidRPr="00CB728F" w:rsidRDefault="00BE05B9" w:rsidP="00BE05B9">
      <w:pPr>
        <w:widowControl w:val="0"/>
        <w:ind w:left="2880" w:hanging="2880"/>
        <w:jc w:val="both"/>
        <w:rPr>
          <w:sz w:val="20"/>
          <w:szCs w:val="20"/>
        </w:rPr>
      </w:pPr>
      <w:r w:rsidRPr="00CB728F">
        <w:rPr>
          <w:sz w:val="20"/>
          <w:szCs w:val="20"/>
        </w:rPr>
        <w:tab/>
        <w:t>Michael P. Cook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1"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r>
        <w:rPr>
          <w:sz w:val="20"/>
          <w:szCs w:val="20"/>
          <w:lang w:val="fr-CA"/>
        </w:rPr>
        <w:br w:type="page"/>
      </w:r>
    </w:p>
    <w:p w:rsidR="00BE05B9" w:rsidRPr="00EE4769" w:rsidRDefault="00DB239D" w:rsidP="00BE05B9">
      <w:pPr>
        <w:widowControl w:val="0"/>
        <w:ind w:left="720" w:hanging="720"/>
        <w:jc w:val="both"/>
        <w:rPr>
          <w:sz w:val="20"/>
          <w:szCs w:val="20"/>
          <w:lang w:val="fr-FR"/>
        </w:rPr>
      </w:pPr>
      <w:r w:rsidRPr="00EE4769">
        <w:rPr>
          <w:b/>
          <w:sz w:val="20"/>
          <w:szCs w:val="20"/>
        </w:rPr>
        <w:fldChar w:fldCharType="begin"/>
      </w:r>
      <w:r w:rsidR="00BE05B9" w:rsidRPr="00EE4769">
        <w:rPr>
          <w:b/>
          <w:sz w:val="20"/>
          <w:szCs w:val="20"/>
          <w:lang w:val="fr-FR"/>
        </w:rPr>
        <w:instrText xml:space="preserve"> SEQ CHAPTER \h \r 1</w:instrText>
      </w:r>
      <w:r w:rsidRPr="00EE4769">
        <w:rPr>
          <w:b/>
          <w:sz w:val="20"/>
          <w:szCs w:val="20"/>
        </w:rPr>
        <w:fldChar w:fldCharType="end"/>
      </w:r>
      <w:r w:rsidR="00BE05B9" w:rsidRPr="00EE4769">
        <w:rPr>
          <w:b/>
          <w:sz w:val="20"/>
          <w:szCs w:val="20"/>
          <w:lang w:val="fr-FR"/>
        </w:rPr>
        <w:t>34694</w:t>
      </w:r>
      <w:r w:rsidR="00BE05B9" w:rsidRPr="00EE4769">
        <w:rPr>
          <w:sz w:val="20"/>
          <w:szCs w:val="20"/>
          <w:lang w:val="fr-FR"/>
        </w:rPr>
        <w:tab/>
      </w:r>
      <w:r w:rsidR="00BE05B9" w:rsidRPr="00EE4769">
        <w:rPr>
          <w:b/>
          <w:i/>
          <w:sz w:val="20"/>
          <w:szCs w:val="20"/>
          <w:lang w:val="fr-FR"/>
        </w:rPr>
        <w:t>Sa Majesté la Reine c. Kelly Joseph O’Brien</w:t>
      </w:r>
    </w:p>
    <w:p w:rsidR="00BE05B9" w:rsidRPr="00EE4769" w:rsidRDefault="00BE05B9" w:rsidP="00BE05B9">
      <w:pPr>
        <w:widowControl w:val="0"/>
        <w:jc w:val="both"/>
        <w:rPr>
          <w:sz w:val="20"/>
          <w:szCs w:val="20"/>
          <w:lang w:val="fr-FR"/>
        </w:rPr>
      </w:pPr>
    </w:p>
    <w:p w:rsidR="00BE05B9" w:rsidRPr="00EE4769" w:rsidRDefault="00BE05B9" w:rsidP="00BE05B9">
      <w:pPr>
        <w:widowControl w:val="0"/>
        <w:jc w:val="both"/>
        <w:rPr>
          <w:sz w:val="20"/>
          <w:szCs w:val="20"/>
          <w:lang w:val="fr-FR"/>
        </w:rPr>
      </w:pPr>
      <w:r w:rsidRPr="00EE4769">
        <w:rPr>
          <w:sz w:val="20"/>
          <w:szCs w:val="20"/>
          <w:lang w:val="fr-FR"/>
        </w:rPr>
        <w:t xml:space="preserve">Droit criminel </w:t>
      </w:r>
      <w:r w:rsidRPr="00EE4769">
        <w:rPr>
          <w:sz w:val="20"/>
          <w:szCs w:val="20"/>
          <w:lang w:val="fr-FR"/>
        </w:rPr>
        <w:noBreakHyphen/>
        <w:t xml:space="preserve"> Infractions </w:t>
      </w:r>
      <w:r w:rsidRPr="00EE4769">
        <w:rPr>
          <w:sz w:val="20"/>
          <w:szCs w:val="20"/>
          <w:lang w:val="fr-FR"/>
        </w:rPr>
        <w:noBreakHyphen/>
        <w:t xml:space="preserve"> Éléments de l’infraction </w:t>
      </w:r>
      <w:r w:rsidRPr="00EE4769">
        <w:rPr>
          <w:sz w:val="20"/>
          <w:szCs w:val="20"/>
          <w:lang w:val="fr-FR"/>
        </w:rPr>
        <w:noBreakHyphen/>
        <w:t xml:space="preserve"> Profération de menaces </w:t>
      </w:r>
      <w:r w:rsidRPr="00EE4769">
        <w:rPr>
          <w:sz w:val="20"/>
          <w:szCs w:val="20"/>
          <w:lang w:val="fr-FR"/>
        </w:rPr>
        <w:noBreakHyphen/>
        <w:t xml:space="preserve"> Exigence de la </w:t>
      </w:r>
      <w:r w:rsidRPr="00EE4769">
        <w:rPr>
          <w:i/>
          <w:sz w:val="20"/>
          <w:szCs w:val="20"/>
          <w:lang w:val="fr-FR"/>
        </w:rPr>
        <w:t>mens rea</w:t>
      </w:r>
      <w:r w:rsidRPr="00EE4769">
        <w:rPr>
          <w:sz w:val="20"/>
          <w:szCs w:val="20"/>
          <w:lang w:val="fr-FR"/>
        </w:rPr>
        <w:t xml:space="preserve"> </w:t>
      </w:r>
      <w:r w:rsidRPr="00EE4769">
        <w:rPr>
          <w:sz w:val="20"/>
          <w:szCs w:val="20"/>
          <w:lang w:val="fr-FR"/>
        </w:rPr>
        <w:noBreakHyphen/>
        <w:t xml:space="preserve"> La Cour d’appel a</w:t>
      </w:r>
      <w:r w:rsidRPr="00EE4769">
        <w:rPr>
          <w:sz w:val="20"/>
          <w:szCs w:val="20"/>
          <w:lang w:val="fr-FR"/>
        </w:rPr>
        <w:noBreakHyphen/>
        <w:t>t</w:t>
      </w:r>
      <w:r w:rsidRPr="00EE4769">
        <w:rPr>
          <w:sz w:val="20"/>
          <w:szCs w:val="20"/>
          <w:lang w:val="fr-FR"/>
        </w:rPr>
        <w:noBreakHyphen/>
        <w:t xml:space="preserve">elle mal évalué la </w:t>
      </w:r>
      <w:r w:rsidRPr="00EE4769">
        <w:rPr>
          <w:i/>
          <w:sz w:val="20"/>
          <w:szCs w:val="20"/>
          <w:lang w:val="fr-FR"/>
        </w:rPr>
        <w:t>mens rea</w:t>
      </w:r>
      <w:r w:rsidRPr="00EE4769">
        <w:rPr>
          <w:sz w:val="20"/>
          <w:szCs w:val="20"/>
          <w:lang w:val="fr-FR"/>
        </w:rPr>
        <w:t xml:space="preserve"> requise pour l’infraction de proférer des menaces? </w:t>
      </w:r>
      <w:r w:rsidRPr="00EE4769">
        <w:rPr>
          <w:sz w:val="20"/>
          <w:szCs w:val="20"/>
          <w:lang w:val="fr-FR"/>
        </w:rPr>
        <w:noBreakHyphen/>
        <w:t xml:space="preserve"> La Cour d’appel a</w:t>
      </w:r>
      <w:r w:rsidRPr="00EE4769">
        <w:rPr>
          <w:sz w:val="20"/>
          <w:szCs w:val="20"/>
          <w:lang w:val="fr-FR"/>
        </w:rPr>
        <w:noBreakHyphen/>
        <w:t>t</w:t>
      </w:r>
      <w:r w:rsidRPr="00EE4769">
        <w:rPr>
          <w:sz w:val="20"/>
          <w:szCs w:val="20"/>
          <w:lang w:val="fr-FR"/>
        </w:rPr>
        <w:noBreakHyphen/>
        <w:t xml:space="preserve">elle conclu à tort que le témoignage de la plaignante était déterminant dans l’analyse de la </w:t>
      </w:r>
      <w:r w:rsidRPr="00EE4769">
        <w:rPr>
          <w:i/>
          <w:sz w:val="20"/>
          <w:szCs w:val="20"/>
          <w:lang w:val="fr-FR"/>
        </w:rPr>
        <w:t>mens rea</w:t>
      </w:r>
      <w:r w:rsidRPr="00EE4769">
        <w:rPr>
          <w:sz w:val="20"/>
          <w:szCs w:val="20"/>
          <w:lang w:val="fr-FR"/>
        </w:rPr>
        <w:t xml:space="preserve"> requise pour la profération de menaces? </w:t>
      </w:r>
      <w:r w:rsidRPr="00EE4769">
        <w:rPr>
          <w:sz w:val="20"/>
          <w:szCs w:val="20"/>
          <w:lang w:val="fr-FR"/>
        </w:rPr>
        <w:noBreakHyphen/>
        <w:t xml:space="preserve"> </w:t>
      </w:r>
      <w:r w:rsidRPr="00EE4769">
        <w:rPr>
          <w:i/>
          <w:sz w:val="20"/>
          <w:szCs w:val="20"/>
          <w:lang w:val="fr-FR"/>
        </w:rPr>
        <w:t>Code criminel</w:t>
      </w:r>
      <w:r w:rsidRPr="00EE4769">
        <w:rPr>
          <w:sz w:val="20"/>
          <w:szCs w:val="20"/>
          <w:lang w:val="fr-FR"/>
        </w:rPr>
        <w:t>, L.R.C. 1985, ch. C</w:t>
      </w:r>
      <w:r w:rsidRPr="00EE4769">
        <w:rPr>
          <w:sz w:val="20"/>
          <w:szCs w:val="20"/>
          <w:lang w:val="fr-FR"/>
        </w:rPr>
        <w:noBreakHyphen/>
        <w:t>46, art. 264.1(1)</w:t>
      </w:r>
      <w:r w:rsidRPr="00EE4769">
        <w:rPr>
          <w:i/>
          <w:sz w:val="20"/>
          <w:szCs w:val="20"/>
          <w:lang w:val="fr-FR"/>
        </w:rPr>
        <w:t>a</w:t>
      </w:r>
      <w:r w:rsidRPr="00EE4769">
        <w:rPr>
          <w:sz w:val="20"/>
          <w:szCs w:val="20"/>
          <w:lang w:val="fr-FR"/>
        </w:rPr>
        <w:t xml:space="preserve">). </w:t>
      </w:r>
    </w:p>
    <w:p w:rsidR="00BE05B9" w:rsidRPr="00EE4769" w:rsidRDefault="00BE05B9" w:rsidP="00BE05B9">
      <w:pPr>
        <w:widowControl w:val="0"/>
        <w:jc w:val="both"/>
        <w:rPr>
          <w:sz w:val="20"/>
          <w:szCs w:val="20"/>
          <w:lang w:val="fr-FR"/>
        </w:rPr>
      </w:pPr>
    </w:p>
    <w:p w:rsidR="00BE05B9" w:rsidRPr="00EE4769" w:rsidRDefault="00BE05B9" w:rsidP="00BE05B9">
      <w:pPr>
        <w:widowControl w:val="0"/>
        <w:jc w:val="both"/>
        <w:rPr>
          <w:sz w:val="20"/>
          <w:szCs w:val="20"/>
          <w:lang w:val="fr-FR"/>
        </w:rPr>
      </w:pPr>
      <w:r w:rsidRPr="00EE4769">
        <w:rPr>
          <w:sz w:val="20"/>
          <w:szCs w:val="20"/>
          <w:lang w:val="fr-FR"/>
        </w:rPr>
        <w:t xml:space="preserve">L’intimé a été acquitté relativement à deux chefs de profération de menaces et à deux chefs de violation des conditions de probation.  Durant son incarcération, il a menacé au téléphone sa petite amie de la tuer si elle avortait leur enfant.  La plainte de menace a été déposée par le personnel du centre correctionnel.  Appelée à témoigner, la petite amie a expliqué que les paroles de l’intimé ne l’avaient aucunement effrayée et qu’il ne faisait que parler fort et se montrer agressif envers elle.  Le ministère public a interjeté appel des acquittements pour deux raisons.  Il a soutenu d’abord que, dans son évaluation de la </w:t>
      </w:r>
      <w:r w:rsidRPr="00EE4769">
        <w:rPr>
          <w:i/>
          <w:sz w:val="20"/>
          <w:szCs w:val="20"/>
          <w:lang w:val="fr-FR"/>
        </w:rPr>
        <w:t>mens rea</w:t>
      </w:r>
      <w:r w:rsidRPr="00EE4769">
        <w:rPr>
          <w:sz w:val="20"/>
          <w:szCs w:val="20"/>
          <w:lang w:val="fr-FR"/>
        </w:rPr>
        <w:t xml:space="preserve"> de l’infraction, la juge du procès avait fait erreur en s’appuyant exclusivement sur le témoignage de la petite amie.  Selon le ministère public, la juge du procès aurait dû se demander si une personne raisonnable aurait considéré objectivement les paroles comme une menace.  Le ministère public a également soutenu que, si un accusé ne témoigne pas, la question de savoir s’il avait l’intention d’intimider sera habituellement tranchée en fonction des mots utilisés, du contexte dans lequel ils s’inscrivent et de la personne à qui ils étaient destinés.  Toujours selon le ministère public, la juge du procès n’a pas procédé à cette analyse en l’espèce.  Les juges majoritaires de la Cour d’appel ont rejeté l’appel.  La juge Steel, dissidente, aurait accueilli l’appel parce que la juge du procès s’est trompée quant aux effets juridiques du témoignage de la petite amie relatif à la </w:t>
      </w:r>
      <w:r w:rsidRPr="00EE4769">
        <w:rPr>
          <w:i/>
          <w:sz w:val="20"/>
          <w:szCs w:val="20"/>
          <w:lang w:val="fr-FR"/>
        </w:rPr>
        <w:t>mens rea</w:t>
      </w:r>
      <w:r w:rsidRPr="00EE4769">
        <w:rPr>
          <w:sz w:val="20"/>
          <w:szCs w:val="20"/>
          <w:lang w:val="fr-FR"/>
        </w:rPr>
        <w:t xml:space="preserve"> requise pour la profération de menaces.</w:t>
      </w:r>
    </w:p>
    <w:p w:rsidR="00BE05B9" w:rsidRPr="00EE4769" w:rsidRDefault="00BE05B9" w:rsidP="00BE05B9">
      <w:pPr>
        <w:widowControl w:val="0"/>
        <w:jc w:val="both"/>
        <w:rPr>
          <w:sz w:val="20"/>
          <w:szCs w:val="20"/>
          <w:lang w:val="fr-FR"/>
        </w:rPr>
      </w:pPr>
    </w:p>
    <w:p w:rsidR="00BE05B9" w:rsidRPr="00EE4769" w:rsidRDefault="00BE05B9" w:rsidP="00BE05B9">
      <w:pPr>
        <w:widowControl w:val="0"/>
        <w:jc w:val="both"/>
        <w:rPr>
          <w:sz w:val="20"/>
          <w:szCs w:val="20"/>
          <w:lang w:val="fr-FR"/>
        </w:rPr>
      </w:pPr>
    </w:p>
    <w:p w:rsidR="00BE05B9" w:rsidRPr="00EE4769" w:rsidRDefault="00BE05B9" w:rsidP="00BE05B9">
      <w:pPr>
        <w:widowControl w:val="0"/>
        <w:ind w:left="2880" w:hanging="2880"/>
        <w:jc w:val="both"/>
        <w:rPr>
          <w:sz w:val="20"/>
          <w:szCs w:val="20"/>
          <w:lang w:val="fr-FR"/>
        </w:rPr>
      </w:pPr>
      <w:r w:rsidRPr="00EE4769">
        <w:rPr>
          <w:sz w:val="20"/>
          <w:szCs w:val="20"/>
          <w:lang w:val="fr-FR"/>
        </w:rPr>
        <w:t>Origine :</w:t>
      </w:r>
      <w:r w:rsidRPr="00EE4769">
        <w:rPr>
          <w:sz w:val="20"/>
          <w:szCs w:val="20"/>
          <w:lang w:val="fr-FR"/>
        </w:rPr>
        <w:tab/>
        <w:t>Manitoba</w:t>
      </w:r>
    </w:p>
    <w:p w:rsidR="00BE05B9" w:rsidRPr="00EE4769" w:rsidRDefault="00BE05B9" w:rsidP="00BE05B9">
      <w:pPr>
        <w:widowControl w:val="0"/>
        <w:ind w:left="2880" w:hanging="2880"/>
        <w:jc w:val="both"/>
        <w:rPr>
          <w:sz w:val="20"/>
          <w:szCs w:val="20"/>
          <w:lang w:val="fr-FR"/>
        </w:rPr>
      </w:pPr>
    </w:p>
    <w:p w:rsidR="00BE05B9" w:rsidRPr="00EE4769" w:rsidRDefault="00BE05B9" w:rsidP="00BE05B9">
      <w:pPr>
        <w:widowControl w:val="0"/>
        <w:ind w:left="2880" w:hanging="2880"/>
        <w:jc w:val="both"/>
        <w:rPr>
          <w:sz w:val="20"/>
          <w:szCs w:val="20"/>
          <w:lang w:val="fr-FR"/>
        </w:rPr>
      </w:pPr>
      <w:r w:rsidRPr="00EE4769">
        <w:rPr>
          <w:sz w:val="20"/>
          <w:szCs w:val="20"/>
          <w:lang w:val="fr-FR"/>
        </w:rPr>
        <w:t>N</w:t>
      </w:r>
      <w:r w:rsidRPr="00EE4769">
        <w:rPr>
          <w:sz w:val="20"/>
          <w:szCs w:val="20"/>
          <w:vertAlign w:val="superscript"/>
          <w:lang w:val="fr-FR"/>
        </w:rPr>
        <w:t>o</w:t>
      </w:r>
      <w:r w:rsidRPr="00EE4769">
        <w:rPr>
          <w:sz w:val="20"/>
          <w:szCs w:val="20"/>
          <w:lang w:val="fr-FR"/>
        </w:rPr>
        <w:t xml:space="preserve"> du greffe :</w:t>
      </w:r>
      <w:r w:rsidRPr="00EE4769">
        <w:rPr>
          <w:sz w:val="20"/>
          <w:szCs w:val="20"/>
          <w:lang w:val="fr-FR"/>
        </w:rPr>
        <w:tab/>
        <w:t>34694</w:t>
      </w:r>
    </w:p>
    <w:p w:rsidR="00BE05B9" w:rsidRPr="00EE4769" w:rsidRDefault="00BE05B9" w:rsidP="00BE05B9">
      <w:pPr>
        <w:widowControl w:val="0"/>
        <w:ind w:left="2880" w:hanging="2880"/>
        <w:jc w:val="both"/>
        <w:rPr>
          <w:sz w:val="20"/>
          <w:szCs w:val="20"/>
          <w:lang w:val="fr-FR"/>
        </w:rPr>
      </w:pPr>
    </w:p>
    <w:p w:rsidR="00BE05B9" w:rsidRPr="00EE4769" w:rsidRDefault="00BE05B9" w:rsidP="00BE05B9">
      <w:pPr>
        <w:widowControl w:val="0"/>
        <w:ind w:left="2880" w:hanging="2880"/>
        <w:jc w:val="both"/>
        <w:rPr>
          <w:sz w:val="20"/>
          <w:szCs w:val="20"/>
          <w:lang w:val="fr-FR"/>
        </w:rPr>
      </w:pPr>
      <w:r w:rsidRPr="00EE4769">
        <w:rPr>
          <w:sz w:val="20"/>
          <w:szCs w:val="20"/>
          <w:lang w:val="fr-FR"/>
        </w:rPr>
        <w:t>Arrêt de la Cour d’appel :</w:t>
      </w:r>
      <w:r w:rsidRPr="00EE4769">
        <w:rPr>
          <w:sz w:val="20"/>
          <w:szCs w:val="20"/>
          <w:lang w:val="fr-FR"/>
        </w:rPr>
        <w:tab/>
        <w:t>le 26 janvier 2012</w:t>
      </w:r>
    </w:p>
    <w:p w:rsidR="00BE05B9" w:rsidRPr="00EE4769" w:rsidRDefault="00BE05B9" w:rsidP="00BE05B9">
      <w:pPr>
        <w:widowControl w:val="0"/>
        <w:ind w:left="2880" w:hanging="2880"/>
        <w:jc w:val="both"/>
        <w:rPr>
          <w:sz w:val="20"/>
          <w:szCs w:val="20"/>
          <w:lang w:val="fr-FR"/>
        </w:rPr>
      </w:pPr>
    </w:p>
    <w:p w:rsidR="00BE05B9" w:rsidRPr="00EE4769" w:rsidRDefault="00BE05B9" w:rsidP="00BE05B9">
      <w:pPr>
        <w:widowControl w:val="0"/>
        <w:ind w:left="2880" w:hanging="2880"/>
        <w:jc w:val="both"/>
        <w:rPr>
          <w:sz w:val="20"/>
          <w:szCs w:val="20"/>
          <w:lang w:val="fr-FR"/>
        </w:rPr>
      </w:pPr>
      <w:r w:rsidRPr="00EE4769">
        <w:rPr>
          <w:sz w:val="20"/>
          <w:szCs w:val="20"/>
          <w:lang w:val="fr-FR"/>
        </w:rPr>
        <w:t>Avocats :</w:t>
      </w:r>
      <w:r w:rsidRPr="00EE4769">
        <w:rPr>
          <w:sz w:val="20"/>
          <w:szCs w:val="20"/>
          <w:lang w:val="fr-FR"/>
        </w:rPr>
        <w:tab/>
      </w:r>
      <w:r w:rsidRPr="00EE4769">
        <w:rPr>
          <w:sz w:val="20"/>
          <w:szCs w:val="20"/>
          <w:lang w:val="fr-CA"/>
        </w:rPr>
        <w:t xml:space="preserve">Rekka Malaviya et Ami Kotler </w:t>
      </w:r>
      <w:r w:rsidRPr="00EE4769">
        <w:rPr>
          <w:sz w:val="20"/>
          <w:szCs w:val="20"/>
          <w:lang w:val="fr-FR"/>
        </w:rPr>
        <w:t>pour l’appelante</w:t>
      </w:r>
    </w:p>
    <w:p w:rsidR="00BE05B9" w:rsidRPr="00EE4769" w:rsidRDefault="00BE05B9" w:rsidP="00BE05B9">
      <w:pPr>
        <w:widowControl w:val="0"/>
        <w:ind w:left="2880" w:hanging="2880"/>
        <w:jc w:val="both"/>
        <w:rPr>
          <w:sz w:val="20"/>
          <w:szCs w:val="20"/>
          <w:lang w:val="fr-FR"/>
        </w:rPr>
      </w:pPr>
      <w:r w:rsidRPr="00EE4769">
        <w:rPr>
          <w:sz w:val="20"/>
          <w:szCs w:val="20"/>
          <w:lang w:val="fr-FR"/>
        </w:rPr>
        <w:tab/>
        <w:t>Michael P. Cook pour l’intimé</w:t>
      </w:r>
    </w:p>
    <w:p w:rsidR="00A818DB" w:rsidRPr="00BE05B9" w:rsidRDefault="00A818DB" w:rsidP="00A818DB">
      <w:pPr>
        <w:widowControl w:val="0"/>
        <w:jc w:val="both"/>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2"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rsidP="000B3C9A">
      <w:pPr>
        <w:tabs>
          <w:tab w:val="left" w:pos="-1440"/>
          <w:tab w:val="left" w:pos="-720"/>
        </w:tabs>
        <w:jc w:val="both"/>
        <w:rPr>
          <w:sz w:val="20"/>
          <w:szCs w:val="20"/>
          <w:lang w:val="fr-CA"/>
        </w:rPr>
      </w:pPr>
    </w:p>
    <w:p w:rsidR="00A818DB" w:rsidRDefault="00A818DB">
      <w:pPr>
        <w:rPr>
          <w:sz w:val="20"/>
          <w:szCs w:val="20"/>
          <w:lang w:val="fr-CA"/>
        </w:rPr>
      </w:pPr>
      <w:r>
        <w:rPr>
          <w:sz w:val="20"/>
          <w:szCs w:val="20"/>
          <w:lang w:val="fr-CA"/>
        </w:rPr>
        <w:br w:type="page"/>
      </w:r>
    </w:p>
    <w:p w:rsidR="00C07F92" w:rsidRPr="00161B22" w:rsidRDefault="00DB239D" w:rsidP="00C07F92">
      <w:pPr>
        <w:widowControl w:val="0"/>
        <w:ind w:left="720" w:hanging="720"/>
        <w:jc w:val="both"/>
        <w:rPr>
          <w:sz w:val="20"/>
          <w:szCs w:val="20"/>
        </w:rPr>
      </w:pPr>
      <w:r w:rsidRPr="00161B22">
        <w:rPr>
          <w:b/>
          <w:sz w:val="20"/>
          <w:szCs w:val="20"/>
        </w:rPr>
        <w:fldChar w:fldCharType="begin"/>
      </w:r>
      <w:r w:rsidR="00C07F92" w:rsidRPr="00161B22">
        <w:rPr>
          <w:b/>
          <w:sz w:val="20"/>
          <w:szCs w:val="20"/>
        </w:rPr>
        <w:instrText xml:space="preserve"> SEQ CHAPTER \h \r 1</w:instrText>
      </w:r>
      <w:r w:rsidRPr="00161B22">
        <w:rPr>
          <w:b/>
          <w:sz w:val="20"/>
          <w:szCs w:val="20"/>
        </w:rPr>
        <w:fldChar w:fldCharType="end"/>
      </w:r>
      <w:r w:rsidR="00C07F92" w:rsidRPr="00161B22">
        <w:rPr>
          <w:b/>
          <w:sz w:val="20"/>
          <w:szCs w:val="20"/>
        </w:rPr>
        <w:t>34720</w:t>
      </w:r>
      <w:r w:rsidR="00C07F92" w:rsidRPr="00161B22">
        <w:rPr>
          <w:sz w:val="20"/>
          <w:szCs w:val="20"/>
        </w:rPr>
        <w:tab/>
      </w:r>
      <w:r w:rsidR="00C07F92" w:rsidRPr="00161B22">
        <w:rPr>
          <w:b/>
          <w:i/>
          <w:sz w:val="20"/>
          <w:szCs w:val="20"/>
        </w:rPr>
        <w:t>Her Majesty the Queen v. Harry Persaud Sanichar</w:t>
      </w:r>
    </w:p>
    <w:p w:rsidR="00C07F92" w:rsidRPr="00161B22" w:rsidRDefault="00C07F92" w:rsidP="00C07F92">
      <w:pPr>
        <w:widowControl w:val="0"/>
        <w:jc w:val="both"/>
        <w:rPr>
          <w:sz w:val="20"/>
          <w:szCs w:val="20"/>
        </w:rPr>
      </w:pPr>
    </w:p>
    <w:p w:rsidR="00C07F92" w:rsidRPr="00161B22" w:rsidRDefault="00C07F92" w:rsidP="00C07F92">
      <w:pPr>
        <w:widowControl w:val="0"/>
        <w:jc w:val="both"/>
        <w:rPr>
          <w:sz w:val="20"/>
          <w:szCs w:val="20"/>
        </w:rPr>
      </w:pPr>
      <w:r w:rsidRPr="00161B22">
        <w:rPr>
          <w:sz w:val="20"/>
          <w:szCs w:val="20"/>
        </w:rPr>
        <w:t xml:space="preserve">Criminal law </w:t>
      </w:r>
      <w:r w:rsidRPr="00161B22">
        <w:rPr>
          <w:sz w:val="20"/>
          <w:szCs w:val="20"/>
        </w:rPr>
        <w:noBreakHyphen/>
        <w:t xml:space="preserve"> Evidence </w:t>
      </w:r>
      <w:r w:rsidRPr="00161B22">
        <w:rPr>
          <w:sz w:val="20"/>
          <w:szCs w:val="20"/>
        </w:rPr>
        <w:noBreakHyphen/>
        <w:t xml:space="preserve"> Complainant’s testimony </w:t>
      </w:r>
      <w:r w:rsidRPr="00161B22">
        <w:rPr>
          <w:sz w:val="20"/>
          <w:szCs w:val="20"/>
        </w:rPr>
        <w:noBreakHyphen/>
        <w:t xml:space="preserve"> Reliability </w:t>
      </w:r>
      <w:r w:rsidRPr="00161B22">
        <w:rPr>
          <w:sz w:val="20"/>
          <w:szCs w:val="20"/>
        </w:rPr>
        <w:noBreakHyphen/>
        <w:t xml:space="preserve"> </w:t>
      </w:r>
      <w:proofErr w:type="gramStart"/>
      <w:r w:rsidRPr="00161B22">
        <w:rPr>
          <w:sz w:val="20"/>
          <w:szCs w:val="20"/>
        </w:rPr>
        <w:t>Whether</w:t>
      </w:r>
      <w:proofErr w:type="gramEnd"/>
      <w:r w:rsidRPr="00161B22">
        <w:rPr>
          <w:sz w:val="20"/>
          <w:szCs w:val="20"/>
        </w:rPr>
        <w:t xml:space="preserve"> the trial judge failed to conduct a proper inquiry into the reliability of the complainant’s evidence </w:t>
      </w:r>
      <w:r w:rsidRPr="00161B22">
        <w:rPr>
          <w:sz w:val="20"/>
          <w:szCs w:val="20"/>
        </w:rPr>
        <w:noBreakHyphen/>
        <w:t xml:space="preserve"> Whether the trial judge failed to apply the principles of reasonable doubt to aspects of the evidence that could have been in the defence’s favour.</w:t>
      </w:r>
    </w:p>
    <w:p w:rsidR="00C07F92" w:rsidRPr="00161B22" w:rsidRDefault="00C07F92" w:rsidP="00C07F92">
      <w:pPr>
        <w:widowControl w:val="0"/>
        <w:jc w:val="both"/>
        <w:rPr>
          <w:sz w:val="20"/>
          <w:szCs w:val="20"/>
        </w:rPr>
      </w:pPr>
    </w:p>
    <w:p w:rsidR="00C07F92" w:rsidRPr="00161B22" w:rsidRDefault="00C07F92" w:rsidP="00C07F92">
      <w:pPr>
        <w:widowControl w:val="0"/>
        <w:jc w:val="both"/>
        <w:rPr>
          <w:sz w:val="20"/>
          <w:szCs w:val="20"/>
        </w:rPr>
      </w:pPr>
      <w:r w:rsidRPr="00161B22">
        <w:rPr>
          <w:sz w:val="20"/>
          <w:szCs w:val="20"/>
        </w:rPr>
        <w:t>The respondent was convicted of rape, indecent assault, buggery, gross indecency, sexual assault, assault and assault with a weapon.  The convictions concern the physical and sexual abuse of the complainant, the respondent’s step</w:t>
      </w:r>
      <w:r w:rsidRPr="00161B22">
        <w:rPr>
          <w:sz w:val="20"/>
          <w:szCs w:val="20"/>
        </w:rPr>
        <w:noBreakHyphen/>
        <w:t>daughter, which allegedly occurred over the span of several years when she was a child.  The complainant was in her mid</w:t>
      </w:r>
      <w:r w:rsidRPr="00161B22">
        <w:rPr>
          <w:sz w:val="20"/>
          <w:szCs w:val="20"/>
        </w:rPr>
        <w:noBreakHyphen/>
        <w:t xml:space="preserve">thirties when she testified as the Crown’s only witness.  The Majority of the Court of Appeal allowed the respondent’s appeal from conviction and ordered a new trial on the basis that the trial judge failed to conduct a proper inquiry into the reliability of the complainant’s testimony and failed to apply the principles of reasonable doubt to the aspects of the evidence that could have been in the respondent’s favour.  Finding no error in the trial judge’s treatment of the evidence, Laskin J.A., dissenting, would have dismissed the appeal. </w:t>
      </w:r>
    </w:p>
    <w:p w:rsidR="00C07F92" w:rsidRPr="00161B22" w:rsidRDefault="00C07F92" w:rsidP="00C07F92">
      <w:pPr>
        <w:widowControl w:val="0"/>
        <w:jc w:val="both"/>
        <w:rPr>
          <w:sz w:val="20"/>
          <w:szCs w:val="20"/>
        </w:rPr>
      </w:pPr>
    </w:p>
    <w:p w:rsidR="00C07F92" w:rsidRPr="00161B22" w:rsidRDefault="00C07F92" w:rsidP="00C07F92">
      <w:pPr>
        <w:widowControl w:val="0"/>
        <w:jc w:val="both"/>
        <w:rPr>
          <w:sz w:val="20"/>
          <w:szCs w:val="20"/>
        </w:rPr>
      </w:pPr>
    </w:p>
    <w:p w:rsidR="00C07F92" w:rsidRPr="00161B22" w:rsidRDefault="00C07F92" w:rsidP="00C07F92">
      <w:pPr>
        <w:widowControl w:val="0"/>
        <w:ind w:left="2880" w:hanging="2880"/>
        <w:jc w:val="both"/>
        <w:rPr>
          <w:sz w:val="20"/>
          <w:szCs w:val="20"/>
        </w:rPr>
      </w:pPr>
      <w:r w:rsidRPr="00161B22">
        <w:rPr>
          <w:sz w:val="20"/>
          <w:szCs w:val="20"/>
        </w:rPr>
        <w:t>Origin of the case:</w:t>
      </w:r>
      <w:r w:rsidRPr="00161B22">
        <w:rPr>
          <w:sz w:val="20"/>
          <w:szCs w:val="20"/>
        </w:rPr>
        <w:tab/>
        <w:t>Ontario</w:t>
      </w:r>
    </w:p>
    <w:p w:rsidR="00C07F92" w:rsidRPr="00161B22" w:rsidRDefault="00C07F92" w:rsidP="00C07F92">
      <w:pPr>
        <w:widowControl w:val="0"/>
        <w:ind w:left="2880" w:hanging="2880"/>
        <w:jc w:val="both"/>
        <w:rPr>
          <w:sz w:val="20"/>
          <w:szCs w:val="20"/>
        </w:rPr>
      </w:pPr>
    </w:p>
    <w:p w:rsidR="00C07F92" w:rsidRPr="00161B22" w:rsidRDefault="00C07F92" w:rsidP="00C07F92">
      <w:pPr>
        <w:widowControl w:val="0"/>
        <w:ind w:left="2880" w:hanging="2880"/>
        <w:jc w:val="both"/>
        <w:rPr>
          <w:sz w:val="20"/>
          <w:szCs w:val="20"/>
        </w:rPr>
      </w:pPr>
      <w:r w:rsidRPr="00161B22">
        <w:rPr>
          <w:sz w:val="20"/>
          <w:szCs w:val="20"/>
        </w:rPr>
        <w:t>File No.:</w:t>
      </w:r>
      <w:r w:rsidRPr="00161B22">
        <w:rPr>
          <w:sz w:val="20"/>
          <w:szCs w:val="20"/>
        </w:rPr>
        <w:tab/>
        <w:t>34720</w:t>
      </w:r>
    </w:p>
    <w:p w:rsidR="00C07F92" w:rsidRPr="00161B22" w:rsidRDefault="00C07F92" w:rsidP="00C07F92">
      <w:pPr>
        <w:widowControl w:val="0"/>
        <w:ind w:left="2880" w:hanging="2880"/>
        <w:jc w:val="both"/>
        <w:rPr>
          <w:sz w:val="20"/>
          <w:szCs w:val="20"/>
        </w:rPr>
      </w:pPr>
    </w:p>
    <w:p w:rsidR="00C07F92" w:rsidRPr="00161B22" w:rsidRDefault="00C07F92" w:rsidP="00C07F92">
      <w:pPr>
        <w:widowControl w:val="0"/>
        <w:ind w:left="2880" w:hanging="2880"/>
        <w:jc w:val="both"/>
        <w:rPr>
          <w:sz w:val="20"/>
          <w:szCs w:val="20"/>
        </w:rPr>
      </w:pPr>
      <w:r w:rsidRPr="00161B22">
        <w:rPr>
          <w:sz w:val="20"/>
          <w:szCs w:val="20"/>
        </w:rPr>
        <w:t>Judgment of the Court of Appeal:</w:t>
      </w:r>
      <w:r w:rsidRPr="00161B22">
        <w:rPr>
          <w:sz w:val="20"/>
          <w:szCs w:val="20"/>
        </w:rPr>
        <w:tab/>
        <w:t xml:space="preserve">February 22, 2012 </w:t>
      </w:r>
    </w:p>
    <w:p w:rsidR="00C07F92" w:rsidRPr="00161B22" w:rsidRDefault="00C07F92" w:rsidP="00C07F92">
      <w:pPr>
        <w:widowControl w:val="0"/>
        <w:ind w:left="2880" w:hanging="2880"/>
        <w:jc w:val="both"/>
        <w:rPr>
          <w:sz w:val="20"/>
          <w:szCs w:val="20"/>
        </w:rPr>
      </w:pPr>
    </w:p>
    <w:p w:rsidR="00C07F92" w:rsidRPr="00161B22" w:rsidRDefault="00C07F92" w:rsidP="00C07F92">
      <w:pPr>
        <w:widowControl w:val="0"/>
        <w:ind w:left="2880" w:hanging="2880"/>
        <w:jc w:val="both"/>
        <w:rPr>
          <w:sz w:val="20"/>
          <w:szCs w:val="20"/>
        </w:rPr>
      </w:pPr>
      <w:r w:rsidRPr="00161B22">
        <w:rPr>
          <w:sz w:val="20"/>
          <w:szCs w:val="20"/>
        </w:rPr>
        <w:t>Counsel:</w:t>
      </w:r>
      <w:r w:rsidRPr="00161B22">
        <w:rPr>
          <w:sz w:val="20"/>
          <w:szCs w:val="20"/>
        </w:rPr>
        <w:tab/>
        <w:t>Howard Leibovich for the appellant</w:t>
      </w:r>
    </w:p>
    <w:p w:rsidR="00C07F92" w:rsidRPr="00161B22" w:rsidRDefault="00C07F92" w:rsidP="00C07F92">
      <w:pPr>
        <w:widowControl w:val="0"/>
        <w:ind w:left="2880" w:hanging="2880"/>
        <w:jc w:val="both"/>
        <w:rPr>
          <w:sz w:val="20"/>
          <w:szCs w:val="20"/>
        </w:rPr>
      </w:pPr>
      <w:r w:rsidRPr="00161B22">
        <w:rPr>
          <w:sz w:val="20"/>
          <w:szCs w:val="20"/>
        </w:rPr>
        <w:tab/>
        <w:t>Mark C. Halfyard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3"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rsidP="000B3C9A">
      <w:pPr>
        <w:tabs>
          <w:tab w:val="left" w:pos="-1440"/>
          <w:tab w:val="left" w:pos="-720"/>
        </w:tabs>
        <w:jc w:val="both"/>
        <w:rPr>
          <w:sz w:val="20"/>
          <w:szCs w:val="20"/>
          <w:lang w:val="fr-CA"/>
        </w:rPr>
      </w:pPr>
    </w:p>
    <w:p w:rsidR="00A818DB" w:rsidRDefault="00A818DB">
      <w:pPr>
        <w:rPr>
          <w:sz w:val="20"/>
          <w:szCs w:val="20"/>
          <w:lang w:val="fr-CA"/>
        </w:rPr>
      </w:pPr>
      <w:r>
        <w:rPr>
          <w:sz w:val="20"/>
          <w:szCs w:val="20"/>
          <w:lang w:val="fr-CA"/>
        </w:rPr>
        <w:br w:type="page"/>
      </w:r>
    </w:p>
    <w:p w:rsidR="00C07F92" w:rsidRPr="001C3D90" w:rsidRDefault="00DB239D" w:rsidP="00C07F92">
      <w:pPr>
        <w:widowControl w:val="0"/>
        <w:ind w:left="720" w:hanging="720"/>
        <w:jc w:val="both"/>
        <w:rPr>
          <w:sz w:val="20"/>
          <w:szCs w:val="20"/>
          <w:lang w:val="fr-CA"/>
        </w:rPr>
      </w:pPr>
      <w:r w:rsidRPr="001C3D90">
        <w:rPr>
          <w:b/>
          <w:sz w:val="20"/>
          <w:szCs w:val="20"/>
        </w:rPr>
        <w:fldChar w:fldCharType="begin"/>
      </w:r>
      <w:r w:rsidR="00C07F92" w:rsidRPr="001C3D90">
        <w:rPr>
          <w:b/>
          <w:sz w:val="20"/>
          <w:szCs w:val="20"/>
          <w:lang w:val="fr-CA"/>
        </w:rPr>
        <w:instrText xml:space="preserve"> SEQ CHAPTER \h \r 1</w:instrText>
      </w:r>
      <w:r w:rsidRPr="001C3D90">
        <w:rPr>
          <w:b/>
          <w:sz w:val="20"/>
          <w:szCs w:val="20"/>
        </w:rPr>
        <w:fldChar w:fldCharType="end"/>
      </w:r>
      <w:r w:rsidR="00C07F92" w:rsidRPr="001C3D90">
        <w:rPr>
          <w:b/>
          <w:sz w:val="20"/>
          <w:szCs w:val="20"/>
          <w:lang w:val="fr-CA"/>
        </w:rPr>
        <w:t>34720</w:t>
      </w:r>
      <w:r w:rsidR="00C07F92" w:rsidRPr="001C3D90">
        <w:rPr>
          <w:sz w:val="20"/>
          <w:szCs w:val="20"/>
          <w:lang w:val="fr-CA"/>
        </w:rPr>
        <w:tab/>
      </w:r>
      <w:r w:rsidR="00C07F92" w:rsidRPr="001C3D90">
        <w:rPr>
          <w:b/>
          <w:i/>
          <w:sz w:val="20"/>
          <w:szCs w:val="20"/>
          <w:lang w:val="fr-CA"/>
        </w:rPr>
        <w:t>Sa Majesté la Reine c. Harry Persaud Sanichar</w:t>
      </w:r>
    </w:p>
    <w:p w:rsidR="00C07F92" w:rsidRPr="001C3D90" w:rsidRDefault="00C07F92" w:rsidP="00C07F92">
      <w:pPr>
        <w:widowControl w:val="0"/>
        <w:jc w:val="both"/>
        <w:rPr>
          <w:sz w:val="20"/>
          <w:szCs w:val="20"/>
          <w:lang w:val="fr-CA"/>
        </w:rPr>
      </w:pPr>
    </w:p>
    <w:p w:rsidR="00C07F92" w:rsidRPr="001C3D90" w:rsidRDefault="00C07F92" w:rsidP="00C07F92">
      <w:pPr>
        <w:widowControl w:val="0"/>
        <w:jc w:val="both"/>
        <w:rPr>
          <w:sz w:val="20"/>
          <w:szCs w:val="20"/>
          <w:lang w:val="fr-CA"/>
        </w:rPr>
      </w:pPr>
      <w:r w:rsidRPr="001C3D90">
        <w:rPr>
          <w:sz w:val="20"/>
          <w:szCs w:val="20"/>
          <w:lang w:val="fr-CA"/>
        </w:rPr>
        <w:t xml:space="preserve">Droit criminel </w:t>
      </w:r>
      <w:r w:rsidRPr="001C3D90">
        <w:rPr>
          <w:sz w:val="20"/>
          <w:szCs w:val="20"/>
          <w:lang w:val="fr-CA"/>
        </w:rPr>
        <w:noBreakHyphen/>
        <w:t xml:space="preserve"> Preuve </w:t>
      </w:r>
      <w:r w:rsidRPr="001C3D90">
        <w:rPr>
          <w:sz w:val="20"/>
          <w:szCs w:val="20"/>
          <w:lang w:val="fr-CA"/>
        </w:rPr>
        <w:noBreakHyphen/>
        <w:t xml:space="preserve"> Témoignage de la plaignante </w:t>
      </w:r>
      <w:r w:rsidRPr="001C3D90">
        <w:rPr>
          <w:sz w:val="20"/>
          <w:szCs w:val="20"/>
          <w:lang w:val="fr-CA"/>
        </w:rPr>
        <w:noBreakHyphen/>
        <w:t xml:space="preserve"> Fiabilité </w:t>
      </w:r>
      <w:r w:rsidRPr="001C3D90">
        <w:rPr>
          <w:sz w:val="20"/>
          <w:szCs w:val="20"/>
          <w:lang w:val="fr-CA"/>
        </w:rPr>
        <w:noBreakHyphen/>
        <w:t xml:space="preserve"> Le juge du procès a</w:t>
      </w:r>
      <w:r w:rsidRPr="001C3D90">
        <w:rPr>
          <w:sz w:val="20"/>
          <w:szCs w:val="20"/>
          <w:lang w:val="fr-CA"/>
        </w:rPr>
        <w:noBreakHyphen/>
        <w:t>t</w:t>
      </w:r>
      <w:r w:rsidRPr="001C3D90">
        <w:rPr>
          <w:sz w:val="20"/>
          <w:szCs w:val="20"/>
          <w:lang w:val="fr-CA"/>
        </w:rPr>
        <w:noBreakHyphen/>
        <w:t xml:space="preserve">il omis d’analyser correctement la fiabilité du témoignage de la plaignante? </w:t>
      </w:r>
      <w:r w:rsidRPr="001C3D90">
        <w:rPr>
          <w:sz w:val="20"/>
          <w:szCs w:val="20"/>
          <w:lang w:val="fr-CA"/>
        </w:rPr>
        <w:noBreakHyphen/>
        <w:t xml:space="preserve"> Le juge du procès a</w:t>
      </w:r>
      <w:r w:rsidRPr="001C3D90">
        <w:rPr>
          <w:sz w:val="20"/>
          <w:szCs w:val="20"/>
          <w:lang w:val="fr-CA"/>
        </w:rPr>
        <w:noBreakHyphen/>
        <w:t>t</w:t>
      </w:r>
      <w:r w:rsidRPr="001C3D90">
        <w:rPr>
          <w:sz w:val="20"/>
          <w:szCs w:val="20"/>
          <w:lang w:val="fr-CA"/>
        </w:rPr>
        <w:noBreakHyphen/>
        <w:t>il omis d’appliquer les principes du doute raisonnable à des aspects de la preuve qui auraient pu être favorables à la défense?</w:t>
      </w:r>
    </w:p>
    <w:p w:rsidR="00C07F92" w:rsidRPr="001C3D90" w:rsidRDefault="00C07F92" w:rsidP="00C07F92">
      <w:pPr>
        <w:widowControl w:val="0"/>
        <w:jc w:val="both"/>
        <w:rPr>
          <w:sz w:val="20"/>
          <w:szCs w:val="20"/>
          <w:lang w:val="fr-CA"/>
        </w:rPr>
      </w:pPr>
    </w:p>
    <w:p w:rsidR="00C07F92" w:rsidRPr="001C3D90" w:rsidRDefault="00C07F92" w:rsidP="00C07F92">
      <w:pPr>
        <w:widowControl w:val="0"/>
        <w:jc w:val="both"/>
        <w:rPr>
          <w:sz w:val="20"/>
          <w:szCs w:val="20"/>
          <w:lang w:val="fr-CA"/>
        </w:rPr>
      </w:pPr>
      <w:r w:rsidRPr="001C3D90">
        <w:rPr>
          <w:sz w:val="20"/>
          <w:szCs w:val="20"/>
          <w:lang w:val="fr-CA"/>
        </w:rPr>
        <w:t>L’intimé a été déclaré coupable de viol, attentat à la pudeur, sodomie, grossière indécence, agression sexuelle, voies de fait et agression armée.  Ces condamnations sont reliées à des actes de violence physique et sexuelle échelonnés sur plusieurs années que l’intimé aurait commis contre sa belle</w:t>
      </w:r>
      <w:r w:rsidRPr="001C3D90">
        <w:rPr>
          <w:sz w:val="20"/>
          <w:szCs w:val="20"/>
          <w:lang w:val="fr-CA"/>
        </w:rPr>
        <w:noBreakHyphen/>
        <w:t>fille alors qu’elle était une enfant.  La plaignante était dans la mi</w:t>
      </w:r>
      <w:r w:rsidRPr="001C3D90">
        <w:rPr>
          <w:sz w:val="20"/>
          <w:szCs w:val="20"/>
          <w:lang w:val="fr-CA"/>
        </w:rPr>
        <w:noBreakHyphen/>
        <w:t xml:space="preserve">trentaine lorsqu’elle a témoigné comme unique témoin du ministère public.  Dans un arrêt majoritaire, la Cour d’appel a accueilli l’appel de l’intimé et ordonné la tenue d’un nouveau procès parce qu’elle estimait que le juge du procès n’avait pas analysé correctement la fiabilité du témoignage de la plaignante et n’avait pas appliqué les principes du doute raisonnable aux aspects de la preuve qui auraient pu être favorables à l’intimé.  Le juge Laskin, dissident, était d’avis que le juge du procès n’avait pas commis d’erreur dans le traitement de la preuve et aurait rejeté l’appel. </w:t>
      </w:r>
    </w:p>
    <w:p w:rsidR="00C07F92" w:rsidRPr="001C3D90" w:rsidRDefault="00C07F92" w:rsidP="00C07F92">
      <w:pPr>
        <w:widowControl w:val="0"/>
        <w:jc w:val="both"/>
        <w:rPr>
          <w:sz w:val="20"/>
          <w:szCs w:val="20"/>
          <w:lang w:val="fr-CA"/>
        </w:rPr>
      </w:pPr>
    </w:p>
    <w:p w:rsidR="00C07F92" w:rsidRPr="001C3D90" w:rsidRDefault="00C07F92" w:rsidP="00C07F92">
      <w:pPr>
        <w:widowControl w:val="0"/>
        <w:jc w:val="both"/>
        <w:rPr>
          <w:sz w:val="20"/>
          <w:szCs w:val="20"/>
          <w:lang w:val="fr-CA"/>
        </w:rPr>
      </w:pPr>
    </w:p>
    <w:p w:rsidR="00C07F92" w:rsidRPr="001C3D90" w:rsidRDefault="00C07F92" w:rsidP="00C07F92">
      <w:pPr>
        <w:widowControl w:val="0"/>
        <w:ind w:left="2880" w:hanging="2880"/>
        <w:jc w:val="both"/>
        <w:rPr>
          <w:sz w:val="20"/>
          <w:szCs w:val="20"/>
          <w:lang w:val="fr-CA"/>
        </w:rPr>
      </w:pPr>
      <w:r w:rsidRPr="001C3D90">
        <w:rPr>
          <w:sz w:val="20"/>
          <w:szCs w:val="20"/>
          <w:lang w:val="fr-CA"/>
        </w:rPr>
        <w:t>Origine :</w:t>
      </w:r>
      <w:r w:rsidRPr="001C3D90">
        <w:rPr>
          <w:sz w:val="20"/>
          <w:szCs w:val="20"/>
          <w:lang w:val="fr-CA"/>
        </w:rPr>
        <w:tab/>
        <w:t>Ontario</w:t>
      </w:r>
    </w:p>
    <w:p w:rsidR="00C07F92" w:rsidRPr="001C3D90" w:rsidRDefault="00C07F92" w:rsidP="00C07F92">
      <w:pPr>
        <w:widowControl w:val="0"/>
        <w:ind w:left="2880" w:hanging="2880"/>
        <w:jc w:val="both"/>
        <w:rPr>
          <w:sz w:val="20"/>
          <w:szCs w:val="20"/>
          <w:lang w:val="fr-CA"/>
        </w:rPr>
      </w:pPr>
    </w:p>
    <w:p w:rsidR="00C07F92" w:rsidRPr="001C3D90" w:rsidRDefault="00C07F92" w:rsidP="00C07F92">
      <w:pPr>
        <w:widowControl w:val="0"/>
        <w:ind w:left="2880" w:hanging="2880"/>
        <w:jc w:val="both"/>
        <w:rPr>
          <w:sz w:val="20"/>
          <w:szCs w:val="20"/>
          <w:lang w:val="fr-CA"/>
        </w:rPr>
      </w:pPr>
      <w:r w:rsidRPr="001C3D90">
        <w:rPr>
          <w:sz w:val="20"/>
          <w:szCs w:val="20"/>
          <w:lang w:val="fr-CA"/>
        </w:rPr>
        <w:t>N</w:t>
      </w:r>
      <w:r w:rsidRPr="001C3D90">
        <w:rPr>
          <w:sz w:val="20"/>
          <w:szCs w:val="20"/>
          <w:vertAlign w:val="superscript"/>
          <w:lang w:val="fr-CA"/>
        </w:rPr>
        <w:t>o</w:t>
      </w:r>
      <w:r w:rsidRPr="001C3D90">
        <w:rPr>
          <w:sz w:val="20"/>
          <w:szCs w:val="20"/>
          <w:lang w:val="fr-CA"/>
        </w:rPr>
        <w:t xml:space="preserve"> du greffe :</w:t>
      </w:r>
      <w:r w:rsidRPr="001C3D90">
        <w:rPr>
          <w:sz w:val="20"/>
          <w:szCs w:val="20"/>
          <w:lang w:val="fr-CA"/>
        </w:rPr>
        <w:tab/>
        <w:t>34720</w:t>
      </w:r>
    </w:p>
    <w:p w:rsidR="00C07F92" w:rsidRPr="001C3D90" w:rsidRDefault="00C07F92" w:rsidP="00C07F92">
      <w:pPr>
        <w:widowControl w:val="0"/>
        <w:ind w:left="2880" w:hanging="2880"/>
        <w:jc w:val="both"/>
        <w:rPr>
          <w:sz w:val="20"/>
          <w:szCs w:val="20"/>
          <w:lang w:val="fr-CA"/>
        </w:rPr>
      </w:pPr>
    </w:p>
    <w:p w:rsidR="00C07F92" w:rsidRPr="001C3D90" w:rsidRDefault="00C07F92" w:rsidP="00C07F92">
      <w:pPr>
        <w:widowControl w:val="0"/>
        <w:ind w:left="2880" w:hanging="2880"/>
        <w:jc w:val="both"/>
        <w:rPr>
          <w:sz w:val="20"/>
          <w:szCs w:val="20"/>
          <w:lang w:val="fr-CA"/>
        </w:rPr>
      </w:pPr>
      <w:r w:rsidRPr="001C3D90">
        <w:rPr>
          <w:sz w:val="20"/>
          <w:szCs w:val="20"/>
          <w:lang w:val="fr-CA"/>
        </w:rPr>
        <w:t>Arrêt de la Cour d’appel :</w:t>
      </w:r>
      <w:r w:rsidRPr="001C3D90">
        <w:rPr>
          <w:sz w:val="20"/>
          <w:szCs w:val="20"/>
          <w:lang w:val="fr-CA"/>
        </w:rPr>
        <w:tab/>
        <w:t xml:space="preserve">12 février 2012 </w:t>
      </w:r>
    </w:p>
    <w:p w:rsidR="00C07F92" w:rsidRPr="001C3D90" w:rsidRDefault="00C07F92" w:rsidP="00C07F92">
      <w:pPr>
        <w:widowControl w:val="0"/>
        <w:ind w:left="2880" w:hanging="2880"/>
        <w:jc w:val="both"/>
        <w:rPr>
          <w:sz w:val="20"/>
          <w:szCs w:val="20"/>
          <w:lang w:val="fr-CA"/>
        </w:rPr>
      </w:pPr>
    </w:p>
    <w:p w:rsidR="00C07F92" w:rsidRPr="001C3D90" w:rsidRDefault="00C07F92" w:rsidP="00C07F92">
      <w:pPr>
        <w:widowControl w:val="0"/>
        <w:ind w:left="2880" w:hanging="2880"/>
        <w:jc w:val="both"/>
        <w:rPr>
          <w:sz w:val="20"/>
          <w:szCs w:val="20"/>
        </w:rPr>
      </w:pPr>
      <w:proofErr w:type="gramStart"/>
      <w:r w:rsidRPr="001C3D90">
        <w:rPr>
          <w:sz w:val="20"/>
          <w:szCs w:val="20"/>
        </w:rPr>
        <w:t>Avocats :</w:t>
      </w:r>
      <w:proofErr w:type="gramEnd"/>
      <w:r w:rsidRPr="001C3D90">
        <w:rPr>
          <w:sz w:val="20"/>
          <w:szCs w:val="20"/>
        </w:rPr>
        <w:tab/>
        <w:t>Howard Leibovich pour l’appelante</w:t>
      </w:r>
    </w:p>
    <w:p w:rsidR="00C07F92" w:rsidRPr="001C3D90" w:rsidRDefault="00C07F92" w:rsidP="00C07F92">
      <w:pPr>
        <w:widowControl w:val="0"/>
        <w:ind w:left="2880" w:hanging="2880"/>
        <w:jc w:val="both"/>
        <w:rPr>
          <w:sz w:val="20"/>
          <w:szCs w:val="20"/>
        </w:rPr>
      </w:pPr>
      <w:r w:rsidRPr="001C3D90">
        <w:rPr>
          <w:sz w:val="20"/>
          <w:szCs w:val="20"/>
        </w:rPr>
        <w:tab/>
        <w:t>Mark C. Halfyard pour l’intimé</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4"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rsidP="000B3C9A">
      <w:pPr>
        <w:tabs>
          <w:tab w:val="left" w:pos="-1440"/>
          <w:tab w:val="left" w:pos="-720"/>
        </w:tabs>
        <w:jc w:val="both"/>
        <w:rPr>
          <w:sz w:val="20"/>
          <w:szCs w:val="20"/>
          <w:lang w:val="fr-CA"/>
        </w:rPr>
      </w:pPr>
    </w:p>
    <w:p w:rsidR="00A818DB" w:rsidRDefault="00A818DB">
      <w:pPr>
        <w:rPr>
          <w:sz w:val="20"/>
          <w:szCs w:val="20"/>
          <w:lang w:val="fr-CA"/>
        </w:rPr>
      </w:pPr>
      <w:r>
        <w:rPr>
          <w:sz w:val="20"/>
          <w:szCs w:val="20"/>
          <w:lang w:val="fr-CA"/>
        </w:rPr>
        <w:br w:type="page"/>
      </w:r>
    </w:p>
    <w:p w:rsidR="00C07F92" w:rsidRPr="005F37E8" w:rsidRDefault="00DB239D" w:rsidP="00C07F92">
      <w:pPr>
        <w:ind w:left="720" w:hanging="720"/>
        <w:rPr>
          <w:sz w:val="20"/>
          <w:szCs w:val="20"/>
        </w:rPr>
      </w:pPr>
      <w:r w:rsidRPr="005F37E8">
        <w:rPr>
          <w:b/>
          <w:sz w:val="20"/>
          <w:szCs w:val="20"/>
        </w:rPr>
        <w:fldChar w:fldCharType="begin"/>
      </w:r>
      <w:r w:rsidR="00C07F92" w:rsidRPr="005F37E8">
        <w:rPr>
          <w:b/>
          <w:sz w:val="20"/>
          <w:szCs w:val="20"/>
        </w:rPr>
        <w:instrText xml:space="preserve"> SEQ CHAPTER \h \r 1</w:instrText>
      </w:r>
      <w:r w:rsidRPr="005F37E8">
        <w:rPr>
          <w:b/>
          <w:sz w:val="20"/>
          <w:szCs w:val="20"/>
        </w:rPr>
        <w:fldChar w:fldCharType="end"/>
      </w:r>
      <w:r w:rsidR="00C07F92" w:rsidRPr="005F37E8">
        <w:rPr>
          <w:b/>
          <w:sz w:val="20"/>
          <w:szCs w:val="20"/>
        </w:rPr>
        <w:t>34473</w:t>
      </w:r>
      <w:r w:rsidR="00C07F92" w:rsidRPr="005F37E8">
        <w:rPr>
          <w:sz w:val="20"/>
          <w:szCs w:val="20"/>
        </w:rPr>
        <w:tab/>
      </w:r>
      <w:r w:rsidR="00C07F92" w:rsidRPr="005F37E8">
        <w:rPr>
          <w:b/>
          <w:i/>
          <w:sz w:val="20"/>
          <w:szCs w:val="20"/>
        </w:rPr>
        <w:t>Communications, Energy and Paperworkers Union of Canada, Local 30 v. Irving Pulp &amp; Paper, Limited</w:t>
      </w:r>
    </w:p>
    <w:p w:rsidR="00C07F92" w:rsidRPr="005F37E8" w:rsidRDefault="00C07F92" w:rsidP="00C07F92">
      <w:pPr>
        <w:rPr>
          <w:sz w:val="20"/>
          <w:szCs w:val="20"/>
        </w:rPr>
      </w:pPr>
    </w:p>
    <w:p w:rsidR="00C07F92" w:rsidRPr="005F37E8" w:rsidRDefault="00C07F92" w:rsidP="00C07F92">
      <w:pPr>
        <w:widowControl w:val="0"/>
        <w:jc w:val="both"/>
        <w:rPr>
          <w:sz w:val="20"/>
          <w:szCs w:val="20"/>
        </w:rPr>
      </w:pPr>
      <w:r w:rsidRPr="005F37E8">
        <w:rPr>
          <w:sz w:val="20"/>
          <w:szCs w:val="20"/>
        </w:rPr>
        <w:t xml:space="preserve">Labour relations </w:t>
      </w:r>
      <w:r w:rsidRPr="005F37E8">
        <w:rPr>
          <w:sz w:val="20"/>
          <w:szCs w:val="20"/>
        </w:rPr>
        <w:noBreakHyphen/>
        <w:t xml:space="preserve"> Arbitration </w:t>
      </w:r>
      <w:r w:rsidRPr="005F37E8">
        <w:rPr>
          <w:sz w:val="20"/>
          <w:szCs w:val="20"/>
        </w:rPr>
        <w:noBreakHyphen/>
        <w:t xml:space="preserve"> Collective agreements </w:t>
      </w:r>
      <w:r w:rsidRPr="005F37E8">
        <w:rPr>
          <w:sz w:val="20"/>
          <w:szCs w:val="20"/>
        </w:rPr>
        <w:noBreakHyphen/>
        <w:t xml:space="preserve"> Policy grievance </w:t>
      </w:r>
      <w:r w:rsidRPr="005F37E8">
        <w:rPr>
          <w:sz w:val="20"/>
          <w:szCs w:val="20"/>
        </w:rPr>
        <w:noBreakHyphen/>
        <w:t xml:space="preserve"> Mandatory random alcohol testing policy </w:t>
      </w:r>
      <w:r w:rsidRPr="005F37E8">
        <w:rPr>
          <w:sz w:val="20"/>
          <w:szCs w:val="20"/>
        </w:rPr>
        <w:noBreakHyphen/>
        <w:t xml:space="preserve"> </w:t>
      </w:r>
      <w:proofErr w:type="gramStart"/>
      <w:r w:rsidRPr="005F37E8">
        <w:rPr>
          <w:sz w:val="20"/>
          <w:szCs w:val="20"/>
        </w:rPr>
        <w:t>Inherently</w:t>
      </w:r>
      <w:proofErr w:type="gramEnd"/>
      <w:r w:rsidRPr="005F37E8">
        <w:rPr>
          <w:sz w:val="20"/>
          <w:szCs w:val="20"/>
        </w:rPr>
        <w:t xml:space="preserve"> dangerous workplace </w:t>
      </w:r>
      <w:r w:rsidRPr="005F37E8">
        <w:rPr>
          <w:sz w:val="20"/>
          <w:szCs w:val="20"/>
        </w:rPr>
        <w:noBreakHyphen/>
        <w:t xml:space="preserve"> Judicial review </w:t>
      </w:r>
      <w:r w:rsidRPr="005F37E8">
        <w:rPr>
          <w:sz w:val="20"/>
          <w:szCs w:val="20"/>
        </w:rPr>
        <w:noBreakHyphen/>
        <w:t xml:space="preserve"> Standard of review </w:t>
      </w:r>
      <w:r w:rsidRPr="005F37E8">
        <w:rPr>
          <w:sz w:val="20"/>
          <w:szCs w:val="20"/>
        </w:rPr>
        <w:noBreakHyphen/>
        <w:t xml:space="preserve"> Whether the Court of Appeal erred in engaging in a standard of review analysis </w:t>
      </w:r>
      <w:r w:rsidRPr="005F37E8">
        <w:rPr>
          <w:sz w:val="20"/>
          <w:szCs w:val="20"/>
        </w:rPr>
        <w:noBreakHyphen/>
        <w:t xml:space="preserve"> Whether the Court of Appeal erred in its standard of review analysis </w:t>
      </w:r>
      <w:r w:rsidRPr="005F37E8">
        <w:rPr>
          <w:sz w:val="20"/>
          <w:szCs w:val="20"/>
        </w:rPr>
        <w:noBreakHyphen/>
        <w:t xml:space="preserve"> Whether the award was reasonable. </w:t>
      </w:r>
    </w:p>
    <w:p w:rsidR="00C07F92" w:rsidRPr="005F37E8" w:rsidRDefault="00C07F92" w:rsidP="00C07F92">
      <w:pPr>
        <w:widowControl w:val="0"/>
        <w:ind w:left="1440" w:hanging="1440"/>
        <w:jc w:val="both"/>
        <w:rPr>
          <w:sz w:val="20"/>
          <w:szCs w:val="20"/>
        </w:rPr>
      </w:pPr>
    </w:p>
    <w:p w:rsidR="00C07F92" w:rsidRPr="005F37E8" w:rsidRDefault="00C07F92" w:rsidP="00C07F92">
      <w:pPr>
        <w:widowControl w:val="0"/>
        <w:jc w:val="both"/>
        <w:rPr>
          <w:sz w:val="20"/>
          <w:szCs w:val="20"/>
        </w:rPr>
      </w:pPr>
      <w:r w:rsidRPr="005F37E8">
        <w:rPr>
          <w:sz w:val="20"/>
          <w:szCs w:val="20"/>
        </w:rPr>
        <w:t xml:space="preserve">The respondent, Irving Pulp &amp; Paper, operates a kraft paper mill along the banks of the St. John River.  In 2006, Irving unilaterally adopted a workplace policy which included mandatory random alcohol testing, by breathalyser, for employees holding safety sensitive positions.  An Irving employee and member of the union occupying a safety sensitive position </w:t>
      </w:r>
      <w:proofErr w:type="gramStart"/>
      <w:r w:rsidRPr="005F37E8">
        <w:rPr>
          <w:sz w:val="20"/>
          <w:szCs w:val="20"/>
        </w:rPr>
        <w:t>was</w:t>
      </w:r>
      <w:proofErr w:type="gramEnd"/>
      <w:r w:rsidRPr="005F37E8">
        <w:rPr>
          <w:sz w:val="20"/>
          <w:szCs w:val="20"/>
        </w:rPr>
        <w:t xml:space="preserve"> randomly tested.  The test revealed a blood alcohol level of zero.  Nevertheless, the union filed a policy grievance challenging the reasonableness of the policy on the basis of test set out in </w:t>
      </w:r>
      <w:r w:rsidRPr="005F37E8">
        <w:rPr>
          <w:i/>
          <w:sz w:val="20"/>
          <w:szCs w:val="20"/>
        </w:rPr>
        <w:t>KVP Co. v. Lumber &amp; Sawmill Workers’ Union, Local 2537</w:t>
      </w:r>
      <w:r w:rsidRPr="005F37E8">
        <w:rPr>
          <w:sz w:val="20"/>
          <w:szCs w:val="20"/>
        </w:rPr>
        <w:t xml:space="preserve">, [1965] 16 L.A.C. 73, which was referred to an arbitration panel.  Applying a balancing of interests approach, the majority of the arbitration board determined that Irving failed to establish a need for the policy in terms of demonstrating the mill operations posed a sufficient risk of harm that outweighs an employee’s right to privacy.  Specifically, the majority concluded Irving had not adduced sufficient evidence of prior incidents of alcohol related impaired work performance to justify the policy’s adoption.  The majority concluded that, while the mill operation represented a </w:t>
      </w:r>
      <w:r w:rsidR="008A39B2" w:rsidRPr="0043679D">
        <w:rPr>
          <w:sz w:val="20"/>
          <w:szCs w:val="20"/>
        </w:rPr>
        <w:t>“dangerous work environment”</w:t>
      </w:r>
      <w:r w:rsidRPr="005F37E8">
        <w:rPr>
          <w:sz w:val="20"/>
          <w:szCs w:val="20"/>
        </w:rPr>
        <w:t>, the mill operation did not fall within the “ultra</w:t>
      </w:r>
      <w:r w:rsidRPr="005F37E8">
        <w:rPr>
          <w:sz w:val="20"/>
          <w:szCs w:val="20"/>
        </w:rPr>
        <w:noBreakHyphen/>
        <w:t>dangerous” category such as a nuclear plant or an airline, where employers had a lighter burden of justification.  Adopting a reasonableness standard of review, the Court of Queen’s Bench allowed the application for judicial review and quashed the arbitration decision, holding it was unreasonable to require evidence demonstrating a history of alcohol abuse in the workplace once the majority of the arbitration board had concluded the paper mill represented a dangerous workplace.  Although the Court of Appeal reversed the application judge on the issue of the standard of review and applied a correctness standard, the Court of Appeal dismissed the union’s appeal.</w:t>
      </w:r>
    </w:p>
    <w:p w:rsidR="00C07F92" w:rsidRPr="005F37E8" w:rsidRDefault="00C07F92" w:rsidP="00C07F92">
      <w:pPr>
        <w:widowControl w:val="0"/>
        <w:jc w:val="both"/>
        <w:rPr>
          <w:sz w:val="20"/>
          <w:szCs w:val="20"/>
        </w:rPr>
      </w:pPr>
    </w:p>
    <w:p w:rsidR="00C07F92" w:rsidRPr="005F37E8" w:rsidRDefault="00C07F92" w:rsidP="00C07F92">
      <w:pPr>
        <w:widowControl w:val="0"/>
        <w:jc w:val="both"/>
        <w:rPr>
          <w:sz w:val="20"/>
          <w:szCs w:val="20"/>
        </w:rPr>
      </w:pPr>
    </w:p>
    <w:p w:rsidR="00C07F92" w:rsidRPr="005F37E8" w:rsidRDefault="00C07F92" w:rsidP="00C07F92">
      <w:pPr>
        <w:widowControl w:val="0"/>
        <w:ind w:left="2880" w:hanging="2880"/>
        <w:jc w:val="both"/>
        <w:rPr>
          <w:sz w:val="20"/>
          <w:szCs w:val="20"/>
        </w:rPr>
      </w:pPr>
      <w:r w:rsidRPr="005F37E8">
        <w:rPr>
          <w:sz w:val="20"/>
          <w:szCs w:val="20"/>
        </w:rPr>
        <w:t>Origin of the case:</w:t>
      </w:r>
      <w:r w:rsidRPr="005F37E8">
        <w:rPr>
          <w:sz w:val="20"/>
          <w:szCs w:val="20"/>
        </w:rPr>
        <w:tab/>
        <w:t>New Brunswick</w:t>
      </w:r>
    </w:p>
    <w:p w:rsidR="00C07F92" w:rsidRPr="005F37E8" w:rsidRDefault="00C07F92" w:rsidP="00C07F92">
      <w:pPr>
        <w:widowControl w:val="0"/>
        <w:ind w:left="2880" w:hanging="2880"/>
        <w:jc w:val="both"/>
        <w:rPr>
          <w:sz w:val="20"/>
          <w:szCs w:val="20"/>
        </w:rPr>
      </w:pPr>
    </w:p>
    <w:p w:rsidR="00C07F92" w:rsidRPr="005F37E8" w:rsidRDefault="00C07F92" w:rsidP="00C07F92">
      <w:pPr>
        <w:widowControl w:val="0"/>
        <w:ind w:left="2880" w:hanging="2880"/>
        <w:jc w:val="both"/>
        <w:rPr>
          <w:sz w:val="20"/>
          <w:szCs w:val="20"/>
        </w:rPr>
      </w:pPr>
      <w:r w:rsidRPr="005F37E8">
        <w:rPr>
          <w:sz w:val="20"/>
          <w:szCs w:val="20"/>
        </w:rPr>
        <w:t>File No.:</w:t>
      </w:r>
      <w:r w:rsidRPr="005F37E8">
        <w:rPr>
          <w:sz w:val="20"/>
          <w:szCs w:val="20"/>
        </w:rPr>
        <w:tab/>
        <w:t>34473</w:t>
      </w:r>
    </w:p>
    <w:p w:rsidR="00C07F92" w:rsidRPr="005F37E8" w:rsidRDefault="00C07F92" w:rsidP="00C07F92">
      <w:pPr>
        <w:widowControl w:val="0"/>
        <w:ind w:left="2880" w:hanging="2880"/>
        <w:jc w:val="both"/>
        <w:rPr>
          <w:sz w:val="20"/>
          <w:szCs w:val="20"/>
        </w:rPr>
      </w:pPr>
    </w:p>
    <w:p w:rsidR="00C07F92" w:rsidRPr="005F37E8" w:rsidRDefault="00C07F92" w:rsidP="00C07F92">
      <w:pPr>
        <w:widowControl w:val="0"/>
        <w:ind w:left="2880" w:hanging="2880"/>
        <w:jc w:val="both"/>
        <w:rPr>
          <w:sz w:val="20"/>
          <w:szCs w:val="20"/>
        </w:rPr>
      </w:pPr>
      <w:r w:rsidRPr="005F37E8">
        <w:rPr>
          <w:sz w:val="20"/>
          <w:szCs w:val="20"/>
        </w:rPr>
        <w:t>Judgment of the Court of Appeal:</w:t>
      </w:r>
      <w:r w:rsidRPr="005F37E8">
        <w:rPr>
          <w:sz w:val="20"/>
          <w:szCs w:val="20"/>
        </w:rPr>
        <w:tab/>
        <w:t>July 7, 2011</w:t>
      </w:r>
    </w:p>
    <w:p w:rsidR="00C07F92" w:rsidRPr="005F37E8" w:rsidRDefault="00C07F92" w:rsidP="00C07F92">
      <w:pPr>
        <w:widowControl w:val="0"/>
        <w:ind w:left="2880" w:hanging="2880"/>
        <w:jc w:val="both"/>
        <w:rPr>
          <w:sz w:val="20"/>
          <w:szCs w:val="20"/>
        </w:rPr>
      </w:pPr>
    </w:p>
    <w:p w:rsidR="00C07F92" w:rsidRPr="005F37E8" w:rsidRDefault="00C07F92" w:rsidP="00C07F92">
      <w:pPr>
        <w:widowControl w:val="0"/>
        <w:ind w:left="2880" w:hanging="2880"/>
        <w:jc w:val="both"/>
        <w:rPr>
          <w:sz w:val="20"/>
          <w:szCs w:val="20"/>
        </w:rPr>
      </w:pPr>
      <w:r w:rsidRPr="005F37E8">
        <w:rPr>
          <w:sz w:val="20"/>
          <w:szCs w:val="20"/>
        </w:rPr>
        <w:t>Counsel:</w:t>
      </w:r>
      <w:r w:rsidRPr="005F37E8">
        <w:rPr>
          <w:sz w:val="20"/>
          <w:szCs w:val="20"/>
        </w:rPr>
        <w:tab/>
        <w:t>Joël Michaud, David Mombourquette and Daniel Leger for the appellant</w:t>
      </w:r>
    </w:p>
    <w:p w:rsidR="00C07F92" w:rsidRPr="005F37E8" w:rsidRDefault="00C07F92" w:rsidP="00C07F92">
      <w:pPr>
        <w:widowControl w:val="0"/>
        <w:ind w:left="2880" w:hanging="2880"/>
        <w:jc w:val="both"/>
        <w:rPr>
          <w:sz w:val="20"/>
          <w:szCs w:val="20"/>
        </w:rPr>
      </w:pPr>
      <w:r w:rsidRPr="005F37E8">
        <w:rPr>
          <w:sz w:val="20"/>
          <w:szCs w:val="20"/>
        </w:rPr>
        <w:tab/>
        <w:t>Neil Finkelstein, Steven Mason, Brandon Kain and Byron Shaw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5"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rsidP="000B3C9A">
      <w:pPr>
        <w:tabs>
          <w:tab w:val="left" w:pos="-1440"/>
          <w:tab w:val="left" w:pos="-720"/>
        </w:tabs>
        <w:jc w:val="both"/>
        <w:rPr>
          <w:sz w:val="20"/>
          <w:szCs w:val="20"/>
          <w:lang w:val="fr-CA"/>
        </w:rPr>
      </w:pPr>
    </w:p>
    <w:p w:rsidR="00A818DB" w:rsidRDefault="00A818DB">
      <w:pPr>
        <w:rPr>
          <w:sz w:val="20"/>
          <w:szCs w:val="20"/>
          <w:lang w:val="fr-CA"/>
        </w:rPr>
      </w:pPr>
      <w:r>
        <w:rPr>
          <w:sz w:val="20"/>
          <w:szCs w:val="20"/>
          <w:lang w:val="fr-CA"/>
        </w:rPr>
        <w:br w:type="page"/>
      </w:r>
    </w:p>
    <w:p w:rsidR="00083BE3" w:rsidRPr="0086260D" w:rsidRDefault="00DB239D" w:rsidP="00083BE3">
      <w:pPr>
        <w:ind w:left="720" w:hanging="720"/>
        <w:rPr>
          <w:sz w:val="20"/>
          <w:szCs w:val="20"/>
          <w:lang w:val="fr-CA"/>
        </w:rPr>
      </w:pPr>
      <w:r w:rsidRPr="0086260D">
        <w:rPr>
          <w:b/>
          <w:sz w:val="20"/>
          <w:szCs w:val="20"/>
          <w:lang w:val="fr-CA"/>
        </w:rPr>
        <w:fldChar w:fldCharType="begin"/>
      </w:r>
      <w:r w:rsidR="00083BE3" w:rsidRPr="0086260D">
        <w:rPr>
          <w:b/>
          <w:sz w:val="20"/>
          <w:szCs w:val="20"/>
          <w:lang w:val="fr-CA"/>
        </w:rPr>
        <w:instrText xml:space="preserve"> SEQ CHAPTER \h \r 1</w:instrText>
      </w:r>
      <w:r w:rsidRPr="0086260D">
        <w:rPr>
          <w:b/>
          <w:sz w:val="20"/>
          <w:szCs w:val="20"/>
          <w:lang w:val="fr-CA"/>
        </w:rPr>
        <w:fldChar w:fldCharType="end"/>
      </w:r>
      <w:r w:rsidR="00083BE3" w:rsidRPr="0086260D">
        <w:rPr>
          <w:b/>
          <w:sz w:val="20"/>
          <w:szCs w:val="20"/>
          <w:lang w:val="fr-CA"/>
        </w:rPr>
        <w:t>34473</w:t>
      </w:r>
      <w:r w:rsidR="00083BE3" w:rsidRPr="0086260D">
        <w:rPr>
          <w:sz w:val="20"/>
          <w:szCs w:val="20"/>
          <w:lang w:val="fr-CA"/>
        </w:rPr>
        <w:tab/>
      </w:r>
      <w:r w:rsidR="00083BE3" w:rsidRPr="0086260D">
        <w:rPr>
          <w:b/>
          <w:i/>
          <w:sz w:val="20"/>
          <w:szCs w:val="20"/>
          <w:lang w:val="fr-CA"/>
        </w:rPr>
        <w:t>Syndicat canadien des communications, de l’énergie et du papier, section locale 30 c. Les Pâtes et Papier Irving, Limitée</w:t>
      </w:r>
    </w:p>
    <w:p w:rsidR="00083BE3" w:rsidRPr="0086260D" w:rsidRDefault="00083BE3" w:rsidP="00083BE3">
      <w:pPr>
        <w:rPr>
          <w:sz w:val="20"/>
          <w:szCs w:val="20"/>
          <w:lang w:val="fr-CA"/>
        </w:rPr>
      </w:pPr>
    </w:p>
    <w:p w:rsidR="00083BE3" w:rsidRPr="0086260D" w:rsidRDefault="00083BE3" w:rsidP="00083BE3">
      <w:pPr>
        <w:widowControl w:val="0"/>
        <w:jc w:val="both"/>
        <w:rPr>
          <w:sz w:val="20"/>
          <w:szCs w:val="20"/>
          <w:lang w:val="fr-CA"/>
        </w:rPr>
      </w:pPr>
      <w:r w:rsidRPr="0086260D">
        <w:rPr>
          <w:sz w:val="20"/>
          <w:szCs w:val="20"/>
          <w:lang w:val="fr-CA"/>
        </w:rPr>
        <w:t xml:space="preserve">Relations du travail </w:t>
      </w:r>
      <w:r w:rsidRPr="0086260D">
        <w:rPr>
          <w:sz w:val="20"/>
          <w:szCs w:val="20"/>
          <w:lang w:val="fr-CA"/>
        </w:rPr>
        <w:noBreakHyphen/>
        <w:t xml:space="preserve"> Arbitrage </w:t>
      </w:r>
      <w:r w:rsidRPr="0086260D">
        <w:rPr>
          <w:sz w:val="20"/>
          <w:szCs w:val="20"/>
          <w:lang w:val="fr-CA"/>
        </w:rPr>
        <w:noBreakHyphen/>
        <w:t xml:space="preserve"> Convention collective </w:t>
      </w:r>
      <w:r w:rsidRPr="0086260D">
        <w:rPr>
          <w:sz w:val="20"/>
          <w:szCs w:val="20"/>
          <w:lang w:val="fr-CA"/>
        </w:rPr>
        <w:noBreakHyphen/>
        <w:t xml:space="preserve"> Grief de principe </w:t>
      </w:r>
      <w:r w:rsidRPr="0086260D">
        <w:rPr>
          <w:sz w:val="20"/>
          <w:szCs w:val="20"/>
          <w:lang w:val="fr-CA"/>
        </w:rPr>
        <w:noBreakHyphen/>
        <w:t xml:space="preserve"> Politique de tests aléatoires de dépistage d’alcool </w:t>
      </w:r>
      <w:r w:rsidRPr="0086260D">
        <w:rPr>
          <w:sz w:val="20"/>
          <w:szCs w:val="20"/>
          <w:lang w:val="fr-CA"/>
        </w:rPr>
        <w:noBreakHyphen/>
        <w:t xml:space="preserve"> Lieu de travail dangereux par nature </w:t>
      </w:r>
      <w:r w:rsidRPr="0086260D">
        <w:rPr>
          <w:sz w:val="20"/>
          <w:szCs w:val="20"/>
          <w:lang w:val="fr-CA"/>
        </w:rPr>
        <w:noBreakHyphen/>
        <w:t xml:space="preserve"> Contrôle judiciaire </w:t>
      </w:r>
      <w:r w:rsidRPr="0086260D">
        <w:rPr>
          <w:sz w:val="20"/>
          <w:szCs w:val="20"/>
          <w:lang w:val="fr-CA"/>
        </w:rPr>
        <w:noBreakHyphen/>
        <w:t xml:space="preserve"> Norme de contrôle </w:t>
      </w:r>
      <w:r w:rsidRPr="0086260D">
        <w:rPr>
          <w:sz w:val="20"/>
          <w:szCs w:val="20"/>
          <w:lang w:val="fr-CA"/>
        </w:rPr>
        <w:noBreakHyphen/>
        <w:t xml:space="preserve"> La Cour d’appel a</w:t>
      </w:r>
      <w:r w:rsidRPr="0086260D">
        <w:rPr>
          <w:sz w:val="20"/>
          <w:szCs w:val="20"/>
          <w:lang w:val="fr-CA"/>
        </w:rPr>
        <w:noBreakHyphen/>
        <w:t>t</w:t>
      </w:r>
      <w:r w:rsidRPr="0086260D">
        <w:rPr>
          <w:sz w:val="20"/>
          <w:szCs w:val="20"/>
          <w:lang w:val="fr-CA"/>
        </w:rPr>
        <w:noBreakHyphen/>
        <w:t xml:space="preserve">elle eu tort de faire une analyse relative à la norme de contrôle? </w:t>
      </w:r>
      <w:r w:rsidRPr="0086260D">
        <w:rPr>
          <w:sz w:val="20"/>
          <w:szCs w:val="20"/>
          <w:lang w:val="fr-CA"/>
        </w:rPr>
        <w:noBreakHyphen/>
        <w:t xml:space="preserve"> La Cour d’appel a</w:t>
      </w:r>
      <w:r w:rsidRPr="0086260D">
        <w:rPr>
          <w:sz w:val="20"/>
          <w:szCs w:val="20"/>
          <w:lang w:val="fr-CA"/>
        </w:rPr>
        <w:noBreakHyphen/>
        <w:t>t</w:t>
      </w:r>
      <w:r w:rsidRPr="0086260D">
        <w:rPr>
          <w:sz w:val="20"/>
          <w:szCs w:val="20"/>
          <w:lang w:val="fr-CA"/>
        </w:rPr>
        <w:noBreakHyphen/>
        <w:t xml:space="preserve">elle commis une erreur dans son analyse relative à la norme de contrôle? </w:t>
      </w:r>
      <w:r w:rsidRPr="0086260D">
        <w:rPr>
          <w:sz w:val="20"/>
          <w:szCs w:val="20"/>
          <w:lang w:val="fr-CA"/>
        </w:rPr>
        <w:noBreakHyphen/>
        <w:t xml:space="preserve"> La sentence était</w:t>
      </w:r>
      <w:r w:rsidRPr="0086260D">
        <w:rPr>
          <w:sz w:val="20"/>
          <w:szCs w:val="20"/>
          <w:lang w:val="fr-CA"/>
        </w:rPr>
        <w:noBreakHyphen/>
        <w:t xml:space="preserve">elle raisonnable? </w:t>
      </w:r>
    </w:p>
    <w:p w:rsidR="00083BE3" w:rsidRPr="0086260D" w:rsidRDefault="00083BE3" w:rsidP="00083BE3">
      <w:pPr>
        <w:widowControl w:val="0"/>
        <w:ind w:left="1440" w:hanging="1440"/>
        <w:jc w:val="both"/>
        <w:rPr>
          <w:sz w:val="20"/>
          <w:szCs w:val="20"/>
          <w:lang w:val="fr-CA"/>
        </w:rPr>
      </w:pPr>
    </w:p>
    <w:p w:rsidR="00083BE3" w:rsidRPr="0086260D" w:rsidRDefault="00083BE3" w:rsidP="00083BE3">
      <w:pPr>
        <w:widowControl w:val="0"/>
        <w:jc w:val="both"/>
        <w:rPr>
          <w:sz w:val="20"/>
          <w:szCs w:val="20"/>
          <w:lang w:val="fr-CA"/>
        </w:rPr>
      </w:pPr>
      <w:r w:rsidRPr="0086260D">
        <w:rPr>
          <w:sz w:val="20"/>
          <w:szCs w:val="20"/>
          <w:lang w:val="fr-CA"/>
        </w:rPr>
        <w:t>L’intimée, Les Pâtes et Papier Irving, exploite une usine de papier Kraft sur les rives de la rivière St</w:t>
      </w:r>
      <w:r w:rsidRPr="0086260D">
        <w:rPr>
          <w:sz w:val="20"/>
          <w:szCs w:val="20"/>
          <w:lang w:val="fr-CA"/>
        </w:rPr>
        <w:noBreakHyphen/>
        <w:t xml:space="preserve">Jean.  En 2006, Irving a unilatéralement adopté une politique applicable en milieu de travail qui obligeait notamment les employés occupant un poste critique pour la sécurité à se soumettre à des tests aléatoires de dépistage d’alcool administrés au moyen d’un alcootest.  Un employé d’Irving et membre du syndicat qui occupait un poste critique pour la sécurité a aléatoirement été soumis à un test.  Le test a révélé une alcoolémie de zéro.  Néanmoins, le syndicat a déposé un grief de principe aux fins de contester le caractère raisonnable de la politique suivant le critère énoncé dans l’affaire </w:t>
      </w:r>
      <w:r w:rsidRPr="0086260D">
        <w:rPr>
          <w:i/>
          <w:sz w:val="20"/>
          <w:szCs w:val="20"/>
          <w:lang w:val="fr-CA"/>
        </w:rPr>
        <w:t>KVP Co. c. Lumber &amp; Sawmill Workers’ Union, Local 2537</w:t>
      </w:r>
      <w:r w:rsidRPr="0086260D">
        <w:rPr>
          <w:sz w:val="20"/>
          <w:szCs w:val="20"/>
          <w:lang w:val="fr-CA"/>
        </w:rPr>
        <w:t>, [1965] 16 L.A.C. 73, qui a été renvoyée à un tribunal d’arbitrage.  Le conseil d’arbitrage a procédé à une pondération des intérêts en cause et a jugé à la majorité qu’Irving n’avait pas établi que la politique en question était nécessaire, savoir qu’elle n’avait pas démontré que les activités de l’usine comportaient un risque de préjudice suffisant qui l’emportait sur le droit de l’employé au respect de sa vie privée.  Plus précisément, la majorité a conclu qu’Irving n’avait pas produit d’éléments de preuve suffisants aux fins d’établir l’existence d’incidents antérieurs au cours desquels l’exécution des tâches avait été compromise par l’alcool et de justifier l’adoption de la politique en question.  La majorité a conclu que bien que l’usine ait constitué « un milieu de travail dangereux », elle n’appartenait pas à la catégorie des activités ultra</w:t>
      </w:r>
      <w:r w:rsidRPr="0086260D">
        <w:rPr>
          <w:sz w:val="20"/>
          <w:szCs w:val="20"/>
          <w:lang w:val="fr-CA"/>
        </w:rPr>
        <w:noBreakHyphen/>
        <w:t>dangereuses comme l’exploitation d’une centrale nucléaire ou d’une ligne aérienne, où les employeurs portaient un fardeau de justification plus léger.  Adoptant la norme de contrôle du caractère raisonnable, la Cour du Banc de la Reine a accueilli la demande de contrôle judiciaire et a annulé la sentence arbitrale, statuant qu’il n’était pas raisonnable d’exiger des éléments de preuve établissant des antécédents de problèmes d’alcool en milieu travail dès lors que la majorité du conseil d’arbitrage avait conclu que l’usine de papier constituait un lieu de travail dangereux.  Bien que la Cour d’appel ait infirmé la décision du juge de première instance sur la question de la norme de contrôle et ait appliqué la norme de la décision correcte, la Cour d’appel a rejeté l’appel du syndicat.</w:t>
      </w:r>
    </w:p>
    <w:p w:rsidR="00083BE3" w:rsidRPr="0086260D" w:rsidRDefault="00083BE3" w:rsidP="00083BE3">
      <w:pPr>
        <w:widowControl w:val="0"/>
        <w:jc w:val="both"/>
        <w:rPr>
          <w:sz w:val="20"/>
          <w:szCs w:val="20"/>
          <w:lang w:val="fr-CA"/>
        </w:rPr>
      </w:pPr>
    </w:p>
    <w:p w:rsidR="00083BE3" w:rsidRPr="0086260D" w:rsidRDefault="00083BE3" w:rsidP="00083BE3">
      <w:pPr>
        <w:widowControl w:val="0"/>
        <w:jc w:val="both"/>
        <w:rPr>
          <w:sz w:val="20"/>
          <w:szCs w:val="20"/>
          <w:lang w:val="fr-CA"/>
        </w:rPr>
      </w:pPr>
    </w:p>
    <w:p w:rsidR="00083BE3" w:rsidRPr="0086260D" w:rsidRDefault="00083BE3" w:rsidP="00083BE3">
      <w:pPr>
        <w:widowControl w:val="0"/>
        <w:ind w:left="2880" w:hanging="2880"/>
        <w:jc w:val="both"/>
        <w:rPr>
          <w:sz w:val="20"/>
          <w:szCs w:val="20"/>
          <w:lang w:val="fr-CA"/>
        </w:rPr>
      </w:pPr>
      <w:r w:rsidRPr="0086260D">
        <w:rPr>
          <w:sz w:val="20"/>
          <w:szCs w:val="20"/>
          <w:lang w:val="fr-CA"/>
        </w:rPr>
        <w:t>Origine :</w:t>
      </w:r>
      <w:r w:rsidRPr="0086260D">
        <w:rPr>
          <w:sz w:val="20"/>
          <w:szCs w:val="20"/>
          <w:lang w:val="fr-CA"/>
        </w:rPr>
        <w:tab/>
        <w:t>Nouveau</w:t>
      </w:r>
      <w:r w:rsidRPr="0086260D">
        <w:rPr>
          <w:sz w:val="20"/>
          <w:szCs w:val="20"/>
          <w:lang w:val="fr-CA"/>
        </w:rPr>
        <w:noBreakHyphen/>
        <w:t>Brunswick</w:t>
      </w:r>
    </w:p>
    <w:p w:rsidR="00083BE3" w:rsidRPr="0086260D" w:rsidRDefault="00083BE3" w:rsidP="00083BE3">
      <w:pPr>
        <w:widowControl w:val="0"/>
        <w:ind w:left="2880" w:hanging="2880"/>
        <w:jc w:val="both"/>
        <w:rPr>
          <w:sz w:val="20"/>
          <w:szCs w:val="20"/>
          <w:lang w:val="fr-CA"/>
        </w:rPr>
      </w:pPr>
    </w:p>
    <w:p w:rsidR="00083BE3" w:rsidRPr="0086260D" w:rsidRDefault="00083BE3" w:rsidP="00083BE3">
      <w:pPr>
        <w:widowControl w:val="0"/>
        <w:ind w:left="2880" w:hanging="2880"/>
        <w:jc w:val="both"/>
        <w:rPr>
          <w:sz w:val="20"/>
          <w:szCs w:val="20"/>
          <w:lang w:val="fr-CA"/>
        </w:rPr>
      </w:pPr>
      <w:r w:rsidRPr="0086260D">
        <w:rPr>
          <w:sz w:val="20"/>
          <w:szCs w:val="20"/>
          <w:lang w:val="fr-CA"/>
        </w:rPr>
        <w:t>N</w:t>
      </w:r>
      <w:r w:rsidRPr="0086260D">
        <w:rPr>
          <w:sz w:val="20"/>
          <w:szCs w:val="20"/>
          <w:vertAlign w:val="superscript"/>
          <w:lang w:val="fr-CA"/>
        </w:rPr>
        <w:t>o</w:t>
      </w:r>
      <w:r w:rsidRPr="0086260D">
        <w:rPr>
          <w:sz w:val="20"/>
          <w:szCs w:val="20"/>
          <w:lang w:val="fr-CA"/>
        </w:rPr>
        <w:t xml:space="preserve"> du greffe :</w:t>
      </w:r>
      <w:r w:rsidRPr="0086260D">
        <w:rPr>
          <w:sz w:val="20"/>
          <w:szCs w:val="20"/>
          <w:lang w:val="fr-CA"/>
        </w:rPr>
        <w:tab/>
        <w:t>34473</w:t>
      </w:r>
    </w:p>
    <w:p w:rsidR="00083BE3" w:rsidRPr="0086260D" w:rsidRDefault="00083BE3" w:rsidP="00083BE3">
      <w:pPr>
        <w:widowControl w:val="0"/>
        <w:ind w:left="2880" w:hanging="2880"/>
        <w:jc w:val="both"/>
        <w:rPr>
          <w:sz w:val="20"/>
          <w:szCs w:val="20"/>
          <w:lang w:val="fr-CA"/>
        </w:rPr>
      </w:pPr>
    </w:p>
    <w:p w:rsidR="00083BE3" w:rsidRPr="0086260D" w:rsidRDefault="00083BE3" w:rsidP="00083BE3">
      <w:pPr>
        <w:widowControl w:val="0"/>
        <w:ind w:left="2880" w:hanging="2880"/>
        <w:jc w:val="both"/>
        <w:rPr>
          <w:sz w:val="20"/>
          <w:szCs w:val="20"/>
          <w:lang w:val="fr-CA"/>
        </w:rPr>
      </w:pPr>
      <w:r w:rsidRPr="0086260D">
        <w:rPr>
          <w:sz w:val="20"/>
          <w:szCs w:val="20"/>
          <w:lang w:val="fr-CA"/>
        </w:rPr>
        <w:t>Arrêt de la Cour d’appel :</w:t>
      </w:r>
      <w:r w:rsidRPr="0086260D">
        <w:rPr>
          <w:sz w:val="20"/>
          <w:szCs w:val="20"/>
          <w:lang w:val="fr-CA"/>
        </w:rPr>
        <w:tab/>
        <w:t>le 7 juillet 2011</w:t>
      </w:r>
    </w:p>
    <w:p w:rsidR="00083BE3" w:rsidRPr="0086260D" w:rsidRDefault="00083BE3" w:rsidP="00083BE3">
      <w:pPr>
        <w:widowControl w:val="0"/>
        <w:ind w:left="2880" w:hanging="2880"/>
        <w:jc w:val="both"/>
        <w:rPr>
          <w:sz w:val="20"/>
          <w:szCs w:val="20"/>
          <w:lang w:val="fr-CA"/>
        </w:rPr>
      </w:pPr>
    </w:p>
    <w:p w:rsidR="00083BE3" w:rsidRPr="0086260D" w:rsidRDefault="00083BE3" w:rsidP="00083BE3">
      <w:pPr>
        <w:widowControl w:val="0"/>
        <w:ind w:left="2880" w:hanging="2880"/>
        <w:jc w:val="both"/>
        <w:rPr>
          <w:sz w:val="20"/>
          <w:szCs w:val="20"/>
          <w:lang w:val="fr-CA"/>
        </w:rPr>
      </w:pPr>
      <w:r w:rsidRPr="0086260D">
        <w:rPr>
          <w:sz w:val="20"/>
          <w:szCs w:val="20"/>
          <w:lang w:val="fr-CA"/>
        </w:rPr>
        <w:t>Avocats :</w:t>
      </w:r>
      <w:r w:rsidRPr="0086260D">
        <w:rPr>
          <w:sz w:val="20"/>
          <w:szCs w:val="20"/>
          <w:lang w:val="fr-CA"/>
        </w:rPr>
        <w:tab/>
        <w:t>Joël Michaud, David Mombourquette et Daniel Leger pour l’appelant</w:t>
      </w:r>
    </w:p>
    <w:p w:rsidR="00083BE3" w:rsidRPr="0086260D" w:rsidRDefault="00083BE3" w:rsidP="00083BE3">
      <w:pPr>
        <w:widowControl w:val="0"/>
        <w:ind w:left="2880" w:hanging="2880"/>
        <w:jc w:val="both"/>
        <w:rPr>
          <w:sz w:val="20"/>
          <w:szCs w:val="20"/>
          <w:lang w:val="fr-CA"/>
        </w:rPr>
      </w:pPr>
      <w:r w:rsidRPr="0086260D">
        <w:rPr>
          <w:sz w:val="20"/>
          <w:szCs w:val="20"/>
          <w:lang w:val="fr-CA"/>
        </w:rPr>
        <w:tab/>
        <w:t>Neil Finkelstein, Steven Mason, Brandon Kain et Byron Shaw pour l’intimée</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6"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rsidP="000B3C9A">
      <w:pPr>
        <w:tabs>
          <w:tab w:val="left" w:pos="-1440"/>
          <w:tab w:val="left" w:pos="-720"/>
        </w:tabs>
        <w:jc w:val="both"/>
        <w:rPr>
          <w:sz w:val="20"/>
          <w:szCs w:val="20"/>
          <w:lang w:val="fr-CA"/>
        </w:rPr>
      </w:pPr>
    </w:p>
    <w:p w:rsidR="00A818DB" w:rsidRDefault="00A818DB">
      <w:pPr>
        <w:rPr>
          <w:sz w:val="20"/>
          <w:szCs w:val="20"/>
          <w:lang w:val="fr-CA"/>
        </w:rPr>
      </w:pPr>
      <w:r>
        <w:rPr>
          <w:sz w:val="20"/>
          <w:szCs w:val="20"/>
          <w:lang w:val="fr-CA"/>
        </w:rPr>
        <w:br w:type="page"/>
      </w:r>
    </w:p>
    <w:p w:rsidR="000C74D8" w:rsidRPr="00FB7E1C" w:rsidRDefault="00DB239D" w:rsidP="000C74D8">
      <w:pPr>
        <w:widowControl w:val="0"/>
        <w:ind w:left="720" w:hanging="720"/>
        <w:jc w:val="both"/>
        <w:rPr>
          <w:b/>
          <w:i/>
          <w:sz w:val="20"/>
          <w:szCs w:val="20"/>
        </w:rPr>
      </w:pPr>
      <w:r w:rsidRPr="00FB7E1C">
        <w:rPr>
          <w:b/>
          <w:sz w:val="20"/>
          <w:szCs w:val="20"/>
        </w:rPr>
        <w:fldChar w:fldCharType="begin"/>
      </w:r>
      <w:r w:rsidR="000C74D8" w:rsidRPr="00FB7E1C">
        <w:rPr>
          <w:b/>
          <w:sz w:val="20"/>
          <w:szCs w:val="20"/>
        </w:rPr>
        <w:instrText xml:space="preserve"> SEQ CHAPTER \h \r 1</w:instrText>
      </w:r>
      <w:r w:rsidRPr="00FB7E1C">
        <w:rPr>
          <w:b/>
          <w:sz w:val="20"/>
          <w:szCs w:val="20"/>
        </w:rPr>
        <w:fldChar w:fldCharType="end"/>
      </w:r>
      <w:r w:rsidR="000C74D8" w:rsidRPr="00FB7E1C">
        <w:rPr>
          <w:b/>
          <w:sz w:val="20"/>
          <w:szCs w:val="20"/>
        </w:rPr>
        <w:t>34362</w:t>
      </w:r>
      <w:r w:rsidR="000C74D8" w:rsidRPr="00FB7E1C">
        <w:rPr>
          <w:sz w:val="20"/>
          <w:szCs w:val="20"/>
        </w:rPr>
        <w:tab/>
      </w:r>
      <w:r w:rsidR="000C74D8" w:rsidRPr="00FB7E1C">
        <w:rPr>
          <w:b/>
          <w:i/>
          <w:sz w:val="20"/>
          <w:szCs w:val="20"/>
        </w:rPr>
        <w:t>Brian Cuthbertson and Gordon Rubenfeld v. Hassan Rasouli by his Litigation Guardian and Substitute Decision Maker, Parichehr Salasel</w:t>
      </w:r>
    </w:p>
    <w:p w:rsidR="000C74D8" w:rsidRPr="00FB7E1C" w:rsidRDefault="000C74D8" w:rsidP="000C74D8">
      <w:pPr>
        <w:widowControl w:val="0"/>
        <w:jc w:val="both"/>
        <w:rPr>
          <w:sz w:val="20"/>
          <w:szCs w:val="20"/>
        </w:rPr>
      </w:pPr>
    </w:p>
    <w:p w:rsidR="000C74D8" w:rsidRPr="00FB7E1C" w:rsidRDefault="000C74D8" w:rsidP="000C74D8">
      <w:pPr>
        <w:widowControl w:val="0"/>
        <w:jc w:val="both"/>
        <w:rPr>
          <w:sz w:val="20"/>
          <w:szCs w:val="20"/>
        </w:rPr>
      </w:pPr>
      <w:r w:rsidRPr="00FB7E1C">
        <w:rPr>
          <w:sz w:val="20"/>
          <w:szCs w:val="20"/>
        </w:rPr>
        <w:t xml:space="preserve">Legislation </w:t>
      </w:r>
      <w:r w:rsidRPr="00FB7E1C">
        <w:rPr>
          <w:sz w:val="20"/>
          <w:szCs w:val="20"/>
        </w:rPr>
        <w:noBreakHyphen/>
        <w:t xml:space="preserve"> Interpretation </w:t>
      </w:r>
      <w:r w:rsidRPr="00FB7E1C">
        <w:rPr>
          <w:sz w:val="20"/>
          <w:szCs w:val="20"/>
        </w:rPr>
        <w:noBreakHyphen/>
        <w:t xml:space="preserve"> Health Care </w:t>
      </w:r>
      <w:r w:rsidRPr="00FB7E1C">
        <w:rPr>
          <w:sz w:val="20"/>
          <w:szCs w:val="20"/>
        </w:rPr>
        <w:noBreakHyphen/>
        <w:t xml:space="preserve"> Withdrawal of life</w:t>
      </w:r>
      <w:r w:rsidRPr="00FB7E1C">
        <w:rPr>
          <w:sz w:val="20"/>
          <w:szCs w:val="20"/>
        </w:rPr>
        <w:noBreakHyphen/>
        <w:t xml:space="preserve">sustaining medical treatment </w:t>
      </w:r>
      <w:r w:rsidRPr="00FB7E1C">
        <w:rPr>
          <w:sz w:val="20"/>
          <w:szCs w:val="20"/>
        </w:rPr>
        <w:noBreakHyphen/>
        <w:t xml:space="preserve"> Whether patient consent is required to withhold or withdraw non</w:t>
      </w:r>
      <w:r w:rsidRPr="00FB7E1C">
        <w:rPr>
          <w:sz w:val="20"/>
          <w:szCs w:val="20"/>
        </w:rPr>
        <w:noBreakHyphen/>
        <w:t xml:space="preserve">indicated treatment </w:t>
      </w:r>
      <w:r w:rsidRPr="00FB7E1C">
        <w:rPr>
          <w:sz w:val="20"/>
          <w:szCs w:val="20"/>
        </w:rPr>
        <w:noBreakHyphen/>
        <w:t xml:space="preserve"> Whether consent is required to withdraw non</w:t>
      </w:r>
      <w:r w:rsidRPr="00FB7E1C">
        <w:rPr>
          <w:sz w:val="20"/>
          <w:szCs w:val="20"/>
        </w:rPr>
        <w:noBreakHyphen/>
        <w:t>indicated treatment if other positive treatment is to be administered upon the withdrawal of the non</w:t>
      </w:r>
      <w:r w:rsidRPr="00FB7E1C">
        <w:rPr>
          <w:sz w:val="20"/>
          <w:szCs w:val="20"/>
        </w:rPr>
        <w:noBreakHyphen/>
        <w:t xml:space="preserve">indicated treatment </w:t>
      </w:r>
      <w:r w:rsidRPr="00FB7E1C">
        <w:rPr>
          <w:sz w:val="20"/>
          <w:szCs w:val="20"/>
        </w:rPr>
        <w:noBreakHyphen/>
        <w:t xml:space="preserve"> Where there is a category of life</w:t>
      </w:r>
      <w:r w:rsidRPr="00FB7E1C">
        <w:rPr>
          <w:sz w:val="20"/>
          <w:szCs w:val="20"/>
        </w:rPr>
        <w:noBreakHyphen/>
        <w:t>sustaining medical treatments that cannot be withdrawn or withheld without patient or substitute</w:t>
      </w:r>
      <w:r w:rsidRPr="00FB7E1C">
        <w:rPr>
          <w:sz w:val="20"/>
          <w:szCs w:val="20"/>
        </w:rPr>
        <w:noBreakHyphen/>
        <w:t>decision</w:t>
      </w:r>
      <w:r w:rsidRPr="00FB7E1C">
        <w:rPr>
          <w:sz w:val="20"/>
          <w:szCs w:val="20"/>
        </w:rPr>
        <w:noBreakHyphen/>
        <w:t>maker consent, even where the treatment is non</w:t>
      </w:r>
      <w:r w:rsidRPr="00FB7E1C">
        <w:rPr>
          <w:sz w:val="20"/>
          <w:szCs w:val="20"/>
        </w:rPr>
        <w:noBreakHyphen/>
        <w:t xml:space="preserve">indicated </w:t>
      </w:r>
      <w:r w:rsidRPr="00FB7E1C">
        <w:rPr>
          <w:sz w:val="20"/>
          <w:szCs w:val="20"/>
        </w:rPr>
        <w:noBreakHyphen/>
        <w:t xml:space="preserve"> In the event a physician concludes that a current treatment has become a non</w:t>
      </w:r>
      <w:r w:rsidRPr="00FB7E1C">
        <w:rPr>
          <w:sz w:val="20"/>
          <w:szCs w:val="20"/>
        </w:rPr>
        <w:noBreakHyphen/>
        <w:t>indicated treatment, despite prolonging life, what steps is a physician obliged to take before withdrawing the non</w:t>
      </w:r>
      <w:r w:rsidRPr="00FB7E1C">
        <w:rPr>
          <w:sz w:val="20"/>
          <w:szCs w:val="20"/>
        </w:rPr>
        <w:noBreakHyphen/>
        <w:t>indicated treatment?</w:t>
      </w:r>
    </w:p>
    <w:p w:rsidR="000C74D8" w:rsidRPr="00FB7E1C" w:rsidRDefault="000C74D8" w:rsidP="000C74D8">
      <w:pPr>
        <w:widowControl w:val="0"/>
        <w:jc w:val="both"/>
        <w:rPr>
          <w:sz w:val="20"/>
          <w:szCs w:val="20"/>
        </w:rPr>
      </w:pPr>
    </w:p>
    <w:p w:rsidR="000C74D8" w:rsidRPr="00FB7E1C" w:rsidRDefault="000C74D8" w:rsidP="000C74D8">
      <w:pPr>
        <w:widowControl w:val="0"/>
        <w:jc w:val="both"/>
        <w:rPr>
          <w:sz w:val="20"/>
          <w:szCs w:val="20"/>
        </w:rPr>
      </w:pPr>
      <w:r w:rsidRPr="00FB7E1C">
        <w:rPr>
          <w:sz w:val="20"/>
          <w:szCs w:val="20"/>
        </w:rPr>
        <w:t>The respondent is in a coma.  The appellants, who are his physicians, seek to withdraw life</w:t>
      </w:r>
      <w:r w:rsidRPr="00FB7E1C">
        <w:rPr>
          <w:sz w:val="20"/>
          <w:szCs w:val="20"/>
        </w:rPr>
        <w:noBreakHyphen/>
        <w:t>sustaining treatment and to administer palliative care.  The respondent’s substitute decision</w:t>
      </w:r>
      <w:r w:rsidRPr="00FB7E1C">
        <w:rPr>
          <w:sz w:val="20"/>
          <w:szCs w:val="20"/>
        </w:rPr>
        <w:noBreakHyphen/>
        <w:t xml:space="preserve">maker under the </w:t>
      </w:r>
      <w:r w:rsidRPr="00FB7E1C">
        <w:rPr>
          <w:i/>
          <w:sz w:val="20"/>
          <w:szCs w:val="20"/>
        </w:rPr>
        <w:t>Health Care Consent Act</w:t>
      </w:r>
      <w:r w:rsidRPr="00FB7E1C">
        <w:rPr>
          <w:sz w:val="20"/>
          <w:szCs w:val="20"/>
        </w:rPr>
        <w:t>, 1996, S.O. 1996, c. 2, refuses to consent to withdrawing life</w:t>
      </w:r>
      <w:r w:rsidRPr="00FB7E1C">
        <w:rPr>
          <w:sz w:val="20"/>
          <w:szCs w:val="20"/>
        </w:rPr>
        <w:noBreakHyphen/>
        <w:t>sustaining treatment.  The appellants acknowledge that they require consent to administer palliative care but they believe that they do not need consent to withdraw life</w:t>
      </w:r>
      <w:r w:rsidRPr="00FB7E1C">
        <w:rPr>
          <w:sz w:val="20"/>
          <w:szCs w:val="20"/>
        </w:rPr>
        <w:noBreakHyphen/>
        <w:t>sustaining measures that are no longer medically indicated.  At issue is whether the appellants require consent or a determination from the Consent and Capacity Board that withdrawing life support is in the respondent’s best interests.</w:t>
      </w:r>
    </w:p>
    <w:p w:rsidR="000C74D8" w:rsidRPr="00FB7E1C" w:rsidRDefault="000C74D8" w:rsidP="000C74D8">
      <w:pPr>
        <w:widowControl w:val="0"/>
        <w:jc w:val="both"/>
        <w:rPr>
          <w:sz w:val="20"/>
          <w:szCs w:val="20"/>
        </w:rPr>
      </w:pPr>
    </w:p>
    <w:p w:rsidR="000C74D8" w:rsidRPr="00FB7E1C" w:rsidRDefault="000C74D8" w:rsidP="000C74D8">
      <w:pPr>
        <w:widowControl w:val="0"/>
        <w:jc w:val="both"/>
        <w:rPr>
          <w:sz w:val="20"/>
          <w:szCs w:val="20"/>
        </w:rPr>
      </w:pPr>
    </w:p>
    <w:p w:rsidR="000C74D8" w:rsidRPr="00FB7E1C" w:rsidRDefault="000C74D8" w:rsidP="000C74D8">
      <w:pPr>
        <w:widowControl w:val="0"/>
        <w:ind w:left="2880" w:hanging="2880"/>
        <w:jc w:val="both"/>
        <w:rPr>
          <w:sz w:val="20"/>
          <w:szCs w:val="20"/>
        </w:rPr>
      </w:pPr>
      <w:r w:rsidRPr="00FB7E1C">
        <w:rPr>
          <w:sz w:val="20"/>
          <w:szCs w:val="20"/>
        </w:rPr>
        <w:t>Origin of the case:</w:t>
      </w:r>
      <w:r w:rsidRPr="00FB7E1C">
        <w:rPr>
          <w:sz w:val="20"/>
          <w:szCs w:val="20"/>
        </w:rPr>
        <w:tab/>
        <w:t>Ontario</w:t>
      </w:r>
    </w:p>
    <w:p w:rsidR="000C74D8" w:rsidRPr="00FB7E1C" w:rsidRDefault="000C74D8" w:rsidP="000C74D8">
      <w:pPr>
        <w:widowControl w:val="0"/>
        <w:ind w:left="2880" w:hanging="2880"/>
        <w:jc w:val="both"/>
        <w:rPr>
          <w:sz w:val="20"/>
          <w:szCs w:val="20"/>
        </w:rPr>
      </w:pPr>
    </w:p>
    <w:p w:rsidR="000C74D8" w:rsidRPr="00FB7E1C" w:rsidRDefault="000C74D8" w:rsidP="000C74D8">
      <w:pPr>
        <w:widowControl w:val="0"/>
        <w:ind w:left="2880" w:hanging="2880"/>
        <w:jc w:val="both"/>
        <w:rPr>
          <w:sz w:val="20"/>
          <w:szCs w:val="20"/>
        </w:rPr>
      </w:pPr>
      <w:r w:rsidRPr="00FB7E1C">
        <w:rPr>
          <w:sz w:val="20"/>
          <w:szCs w:val="20"/>
        </w:rPr>
        <w:t>File No.:</w:t>
      </w:r>
      <w:r w:rsidRPr="00FB7E1C">
        <w:rPr>
          <w:sz w:val="20"/>
          <w:szCs w:val="20"/>
        </w:rPr>
        <w:tab/>
        <w:t>34362</w:t>
      </w:r>
    </w:p>
    <w:p w:rsidR="000C74D8" w:rsidRPr="00FB7E1C" w:rsidRDefault="000C74D8" w:rsidP="000C74D8">
      <w:pPr>
        <w:widowControl w:val="0"/>
        <w:ind w:left="2880" w:hanging="2880"/>
        <w:jc w:val="both"/>
        <w:rPr>
          <w:sz w:val="20"/>
          <w:szCs w:val="20"/>
        </w:rPr>
      </w:pPr>
    </w:p>
    <w:p w:rsidR="000C74D8" w:rsidRPr="00FB7E1C" w:rsidRDefault="000C74D8" w:rsidP="000C74D8">
      <w:pPr>
        <w:widowControl w:val="0"/>
        <w:ind w:left="2880" w:hanging="2880"/>
        <w:jc w:val="both"/>
        <w:rPr>
          <w:sz w:val="20"/>
          <w:szCs w:val="20"/>
        </w:rPr>
      </w:pPr>
      <w:r w:rsidRPr="00FB7E1C">
        <w:rPr>
          <w:sz w:val="20"/>
          <w:szCs w:val="20"/>
        </w:rPr>
        <w:t>Judgment of the Court of Appeal:</w:t>
      </w:r>
      <w:r w:rsidRPr="00FB7E1C">
        <w:rPr>
          <w:sz w:val="20"/>
          <w:szCs w:val="20"/>
        </w:rPr>
        <w:tab/>
        <w:t>June 29, 2011</w:t>
      </w:r>
    </w:p>
    <w:p w:rsidR="000C74D8" w:rsidRPr="00FB7E1C" w:rsidRDefault="000C74D8" w:rsidP="000C74D8">
      <w:pPr>
        <w:widowControl w:val="0"/>
        <w:ind w:left="2880" w:hanging="2880"/>
        <w:jc w:val="both"/>
        <w:rPr>
          <w:sz w:val="20"/>
          <w:szCs w:val="20"/>
        </w:rPr>
      </w:pPr>
    </w:p>
    <w:p w:rsidR="000C74D8" w:rsidRPr="00FB7E1C" w:rsidRDefault="000C74D8" w:rsidP="000C74D8">
      <w:pPr>
        <w:widowControl w:val="0"/>
        <w:ind w:left="2880" w:hanging="2880"/>
        <w:jc w:val="both"/>
        <w:rPr>
          <w:sz w:val="20"/>
          <w:szCs w:val="20"/>
        </w:rPr>
      </w:pPr>
      <w:r w:rsidRPr="00FB7E1C">
        <w:rPr>
          <w:sz w:val="20"/>
          <w:szCs w:val="20"/>
        </w:rPr>
        <w:t>Counsel:</w:t>
      </w:r>
      <w:r w:rsidRPr="00FB7E1C">
        <w:rPr>
          <w:sz w:val="20"/>
          <w:szCs w:val="20"/>
        </w:rPr>
        <w:tab/>
        <w:t>Harry Underwood, Erica J. Baron and Andrew McCutcheon for the appellant</w:t>
      </w:r>
    </w:p>
    <w:p w:rsidR="000C74D8" w:rsidRPr="00FB7E1C" w:rsidRDefault="000C74D8" w:rsidP="000C74D8">
      <w:pPr>
        <w:widowControl w:val="0"/>
        <w:ind w:left="2880" w:hanging="2880"/>
        <w:jc w:val="both"/>
        <w:rPr>
          <w:sz w:val="20"/>
          <w:szCs w:val="20"/>
        </w:rPr>
      </w:pPr>
      <w:r w:rsidRPr="00FB7E1C">
        <w:rPr>
          <w:sz w:val="20"/>
          <w:szCs w:val="20"/>
        </w:rPr>
        <w:tab/>
        <w:t>J. Gardner Hodder, Guillermo Schible and Stefan A. De Smit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7"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0C74D8" w:rsidRPr="00187205" w:rsidRDefault="00DB239D" w:rsidP="000C74D8">
      <w:pPr>
        <w:widowControl w:val="0"/>
        <w:ind w:left="720" w:hanging="720"/>
        <w:jc w:val="both"/>
        <w:rPr>
          <w:b/>
          <w:i/>
          <w:sz w:val="20"/>
          <w:szCs w:val="20"/>
          <w:lang w:val="fr-CA"/>
        </w:rPr>
      </w:pPr>
      <w:r w:rsidRPr="00187205">
        <w:rPr>
          <w:b/>
          <w:sz w:val="20"/>
          <w:szCs w:val="20"/>
          <w:lang w:val="fr-CA"/>
        </w:rPr>
        <w:fldChar w:fldCharType="begin"/>
      </w:r>
      <w:r w:rsidR="000C74D8" w:rsidRPr="00187205">
        <w:rPr>
          <w:b/>
          <w:sz w:val="20"/>
          <w:szCs w:val="20"/>
          <w:lang w:val="fr-CA"/>
        </w:rPr>
        <w:instrText xml:space="preserve"> SEQ CHAPTER \h \r 1</w:instrText>
      </w:r>
      <w:r w:rsidRPr="00187205">
        <w:rPr>
          <w:b/>
          <w:sz w:val="20"/>
          <w:szCs w:val="20"/>
          <w:lang w:val="fr-CA"/>
        </w:rPr>
        <w:fldChar w:fldCharType="end"/>
      </w:r>
      <w:r w:rsidR="000C74D8" w:rsidRPr="00187205">
        <w:rPr>
          <w:b/>
          <w:sz w:val="20"/>
          <w:szCs w:val="20"/>
          <w:lang w:val="fr-CA"/>
        </w:rPr>
        <w:t>34362</w:t>
      </w:r>
      <w:r w:rsidR="000C74D8" w:rsidRPr="00187205">
        <w:rPr>
          <w:sz w:val="20"/>
          <w:szCs w:val="20"/>
          <w:lang w:val="fr-CA"/>
        </w:rPr>
        <w:tab/>
      </w:r>
      <w:r w:rsidR="000C74D8" w:rsidRPr="00187205">
        <w:rPr>
          <w:b/>
          <w:i/>
          <w:sz w:val="20"/>
          <w:szCs w:val="20"/>
          <w:lang w:val="fr-CA"/>
        </w:rPr>
        <w:t>Brian Cuthbertson, Gordon Rubenfeld c. Hassan Rasouli, représenté par son tuteur à l’instance et mandataire spécial, Parichehr Salasel</w:t>
      </w:r>
    </w:p>
    <w:p w:rsidR="000C74D8" w:rsidRPr="00187205" w:rsidRDefault="000C74D8" w:rsidP="000C74D8">
      <w:pPr>
        <w:widowControl w:val="0"/>
        <w:jc w:val="both"/>
        <w:rPr>
          <w:sz w:val="20"/>
          <w:szCs w:val="20"/>
          <w:lang w:val="fr-CA"/>
        </w:rPr>
      </w:pPr>
    </w:p>
    <w:p w:rsidR="000C74D8" w:rsidRPr="00187205" w:rsidRDefault="000C74D8" w:rsidP="000C74D8">
      <w:pPr>
        <w:widowControl w:val="0"/>
        <w:jc w:val="both"/>
        <w:rPr>
          <w:sz w:val="20"/>
          <w:szCs w:val="20"/>
          <w:lang w:val="fr-CA"/>
        </w:rPr>
      </w:pPr>
      <w:r w:rsidRPr="00187205">
        <w:rPr>
          <w:sz w:val="20"/>
          <w:szCs w:val="20"/>
          <w:lang w:val="fr-CA"/>
        </w:rPr>
        <w:t xml:space="preserve">Législation </w:t>
      </w:r>
      <w:r w:rsidRPr="00187205">
        <w:rPr>
          <w:sz w:val="20"/>
          <w:szCs w:val="20"/>
          <w:lang w:val="fr-CA"/>
        </w:rPr>
        <w:noBreakHyphen/>
        <w:t xml:space="preserve"> Interprétation </w:t>
      </w:r>
      <w:r w:rsidRPr="00187205">
        <w:rPr>
          <w:sz w:val="20"/>
          <w:szCs w:val="20"/>
          <w:lang w:val="fr-CA"/>
        </w:rPr>
        <w:noBreakHyphen/>
        <w:t xml:space="preserve"> Soins de santé </w:t>
      </w:r>
      <w:r w:rsidRPr="00187205">
        <w:rPr>
          <w:sz w:val="20"/>
          <w:szCs w:val="20"/>
          <w:lang w:val="fr-CA"/>
        </w:rPr>
        <w:noBreakHyphen/>
        <w:t xml:space="preserve"> Retrait d’un traitement médical de maintien de la vie </w:t>
      </w:r>
      <w:r w:rsidRPr="00187205">
        <w:rPr>
          <w:sz w:val="20"/>
          <w:szCs w:val="20"/>
          <w:lang w:val="fr-CA"/>
        </w:rPr>
        <w:noBreakHyphen/>
        <w:t xml:space="preserve"> Faut</w:t>
      </w:r>
      <w:r w:rsidRPr="00187205">
        <w:rPr>
          <w:sz w:val="20"/>
          <w:szCs w:val="20"/>
          <w:lang w:val="fr-CA"/>
        </w:rPr>
        <w:noBreakHyphen/>
        <w:t xml:space="preserve">il obtenir le consentement du patient pour refuser ou retirer un traitement non indiqué? </w:t>
      </w:r>
      <w:r w:rsidRPr="00187205">
        <w:rPr>
          <w:sz w:val="20"/>
          <w:szCs w:val="20"/>
          <w:lang w:val="fr-CA"/>
        </w:rPr>
        <w:noBreakHyphen/>
        <w:t xml:space="preserve"> Faut</w:t>
      </w:r>
      <w:r w:rsidRPr="00187205">
        <w:rPr>
          <w:sz w:val="20"/>
          <w:szCs w:val="20"/>
          <w:lang w:val="fr-CA"/>
        </w:rPr>
        <w:noBreakHyphen/>
        <w:t xml:space="preserve">il obtenir le consentement pour retirer un traitement non indiqué si un autre traitement positif doit être administré dès le retrait du traitement non indiqué? </w:t>
      </w:r>
      <w:r w:rsidRPr="00187205">
        <w:rPr>
          <w:sz w:val="20"/>
          <w:szCs w:val="20"/>
          <w:lang w:val="fr-CA"/>
        </w:rPr>
        <w:noBreakHyphen/>
        <w:t xml:space="preserve"> Existe</w:t>
      </w:r>
      <w:r w:rsidRPr="00187205">
        <w:rPr>
          <w:sz w:val="20"/>
          <w:szCs w:val="20"/>
          <w:lang w:val="fr-CA"/>
        </w:rPr>
        <w:noBreakHyphen/>
        <w:t>t</w:t>
      </w:r>
      <w:r w:rsidRPr="00187205">
        <w:rPr>
          <w:sz w:val="20"/>
          <w:szCs w:val="20"/>
          <w:lang w:val="fr-CA"/>
        </w:rPr>
        <w:noBreakHyphen/>
        <w:t xml:space="preserve">il une catégorie de traitements médicaux de maintien de la vie qui ne peuvent être retirés ou refusés sans le consentement du patient ou du mandataire spécial, même lorsque le traitement est non indiqué? </w:t>
      </w:r>
      <w:r w:rsidRPr="00187205">
        <w:rPr>
          <w:sz w:val="20"/>
          <w:szCs w:val="20"/>
          <w:lang w:val="fr-CA"/>
        </w:rPr>
        <w:noBreakHyphen/>
        <w:t xml:space="preserve"> Si un médecin conclut qu’un traitement en cours est devenu non indiqué, même s’il prolonge la vie, quelles mesures le médecin est</w:t>
      </w:r>
      <w:r w:rsidRPr="00187205">
        <w:rPr>
          <w:sz w:val="20"/>
          <w:szCs w:val="20"/>
          <w:lang w:val="fr-CA"/>
        </w:rPr>
        <w:noBreakHyphen/>
        <w:t>il obligé de prendre avant de retirer le traitement non indiqué?</w:t>
      </w:r>
    </w:p>
    <w:p w:rsidR="000C74D8" w:rsidRPr="00187205" w:rsidRDefault="000C74D8" w:rsidP="000C74D8">
      <w:pPr>
        <w:widowControl w:val="0"/>
        <w:jc w:val="both"/>
        <w:rPr>
          <w:sz w:val="20"/>
          <w:szCs w:val="20"/>
          <w:lang w:val="fr-CA"/>
        </w:rPr>
      </w:pPr>
    </w:p>
    <w:p w:rsidR="000C74D8" w:rsidRPr="00187205" w:rsidRDefault="000C74D8" w:rsidP="000C74D8">
      <w:pPr>
        <w:widowControl w:val="0"/>
        <w:jc w:val="both"/>
        <w:rPr>
          <w:sz w:val="20"/>
          <w:szCs w:val="20"/>
          <w:lang w:val="fr-CA"/>
        </w:rPr>
      </w:pPr>
      <w:r w:rsidRPr="00187205">
        <w:rPr>
          <w:sz w:val="20"/>
          <w:szCs w:val="20"/>
          <w:lang w:val="fr-CA"/>
        </w:rPr>
        <w:t xml:space="preserve">L’intimé est dans le coma.  Les appelants, qui sont ses médecins, souhaitent retirer le traitement de maintien de la vie et administrer plutôt des soins palliatifs.  Le mandataire spécial de l’intimé suivant la </w:t>
      </w:r>
      <w:r w:rsidRPr="00187205">
        <w:rPr>
          <w:i/>
          <w:sz w:val="20"/>
          <w:szCs w:val="20"/>
          <w:lang w:val="fr-CA"/>
        </w:rPr>
        <w:t>Loi de 1996 sur le consentement aux soins de santé</w:t>
      </w:r>
      <w:r w:rsidRPr="00187205">
        <w:rPr>
          <w:sz w:val="20"/>
          <w:szCs w:val="20"/>
          <w:lang w:val="fr-CA"/>
        </w:rPr>
        <w:t>, L.O. 1996, ch. 2 refuse de consentir au retrait du traitement de survie.  Les appelants reconnaissent qu’ils ont besoin de ce consentement pour administrer des soins palliatifs, mais estiment qu’ils n’en ont pas besoin pour retirer des mesures de maintien de la vie qui ne sont plus médicalement indiquées.  La question en litige consiste à se demander si les appelants ont besoin du consentement ou d’une décision de la Commission du consentement et de la capacité portant que le retrait du traitement de maintien de la vie est dans l’intérêt véritable de l’intimé.</w:t>
      </w:r>
    </w:p>
    <w:p w:rsidR="000C74D8" w:rsidRPr="00187205" w:rsidRDefault="000C74D8" w:rsidP="000C74D8">
      <w:pPr>
        <w:widowControl w:val="0"/>
        <w:jc w:val="both"/>
        <w:rPr>
          <w:sz w:val="20"/>
          <w:szCs w:val="20"/>
          <w:lang w:val="fr-CA"/>
        </w:rPr>
      </w:pPr>
    </w:p>
    <w:p w:rsidR="000C74D8" w:rsidRPr="00187205" w:rsidRDefault="000C74D8" w:rsidP="000C74D8">
      <w:pPr>
        <w:widowControl w:val="0"/>
        <w:jc w:val="both"/>
        <w:rPr>
          <w:sz w:val="20"/>
          <w:szCs w:val="20"/>
          <w:lang w:val="fr-CA"/>
        </w:rPr>
      </w:pPr>
    </w:p>
    <w:p w:rsidR="000C74D8" w:rsidRPr="00187205" w:rsidRDefault="000C74D8" w:rsidP="000C74D8">
      <w:pPr>
        <w:widowControl w:val="0"/>
        <w:ind w:left="2880" w:hanging="2880"/>
        <w:jc w:val="both"/>
        <w:rPr>
          <w:sz w:val="20"/>
          <w:szCs w:val="20"/>
          <w:lang w:val="fr-CA"/>
        </w:rPr>
      </w:pPr>
      <w:r w:rsidRPr="00187205">
        <w:rPr>
          <w:sz w:val="20"/>
          <w:szCs w:val="20"/>
          <w:lang w:val="fr-CA"/>
        </w:rPr>
        <w:t>Origine :</w:t>
      </w:r>
      <w:r w:rsidRPr="00187205">
        <w:rPr>
          <w:sz w:val="20"/>
          <w:szCs w:val="20"/>
          <w:lang w:val="fr-CA"/>
        </w:rPr>
        <w:tab/>
        <w:t>Ontario</w:t>
      </w:r>
    </w:p>
    <w:p w:rsidR="000C74D8" w:rsidRPr="00187205" w:rsidRDefault="000C74D8" w:rsidP="000C74D8">
      <w:pPr>
        <w:widowControl w:val="0"/>
        <w:ind w:left="2880" w:hanging="2880"/>
        <w:jc w:val="both"/>
        <w:rPr>
          <w:sz w:val="20"/>
          <w:szCs w:val="20"/>
          <w:lang w:val="fr-CA"/>
        </w:rPr>
      </w:pPr>
    </w:p>
    <w:p w:rsidR="000C74D8" w:rsidRPr="00187205" w:rsidRDefault="000C74D8" w:rsidP="000C74D8">
      <w:pPr>
        <w:widowControl w:val="0"/>
        <w:ind w:left="2880" w:hanging="2880"/>
        <w:jc w:val="both"/>
        <w:rPr>
          <w:sz w:val="20"/>
          <w:szCs w:val="20"/>
          <w:lang w:val="fr-CA"/>
        </w:rPr>
      </w:pPr>
      <w:r w:rsidRPr="00187205">
        <w:rPr>
          <w:sz w:val="20"/>
          <w:szCs w:val="20"/>
          <w:lang w:val="fr-CA"/>
        </w:rPr>
        <w:t>N</w:t>
      </w:r>
      <w:r w:rsidRPr="00187205">
        <w:rPr>
          <w:sz w:val="20"/>
          <w:szCs w:val="20"/>
          <w:vertAlign w:val="superscript"/>
          <w:lang w:val="fr-CA"/>
        </w:rPr>
        <w:t>o</w:t>
      </w:r>
      <w:r w:rsidRPr="00187205">
        <w:rPr>
          <w:sz w:val="20"/>
          <w:szCs w:val="20"/>
          <w:lang w:val="fr-CA"/>
        </w:rPr>
        <w:t xml:space="preserve"> du greffe :</w:t>
      </w:r>
      <w:r w:rsidRPr="00187205">
        <w:rPr>
          <w:sz w:val="20"/>
          <w:szCs w:val="20"/>
          <w:lang w:val="fr-CA"/>
        </w:rPr>
        <w:tab/>
        <w:t>34362</w:t>
      </w:r>
    </w:p>
    <w:p w:rsidR="000C74D8" w:rsidRPr="00187205" w:rsidRDefault="000C74D8" w:rsidP="000C74D8">
      <w:pPr>
        <w:widowControl w:val="0"/>
        <w:ind w:left="2880" w:hanging="2880"/>
        <w:jc w:val="both"/>
        <w:rPr>
          <w:sz w:val="20"/>
          <w:szCs w:val="20"/>
          <w:lang w:val="fr-CA"/>
        </w:rPr>
      </w:pPr>
    </w:p>
    <w:p w:rsidR="000C74D8" w:rsidRPr="00187205" w:rsidRDefault="000C74D8" w:rsidP="000C74D8">
      <w:pPr>
        <w:widowControl w:val="0"/>
        <w:ind w:left="2880" w:hanging="2880"/>
        <w:jc w:val="both"/>
        <w:rPr>
          <w:sz w:val="20"/>
          <w:szCs w:val="20"/>
          <w:lang w:val="fr-CA"/>
        </w:rPr>
      </w:pPr>
      <w:r w:rsidRPr="00187205">
        <w:rPr>
          <w:sz w:val="20"/>
          <w:szCs w:val="20"/>
          <w:lang w:val="fr-CA"/>
        </w:rPr>
        <w:t>Arrêt de la Cour d’appel :</w:t>
      </w:r>
      <w:r w:rsidRPr="00187205">
        <w:rPr>
          <w:sz w:val="20"/>
          <w:szCs w:val="20"/>
          <w:lang w:val="fr-CA"/>
        </w:rPr>
        <w:tab/>
        <w:t>le 29 juin 2011</w:t>
      </w:r>
    </w:p>
    <w:p w:rsidR="000C74D8" w:rsidRPr="00187205" w:rsidRDefault="000C74D8" w:rsidP="000C74D8">
      <w:pPr>
        <w:widowControl w:val="0"/>
        <w:ind w:left="2880" w:hanging="2880"/>
        <w:jc w:val="both"/>
        <w:rPr>
          <w:sz w:val="20"/>
          <w:szCs w:val="20"/>
          <w:lang w:val="fr-CA"/>
        </w:rPr>
      </w:pPr>
    </w:p>
    <w:p w:rsidR="000C74D8" w:rsidRPr="00187205" w:rsidRDefault="000C74D8" w:rsidP="000C74D8">
      <w:pPr>
        <w:widowControl w:val="0"/>
        <w:ind w:left="2880" w:hanging="2880"/>
        <w:jc w:val="both"/>
        <w:rPr>
          <w:sz w:val="20"/>
          <w:szCs w:val="20"/>
        </w:rPr>
      </w:pPr>
      <w:proofErr w:type="gramStart"/>
      <w:r w:rsidRPr="00187205">
        <w:rPr>
          <w:sz w:val="20"/>
          <w:szCs w:val="20"/>
        </w:rPr>
        <w:t>Avocats :</w:t>
      </w:r>
      <w:proofErr w:type="gramEnd"/>
      <w:r w:rsidRPr="00187205">
        <w:rPr>
          <w:sz w:val="20"/>
          <w:szCs w:val="20"/>
        </w:rPr>
        <w:tab/>
        <w:t>Harry Underwood, Erica J. Baron et Andrew McCutcheon pour l’appelant</w:t>
      </w:r>
    </w:p>
    <w:p w:rsidR="000C74D8" w:rsidRPr="00187205" w:rsidRDefault="000C74D8" w:rsidP="000C74D8">
      <w:pPr>
        <w:widowControl w:val="0"/>
        <w:ind w:left="2880" w:hanging="2880"/>
        <w:jc w:val="both"/>
        <w:rPr>
          <w:sz w:val="20"/>
          <w:szCs w:val="20"/>
          <w:lang w:val="fr-CA"/>
        </w:rPr>
      </w:pPr>
      <w:r w:rsidRPr="00187205">
        <w:rPr>
          <w:sz w:val="20"/>
          <w:szCs w:val="20"/>
        </w:rPr>
        <w:tab/>
      </w:r>
      <w:r w:rsidRPr="00187205">
        <w:rPr>
          <w:sz w:val="20"/>
          <w:szCs w:val="20"/>
          <w:lang w:val="fr-CA"/>
        </w:rPr>
        <w:t>J. Gardner Hodder, Guillermo Schible et Stefan A. De Smit pour l’intimé</w:t>
      </w:r>
    </w:p>
    <w:p w:rsidR="00A818DB" w:rsidRPr="000C74D8" w:rsidRDefault="00A818DB" w:rsidP="00A818DB">
      <w:pPr>
        <w:widowControl w:val="0"/>
        <w:jc w:val="both"/>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8"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295508" w:rsidRPr="00830DE0" w:rsidRDefault="00DB239D" w:rsidP="00295508">
      <w:pPr>
        <w:widowControl w:val="0"/>
        <w:ind w:left="720" w:hanging="720"/>
        <w:jc w:val="both"/>
        <w:rPr>
          <w:sz w:val="20"/>
          <w:szCs w:val="20"/>
        </w:rPr>
      </w:pPr>
      <w:r w:rsidRPr="00830DE0">
        <w:rPr>
          <w:b/>
          <w:sz w:val="20"/>
          <w:szCs w:val="20"/>
        </w:rPr>
        <w:fldChar w:fldCharType="begin"/>
      </w:r>
      <w:r w:rsidR="00295508" w:rsidRPr="00830DE0">
        <w:rPr>
          <w:b/>
          <w:sz w:val="20"/>
          <w:szCs w:val="20"/>
        </w:rPr>
        <w:instrText xml:space="preserve"> SEQ CHAPTER \h \r 1</w:instrText>
      </w:r>
      <w:r w:rsidRPr="00830DE0">
        <w:rPr>
          <w:b/>
          <w:sz w:val="20"/>
          <w:szCs w:val="20"/>
        </w:rPr>
        <w:fldChar w:fldCharType="end"/>
      </w:r>
      <w:r w:rsidR="00295508" w:rsidRPr="00830DE0">
        <w:rPr>
          <w:b/>
          <w:sz w:val="20"/>
          <w:szCs w:val="20"/>
        </w:rPr>
        <w:t>34404</w:t>
      </w:r>
      <w:r w:rsidR="00295508" w:rsidRPr="00830DE0">
        <w:rPr>
          <w:sz w:val="20"/>
          <w:szCs w:val="20"/>
        </w:rPr>
        <w:tab/>
      </w:r>
      <w:r w:rsidR="00295508" w:rsidRPr="00830DE0">
        <w:rPr>
          <w:b/>
          <w:i/>
          <w:sz w:val="20"/>
          <w:szCs w:val="20"/>
        </w:rPr>
        <w:t>Sally Behn, Susan Behn, Richard Behn, Greg Behn, Rupert Behn, Lovey Behn, Mary Behn and George Behn v. Moulton Contracting Ltd. and Her Majesty the Queen in the Right of the Province of British Columbia</w:t>
      </w:r>
    </w:p>
    <w:p w:rsidR="00295508" w:rsidRPr="00830DE0" w:rsidRDefault="00295508" w:rsidP="00295508">
      <w:pPr>
        <w:widowControl w:val="0"/>
        <w:jc w:val="both"/>
        <w:rPr>
          <w:sz w:val="20"/>
          <w:szCs w:val="20"/>
        </w:rPr>
      </w:pPr>
    </w:p>
    <w:p w:rsidR="00295508" w:rsidRPr="00830DE0" w:rsidRDefault="00295508" w:rsidP="00295508">
      <w:pPr>
        <w:widowControl w:val="0"/>
        <w:jc w:val="both"/>
        <w:rPr>
          <w:sz w:val="20"/>
          <w:szCs w:val="20"/>
        </w:rPr>
      </w:pPr>
      <w:r w:rsidRPr="00830DE0">
        <w:rPr>
          <w:sz w:val="20"/>
          <w:szCs w:val="20"/>
        </w:rPr>
        <w:t xml:space="preserve">Aboriginal law </w:t>
      </w:r>
      <w:r w:rsidRPr="00830DE0">
        <w:rPr>
          <w:sz w:val="20"/>
          <w:szCs w:val="20"/>
        </w:rPr>
        <w:noBreakHyphen/>
        <w:t xml:space="preserve"> Treaty rights </w:t>
      </w:r>
      <w:r w:rsidRPr="00830DE0">
        <w:rPr>
          <w:sz w:val="20"/>
          <w:szCs w:val="20"/>
        </w:rPr>
        <w:noBreakHyphen/>
        <w:t xml:space="preserve"> Logging </w:t>
      </w:r>
      <w:r w:rsidRPr="00830DE0">
        <w:rPr>
          <w:sz w:val="20"/>
          <w:szCs w:val="20"/>
        </w:rPr>
        <w:noBreakHyphen/>
        <w:t xml:space="preserve"> Duty to consult </w:t>
      </w:r>
      <w:r w:rsidRPr="00830DE0">
        <w:rPr>
          <w:sz w:val="20"/>
          <w:szCs w:val="20"/>
        </w:rPr>
        <w:noBreakHyphen/>
        <w:t xml:space="preserve"> Civil procedure </w:t>
      </w:r>
      <w:r w:rsidRPr="00830DE0">
        <w:rPr>
          <w:sz w:val="20"/>
          <w:szCs w:val="20"/>
        </w:rPr>
        <w:noBreakHyphen/>
        <w:t xml:space="preserve"> Standing </w:t>
      </w:r>
      <w:r w:rsidRPr="00830DE0">
        <w:rPr>
          <w:sz w:val="20"/>
          <w:szCs w:val="20"/>
        </w:rPr>
        <w:noBreakHyphen/>
        <w:t xml:space="preserve"> Collateral attack </w:t>
      </w:r>
      <w:r w:rsidRPr="00830DE0">
        <w:rPr>
          <w:sz w:val="20"/>
          <w:szCs w:val="20"/>
        </w:rPr>
        <w:noBreakHyphen/>
        <w:t xml:space="preserve"> Whether the courts below erred in holding that the appellants had no standing to raise the treaty rights defences </w:t>
      </w:r>
      <w:r w:rsidRPr="00830DE0">
        <w:rPr>
          <w:sz w:val="20"/>
          <w:szCs w:val="20"/>
        </w:rPr>
        <w:noBreakHyphen/>
        <w:t xml:space="preserve"> Whether the courts below erred in holding that the treaty rights defences constituted an impermissible collateral attack. </w:t>
      </w:r>
    </w:p>
    <w:p w:rsidR="00295508" w:rsidRPr="00830DE0" w:rsidRDefault="00295508" w:rsidP="00295508">
      <w:pPr>
        <w:widowControl w:val="0"/>
        <w:jc w:val="both"/>
        <w:rPr>
          <w:sz w:val="20"/>
          <w:szCs w:val="20"/>
        </w:rPr>
      </w:pPr>
    </w:p>
    <w:p w:rsidR="00295508" w:rsidRPr="00830DE0" w:rsidRDefault="00295508" w:rsidP="00295508">
      <w:pPr>
        <w:widowControl w:val="0"/>
        <w:jc w:val="both"/>
        <w:rPr>
          <w:sz w:val="20"/>
          <w:szCs w:val="20"/>
        </w:rPr>
      </w:pPr>
      <w:r w:rsidRPr="00830DE0">
        <w:rPr>
          <w:sz w:val="20"/>
          <w:szCs w:val="20"/>
        </w:rPr>
        <w:t xml:space="preserve">The Crown granted the respondent Moulton Contracting Inc. two timber sale licences and one road permit by which it could log certain areas of land located within the Behn Family Territory.  That territory is located within the Treaty 8 territory of the Fort Nelson First Nation.  The appellants are members of the Behn family and are, with one exception, members of the Fort Nelson First Nation.  After Moulton’s access to the area was impeded by at least some of the appellants, Moulton filed a claim for damages against them, the First Nation and their Chief, and the Crown.  In their statement of defence, the appellants denied, </w:t>
      </w:r>
      <w:r w:rsidRPr="00830DE0">
        <w:rPr>
          <w:i/>
          <w:sz w:val="20"/>
          <w:szCs w:val="20"/>
        </w:rPr>
        <w:t>inter alia</w:t>
      </w:r>
      <w:r w:rsidRPr="00830DE0">
        <w:rPr>
          <w:sz w:val="20"/>
          <w:szCs w:val="20"/>
        </w:rPr>
        <w:t>, that their acts were unlawful because, they alleged, the licenses and permit were issued unlawfully and gave no rights to harvest the timber or access the area.  They alleged that the Crown both failed to consult adequately with the Fort Nelson First Nation prior to issuing the licences and permit to Moulton and, in issuing the instruments, interfered with the ability of the Fort Nelson First Nation to exercise its Treaty 8 rights meaningfully.  In their view, this constituted an impermissible intrusion into the exclusive legislative jurisdiction of Parliament.  The Crown and Moulton successfully applied to have paragraphs of the appellants’ statement of defence struck on the basis that the appellants did not have standing to advance constitutional arguments relating to treaty rights that belong to the Fort Nelson First Nation, and that it was plain and obvious that the pleadings disclosed no reasonable defence or that they constituted an abuse of process.</w:t>
      </w:r>
    </w:p>
    <w:p w:rsidR="00295508" w:rsidRPr="00830DE0" w:rsidRDefault="00295508" w:rsidP="00295508">
      <w:pPr>
        <w:widowControl w:val="0"/>
        <w:jc w:val="both"/>
        <w:rPr>
          <w:sz w:val="20"/>
          <w:szCs w:val="20"/>
        </w:rPr>
      </w:pPr>
    </w:p>
    <w:p w:rsidR="00295508" w:rsidRPr="00830DE0" w:rsidRDefault="00295508" w:rsidP="00295508">
      <w:pPr>
        <w:widowControl w:val="0"/>
        <w:jc w:val="both"/>
        <w:rPr>
          <w:sz w:val="20"/>
          <w:szCs w:val="20"/>
        </w:rPr>
      </w:pPr>
    </w:p>
    <w:p w:rsidR="00295508" w:rsidRPr="00830DE0" w:rsidRDefault="00295508" w:rsidP="00295508">
      <w:pPr>
        <w:widowControl w:val="0"/>
        <w:ind w:left="2880" w:hanging="2880"/>
        <w:jc w:val="both"/>
        <w:rPr>
          <w:sz w:val="20"/>
          <w:szCs w:val="20"/>
        </w:rPr>
      </w:pPr>
      <w:r w:rsidRPr="00830DE0">
        <w:rPr>
          <w:sz w:val="20"/>
          <w:szCs w:val="20"/>
        </w:rPr>
        <w:t>Origin of the case:</w:t>
      </w:r>
      <w:r w:rsidRPr="00830DE0">
        <w:rPr>
          <w:sz w:val="20"/>
          <w:szCs w:val="20"/>
        </w:rPr>
        <w:tab/>
        <w:t>British Columbia</w:t>
      </w:r>
    </w:p>
    <w:p w:rsidR="00295508" w:rsidRPr="00830DE0" w:rsidRDefault="00295508" w:rsidP="00295508">
      <w:pPr>
        <w:widowControl w:val="0"/>
        <w:ind w:left="2880" w:hanging="2880"/>
        <w:jc w:val="both"/>
        <w:rPr>
          <w:sz w:val="20"/>
          <w:szCs w:val="20"/>
        </w:rPr>
      </w:pPr>
    </w:p>
    <w:p w:rsidR="00295508" w:rsidRPr="00830DE0" w:rsidRDefault="00295508" w:rsidP="00295508">
      <w:pPr>
        <w:widowControl w:val="0"/>
        <w:ind w:left="2880" w:hanging="2880"/>
        <w:jc w:val="both"/>
        <w:rPr>
          <w:sz w:val="20"/>
          <w:szCs w:val="20"/>
        </w:rPr>
      </w:pPr>
      <w:r w:rsidRPr="00830DE0">
        <w:rPr>
          <w:sz w:val="20"/>
          <w:szCs w:val="20"/>
        </w:rPr>
        <w:t>File No.:</w:t>
      </w:r>
      <w:r w:rsidRPr="00830DE0">
        <w:rPr>
          <w:sz w:val="20"/>
          <w:szCs w:val="20"/>
        </w:rPr>
        <w:tab/>
        <w:t>34404</w:t>
      </w:r>
    </w:p>
    <w:p w:rsidR="00295508" w:rsidRPr="00830DE0" w:rsidRDefault="00295508" w:rsidP="00295508">
      <w:pPr>
        <w:widowControl w:val="0"/>
        <w:ind w:left="2880" w:hanging="2880"/>
        <w:jc w:val="both"/>
        <w:rPr>
          <w:sz w:val="20"/>
          <w:szCs w:val="20"/>
        </w:rPr>
      </w:pPr>
    </w:p>
    <w:p w:rsidR="00295508" w:rsidRPr="00830DE0" w:rsidRDefault="00295508" w:rsidP="00295508">
      <w:pPr>
        <w:widowControl w:val="0"/>
        <w:ind w:left="2880" w:hanging="2880"/>
        <w:jc w:val="both"/>
        <w:rPr>
          <w:sz w:val="20"/>
          <w:szCs w:val="20"/>
        </w:rPr>
      </w:pPr>
      <w:r w:rsidRPr="00830DE0">
        <w:rPr>
          <w:sz w:val="20"/>
          <w:szCs w:val="20"/>
        </w:rPr>
        <w:t>Judgment of the Court of Appeal:</w:t>
      </w:r>
      <w:r w:rsidRPr="00830DE0">
        <w:rPr>
          <w:sz w:val="20"/>
          <w:szCs w:val="20"/>
        </w:rPr>
        <w:tab/>
        <w:t>July 6, 2011</w:t>
      </w:r>
    </w:p>
    <w:p w:rsidR="00295508" w:rsidRPr="00830DE0" w:rsidRDefault="00295508" w:rsidP="00295508">
      <w:pPr>
        <w:widowControl w:val="0"/>
        <w:ind w:left="2880" w:hanging="2880"/>
        <w:jc w:val="both"/>
        <w:rPr>
          <w:sz w:val="20"/>
          <w:szCs w:val="20"/>
        </w:rPr>
      </w:pPr>
    </w:p>
    <w:p w:rsidR="00295508" w:rsidRPr="00830DE0" w:rsidRDefault="00295508" w:rsidP="00295508">
      <w:pPr>
        <w:widowControl w:val="0"/>
        <w:ind w:left="2880" w:hanging="2880"/>
        <w:jc w:val="both"/>
        <w:rPr>
          <w:sz w:val="20"/>
          <w:szCs w:val="20"/>
        </w:rPr>
      </w:pPr>
      <w:r w:rsidRPr="00830DE0">
        <w:rPr>
          <w:sz w:val="20"/>
          <w:szCs w:val="20"/>
        </w:rPr>
        <w:t>Counsel:</w:t>
      </w:r>
      <w:r w:rsidRPr="00830DE0">
        <w:rPr>
          <w:sz w:val="20"/>
          <w:szCs w:val="20"/>
        </w:rPr>
        <w:tab/>
        <w:t>Robert J. M. Janes, Karey M. Brooks and Sarah E. Sharp for the appellants</w:t>
      </w:r>
    </w:p>
    <w:p w:rsidR="00295508" w:rsidRPr="00830DE0" w:rsidRDefault="00295508" w:rsidP="00295508">
      <w:pPr>
        <w:widowControl w:val="0"/>
        <w:ind w:left="2880" w:hanging="2880"/>
        <w:jc w:val="both"/>
        <w:rPr>
          <w:sz w:val="20"/>
          <w:szCs w:val="20"/>
        </w:rPr>
      </w:pPr>
      <w:r w:rsidRPr="00830DE0">
        <w:rPr>
          <w:sz w:val="20"/>
          <w:szCs w:val="20"/>
        </w:rPr>
        <w:tab/>
      </w:r>
      <w:proofErr w:type="gramStart"/>
      <w:r w:rsidRPr="00830DE0">
        <w:rPr>
          <w:sz w:val="20"/>
          <w:szCs w:val="20"/>
        </w:rPr>
        <w:t>Charles F. Willms for the respondent Moulton Contracting Ltd.</w:t>
      </w:r>
      <w:proofErr w:type="gramEnd"/>
    </w:p>
    <w:p w:rsidR="00295508" w:rsidRPr="00830DE0" w:rsidRDefault="00295508" w:rsidP="00295508">
      <w:pPr>
        <w:widowControl w:val="0"/>
        <w:ind w:left="2880" w:hanging="2880"/>
        <w:jc w:val="both"/>
        <w:rPr>
          <w:sz w:val="20"/>
          <w:szCs w:val="20"/>
        </w:rPr>
      </w:pPr>
      <w:r w:rsidRPr="00830DE0">
        <w:rPr>
          <w:sz w:val="20"/>
          <w:szCs w:val="20"/>
        </w:rPr>
        <w:tab/>
        <w:t>Keith Phillips and Joel Oliphant for the respondent Her Majesty the Queen</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29"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295508" w:rsidRPr="00441983" w:rsidRDefault="00DB239D" w:rsidP="00295508">
      <w:pPr>
        <w:widowControl w:val="0"/>
        <w:ind w:left="720" w:hanging="720"/>
        <w:jc w:val="both"/>
        <w:rPr>
          <w:sz w:val="20"/>
          <w:szCs w:val="20"/>
          <w:lang w:val="fr-CA"/>
        </w:rPr>
      </w:pPr>
      <w:r w:rsidRPr="00441983">
        <w:rPr>
          <w:b/>
          <w:sz w:val="20"/>
          <w:szCs w:val="20"/>
          <w:lang w:val="fr-CA"/>
        </w:rPr>
        <w:fldChar w:fldCharType="begin"/>
      </w:r>
      <w:r w:rsidR="00295508" w:rsidRPr="00441983">
        <w:rPr>
          <w:b/>
          <w:sz w:val="20"/>
          <w:szCs w:val="20"/>
          <w:lang w:val="fr-CA"/>
        </w:rPr>
        <w:instrText xml:space="preserve"> SEQ CHAPTER \h \r 1</w:instrText>
      </w:r>
      <w:r w:rsidRPr="00441983">
        <w:rPr>
          <w:b/>
          <w:sz w:val="20"/>
          <w:szCs w:val="20"/>
          <w:lang w:val="fr-CA"/>
        </w:rPr>
        <w:fldChar w:fldCharType="end"/>
      </w:r>
      <w:r w:rsidR="00295508" w:rsidRPr="00441983">
        <w:rPr>
          <w:b/>
          <w:sz w:val="20"/>
          <w:szCs w:val="20"/>
          <w:lang w:val="fr-CA"/>
        </w:rPr>
        <w:t>34404</w:t>
      </w:r>
      <w:r w:rsidR="00295508" w:rsidRPr="00441983">
        <w:rPr>
          <w:sz w:val="20"/>
          <w:szCs w:val="20"/>
          <w:lang w:val="fr-CA"/>
        </w:rPr>
        <w:tab/>
      </w:r>
      <w:r w:rsidR="00295508" w:rsidRPr="00441983">
        <w:rPr>
          <w:b/>
          <w:i/>
          <w:sz w:val="20"/>
          <w:szCs w:val="20"/>
          <w:lang w:val="fr-CA"/>
        </w:rPr>
        <w:t>Sally Behn, Susan Behn, Richard Behn, Greg Behn, Rupert Behn, Lovey Behn, Mary Behn et George Behn c. Moulton Contracting Ltd. et Sa Majesté la Reine du chef de la Colombie</w:t>
      </w:r>
      <w:r w:rsidR="00295508" w:rsidRPr="00441983">
        <w:rPr>
          <w:b/>
          <w:i/>
          <w:sz w:val="20"/>
          <w:szCs w:val="20"/>
          <w:lang w:val="fr-CA"/>
        </w:rPr>
        <w:noBreakHyphen/>
        <w:t>Britannique</w:t>
      </w:r>
    </w:p>
    <w:p w:rsidR="00295508" w:rsidRPr="00441983" w:rsidRDefault="00295508" w:rsidP="00295508">
      <w:pPr>
        <w:widowControl w:val="0"/>
        <w:jc w:val="both"/>
        <w:rPr>
          <w:sz w:val="20"/>
          <w:szCs w:val="20"/>
          <w:lang w:val="fr-CA"/>
        </w:rPr>
      </w:pPr>
    </w:p>
    <w:p w:rsidR="00295508" w:rsidRPr="00441983" w:rsidRDefault="00295508" w:rsidP="00295508">
      <w:pPr>
        <w:widowControl w:val="0"/>
        <w:jc w:val="both"/>
        <w:rPr>
          <w:sz w:val="20"/>
          <w:szCs w:val="20"/>
          <w:lang w:val="fr-CA"/>
        </w:rPr>
      </w:pPr>
      <w:r w:rsidRPr="00441983">
        <w:rPr>
          <w:sz w:val="20"/>
          <w:szCs w:val="20"/>
          <w:lang w:val="fr-CA"/>
        </w:rPr>
        <w:t xml:space="preserve">Droits des autochtones </w:t>
      </w:r>
      <w:r w:rsidRPr="00441983">
        <w:rPr>
          <w:sz w:val="20"/>
          <w:szCs w:val="20"/>
          <w:lang w:val="fr-CA"/>
        </w:rPr>
        <w:noBreakHyphen/>
        <w:t xml:space="preserve"> Droits issus de traités </w:t>
      </w:r>
      <w:r w:rsidRPr="00441983">
        <w:rPr>
          <w:sz w:val="20"/>
          <w:szCs w:val="20"/>
          <w:lang w:val="fr-CA"/>
        </w:rPr>
        <w:noBreakHyphen/>
        <w:t xml:space="preserve"> Ressources forestières </w:t>
      </w:r>
      <w:r w:rsidRPr="00441983">
        <w:rPr>
          <w:sz w:val="20"/>
          <w:szCs w:val="20"/>
          <w:lang w:val="fr-CA"/>
        </w:rPr>
        <w:noBreakHyphen/>
        <w:t xml:space="preserve"> Obligation de consulter </w:t>
      </w:r>
      <w:r w:rsidRPr="00441983">
        <w:rPr>
          <w:sz w:val="20"/>
          <w:szCs w:val="20"/>
          <w:lang w:val="fr-CA"/>
        </w:rPr>
        <w:noBreakHyphen/>
        <w:t xml:space="preserve"> Procédure civile </w:t>
      </w:r>
      <w:r w:rsidRPr="00441983">
        <w:rPr>
          <w:sz w:val="20"/>
          <w:szCs w:val="20"/>
          <w:lang w:val="fr-CA"/>
        </w:rPr>
        <w:noBreakHyphen/>
        <w:t xml:space="preserve"> Qualité pour agir </w:t>
      </w:r>
      <w:r w:rsidRPr="00441983">
        <w:rPr>
          <w:sz w:val="20"/>
          <w:szCs w:val="20"/>
          <w:lang w:val="fr-CA"/>
        </w:rPr>
        <w:noBreakHyphen/>
        <w:t xml:space="preserve"> Contestation indirecte </w:t>
      </w:r>
      <w:r w:rsidRPr="00441983">
        <w:rPr>
          <w:sz w:val="20"/>
          <w:szCs w:val="20"/>
          <w:lang w:val="fr-CA"/>
        </w:rPr>
        <w:noBreakHyphen/>
        <w:t xml:space="preserve"> Les juridictions inférieures ont</w:t>
      </w:r>
      <w:r w:rsidRPr="00441983">
        <w:rPr>
          <w:sz w:val="20"/>
          <w:szCs w:val="20"/>
          <w:lang w:val="fr-CA"/>
        </w:rPr>
        <w:noBreakHyphen/>
        <w:t xml:space="preserve">elles eu tort de conclure que les appelants n’avaient pas qualité pour soulever les moyens de défense fondés sur les droits issus de traités? </w:t>
      </w:r>
      <w:r w:rsidRPr="00441983">
        <w:rPr>
          <w:sz w:val="20"/>
          <w:szCs w:val="20"/>
          <w:lang w:val="fr-CA"/>
        </w:rPr>
        <w:noBreakHyphen/>
        <w:t xml:space="preserve"> Les juridictions inférieures ont</w:t>
      </w:r>
      <w:r w:rsidRPr="00441983">
        <w:rPr>
          <w:sz w:val="20"/>
          <w:szCs w:val="20"/>
          <w:lang w:val="fr-CA"/>
        </w:rPr>
        <w:noBreakHyphen/>
        <w:t xml:space="preserve">elles eu tort de conclure que les moyens de défense fondés sur les droits issus de traités constituaient une contestation indirecte irrecevable? </w:t>
      </w:r>
    </w:p>
    <w:p w:rsidR="00295508" w:rsidRPr="00441983" w:rsidRDefault="00295508" w:rsidP="00295508">
      <w:pPr>
        <w:widowControl w:val="0"/>
        <w:jc w:val="both"/>
        <w:rPr>
          <w:sz w:val="20"/>
          <w:szCs w:val="20"/>
          <w:lang w:val="fr-CA"/>
        </w:rPr>
      </w:pPr>
    </w:p>
    <w:p w:rsidR="00295508" w:rsidRPr="00441983" w:rsidRDefault="00295508" w:rsidP="00295508">
      <w:pPr>
        <w:jc w:val="both"/>
        <w:rPr>
          <w:sz w:val="20"/>
          <w:szCs w:val="20"/>
          <w:lang w:val="fr-CA"/>
        </w:rPr>
      </w:pPr>
      <w:r w:rsidRPr="00441983">
        <w:rPr>
          <w:sz w:val="20"/>
          <w:szCs w:val="20"/>
          <w:lang w:val="fr-CA"/>
        </w:rPr>
        <w:t>La Couronne a accordé à l’intimée, Moulton Contracting Inc., deux licences de vente de bois d’œuvre et un permis d’utilisation de chemins lui permettant d’exploiter certaines zones se trouvant au sein du territoire de la famille Behn.  Ce territoire fait partie du territoire de la Première nation de Fort Nelson en vertu du Traité 8.  Les appelants sont des membres de la famille Behn et, à l’exception d’un seul d’entre eux, ils font partie de la Première nation de Fort Nelson.  Après qu’au moins certains des appelants l’eurent empêchée d’accéder à ces zones, Moulton a intenté une action en dommages</w:t>
      </w:r>
      <w:r w:rsidRPr="00441983">
        <w:rPr>
          <w:sz w:val="20"/>
          <w:szCs w:val="20"/>
          <w:lang w:val="fr-CA"/>
        </w:rPr>
        <w:noBreakHyphen/>
        <w:t>intérêts contre eux, la Première nation et son chef, et la Couronne.  En défense, les appelants ont notamment nié que leurs actes étaient illégaux car, selon eux, les licences et le permis avaient été illégalement accordés à Moulton et ne donnaient à celle</w:t>
      </w:r>
      <w:r w:rsidRPr="00441983">
        <w:rPr>
          <w:sz w:val="20"/>
          <w:szCs w:val="20"/>
          <w:lang w:val="fr-CA"/>
        </w:rPr>
        <w:noBreakHyphen/>
        <w:t>ci aucun droit d’exploitation des zones visées ou d’accès à ces dernières.  Ils ont fait valoir que la Couronne avait omis de consulter convenablement la Première nation de Fort Nelson avant d’accorder les licences et le permis à Moulton et que, en émettant ces documents, elle avait empêché la Première nation de Fort Nelson de véritablement exercer ses droits en vertu du Traité 8.  Selon eux, cela constituait un empiètement inacceptable dans un champ de compétence législative fédérale.  Les demandes de la Couronne et de Moulton en vue de faire radier des paragraphes de la défense des appelants ont été accueillies sur la base que ces derniers n’avaient pas qualité pour faire valoir des arguments constitutionnels se rapportant aux droits issus de traités de la Première nation de Fort Nelson, et qu’il était manifeste et évident que leurs arguments n’exposaient aucune défense raisonnable ou encore qu’ils constituaient un abus de procédure.</w:t>
      </w:r>
    </w:p>
    <w:p w:rsidR="00295508" w:rsidRPr="00441983" w:rsidRDefault="00295508" w:rsidP="00295508">
      <w:pPr>
        <w:widowControl w:val="0"/>
        <w:jc w:val="both"/>
        <w:rPr>
          <w:sz w:val="20"/>
          <w:szCs w:val="20"/>
          <w:lang w:val="fr-CA"/>
        </w:rPr>
      </w:pPr>
    </w:p>
    <w:p w:rsidR="00295508" w:rsidRPr="00441983" w:rsidRDefault="00295508" w:rsidP="00295508">
      <w:pPr>
        <w:widowControl w:val="0"/>
        <w:jc w:val="both"/>
        <w:rPr>
          <w:sz w:val="20"/>
          <w:szCs w:val="20"/>
          <w:lang w:val="fr-CA"/>
        </w:rPr>
      </w:pPr>
    </w:p>
    <w:p w:rsidR="00295508" w:rsidRPr="00441983" w:rsidRDefault="00295508" w:rsidP="00295508">
      <w:pPr>
        <w:widowControl w:val="0"/>
        <w:ind w:left="2880" w:hanging="2880"/>
        <w:jc w:val="both"/>
        <w:rPr>
          <w:sz w:val="20"/>
          <w:szCs w:val="20"/>
          <w:lang w:val="fr-CA"/>
        </w:rPr>
      </w:pPr>
      <w:r w:rsidRPr="00441983">
        <w:rPr>
          <w:sz w:val="20"/>
          <w:szCs w:val="20"/>
          <w:lang w:val="fr-CA"/>
        </w:rPr>
        <w:t>Origine :</w:t>
      </w:r>
      <w:r w:rsidRPr="00441983">
        <w:rPr>
          <w:sz w:val="20"/>
          <w:szCs w:val="20"/>
          <w:lang w:val="fr-CA"/>
        </w:rPr>
        <w:tab/>
        <w:t>Colombie</w:t>
      </w:r>
      <w:r w:rsidRPr="00441983">
        <w:rPr>
          <w:sz w:val="20"/>
          <w:szCs w:val="20"/>
          <w:lang w:val="fr-CA"/>
        </w:rPr>
        <w:noBreakHyphen/>
        <w:t>Britannique</w:t>
      </w:r>
    </w:p>
    <w:p w:rsidR="00295508" w:rsidRPr="00441983" w:rsidRDefault="00295508" w:rsidP="00295508">
      <w:pPr>
        <w:widowControl w:val="0"/>
        <w:ind w:left="2880" w:hanging="2880"/>
        <w:jc w:val="both"/>
        <w:rPr>
          <w:sz w:val="20"/>
          <w:szCs w:val="20"/>
          <w:lang w:val="fr-CA"/>
        </w:rPr>
      </w:pPr>
    </w:p>
    <w:p w:rsidR="00295508" w:rsidRPr="00441983" w:rsidRDefault="00295508" w:rsidP="00295508">
      <w:pPr>
        <w:widowControl w:val="0"/>
        <w:ind w:left="2880" w:hanging="2880"/>
        <w:jc w:val="both"/>
        <w:rPr>
          <w:sz w:val="20"/>
          <w:szCs w:val="20"/>
          <w:lang w:val="fr-CA"/>
        </w:rPr>
      </w:pPr>
      <w:r w:rsidRPr="00441983">
        <w:rPr>
          <w:sz w:val="20"/>
          <w:szCs w:val="20"/>
          <w:lang w:val="fr-CA"/>
        </w:rPr>
        <w:t>N</w:t>
      </w:r>
      <w:r w:rsidRPr="00441983">
        <w:rPr>
          <w:sz w:val="20"/>
          <w:szCs w:val="20"/>
          <w:vertAlign w:val="superscript"/>
          <w:lang w:val="fr-CA"/>
        </w:rPr>
        <w:t>o</w:t>
      </w:r>
      <w:r w:rsidRPr="00441983">
        <w:rPr>
          <w:sz w:val="20"/>
          <w:szCs w:val="20"/>
          <w:lang w:val="fr-CA"/>
        </w:rPr>
        <w:t xml:space="preserve"> du greffe :</w:t>
      </w:r>
      <w:r w:rsidRPr="00441983">
        <w:rPr>
          <w:sz w:val="20"/>
          <w:szCs w:val="20"/>
          <w:lang w:val="fr-CA"/>
        </w:rPr>
        <w:tab/>
        <w:t>34404</w:t>
      </w:r>
    </w:p>
    <w:p w:rsidR="00295508" w:rsidRPr="00441983" w:rsidRDefault="00295508" w:rsidP="00295508">
      <w:pPr>
        <w:widowControl w:val="0"/>
        <w:ind w:left="2880" w:hanging="2880"/>
        <w:jc w:val="both"/>
        <w:rPr>
          <w:sz w:val="20"/>
          <w:szCs w:val="20"/>
          <w:lang w:val="fr-CA"/>
        </w:rPr>
      </w:pPr>
    </w:p>
    <w:p w:rsidR="00295508" w:rsidRPr="00441983" w:rsidRDefault="00295508" w:rsidP="00295508">
      <w:pPr>
        <w:widowControl w:val="0"/>
        <w:ind w:left="2880" w:hanging="2880"/>
        <w:jc w:val="both"/>
        <w:rPr>
          <w:sz w:val="20"/>
          <w:szCs w:val="20"/>
          <w:lang w:val="fr-CA"/>
        </w:rPr>
      </w:pPr>
      <w:r w:rsidRPr="00441983">
        <w:rPr>
          <w:sz w:val="20"/>
          <w:szCs w:val="20"/>
          <w:lang w:val="fr-CA"/>
        </w:rPr>
        <w:t>Arrêt de la Cour d’appel :</w:t>
      </w:r>
      <w:r w:rsidRPr="00441983">
        <w:rPr>
          <w:sz w:val="20"/>
          <w:szCs w:val="20"/>
          <w:lang w:val="fr-CA"/>
        </w:rPr>
        <w:tab/>
        <w:t>le 6 juillet 2011</w:t>
      </w:r>
    </w:p>
    <w:p w:rsidR="00295508" w:rsidRPr="00441983" w:rsidRDefault="00295508" w:rsidP="00295508">
      <w:pPr>
        <w:widowControl w:val="0"/>
        <w:ind w:left="2880" w:hanging="2880"/>
        <w:jc w:val="both"/>
        <w:rPr>
          <w:sz w:val="20"/>
          <w:szCs w:val="20"/>
          <w:lang w:val="fr-CA"/>
        </w:rPr>
      </w:pPr>
    </w:p>
    <w:p w:rsidR="00295508" w:rsidRPr="00441983" w:rsidRDefault="00295508" w:rsidP="00295508">
      <w:pPr>
        <w:widowControl w:val="0"/>
        <w:ind w:left="2880" w:hanging="2880"/>
        <w:jc w:val="both"/>
        <w:rPr>
          <w:sz w:val="20"/>
          <w:szCs w:val="20"/>
          <w:lang w:val="fr-CA"/>
        </w:rPr>
      </w:pPr>
      <w:r w:rsidRPr="00441983">
        <w:rPr>
          <w:sz w:val="20"/>
          <w:szCs w:val="20"/>
          <w:lang w:val="fr-CA"/>
        </w:rPr>
        <w:t>Avocats :</w:t>
      </w:r>
      <w:r w:rsidRPr="00441983">
        <w:rPr>
          <w:sz w:val="20"/>
          <w:szCs w:val="20"/>
          <w:lang w:val="fr-CA"/>
        </w:rPr>
        <w:tab/>
        <w:t>Robert J. M. Janes, Karey M. Brooks et Sarah E. Sharp pour les appelants</w:t>
      </w:r>
    </w:p>
    <w:p w:rsidR="00295508" w:rsidRPr="00441983" w:rsidRDefault="00295508" w:rsidP="00295508">
      <w:pPr>
        <w:widowControl w:val="0"/>
        <w:ind w:left="2880" w:hanging="2880"/>
        <w:jc w:val="both"/>
        <w:rPr>
          <w:sz w:val="20"/>
          <w:szCs w:val="20"/>
          <w:lang w:val="fr-CA"/>
        </w:rPr>
      </w:pPr>
      <w:r w:rsidRPr="00441983">
        <w:rPr>
          <w:sz w:val="20"/>
          <w:szCs w:val="20"/>
          <w:lang w:val="fr-CA"/>
        </w:rPr>
        <w:tab/>
        <w:t>Charles F. Willms pour l’intimée Moulton Contracting Ltd.</w:t>
      </w:r>
    </w:p>
    <w:p w:rsidR="00295508" w:rsidRPr="00441983" w:rsidRDefault="00295508" w:rsidP="00295508">
      <w:pPr>
        <w:widowControl w:val="0"/>
        <w:ind w:left="2880" w:hanging="2880"/>
        <w:jc w:val="both"/>
        <w:rPr>
          <w:sz w:val="20"/>
          <w:szCs w:val="20"/>
          <w:lang w:val="fr-CA"/>
        </w:rPr>
      </w:pPr>
      <w:r w:rsidRPr="00441983">
        <w:rPr>
          <w:sz w:val="20"/>
          <w:szCs w:val="20"/>
          <w:lang w:val="fr-CA"/>
        </w:rPr>
        <w:tab/>
        <w:t>Keith Phillips et Joel Oliphant pour l’intimée Sa Majesté la Reine</w:t>
      </w:r>
    </w:p>
    <w:p w:rsidR="00A818DB" w:rsidRPr="00295508" w:rsidRDefault="00A818DB" w:rsidP="00A818DB">
      <w:pPr>
        <w:widowControl w:val="0"/>
        <w:jc w:val="both"/>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0"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482610" w:rsidRPr="008C3DE2" w:rsidRDefault="00DB239D" w:rsidP="00482610">
      <w:pPr>
        <w:widowControl w:val="0"/>
        <w:ind w:left="720" w:hanging="720"/>
        <w:jc w:val="both"/>
        <w:rPr>
          <w:sz w:val="20"/>
          <w:szCs w:val="20"/>
        </w:rPr>
      </w:pPr>
      <w:r w:rsidRPr="008C3DE2">
        <w:rPr>
          <w:b/>
          <w:sz w:val="20"/>
          <w:szCs w:val="20"/>
        </w:rPr>
        <w:fldChar w:fldCharType="begin"/>
      </w:r>
      <w:r w:rsidR="00482610" w:rsidRPr="008C3DE2">
        <w:rPr>
          <w:b/>
          <w:sz w:val="20"/>
          <w:szCs w:val="20"/>
        </w:rPr>
        <w:instrText xml:space="preserve"> SEQ CHAPTER \h \r 1</w:instrText>
      </w:r>
      <w:r w:rsidRPr="008C3DE2">
        <w:rPr>
          <w:b/>
          <w:sz w:val="20"/>
          <w:szCs w:val="20"/>
        </w:rPr>
        <w:fldChar w:fldCharType="end"/>
      </w:r>
      <w:r w:rsidR="00482610" w:rsidRPr="008C3DE2">
        <w:rPr>
          <w:b/>
          <w:sz w:val="20"/>
          <w:szCs w:val="20"/>
        </w:rPr>
        <w:t>34317</w:t>
      </w:r>
      <w:r w:rsidR="00482610" w:rsidRPr="008C3DE2">
        <w:rPr>
          <w:sz w:val="20"/>
          <w:szCs w:val="20"/>
        </w:rPr>
        <w:tab/>
      </w:r>
      <w:r w:rsidR="00482610" w:rsidRPr="008C3DE2">
        <w:rPr>
          <w:b/>
          <w:i/>
          <w:sz w:val="20"/>
          <w:szCs w:val="20"/>
        </w:rPr>
        <w:t>Her Majesty the Queen v. Criminal Lawyers’ Association of Ontario and Lawrence Greenspon</w:t>
      </w:r>
    </w:p>
    <w:p w:rsidR="00482610" w:rsidRPr="008C3DE2" w:rsidRDefault="00482610" w:rsidP="00482610">
      <w:pPr>
        <w:widowControl w:val="0"/>
        <w:jc w:val="both"/>
        <w:rPr>
          <w:sz w:val="20"/>
          <w:szCs w:val="20"/>
        </w:rPr>
      </w:pPr>
    </w:p>
    <w:p w:rsidR="00482610" w:rsidRPr="008C3DE2" w:rsidRDefault="00482610" w:rsidP="00482610">
      <w:pPr>
        <w:widowControl w:val="0"/>
        <w:jc w:val="both"/>
        <w:rPr>
          <w:sz w:val="20"/>
          <w:szCs w:val="20"/>
        </w:rPr>
      </w:pPr>
      <w:r w:rsidRPr="008C3DE2">
        <w:rPr>
          <w:sz w:val="20"/>
          <w:szCs w:val="20"/>
        </w:rPr>
        <w:t xml:space="preserve">Constitutional Law </w:t>
      </w:r>
      <w:r w:rsidRPr="008C3DE2">
        <w:rPr>
          <w:sz w:val="20"/>
          <w:szCs w:val="20"/>
        </w:rPr>
        <w:noBreakHyphen/>
        <w:t xml:space="preserve"> Division of powers </w:t>
      </w:r>
      <w:r w:rsidRPr="008C3DE2">
        <w:rPr>
          <w:sz w:val="20"/>
          <w:szCs w:val="20"/>
        </w:rPr>
        <w:noBreakHyphen/>
        <w:t xml:space="preserve"> Court’s jurisdiction to order fees be paid to </w:t>
      </w:r>
      <w:r w:rsidRPr="008C3DE2">
        <w:rPr>
          <w:i/>
          <w:sz w:val="20"/>
          <w:szCs w:val="20"/>
        </w:rPr>
        <w:t>amicus curiae</w:t>
      </w:r>
      <w:r w:rsidRPr="008C3DE2">
        <w:rPr>
          <w:sz w:val="20"/>
          <w:szCs w:val="20"/>
        </w:rPr>
        <w:t xml:space="preserve"> from Consolidated Revenue Fund </w:t>
      </w:r>
      <w:r w:rsidRPr="008C3DE2">
        <w:rPr>
          <w:sz w:val="20"/>
          <w:szCs w:val="20"/>
        </w:rPr>
        <w:noBreakHyphen/>
        <w:t xml:space="preserve"> Court’s authority to set fees payable to </w:t>
      </w:r>
      <w:r w:rsidRPr="008C3DE2">
        <w:rPr>
          <w:i/>
          <w:sz w:val="20"/>
          <w:szCs w:val="20"/>
        </w:rPr>
        <w:t>amicus curiae</w:t>
      </w:r>
      <w:r w:rsidRPr="008C3DE2">
        <w:rPr>
          <w:sz w:val="20"/>
          <w:szCs w:val="20"/>
        </w:rPr>
        <w:t xml:space="preserve"> </w:t>
      </w:r>
      <w:r w:rsidRPr="008C3DE2">
        <w:rPr>
          <w:sz w:val="20"/>
          <w:szCs w:val="20"/>
        </w:rPr>
        <w:noBreakHyphen/>
        <w:t xml:space="preserve"> Whether the Court of Appeal erred in finding that the court has the inherent jurisdiction or the statutory authority to order Ontario to use public money to fund </w:t>
      </w:r>
      <w:r w:rsidRPr="008C3DE2">
        <w:rPr>
          <w:i/>
          <w:sz w:val="20"/>
          <w:szCs w:val="20"/>
        </w:rPr>
        <w:t>amicus</w:t>
      </w:r>
      <w:r w:rsidRPr="008C3DE2">
        <w:rPr>
          <w:sz w:val="20"/>
          <w:szCs w:val="20"/>
        </w:rPr>
        <w:t xml:space="preserve"> in the face of the legislature’s exclusive jurisdiction to disburse public funds </w:t>
      </w:r>
      <w:r w:rsidRPr="008C3DE2">
        <w:rPr>
          <w:sz w:val="20"/>
          <w:szCs w:val="20"/>
        </w:rPr>
        <w:noBreakHyphen/>
        <w:t xml:space="preserve"> In the alternative, whether the Court of Appeal erred in finding that there was no requirement for the court to adopt the least restrictive approach when it has ordered that </w:t>
      </w:r>
      <w:r w:rsidRPr="008C3DE2">
        <w:rPr>
          <w:i/>
          <w:sz w:val="20"/>
          <w:szCs w:val="20"/>
        </w:rPr>
        <w:t>amicus</w:t>
      </w:r>
      <w:r w:rsidRPr="008C3DE2">
        <w:rPr>
          <w:sz w:val="20"/>
          <w:szCs w:val="20"/>
        </w:rPr>
        <w:t xml:space="preserve"> </w:t>
      </w:r>
      <w:r w:rsidRPr="008C3DE2">
        <w:rPr>
          <w:i/>
          <w:sz w:val="20"/>
          <w:szCs w:val="20"/>
        </w:rPr>
        <w:t>curiae</w:t>
      </w:r>
      <w:r w:rsidRPr="008C3DE2">
        <w:rPr>
          <w:sz w:val="20"/>
          <w:szCs w:val="20"/>
        </w:rPr>
        <w:t xml:space="preserve"> is necessary to protect an accused’s fair trial rights. </w:t>
      </w:r>
    </w:p>
    <w:p w:rsidR="00482610" w:rsidRPr="008C3DE2" w:rsidRDefault="00482610" w:rsidP="00482610">
      <w:pPr>
        <w:widowControl w:val="0"/>
        <w:jc w:val="both"/>
        <w:rPr>
          <w:sz w:val="20"/>
          <w:szCs w:val="20"/>
        </w:rPr>
      </w:pPr>
    </w:p>
    <w:p w:rsidR="00482610" w:rsidRPr="008C3DE2" w:rsidRDefault="00482610" w:rsidP="00482610">
      <w:pPr>
        <w:widowControl w:val="0"/>
        <w:jc w:val="both"/>
        <w:rPr>
          <w:sz w:val="20"/>
          <w:szCs w:val="20"/>
        </w:rPr>
      </w:pPr>
      <w:r w:rsidRPr="008C3DE2">
        <w:rPr>
          <w:sz w:val="20"/>
          <w:szCs w:val="20"/>
        </w:rPr>
        <w:t xml:space="preserve">In four criminal proceedings, the trial judges appointed </w:t>
      </w:r>
      <w:r w:rsidRPr="008C3DE2">
        <w:rPr>
          <w:i/>
          <w:sz w:val="20"/>
          <w:szCs w:val="20"/>
        </w:rPr>
        <w:t>amicus curiae</w:t>
      </w:r>
      <w:r w:rsidRPr="008C3DE2">
        <w:rPr>
          <w:sz w:val="20"/>
          <w:szCs w:val="20"/>
        </w:rPr>
        <w:t xml:space="preserve"> and set conditions for compensating the </w:t>
      </w:r>
      <w:r w:rsidRPr="008C3DE2">
        <w:rPr>
          <w:i/>
          <w:sz w:val="20"/>
          <w:szCs w:val="20"/>
        </w:rPr>
        <w:t>amicus</w:t>
      </w:r>
      <w:r w:rsidRPr="008C3DE2">
        <w:rPr>
          <w:sz w:val="20"/>
          <w:szCs w:val="20"/>
        </w:rPr>
        <w:t xml:space="preserve">.  In one case, the trial judge also put in place a process for monitoring the accounts submitted by the </w:t>
      </w:r>
      <w:r w:rsidRPr="008C3DE2">
        <w:rPr>
          <w:i/>
          <w:sz w:val="20"/>
          <w:szCs w:val="20"/>
        </w:rPr>
        <w:t>amicus</w:t>
      </w:r>
      <w:r w:rsidRPr="008C3DE2">
        <w:rPr>
          <w:sz w:val="20"/>
          <w:szCs w:val="20"/>
        </w:rPr>
        <w:t xml:space="preserve">.  The Attorney General conceded on appeal that a court has the power to appoint </w:t>
      </w:r>
      <w:r w:rsidRPr="008C3DE2">
        <w:rPr>
          <w:i/>
          <w:sz w:val="20"/>
          <w:szCs w:val="20"/>
        </w:rPr>
        <w:t>amicus</w:t>
      </w:r>
      <w:r w:rsidRPr="008C3DE2">
        <w:rPr>
          <w:sz w:val="20"/>
          <w:szCs w:val="20"/>
        </w:rPr>
        <w:t xml:space="preserve"> and to set some terms of the appointment, but submitted that the court has no jurisdiction to order the state to pay </w:t>
      </w:r>
      <w:r w:rsidRPr="008C3DE2">
        <w:rPr>
          <w:i/>
          <w:sz w:val="20"/>
          <w:szCs w:val="20"/>
        </w:rPr>
        <w:t>amicus</w:t>
      </w:r>
      <w:r w:rsidRPr="008C3DE2">
        <w:rPr>
          <w:sz w:val="20"/>
          <w:szCs w:val="20"/>
        </w:rPr>
        <w:t xml:space="preserve">’ fees or to set the rate at which </w:t>
      </w:r>
      <w:r w:rsidRPr="008C3DE2">
        <w:rPr>
          <w:i/>
          <w:sz w:val="20"/>
          <w:szCs w:val="20"/>
        </w:rPr>
        <w:t>amicus</w:t>
      </w:r>
      <w:r w:rsidRPr="008C3DE2">
        <w:rPr>
          <w:sz w:val="20"/>
          <w:szCs w:val="20"/>
        </w:rPr>
        <w:t xml:space="preserve"> should be paid.  The Court of Appeal heard all four appeals together and dismissed the Attorney General’s appeals.  It held that the power to set rates of compensation and order monitoring is incidental to the court’s power to appoint </w:t>
      </w:r>
      <w:r w:rsidRPr="008C3DE2">
        <w:rPr>
          <w:i/>
          <w:sz w:val="20"/>
          <w:szCs w:val="20"/>
        </w:rPr>
        <w:t>amicus curiae</w:t>
      </w:r>
      <w:r w:rsidRPr="008C3DE2">
        <w:rPr>
          <w:sz w:val="20"/>
          <w:szCs w:val="20"/>
        </w:rPr>
        <w:t xml:space="preserve"> under s. 24(1) of the </w:t>
      </w:r>
      <w:r w:rsidRPr="008C3DE2">
        <w:rPr>
          <w:i/>
          <w:sz w:val="20"/>
          <w:szCs w:val="20"/>
        </w:rPr>
        <w:t xml:space="preserve">Charter </w:t>
      </w:r>
      <w:r w:rsidRPr="008C3DE2">
        <w:rPr>
          <w:sz w:val="20"/>
          <w:szCs w:val="20"/>
        </w:rPr>
        <w:t xml:space="preserve">or to control its processes.  It held that statutory authority in Ontario lies in the </w:t>
      </w:r>
      <w:r w:rsidRPr="008C3DE2">
        <w:rPr>
          <w:i/>
          <w:sz w:val="20"/>
          <w:szCs w:val="20"/>
        </w:rPr>
        <w:t xml:space="preserve">Proceedings </w:t>
      </w:r>
      <w:proofErr w:type="gramStart"/>
      <w:r w:rsidRPr="008C3DE2">
        <w:rPr>
          <w:i/>
          <w:sz w:val="20"/>
          <w:szCs w:val="20"/>
        </w:rPr>
        <w:t>Against</w:t>
      </w:r>
      <w:proofErr w:type="gramEnd"/>
      <w:r w:rsidRPr="008C3DE2">
        <w:rPr>
          <w:i/>
          <w:sz w:val="20"/>
          <w:szCs w:val="20"/>
        </w:rPr>
        <w:t xml:space="preserve"> the Crown Act</w:t>
      </w:r>
      <w:r w:rsidRPr="008C3DE2">
        <w:rPr>
          <w:sz w:val="20"/>
          <w:szCs w:val="20"/>
        </w:rPr>
        <w:t xml:space="preserve">, R.S.O. 1990, c. P.27, and the </w:t>
      </w:r>
      <w:r w:rsidRPr="008C3DE2">
        <w:rPr>
          <w:i/>
          <w:sz w:val="20"/>
          <w:szCs w:val="20"/>
        </w:rPr>
        <w:t>Financial Administration Act</w:t>
      </w:r>
      <w:r w:rsidRPr="008C3DE2">
        <w:rPr>
          <w:sz w:val="20"/>
          <w:szCs w:val="20"/>
        </w:rPr>
        <w:t>, R.S.O. 1990, c. F.12.  The Court of Appeal held that the judges’ orders do not infringe any constitutional principle.  It held that the appointments in issue and the rates set were appropriate in the circumstances.</w:t>
      </w:r>
    </w:p>
    <w:p w:rsidR="00482610" w:rsidRPr="008C3DE2" w:rsidRDefault="00482610" w:rsidP="00482610">
      <w:pPr>
        <w:widowControl w:val="0"/>
        <w:jc w:val="both"/>
        <w:rPr>
          <w:sz w:val="20"/>
          <w:szCs w:val="20"/>
        </w:rPr>
      </w:pPr>
    </w:p>
    <w:p w:rsidR="00482610" w:rsidRPr="008C3DE2" w:rsidRDefault="00482610" w:rsidP="00482610">
      <w:pPr>
        <w:widowControl w:val="0"/>
        <w:jc w:val="both"/>
        <w:rPr>
          <w:sz w:val="20"/>
          <w:szCs w:val="20"/>
        </w:rPr>
      </w:pPr>
    </w:p>
    <w:p w:rsidR="00482610" w:rsidRPr="008C3DE2" w:rsidRDefault="00482610" w:rsidP="00482610">
      <w:pPr>
        <w:widowControl w:val="0"/>
        <w:ind w:left="2880" w:hanging="2880"/>
        <w:jc w:val="both"/>
        <w:rPr>
          <w:sz w:val="20"/>
          <w:szCs w:val="20"/>
        </w:rPr>
      </w:pPr>
      <w:r w:rsidRPr="008C3DE2">
        <w:rPr>
          <w:sz w:val="20"/>
          <w:szCs w:val="20"/>
        </w:rPr>
        <w:t>Origin of the case:</w:t>
      </w:r>
      <w:r w:rsidRPr="008C3DE2">
        <w:rPr>
          <w:sz w:val="20"/>
          <w:szCs w:val="20"/>
        </w:rPr>
        <w:tab/>
        <w:t>Ontario</w:t>
      </w:r>
    </w:p>
    <w:p w:rsidR="00482610" w:rsidRPr="008C3DE2" w:rsidRDefault="00482610" w:rsidP="00482610">
      <w:pPr>
        <w:widowControl w:val="0"/>
        <w:ind w:left="2880" w:hanging="2880"/>
        <w:jc w:val="both"/>
        <w:rPr>
          <w:sz w:val="20"/>
          <w:szCs w:val="20"/>
        </w:rPr>
      </w:pPr>
    </w:p>
    <w:p w:rsidR="00482610" w:rsidRPr="008C3DE2" w:rsidRDefault="00482610" w:rsidP="00482610">
      <w:pPr>
        <w:widowControl w:val="0"/>
        <w:ind w:left="2880" w:hanging="2880"/>
        <w:jc w:val="both"/>
        <w:rPr>
          <w:sz w:val="20"/>
          <w:szCs w:val="20"/>
        </w:rPr>
      </w:pPr>
      <w:r w:rsidRPr="008C3DE2">
        <w:rPr>
          <w:sz w:val="20"/>
          <w:szCs w:val="20"/>
        </w:rPr>
        <w:t>File No.:</w:t>
      </w:r>
      <w:r w:rsidRPr="008C3DE2">
        <w:rPr>
          <w:sz w:val="20"/>
          <w:szCs w:val="20"/>
        </w:rPr>
        <w:tab/>
        <w:t>34317</w:t>
      </w:r>
    </w:p>
    <w:p w:rsidR="00482610" w:rsidRPr="008C3DE2" w:rsidRDefault="00482610" w:rsidP="00482610">
      <w:pPr>
        <w:widowControl w:val="0"/>
        <w:ind w:left="2880" w:hanging="2880"/>
        <w:jc w:val="both"/>
        <w:rPr>
          <w:sz w:val="20"/>
          <w:szCs w:val="20"/>
        </w:rPr>
      </w:pPr>
    </w:p>
    <w:p w:rsidR="00482610" w:rsidRPr="008C3DE2" w:rsidRDefault="00482610" w:rsidP="00482610">
      <w:pPr>
        <w:widowControl w:val="0"/>
        <w:ind w:left="2880" w:hanging="2880"/>
        <w:jc w:val="both"/>
        <w:rPr>
          <w:sz w:val="20"/>
          <w:szCs w:val="20"/>
        </w:rPr>
      </w:pPr>
      <w:r w:rsidRPr="008C3DE2">
        <w:rPr>
          <w:sz w:val="20"/>
          <w:szCs w:val="20"/>
        </w:rPr>
        <w:t>Judgment of the Court of Appeal:</w:t>
      </w:r>
      <w:r w:rsidRPr="008C3DE2">
        <w:rPr>
          <w:sz w:val="20"/>
          <w:szCs w:val="20"/>
        </w:rPr>
        <w:tab/>
        <w:t>April 19, 2011</w:t>
      </w:r>
    </w:p>
    <w:p w:rsidR="00482610" w:rsidRPr="008C3DE2" w:rsidRDefault="00482610" w:rsidP="00482610">
      <w:pPr>
        <w:widowControl w:val="0"/>
        <w:ind w:left="2880" w:hanging="2880"/>
        <w:jc w:val="both"/>
        <w:rPr>
          <w:sz w:val="20"/>
          <w:szCs w:val="20"/>
        </w:rPr>
      </w:pPr>
    </w:p>
    <w:p w:rsidR="00482610" w:rsidRPr="008C3DE2" w:rsidRDefault="00482610" w:rsidP="00482610">
      <w:pPr>
        <w:widowControl w:val="0"/>
        <w:ind w:left="2880" w:hanging="2880"/>
        <w:jc w:val="both"/>
        <w:rPr>
          <w:sz w:val="20"/>
          <w:szCs w:val="20"/>
        </w:rPr>
      </w:pPr>
      <w:r w:rsidRPr="008C3DE2">
        <w:rPr>
          <w:sz w:val="20"/>
          <w:szCs w:val="20"/>
        </w:rPr>
        <w:t>Counsel:</w:t>
      </w:r>
      <w:r w:rsidRPr="008C3DE2">
        <w:rPr>
          <w:sz w:val="20"/>
          <w:szCs w:val="20"/>
        </w:rPr>
        <w:tab/>
        <w:t>Malliha Wilson, Troy Harrison, Kristin Smith and Baaba Forson for the appellant</w:t>
      </w:r>
    </w:p>
    <w:p w:rsidR="00482610" w:rsidRPr="008C3DE2" w:rsidRDefault="00482610" w:rsidP="00482610">
      <w:pPr>
        <w:widowControl w:val="0"/>
        <w:ind w:left="2880" w:hanging="2880"/>
        <w:jc w:val="both"/>
        <w:rPr>
          <w:sz w:val="20"/>
          <w:szCs w:val="20"/>
        </w:rPr>
      </w:pPr>
      <w:r w:rsidRPr="008C3DE2">
        <w:rPr>
          <w:sz w:val="20"/>
          <w:szCs w:val="20"/>
        </w:rPr>
        <w:tab/>
        <w:t>P. Andras Schreck and Louis P. Strezos for the respondents</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1"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482610" w:rsidRPr="00D34E92" w:rsidRDefault="00DB239D" w:rsidP="00482610">
      <w:pPr>
        <w:widowControl w:val="0"/>
        <w:ind w:left="720" w:hanging="720"/>
        <w:jc w:val="both"/>
        <w:rPr>
          <w:sz w:val="20"/>
          <w:szCs w:val="20"/>
          <w:lang w:val="fr-CA"/>
        </w:rPr>
      </w:pPr>
      <w:r w:rsidRPr="00D34E92">
        <w:rPr>
          <w:b/>
          <w:sz w:val="20"/>
          <w:szCs w:val="20"/>
          <w:lang w:val="fr-CA"/>
        </w:rPr>
        <w:fldChar w:fldCharType="begin"/>
      </w:r>
      <w:r w:rsidR="00482610" w:rsidRPr="00D34E92">
        <w:rPr>
          <w:b/>
          <w:sz w:val="20"/>
          <w:szCs w:val="20"/>
          <w:lang w:val="fr-CA"/>
        </w:rPr>
        <w:instrText xml:space="preserve"> SEQ CHAPTER \h \r 1</w:instrText>
      </w:r>
      <w:r w:rsidRPr="00D34E92">
        <w:rPr>
          <w:b/>
          <w:sz w:val="20"/>
          <w:szCs w:val="20"/>
          <w:lang w:val="fr-CA"/>
        </w:rPr>
        <w:fldChar w:fldCharType="end"/>
      </w:r>
      <w:r w:rsidR="00482610" w:rsidRPr="00D34E92">
        <w:rPr>
          <w:b/>
          <w:sz w:val="20"/>
          <w:szCs w:val="20"/>
          <w:lang w:val="fr-CA"/>
        </w:rPr>
        <w:t>34317</w:t>
      </w:r>
      <w:r w:rsidR="00482610" w:rsidRPr="00D34E92">
        <w:rPr>
          <w:sz w:val="20"/>
          <w:szCs w:val="20"/>
          <w:lang w:val="fr-CA"/>
        </w:rPr>
        <w:tab/>
      </w:r>
      <w:r w:rsidR="00482610" w:rsidRPr="00D34E92">
        <w:rPr>
          <w:b/>
          <w:i/>
          <w:sz w:val="20"/>
          <w:szCs w:val="20"/>
          <w:lang w:val="fr-CA"/>
        </w:rPr>
        <w:t>Sa Majesté la Reine c. Criminal Lawyers</w:t>
      </w:r>
      <w:r w:rsidR="00472F86">
        <w:rPr>
          <w:b/>
          <w:i/>
          <w:sz w:val="20"/>
          <w:szCs w:val="20"/>
          <w:lang w:val="fr-CA"/>
        </w:rPr>
        <w:t>’</w:t>
      </w:r>
      <w:r w:rsidR="00482610" w:rsidRPr="00D34E92">
        <w:rPr>
          <w:b/>
          <w:i/>
          <w:sz w:val="20"/>
          <w:szCs w:val="20"/>
          <w:lang w:val="fr-CA"/>
        </w:rPr>
        <w:t xml:space="preserve"> Association et Lawrence Greenspon</w:t>
      </w:r>
    </w:p>
    <w:p w:rsidR="00482610" w:rsidRPr="00D34E92" w:rsidRDefault="00482610" w:rsidP="00482610">
      <w:pPr>
        <w:widowControl w:val="0"/>
        <w:jc w:val="both"/>
        <w:rPr>
          <w:sz w:val="20"/>
          <w:szCs w:val="20"/>
          <w:lang w:val="fr-CA"/>
        </w:rPr>
      </w:pPr>
    </w:p>
    <w:p w:rsidR="00482610" w:rsidRPr="00D34E92" w:rsidRDefault="00482610" w:rsidP="00482610">
      <w:pPr>
        <w:widowControl w:val="0"/>
        <w:jc w:val="both"/>
        <w:rPr>
          <w:sz w:val="20"/>
          <w:szCs w:val="20"/>
          <w:lang w:val="fr-CA"/>
        </w:rPr>
      </w:pPr>
      <w:r w:rsidRPr="00D34E92">
        <w:rPr>
          <w:sz w:val="20"/>
          <w:szCs w:val="20"/>
          <w:lang w:val="fr-CA"/>
        </w:rPr>
        <w:t xml:space="preserve">Droit constitutionnel </w:t>
      </w:r>
      <w:r w:rsidRPr="00D34E92">
        <w:rPr>
          <w:sz w:val="20"/>
          <w:szCs w:val="20"/>
          <w:lang w:val="fr-CA"/>
        </w:rPr>
        <w:noBreakHyphen/>
        <w:t xml:space="preserve"> Partage des compétences </w:t>
      </w:r>
      <w:r w:rsidRPr="00D34E92">
        <w:rPr>
          <w:sz w:val="20"/>
          <w:szCs w:val="20"/>
          <w:lang w:val="fr-CA"/>
        </w:rPr>
        <w:noBreakHyphen/>
        <w:t xml:space="preserve"> Compétence du tribunal pour ordonner que des honoraires soient payés à des </w:t>
      </w:r>
      <w:r w:rsidRPr="00D34E92">
        <w:rPr>
          <w:i/>
          <w:sz w:val="20"/>
          <w:szCs w:val="20"/>
          <w:lang w:val="fr-CA"/>
        </w:rPr>
        <w:t>amicus curiae</w:t>
      </w:r>
      <w:r w:rsidRPr="00D34E92">
        <w:rPr>
          <w:sz w:val="20"/>
          <w:szCs w:val="20"/>
          <w:lang w:val="fr-CA"/>
        </w:rPr>
        <w:t xml:space="preserve"> sur le Trésor </w:t>
      </w:r>
      <w:r w:rsidRPr="00D34E92">
        <w:rPr>
          <w:sz w:val="20"/>
          <w:szCs w:val="20"/>
          <w:lang w:val="fr-CA"/>
        </w:rPr>
        <w:noBreakHyphen/>
        <w:t xml:space="preserve"> Pouvoir du tribunal de fixer les honoraires payables aux </w:t>
      </w:r>
      <w:r w:rsidRPr="00D34E92">
        <w:rPr>
          <w:i/>
          <w:sz w:val="20"/>
          <w:szCs w:val="20"/>
          <w:lang w:val="fr-CA"/>
        </w:rPr>
        <w:t>amicus curiae</w:t>
      </w:r>
      <w:r w:rsidRPr="00D34E92">
        <w:rPr>
          <w:sz w:val="20"/>
          <w:szCs w:val="20"/>
          <w:lang w:val="fr-CA"/>
        </w:rPr>
        <w:t xml:space="preserve"> </w:t>
      </w:r>
      <w:r w:rsidRPr="00D34E92">
        <w:rPr>
          <w:sz w:val="20"/>
          <w:szCs w:val="20"/>
          <w:lang w:val="fr-CA"/>
        </w:rPr>
        <w:noBreakHyphen/>
        <w:t xml:space="preserve"> La Cour d’appel a</w:t>
      </w:r>
      <w:r w:rsidRPr="00D34E92">
        <w:rPr>
          <w:sz w:val="20"/>
          <w:szCs w:val="20"/>
          <w:lang w:val="fr-CA"/>
        </w:rPr>
        <w:noBreakHyphen/>
        <w:t>t</w:t>
      </w:r>
      <w:r w:rsidRPr="00D34E92">
        <w:rPr>
          <w:sz w:val="20"/>
          <w:szCs w:val="20"/>
          <w:lang w:val="fr-CA"/>
        </w:rPr>
        <w:noBreakHyphen/>
        <w:t xml:space="preserve">elle eu tort de conclure que le tribunal avait la compétence inhérente ou le pouvoir conféré par la loi d’ordonner à l’Ontario d’utiliser des fonds publics pour payer des </w:t>
      </w:r>
      <w:r w:rsidRPr="00D34E92">
        <w:rPr>
          <w:i/>
          <w:sz w:val="20"/>
          <w:szCs w:val="20"/>
          <w:lang w:val="fr-CA"/>
        </w:rPr>
        <w:t>amicus</w:t>
      </w:r>
      <w:r w:rsidRPr="00D34E92">
        <w:rPr>
          <w:sz w:val="20"/>
          <w:szCs w:val="20"/>
          <w:lang w:val="fr-CA"/>
        </w:rPr>
        <w:t xml:space="preserve"> eu égard à la compétence exclusive du législateur pour débourser des fonds publics? </w:t>
      </w:r>
      <w:r w:rsidRPr="00D34E92">
        <w:rPr>
          <w:sz w:val="20"/>
          <w:szCs w:val="20"/>
          <w:lang w:val="fr-CA"/>
        </w:rPr>
        <w:noBreakHyphen/>
        <w:t xml:space="preserve"> À titre subsidiaire, la Cour d’appel a</w:t>
      </w:r>
      <w:r w:rsidRPr="00D34E92">
        <w:rPr>
          <w:sz w:val="20"/>
          <w:szCs w:val="20"/>
          <w:lang w:val="fr-CA"/>
        </w:rPr>
        <w:noBreakHyphen/>
        <w:t>t</w:t>
      </w:r>
      <w:r w:rsidRPr="00D34E92">
        <w:rPr>
          <w:sz w:val="20"/>
          <w:szCs w:val="20"/>
          <w:lang w:val="fr-CA"/>
        </w:rPr>
        <w:noBreakHyphen/>
        <w:t>elle eu tort de conclure que le tribunal n’était pas tenu d’adopter l’approche la moins restrictive lorsqu’il a statué que la présence d’</w:t>
      </w:r>
      <w:r w:rsidRPr="00D34E92">
        <w:rPr>
          <w:i/>
          <w:sz w:val="20"/>
          <w:szCs w:val="20"/>
          <w:lang w:val="fr-CA"/>
        </w:rPr>
        <w:t>amicus curiae</w:t>
      </w:r>
      <w:r w:rsidRPr="00D34E92">
        <w:rPr>
          <w:sz w:val="20"/>
          <w:szCs w:val="20"/>
          <w:lang w:val="fr-CA"/>
        </w:rPr>
        <w:t xml:space="preserve"> était nécessaire pour protéger les droits d’un accusé à un procès équitable? </w:t>
      </w:r>
    </w:p>
    <w:p w:rsidR="00482610" w:rsidRPr="00D34E92" w:rsidRDefault="00482610" w:rsidP="00482610">
      <w:pPr>
        <w:widowControl w:val="0"/>
        <w:jc w:val="both"/>
        <w:rPr>
          <w:sz w:val="20"/>
          <w:szCs w:val="20"/>
          <w:lang w:val="fr-CA"/>
        </w:rPr>
      </w:pPr>
    </w:p>
    <w:p w:rsidR="00482610" w:rsidRPr="00D34E92" w:rsidRDefault="00482610" w:rsidP="00482610">
      <w:pPr>
        <w:widowControl w:val="0"/>
        <w:jc w:val="both"/>
        <w:rPr>
          <w:sz w:val="20"/>
          <w:szCs w:val="20"/>
          <w:lang w:val="fr-CA"/>
        </w:rPr>
      </w:pPr>
      <w:r w:rsidRPr="00D34E92">
        <w:rPr>
          <w:sz w:val="20"/>
          <w:szCs w:val="20"/>
          <w:lang w:val="fr-CA"/>
        </w:rPr>
        <w:t xml:space="preserve">Dans quatre affaires criminelles, les juges de première instance ont nommé des </w:t>
      </w:r>
      <w:r w:rsidRPr="00D34E92">
        <w:rPr>
          <w:i/>
          <w:sz w:val="20"/>
          <w:szCs w:val="20"/>
          <w:lang w:val="fr-CA"/>
        </w:rPr>
        <w:t>amicus curiae</w:t>
      </w:r>
      <w:r w:rsidRPr="00D34E92">
        <w:rPr>
          <w:sz w:val="20"/>
          <w:szCs w:val="20"/>
          <w:lang w:val="fr-CA"/>
        </w:rPr>
        <w:t xml:space="preserve"> et fixé les conditions de leur rémunération.  Dans un cas, le juge de première instance a mis en place un processus de contrôle des comptes présentés par l’</w:t>
      </w:r>
      <w:r w:rsidRPr="00D34E92">
        <w:rPr>
          <w:i/>
          <w:sz w:val="20"/>
          <w:szCs w:val="20"/>
          <w:lang w:val="fr-CA"/>
        </w:rPr>
        <w:t>amicus</w:t>
      </w:r>
      <w:r w:rsidRPr="00D34E92">
        <w:rPr>
          <w:sz w:val="20"/>
          <w:szCs w:val="20"/>
          <w:lang w:val="fr-CA"/>
        </w:rPr>
        <w:t xml:space="preserve">.  Le procureur général a concédé en appel qu’un tribunal avait le pouvoir de nommer un </w:t>
      </w:r>
      <w:r w:rsidRPr="00D34E92">
        <w:rPr>
          <w:i/>
          <w:sz w:val="20"/>
          <w:szCs w:val="20"/>
          <w:lang w:val="fr-CA"/>
        </w:rPr>
        <w:t>amicus</w:t>
      </w:r>
      <w:r w:rsidRPr="00D34E92">
        <w:rPr>
          <w:sz w:val="20"/>
          <w:szCs w:val="20"/>
          <w:lang w:val="fr-CA"/>
        </w:rPr>
        <w:t xml:space="preserve"> et de fixer quelques conditions de la nomination, mais a plaidé que le tribunal n’avait pas compétence pour ordonner à l’État de payer les honoraires de l’</w:t>
      </w:r>
      <w:r w:rsidRPr="00D34E92">
        <w:rPr>
          <w:i/>
          <w:sz w:val="20"/>
          <w:szCs w:val="20"/>
          <w:lang w:val="fr-CA"/>
        </w:rPr>
        <w:t>amicus</w:t>
      </w:r>
      <w:r w:rsidRPr="00D34E92">
        <w:rPr>
          <w:sz w:val="20"/>
          <w:szCs w:val="20"/>
          <w:lang w:val="fr-CA"/>
        </w:rPr>
        <w:t xml:space="preserve"> ou fixer le tarif auquel l’</w:t>
      </w:r>
      <w:r w:rsidRPr="00D34E92">
        <w:rPr>
          <w:i/>
          <w:sz w:val="20"/>
          <w:szCs w:val="20"/>
          <w:lang w:val="fr-CA"/>
        </w:rPr>
        <w:t>amicus</w:t>
      </w:r>
      <w:r w:rsidRPr="00D34E92">
        <w:rPr>
          <w:sz w:val="20"/>
          <w:szCs w:val="20"/>
          <w:lang w:val="fr-CA"/>
        </w:rPr>
        <w:t xml:space="preserve"> devait être payé.  La Cour d’appel a instruit les quatre appels ensemble et a rejeté les appels du procureur général.  Elle a statué que le pouvoir de fixer les tarifs de rémunération et d’ordonner le contrôle était accessoire au pouvoir du tribunal de nommer des </w:t>
      </w:r>
      <w:r w:rsidRPr="00D34E92">
        <w:rPr>
          <w:i/>
          <w:sz w:val="20"/>
          <w:szCs w:val="20"/>
          <w:lang w:val="fr-CA"/>
        </w:rPr>
        <w:t>amicus curiae</w:t>
      </w:r>
      <w:r w:rsidRPr="00D34E92">
        <w:rPr>
          <w:sz w:val="20"/>
          <w:szCs w:val="20"/>
          <w:lang w:val="fr-CA"/>
        </w:rPr>
        <w:t xml:space="preserve"> en application du par. 24(1) de la </w:t>
      </w:r>
      <w:r w:rsidRPr="00D34E92">
        <w:rPr>
          <w:i/>
          <w:sz w:val="20"/>
          <w:szCs w:val="20"/>
          <w:lang w:val="fr-CA"/>
        </w:rPr>
        <w:t>Charte</w:t>
      </w:r>
      <w:r w:rsidRPr="00D34E92">
        <w:rPr>
          <w:sz w:val="20"/>
          <w:szCs w:val="20"/>
          <w:lang w:val="fr-CA"/>
        </w:rPr>
        <w:t xml:space="preserve"> ou de faire respecter sa procédure.  Elle a statué que le pouvoir conféré par la loi en Ontario découlait de la </w:t>
      </w:r>
      <w:r w:rsidRPr="00D34E92">
        <w:rPr>
          <w:i/>
          <w:sz w:val="20"/>
          <w:szCs w:val="20"/>
          <w:lang w:val="fr-CA"/>
        </w:rPr>
        <w:t>Loi sur les instances introduites contre la Couronne</w:t>
      </w:r>
      <w:r w:rsidRPr="00D34E92">
        <w:rPr>
          <w:sz w:val="20"/>
          <w:szCs w:val="20"/>
          <w:lang w:val="fr-CA"/>
        </w:rPr>
        <w:t xml:space="preserve">, L.R.O. 1990, ch. P.27 et de la </w:t>
      </w:r>
      <w:r w:rsidRPr="00D34E92">
        <w:rPr>
          <w:i/>
          <w:sz w:val="20"/>
          <w:szCs w:val="20"/>
          <w:lang w:val="fr-CA"/>
        </w:rPr>
        <w:t>Loi sur l’administration financière</w:t>
      </w:r>
      <w:r w:rsidRPr="00D34E92">
        <w:rPr>
          <w:sz w:val="20"/>
          <w:szCs w:val="20"/>
          <w:lang w:val="fr-CA"/>
        </w:rPr>
        <w:t xml:space="preserve">, L.R.O. 1990, ch. F.12.  La Cour d’appel a statué que les ordonnances des juges ne violaient aucun principe constitutionnel.  Elle a statué que les nominations en cause et les tarifs fixés étaient appropriés en l’espèce. </w:t>
      </w:r>
    </w:p>
    <w:p w:rsidR="00482610" w:rsidRPr="00D34E92" w:rsidRDefault="00482610" w:rsidP="00482610">
      <w:pPr>
        <w:widowControl w:val="0"/>
        <w:jc w:val="both"/>
        <w:rPr>
          <w:sz w:val="20"/>
          <w:szCs w:val="20"/>
          <w:lang w:val="fr-CA"/>
        </w:rPr>
      </w:pPr>
    </w:p>
    <w:p w:rsidR="00482610" w:rsidRPr="00D34E92" w:rsidRDefault="00482610" w:rsidP="00482610">
      <w:pPr>
        <w:widowControl w:val="0"/>
        <w:jc w:val="both"/>
        <w:rPr>
          <w:sz w:val="20"/>
          <w:szCs w:val="20"/>
          <w:lang w:val="fr-CA"/>
        </w:rPr>
      </w:pPr>
    </w:p>
    <w:p w:rsidR="00482610" w:rsidRPr="00D34E92" w:rsidRDefault="00482610" w:rsidP="00482610">
      <w:pPr>
        <w:widowControl w:val="0"/>
        <w:ind w:left="2880" w:hanging="2880"/>
        <w:jc w:val="both"/>
        <w:rPr>
          <w:sz w:val="20"/>
          <w:szCs w:val="20"/>
          <w:lang w:val="fr-CA"/>
        </w:rPr>
      </w:pPr>
      <w:r w:rsidRPr="00D34E92">
        <w:rPr>
          <w:sz w:val="20"/>
          <w:szCs w:val="20"/>
          <w:lang w:val="fr-CA"/>
        </w:rPr>
        <w:t>Origine :</w:t>
      </w:r>
      <w:r w:rsidRPr="00D34E92">
        <w:rPr>
          <w:sz w:val="20"/>
          <w:szCs w:val="20"/>
          <w:lang w:val="fr-CA"/>
        </w:rPr>
        <w:tab/>
        <w:t>Ontario</w:t>
      </w:r>
    </w:p>
    <w:p w:rsidR="00482610" w:rsidRPr="00D34E92" w:rsidRDefault="00482610" w:rsidP="00482610">
      <w:pPr>
        <w:widowControl w:val="0"/>
        <w:ind w:left="2880" w:hanging="2880"/>
        <w:jc w:val="both"/>
        <w:rPr>
          <w:sz w:val="20"/>
          <w:szCs w:val="20"/>
          <w:lang w:val="fr-CA"/>
        </w:rPr>
      </w:pPr>
    </w:p>
    <w:p w:rsidR="00482610" w:rsidRPr="00D34E92" w:rsidRDefault="00482610" w:rsidP="00482610">
      <w:pPr>
        <w:widowControl w:val="0"/>
        <w:ind w:left="2880" w:hanging="2880"/>
        <w:jc w:val="both"/>
        <w:rPr>
          <w:sz w:val="20"/>
          <w:szCs w:val="20"/>
          <w:lang w:val="fr-CA"/>
        </w:rPr>
      </w:pPr>
      <w:r w:rsidRPr="00D34E92">
        <w:rPr>
          <w:sz w:val="20"/>
          <w:szCs w:val="20"/>
          <w:lang w:val="fr-CA"/>
        </w:rPr>
        <w:t>N</w:t>
      </w:r>
      <w:r w:rsidRPr="00D34E92">
        <w:rPr>
          <w:sz w:val="20"/>
          <w:szCs w:val="20"/>
          <w:vertAlign w:val="superscript"/>
          <w:lang w:val="fr-CA"/>
        </w:rPr>
        <w:t>o</w:t>
      </w:r>
      <w:r w:rsidRPr="00D34E92">
        <w:rPr>
          <w:sz w:val="20"/>
          <w:szCs w:val="20"/>
          <w:lang w:val="fr-CA"/>
        </w:rPr>
        <w:t xml:space="preserve"> du greffe :</w:t>
      </w:r>
      <w:r w:rsidRPr="00D34E92">
        <w:rPr>
          <w:sz w:val="20"/>
          <w:szCs w:val="20"/>
          <w:lang w:val="fr-CA"/>
        </w:rPr>
        <w:tab/>
        <w:t>34317</w:t>
      </w:r>
    </w:p>
    <w:p w:rsidR="00482610" w:rsidRPr="00D34E92" w:rsidRDefault="00482610" w:rsidP="00482610">
      <w:pPr>
        <w:widowControl w:val="0"/>
        <w:ind w:left="2880" w:hanging="2880"/>
        <w:jc w:val="both"/>
        <w:rPr>
          <w:sz w:val="20"/>
          <w:szCs w:val="20"/>
          <w:lang w:val="fr-CA"/>
        </w:rPr>
      </w:pPr>
    </w:p>
    <w:p w:rsidR="00482610" w:rsidRPr="00D34E92" w:rsidRDefault="00482610" w:rsidP="00482610">
      <w:pPr>
        <w:widowControl w:val="0"/>
        <w:ind w:left="2880" w:hanging="2880"/>
        <w:jc w:val="both"/>
        <w:rPr>
          <w:sz w:val="20"/>
          <w:szCs w:val="20"/>
          <w:lang w:val="fr-CA"/>
        </w:rPr>
      </w:pPr>
      <w:r w:rsidRPr="00D34E92">
        <w:rPr>
          <w:sz w:val="20"/>
          <w:szCs w:val="20"/>
          <w:lang w:val="fr-CA"/>
        </w:rPr>
        <w:t>Arrêt de la Cour d’appel :</w:t>
      </w:r>
      <w:r w:rsidRPr="00D34E92">
        <w:rPr>
          <w:sz w:val="20"/>
          <w:szCs w:val="20"/>
          <w:lang w:val="fr-CA"/>
        </w:rPr>
        <w:tab/>
        <w:t>le 19 avril 2011</w:t>
      </w:r>
    </w:p>
    <w:p w:rsidR="00482610" w:rsidRPr="00D34E92" w:rsidRDefault="00482610" w:rsidP="00482610">
      <w:pPr>
        <w:widowControl w:val="0"/>
        <w:ind w:left="2880" w:hanging="2880"/>
        <w:jc w:val="both"/>
        <w:rPr>
          <w:sz w:val="20"/>
          <w:szCs w:val="20"/>
          <w:lang w:val="fr-CA"/>
        </w:rPr>
      </w:pPr>
    </w:p>
    <w:p w:rsidR="00482610" w:rsidRPr="00D34E92" w:rsidRDefault="00482610" w:rsidP="00482610">
      <w:pPr>
        <w:widowControl w:val="0"/>
        <w:ind w:left="2880" w:hanging="2880"/>
        <w:jc w:val="both"/>
        <w:rPr>
          <w:sz w:val="20"/>
          <w:szCs w:val="20"/>
          <w:lang w:val="fr-CA"/>
        </w:rPr>
      </w:pPr>
      <w:r w:rsidRPr="00D34E92">
        <w:rPr>
          <w:sz w:val="20"/>
          <w:szCs w:val="20"/>
          <w:lang w:val="fr-CA"/>
        </w:rPr>
        <w:t>Avocats :</w:t>
      </w:r>
      <w:r w:rsidRPr="00D34E92">
        <w:rPr>
          <w:sz w:val="20"/>
          <w:szCs w:val="20"/>
          <w:lang w:val="fr-CA"/>
        </w:rPr>
        <w:tab/>
        <w:t>Malliha Wilson, Troy Harrison, Kristin Smith et Baaba Forson pour l’appelante</w:t>
      </w:r>
    </w:p>
    <w:p w:rsidR="00482610" w:rsidRPr="00D34E92" w:rsidRDefault="00482610" w:rsidP="00482610">
      <w:pPr>
        <w:widowControl w:val="0"/>
        <w:ind w:left="2880" w:hanging="2880"/>
        <w:jc w:val="both"/>
        <w:rPr>
          <w:sz w:val="20"/>
          <w:szCs w:val="20"/>
          <w:lang w:val="fr-CA"/>
        </w:rPr>
      </w:pPr>
      <w:r w:rsidRPr="00D34E92">
        <w:rPr>
          <w:sz w:val="20"/>
          <w:szCs w:val="20"/>
          <w:lang w:val="fr-CA"/>
        </w:rPr>
        <w:tab/>
        <w:t>P. Andras Schreck et Louis P. Strezos pour les intimés</w:t>
      </w:r>
    </w:p>
    <w:p w:rsidR="00A818DB" w:rsidRPr="00482610" w:rsidRDefault="00A818DB" w:rsidP="00A818DB">
      <w:pPr>
        <w:widowControl w:val="0"/>
        <w:jc w:val="both"/>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2"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482610" w:rsidRPr="00884C00" w:rsidRDefault="00DB239D" w:rsidP="00482610">
      <w:pPr>
        <w:widowControl w:val="0"/>
        <w:ind w:left="720" w:hanging="720"/>
        <w:jc w:val="both"/>
        <w:rPr>
          <w:sz w:val="20"/>
          <w:szCs w:val="20"/>
        </w:rPr>
      </w:pPr>
      <w:r w:rsidRPr="00884C00">
        <w:rPr>
          <w:b/>
          <w:sz w:val="20"/>
          <w:szCs w:val="20"/>
        </w:rPr>
        <w:fldChar w:fldCharType="begin"/>
      </w:r>
      <w:r w:rsidR="00482610" w:rsidRPr="00884C00">
        <w:rPr>
          <w:b/>
          <w:sz w:val="20"/>
          <w:szCs w:val="20"/>
        </w:rPr>
        <w:instrText xml:space="preserve"> SEQ CHAPTER \h \r 1</w:instrText>
      </w:r>
      <w:r w:rsidRPr="00884C00">
        <w:rPr>
          <w:b/>
          <w:sz w:val="20"/>
          <w:szCs w:val="20"/>
        </w:rPr>
        <w:fldChar w:fldCharType="end"/>
      </w:r>
      <w:proofErr w:type="gramStart"/>
      <w:r w:rsidR="00482610" w:rsidRPr="00884C00">
        <w:rPr>
          <w:b/>
          <w:sz w:val="20"/>
          <w:szCs w:val="20"/>
        </w:rPr>
        <w:t>34444</w:t>
      </w:r>
      <w:r w:rsidR="00482610" w:rsidRPr="00884C00">
        <w:rPr>
          <w:sz w:val="20"/>
          <w:szCs w:val="20"/>
        </w:rPr>
        <w:tab/>
      </w:r>
      <w:r w:rsidR="00482610" w:rsidRPr="00884C00">
        <w:rPr>
          <w:b/>
          <w:i/>
          <w:sz w:val="20"/>
          <w:szCs w:val="20"/>
        </w:rPr>
        <w:t>Cathie Gauthier v.</w:t>
      </w:r>
      <w:proofErr w:type="gramEnd"/>
      <w:r w:rsidR="00482610" w:rsidRPr="00884C00">
        <w:rPr>
          <w:b/>
          <w:i/>
          <w:sz w:val="20"/>
          <w:szCs w:val="20"/>
        </w:rPr>
        <w:t xml:space="preserve"> Her Majesty the Queen</w:t>
      </w:r>
    </w:p>
    <w:p w:rsidR="00482610" w:rsidRPr="00884C00" w:rsidRDefault="00482610" w:rsidP="00482610">
      <w:pPr>
        <w:widowControl w:val="0"/>
        <w:jc w:val="both"/>
        <w:rPr>
          <w:sz w:val="20"/>
          <w:szCs w:val="20"/>
        </w:rPr>
      </w:pPr>
    </w:p>
    <w:p w:rsidR="00482610" w:rsidRPr="00884C00" w:rsidRDefault="00482610" w:rsidP="00482610">
      <w:pPr>
        <w:widowControl w:val="0"/>
        <w:jc w:val="both"/>
        <w:rPr>
          <w:sz w:val="20"/>
          <w:szCs w:val="20"/>
        </w:rPr>
      </w:pPr>
      <w:r w:rsidRPr="00884C00">
        <w:rPr>
          <w:sz w:val="20"/>
          <w:szCs w:val="20"/>
        </w:rPr>
        <w:t xml:space="preserve">Criminal law </w:t>
      </w:r>
      <w:r w:rsidRPr="00884C00">
        <w:rPr>
          <w:sz w:val="20"/>
          <w:szCs w:val="20"/>
        </w:rPr>
        <w:noBreakHyphen/>
        <w:t xml:space="preserve"> Jury charge </w:t>
      </w:r>
      <w:r w:rsidRPr="00884C00">
        <w:rPr>
          <w:sz w:val="20"/>
          <w:szCs w:val="20"/>
        </w:rPr>
        <w:noBreakHyphen/>
        <w:t xml:space="preserve"> Defence of abandonment </w:t>
      </w:r>
      <w:r w:rsidRPr="00884C00">
        <w:rPr>
          <w:sz w:val="20"/>
          <w:szCs w:val="20"/>
        </w:rPr>
        <w:noBreakHyphen/>
        <w:t xml:space="preserve"> Whether Court of Appeal erred in law in holding that trial judge had been right not to put defence of abandonment to jury </w:t>
      </w:r>
      <w:r w:rsidRPr="00884C00">
        <w:rPr>
          <w:sz w:val="20"/>
          <w:szCs w:val="20"/>
        </w:rPr>
        <w:noBreakHyphen/>
        <w:t xml:space="preserve"> Whether Court of Appeal erred in law in upholding guilty verdicts on ground that appellant should have prevented children from drinking beverages prepared by her spouse </w:t>
      </w:r>
      <w:r w:rsidRPr="00884C00">
        <w:rPr>
          <w:sz w:val="20"/>
          <w:szCs w:val="20"/>
        </w:rPr>
        <w:noBreakHyphen/>
        <w:t xml:space="preserve"> </w:t>
      </w:r>
      <w:r w:rsidRPr="00884C00">
        <w:rPr>
          <w:i/>
          <w:sz w:val="20"/>
          <w:szCs w:val="20"/>
        </w:rPr>
        <w:t>R. v. Cinous</w:t>
      </w:r>
      <w:r w:rsidRPr="00884C00">
        <w:rPr>
          <w:sz w:val="20"/>
          <w:szCs w:val="20"/>
        </w:rPr>
        <w:t>, [2002] 2 S.C.R. 3.</w:t>
      </w:r>
    </w:p>
    <w:p w:rsidR="00482610" w:rsidRPr="00884C00" w:rsidRDefault="00482610" w:rsidP="00482610">
      <w:pPr>
        <w:widowControl w:val="0"/>
        <w:jc w:val="both"/>
        <w:rPr>
          <w:sz w:val="20"/>
          <w:szCs w:val="20"/>
        </w:rPr>
      </w:pPr>
    </w:p>
    <w:p w:rsidR="00482610" w:rsidRPr="00884C00" w:rsidRDefault="00482610" w:rsidP="00482610">
      <w:pPr>
        <w:widowControl w:val="0"/>
        <w:jc w:val="both"/>
        <w:rPr>
          <w:sz w:val="20"/>
          <w:szCs w:val="20"/>
        </w:rPr>
      </w:pPr>
      <w:r w:rsidRPr="00884C00">
        <w:rPr>
          <w:sz w:val="20"/>
          <w:szCs w:val="20"/>
        </w:rPr>
        <w:t>On January 1, 2009 at 11:56 p.m., the appellant Cathie Gauthier dialled 9</w:t>
      </w:r>
      <w:r w:rsidRPr="00884C00">
        <w:rPr>
          <w:sz w:val="20"/>
          <w:szCs w:val="20"/>
        </w:rPr>
        <w:noBreakHyphen/>
        <w:t>1</w:t>
      </w:r>
      <w:r w:rsidRPr="00884C00">
        <w:rPr>
          <w:sz w:val="20"/>
          <w:szCs w:val="20"/>
        </w:rPr>
        <w:noBreakHyphen/>
        <w:t>1 from her home.  In a weak voice broken by sobs, she requested an ambulance.  The operator asked her what the problem was.  She told the operator that her wrist was cut.  The operator asked whether it was a suicide attempt, and Ms. Gauthier answered: [</w:t>
      </w:r>
      <w:r w:rsidRPr="00884C00">
        <w:rPr>
          <w:smallCaps/>
          <w:sz w:val="20"/>
          <w:szCs w:val="20"/>
        </w:rPr>
        <w:t>translation</w:t>
      </w:r>
      <w:r w:rsidRPr="00884C00">
        <w:rPr>
          <w:rFonts w:asciiTheme="minorBidi" w:hAnsiTheme="minorBidi"/>
          <w:sz w:val="20"/>
          <w:szCs w:val="20"/>
        </w:rPr>
        <w:t xml:space="preserve">] </w:t>
      </w:r>
      <w:r w:rsidRPr="00884C00">
        <w:rPr>
          <w:sz w:val="20"/>
          <w:szCs w:val="20"/>
        </w:rPr>
        <w:t>“it was a pact; my husband killed our three children”.  She later stated: [</w:t>
      </w:r>
      <w:r w:rsidRPr="00884C00">
        <w:rPr>
          <w:smallCaps/>
          <w:sz w:val="20"/>
          <w:szCs w:val="20"/>
        </w:rPr>
        <w:t>translation</w:t>
      </w:r>
      <w:r w:rsidRPr="00884C00">
        <w:rPr>
          <w:rFonts w:asciiTheme="minorBidi" w:hAnsiTheme="minorBidi"/>
          <w:sz w:val="20"/>
          <w:szCs w:val="20"/>
        </w:rPr>
        <w:t>]</w:t>
      </w:r>
      <w:r w:rsidRPr="00884C00">
        <w:rPr>
          <w:sz w:val="20"/>
          <w:szCs w:val="20"/>
        </w:rPr>
        <w:t xml:space="preserve"> “we said that we wouldn’t start 2009, but. . . .”  During the telephone call, which lasted about 12 minutes, Ms. Gauthier also said that she had woken up lying in her bed with her three children.  Her wrist was slit and her husband was lying on the bedroom floor.  She shook the children, but they did not respond.  She stated that her spouse had cut her wrist and drugged everyone with sleeping pills.  She had dragged herself to the kitchen to call for help.  She had the impression that these events had taken place 24 hours earlier.</w:t>
      </w:r>
    </w:p>
    <w:p w:rsidR="00482610" w:rsidRPr="00884C00" w:rsidRDefault="00482610" w:rsidP="00482610">
      <w:pPr>
        <w:widowControl w:val="0"/>
        <w:jc w:val="both"/>
        <w:rPr>
          <w:sz w:val="20"/>
          <w:szCs w:val="20"/>
        </w:rPr>
      </w:pPr>
    </w:p>
    <w:p w:rsidR="00482610" w:rsidRPr="00884C00" w:rsidRDefault="00482610" w:rsidP="00482610">
      <w:pPr>
        <w:widowControl w:val="0"/>
        <w:jc w:val="both"/>
        <w:rPr>
          <w:sz w:val="20"/>
          <w:szCs w:val="20"/>
        </w:rPr>
      </w:pPr>
    </w:p>
    <w:p w:rsidR="00482610" w:rsidRPr="00884C00" w:rsidRDefault="00482610" w:rsidP="00482610">
      <w:pPr>
        <w:widowControl w:val="0"/>
        <w:ind w:left="2880" w:hanging="2880"/>
        <w:jc w:val="both"/>
        <w:rPr>
          <w:sz w:val="20"/>
          <w:szCs w:val="20"/>
        </w:rPr>
      </w:pPr>
      <w:r w:rsidRPr="00884C00">
        <w:rPr>
          <w:sz w:val="20"/>
          <w:szCs w:val="20"/>
        </w:rPr>
        <w:t>Origin of the case:</w:t>
      </w:r>
      <w:r w:rsidRPr="00884C00">
        <w:rPr>
          <w:sz w:val="20"/>
          <w:szCs w:val="20"/>
        </w:rPr>
        <w:tab/>
        <w:t>Quebec</w:t>
      </w:r>
    </w:p>
    <w:p w:rsidR="00482610" w:rsidRPr="00884C00" w:rsidRDefault="00482610" w:rsidP="00482610">
      <w:pPr>
        <w:widowControl w:val="0"/>
        <w:ind w:left="2880" w:hanging="2880"/>
        <w:jc w:val="both"/>
        <w:rPr>
          <w:sz w:val="20"/>
          <w:szCs w:val="20"/>
        </w:rPr>
      </w:pPr>
    </w:p>
    <w:p w:rsidR="00482610" w:rsidRPr="00884C00" w:rsidRDefault="00482610" w:rsidP="00482610">
      <w:pPr>
        <w:widowControl w:val="0"/>
        <w:ind w:left="2880" w:hanging="2880"/>
        <w:jc w:val="both"/>
        <w:rPr>
          <w:sz w:val="20"/>
          <w:szCs w:val="20"/>
        </w:rPr>
      </w:pPr>
      <w:r w:rsidRPr="00884C00">
        <w:rPr>
          <w:sz w:val="20"/>
          <w:szCs w:val="20"/>
        </w:rPr>
        <w:t>File No.:</w:t>
      </w:r>
      <w:r w:rsidRPr="00884C00">
        <w:rPr>
          <w:sz w:val="20"/>
          <w:szCs w:val="20"/>
        </w:rPr>
        <w:tab/>
        <w:t>34444</w:t>
      </w:r>
    </w:p>
    <w:p w:rsidR="00482610" w:rsidRPr="00884C00" w:rsidRDefault="00482610" w:rsidP="00482610">
      <w:pPr>
        <w:widowControl w:val="0"/>
        <w:ind w:left="2880" w:hanging="2880"/>
        <w:jc w:val="both"/>
        <w:rPr>
          <w:sz w:val="20"/>
          <w:szCs w:val="20"/>
        </w:rPr>
      </w:pPr>
    </w:p>
    <w:p w:rsidR="00482610" w:rsidRPr="00884C00" w:rsidRDefault="00482610" w:rsidP="00482610">
      <w:pPr>
        <w:widowControl w:val="0"/>
        <w:ind w:left="2880" w:hanging="2880"/>
        <w:jc w:val="both"/>
        <w:rPr>
          <w:sz w:val="20"/>
          <w:szCs w:val="20"/>
        </w:rPr>
      </w:pPr>
      <w:r w:rsidRPr="00884C00">
        <w:rPr>
          <w:sz w:val="20"/>
          <w:szCs w:val="20"/>
        </w:rPr>
        <w:t>Judgment of the Court of Appeal:</w:t>
      </w:r>
      <w:r w:rsidRPr="00884C00">
        <w:rPr>
          <w:sz w:val="20"/>
          <w:szCs w:val="20"/>
        </w:rPr>
        <w:tab/>
        <w:t>July 26, 2011</w:t>
      </w:r>
    </w:p>
    <w:p w:rsidR="00482610" w:rsidRPr="00884C00" w:rsidRDefault="00482610" w:rsidP="00482610">
      <w:pPr>
        <w:widowControl w:val="0"/>
        <w:ind w:left="2880" w:hanging="2880"/>
        <w:jc w:val="both"/>
        <w:rPr>
          <w:sz w:val="20"/>
          <w:szCs w:val="20"/>
        </w:rPr>
      </w:pPr>
    </w:p>
    <w:p w:rsidR="00482610" w:rsidRPr="00884C00" w:rsidRDefault="00482610" w:rsidP="00482610">
      <w:pPr>
        <w:widowControl w:val="0"/>
        <w:ind w:left="2880" w:hanging="2880"/>
        <w:jc w:val="both"/>
        <w:rPr>
          <w:sz w:val="20"/>
          <w:szCs w:val="20"/>
        </w:rPr>
      </w:pPr>
      <w:r w:rsidRPr="00884C00">
        <w:rPr>
          <w:sz w:val="20"/>
          <w:szCs w:val="20"/>
        </w:rPr>
        <w:t>Counsel:</w:t>
      </w:r>
      <w:r w:rsidRPr="00884C00">
        <w:rPr>
          <w:sz w:val="20"/>
          <w:szCs w:val="20"/>
        </w:rPr>
        <w:tab/>
        <w:t>René Duval for the appellant</w:t>
      </w:r>
    </w:p>
    <w:p w:rsidR="00482610" w:rsidRPr="00884C00" w:rsidRDefault="00482610" w:rsidP="00482610">
      <w:pPr>
        <w:widowControl w:val="0"/>
        <w:ind w:left="2880" w:hanging="2880"/>
        <w:jc w:val="both"/>
        <w:rPr>
          <w:sz w:val="20"/>
          <w:szCs w:val="20"/>
        </w:rPr>
      </w:pPr>
      <w:r w:rsidRPr="00884C00">
        <w:rPr>
          <w:sz w:val="20"/>
          <w:szCs w:val="20"/>
        </w:rPr>
        <w:tab/>
        <w:t>Sonia Rouleau and Régis Boisvert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3"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482610" w:rsidRPr="00875074" w:rsidRDefault="00DB239D" w:rsidP="00482610">
      <w:pPr>
        <w:widowControl w:val="0"/>
        <w:ind w:left="720" w:hanging="720"/>
        <w:jc w:val="both"/>
        <w:rPr>
          <w:sz w:val="20"/>
          <w:szCs w:val="20"/>
          <w:lang w:val="fr-CA"/>
        </w:rPr>
      </w:pPr>
      <w:r w:rsidRPr="00DB239D">
        <w:rPr>
          <w:b/>
          <w:sz w:val="20"/>
          <w:szCs w:val="20"/>
          <w:lang w:val="fr-CA"/>
        </w:rPr>
        <w:fldChar w:fldCharType="begin"/>
      </w:r>
      <w:r w:rsidR="00482610" w:rsidRPr="00875074">
        <w:rPr>
          <w:b/>
          <w:sz w:val="20"/>
          <w:szCs w:val="20"/>
          <w:lang w:val="fr-CA"/>
        </w:rPr>
        <w:instrText xml:space="preserve"> SEQ CHAPTER \h \r 1</w:instrText>
      </w:r>
      <w:r w:rsidRPr="00875074">
        <w:rPr>
          <w:b/>
          <w:sz w:val="20"/>
          <w:szCs w:val="20"/>
        </w:rPr>
        <w:fldChar w:fldCharType="end"/>
      </w:r>
      <w:r w:rsidR="00482610" w:rsidRPr="00875074">
        <w:rPr>
          <w:b/>
          <w:sz w:val="20"/>
          <w:szCs w:val="20"/>
          <w:lang w:val="fr-CA"/>
        </w:rPr>
        <w:t>34444</w:t>
      </w:r>
      <w:r w:rsidR="00482610" w:rsidRPr="00875074">
        <w:rPr>
          <w:sz w:val="20"/>
          <w:szCs w:val="20"/>
          <w:lang w:val="fr-CA"/>
        </w:rPr>
        <w:tab/>
      </w:r>
      <w:r w:rsidR="00482610" w:rsidRPr="00875074">
        <w:rPr>
          <w:b/>
          <w:i/>
          <w:sz w:val="20"/>
          <w:szCs w:val="20"/>
          <w:lang w:val="fr-CA"/>
        </w:rPr>
        <w:t>Cathie Gauthier c. Sa Majesté la Reine</w:t>
      </w:r>
    </w:p>
    <w:p w:rsidR="00482610" w:rsidRPr="00875074" w:rsidRDefault="00482610" w:rsidP="00482610">
      <w:pPr>
        <w:widowControl w:val="0"/>
        <w:jc w:val="both"/>
        <w:rPr>
          <w:sz w:val="20"/>
          <w:szCs w:val="20"/>
          <w:lang w:val="fr-CA"/>
        </w:rPr>
      </w:pPr>
    </w:p>
    <w:p w:rsidR="00482610" w:rsidRPr="00875074" w:rsidRDefault="00482610" w:rsidP="00482610">
      <w:pPr>
        <w:widowControl w:val="0"/>
        <w:jc w:val="both"/>
        <w:rPr>
          <w:sz w:val="20"/>
          <w:szCs w:val="20"/>
          <w:lang w:val="fr-CA"/>
        </w:rPr>
      </w:pPr>
      <w:r w:rsidRPr="00875074">
        <w:rPr>
          <w:sz w:val="20"/>
          <w:szCs w:val="20"/>
          <w:lang w:val="fr-CA"/>
        </w:rPr>
        <w:t xml:space="preserve">Droit criminel </w:t>
      </w:r>
      <w:r w:rsidRPr="00875074">
        <w:rPr>
          <w:sz w:val="20"/>
          <w:szCs w:val="20"/>
          <w:lang w:val="fr-CA"/>
        </w:rPr>
        <w:noBreakHyphen/>
        <w:t xml:space="preserve"> Directives au jury </w:t>
      </w:r>
      <w:r w:rsidRPr="00875074">
        <w:rPr>
          <w:sz w:val="20"/>
          <w:szCs w:val="20"/>
          <w:lang w:val="fr-CA"/>
        </w:rPr>
        <w:noBreakHyphen/>
        <w:t xml:space="preserve"> Moyen de défense de désistement </w:t>
      </w:r>
      <w:r w:rsidRPr="00875074">
        <w:rPr>
          <w:sz w:val="20"/>
          <w:szCs w:val="20"/>
          <w:lang w:val="fr-CA"/>
        </w:rPr>
        <w:noBreakHyphen/>
        <w:t xml:space="preserve"> La Cour d’appel a</w:t>
      </w:r>
      <w:r w:rsidRPr="00875074">
        <w:rPr>
          <w:sz w:val="20"/>
          <w:szCs w:val="20"/>
          <w:lang w:val="fr-CA"/>
        </w:rPr>
        <w:noBreakHyphen/>
        <w:t>t</w:t>
      </w:r>
      <w:r w:rsidRPr="00875074">
        <w:rPr>
          <w:sz w:val="20"/>
          <w:szCs w:val="20"/>
          <w:lang w:val="fr-CA"/>
        </w:rPr>
        <w:noBreakHyphen/>
        <w:t xml:space="preserve">elle commis une erreur de droit en décidant que le juge du procès avait eu raison de ne pas soumettre la défense de désistement au jury? </w:t>
      </w:r>
      <w:r w:rsidRPr="00875074">
        <w:rPr>
          <w:sz w:val="20"/>
          <w:szCs w:val="20"/>
          <w:lang w:val="fr-CA"/>
        </w:rPr>
        <w:noBreakHyphen/>
        <w:t xml:space="preserve"> La Cour d’appel a</w:t>
      </w:r>
      <w:r w:rsidRPr="00875074">
        <w:rPr>
          <w:sz w:val="20"/>
          <w:szCs w:val="20"/>
          <w:lang w:val="fr-CA"/>
        </w:rPr>
        <w:noBreakHyphen/>
        <w:t>t</w:t>
      </w:r>
      <w:r w:rsidRPr="00875074">
        <w:rPr>
          <w:sz w:val="20"/>
          <w:szCs w:val="20"/>
          <w:lang w:val="fr-CA"/>
        </w:rPr>
        <w:noBreakHyphen/>
        <w:t xml:space="preserve">elle commis une erreur de droit en maintenant les verdicts de culpabilité au motif que l’appelante aurait dû empêcher les enfants de boire les boissons préparés par son conjoint? </w:t>
      </w:r>
      <w:r w:rsidRPr="00875074">
        <w:rPr>
          <w:sz w:val="20"/>
          <w:szCs w:val="20"/>
          <w:lang w:val="fr-CA"/>
        </w:rPr>
        <w:noBreakHyphen/>
        <w:t xml:space="preserve"> </w:t>
      </w:r>
      <w:r w:rsidRPr="00875074">
        <w:rPr>
          <w:i/>
          <w:sz w:val="20"/>
          <w:szCs w:val="20"/>
          <w:lang w:val="fr-CA"/>
        </w:rPr>
        <w:t>R. c. Cinous</w:t>
      </w:r>
      <w:r w:rsidRPr="00875074">
        <w:rPr>
          <w:sz w:val="20"/>
          <w:szCs w:val="20"/>
          <w:lang w:val="fr-CA"/>
        </w:rPr>
        <w:t>, [2002] 2 R.C.S. 3.</w:t>
      </w:r>
    </w:p>
    <w:p w:rsidR="00482610" w:rsidRPr="00875074" w:rsidRDefault="00482610" w:rsidP="00482610">
      <w:pPr>
        <w:widowControl w:val="0"/>
        <w:jc w:val="both"/>
        <w:rPr>
          <w:sz w:val="20"/>
          <w:szCs w:val="20"/>
          <w:lang w:val="fr-CA"/>
        </w:rPr>
      </w:pPr>
    </w:p>
    <w:p w:rsidR="00482610" w:rsidRPr="00875074" w:rsidRDefault="00482610" w:rsidP="00482610">
      <w:pPr>
        <w:widowControl w:val="0"/>
        <w:jc w:val="both"/>
        <w:rPr>
          <w:sz w:val="20"/>
          <w:szCs w:val="20"/>
          <w:lang w:val="fr-CA"/>
        </w:rPr>
      </w:pPr>
      <w:r w:rsidRPr="00875074">
        <w:rPr>
          <w:sz w:val="20"/>
          <w:szCs w:val="20"/>
          <w:lang w:val="fr-CA"/>
        </w:rPr>
        <w:t>Le 1</w:t>
      </w:r>
      <w:r w:rsidRPr="00875074">
        <w:rPr>
          <w:sz w:val="20"/>
          <w:szCs w:val="20"/>
          <w:vertAlign w:val="superscript"/>
          <w:lang w:val="fr-CA"/>
        </w:rPr>
        <w:t>er</w:t>
      </w:r>
      <w:r w:rsidRPr="00875074">
        <w:rPr>
          <w:sz w:val="20"/>
          <w:szCs w:val="20"/>
          <w:lang w:val="fr-CA"/>
        </w:rPr>
        <w:t> janvier 2009, à 23h56, madame Cathie Gauthier, appelante, compose le 9</w:t>
      </w:r>
      <w:r w:rsidRPr="00875074">
        <w:rPr>
          <w:sz w:val="20"/>
          <w:szCs w:val="20"/>
          <w:lang w:val="fr-CA"/>
        </w:rPr>
        <w:noBreakHyphen/>
        <w:t>1</w:t>
      </w:r>
      <w:r w:rsidRPr="00875074">
        <w:rPr>
          <w:sz w:val="20"/>
          <w:szCs w:val="20"/>
          <w:lang w:val="fr-CA"/>
        </w:rPr>
        <w:noBreakHyphen/>
        <w:t xml:space="preserve">1 à partir de son domicile.  D’une voix faible et entrecoupée de sanglots, elle demande une ambulance.  La standardiste lui demande quel est le problème.  Elle lui mentionne qu’elle a le poignet ouvert.  À la question suivante, « c’est une tentative de suicide? », elle répond : « c’était un pacte, mon mari a tué nos trois enfants ».  Plus tard, elle dira : « on se l’était dit </w:t>
      </w:r>
      <w:proofErr w:type="gramStart"/>
      <w:r w:rsidRPr="00875074">
        <w:rPr>
          <w:sz w:val="20"/>
          <w:szCs w:val="20"/>
          <w:lang w:val="fr-CA"/>
        </w:rPr>
        <w:t>qu’on commencerait</w:t>
      </w:r>
      <w:proofErr w:type="gramEnd"/>
      <w:r w:rsidRPr="00875074">
        <w:rPr>
          <w:sz w:val="20"/>
          <w:szCs w:val="20"/>
          <w:lang w:val="fr-CA"/>
        </w:rPr>
        <w:t xml:space="preserve"> pas l’année 2009 mais. . . ».  Lors de cet appel téléphonique d’une durée d’environ douze minutes, madame Gauthier mentionne également qu’elle s’est réveillée dans son lit, couchée avec ses trois enfants, le poignet tranché, son mari gisant par terre dans la chambre à coucher.  Elle a alors secoué les enfants, mais n’a obtenu aucune réaction de leur part.  Elle affirme que c’est son conjoint qui lui a coupé le poignet et qui les a tous drogués avec des somnifères.  Elle s’est traînée jusqu’à la cuisine pour téléphoner et demander de l’aide.  Elle </w:t>
      </w:r>
      <w:proofErr w:type="gramStart"/>
      <w:r w:rsidRPr="00875074">
        <w:rPr>
          <w:sz w:val="20"/>
          <w:szCs w:val="20"/>
          <w:lang w:val="fr-CA"/>
        </w:rPr>
        <w:t>a</w:t>
      </w:r>
      <w:proofErr w:type="gramEnd"/>
      <w:r w:rsidRPr="00875074">
        <w:rPr>
          <w:sz w:val="20"/>
          <w:szCs w:val="20"/>
          <w:lang w:val="fr-CA"/>
        </w:rPr>
        <w:t xml:space="preserve"> l’impression que ces événements sont survenus il y a vingt</w:t>
      </w:r>
      <w:r w:rsidRPr="00875074">
        <w:rPr>
          <w:sz w:val="20"/>
          <w:szCs w:val="20"/>
          <w:lang w:val="fr-CA"/>
        </w:rPr>
        <w:noBreakHyphen/>
        <w:t>quatre heures.</w:t>
      </w:r>
    </w:p>
    <w:p w:rsidR="00482610" w:rsidRPr="00875074" w:rsidRDefault="00482610" w:rsidP="00482610">
      <w:pPr>
        <w:widowControl w:val="0"/>
        <w:jc w:val="both"/>
        <w:rPr>
          <w:sz w:val="20"/>
          <w:szCs w:val="20"/>
          <w:lang w:val="fr-CA"/>
        </w:rPr>
      </w:pPr>
    </w:p>
    <w:p w:rsidR="00482610" w:rsidRPr="00875074" w:rsidRDefault="00482610" w:rsidP="00482610">
      <w:pPr>
        <w:widowControl w:val="0"/>
        <w:jc w:val="both"/>
        <w:rPr>
          <w:sz w:val="20"/>
          <w:szCs w:val="20"/>
          <w:lang w:val="fr-CA"/>
        </w:rPr>
      </w:pPr>
    </w:p>
    <w:p w:rsidR="00482610" w:rsidRPr="00875074" w:rsidRDefault="00482610" w:rsidP="000E6D86">
      <w:pPr>
        <w:widowControl w:val="0"/>
        <w:ind w:left="2880" w:hanging="2880"/>
        <w:jc w:val="both"/>
        <w:rPr>
          <w:sz w:val="20"/>
          <w:szCs w:val="20"/>
          <w:lang w:val="fr-CA"/>
        </w:rPr>
      </w:pPr>
      <w:r w:rsidRPr="00875074">
        <w:rPr>
          <w:sz w:val="20"/>
          <w:szCs w:val="20"/>
          <w:lang w:val="fr-CA"/>
        </w:rPr>
        <w:t>Origine :</w:t>
      </w:r>
      <w:r w:rsidRPr="00875074">
        <w:rPr>
          <w:sz w:val="20"/>
          <w:szCs w:val="20"/>
          <w:lang w:val="fr-CA"/>
        </w:rPr>
        <w:tab/>
        <w:t>Québec</w:t>
      </w:r>
    </w:p>
    <w:p w:rsidR="00482610" w:rsidRPr="00875074" w:rsidRDefault="00482610" w:rsidP="000E6D86">
      <w:pPr>
        <w:widowControl w:val="0"/>
        <w:ind w:left="2880" w:hanging="2880"/>
        <w:jc w:val="both"/>
        <w:rPr>
          <w:sz w:val="20"/>
          <w:szCs w:val="20"/>
          <w:lang w:val="fr-CA"/>
        </w:rPr>
      </w:pPr>
    </w:p>
    <w:p w:rsidR="00482610" w:rsidRPr="00875074" w:rsidRDefault="00482610" w:rsidP="000E6D86">
      <w:pPr>
        <w:widowControl w:val="0"/>
        <w:ind w:left="2880" w:hanging="2880"/>
        <w:jc w:val="both"/>
        <w:rPr>
          <w:sz w:val="20"/>
          <w:szCs w:val="20"/>
          <w:lang w:val="fr-CA"/>
        </w:rPr>
      </w:pPr>
      <w:r w:rsidRPr="00875074">
        <w:rPr>
          <w:sz w:val="20"/>
          <w:szCs w:val="20"/>
          <w:lang w:val="fr-CA"/>
        </w:rPr>
        <w:t>N</w:t>
      </w:r>
      <w:r w:rsidRPr="00875074">
        <w:rPr>
          <w:sz w:val="20"/>
          <w:szCs w:val="20"/>
          <w:vertAlign w:val="superscript"/>
          <w:lang w:val="fr-CA"/>
        </w:rPr>
        <w:t>o</w:t>
      </w:r>
      <w:r w:rsidRPr="00875074">
        <w:rPr>
          <w:sz w:val="20"/>
          <w:szCs w:val="20"/>
          <w:lang w:val="fr-CA"/>
        </w:rPr>
        <w:t xml:space="preserve"> du greffe :</w:t>
      </w:r>
      <w:r w:rsidRPr="00875074">
        <w:rPr>
          <w:sz w:val="20"/>
          <w:szCs w:val="20"/>
          <w:lang w:val="fr-CA"/>
        </w:rPr>
        <w:tab/>
        <w:t>34444</w:t>
      </w:r>
    </w:p>
    <w:p w:rsidR="00482610" w:rsidRPr="00875074" w:rsidRDefault="00482610" w:rsidP="000E6D86">
      <w:pPr>
        <w:widowControl w:val="0"/>
        <w:ind w:left="2880" w:hanging="2880"/>
        <w:jc w:val="both"/>
        <w:rPr>
          <w:sz w:val="20"/>
          <w:szCs w:val="20"/>
          <w:lang w:val="fr-CA"/>
        </w:rPr>
      </w:pPr>
    </w:p>
    <w:p w:rsidR="00482610" w:rsidRPr="00875074" w:rsidRDefault="00482610" w:rsidP="000E6D86">
      <w:pPr>
        <w:widowControl w:val="0"/>
        <w:ind w:left="2880" w:hanging="2880"/>
        <w:jc w:val="both"/>
        <w:rPr>
          <w:sz w:val="20"/>
          <w:szCs w:val="20"/>
          <w:lang w:val="fr-CA"/>
        </w:rPr>
      </w:pPr>
      <w:r w:rsidRPr="00875074">
        <w:rPr>
          <w:sz w:val="20"/>
          <w:szCs w:val="20"/>
          <w:lang w:val="fr-CA"/>
        </w:rPr>
        <w:t>Arrêt de la Cour d’appel :</w:t>
      </w:r>
      <w:r w:rsidRPr="00875074">
        <w:rPr>
          <w:sz w:val="20"/>
          <w:szCs w:val="20"/>
          <w:lang w:val="fr-CA"/>
        </w:rPr>
        <w:tab/>
        <w:t>Le 26 juillet 2011</w:t>
      </w:r>
    </w:p>
    <w:p w:rsidR="00482610" w:rsidRPr="00875074" w:rsidRDefault="00482610" w:rsidP="000E6D86">
      <w:pPr>
        <w:widowControl w:val="0"/>
        <w:ind w:left="2880" w:hanging="2880"/>
        <w:jc w:val="both"/>
        <w:rPr>
          <w:sz w:val="20"/>
          <w:szCs w:val="20"/>
          <w:lang w:val="fr-CA"/>
        </w:rPr>
      </w:pPr>
    </w:p>
    <w:p w:rsidR="00482610" w:rsidRPr="00875074" w:rsidRDefault="00482610" w:rsidP="000E6D86">
      <w:pPr>
        <w:widowControl w:val="0"/>
        <w:ind w:left="2880" w:hanging="2880"/>
        <w:jc w:val="both"/>
        <w:rPr>
          <w:sz w:val="20"/>
          <w:szCs w:val="20"/>
          <w:lang w:val="fr-CA"/>
        </w:rPr>
      </w:pPr>
      <w:r w:rsidRPr="00875074">
        <w:rPr>
          <w:sz w:val="20"/>
          <w:szCs w:val="20"/>
          <w:lang w:val="fr-CA"/>
        </w:rPr>
        <w:t>Avocats :</w:t>
      </w:r>
      <w:r w:rsidRPr="00875074">
        <w:rPr>
          <w:sz w:val="20"/>
          <w:szCs w:val="20"/>
          <w:lang w:val="fr-CA"/>
        </w:rPr>
        <w:tab/>
        <w:t>René Duval pour l’appelante</w:t>
      </w:r>
    </w:p>
    <w:p w:rsidR="00482610" w:rsidRPr="00875074" w:rsidRDefault="00482610" w:rsidP="000E6D86">
      <w:pPr>
        <w:widowControl w:val="0"/>
        <w:ind w:left="2880" w:hanging="2880"/>
        <w:jc w:val="both"/>
        <w:rPr>
          <w:sz w:val="20"/>
          <w:szCs w:val="20"/>
          <w:lang w:val="fr-CA"/>
        </w:rPr>
      </w:pPr>
      <w:r w:rsidRPr="00875074">
        <w:rPr>
          <w:sz w:val="20"/>
          <w:szCs w:val="20"/>
          <w:lang w:val="fr-CA"/>
        </w:rPr>
        <w:tab/>
        <w:t>Sonia Rouleau et Régis Boisvert pour l’intimée</w:t>
      </w:r>
    </w:p>
    <w:p w:rsidR="00A818DB" w:rsidRPr="00482610" w:rsidRDefault="00A818DB" w:rsidP="00A818DB">
      <w:pPr>
        <w:widowControl w:val="0"/>
        <w:jc w:val="both"/>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4"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164432" w:rsidRPr="004F0A6C" w:rsidRDefault="00DB239D" w:rsidP="00164432">
      <w:pPr>
        <w:widowControl w:val="0"/>
        <w:ind w:left="720" w:hanging="720"/>
        <w:jc w:val="both"/>
        <w:rPr>
          <w:sz w:val="20"/>
          <w:szCs w:val="20"/>
        </w:rPr>
      </w:pPr>
      <w:r w:rsidRPr="004F0A6C">
        <w:rPr>
          <w:b/>
          <w:sz w:val="20"/>
          <w:szCs w:val="20"/>
        </w:rPr>
        <w:fldChar w:fldCharType="begin"/>
      </w:r>
      <w:r w:rsidR="00164432" w:rsidRPr="004F0A6C">
        <w:rPr>
          <w:b/>
          <w:sz w:val="20"/>
          <w:szCs w:val="20"/>
        </w:rPr>
        <w:instrText xml:space="preserve"> SEQ CHAPTER \h \r 1</w:instrText>
      </w:r>
      <w:r w:rsidRPr="004F0A6C">
        <w:rPr>
          <w:b/>
          <w:sz w:val="20"/>
          <w:szCs w:val="20"/>
        </w:rPr>
        <w:fldChar w:fldCharType="end"/>
      </w:r>
      <w:r w:rsidR="00164432" w:rsidRPr="004F0A6C">
        <w:rPr>
          <w:b/>
          <w:sz w:val="20"/>
          <w:szCs w:val="20"/>
        </w:rPr>
        <w:t>34472</w:t>
      </w:r>
      <w:r w:rsidR="00164432" w:rsidRPr="004F0A6C">
        <w:rPr>
          <w:sz w:val="20"/>
          <w:szCs w:val="20"/>
        </w:rPr>
        <w:tab/>
      </w:r>
      <w:r w:rsidR="00164432" w:rsidRPr="004F0A6C">
        <w:rPr>
          <w:b/>
          <w:i/>
          <w:sz w:val="20"/>
          <w:szCs w:val="20"/>
        </w:rPr>
        <w:t>IBM Canada Limited v. Richard Waterman</w:t>
      </w:r>
    </w:p>
    <w:p w:rsidR="00164432" w:rsidRPr="004F0A6C" w:rsidRDefault="00164432" w:rsidP="00164432">
      <w:pPr>
        <w:widowControl w:val="0"/>
        <w:jc w:val="both"/>
        <w:rPr>
          <w:sz w:val="20"/>
          <w:szCs w:val="20"/>
        </w:rPr>
      </w:pPr>
    </w:p>
    <w:p w:rsidR="00164432" w:rsidRPr="004F0A6C" w:rsidRDefault="00164432" w:rsidP="00164432">
      <w:pPr>
        <w:widowControl w:val="0"/>
        <w:jc w:val="both"/>
        <w:rPr>
          <w:sz w:val="20"/>
          <w:szCs w:val="20"/>
        </w:rPr>
      </w:pPr>
      <w:r w:rsidRPr="004F0A6C">
        <w:rPr>
          <w:sz w:val="20"/>
          <w:szCs w:val="20"/>
        </w:rPr>
        <w:t xml:space="preserve">Employment law </w:t>
      </w:r>
      <w:r w:rsidRPr="004F0A6C">
        <w:rPr>
          <w:sz w:val="20"/>
          <w:szCs w:val="20"/>
        </w:rPr>
        <w:noBreakHyphen/>
        <w:t xml:space="preserve"> Unjust dismissal </w:t>
      </w:r>
      <w:r w:rsidRPr="004F0A6C">
        <w:rPr>
          <w:sz w:val="20"/>
          <w:szCs w:val="20"/>
        </w:rPr>
        <w:noBreakHyphen/>
        <w:t xml:space="preserve"> Damages </w:t>
      </w:r>
      <w:r w:rsidRPr="004F0A6C">
        <w:rPr>
          <w:sz w:val="20"/>
          <w:szCs w:val="20"/>
        </w:rPr>
        <w:noBreakHyphen/>
        <w:t xml:space="preserve"> Pensions </w:t>
      </w:r>
      <w:r w:rsidRPr="004F0A6C">
        <w:rPr>
          <w:sz w:val="20"/>
          <w:szCs w:val="20"/>
        </w:rPr>
        <w:noBreakHyphen/>
        <w:t xml:space="preserve"> </w:t>
      </w:r>
      <w:proofErr w:type="gramStart"/>
      <w:r w:rsidRPr="004F0A6C">
        <w:rPr>
          <w:sz w:val="20"/>
          <w:szCs w:val="20"/>
        </w:rPr>
        <w:t>Whether</w:t>
      </w:r>
      <w:proofErr w:type="gramEnd"/>
      <w:r w:rsidRPr="004F0A6C">
        <w:rPr>
          <w:sz w:val="20"/>
          <w:szCs w:val="20"/>
        </w:rPr>
        <w:t xml:space="preserve"> pension benefits received by the respondent during his wrongful dismissal notice period should be deducted from his wrongful dismissal damages award. </w:t>
      </w:r>
    </w:p>
    <w:p w:rsidR="00164432" w:rsidRPr="004F0A6C" w:rsidRDefault="00164432" w:rsidP="00164432">
      <w:pPr>
        <w:widowControl w:val="0"/>
        <w:jc w:val="both"/>
        <w:rPr>
          <w:sz w:val="20"/>
          <w:szCs w:val="20"/>
        </w:rPr>
      </w:pPr>
    </w:p>
    <w:p w:rsidR="00164432" w:rsidRPr="004F0A6C" w:rsidRDefault="00164432" w:rsidP="00164432">
      <w:pPr>
        <w:widowControl w:val="0"/>
        <w:jc w:val="both"/>
        <w:rPr>
          <w:sz w:val="20"/>
          <w:szCs w:val="20"/>
        </w:rPr>
      </w:pPr>
      <w:r w:rsidRPr="004F0A6C">
        <w:rPr>
          <w:sz w:val="20"/>
          <w:szCs w:val="20"/>
        </w:rPr>
        <w:t>The respondent was employed by IBM (U.K.) Ltd. and then IBM Canada Limited for over 40 years before being terminated without cause with two months notice.  When his employment terminated, he was 65 years of age and eligible to receive benefits under IBM’s employer</w:t>
      </w:r>
      <w:r w:rsidRPr="004F0A6C">
        <w:rPr>
          <w:sz w:val="20"/>
          <w:szCs w:val="20"/>
        </w:rPr>
        <w:noBreakHyphen/>
        <w:t>funded pension plan.  He had no intention of retiring and sued for wrongful dismissal.  After termination, he received a pension benefit of $2,124.25 per month.  The trial judge held that the appropriate notice period was 20 months.  He awarded damages based on lack of notice for 18 months.  The respondent was paid pension benefits after termination based on a fully vested pension.  The trial judge did not deduct the amount of pension benefits paid during the notice period from the damages award.  IBM Canada Limited appealed, arguing that an amount equal to the pension benefits should have been deducted from damages.  The Court of Appeal dismissed the appeal.</w:t>
      </w:r>
    </w:p>
    <w:p w:rsidR="00164432" w:rsidRPr="004F0A6C" w:rsidRDefault="00164432" w:rsidP="00164432">
      <w:pPr>
        <w:widowControl w:val="0"/>
        <w:jc w:val="both"/>
        <w:rPr>
          <w:sz w:val="20"/>
          <w:szCs w:val="20"/>
        </w:rPr>
      </w:pPr>
    </w:p>
    <w:p w:rsidR="00164432" w:rsidRPr="004F0A6C" w:rsidRDefault="00164432" w:rsidP="00164432">
      <w:pPr>
        <w:widowControl w:val="0"/>
        <w:jc w:val="both"/>
        <w:rPr>
          <w:sz w:val="20"/>
          <w:szCs w:val="20"/>
        </w:rPr>
      </w:pPr>
    </w:p>
    <w:p w:rsidR="00164432" w:rsidRPr="004F0A6C" w:rsidRDefault="00164432" w:rsidP="00164432">
      <w:pPr>
        <w:widowControl w:val="0"/>
        <w:ind w:left="2880" w:hanging="2880"/>
        <w:jc w:val="both"/>
        <w:rPr>
          <w:sz w:val="20"/>
          <w:szCs w:val="20"/>
        </w:rPr>
      </w:pPr>
      <w:r w:rsidRPr="004F0A6C">
        <w:rPr>
          <w:sz w:val="20"/>
          <w:szCs w:val="20"/>
        </w:rPr>
        <w:t>Origin of the case:</w:t>
      </w:r>
      <w:r w:rsidRPr="004F0A6C">
        <w:rPr>
          <w:sz w:val="20"/>
          <w:szCs w:val="20"/>
        </w:rPr>
        <w:tab/>
        <w:t>British Columbia</w:t>
      </w:r>
    </w:p>
    <w:p w:rsidR="00164432" w:rsidRPr="004F0A6C" w:rsidRDefault="00164432" w:rsidP="00164432">
      <w:pPr>
        <w:widowControl w:val="0"/>
        <w:ind w:left="2880" w:hanging="2880"/>
        <w:jc w:val="both"/>
        <w:rPr>
          <w:sz w:val="20"/>
          <w:szCs w:val="20"/>
        </w:rPr>
      </w:pPr>
    </w:p>
    <w:p w:rsidR="00164432" w:rsidRPr="004F0A6C" w:rsidRDefault="00164432" w:rsidP="00164432">
      <w:pPr>
        <w:widowControl w:val="0"/>
        <w:ind w:left="2880" w:hanging="2880"/>
        <w:jc w:val="both"/>
        <w:rPr>
          <w:sz w:val="20"/>
          <w:szCs w:val="20"/>
        </w:rPr>
      </w:pPr>
      <w:r w:rsidRPr="004F0A6C">
        <w:rPr>
          <w:sz w:val="20"/>
          <w:szCs w:val="20"/>
        </w:rPr>
        <w:t>File No.:</w:t>
      </w:r>
      <w:r w:rsidRPr="004F0A6C">
        <w:rPr>
          <w:sz w:val="20"/>
          <w:szCs w:val="20"/>
        </w:rPr>
        <w:tab/>
        <w:t>34472</w:t>
      </w:r>
    </w:p>
    <w:p w:rsidR="00164432" w:rsidRPr="004F0A6C" w:rsidRDefault="00164432" w:rsidP="00164432">
      <w:pPr>
        <w:widowControl w:val="0"/>
        <w:ind w:left="2880" w:hanging="2880"/>
        <w:jc w:val="both"/>
        <w:rPr>
          <w:sz w:val="20"/>
          <w:szCs w:val="20"/>
        </w:rPr>
      </w:pPr>
    </w:p>
    <w:p w:rsidR="00164432" w:rsidRPr="004F0A6C" w:rsidRDefault="00164432" w:rsidP="00164432">
      <w:pPr>
        <w:widowControl w:val="0"/>
        <w:ind w:left="2880" w:hanging="2880"/>
        <w:jc w:val="both"/>
        <w:rPr>
          <w:sz w:val="20"/>
          <w:szCs w:val="20"/>
        </w:rPr>
      </w:pPr>
      <w:r w:rsidRPr="004F0A6C">
        <w:rPr>
          <w:sz w:val="20"/>
          <w:szCs w:val="20"/>
        </w:rPr>
        <w:t>Judgment of the Court of Appeal:</w:t>
      </w:r>
      <w:r w:rsidRPr="004F0A6C">
        <w:rPr>
          <w:sz w:val="20"/>
          <w:szCs w:val="20"/>
        </w:rPr>
        <w:tab/>
        <w:t>August 2, 2011</w:t>
      </w:r>
    </w:p>
    <w:p w:rsidR="00164432" w:rsidRPr="004F0A6C" w:rsidRDefault="00164432" w:rsidP="00164432">
      <w:pPr>
        <w:widowControl w:val="0"/>
        <w:ind w:left="2880" w:hanging="2880"/>
        <w:jc w:val="both"/>
        <w:rPr>
          <w:sz w:val="20"/>
          <w:szCs w:val="20"/>
        </w:rPr>
      </w:pPr>
    </w:p>
    <w:p w:rsidR="00164432" w:rsidRPr="004F0A6C" w:rsidRDefault="00164432" w:rsidP="00164432">
      <w:pPr>
        <w:widowControl w:val="0"/>
        <w:ind w:left="2880" w:hanging="2880"/>
        <w:jc w:val="both"/>
        <w:rPr>
          <w:sz w:val="20"/>
          <w:szCs w:val="20"/>
        </w:rPr>
      </w:pPr>
      <w:r w:rsidRPr="004F0A6C">
        <w:rPr>
          <w:sz w:val="20"/>
          <w:szCs w:val="20"/>
        </w:rPr>
        <w:t>Counsel:</w:t>
      </w:r>
      <w:r w:rsidRPr="004F0A6C">
        <w:rPr>
          <w:sz w:val="20"/>
          <w:szCs w:val="20"/>
        </w:rPr>
        <w:tab/>
        <w:t xml:space="preserve">D. Geoffrey Cowper, Q.C. and Lorene A. Novakowski for </w:t>
      </w:r>
      <w:r w:rsidRPr="004F0A6C">
        <w:rPr>
          <w:sz w:val="20"/>
          <w:szCs w:val="20"/>
        </w:rPr>
        <w:tab/>
        <w:t>the appellant</w:t>
      </w:r>
    </w:p>
    <w:p w:rsidR="00164432" w:rsidRPr="004F0A6C" w:rsidRDefault="00164432" w:rsidP="00164432">
      <w:pPr>
        <w:widowControl w:val="0"/>
        <w:ind w:left="2880" w:hanging="2880"/>
        <w:jc w:val="both"/>
        <w:rPr>
          <w:sz w:val="20"/>
          <w:szCs w:val="20"/>
        </w:rPr>
      </w:pPr>
      <w:r w:rsidRPr="004F0A6C">
        <w:rPr>
          <w:sz w:val="20"/>
          <w:szCs w:val="20"/>
        </w:rPr>
        <w:tab/>
        <w:t>Christopher Watson and Matthew Siren for the respondent</w:t>
      </w:r>
    </w:p>
    <w:p w:rsidR="00A818DB" w:rsidRPr="00063106" w:rsidRDefault="00A818DB" w:rsidP="00A818DB">
      <w:pPr>
        <w:widowControl w:val="0"/>
        <w:jc w:val="both"/>
        <w:rPr>
          <w:sz w:val="20"/>
          <w:szCs w:val="20"/>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5"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Default="00A818DB">
      <w:pPr>
        <w:rPr>
          <w:sz w:val="20"/>
          <w:szCs w:val="20"/>
          <w:lang w:val="fr-CA"/>
        </w:rPr>
      </w:pPr>
    </w:p>
    <w:p w:rsidR="00A818DB" w:rsidRDefault="00A818DB">
      <w:pPr>
        <w:rPr>
          <w:sz w:val="20"/>
          <w:szCs w:val="20"/>
          <w:lang w:val="fr-CA"/>
        </w:rPr>
      </w:pPr>
      <w:r>
        <w:rPr>
          <w:sz w:val="20"/>
          <w:szCs w:val="20"/>
          <w:lang w:val="fr-CA"/>
        </w:rPr>
        <w:br w:type="page"/>
      </w:r>
    </w:p>
    <w:p w:rsidR="00164432" w:rsidRPr="0055134C" w:rsidRDefault="00DB239D" w:rsidP="00164432">
      <w:pPr>
        <w:widowControl w:val="0"/>
        <w:ind w:left="720" w:hanging="720"/>
        <w:jc w:val="both"/>
        <w:rPr>
          <w:b/>
          <w:i/>
          <w:sz w:val="20"/>
          <w:szCs w:val="20"/>
        </w:rPr>
      </w:pPr>
      <w:r w:rsidRPr="0055134C">
        <w:rPr>
          <w:b/>
          <w:sz w:val="20"/>
          <w:szCs w:val="20"/>
          <w:lang w:val="fr-CA"/>
        </w:rPr>
        <w:fldChar w:fldCharType="begin"/>
      </w:r>
      <w:r w:rsidR="00164432" w:rsidRPr="0055134C">
        <w:rPr>
          <w:b/>
          <w:sz w:val="20"/>
          <w:szCs w:val="20"/>
        </w:rPr>
        <w:instrText xml:space="preserve"> SEQ CHAPTER \h \r 1</w:instrText>
      </w:r>
      <w:r w:rsidRPr="0055134C">
        <w:rPr>
          <w:b/>
          <w:sz w:val="20"/>
          <w:szCs w:val="20"/>
          <w:lang w:val="fr-CA"/>
        </w:rPr>
        <w:fldChar w:fldCharType="end"/>
      </w:r>
      <w:r w:rsidR="00164432" w:rsidRPr="0055134C">
        <w:rPr>
          <w:b/>
          <w:sz w:val="20"/>
          <w:szCs w:val="20"/>
        </w:rPr>
        <w:t>34472</w:t>
      </w:r>
      <w:r w:rsidR="00164432" w:rsidRPr="0055134C">
        <w:rPr>
          <w:sz w:val="20"/>
          <w:szCs w:val="20"/>
        </w:rPr>
        <w:tab/>
      </w:r>
      <w:r w:rsidR="00164432" w:rsidRPr="0055134C">
        <w:rPr>
          <w:b/>
          <w:i/>
          <w:sz w:val="20"/>
          <w:szCs w:val="20"/>
        </w:rPr>
        <w:t>IBM Canada limitée c. Richard Waterman</w:t>
      </w:r>
    </w:p>
    <w:p w:rsidR="00164432" w:rsidRPr="0055134C" w:rsidRDefault="00164432" w:rsidP="00164432">
      <w:pPr>
        <w:widowControl w:val="0"/>
        <w:jc w:val="both"/>
        <w:rPr>
          <w:sz w:val="20"/>
          <w:szCs w:val="20"/>
        </w:rPr>
      </w:pPr>
    </w:p>
    <w:p w:rsidR="00164432" w:rsidRPr="0055134C" w:rsidRDefault="00164432" w:rsidP="00164432">
      <w:pPr>
        <w:widowControl w:val="0"/>
        <w:jc w:val="both"/>
        <w:rPr>
          <w:sz w:val="20"/>
          <w:szCs w:val="20"/>
          <w:lang w:val="fr-CA"/>
        </w:rPr>
      </w:pPr>
      <w:r w:rsidRPr="0055134C">
        <w:rPr>
          <w:sz w:val="20"/>
          <w:szCs w:val="20"/>
          <w:lang w:val="fr-CA"/>
        </w:rPr>
        <w:t xml:space="preserve">Droit de l’emploi </w:t>
      </w:r>
      <w:r w:rsidRPr="0055134C">
        <w:rPr>
          <w:sz w:val="20"/>
          <w:szCs w:val="20"/>
          <w:lang w:val="fr-CA"/>
        </w:rPr>
        <w:noBreakHyphen/>
        <w:t xml:space="preserve"> Congédiement injustifié </w:t>
      </w:r>
      <w:r w:rsidRPr="0055134C">
        <w:rPr>
          <w:sz w:val="20"/>
          <w:szCs w:val="20"/>
          <w:lang w:val="fr-CA"/>
        </w:rPr>
        <w:noBreakHyphen/>
        <w:t xml:space="preserve"> Dommages</w:t>
      </w:r>
      <w:r w:rsidRPr="0055134C">
        <w:rPr>
          <w:sz w:val="20"/>
          <w:szCs w:val="20"/>
          <w:lang w:val="fr-CA"/>
        </w:rPr>
        <w:noBreakHyphen/>
        <w:t xml:space="preserve">intérêts </w:t>
      </w:r>
      <w:r w:rsidRPr="0055134C">
        <w:rPr>
          <w:sz w:val="20"/>
          <w:szCs w:val="20"/>
          <w:lang w:val="fr-CA"/>
        </w:rPr>
        <w:noBreakHyphen/>
        <w:t xml:space="preserve"> Pensions </w:t>
      </w:r>
      <w:r w:rsidRPr="0055134C">
        <w:rPr>
          <w:sz w:val="20"/>
          <w:szCs w:val="20"/>
          <w:lang w:val="fr-CA"/>
        </w:rPr>
        <w:noBreakHyphen/>
        <w:t xml:space="preserve"> Les prestations de retraite reçues par l’intimé durant la période de préavis de son congédiement injustifié devraient</w:t>
      </w:r>
      <w:r w:rsidRPr="0055134C">
        <w:rPr>
          <w:sz w:val="20"/>
          <w:szCs w:val="20"/>
          <w:lang w:val="fr-CA"/>
        </w:rPr>
        <w:noBreakHyphen/>
        <w:t>elles être déduites des dommages</w:t>
      </w:r>
      <w:r w:rsidRPr="0055134C">
        <w:rPr>
          <w:sz w:val="20"/>
          <w:szCs w:val="20"/>
          <w:lang w:val="fr-CA"/>
        </w:rPr>
        <w:noBreakHyphen/>
        <w:t xml:space="preserve">intérêts qui lui ont été accordés par jugement au titre de son congédiement injustifié? </w:t>
      </w:r>
    </w:p>
    <w:p w:rsidR="00164432" w:rsidRPr="0055134C" w:rsidRDefault="00164432" w:rsidP="00164432">
      <w:pPr>
        <w:widowControl w:val="0"/>
        <w:jc w:val="both"/>
        <w:rPr>
          <w:sz w:val="20"/>
          <w:szCs w:val="20"/>
          <w:lang w:val="fr-CA"/>
        </w:rPr>
      </w:pPr>
    </w:p>
    <w:p w:rsidR="00164432" w:rsidRPr="0055134C" w:rsidRDefault="00164432" w:rsidP="00164432">
      <w:pPr>
        <w:widowControl w:val="0"/>
        <w:jc w:val="both"/>
        <w:rPr>
          <w:sz w:val="20"/>
          <w:szCs w:val="20"/>
          <w:lang w:val="fr-CA"/>
        </w:rPr>
      </w:pPr>
      <w:r w:rsidRPr="0055134C">
        <w:rPr>
          <w:sz w:val="20"/>
          <w:szCs w:val="20"/>
          <w:lang w:val="fr-CA"/>
        </w:rPr>
        <w:t>L’intimé avait occupé un emploi chez IBM (U.K.) Ltd., puis chez IBM Canada limitée pendant plus de 40 ans avant d’être congédié sans motif valable moyennant un délai de préavis de deux mois.  Au moment de la cessation de son emploi, il était âgé de 65 ans et avait droit de recevoir des prestations sous le régime de retraite d’IBM capitalisé par l’employeur.  Il n’avait aucune intention de partir à la retraite et a intenté une poursuite en congédiement injustifié.  Après la cessation d’emploi, il recevait des prestations de retraite de 2 124,25 $ par mois.  Le juge de première instance a statué que le délai de préavis aurait dû être de 20 mois.  Il a accordé des dommages</w:t>
      </w:r>
      <w:r w:rsidRPr="0055134C">
        <w:rPr>
          <w:sz w:val="20"/>
          <w:szCs w:val="20"/>
          <w:lang w:val="fr-CA"/>
        </w:rPr>
        <w:noBreakHyphen/>
        <w:t>intérêts calculés en fonction de l’absence de préavis de 18 mois.  L’intimé s’est vu payer des prestations de retraite après la cessation d’emploi sur le fondement d’une pension entièrement dévolue.  Le juge de première instance n’a pas déduit du montant des dommages</w:t>
      </w:r>
      <w:r w:rsidRPr="0055134C">
        <w:rPr>
          <w:sz w:val="20"/>
          <w:szCs w:val="20"/>
          <w:lang w:val="fr-CA"/>
        </w:rPr>
        <w:noBreakHyphen/>
        <w:t xml:space="preserve"> intérêts accordés le montant des prestations de retraite versées pendant la période de préavis.  IBM Canada limitée a interjeté appel, plaidant qu’un montant égal aux prestations de retraite aurait dû être déduit des dommages</w:t>
      </w:r>
      <w:r w:rsidRPr="0055134C">
        <w:rPr>
          <w:sz w:val="20"/>
          <w:szCs w:val="20"/>
          <w:lang w:val="fr-CA"/>
        </w:rPr>
        <w:noBreakHyphen/>
        <w:t>intérêts.  La Cour d’appel a rejeté l’appel.</w:t>
      </w:r>
    </w:p>
    <w:p w:rsidR="00164432" w:rsidRPr="0055134C" w:rsidRDefault="00164432" w:rsidP="00164432">
      <w:pPr>
        <w:widowControl w:val="0"/>
        <w:jc w:val="both"/>
        <w:rPr>
          <w:sz w:val="20"/>
          <w:szCs w:val="20"/>
          <w:lang w:val="fr-CA"/>
        </w:rPr>
      </w:pPr>
    </w:p>
    <w:p w:rsidR="00164432" w:rsidRPr="0055134C" w:rsidRDefault="00164432" w:rsidP="00164432">
      <w:pPr>
        <w:widowControl w:val="0"/>
        <w:jc w:val="both"/>
        <w:rPr>
          <w:sz w:val="20"/>
          <w:szCs w:val="20"/>
          <w:lang w:val="fr-CA"/>
        </w:rPr>
      </w:pPr>
    </w:p>
    <w:p w:rsidR="00164432" w:rsidRPr="0055134C" w:rsidRDefault="00164432" w:rsidP="00164432">
      <w:pPr>
        <w:widowControl w:val="0"/>
        <w:ind w:left="2880" w:hanging="2880"/>
        <w:jc w:val="both"/>
        <w:rPr>
          <w:sz w:val="20"/>
          <w:szCs w:val="20"/>
          <w:lang w:val="fr-CA"/>
        </w:rPr>
      </w:pPr>
      <w:r w:rsidRPr="0055134C">
        <w:rPr>
          <w:sz w:val="20"/>
          <w:szCs w:val="20"/>
          <w:lang w:val="fr-CA"/>
        </w:rPr>
        <w:t>Origine :</w:t>
      </w:r>
      <w:r w:rsidRPr="0055134C">
        <w:rPr>
          <w:sz w:val="20"/>
          <w:szCs w:val="20"/>
          <w:lang w:val="fr-CA"/>
        </w:rPr>
        <w:tab/>
        <w:t>Colombie</w:t>
      </w:r>
      <w:r w:rsidRPr="0055134C">
        <w:rPr>
          <w:sz w:val="20"/>
          <w:szCs w:val="20"/>
          <w:lang w:val="fr-CA"/>
        </w:rPr>
        <w:noBreakHyphen/>
        <w:t>Britannique</w:t>
      </w:r>
    </w:p>
    <w:p w:rsidR="00164432" w:rsidRPr="0055134C" w:rsidRDefault="00164432" w:rsidP="00164432">
      <w:pPr>
        <w:widowControl w:val="0"/>
        <w:ind w:left="2880" w:hanging="2880"/>
        <w:jc w:val="both"/>
        <w:rPr>
          <w:sz w:val="20"/>
          <w:szCs w:val="20"/>
          <w:lang w:val="fr-CA"/>
        </w:rPr>
      </w:pPr>
    </w:p>
    <w:p w:rsidR="00164432" w:rsidRPr="0055134C" w:rsidRDefault="00164432" w:rsidP="00164432">
      <w:pPr>
        <w:widowControl w:val="0"/>
        <w:ind w:left="2880" w:hanging="2880"/>
        <w:jc w:val="both"/>
        <w:rPr>
          <w:sz w:val="20"/>
          <w:szCs w:val="20"/>
          <w:lang w:val="fr-CA"/>
        </w:rPr>
      </w:pPr>
      <w:r w:rsidRPr="0055134C">
        <w:rPr>
          <w:sz w:val="20"/>
          <w:szCs w:val="20"/>
          <w:lang w:val="fr-CA"/>
        </w:rPr>
        <w:t>N</w:t>
      </w:r>
      <w:r w:rsidRPr="0055134C">
        <w:rPr>
          <w:sz w:val="20"/>
          <w:szCs w:val="20"/>
          <w:vertAlign w:val="superscript"/>
          <w:lang w:val="fr-CA"/>
        </w:rPr>
        <w:t>o</w:t>
      </w:r>
      <w:r w:rsidRPr="0055134C">
        <w:rPr>
          <w:sz w:val="20"/>
          <w:szCs w:val="20"/>
          <w:lang w:val="fr-CA"/>
        </w:rPr>
        <w:t xml:space="preserve"> du greffe :</w:t>
      </w:r>
      <w:r w:rsidRPr="0055134C">
        <w:rPr>
          <w:sz w:val="20"/>
          <w:szCs w:val="20"/>
          <w:lang w:val="fr-CA"/>
        </w:rPr>
        <w:tab/>
        <w:t>34472</w:t>
      </w:r>
    </w:p>
    <w:p w:rsidR="00164432" w:rsidRPr="0055134C" w:rsidRDefault="00164432" w:rsidP="00164432">
      <w:pPr>
        <w:widowControl w:val="0"/>
        <w:ind w:left="2880" w:hanging="2880"/>
        <w:jc w:val="both"/>
        <w:rPr>
          <w:sz w:val="20"/>
          <w:szCs w:val="20"/>
          <w:lang w:val="fr-CA"/>
        </w:rPr>
      </w:pPr>
    </w:p>
    <w:p w:rsidR="00164432" w:rsidRPr="0055134C" w:rsidRDefault="00164432" w:rsidP="00164432">
      <w:pPr>
        <w:widowControl w:val="0"/>
        <w:ind w:left="2880" w:hanging="2880"/>
        <w:jc w:val="both"/>
        <w:rPr>
          <w:sz w:val="20"/>
          <w:szCs w:val="20"/>
          <w:lang w:val="fr-CA"/>
        </w:rPr>
      </w:pPr>
      <w:r w:rsidRPr="0055134C">
        <w:rPr>
          <w:sz w:val="20"/>
          <w:szCs w:val="20"/>
          <w:lang w:val="fr-CA"/>
        </w:rPr>
        <w:t>Arrêt de la Cour d’appel :</w:t>
      </w:r>
      <w:r w:rsidRPr="0055134C">
        <w:rPr>
          <w:sz w:val="20"/>
          <w:szCs w:val="20"/>
          <w:lang w:val="fr-CA"/>
        </w:rPr>
        <w:tab/>
        <w:t>2 août 2011</w:t>
      </w:r>
    </w:p>
    <w:p w:rsidR="00164432" w:rsidRPr="0055134C" w:rsidRDefault="00164432" w:rsidP="00164432">
      <w:pPr>
        <w:widowControl w:val="0"/>
        <w:ind w:left="2880" w:hanging="2880"/>
        <w:jc w:val="both"/>
        <w:rPr>
          <w:sz w:val="20"/>
          <w:szCs w:val="20"/>
          <w:lang w:val="fr-CA"/>
        </w:rPr>
      </w:pPr>
    </w:p>
    <w:p w:rsidR="00164432" w:rsidRPr="0055134C" w:rsidRDefault="00164432" w:rsidP="00164432">
      <w:pPr>
        <w:widowControl w:val="0"/>
        <w:ind w:left="2880" w:hanging="2880"/>
        <w:jc w:val="both"/>
        <w:rPr>
          <w:sz w:val="20"/>
          <w:szCs w:val="20"/>
          <w:lang w:val="fr-CA"/>
        </w:rPr>
      </w:pPr>
      <w:r w:rsidRPr="0055134C">
        <w:rPr>
          <w:sz w:val="20"/>
          <w:szCs w:val="20"/>
          <w:lang w:val="fr-CA"/>
        </w:rPr>
        <w:t>Avocats :</w:t>
      </w:r>
      <w:r w:rsidRPr="0055134C">
        <w:rPr>
          <w:sz w:val="20"/>
          <w:szCs w:val="20"/>
          <w:lang w:val="fr-CA"/>
        </w:rPr>
        <w:tab/>
        <w:t>D. Geoffrey Cowper, c.r. et Lorene A. Novakowski pour l’appelante</w:t>
      </w:r>
    </w:p>
    <w:p w:rsidR="00164432" w:rsidRPr="0055134C" w:rsidRDefault="00164432" w:rsidP="00164432">
      <w:pPr>
        <w:widowControl w:val="0"/>
        <w:ind w:left="2880" w:hanging="2880"/>
        <w:jc w:val="both"/>
        <w:rPr>
          <w:sz w:val="20"/>
          <w:szCs w:val="20"/>
          <w:lang w:val="fr-CA"/>
        </w:rPr>
      </w:pPr>
      <w:r w:rsidRPr="0055134C">
        <w:rPr>
          <w:sz w:val="20"/>
          <w:szCs w:val="20"/>
          <w:lang w:val="fr-CA"/>
        </w:rPr>
        <w:tab/>
        <w:t>Christopher Watson et Matthew Siren pour l’intimé</w:t>
      </w:r>
    </w:p>
    <w:p w:rsidR="00A818DB" w:rsidRPr="00164432" w:rsidRDefault="00A818DB" w:rsidP="00A818DB">
      <w:pPr>
        <w:widowControl w:val="0"/>
        <w:jc w:val="both"/>
        <w:rPr>
          <w:sz w:val="20"/>
          <w:szCs w:val="20"/>
          <w:lang w:val="fr-CA"/>
        </w:rPr>
      </w:pPr>
    </w:p>
    <w:p w:rsidR="00A818DB" w:rsidRPr="00DD0B49" w:rsidRDefault="00DB239D" w:rsidP="00A818DB">
      <w:pPr>
        <w:tabs>
          <w:tab w:val="left" w:pos="-1440"/>
          <w:tab w:val="left" w:pos="-720"/>
        </w:tabs>
        <w:ind w:left="720" w:hanging="720"/>
        <w:jc w:val="both"/>
        <w:rPr>
          <w:sz w:val="20"/>
          <w:szCs w:val="20"/>
          <w:lang w:val="fr-CA"/>
        </w:rPr>
      </w:pPr>
      <w:r w:rsidRPr="00DB239D">
        <w:rPr>
          <w:sz w:val="20"/>
          <w:szCs w:val="20"/>
          <w:lang w:val="fr-CA"/>
        </w:rPr>
        <w:pict>
          <v:rect id="_x0000_i1136" style="width:2in;height:1pt" o:hrpct="0" o:hralign="center" o:hrstd="t" o:hrnoshade="t" o:hr="t" fillcolor="black [3213]" stroked="f"/>
        </w:pict>
      </w:r>
    </w:p>
    <w:p w:rsidR="00A818DB" w:rsidRPr="00DD0B49" w:rsidRDefault="00A818DB" w:rsidP="00A818DB">
      <w:pPr>
        <w:tabs>
          <w:tab w:val="left" w:pos="-1440"/>
          <w:tab w:val="left" w:pos="-720"/>
        </w:tabs>
        <w:ind w:left="720" w:hanging="720"/>
        <w:jc w:val="both"/>
        <w:rPr>
          <w:sz w:val="20"/>
          <w:szCs w:val="20"/>
          <w:lang w:val="fr-CA"/>
        </w:rPr>
      </w:pPr>
    </w:p>
    <w:p w:rsidR="00A818DB" w:rsidRPr="00DD0B49" w:rsidRDefault="00A818DB"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p w:rsidR="00091FA6" w:rsidRPr="002E0C7E" w:rsidRDefault="00DB239D"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F21E5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21E5E">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21E5E">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DECEMBER - DÉCEMBRE</w:t>
            </w:r>
          </w:p>
        </w:tc>
      </w:tr>
      <w:tr w:rsidR="00091FA6" w:rsidRPr="002E0C7E" w:rsidTr="00F21E5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r>
      <w:tr w:rsidR="00091FA6" w:rsidRPr="002E0C7E" w:rsidTr="00F21E5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r>
      <w:tr w:rsidR="00091FA6" w:rsidRPr="002E0C7E" w:rsidTr="00F21E5E">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F21E5E">
            <w:pPr>
              <w:widowControl w:val="0"/>
              <w:jc w:val="center"/>
              <w:rPr>
                <w:rFonts w:ascii="Arial" w:hAnsi="Arial"/>
                <w:b/>
                <w:sz w:val="14"/>
              </w:rPr>
            </w:pPr>
            <w:r w:rsidRPr="000C583B">
              <w:rPr>
                <w:rFonts w:ascii="Arial" w:hAnsi="Arial"/>
                <w:b/>
                <w:sz w:val="14"/>
              </w:rPr>
              <w:t>H</w:t>
            </w:r>
          </w:p>
          <w:p w:rsidR="00091FA6" w:rsidRPr="002E0C7E" w:rsidRDefault="00091FA6" w:rsidP="00F21E5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F21E5E">
            <w:pPr>
              <w:widowControl w:val="0"/>
              <w:jc w:val="center"/>
              <w:rPr>
                <w:rFonts w:ascii="Arial" w:hAnsi="Arial"/>
                <w:b/>
                <w:sz w:val="14"/>
              </w:rPr>
            </w:pPr>
            <w:r w:rsidRPr="000C583B">
              <w:rPr>
                <w:rFonts w:ascii="Arial" w:hAnsi="Arial"/>
                <w:b/>
                <w:sz w:val="14"/>
              </w:rPr>
              <w:t>M</w:t>
            </w:r>
          </w:p>
          <w:p w:rsidR="00091FA6" w:rsidRPr="002E0C7E" w:rsidRDefault="00091FA6" w:rsidP="00F21E5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M</w:t>
            </w:r>
          </w:p>
          <w:p w:rsidR="00091FA6" w:rsidRPr="002E0C7E" w:rsidRDefault="00091FA6" w:rsidP="00F21E5E">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M</w:t>
            </w:r>
          </w:p>
          <w:p w:rsidR="00091FA6" w:rsidRPr="002E0C7E" w:rsidRDefault="00091FA6" w:rsidP="00F21E5E">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r>
      <w:tr w:rsidR="00091FA6" w:rsidRPr="002E0C7E" w:rsidTr="00F21E5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F21E5E">
            <w:pPr>
              <w:widowControl w:val="0"/>
              <w:jc w:val="center"/>
              <w:rPr>
                <w:rFonts w:ascii="Arial" w:hAnsi="Arial"/>
                <w:b/>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F21E5E">
            <w:pPr>
              <w:widowControl w:val="0"/>
              <w:jc w:val="center"/>
              <w:rPr>
                <w:rFonts w:ascii="Arial" w:hAnsi="Arial"/>
                <w:sz w:val="14"/>
              </w:rPr>
            </w:pPr>
            <w:r>
              <w:rPr>
                <w:rFonts w:ascii="Arial" w:hAnsi="Arial"/>
                <w:b/>
                <w:sz w:val="14"/>
              </w:rPr>
              <w:t>H</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F21E5E">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F21E5E">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Pr>
                <w:rFonts w:ascii="Arial" w:hAnsi="Arial"/>
                <w:sz w:val="14"/>
              </w:rPr>
              <w:t>23</w:t>
            </w:r>
          </w:p>
          <w:p w:rsidR="00091FA6" w:rsidRPr="002E0C7E" w:rsidRDefault="00091FA6" w:rsidP="00F21E5E">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Pr>
                <w:rFonts w:ascii="Arial" w:hAnsi="Arial"/>
                <w:sz w:val="14"/>
              </w:rPr>
              <w:t>24</w:t>
            </w:r>
          </w:p>
          <w:p w:rsidR="00091FA6" w:rsidRPr="002E0C7E" w:rsidRDefault="00091FA6" w:rsidP="00F21E5E">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H</w:t>
            </w: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F21E5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21E5E">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21E5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MARCH - MARS</w:t>
            </w:r>
          </w:p>
        </w:tc>
      </w:tr>
      <w:tr w:rsidR="00091FA6" w:rsidRPr="002E0C7E" w:rsidTr="00F21E5E">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r>
      <w:tr w:rsidR="00091FA6" w:rsidRPr="002E0C7E" w:rsidTr="00F21E5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F21E5E">
            <w:pPr>
              <w:widowControl w:val="0"/>
              <w:jc w:val="center"/>
              <w:rPr>
                <w:rFonts w:ascii="Arial" w:hAnsi="Arial"/>
                <w:b/>
                <w:sz w:val="14"/>
              </w:rPr>
            </w:pPr>
            <w:r>
              <w:rPr>
                <w:rFonts w:ascii="Arial" w:hAnsi="Arial"/>
                <w:b/>
                <w:sz w:val="14"/>
              </w:rPr>
              <w:t>H</w:t>
            </w:r>
          </w:p>
          <w:p w:rsidR="00091FA6" w:rsidRPr="002E0C7E" w:rsidRDefault="00091FA6" w:rsidP="00F21E5E">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r>
      <w:tr w:rsidR="00091FA6" w:rsidRPr="002E0C7E" w:rsidTr="00F21E5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r>
      <w:tr w:rsidR="00091FA6" w:rsidRPr="002E0C7E" w:rsidTr="00F21E5E">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F21E5E">
            <w:pPr>
              <w:widowControl w:val="0"/>
              <w:jc w:val="center"/>
              <w:rPr>
                <w:rFonts w:ascii="Arial" w:hAnsi="Arial"/>
                <w:b/>
                <w:sz w:val="14"/>
              </w:rPr>
            </w:pPr>
            <w:r>
              <w:rPr>
                <w:rFonts w:ascii="Arial" w:hAnsi="Arial"/>
                <w:b/>
                <w:sz w:val="14"/>
              </w:rPr>
              <w:t>M</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F21E5E">
            <w:pPr>
              <w:widowControl w:val="0"/>
              <w:jc w:val="center"/>
              <w:rPr>
                <w:rFonts w:ascii="Arial" w:hAnsi="Arial"/>
                <w:b/>
                <w:sz w:val="14"/>
              </w:rPr>
            </w:pPr>
            <w:r>
              <w:rPr>
                <w:rFonts w:ascii="Arial" w:hAnsi="Arial"/>
                <w:b/>
                <w:sz w:val="14"/>
              </w:rPr>
              <w:t>M</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F21E5E">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F21E5E">
            <w:pPr>
              <w:widowControl w:val="0"/>
              <w:jc w:val="center"/>
              <w:rPr>
                <w:rFonts w:ascii="Arial" w:hAnsi="Arial"/>
                <w:b/>
                <w:sz w:val="14"/>
              </w:rPr>
            </w:pPr>
            <w:r>
              <w:rPr>
                <w:rFonts w:ascii="Arial" w:hAnsi="Arial"/>
                <w:b/>
                <w:sz w:val="14"/>
              </w:rPr>
              <w:t>M</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F21E5E">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Pr>
                <w:rFonts w:ascii="Arial" w:hAnsi="Arial"/>
                <w:sz w:val="14"/>
              </w:rPr>
              <w:t>24</w:t>
            </w:r>
          </w:p>
          <w:p w:rsidR="00091FA6" w:rsidRPr="002E0C7E" w:rsidRDefault="00091FA6" w:rsidP="00F21E5E">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F21E5E">
            <w:pPr>
              <w:widowControl w:val="0"/>
              <w:jc w:val="center"/>
              <w:rPr>
                <w:rFonts w:ascii="Arial" w:hAnsi="Arial"/>
                <w:b/>
                <w:sz w:val="14"/>
              </w:rPr>
            </w:pPr>
            <w:r w:rsidRPr="00261B35">
              <w:rPr>
                <w:rFonts w:ascii="Arial" w:hAnsi="Arial"/>
                <w:b/>
                <w:sz w:val="14"/>
              </w:rPr>
              <w:t>H</w:t>
            </w:r>
          </w:p>
          <w:p w:rsidR="00091FA6" w:rsidRPr="002E0C7E" w:rsidRDefault="00091FA6" w:rsidP="00F21E5E">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F21E5E">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21E5E">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F21E5E">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F21E5E">
            <w:pPr>
              <w:widowControl w:val="0"/>
              <w:jc w:val="center"/>
              <w:rPr>
                <w:rFonts w:ascii="Arial" w:hAnsi="Arial"/>
                <w:sz w:val="14"/>
              </w:rPr>
            </w:pPr>
            <w:r w:rsidRPr="002E0C7E">
              <w:rPr>
                <w:rFonts w:ascii="Arial" w:hAnsi="Arial"/>
                <w:b/>
                <w:sz w:val="14"/>
              </w:rPr>
              <w:t>JUNE - JUIN</w:t>
            </w:r>
          </w:p>
        </w:tc>
      </w:tr>
      <w:tr w:rsidR="00091FA6" w:rsidRPr="002E0C7E" w:rsidTr="00F21E5E">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M</w:t>
            </w:r>
          </w:p>
          <w:p w:rsidR="00091FA6" w:rsidRPr="002E0C7E" w:rsidRDefault="00091FA6" w:rsidP="00F21E5E">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W</w:t>
            </w:r>
          </w:p>
          <w:p w:rsidR="00091FA6" w:rsidRPr="002E0C7E" w:rsidRDefault="00091FA6" w:rsidP="00F21E5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T</w:t>
            </w:r>
          </w:p>
          <w:p w:rsidR="00091FA6" w:rsidRPr="002E0C7E" w:rsidRDefault="00091FA6" w:rsidP="00F21E5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F</w:t>
            </w:r>
          </w:p>
          <w:p w:rsidR="00091FA6" w:rsidRPr="002E0C7E" w:rsidRDefault="00091FA6" w:rsidP="00F21E5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sidRPr="002E0C7E">
              <w:rPr>
                <w:rFonts w:ascii="Arial" w:hAnsi="Arial"/>
                <w:sz w:val="14"/>
              </w:rPr>
              <w:t>s</w:t>
            </w:r>
          </w:p>
          <w:p w:rsidR="00091FA6" w:rsidRPr="002E0C7E" w:rsidRDefault="00091FA6" w:rsidP="00F21E5E">
            <w:pPr>
              <w:widowControl w:val="0"/>
              <w:jc w:val="center"/>
              <w:rPr>
                <w:rFonts w:ascii="Arial" w:hAnsi="Arial"/>
                <w:sz w:val="14"/>
              </w:rPr>
            </w:pPr>
            <w:r w:rsidRPr="002E0C7E">
              <w:rPr>
                <w:rFonts w:ascii="Arial" w:hAnsi="Arial"/>
                <w:sz w:val="14"/>
              </w:rPr>
              <w:t>s</w:t>
            </w:r>
          </w:p>
        </w:tc>
      </w:tr>
      <w:tr w:rsidR="00091FA6" w:rsidRPr="002E0C7E" w:rsidTr="00F21E5E">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F21E5E">
            <w:pPr>
              <w:widowControl w:val="0"/>
              <w:jc w:val="center"/>
              <w:rPr>
                <w:rFonts w:ascii="Arial" w:hAnsi="Arial"/>
                <w:b/>
                <w:sz w:val="14"/>
              </w:rPr>
            </w:pPr>
            <w:r w:rsidRPr="002453E3">
              <w:rPr>
                <w:rFonts w:ascii="Arial" w:hAnsi="Arial"/>
                <w:b/>
                <w:sz w:val="14"/>
              </w:rPr>
              <w:t>H</w:t>
            </w:r>
          </w:p>
          <w:p w:rsidR="00091FA6" w:rsidRPr="002E0C7E" w:rsidRDefault="00091FA6" w:rsidP="00F21E5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b/>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w:t>
            </w:r>
          </w:p>
        </w:tc>
      </w:tr>
      <w:tr w:rsidR="00091FA6" w:rsidRPr="002E0C7E" w:rsidTr="00F21E5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F21E5E">
            <w:pPr>
              <w:widowControl w:val="0"/>
              <w:jc w:val="center"/>
              <w:rPr>
                <w:rFonts w:ascii="Arial" w:hAnsi="Arial"/>
                <w:b/>
                <w:sz w:val="14"/>
              </w:rPr>
            </w:pPr>
          </w:p>
          <w:p w:rsidR="00091FA6" w:rsidRPr="002E0C7E" w:rsidRDefault="00091FA6" w:rsidP="00F21E5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8</w:t>
            </w:r>
          </w:p>
        </w:tc>
      </w:tr>
      <w:tr w:rsidR="00091FA6" w:rsidRPr="002E0C7E" w:rsidTr="00F21E5E">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F21E5E">
            <w:pPr>
              <w:widowControl w:val="0"/>
              <w:jc w:val="center"/>
              <w:rPr>
                <w:rFonts w:ascii="Arial" w:hAnsi="Arial"/>
                <w:b/>
                <w:sz w:val="14"/>
              </w:rPr>
            </w:pPr>
            <w:r w:rsidRPr="00DB5777">
              <w:rPr>
                <w:rFonts w:ascii="Arial" w:hAnsi="Arial"/>
                <w:b/>
                <w:sz w:val="14"/>
              </w:rPr>
              <w:t>M</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F21E5E">
            <w:pPr>
              <w:widowControl w:val="0"/>
              <w:jc w:val="center"/>
              <w:rPr>
                <w:rFonts w:ascii="Arial" w:hAnsi="Arial"/>
                <w:b/>
                <w:sz w:val="14"/>
              </w:rPr>
            </w:pPr>
            <w:r w:rsidRPr="002453E3">
              <w:rPr>
                <w:rFonts w:ascii="Arial" w:hAnsi="Arial"/>
                <w:b/>
                <w:sz w:val="14"/>
              </w:rPr>
              <w:t>M</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F21E5E">
            <w:pPr>
              <w:widowControl w:val="0"/>
              <w:jc w:val="center"/>
              <w:rPr>
                <w:rFonts w:ascii="Arial" w:hAnsi="Arial"/>
                <w:b/>
                <w:sz w:val="14"/>
              </w:rPr>
            </w:pPr>
            <w:r w:rsidRPr="006A1E8D">
              <w:rPr>
                <w:rFonts w:ascii="Arial" w:hAnsi="Arial"/>
                <w:b/>
                <w:sz w:val="14"/>
              </w:rPr>
              <w:t>M</w:t>
            </w: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F21E5E">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F21E5E">
            <w:pPr>
              <w:widowControl w:val="0"/>
              <w:jc w:val="center"/>
              <w:rPr>
                <w:rFonts w:ascii="Arial" w:hAnsi="Arial"/>
                <w:b/>
                <w:sz w:val="14"/>
              </w:rPr>
            </w:pPr>
            <w:r>
              <w:rPr>
                <w:rFonts w:ascii="Arial" w:hAnsi="Arial"/>
                <w:b/>
                <w:sz w:val="14"/>
              </w:rPr>
              <w:t>H</w:t>
            </w: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F21E5E">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r>
              <w:rPr>
                <w:rFonts w:ascii="Arial" w:hAnsi="Arial"/>
                <w:sz w:val="14"/>
              </w:rPr>
              <w:t>23</w:t>
            </w:r>
          </w:p>
          <w:p w:rsidR="00091FA6" w:rsidRPr="002E0C7E" w:rsidRDefault="00091FA6" w:rsidP="00F21E5E">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F21E5E">
            <w:pPr>
              <w:widowControl w:val="0"/>
              <w:jc w:val="center"/>
              <w:rPr>
                <w:rFonts w:ascii="Arial" w:hAnsi="Arial"/>
                <w:sz w:val="14"/>
              </w:rPr>
            </w:pPr>
          </w:p>
          <w:p w:rsidR="00091FA6" w:rsidRPr="002E0C7E" w:rsidRDefault="00091FA6" w:rsidP="00F21E5E">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F21E5E">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F21E5E">
            <w:pPr>
              <w:widowControl w:val="0"/>
              <w:rPr>
                <w:rFonts w:ascii="Arial" w:hAnsi="Arial"/>
                <w:sz w:val="16"/>
              </w:rPr>
            </w:pPr>
            <w:r w:rsidRPr="002E0C7E">
              <w:rPr>
                <w:rFonts w:ascii="Arial" w:hAnsi="Arial"/>
                <w:sz w:val="16"/>
              </w:rPr>
              <w:t>Sittings of the court:</w:t>
            </w:r>
          </w:p>
          <w:p w:rsidR="00091FA6" w:rsidRPr="002E0C7E" w:rsidRDefault="00091FA6" w:rsidP="00F21E5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F21E5E">
            <w:pPr>
              <w:widowControl w:val="0"/>
              <w:rPr>
                <w:rFonts w:ascii="Arial" w:hAnsi="Arial"/>
                <w:sz w:val="16"/>
              </w:rPr>
            </w:pPr>
          </w:p>
          <w:p w:rsidR="00091FA6" w:rsidRPr="002E0C7E" w:rsidRDefault="00091FA6" w:rsidP="00F21E5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F21E5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F21E5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F21E5E">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F21E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F1" w:rsidRDefault="00852DF1" w:rsidP="00A87207">
      <w:r>
        <w:separator/>
      </w:r>
    </w:p>
  </w:endnote>
  <w:endnote w:type="continuationSeparator" w:id="0">
    <w:p w:rsidR="00852DF1" w:rsidRDefault="00852DF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pPr>
      <w:pStyle w:val="Footer"/>
      <w:rPr>
        <w:lang w:val="fr-CA"/>
      </w:rPr>
    </w:pPr>
    <w:r w:rsidRPr="00DB239D">
      <w:rPr>
        <w:lang w:val="fr-CA"/>
      </w:rPr>
      <w:pict>
        <v:rect id="_x0000_i1091" style="width:480.95pt;height:1pt" o:hralign="center" o:hrstd="t" o:hrnoshade="t" o:hr="t" fillcolor="black [3213]" stroked="f"/>
      </w:pict>
    </w:r>
  </w:p>
  <w:p w:rsidR="00852DF1" w:rsidRDefault="00852DF1" w:rsidP="00245129">
    <w:pPr>
      <w:tabs>
        <w:tab w:val="center" w:pos="4680"/>
      </w:tabs>
    </w:pPr>
    <w:r>
      <w:tab/>
    </w:r>
    <w:r w:rsidRPr="0009648D">
      <w:t xml:space="preserve">- </w:t>
    </w:r>
    <w:fldSimple w:instr=" PAGE   \* MERGEFORMAT ">
      <w:r w:rsidR="001D43E1">
        <w:rPr>
          <w:noProof/>
        </w:rPr>
        <w:t>1783</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DF1" w:rsidRDefault="00852DF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755F22">
    <w:pPr>
      <w:tabs>
        <w:tab w:val="left" w:pos="-1440"/>
        <w:tab w:val="left" w:pos="-720"/>
      </w:tabs>
    </w:pPr>
    <w:r>
      <w:pict>
        <v:rect id="_x0000_i1098" style="width:480.95pt;height:1pt" o:hralign="center" o:hrstd="t" o:hrnoshade="t" o:hr="t" fillcolor="black [3213]" stroked="f"/>
      </w:pict>
    </w:r>
  </w:p>
  <w:p w:rsidR="00852DF1" w:rsidRDefault="00852DF1" w:rsidP="00EB2B90">
    <w:pPr>
      <w:tabs>
        <w:tab w:val="center" w:pos="4680"/>
      </w:tabs>
    </w:pPr>
    <w:r>
      <w:tab/>
      <w:t xml:space="preserve">- </w:t>
    </w:r>
    <w:fldSimple w:instr=" PAGE   \* MERGEFORMAT ">
      <w:r w:rsidR="001D43E1">
        <w:rPr>
          <w:noProof/>
        </w:rPr>
        <w:t>1834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EB2B90">
    <w:pPr>
      <w:tabs>
        <w:tab w:val="center" w:pos="4680"/>
      </w:tabs>
    </w:pPr>
    <w:r>
      <w:pict>
        <v:rect id="_x0000_i1099" style="width:480.95pt;height:1pt" o:hralign="center" o:hrstd="t" o:hrnoshade="t" o:hr="t" fillcolor="black [3213]" stroked="f"/>
      </w:pict>
    </w:r>
  </w:p>
  <w:p w:rsidR="00852DF1" w:rsidRPr="0031432F" w:rsidRDefault="00852DF1" w:rsidP="00EB2B90">
    <w:pPr>
      <w:tabs>
        <w:tab w:val="center" w:pos="4680"/>
      </w:tabs>
    </w:pPr>
    <w:r>
      <w:tab/>
      <w:t xml:space="preserve">- </w:t>
    </w:r>
    <w:fldSimple w:instr=" PAGE   \* MERGEFORMAT ">
      <w:r w:rsidR="001D43E1">
        <w:rPr>
          <w:noProof/>
        </w:rPr>
        <w:t>1830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DF1" w:rsidRDefault="00852DF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B239D">
      <w:rPr>
        <w:lang w:val="fr-CA"/>
      </w:rPr>
      <w:pict>
        <v:rect id="_x0000_i1101" style="width:480.95pt;height:1pt" o:hralign="center" o:hrstd="t" o:hrnoshade="t" o:hr="t" fillcolor="black [3213]" stroked="f"/>
      </w:pict>
    </w:r>
  </w:p>
  <w:p w:rsidR="00852DF1" w:rsidRDefault="00852DF1"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pPr>
      <w:pStyle w:val="Footer"/>
      <w:rPr>
        <w:lang w:val="fr-CA"/>
      </w:rPr>
    </w:pPr>
    <w:r w:rsidRPr="00DB239D">
      <w:rPr>
        <w:lang w:val="fr-CA"/>
      </w:rPr>
      <w:pict>
        <v:rect id="_x0000_i1102" style="width:480.95pt;height:1pt" o:hralign="center" o:hrstd="t" o:hrnoshade="t" o:hr="t" fillcolor="black [3213]" stroked="f"/>
      </w:pict>
    </w:r>
  </w:p>
  <w:p w:rsidR="00852DF1" w:rsidRDefault="00852DF1" w:rsidP="00EB2B90">
    <w:pPr>
      <w:tabs>
        <w:tab w:val="center" w:pos="4680"/>
      </w:tabs>
    </w:pPr>
    <w:r>
      <w:tab/>
      <w:t xml:space="preserve">- </w:t>
    </w:r>
    <w:fldSimple w:instr=" PAGE   \* MERGEFORMAT ">
      <w:r w:rsidR="001D43E1">
        <w:rPr>
          <w:noProof/>
        </w:rPr>
        <w:t>1835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DF1" w:rsidRDefault="00852DF1">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732DB7">
    <w:r>
      <w:pict>
        <v:rect id="_x0000_i1104" style="width:480.95pt;height:1pt" o:hralign="center" o:hrstd="t" o:hrnoshade="t" o:hr="t" fillcolor="black" stroked="f"/>
      </w:pict>
    </w:r>
  </w:p>
  <w:p w:rsidR="00852DF1" w:rsidRDefault="00852DF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pPr>
      <w:pStyle w:val="Footer"/>
    </w:pPr>
    <w:r>
      <w:pict>
        <v:rect id="_x0000_i1105" style="width:480.95pt;height:1pt" o:hralign="center" o:hrstd="t" o:hrnoshade="t" o:hr="t" fillcolor="black" stroked="f"/>
      </w:pict>
    </w:r>
  </w:p>
  <w:p w:rsidR="00852DF1" w:rsidRPr="00283C52" w:rsidRDefault="00852DF1">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DF1" w:rsidRDefault="00852DF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732DB7">
    <w:r>
      <w:pict>
        <v:rect id="_x0000_i1107" style="width:480.95pt;height:1pt" o:hralign="center" o:hrstd="t" o:hrnoshade="t" o:hr="t" fillcolor="black" stroked="f"/>
      </w:pict>
    </w:r>
  </w:p>
  <w:p w:rsidR="00852DF1" w:rsidRDefault="00852DF1">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pPr>
      <w:pStyle w:val="Footer"/>
    </w:pPr>
    <w:r>
      <w:pict>
        <v:rect id="_x0000_i1108" style="width:480.95pt;height:1pt" o:hralign="center" o:hrstd="t" o:hrnoshade="t" o:hr="t" fillcolor="black [3213]" stroked="f"/>
      </w:pict>
    </w:r>
  </w:p>
  <w:p w:rsidR="00852DF1" w:rsidRPr="003C2C0F" w:rsidRDefault="00852DF1" w:rsidP="00697C62">
    <w:pPr>
      <w:tabs>
        <w:tab w:val="center" w:pos="4680"/>
      </w:tabs>
    </w:pPr>
    <w:r>
      <w:tab/>
      <w:t xml:space="preserve">- </w:t>
    </w:r>
    <w:fldSimple w:instr=" PAGE   \* MERGEFORMAT ">
      <w:r w:rsidR="001D43E1">
        <w:rPr>
          <w:noProof/>
        </w:rPr>
        <w:t>1838</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DF1" w:rsidRDefault="00852DF1">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2DF1" w:rsidRDefault="00DB23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1" style="width:480.95pt;height:1pt" o:hralign="center" o:hrstd="t" o:hrnoshade="t" o:hr="t" fillcolor="black [3213]" stroked="f"/>
      </w:pict>
    </w:r>
  </w:p>
  <w:p w:rsidR="00852DF1" w:rsidRDefault="00852DF1" w:rsidP="00782AE4">
    <w:pPr>
      <w:tabs>
        <w:tab w:val="center" w:pos="4680"/>
      </w:tabs>
    </w:pPr>
    <w:r>
      <w:tab/>
      <w:t xml:space="preserve">- </w:t>
    </w:r>
    <w:r w:rsidR="00DB239D" w:rsidRPr="001775C1">
      <w:rPr>
        <w:szCs w:val="24"/>
      </w:rPr>
      <w:fldChar w:fldCharType="begin"/>
    </w:r>
    <w:r w:rsidRPr="001775C1">
      <w:rPr>
        <w:szCs w:val="24"/>
      </w:rPr>
      <w:instrText xml:space="preserve"> PAGE   \* MERGEFORMAT </w:instrText>
    </w:r>
    <w:r w:rsidR="00DB239D" w:rsidRPr="001775C1">
      <w:rPr>
        <w:szCs w:val="24"/>
      </w:rPr>
      <w:fldChar w:fldCharType="separate"/>
    </w:r>
    <w:r w:rsidR="001D43E1">
      <w:rPr>
        <w:noProof/>
        <w:szCs w:val="24"/>
      </w:rPr>
      <w:t>1840</w:t>
    </w:r>
    <w:r w:rsidR="00DB239D"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782AE4">
    <w:pPr>
      <w:tabs>
        <w:tab w:val="center" w:pos="4680"/>
      </w:tabs>
    </w:pPr>
    <w:r>
      <w:pict>
        <v:rect id="_x0000_i1112" style="width:480.95pt;height:1pt" o:hralign="center" o:hrstd="t" o:hrnoshade="t" o:hr="t" fillcolor="black [3213]" stroked="f"/>
      </w:pict>
    </w:r>
  </w:p>
  <w:p w:rsidR="00852DF1" w:rsidRDefault="00852DF1" w:rsidP="00782AE4">
    <w:pPr>
      <w:tabs>
        <w:tab w:val="center" w:pos="4680"/>
      </w:tabs>
    </w:pPr>
    <w:r>
      <w:tab/>
      <w:t xml:space="preserve">- </w:t>
    </w:r>
    <w:r w:rsidR="00DB239D" w:rsidRPr="001775C1">
      <w:rPr>
        <w:szCs w:val="24"/>
      </w:rPr>
      <w:fldChar w:fldCharType="begin"/>
    </w:r>
    <w:r w:rsidRPr="001775C1">
      <w:rPr>
        <w:szCs w:val="24"/>
      </w:rPr>
      <w:instrText xml:space="preserve"> PAGE   \* MERGEFORMAT </w:instrText>
    </w:r>
    <w:r w:rsidR="00DB239D" w:rsidRPr="001775C1">
      <w:rPr>
        <w:szCs w:val="24"/>
      </w:rPr>
      <w:fldChar w:fldCharType="separate"/>
    </w:r>
    <w:r w:rsidR="001D43E1">
      <w:rPr>
        <w:noProof/>
        <w:szCs w:val="24"/>
      </w:rPr>
      <w:t>1839</w:t>
    </w:r>
    <w:r w:rsidR="00DB239D"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52DF1" w:rsidRDefault="00852DF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52DF1" w:rsidRDefault="00852DF1">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22323B">
    <w:r>
      <w:pict>
        <v:rect id="_x0000_i1115" style="width:480.95pt;height:1pt" o:hralign="center" o:hrstd="t" o:hrnoshade="t" o:hr="t" fillcolor="black [3213]" stroked="f"/>
      </w:pict>
    </w:r>
  </w:p>
  <w:p w:rsidR="00852DF1" w:rsidRDefault="00852DF1">
    <w:pPr>
      <w:tabs>
        <w:tab w:val="center" w:pos="4740"/>
      </w:tabs>
      <w:spacing w:line="0" w:lineRule="atLeast"/>
    </w:pPr>
    <w:r>
      <w:tab/>
      <w:t xml:space="preserve">- </w:t>
    </w:r>
    <w:fldSimple w:instr=" PAGE   \* MERGEFORMAT ">
      <w:r>
        <w:rPr>
          <w:noProof/>
        </w:rPr>
        <w:t>1813</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22323B">
    <w:r>
      <w:pict>
        <v:rect id="_x0000_i1116" style="width:480.95pt;height:1pt" o:hralign="center" o:hrstd="t" o:hrnoshade="t" o:hr="t" fillcolor="black [3213]" stroked="f"/>
      </w:pict>
    </w:r>
  </w:p>
  <w:p w:rsidR="00852DF1" w:rsidRDefault="00852DF1" w:rsidP="0022323B">
    <w:pPr>
      <w:tabs>
        <w:tab w:val="center" w:pos="4740"/>
      </w:tabs>
      <w:spacing w:line="0" w:lineRule="atLeast"/>
    </w:pPr>
    <w:r>
      <w:tab/>
      <w:t xml:space="preserve">- </w:t>
    </w:r>
    <w:fldSimple w:instr=" PAGE   \* MERGEFORMAT ">
      <w:r w:rsidR="001D43E1">
        <w:rPr>
          <w:noProof/>
        </w:rPr>
        <w:t>1841</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22323B">
    <w:r>
      <w:pict>
        <v:rect id="_x0000_i1137" style="width:480.95pt;height:1pt" o:hralign="center" o:hrstd="t" o:hrnoshade="t" o:hr="t" fillcolor="black [3213]" stroked="f"/>
      </w:pict>
    </w:r>
  </w:p>
  <w:p w:rsidR="00852DF1" w:rsidRDefault="00852DF1">
    <w:pPr>
      <w:tabs>
        <w:tab w:val="center" w:pos="4740"/>
      </w:tabs>
      <w:spacing w:line="0" w:lineRule="atLeast"/>
    </w:pPr>
    <w:r>
      <w:tab/>
      <w:t xml:space="preserve">- </w:t>
    </w:r>
    <w:fldSimple w:instr=" PAGE   \* MERGEFORMAT ">
      <w:r w:rsidR="001D43E1">
        <w:rPr>
          <w:noProof/>
        </w:rPr>
        <w:t>1861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22323B">
    <w:r>
      <w:pict>
        <v:rect id="_x0000_i1138" style="width:480.95pt;height:1pt" o:hralign="center" o:hrstd="t" o:hrnoshade="t" o:hr="t" fillcolor="black [3213]" stroked="f"/>
      </w:pict>
    </w:r>
  </w:p>
  <w:p w:rsidR="00852DF1" w:rsidRDefault="00852DF1" w:rsidP="0022323B">
    <w:pPr>
      <w:tabs>
        <w:tab w:val="center" w:pos="4740"/>
      </w:tabs>
      <w:spacing w:line="0" w:lineRule="atLeast"/>
    </w:pPr>
    <w:r>
      <w:tab/>
      <w:t xml:space="preserve">- </w:t>
    </w:r>
    <w:fldSimple w:instr=" PAGE   \* MERGEFORMAT ">
      <w:r w:rsidR="001D43E1">
        <w:rPr>
          <w:noProof/>
        </w:rPr>
        <w:t>1842</w:t>
      </w:r>
    </w:fldSimple>
    <w: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Pr="00924065" w:rsidRDefault="00852DF1" w:rsidP="00924065">
    <w:pPr>
      <w:pStyle w:val="Foo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A87207">
    <w:pPr>
      <w:pStyle w:val="Footer"/>
    </w:pPr>
    <w:r>
      <w:pict>
        <v:rect id="_x0000_i1037" style="width:480.95pt;height:1pt" o:hralign="center" o:hrstd="t" o:hrnoshade="t" o:hr="t" fillcolor="black [3213]" stroked="f"/>
      </w:pict>
    </w:r>
  </w:p>
  <w:p w:rsidR="00852DF1" w:rsidRPr="00B7374B" w:rsidRDefault="00852DF1" w:rsidP="00B7374B">
    <w:pPr>
      <w:tabs>
        <w:tab w:val="center" w:pos="4680"/>
      </w:tabs>
      <w:rPr>
        <w:szCs w:val="24"/>
      </w:rPr>
    </w:pPr>
    <w:r w:rsidRPr="00954D22">
      <w:rPr>
        <w:szCs w:val="24"/>
      </w:rPr>
      <w:tab/>
      <w:t xml:space="preserve">- </w:t>
    </w:r>
    <w:r w:rsidR="00DB239D" w:rsidRPr="00954D22">
      <w:rPr>
        <w:szCs w:val="24"/>
      </w:rPr>
      <w:fldChar w:fldCharType="begin"/>
    </w:r>
    <w:r w:rsidRPr="00954D22">
      <w:rPr>
        <w:szCs w:val="24"/>
      </w:rPr>
      <w:instrText xml:space="preserve"> PAGE   \* MERGEFORMAT </w:instrText>
    </w:r>
    <w:r w:rsidR="00DB239D" w:rsidRPr="00954D22">
      <w:rPr>
        <w:szCs w:val="24"/>
      </w:rPr>
      <w:fldChar w:fldCharType="separate"/>
    </w:r>
    <w:r w:rsidR="001D43E1">
      <w:rPr>
        <w:noProof/>
        <w:szCs w:val="24"/>
      </w:rPr>
      <w:t>1781</w:t>
    </w:r>
    <w:r w:rsidR="00DB239D"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755F22">
    <w:pPr>
      <w:tabs>
        <w:tab w:val="left" w:pos="-1440"/>
        <w:tab w:val="left" w:pos="-720"/>
      </w:tabs>
    </w:pPr>
    <w:r>
      <w:pict>
        <v:rect id="_x0000_i1038" style="width:480.95pt;height:1pt" o:hralign="center" o:hrstd="t" o:hrnoshade="t" o:hr="t" fillcolor="black [3213]" stroked="f"/>
      </w:pict>
    </w:r>
  </w:p>
  <w:p w:rsidR="00852DF1" w:rsidRPr="00954D22" w:rsidRDefault="00852DF1" w:rsidP="00B7374B">
    <w:pPr>
      <w:tabs>
        <w:tab w:val="center" w:pos="4680"/>
      </w:tabs>
      <w:rPr>
        <w:szCs w:val="24"/>
      </w:rPr>
    </w:pPr>
    <w:r w:rsidRPr="00954D22">
      <w:rPr>
        <w:szCs w:val="24"/>
      </w:rPr>
      <w:tab/>
      <w:t xml:space="preserve">- </w:t>
    </w:r>
    <w:r w:rsidR="00DB239D">
      <w:rPr>
        <w:szCs w:val="24"/>
      </w:rPr>
      <w:fldChar w:fldCharType="begin"/>
    </w:r>
    <w:r>
      <w:rPr>
        <w:szCs w:val="24"/>
      </w:rPr>
      <w:instrText xml:space="preserve"> PAGE   \* MERGEFORMAT </w:instrText>
    </w:r>
    <w:r w:rsidR="00DB239D">
      <w:rPr>
        <w:szCs w:val="24"/>
      </w:rPr>
      <w:fldChar w:fldCharType="separate"/>
    </w:r>
    <w:r w:rsidR="001D43E1">
      <w:rPr>
        <w:noProof/>
        <w:szCs w:val="24"/>
      </w:rPr>
      <w:t>1780</w:t>
    </w:r>
    <w:r w:rsidR="00DB239D">
      <w:rPr>
        <w:szCs w:val="24"/>
      </w:rPr>
      <w:fldChar w:fldCharType="end"/>
    </w:r>
    <w:r w:rsidRPr="00954D22">
      <w:rPr>
        <w:szCs w:val="24"/>
      </w:rPr>
      <w:t xml:space="preserve"> -</w:t>
    </w:r>
  </w:p>
  <w:p w:rsidR="00852DF1" w:rsidRDefault="00852DF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A87207">
    <w:pPr>
      <w:pStyle w:val="Footer"/>
    </w:pPr>
    <w:r>
      <w:pict>
        <v:rect id="_x0000_i1040" style="width:480.95pt;height:1pt" o:hralign="center" o:hrstd="t" o:hrnoshade="t" o:hr="t" fillcolor="black [3213]" stroked="f"/>
      </w:pict>
    </w:r>
  </w:p>
  <w:p w:rsidR="00852DF1" w:rsidRPr="00B7374B" w:rsidRDefault="00852DF1" w:rsidP="00B7374B">
    <w:pPr>
      <w:tabs>
        <w:tab w:val="center" w:pos="4680"/>
      </w:tabs>
      <w:rPr>
        <w:szCs w:val="24"/>
      </w:rPr>
    </w:pPr>
    <w:r w:rsidRPr="00954D22">
      <w:rPr>
        <w:szCs w:val="24"/>
      </w:rPr>
      <w:tab/>
      <w:t xml:space="preserve">- </w:t>
    </w:r>
    <w:r w:rsidR="00DB239D" w:rsidRPr="00954D22">
      <w:rPr>
        <w:szCs w:val="24"/>
      </w:rPr>
      <w:fldChar w:fldCharType="begin"/>
    </w:r>
    <w:r w:rsidRPr="00954D22">
      <w:rPr>
        <w:szCs w:val="24"/>
      </w:rPr>
      <w:instrText xml:space="preserve"> PAGE   \* MERGEFORMAT </w:instrText>
    </w:r>
    <w:r w:rsidR="00DB239D" w:rsidRPr="00954D22">
      <w:rPr>
        <w:szCs w:val="24"/>
      </w:rPr>
      <w:fldChar w:fldCharType="separate"/>
    </w:r>
    <w:r>
      <w:rPr>
        <w:noProof/>
        <w:szCs w:val="24"/>
      </w:rPr>
      <w:t>1783</w:t>
    </w:r>
    <w:r w:rsidR="00DB239D"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852DF1" w:rsidRPr="00954D22" w:rsidRDefault="00852DF1" w:rsidP="00B7374B">
    <w:pPr>
      <w:tabs>
        <w:tab w:val="center" w:pos="4680"/>
      </w:tabs>
      <w:rPr>
        <w:szCs w:val="24"/>
      </w:rPr>
    </w:pPr>
    <w:r w:rsidRPr="00954D22">
      <w:rPr>
        <w:szCs w:val="24"/>
      </w:rPr>
      <w:tab/>
      <w:t xml:space="preserve">- </w:t>
    </w:r>
    <w:r w:rsidR="00DB239D" w:rsidRPr="00954D22">
      <w:rPr>
        <w:szCs w:val="24"/>
      </w:rPr>
      <w:fldChar w:fldCharType="begin"/>
    </w:r>
    <w:r w:rsidRPr="00954D22">
      <w:rPr>
        <w:szCs w:val="24"/>
      </w:rPr>
      <w:instrText xml:space="preserve"> PAGE   \* MERGEFORMAT </w:instrText>
    </w:r>
    <w:r w:rsidR="00DB239D" w:rsidRPr="00954D22">
      <w:rPr>
        <w:szCs w:val="24"/>
      </w:rPr>
      <w:fldChar w:fldCharType="separate"/>
    </w:r>
    <w:r w:rsidR="001D43E1">
      <w:rPr>
        <w:noProof/>
        <w:szCs w:val="24"/>
      </w:rPr>
      <w:t>1782</w:t>
    </w:r>
    <w:r w:rsidR="00DB239D"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2DF1" w:rsidRDefault="00852DF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DB23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B239D">
      <w:rPr>
        <w:lang w:val="fr-CA"/>
      </w:rPr>
      <w:pict>
        <v:rect id="_x0000_i1090" style="width:480.95pt;height:1pt" o:hralign="center" o:hrstd="t" o:hrnoshade="t" o:hr="t" fillcolor="black [3213]" stroked="f"/>
      </w:pict>
    </w:r>
  </w:p>
  <w:p w:rsidR="00852DF1" w:rsidRPr="0009648D" w:rsidRDefault="00852DF1" w:rsidP="00ED7E83">
    <w:pPr>
      <w:tabs>
        <w:tab w:val="center" w:pos="4680"/>
      </w:tabs>
    </w:pPr>
    <w:r>
      <w:tab/>
    </w:r>
    <w:r w:rsidRPr="0009648D">
      <w:t xml:space="preserve">- </w:t>
    </w:r>
    <w:fldSimple w:instr=" PAGE   \* MERGEFORMAT ">
      <w:r w:rsidR="001D43E1">
        <w:rPr>
          <w:noProof/>
        </w:rPr>
        <w:t>1823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F1" w:rsidRDefault="00852DF1" w:rsidP="00A87207">
      <w:r>
        <w:separator/>
      </w:r>
    </w:p>
  </w:footnote>
  <w:footnote w:type="continuationSeparator" w:id="0">
    <w:p w:rsidR="00852DF1" w:rsidRDefault="00852DF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52DF1">
      <w:tc>
        <w:tcPr>
          <w:tcW w:w="423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52DF1"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DF1"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52DF1">
      <w:trPr>
        <w:gridAfter w:val="2"/>
        <w:wAfter w:w="5250" w:type="dxa"/>
      </w:trPr>
      <w:tc>
        <w:tcPr>
          <w:tcW w:w="4230" w:type="dxa"/>
          <w:tcMar>
            <w:left w:w="0" w:type="dxa"/>
            <w:right w:w="0" w:type="dxa"/>
          </w:tcMar>
        </w:tcPr>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52DF1" w:rsidRPr="00755F22" w:rsidTr="00245129">
      <w:tc>
        <w:tcPr>
          <w:tcW w:w="4230" w:type="dxa"/>
          <w:tcMar>
            <w:left w:w="0" w:type="dxa"/>
            <w:right w:w="0" w:type="dxa"/>
          </w:tcMar>
        </w:tcPr>
        <w:p w:rsidR="00852DF1" w:rsidRPr="00755F22" w:rsidRDefault="00852DF1" w:rsidP="00831CA9">
          <w:pPr>
            <w:keepNext/>
            <w:keepLines/>
            <w:rPr>
              <w:sz w:val="20"/>
              <w:szCs w:val="20"/>
            </w:rPr>
          </w:pPr>
          <w:r w:rsidRPr="00755F22">
            <w:rPr>
              <w:sz w:val="20"/>
              <w:szCs w:val="20"/>
            </w:rPr>
            <w:t>MOTIONS</w:t>
          </w:r>
        </w:p>
      </w:tc>
      <w:tc>
        <w:tcPr>
          <w:tcW w:w="1170" w:type="dxa"/>
          <w:tcMar>
            <w:left w:w="0" w:type="dxa"/>
            <w:right w:w="0" w:type="dxa"/>
          </w:tcMar>
        </w:tcPr>
        <w:p w:rsidR="00852DF1" w:rsidRPr="00755F22" w:rsidRDefault="00852DF1" w:rsidP="00831CA9">
          <w:pPr>
            <w:keepLines/>
            <w:jc w:val="center"/>
            <w:rPr>
              <w:sz w:val="20"/>
              <w:szCs w:val="20"/>
            </w:rPr>
          </w:pPr>
        </w:p>
        <w:p w:rsidR="00852DF1" w:rsidRPr="00755F22" w:rsidRDefault="00852DF1" w:rsidP="00831CA9">
          <w:pPr>
            <w:keepLines/>
            <w:tabs>
              <w:tab w:val="left" w:pos="-1440"/>
              <w:tab w:val="left" w:pos="-720"/>
            </w:tabs>
            <w:jc w:val="center"/>
            <w:rPr>
              <w:sz w:val="20"/>
              <w:szCs w:val="20"/>
            </w:rPr>
          </w:pPr>
        </w:p>
      </w:tc>
      <w:tc>
        <w:tcPr>
          <w:tcW w:w="4080" w:type="dxa"/>
          <w:tcMar>
            <w:left w:w="0" w:type="dxa"/>
            <w:right w:w="0" w:type="dxa"/>
          </w:tcMar>
        </w:tcPr>
        <w:p w:rsidR="00852DF1" w:rsidRPr="00BA6468" w:rsidRDefault="00852DF1" w:rsidP="00BA6468">
          <w:pPr>
            <w:keepLines/>
            <w:rPr>
              <w:sz w:val="20"/>
              <w:szCs w:val="20"/>
              <w:lang w:val="fr-CA"/>
            </w:rPr>
          </w:pPr>
          <w:r w:rsidRPr="00BA6468">
            <w:rPr>
              <w:sz w:val="20"/>
              <w:szCs w:val="20"/>
              <w:lang w:val="fr-CA"/>
            </w:rPr>
            <w:t>REQUÊTES</w:t>
          </w:r>
        </w:p>
      </w:tc>
    </w:tr>
  </w:tbl>
  <w:p w:rsidR="00852DF1" w:rsidRDefault="00852DF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52DF1" w:rsidRPr="00C53CF0">
      <w:tc>
        <w:tcPr>
          <w:tcW w:w="4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DF1" w:rsidRPr="00B01A03"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2DF1" w:rsidRPr="00B01A03"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2DF1" w:rsidRPr="00B01A03"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52DF1" w:rsidRPr="00C53CF0" w:rsidTr="00245129">
      <w:tc>
        <w:tcPr>
          <w:tcW w:w="4200" w:type="dxa"/>
          <w:tcMar>
            <w:left w:w="0" w:type="dxa"/>
            <w:right w:w="0" w:type="dxa"/>
          </w:tcMar>
        </w:tcPr>
        <w:p w:rsidR="00852DF1" w:rsidRPr="00F40249" w:rsidRDefault="00852DF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2DF1" w:rsidRDefault="00852DF1" w:rsidP="00102926">
          <w:pPr>
            <w:keepNext/>
            <w:keepLines/>
            <w:tabs>
              <w:tab w:val="left" w:pos="-1440"/>
              <w:tab w:val="left" w:pos="-720"/>
            </w:tabs>
            <w:jc w:val="center"/>
            <w:rPr>
              <w:sz w:val="20"/>
              <w:szCs w:val="20"/>
            </w:rPr>
          </w:pPr>
        </w:p>
        <w:p w:rsidR="00852DF1" w:rsidRDefault="00852DF1" w:rsidP="00102926">
          <w:pPr>
            <w:keepNext/>
            <w:keepLines/>
            <w:tabs>
              <w:tab w:val="left" w:pos="-1440"/>
              <w:tab w:val="left" w:pos="-720"/>
            </w:tabs>
            <w:jc w:val="center"/>
            <w:rPr>
              <w:sz w:val="20"/>
              <w:szCs w:val="20"/>
            </w:rPr>
          </w:pPr>
        </w:p>
        <w:p w:rsidR="00852DF1" w:rsidRPr="00F40249" w:rsidRDefault="00852DF1" w:rsidP="00102926">
          <w:pPr>
            <w:keepNext/>
            <w:keepLines/>
            <w:tabs>
              <w:tab w:val="left" w:pos="-1440"/>
              <w:tab w:val="left" w:pos="-720"/>
            </w:tabs>
            <w:jc w:val="center"/>
            <w:rPr>
              <w:sz w:val="20"/>
              <w:szCs w:val="20"/>
            </w:rPr>
          </w:pPr>
        </w:p>
      </w:tc>
      <w:tc>
        <w:tcPr>
          <w:tcW w:w="4230" w:type="dxa"/>
          <w:tcMar>
            <w:left w:w="0" w:type="dxa"/>
            <w:right w:w="0" w:type="dxa"/>
          </w:tcMar>
        </w:tcPr>
        <w:p w:rsidR="00852DF1" w:rsidRPr="00F40249" w:rsidRDefault="00852DF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2DF1" w:rsidRPr="00B01A03" w:rsidRDefault="00852DF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52DF1" w:rsidRPr="00C53CF0">
      <w:tc>
        <w:tcPr>
          <w:tcW w:w="4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DF1" w:rsidRPr="00283C52"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52DF1" w:rsidRPr="00283C52"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2DF1" w:rsidRPr="00283C52"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52DF1" w:rsidRPr="00C53CF0" w:rsidTr="00245129">
      <w:tc>
        <w:tcPr>
          <w:tcW w:w="4200" w:type="dxa"/>
          <w:tcMar>
            <w:left w:w="0" w:type="dxa"/>
            <w:right w:w="0" w:type="dxa"/>
          </w:tcMar>
        </w:tcPr>
        <w:p w:rsidR="00852DF1" w:rsidRPr="00732DB7" w:rsidRDefault="00852DF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52DF1" w:rsidRPr="00732DB7" w:rsidRDefault="00852DF1" w:rsidP="00732DB7">
          <w:pPr>
            <w:keepNext/>
            <w:keepLines/>
            <w:tabs>
              <w:tab w:val="left" w:pos="-1440"/>
              <w:tab w:val="left" w:pos="-720"/>
            </w:tabs>
            <w:jc w:val="center"/>
            <w:rPr>
              <w:sz w:val="20"/>
              <w:szCs w:val="20"/>
            </w:rPr>
          </w:pPr>
        </w:p>
        <w:p w:rsidR="00852DF1" w:rsidRPr="00732DB7" w:rsidRDefault="00852DF1" w:rsidP="00732DB7">
          <w:pPr>
            <w:keepNext/>
            <w:keepLines/>
            <w:tabs>
              <w:tab w:val="left" w:pos="-1440"/>
              <w:tab w:val="left" w:pos="-720"/>
            </w:tabs>
            <w:jc w:val="center"/>
            <w:rPr>
              <w:sz w:val="20"/>
              <w:szCs w:val="20"/>
            </w:rPr>
          </w:pPr>
        </w:p>
        <w:p w:rsidR="00852DF1" w:rsidRPr="00732DB7" w:rsidRDefault="00852DF1" w:rsidP="00732DB7">
          <w:pPr>
            <w:keepNext/>
            <w:keepLines/>
            <w:tabs>
              <w:tab w:val="left" w:pos="-1440"/>
              <w:tab w:val="left" w:pos="-720"/>
            </w:tabs>
            <w:jc w:val="center"/>
            <w:rPr>
              <w:sz w:val="20"/>
              <w:szCs w:val="20"/>
            </w:rPr>
          </w:pPr>
        </w:p>
      </w:tc>
      <w:tc>
        <w:tcPr>
          <w:tcW w:w="4080" w:type="dxa"/>
          <w:tcMar>
            <w:left w:w="0" w:type="dxa"/>
            <w:right w:w="0" w:type="dxa"/>
          </w:tcMar>
        </w:tcPr>
        <w:p w:rsidR="00852DF1" w:rsidRPr="00732DB7" w:rsidRDefault="00852DF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52DF1" w:rsidRPr="00283C52" w:rsidRDefault="00852DF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52DF1" w:rsidRPr="00C53CF0">
      <w:tc>
        <w:tcPr>
          <w:tcW w:w="4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52DF1" w:rsidRPr="003C2C0F"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52DF1" w:rsidRPr="003C2C0F"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52DF1" w:rsidRPr="003C2C0F"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52DF1" w:rsidRPr="00C53CF0" w:rsidTr="00245129">
      <w:tc>
        <w:tcPr>
          <w:tcW w:w="4200" w:type="dxa"/>
          <w:tcMar>
            <w:left w:w="0" w:type="dxa"/>
            <w:right w:w="0" w:type="dxa"/>
          </w:tcMar>
        </w:tcPr>
        <w:p w:rsidR="00852DF1" w:rsidRPr="00FF6EEC" w:rsidRDefault="00852DF1" w:rsidP="00FF6EEC">
          <w:pPr>
            <w:rPr>
              <w:sz w:val="20"/>
              <w:szCs w:val="20"/>
            </w:rPr>
          </w:pPr>
          <w:r w:rsidRPr="00FF6EEC">
            <w:rPr>
              <w:sz w:val="20"/>
              <w:szCs w:val="20"/>
            </w:rPr>
            <w:t>PRONOUNCEMENTS OF APPEALS RESERVED</w:t>
          </w:r>
        </w:p>
      </w:tc>
      <w:tc>
        <w:tcPr>
          <w:tcW w:w="1200" w:type="dxa"/>
          <w:tcMar>
            <w:left w:w="0" w:type="dxa"/>
            <w:right w:w="0" w:type="dxa"/>
          </w:tcMar>
        </w:tcPr>
        <w:p w:rsidR="00852DF1" w:rsidRPr="00FF6EEC" w:rsidRDefault="00852DF1" w:rsidP="00FF6EEC">
          <w:pPr>
            <w:jc w:val="center"/>
            <w:rPr>
              <w:sz w:val="20"/>
              <w:szCs w:val="20"/>
            </w:rPr>
          </w:pPr>
        </w:p>
        <w:p w:rsidR="00852DF1" w:rsidRPr="00FF6EEC" w:rsidRDefault="00852DF1" w:rsidP="00FF6EEC">
          <w:pPr>
            <w:jc w:val="center"/>
            <w:rPr>
              <w:sz w:val="20"/>
              <w:szCs w:val="20"/>
            </w:rPr>
          </w:pPr>
        </w:p>
        <w:p w:rsidR="00852DF1" w:rsidRPr="00FF6EEC" w:rsidRDefault="00852DF1" w:rsidP="00FF6EEC">
          <w:pPr>
            <w:jc w:val="center"/>
            <w:rPr>
              <w:sz w:val="20"/>
              <w:szCs w:val="20"/>
            </w:rPr>
          </w:pPr>
        </w:p>
      </w:tc>
      <w:tc>
        <w:tcPr>
          <w:tcW w:w="4080" w:type="dxa"/>
          <w:tcMar>
            <w:left w:w="0" w:type="dxa"/>
            <w:right w:w="0" w:type="dxa"/>
          </w:tcMar>
        </w:tcPr>
        <w:p w:rsidR="00852DF1" w:rsidRPr="00FF6EEC" w:rsidRDefault="00852DF1" w:rsidP="00FF6EEC">
          <w:pPr>
            <w:rPr>
              <w:sz w:val="20"/>
              <w:szCs w:val="20"/>
              <w:lang w:val="fr-CA"/>
            </w:rPr>
          </w:pPr>
          <w:r w:rsidRPr="00FF6EEC">
            <w:rPr>
              <w:sz w:val="20"/>
              <w:szCs w:val="20"/>
              <w:lang w:val="fr-CA"/>
            </w:rPr>
            <w:t>JUGEMENTS RENDUS SUR LES APPELS EN DÉLIBÉRÉ</w:t>
          </w:r>
        </w:p>
      </w:tc>
    </w:tr>
  </w:tbl>
  <w:p w:rsidR="00852DF1" w:rsidRPr="003C2C0F" w:rsidRDefault="00852DF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52DF1">
      <w:tc>
        <w:tcPr>
          <w:tcW w:w="423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52DF1"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2DF1"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52DF1" w:rsidRPr="00782AE4" w:rsidTr="00245129">
      <w:tc>
        <w:tcPr>
          <w:tcW w:w="4230" w:type="dxa"/>
          <w:tcMar>
            <w:left w:w="0" w:type="dxa"/>
            <w:right w:w="0" w:type="dxa"/>
          </w:tcMar>
        </w:tcPr>
        <w:p w:rsidR="00852DF1" w:rsidRPr="00782AE4" w:rsidRDefault="00852DF1" w:rsidP="00102926">
          <w:pPr>
            <w:keepNext/>
            <w:keepLines/>
            <w:tabs>
              <w:tab w:val="left" w:pos="-1440"/>
              <w:tab w:val="left" w:pos="-720"/>
            </w:tabs>
            <w:rPr>
              <w:sz w:val="20"/>
              <w:szCs w:val="20"/>
            </w:rPr>
          </w:pPr>
          <w:r w:rsidRPr="00782AE4">
            <w:rPr>
              <w:sz w:val="20"/>
              <w:szCs w:val="20"/>
            </w:rPr>
            <w:t xml:space="preserve">HEADNOTES OF RECENT </w:t>
          </w:r>
        </w:p>
        <w:p w:rsidR="00852DF1" w:rsidRPr="00782AE4"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52DF1" w:rsidRDefault="00852DF1" w:rsidP="00102926">
          <w:pPr>
            <w:keepNext/>
            <w:keepLines/>
            <w:tabs>
              <w:tab w:val="left" w:pos="-1440"/>
              <w:tab w:val="left" w:pos="-720"/>
            </w:tabs>
            <w:jc w:val="center"/>
            <w:rPr>
              <w:sz w:val="20"/>
              <w:szCs w:val="20"/>
            </w:rPr>
          </w:pPr>
        </w:p>
        <w:p w:rsidR="00852DF1" w:rsidRDefault="00852DF1" w:rsidP="00102926">
          <w:pPr>
            <w:keepNext/>
            <w:keepLines/>
            <w:tabs>
              <w:tab w:val="left" w:pos="-1440"/>
              <w:tab w:val="left" w:pos="-720"/>
            </w:tabs>
            <w:jc w:val="center"/>
            <w:rPr>
              <w:sz w:val="20"/>
              <w:szCs w:val="20"/>
            </w:rPr>
          </w:pPr>
        </w:p>
        <w:p w:rsidR="00852DF1" w:rsidRPr="00782AE4" w:rsidRDefault="00852DF1" w:rsidP="00102926">
          <w:pPr>
            <w:keepNext/>
            <w:keepLines/>
            <w:tabs>
              <w:tab w:val="left" w:pos="-1440"/>
              <w:tab w:val="left" w:pos="-720"/>
            </w:tabs>
            <w:jc w:val="center"/>
            <w:rPr>
              <w:sz w:val="20"/>
              <w:szCs w:val="20"/>
            </w:rPr>
          </w:pPr>
        </w:p>
      </w:tc>
      <w:tc>
        <w:tcPr>
          <w:tcW w:w="4080" w:type="dxa"/>
          <w:tcMar>
            <w:left w:w="0" w:type="dxa"/>
            <w:right w:w="0" w:type="dxa"/>
          </w:tcMar>
        </w:tcPr>
        <w:p w:rsidR="00852DF1" w:rsidRPr="00102926"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52DF1" w:rsidRPr="00782AE4" w:rsidRDefault="00852DF1" w:rsidP="00102926">
          <w:pPr>
            <w:keepLines/>
            <w:tabs>
              <w:tab w:val="left" w:pos="-1440"/>
              <w:tab w:val="left" w:pos="-720"/>
            </w:tabs>
            <w:rPr>
              <w:sz w:val="20"/>
              <w:szCs w:val="20"/>
            </w:rPr>
          </w:pPr>
          <w:r w:rsidRPr="00102926">
            <w:rPr>
              <w:sz w:val="20"/>
              <w:szCs w:val="20"/>
              <w:lang w:val="fr-CA"/>
            </w:rPr>
            <w:t>RÉCENTS</w:t>
          </w:r>
        </w:p>
      </w:tc>
    </w:tr>
  </w:tbl>
  <w:p w:rsidR="00852DF1" w:rsidRDefault="00852DF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52DF1">
      <w:tc>
        <w:tcPr>
          <w:tcW w:w="4200" w:type="dxa"/>
          <w:tcMar>
            <w:left w:w="0" w:type="dxa"/>
            <w:right w:w="0" w:type="dxa"/>
          </w:tcMar>
        </w:tcPr>
        <w:p w:rsidR="00852DF1" w:rsidRDefault="00852DF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52DF1" w:rsidRDefault="00852DF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52DF1" w:rsidRDefault="00852DF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52DF1" w:rsidRDefault="00852DF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52DF1" w:rsidRDefault="00852DF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52DF1" w:rsidRDefault="00852DF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52DF1" w:rsidRPr="00C50A5C" w:rsidTr="00245129">
      <w:tc>
        <w:tcPr>
          <w:tcW w:w="4200" w:type="dxa"/>
          <w:tcMar>
            <w:left w:w="0" w:type="dxa"/>
            <w:right w:w="0" w:type="dxa"/>
          </w:tcMar>
        </w:tcPr>
        <w:p w:rsidR="00852DF1" w:rsidRPr="00C50A5C" w:rsidRDefault="00852DF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852DF1" w:rsidRPr="00C50A5C" w:rsidRDefault="00852DF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852DF1" w:rsidRPr="00C50A5C" w:rsidRDefault="00852DF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852DF1" w:rsidRPr="00C50A5C" w:rsidRDefault="00852DF1"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852DF1" w:rsidRDefault="00852DF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52DF1" w:rsidRPr="005F263E" w:rsidTr="00245129">
      <w:tc>
        <w:tcPr>
          <w:tcW w:w="4200" w:type="dxa"/>
          <w:tcMar>
            <w:left w:w="0" w:type="dxa"/>
            <w:right w:w="0" w:type="dxa"/>
          </w:tcMar>
        </w:tcPr>
        <w:p w:rsidR="00852DF1" w:rsidRPr="005F263E" w:rsidRDefault="00852DF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852DF1" w:rsidRPr="005F263E" w:rsidRDefault="00852DF1" w:rsidP="00245129">
          <w:pPr>
            <w:keepNext/>
            <w:keepLines/>
            <w:tabs>
              <w:tab w:val="left" w:pos="-1440"/>
              <w:tab w:val="left" w:pos="-720"/>
            </w:tabs>
            <w:jc w:val="center"/>
            <w:rPr>
              <w:sz w:val="20"/>
              <w:szCs w:val="20"/>
            </w:rPr>
          </w:pPr>
        </w:p>
        <w:p w:rsidR="00852DF1" w:rsidRPr="005F263E" w:rsidRDefault="00852DF1" w:rsidP="00245129">
          <w:pPr>
            <w:keepNext/>
            <w:keepLines/>
            <w:tabs>
              <w:tab w:val="left" w:pos="-1440"/>
              <w:tab w:val="left" w:pos="-720"/>
            </w:tabs>
            <w:jc w:val="center"/>
            <w:rPr>
              <w:sz w:val="20"/>
              <w:szCs w:val="20"/>
            </w:rPr>
          </w:pPr>
        </w:p>
      </w:tc>
      <w:tc>
        <w:tcPr>
          <w:tcW w:w="4080" w:type="dxa"/>
          <w:tcMar>
            <w:left w:w="0" w:type="dxa"/>
            <w:right w:w="0" w:type="dxa"/>
          </w:tcMar>
        </w:tcPr>
        <w:p w:rsidR="00852DF1" w:rsidRPr="005F263E" w:rsidRDefault="00852DF1" w:rsidP="00245129">
          <w:pPr>
            <w:keepLines/>
            <w:tabs>
              <w:tab w:val="left" w:pos="-1440"/>
              <w:tab w:val="left" w:pos="-720"/>
            </w:tabs>
            <w:rPr>
              <w:sz w:val="20"/>
              <w:szCs w:val="20"/>
            </w:rPr>
          </w:pPr>
          <w:r w:rsidRPr="005F263E">
            <w:rPr>
              <w:sz w:val="20"/>
              <w:szCs w:val="20"/>
            </w:rPr>
            <w:t>RÉSUMÉS DES AFFAIRES</w:t>
          </w:r>
        </w:p>
      </w:tc>
    </w:tr>
  </w:tbl>
  <w:p w:rsidR="00852DF1" w:rsidRDefault="00852DF1" w:rsidP="005F26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52DF1" w:rsidRPr="0044776A" w:rsidTr="00245129">
      <w:tc>
        <w:tcPr>
          <w:tcW w:w="4290" w:type="dxa"/>
          <w:tcMar>
            <w:left w:w="0" w:type="dxa"/>
            <w:right w:w="0" w:type="dxa"/>
          </w:tcMar>
        </w:tcPr>
        <w:p w:rsidR="00852DF1" w:rsidRPr="0044776A" w:rsidRDefault="00852DF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52DF1" w:rsidRPr="0044776A" w:rsidRDefault="00852DF1" w:rsidP="002E2327">
          <w:pPr>
            <w:keepNext/>
            <w:keepLines/>
            <w:tabs>
              <w:tab w:val="left" w:pos="-1440"/>
              <w:tab w:val="left" w:pos="-720"/>
            </w:tabs>
            <w:jc w:val="center"/>
            <w:rPr>
              <w:sz w:val="20"/>
              <w:szCs w:val="20"/>
            </w:rPr>
          </w:pPr>
        </w:p>
        <w:p w:rsidR="00852DF1" w:rsidRPr="0044776A" w:rsidRDefault="00852DF1" w:rsidP="002E2327">
          <w:pPr>
            <w:keepNext/>
            <w:keepLines/>
            <w:tabs>
              <w:tab w:val="left" w:pos="-1440"/>
              <w:tab w:val="left" w:pos="-720"/>
            </w:tabs>
            <w:jc w:val="center"/>
            <w:rPr>
              <w:sz w:val="20"/>
              <w:szCs w:val="20"/>
            </w:rPr>
          </w:pPr>
        </w:p>
        <w:p w:rsidR="00852DF1" w:rsidRPr="0044776A" w:rsidRDefault="00852DF1" w:rsidP="002E2327">
          <w:pPr>
            <w:keepNext/>
            <w:keepLines/>
            <w:tabs>
              <w:tab w:val="left" w:pos="-1440"/>
              <w:tab w:val="left" w:pos="-720"/>
            </w:tabs>
            <w:jc w:val="center"/>
            <w:rPr>
              <w:sz w:val="20"/>
              <w:szCs w:val="20"/>
            </w:rPr>
          </w:pPr>
        </w:p>
      </w:tc>
      <w:tc>
        <w:tcPr>
          <w:tcW w:w="4320" w:type="dxa"/>
          <w:tcMar>
            <w:left w:w="0" w:type="dxa"/>
            <w:right w:w="0" w:type="dxa"/>
          </w:tcMar>
        </w:tcPr>
        <w:p w:rsidR="00852DF1" w:rsidRPr="0044776A" w:rsidRDefault="00852DF1" w:rsidP="002E2327">
          <w:pPr>
            <w:keepLines/>
            <w:rPr>
              <w:sz w:val="20"/>
              <w:szCs w:val="20"/>
              <w:lang w:val="fr-CA"/>
            </w:rPr>
          </w:pPr>
          <w:r w:rsidRPr="0044776A">
            <w:rPr>
              <w:sz w:val="20"/>
              <w:szCs w:val="20"/>
              <w:lang w:val="fr-CA"/>
            </w:rPr>
            <w:t>DEMANDES D'AUTORISATION D'APPEL DÉPOSÉES</w:t>
          </w:r>
        </w:p>
      </w:tc>
    </w:tr>
  </w:tbl>
  <w:p w:rsidR="00852DF1" w:rsidRDefault="00852D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52DF1" w:rsidRPr="00C53CF0" w:rsidTr="00245129">
      <w:tc>
        <w:tcPr>
          <w:tcW w:w="4200" w:type="dxa"/>
          <w:tcMar>
            <w:left w:w="0" w:type="dxa"/>
            <w:right w:w="0" w:type="dxa"/>
          </w:tcMar>
        </w:tcPr>
        <w:p w:rsidR="00852DF1" w:rsidRPr="0044776A" w:rsidRDefault="00852DF1" w:rsidP="0044776A">
          <w:pPr>
            <w:keepNext/>
            <w:keepLines/>
            <w:widowControl w:val="0"/>
            <w:rPr>
              <w:sz w:val="20"/>
              <w:szCs w:val="20"/>
            </w:rPr>
          </w:pPr>
          <w:r>
            <w:rPr>
              <w:sz w:val="20"/>
              <w:szCs w:val="20"/>
            </w:rPr>
            <w:t>APPLICATIONS FOR LEAVE</w:t>
          </w:r>
        </w:p>
        <w:p w:rsidR="00852DF1" w:rsidRPr="0044776A" w:rsidRDefault="00852DF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52DF1" w:rsidRPr="0044776A" w:rsidRDefault="00852DF1" w:rsidP="0044776A">
          <w:pPr>
            <w:keepNext/>
            <w:keepLines/>
            <w:widowControl w:val="0"/>
            <w:jc w:val="center"/>
            <w:rPr>
              <w:sz w:val="20"/>
              <w:szCs w:val="20"/>
            </w:rPr>
          </w:pPr>
        </w:p>
        <w:p w:rsidR="00852DF1" w:rsidRPr="0044776A" w:rsidRDefault="00852DF1" w:rsidP="0044776A">
          <w:pPr>
            <w:keepNext/>
            <w:keepLines/>
            <w:widowControl w:val="0"/>
            <w:jc w:val="center"/>
            <w:rPr>
              <w:sz w:val="20"/>
              <w:szCs w:val="20"/>
            </w:rPr>
          </w:pPr>
        </w:p>
        <w:p w:rsidR="00852DF1" w:rsidRPr="0044776A" w:rsidRDefault="00852DF1" w:rsidP="0044776A">
          <w:pPr>
            <w:keepNext/>
            <w:keepLines/>
            <w:widowControl w:val="0"/>
            <w:jc w:val="center"/>
            <w:rPr>
              <w:sz w:val="20"/>
              <w:szCs w:val="20"/>
            </w:rPr>
          </w:pPr>
        </w:p>
      </w:tc>
      <w:tc>
        <w:tcPr>
          <w:tcW w:w="4080" w:type="dxa"/>
          <w:tcMar>
            <w:left w:w="0" w:type="dxa"/>
            <w:right w:w="0" w:type="dxa"/>
          </w:tcMar>
        </w:tcPr>
        <w:p w:rsidR="00852DF1" w:rsidRPr="0044776A" w:rsidRDefault="00852DF1" w:rsidP="0044776A">
          <w:pPr>
            <w:keepLines/>
            <w:widowControl w:val="0"/>
            <w:rPr>
              <w:sz w:val="20"/>
              <w:szCs w:val="20"/>
              <w:lang w:val="fr-CA"/>
            </w:rPr>
          </w:pPr>
          <w:r w:rsidRPr="0044776A">
            <w:rPr>
              <w:sz w:val="20"/>
              <w:szCs w:val="20"/>
              <w:lang w:val="fr-CA"/>
            </w:rPr>
            <w:t>DEMANDES SOUMISES À LA COUR DEPUIS LA DERNIÈRE PARUTION</w:t>
          </w:r>
        </w:p>
        <w:p w:rsidR="00852DF1" w:rsidRPr="0044776A" w:rsidRDefault="00852DF1" w:rsidP="0044776A">
          <w:pPr>
            <w:widowControl w:val="0"/>
            <w:rPr>
              <w:sz w:val="20"/>
              <w:szCs w:val="20"/>
              <w:lang w:val="fr-CA"/>
            </w:rPr>
          </w:pPr>
        </w:p>
      </w:tc>
    </w:tr>
  </w:tbl>
  <w:p w:rsidR="00852DF1" w:rsidRPr="002E2327" w:rsidRDefault="00852DF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F1" w:rsidRDefault="00852DF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52DF1" w:rsidRPr="00C53CF0">
      <w:tc>
        <w:tcPr>
          <w:tcW w:w="4200" w:type="dxa"/>
          <w:tcMar>
            <w:left w:w="0" w:type="dxa"/>
            <w:right w:w="0" w:type="dxa"/>
          </w:tcMar>
        </w:tcPr>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2DF1"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2DF1"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2DF1" w:rsidRPr="00FF6BA5"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2DF1" w:rsidRPr="00FF6BA5"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2DF1" w:rsidRPr="00FF6BA5"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2DF1" w:rsidRPr="00FF6BA5" w:rsidRDefault="00852D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52DF1" w:rsidRPr="00C53CF0" w:rsidTr="00245129">
      <w:tc>
        <w:tcPr>
          <w:tcW w:w="4200" w:type="dxa"/>
          <w:tcMar>
            <w:left w:w="0" w:type="dxa"/>
            <w:right w:w="0" w:type="dxa"/>
          </w:tcMar>
        </w:tcPr>
        <w:p w:rsidR="00852DF1" w:rsidRPr="00755F22"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52DF1" w:rsidRPr="00755F22" w:rsidRDefault="00852D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52DF1" w:rsidRPr="00755F22" w:rsidRDefault="00852D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2DF1" w:rsidRPr="00755F22" w:rsidRDefault="00852D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2DF1" w:rsidRPr="00755F22" w:rsidRDefault="00852D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2DF1" w:rsidRPr="00755F22" w:rsidRDefault="00852D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52DF1" w:rsidRPr="00FF6BA5" w:rsidRDefault="00852DF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54293"/>
  </w:hdrShapeDefaults>
  <w:footnotePr>
    <w:footnote w:id="-1"/>
    <w:footnote w:id="0"/>
  </w:footnotePr>
  <w:endnotePr>
    <w:endnote w:id="-1"/>
    <w:endnote w:id="0"/>
  </w:endnotePr>
  <w:compat/>
  <w:rsids>
    <w:rsidRoot w:val="00AD3518"/>
    <w:rsid w:val="0003223B"/>
    <w:rsid w:val="000327B2"/>
    <w:rsid w:val="00040D7F"/>
    <w:rsid w:val="00066741"/>
    <w:rsid w:val="00080962"/>
    <w:rsid w:val="00083BE3"/>
    <w:rsid w:val="00091FA6"/>
    <w:rsid w:val="00096BD9"/>
    <w:rsid w:val="000B3C9A"/>
    <w:rsid w:val="000B40A2"/>
    <w:rsid w:val="000B4624"/>
    <w:rsid w:val="000B720C"/>
    <w:rsid w:val="000C0ACD"/>
    <w:rsid w:val="000C74D8"/>
    <w:rsid w:val="000E6D86"/>
    <w:rsid w:val="000F5070"/>
    <w:rsid w:val="00102926"/>
    <w:rsid w:val="0010587F"/>
    <w:rsid w:val="00111C6B"/>
    <w:rsid w:val="0012102B"/>
    <w:rsid w:val="0013369E"/>
    <w:rsid w:val="001373D8"/>
    <w:rsid w:val="00146C8B"/>
    <w:rsid w:val="00157994"/>
    <w:rsid w:val="00164432"/>
    <w:rsid w:val="00164E6D"/>
    <w:rsid w:val="001926F5"/>
    <w:rsid w:val="001A4DC5"/>
    <w:rsid w:val="001B157C"/>
    <w:rsid w:val="001B4038"/>
    <w:rsid w:val="001B5C23"/>
    <w:rsid w:val="001C6DCB"/>
    <w:rsid w:val="001D0D5F"/>
    <w:rsid w:val="001D2DF7"/>
    <w:rsid w:val="001D43E1"/>
    <w:rsid w:val="001D6B8C"/>
    <w:rsid w:val="001F1F83"/>
    <w:rsid w:val="002021A9"/>
    <w:rsid w:val="00202D1D"/>
    <w:rsid w:val="002139A7"/>
    <w:rsid w:val="00215F7C"/>
    <w:rsid w:val="0022323B"/>
    <w:rsid w:val="0023402A"/>
    <w:rsid w:val="002410B8"/>
    <w:rsid w:val="00242AEE"/>
    <w:rsid w:val="00243DDD"/>
    <w:rsid w:val="00245129"/>
    <w:rsid w:val="00245879"/>
    <w:rsid w:val="002647B4"/>
    <w:rsid w:val="00267FD5"/>
    <w:rsid w:val="002868D0"/>
    <w:rsid w:val="00295508"/>
    <w:rsid w:val="00296811"/>
    <w:rsid w:val="002A27D1"/>
    <w:rsid w:val="002A4AFA"/>
    <w:rsid w:val="002A69F2"/>
    <w:rsid w:val="002B516C"/>
    <w:rsid w:val="002D72EB"/>
    <w:rsid w:val="002E2327"/>
    <w:rsid w:val="002E3583"/>
    <w:rsid w:val="002E53DB"/>
    <w:rsid w:val="002E5576"/>
    <w:rsid w:val="00331B52"/>
    <w:rsid w:val="003359D3"/>
    <w:rsid w:val="00354AA3"/>
    <w:rsid w:val="003552E1"/>
    <w:rsid w:val="00355967"/>
    <w:rsid w:val="00372CE1"/>
    <w:rsid w:val="00382C47"/>
    <w:rsid w:val="00384384"/>
    <w:rsid w:val="003866AE"/>
    <w:rsid w:val="003A4E44"/>
    <w:rsid w:val="003A7025"/>
    <w:rsid w:val="003B3977"/>
    <w:rsid w:val="003F145B"/>
    <w:rsid w:val="00432989"/>
    <w:rsid w:val="004371E4"/>
    <w:rsid w:val="00440E24"/>
    <w:rsid w:val="00441FC4"/>
    <w:rsid w:val="0044776A"/>
    <w:rsid w:val="00460AFC"/>
    <w:rsid w:val="00471E11"/>
    <w:rsid w:val="0047287D"/>
    <w:rsid w:val="00472F86"/>
    <w:rsid w:val="0047471F"/>
    <w:rsid w:val="00482610"/>
    <w:rsid w:val="00486CA3"/>
    <w:rsid w:val="00491F37"/>
    <w:rsid w:val="004A2705"/>
    <w:rsid w:val="004B195E"/>
    <w:rsid w:val="004B66B4"/>
    <w:rsid w:val="004B7F60"/>
    <w:rsid w:val="004C1AAC"/>
    <w:rsid w:val="004C4C5C"/>
    <w:rsid w:val="004E1E0A"/>
    <w:rsid w:val="004F090E"/>
    <w:rsid w:val="004F7416"/>
    <w:rsid w:val="00500F85"/>
    <w:rsid w:val="00507E71"/>
    <w:rsid w:val="005136CC"/>
    <w:rsid w:val="0052325E"/>
    <w:rsid w:val="00527CC7"/>
    <w:rsid w:val="00531BFF"/>
    <w:rsid w:val="00544B16"/>
    <w:rsid w:val="00551AA7"/>
    <w:rsid w:val="00571CA4"/>
    <w:rsid w:val="00582136"/>
    <w:rsid w:val="00594523"/>
    <w:rsid w:val="005A7374"/>
    <w:rsid w:val="005C6840"/>
    <w:rsid w:val="005E0346"/>
    <w:rsid w:val="005F263E"/>
    <w:rsid w:val="005F26F2"/>
    <w:rsid w:val="00600252"/>
    <w:rsid w:val="00612A40"/>
    <w:rsid w:val="00623F3A"/>
    <w:rsid w:val="0062714A"/>
    <w:rsid w:val="00675479"/>
    <w:rsid w:val="00680709"/>
    <w:rsid w:val="00694EF6"/>
    <w:rsid w:val="00696BF9"/>
    <w:rsid w:val="00697C62"/>
    <w:rsid w:val="006A329B"/>
    <w:rsid w:val="006A7EB8"/>
    <w:rsid w:val="006B6926"/>
    <w:rsid w:val="006C3F47"/>
    <w:rsid w:val="006C5F7A"/>
    <w:rsid w:val="006E06AF"/>
    <w:rsid w:val="006F350F"/>
    <w:rsid w:val="00732DB7"/>
    <w:rsid w:val="007355BC"/>
    <w:rsid w:val="0074238B"/>
    <w:rsid w:val="007424D3"/>
    <w:rsid w:val="00745EF7"/>
    <w:rsid w:val="00746B98"/>
    <w:rsid w:val="00755F22"/>
    <w:rsid w:val="00762224"/>
    <w:rsid w:val="00766E4A"/>
    <w:rsid w:val="007820CE"/>
    <w:rsid w:val="00782AE4"/>
    <w:rsid w:val="0079724F"/>
    <w:rsid w:val="007A3EAE"/>
    <w:rsid w:val="007C04FC"/>
    <w:rsid w:val="007D178D"/>
    <w:rsid w:val="007D3E0F"/>
    <w:rsid w:val="007E4282"/>
    <w:rsid w:val="007F387B"/>
    <w:rsid w:val="00802863"/>
    <w:rsid w:val="00815B3C"/>
    <w:rsid w:val="0082783A"/>
    <w:rsid w:val="00831CA9"/>
    <w:rsid w:val="00850E1F"/>
    <w:rsid w:val="00852DF1"/>
    <w:rsid w:val="0085476B"/>
    <w:rsid w:val="00890FEB"/>
    <w:rsid w:val="00894BF3"/>
    <w:rsid w:val="008A39B2"/>
    <w:rsid w:val="008A4B85"/>
    <w:rsid w:val="008A5599"/>
    <w:rsid w:val="008C2E75"/>
    <w:rsid w:val="008C65CB"/>
    <w:rsid w:val="008D292F"/>
    <w:rsid w:val="008E03DC"/>
    <w:rsid w:val="009042B6"/>
    <w:rsid w:val="009237AF"/>
    <w:rsid w:val="00924065"/>
    <w:rsid w:val="00930D68"/>
    <w:rsid w:val="00932DB4"/>
    <w:rsid w:val="00941A4B"/>
    <w:rsid w:val="00946242"/>
    <w:rsid w:val="0095096B"/>
    <w:rsid w:val="00951458"/>
    <w:rsid w:val="00970CD3"/>
    <w:rsid w:val="009723FA"/>
    <w:rsid w:val="00984546"/>
    <w:rsid w:val="00996510"/>
    <w:rsid w:val="009A1A51"/>
    <w:rsid w:val="009C72D9"/>
    <w:rsid w:val="009D1F15"/>
    <w:rsid w:val="009D555E"/>
    <w:rsid w:val="009E192B"/>
    <w:rsid w:val="009F3024"/>
    <w:rsid w:val="00A0355E"/>
    <w:rsid w:val="00A375D1"/>
    <w:rsid w:val="00A51D10"/>
    <w:rsid w:val="00A52A83"/>
    <w:rsid w:val="00A6552C"/>
    <w:rsid w:val="00A818DB"/>
    <w:rsid w:val="00A87207"/>
    <w:rsid w:val="00A935AA"/>
    <w:rsid w:val="00AB01D7"/>
    <w:rsid w:val="00AB2201"/>
    <w:rsid w:val="00AD3259"/>
    <w:rsid w:val="00AD3518"/>
    <w:rsid w:val="00AE753F"/>
    <w:rsid w:val="00AF1715"/>
    <w:rsid w:val="00AF3904"/>
    <w:rsid w:val="00B010C0"/>
    <w:rsid w:val="00B12105"/>
    <w:rsid w:val="00B3018E"/>
    <w:rsid w:val="00B4740D"/>
    <w:rsid w:val="00B61629"/>
    <w:rsid w:val="00B7374B"/>
    <w:rsid w:val="00B90DC0"/>
    <w:rsid w:val="00B9214A"/>
    <w:rsid w:val="00BA116A"/>
    <w:rsid w:val="00BA4DB3"/>
    <w:rsid w:val="00BA5582"/>
    <w:rsid w:val="00BA6468"/>
    <w:rsid w:val="00BB1D44"/>
    <w:rsid w:val="00BB1F0A"/>
    <w:rsid w:val="00BD06DA"/>
    <w:rsid w:val="00BD154A"/>
    <w:rsid w:val="00BD4217"/>
    <w:rsid w:val="00BE05B9"/>
    <w:rsid w:val="00BF25F3"/>
    <w:rsid w:val="00BF542F"/>
    <w:rsid w:val="00C07F92"/>
    <w:rsid w:val="00C1697B"/>
    <w:rsid w:val="00C205DB"/>
    <w:rsid w:val="00C21CB5"/>
    <w:rsid w:val="00C44E08"/>
    <w:rsid w:val="00C50A5C"/>
    <w:rsid w:val="00C50FDF"/>
    <w:rsid w:val="00C53CF0"/>
    <w:rsid w:val="00C6029E"/>
    <w:rsid w:val="00C63381"/>
    <w:rsid w:val="00C73D06"/>
    <w:rsid w:val="00C73E1B"/>
    <w:rsid w:val="00C759B4"/>
    <w:rsid w:val="00C77713"/>
    <w:rsid w:val="00C84CD8"/>
    <w:rsid w:val="00C85BB7"/>
    <w:rsid w:val="00CA0834"/>
    <w:rsid w:val="00CB1B28"/>
    <w:rsid w:val="00CB43D5"/>
    <w:rsid w:val="00CC4D84"/>
    <w:rsid w:val="00CD487E"/>
    <w:rsid w:val="00CE198A"/>
    <w:rsid w:val="00D06240"/>
    <w:rsid w:val="00D50702"/>
    <w:rsid w:val="00D53740"/>
    <w:rsid w:val="00D643FB"/>
    <w:rsid w:val="00D64901"/>
    <w:rsid w:val="00D76BDF"/>
    <w:rsid w:val="00D77929"/>
    <w:rsid w:val="00D82373"/>
    <w:rsid w:val="00D862C1"/>
    <w:rsid w:val="00D93B50"/>
    <w:rsid w:val="00D94670"/>
    <w:rsid w:val="00DA46F6"/>
    <w:rsid w:val="00DB239D"/>
    <w:rsid w:val="00DB48CD"/>
    <w:rsid w:val="00DD09AD"/>
    <w:rsid w:val="00DD0B49"/>
    <w:rsid w:val="00E057FF"/>
    <w:rsid w:val="00E06DFA"/>
    <w:rsid w:val="00E12602"/>
    <w:rsid w:val="00E20A0A"/>
    <w:rsid w:val="00E356C7"/>
    <w:rsid w:val="00E36390"/>
    <w:rsid w:val="00E45FE4"/>
    <w:rsid w:val="00E64FA7"/>
    <w:rsid w:val="00E770CB"/>
    <w:rsid w:val="00E903A1"/>
    <w:rsid w:val="00E940EB"/>
    <w:rsid w:val="00E9703F"/>
    <w:rsid w:val="00EA6B55"/>
    <w:rsid w:val="00EB2B90"/>
    <w:rsid w:val="00EB6B4B"/>
    <w:rsid w:val="00ED7E83"/>
    <w:rsid w:val="00EF4B63"/>
    <w:rsid w:val="00F0068D"/>
    <w:rsid w:val="00F0576D"/>
    <w:rsid w:val="00F14E6D"/>
    <w:rsid w:val="00F15EA8"/>
    <w:rsid w:val="00F16C8D"/>
    <w:rsid w:val="00F21E5E"/>
    <w:rsid w:val="00F26C61"/>
    <w:rsid w:val="00F33CCE"/>
    <w:rsid w:val="00F40249"/>
    <w:rsid w:val="00F47F84"/>
    <w:rsid w:val="00F526C8"/>
    <w:rsid w:val="00F70E66"/>
    <w:rsid w:val="00F73FC2"/>
    <w:rsid w:val="00F84BAB"/>
    <w:rsid w:val="00F9272D"/>
    <w:rsid w:val="00F9518C"/>
    <w:rsid w:val="00FA316E"/>
    <w:rsid w:val="00FA59EF"/>
    <w:rsid w:val="00FB19A2"/>
    <w:rsid w:val="00FE1EFF"/>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styleId="BodyText">
    <w:name w:val="Body Text"/>
    <w:basedOn w:val="Normal"/>
    <w:link w:val="BodyTextChar"/>
    <w:rsid w:val="00544B16"/>
    <w:pPr>
      <w:spacing w:after="240"/>
    </w:pPr>
    <w:rPr>
      <w:rFonts w:eastAsia="Times New Roman" w:cs="Times New Roman"/>
      <w:szCs w:val="24"/>
    </w:rPr>
  </w:style>
  <w:style w:type="character" w:customStyle="1" w:styleId="BodyTextChar">
    <w:name w:val="Body Text Char"/>
    <w:basedOn w:val="DefaultParagraphFont"/>
    <w:link w:val="BodyText"/>
    <w:rsid w:val="00544B16"/>
    <w:rPr>
      <w:rFonts w:eastAsia="Times New Roman" w:cs="Times New Roman"/>
      <w:szCs w:val="24"/>
      <w:lang w:val="en-CA"/>
    </w:rPr>
  </w:style>
  <w:style w:type="paragraph" w:customStyle="1" w:styleId="SCCLowerCourtNameLowercase">
    <w:name w:val="SCC.LowerCourtNameLowercase"/>
    <w:basedOn w:val="SCCNormalDoubleSpacing"/>
    <w:next w:val="SCCNormalDoubleSpacing"/>
    <w:rsid w:val="007355BC"/>
    <w:pPr>
      <w:tabs>
        <w:tab w:val="left" w:pos="1168"/>
      </w:tabs>
    </w:pPr>
    <w:rPr>
      <w:smallCaps/>
    </w:rPr>
  </w:style>
  <w:style w:type="paragraph" w:customStyle="1" w:styleId="SCCLsocParty">
    <w:name w:val="SCC.Lsoc.Party"/>
    <w:basedOn w:val="Normal"/>
    <w:next w:val="Normal"/>
    <w:link w:val="SCCLsocPartyChar"/>
    <w:rsid w:val="00852DF1"/>
    <w:pPr>
      <w:jc w:val="center"/>
    </w:pPr>
    <w:rPr>
      <w:rFonts w:eastAsia="Calibri" w:cs="Times New Roman"/>
      <w:lang w:val="fr-CA"/>
    </w:rPr>
  </w:style>
  <w:style w:type="character" w:customStyle="1" w:styleId="SCCLsocPartyChar">
    <w:name w:val="SCC.Lsoc.Party Char"/>
    <w:basedOn w:val="DefaultParagraphFont"/>
    <w:link w:val="SCCLsocParty"/>
    <w:rsid w:val="00852DF1"/>
    <w:rPr>
      <w:rFonts w:eastAsia="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image" Target="media/image1.wmf"/><Relationship Id="rId51" Type="http://schemas.openxmlformats.org/officeDocument/2006/relationships/footer" Target="footer2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7986-6BBB-4AC8-80F7-ED1F6A5B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32934</Words>
  <Characters>187727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2012-11-23T18:32:00Z</dcterms:created>
  <dcterms:modified xsi:type="dcterms:W3CDTF">2012-11-23T18:32:00Z</dcterms:modified>
</cp:coreProperties>
</file>