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B07D2C"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B07D2C"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B07D2C"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B07D2C"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B07D2C" w:rsidTr="002E5576">
        <w:tc>
          <w:tcPr>
            <w:tcW w:w="4518" w:type="dxa"/>
          </w:tcPr>
          <w:p w:rsidR="00BF25F3" w:rsidRPr="002E2327" w:rsidRDefault="00CB0178"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CB0178"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B07D2C"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B07D2C"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89067B" w:rsidP="00F0068D">
      <w:pPr>
        <w:pBdr>
          <w:bottom w:val="single" w:sz="6" w:space="1" w:color="auto"/>
        </w:pBdr>
        <w:tabs>
          <w:tab w:val="center" w:pos="4680"/>
          <w:tab w:val="right" w:pos="9360"/>
        </w:tabs>
        <w:rPr>
          <w:lang w:val="fr-CA"/>
        </w:rPr>
      </w:pPr>
      <w:r>
        <w:rPr>
          <w:lang w:val="fr-CA"/>
        </w:rPr>
        <w:t>M</w:t>
      </w:r>
      <w:r w:rsidR="00C73D06">
        <w:rPr>
          <w:lang w:val="fr-CA"/>
        </w:rPr>
        <w:t>ar</w:t>
      </w:r>
      <w:r>
        <w:rPr>
          <w:lang w:val="fr-CA"/>
        </w:rPr>
        <w:t>ch 1</w:t>
      </w:r>
      <w:r w:rsidR="00440E24" w:rsidRPr="00675479">
        <w:rPr>
          <w:lang w:val="fr-CA"/>
        </w:rPr>
        <w:t>, 201</w:t>
      </w:r>
      <w:r w:rsidR="00F761A3">
        <w:rPr>
          <w:lang w:val="fr-CA"/>
        </w:rPr>
        <w:t>3</w:t>
      </w:r>
      <w:r w:rsidR="00F0068D" w:rsidRPr="00675479">
        <w:rPr>
          <w:lang w:val="fr-CA"/>
        </w:rPr>
        <w:tab/>
      </w:r>
      <w:r>
        <w:rPr>
          <w:lang w:val="fr-CA"/>
        </w:rPr>
        <w:t>327</w:t>
      </w:r>
      <w:r w:rsidR="00F0068D" w:rsidRPr="00675479">
        <w:rPr>
          <w:lang w:val="fr-CA"/>
        </w:rPr>
        <w:t xml:space="preserve"> - </w:t>
      </w:r>
      <w:r w:rsidR="00553DB9">
        <w:rPr>
          <w:lang w:val="fr-CA"/>
        </w:rPr>
        <w:t>368</w:t>
      </w:r>
      <w:r w:rsidR="00440E24" w:rsidRPr="00675479">
        <w:rPr>
          <w:lang w:val="fr-CA"/>
        </w:rPr>
        <w:tab/>
      </w:r>
      <w:r w:rsidR="00440E24" w:rsidRPr="002E2327">
        <w:rPr>
          <w:lang w:val="fr-CA"/>
        </w:rPr>
        <w:t>Le</w:t>
      </w:r>
      <w:r w:rsidR="00C73D06">
        <w:rPr>
          <w:lang w:val="fr-CA"/>
        </w:rPr>
        <w:t xml:space="preserve"> </w:t>
      </w:r>
      <w:r>
        <w:rPr>
          <w:lang w:val="fr-CA"/>
        </w:rPr>
        <w:t>1</w:t>
      </w:r>
      <w:r w:rsidR="00C73D06" w:rsidRPr="0089067B">
        <w:rPr>
          <w:vertAlign w:val="superscript"/>
          <w:lang w:val="fr-CA"/>
        </w:rPr>
        <w:t>er</w:t>
      </w:r>
      <w:r>
        <w:rPr>
          <w:lang w:val="fr-CA"/>
        </w:rPr>
        <w:t xml:space="preserve"> mars</w:t>
      </w:r>
      <w:r w:rsidR="00440E24" w:rsidRPr="002E2327">
        <w:rPr>
          <w:lang w:val="fr-CA"/>
        </w:rPr>
        <w:t xml:space="preserve"> 201</w:t>
      </w:r>
      <w:r w:rsidR="00F761A3">
        <w:rPr>
          <w:lang w:val="fr-CA"/>
        </w:rPr>
        <w:t>3</w:t>
      </w:r>
    </w:p>
    <w:p w:rsidR="00440E24" w:rsidRPr="00675479" w:rsidRDefault="00440E24" w:rsidP="00440E24">
      <w:pPr>
        <w:pBdr>
          <w:bottom w:val="single" w:sz="6" w:space="1" w:color="auto"/>
        </w:pBdr>
        <w:tabs>
          <w:tab w:val="right" w:pos="9360"/>
        </w:tabs>
        <w:rPr>
          <w:lang w:val="fr-CA"/>
        </w:rPr>
      </w:pPr>
    </w:p>
    <w:p w:rsidR="00440E24" w:rsidRPr="0089067B" w:rsidRDefault="00440E24" w:rsidP="00440E24">
      <w:pPr>
        <w:pBdr>
          <w:bottom w:val="single" w:sz="6" w:space="1" w:color="auto"/>
        </w:pBdr>
        <w:tabs>
          <w:tab w:val="right" w:pos="9360"/>
        </w:tabs>
        <w:rPr>
          <w:sz w:val="18"/>
          <w:szCs w:val="18"/>
          <w:lang w:val="fr-CA"/>
        </w:rPr>
      </w:pPr>
      <w:r w:rsidRPr="0089067B">
        <w:rPr>
          <w:sz w:val="18"/>
          <w:szCs w:val="18"/>
          <w:lang w:val="fr-CA"/>
        </w:rPr>
        <w:t xml:space="preserve">© </w:t>
      </w:r>
      <w:proofErr w:type="spellStart"/>
      <w:r w:rsidRPr="0089067B">
        <w:rPr>
          <w:sz w:val="18"/>
          <w:szCs w:val="18"/>
          <w:lang w:val="fr-CA"/>
        </w:rPr>
        <w:t>Supreme</w:t>
      </w:r>
      <w:proofErr w:type="spellEnd"/>
      <w:r w:rsidRPr="0089067B">
        <w:rPr>
          <w:sz w:val="18"/>
          <w:szCs w:val="18"/>
          <w:lang w:val="fr-CA"/>
        </w:rPr>
        <w:t xml:space="preserve"> Court of Canada (201</w:t>
      </w:r>
      <w:r w:rsidR="00F761A3" w:rsidRPr="0089067B">
        <w:rPr>
          <w:sz w:val="18"/>
          <w:szCs w:val="18"/>
          <w:lang w:val="fr-CA"/>
        </w:rPr>
        <w:t>3</w:t>
      </w:r>
      <w:r w:rsidRPr="0089067B">
        <w:rPr>
          <w:sz w:val="18"/>
          <w:szCs w:val="18"/>
          <w:lang w:val="fr-CA"/>
        </w:rPr>
        <w:t>)</w:t>
      </w:r>
      <w:r w:rsidRPr="0089067B">
        <w:rPr>
          <w:sz w:val="18"/>
          <w:szCs w:val="18"/>
          <w:lang w:val="fr-CA"/>
        </w:rPr>
        <w:tab/>
        <w:t>© Cour suprême du Canada (201</w:t>
      </w:r>
      <w:r w:rsidR="00F761A3" w:rsidRPr="0089067B">
        <w:rPr>
          <w:sz w:val="18"/>
          <w:szCs w:val="18"/>
          <w:lang w:val="fr-CA"/>
        </w:rPr>
        <w:t>3</w:t>
      </w:r>
      <w:r w:rsidRPr="008906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6E16A0"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roofErr w:type="spellStart"/>
            <w:r w:rsidRPr="002E2327">
              <w:rPr>
                <w:rFonts w:cs="Times New Roman"/>
                <w:sz w:val="20"/>
                <w:szCs w:val="20"/>
              </w:rPr>
              <w:t>Headnotes</w:t>
            </w:r>
            <w:proofErr w:type="spellEnd"/>
            <w:r w:rsidRPr="002E2327">
              <w:rPr>
                <w:rFonts w:cs="Times New Roman"/>
                <w:sz w:val="20"/>
                <w:szCs w:val="20"/>
              </w:rPr>
              <w:t xml:space="preserve"> of recent judgments</w:t>
            </w:r>
          </w:p>
          <w:p w:rsidR="00A87207" w:rsidRPr="002E2327" w:rsidRDefault="00A87207" w:rsidP="006138E2">
            <w:pPr>
              <w:tabs>
                <w:tab w:val="right" w:pos="9360"/>
              </w:tabs>
              <w:rPr>
                <w:rFonts w:cs="Times New Roman"/>
                <w:sz w:val="20"/>
                <w:szCs w:val="20"/>
              </w:rPr>
            </w:pPr>
          </w:p>
        </w:tc>
        <w:tc>
          <w:tcPr>
            <w:tcW w:w="1980" w:type="dxa"/>
          </w:tcPr>
          <w:p w:rsidR="0095096B" w:rsidRPr="002E2327" w:rsidRDefault="00941499" w:rsidP="0095096B">
            <w:pPr>
              <w:jc w:val="center"/>
              <w:rPr>
                <w:rFonts w:cs="Times New Roman"/>
                <w:sz w:val="20"/>
                <w:szCs w:val="20"/>
              </w:rPr>
            </w:pPr>
            <w:r>
              <w:rPr>
                <w:rFonts w:cs="Times New Roman"/>
                <w:sz w:val="20"/>
                <w:szCs w:val="20"/>
              </w:rPr>
              <w:t>327</w:t>
            </w:r>
            <w:r w:rsidR="00CB0178" w:rsidRPr="002E2327">
              <w:rPr>
                <w:rFonts w:cs="Times New Roman"/>
                <w:sz w:val="20"/>
                <w:szCs w:val="20"/>
              </w:rPr>
              <w:fldChar w:fldCharType="begin"/>
            </w:r>
            <w:r w:rsidR="0095096B" w:rsidRPr="002E2327">
              <w:rPr>
                <w:rFonts w:cs="Times New Roman"/>
                <w:sz w:val="20"/>
                <w:szCs w:val="20"/>
              </w:rPr>
              <w:instrText xml:space="preserve"> SEQ CHAPTER \h \r 1</w:instrText>
            </w:r>
            <w:r w:rsidR="00CB0178"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138E2" w:rsidP="0095096B">
            <w:pPr>
              <w:jc w:val="center"/>
              <w:rPr>
                <w:rFonts w:cs="Times New Roman"/>
                <w:sz w:val="20"/>
                <w:szCs w:val="20"/>
              </w:rPr>
            </w:pPr>
            <w:r>
              <w:rPr>
                <w:rFonts w:cs="Times New Roman"/>
                <w:sz w:val="20"/>
                <w:szCs w:val="20"/>
              </w:rPr>
              <w:t>328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138E2" w:rsidP="0095096B">
            <w:pPr>
              <w:jc w:val="center"/>
              <w:rPr>
                <w:rFonts w:cs="Times New Roman"/>
                <w:sz w:val="20"/>
                <w:szCs w:val="20"/>
              </w:rPr>
            </w:pPr>
            <w:r>
              <w:rPr>
                <w:rFonts w:cs="Times New Roman"/>
                <w:sz w:val="20"/>
                <w:szCs w:val="20"/>
              </w:rPr>
              <w:t xml:space="preserve">329 </w:t>
            </w:r>
            <w:r w:rsidR="0095096B" w:rsidRPr="002E2327">
              <w:rPr>
                <w:rFonts w:cs="Times New Roman"/>
                <w:sz w:val="20"/>
                <w:szCs w:val="20"/>
              </w:rPr>
              <w:t>-</w:t>
            </w:r>
            <w:r w:rsidR="00FA5E0E">
              <w:rPr>
                <w:rFonts w:cs="Times New Roman"/>
                <w:sz w:val="20"/>
                <w:szCs w:val="20"/>
              </w:rPr>
              <w:t xml:space="preserve"> 344</w:t>
            </w:r>
          </w:p>
          <w:p w:rsidR="0095096B" w:rsidRPr="002E2327" w:rsidRDefault="0095096B" w:rsidP="0095096B">
            <w:pPr>
              <w:jc w:val="center"/>
              <w:rPr>
                <w:rFonts w:cs="Times New Roman"/>
                <w:sz w:val="20"/>
                <w:szCs w:val="20"/>
              </w:rPr>
            </w:pPr>
          </w:p>
          <w:p w:rsidR="00FA5E0E" w:rsidRDefault="00FA5E0E" w:rsidP="0095096B">
            <w:pPr>
              <w:jc w:val="center"/>
              <w:rPr>
                <w:rFonts w:cs="Times New Roman"/>
                <w:sz w:val="20"/>
                <w:szCs w:val="20"/>
              </w:rPr>
            </w:pPr>
          </w:p>
          <w:p w:rsidR="0095096B" w:rsidRPr="002E2327" w:rsidRDefault="00FA5E0E" w:rsidP="0095096B">
            <w:pPr>
              <w:jc w:val="center"/>
              <w:rPr>
                <w:rFonts w:cs="Times New Roman"/>
                <w:sz w:val="20"/>
                <w:szCs w:val="20"/>
              </w:rPr>
            </w:pPr>
            <w:r>
              <w:rPr>
                <w:rFonts w:cs="Times New Roman"/>
                <w:sz w:val="20"/>
                <w:szCs w:val="20"/>
              </w:rPr>
              <w:t xml:space="preserve">345 </w:t>
            </w:r>
            <w:r w:rsidR="0095096B" w:rsidRPr="002E2327">
              <w:rPr>
                <w:rFonts w:cs="Times New Roman"/>
                <w:sz w:val="20"/>
                <w:szCs w:val="20"/>
              </w:rPr>
              <w:t>-</w:t>
            </w:r>
            <w:r>
              <w:rPr>
                <w:rFonts w:cs="Times New Roman"/>
                <w:sz w:val="20"/>
                <w:szCs w:val="20"/>
              </w:rPr>
              <w:t xml:space="preserve"> 347</w:t>
            </w:r>
          </w:p>
          <w:p w:rsidR="0095096B" w:rsidRPr="002E2327" w:rsidRDefault="0095096B" w:rsidP="0095096B">
            <w:pPr>
              <w:jc w:val="center"/>
              <w:rPr>
                <w:rFonts w:cs="Times New Roman"/>
                <w:sz w:val="20"/>
                <w:szCs w:val="20"/>
              </w:rPr>
            </w:pPr>
          </w:p>
          <w:p w:rsidR="0095096B" w:rsidRPr="002E2327" w:rsidRDefault="00FA5E0E" w:rsidP="0095096B">
            <w:pPr>
              <w:jc w:val="center"/>
              <w:rPr>
                <w:rFonts w:cs="Times New Roman"/>
                <w:sz w:val="20"/>
                <w:szCs w:val="20"/>
              </w:rPr>
            </w:pPr>
            <w:r>
              <w:rPr>
                <w:rFonts w:cs="Times New Roman"/>
                <w:sz w:val="20"/>
                <w:szCs w:val="20"/>
              </w:rPr>
              <w:t>348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A5E0E" w:rsidP="0095096B">
            <w:pPr>
              <w:jc w:val="center"/>
              <w:rPr>
                <w:rFonts w:cs="Times New Roman"/>
                <w:sz w:val="20"/>
                <w:szCs w:val="20"/>
              </w:rPr>
            </w:pPr>
            <w:r>
              <w:rPr>
                <w:rFonts w:cs="Times New Roman"/>
                <w:sz w:val="20"/>
                <w:szCs w:val="20"/>
              </w:rPr>
              <w:t>349</w:t>
            </w:r>
          </w:p>
          <w:p w:rsidR="00FA5E0E" w:rsidRDefault="00FA5E0E"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A5E0E" w:rsidP="0095096B">
            <w:pPr>
              <w:jc w:val="center"/>
              <w:rPr>
                <w:rFonts w:cs="Times New Roman"/>
                <w:sz w:val="20"/>
                <w:szCs w:val="20"/>
              </w:rPr>
            </w:pPr>
            <w:r>
              <w:rPr>
                <w:rFonts w:cs="Times New Roman"/>
                <w:sz w:val="20"/>
                <w:szCs w:val="20"/>
              </w:rPr>
              <w:t xml:space="preserve">350 </w:t>
            </w:r>
            <w:r w:rsidR="0095096B" w:rsidRPr="002E2327">
              <w:rPr>
                <w:rFonts w:cs="Times New Roman"/>
                <w:sz w:val="20"/>
                <w:szCs w:val="20"/>
              </w:rPr>
              <w:t>-</w:t>
            </w:r>
            <w:r w:rsidR="00553DB9">
              <w:rPr>
                <w:rFonts w:cs="Times New Roman"/>
                <w:sz w:val="20"/>
                <w:szCs w:val="20"/>
              </w:rPr>
              <w:t xml:space="preserve"> 352</w:t>
            </w:r>
          </w:p>
          <w:p w:rsidR="0095096B" w:rsidRDefault="0095096B" w:rsidP="0095096B">
            <w:pPr>
              <w:jc w:val="center"/>
              <w:rPr>
                <w:rFonts w:cs="Times New Roman"/>
                <w:sz w:val="20"/>
                <w:szCs w:val="20"/>
              </w:rPr>
            </w:pPr>
          </w:p>
          <w:p w:rsidR="00FA5E0E" w:rsidRPr="002E2327" w:rsidRDefault="00FA5E0E" w:rsidP="0095096B">
            <w:pPr>
              <w:jc w:val="center"/>
              <w:rPr>
                <w:rFonts w:cs="Times New Roman"/>
                <w:sz w:val="20"/>
                <w:szCs w:val="20"/>
              </w:rPr>
            </w:pPr>
          </w:p>
          <w:p w:rsidR="0095096B" w:rsidRPr="002E2327" w:rsidRDefault="00553DB9" w:rsidP="0095096B">
            <w:pPr>
              <w:jc w:val="center"/>
              <w:rPr>
                <w:rFonts w:cs="Times New Roman"/>
                <w:sz w:val="20"/>
                <w:szCs w:val="20"/>
              </w:rPr>
            </w:pPr>
            <w:r>
              <w:rPr>
                <w:rFonts w:cs="Times New Roman"/>
                <w:sz w:val="20"/>
                <w:szCs w:val="20"/>
              </w:rPr>
              <w:t xml:space="preserve">353 </w:t>
            </w:r>
            <w:r w:rsidR="0095096B" w:rsidRPr="002E2327">
              <w:rPr>
                <w:rFonts w:cs="Times New Roman"/>
                <w:sz w:val="20"/>
                <w:szCs w:val="20"/>
              </w:rPr>
              <w:t>-</w:t>
            </w:r>
            <w:r>
              <w:rPr>
                <w:rFonts w:cs="Times New Roman"/>
                <w:sz w:val="20"/>
                <w:szCs w:val="20"/>
              </w:rPr>
              <w:t xml:space="preserve"> 368</w:t>
            </w:r>
          </w:p>
          <w:p w:rsidR="00A87207" w:rsidRPr="002E2327" w:rsidRDefault="00A87207" w:rsidP="006138E2">
            <w:pPr>
              <w:jc w:val="center"/>
              <w:rPr>
                <w:rFonts w:cs="Times New Roman"/>
                <w:sz w:val="20"/>
                <w:szCs w:val="20"/>
              </w:rPr>
            </w:pPr>
          </w:p>
        </w:tc>
        <w:tc>
          <w:tcPr>
            <w:tcW w:w="3888" w:type="dxa"/>
          </w:tcPr>
          <w:p w:rsidR="0095096B" w:rsidRPr="002E2327" w:rsidRDefault="00CB0178"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6138E2">
            <w:pPr>
              <w:rPr>
                <w:rFonts w:cs="Times New Roman"/>
                <w:sz w:val="20"/>
                <w:szCs w:val="20"/>
                <w:lang w:val="fr-CA"/>
              </w:rPr>
            </w:pPr>
          </w:p>
        </w:tc>
      </w:tr>
    </w:tbl>
    <w:p w:rsidR="0095096B" w:rsidRPr="00E25901" w:rsidRDefault="0095096B" w:rsidP="0095096B">
      <w:pPr>
        <w:tabs>
          <w:tab w:val="right" w:pos="9360"/>
        </w:tabs>
        <w:rPr>
          <w:lang w:val="fr-CA"/>
        </w:rPr>
      </w:pPr>
    </w:p>
    <w:p w:rsidR="00A91120" w:rsidRPr="00E25901" w:rsidRDefault="00A91120" w:rsidP="0095096B">
      <w:pPr>
        <w:tabs>
          <w:tab w:val="right" w:pos="9360"/>
        </w:tabs>
        <w:rPr>
          <w:lang w:val="fr-CA"/>
        </w:rPr>
      </w:pPr>
    </w:p>
    <w:p w:rsidR="00A91120" w:rsidRPr="00E25901" w:rsidRDefault="00A91120" w:rsidP="0095096B">
      <w:pPr>
        <w:tabs>
          <w:tab w:val="right" w:pos="9360"/>
        </w:tabs>
        <w:rPr>
          <w:lang w:val="fr-CA"/>
        </w:rPr>
      </w:pPr>
    </w:p>
    <w:p w:rsidR="00A91120" w:rsidRPr="00E25901" w:rsidRDefault="00A91120" w:rsidP="0095096B">
      <w:pPr>
        <w:tabs>
          <w:tab w:val="right" w:pos="9360"/>
        </w:tabs>
        <w:rPr>
          <w:lang w:val="fr-CA"/>
        </w:rPr>
      </w:pPr>
    </w:p>
    <w:p w:rsidR="00A91120" w:rsidRPr="00E25901" w:rsidRDefault="00A91120" w:rsidP="0095096B">
      <w:pPr>
        <w:tabs>
          <w:tab w:val="right" w:pos="9360"/>
        </w:tabs>
        <w:rPr>
          <w:lang w:val="fr-CA"/>
        </w:rPr>
      </w:pPr>
    </w:p>
    <w:p w:rsidR="00A91120" w:rsidRPr="00E25901" w:rsidRDefault="00A91120" w:rsidP="0095096B">
      <w:pPr>
        <w:tabs>
          <w:tab w:val="right" w:pos="9360"/>
        </w:tabs>
        <w:rPr>
          <w:lang w:val="fr-CA"/>
        </w:rPr>
      </w:pPr>
    </w:p>
    <w:tbl>
      <w:tblPr>
        <w:tblStyle w:val="TableGrid"/>
        <w:tblW w:w="0" w:type="auto"/>
        <w:tblLook w:val="04A0"/>
      </w:tblPr>
      <w:tblGrid>
        <w:gridCol w:w="9576"/>
      </w:tblGrid>
      <w:tr w:rsidR="0079724F" w:rsidRPr="00B07D2C"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6555FA" w:rsidTr="003B3977">
        <w:tc>
          <w:tcPr>
            <w:tcW w:w="4320" w:type="dxa"/>
            <w:shd w:val="clear" w:color="auto" w:fill="auto"/>
          </w:tcPr>
          <w:p w:rsidR="00242AEE" w:rsidRPr="00A935AA" w:rsidRDefault="006555FA" w:rsidP="003B3977">
            <w:pPr>
              <w:rPr>
                <w:b/>
                <w:sz w:val="20"/>
                <w:szCs w:val="20"/>
              </w:rPr>
            </w:pPr>
            <w:r>
              <w:rPr>
                <w:b/>
                <w:sz w:val="20"/>
                <w:szCs w:val="20"/>
              </w:rPr>
              <w:t>David Pearlman</w:t>
            </w:r>
          </w:p>
          <w:p w:rsidR="00242AEE" w:rsidRPr="00A935AA" w:rsidRDefault="00242AEE" w:rsidP="003B3977">
            <w:pPr>
              <w:tabs>
                <w:tab w:val="left" w:pos="-1440"/>
                <w:tab w:val="left" w:pos="-720"/>
              </w:tabs>
              <w:rPr>
                <w:sz w:val="20"/>
                <w:szCs w:val="20"/>
              </w:rPr>
            </w:pPr>
            <w:r w:rsidRPr="00A935AA">
              <w:rPr>
                <w:sz w:val="20"/>
                <w:szCs w:val="20"/>
              </w:rPr>
              <w:tab/>
            </w:r>
            <w:r w:rsidR="006555FA">
              <w:rPr>
                <w:sz w:val="20"/>
                <w:szCs w:val="20"/>
              </w:rPr>
              <w:t>David Pearlman</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941499">
              <w:rPr>
                <w:sz w:val="20"/>
                <w:szCs w:val="20"/>
              </w:rPr>
              <w:t>5</w:t>
            </w:r>
            <w:r w:rsidR="006555FA">
              <w:rPr>
                <w:sz w:val="20"/>
                <w:szCs w:val="20"/>
              </w:rPr>
              <w:t>235</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6555FA" w:rsidP="003B3977">
            <w:pPr>
              <w:tabs>
                <w:tab w:val="left" w:pos="-1440"/>
                <w:tab w:val="left" w:pos="-720"/>
              </w:tabs>
              <w:rPr>
                <w:b/>
                <w:sz w:val="20"/>
                <w:szCs w:val="20"/>
              </w:rPr>
            </w:pPr>
            <w:r>
              <w:rPr>
                <w:b/>
                <w:sz w:val="20"/>
                <w:szCs w:val="20"/>
              </w:rPr>
              <w:t xml:space="preserve">Phelps Leasing Ltd. et al. </w:t>
            </w:r>
            <w:r w:rsidR="00242AEE" w:rsidRPr="00A935AA">
              <w:rPr>
                <w:b/>
                <w:sz w:val="20"/>
                <w:szCs w:val="20"/>
              </w:rPr>
              <w:t>(B.C.)</w:t>
            </w:r>
          </w:p>
          <w:p w:rsidR="00242AEE" w:rsidRPr="00A935AA" w:rsidRDefault="00242AEE" w:rsidP="003B3977">
            <w:pPr>
              <w:tabs>
                <w:tab w:val="left" w:pos="-1440"/>
                <w:tab w:val="left" w:pos="-720"/>
              </w:tabs>
              <w:rPr>
                <w:sz w:val="20"/>
                <w:szCs w:val="20"/>
              </w:rPr>
            </w:pPr>
            <w:r w:rsidRPr="00A935AA">
              <w:rPr>
                <w:sz w:val="20"/>
                <w:szCs w:val="20"/>
              </w:rPr>
              <w:tab/>
            </w:r>
            <w:r w:rsidR="006555FA">
              <w:rPr>
                <w:sz w:val="20"/>
                <w:szCs w:val="20"/>
              </w:rPr>
              <w:t xml:space="preserve">Vince G. </w:t>
            </w:r>
            <w:proofErr w:type="spellStart"/>
            <w:r w:rsidR="006555FA">
              <w:rPr>
                <w:sz w:val="20"/>
                <w:szCs w:val="20"/>
              </w:rPr>
              <w:t>Critchley</w:t>
            </w:r>
            <w:proofErr w:type="spellEnd"/>
          </w:p>
          <w:p w:rsidR="00242AEE" w:rsidRPr="00A935AA" w:rsidRDefault="00242AEE" w:rsidP="003B3977">
            <w:pPr>
              <w:tabs>
                <w:tab w:val="left" w:pos="-1440"/>
                <w:tab w:val="left" w:pos="-720"/>
              </w:tabs>
              <w:rPr>
                <w:sz w:val="20"/>
                <w:szCs w:val="20"/>
              </w:rPr>
            </w:pPr>
            <w:r w:rsidRPr="00A935AA">
              <w:rPr>
                <w:sz w:val="20"/>
                <w:szCs w:val="20"/>
              </w:rPr>
              <w:tab/>
            </w:r>
            <w:r w:rsidR="006555FA">
              <w:rPr>
                <w:sz w:val="20"/>
                <w:szCs w:val="20"/>
              </w:rPr>
              <w:t xml:space="preserve">Quinlan </w:t>
            </w:r>
            <w:proofErr w:type="spellStart"/>
            <w:r w:rsidR="006555FA">
              <w:rPr>
                <w:sz w:val="20"/>
                <w:szCs w:val="20"/>
              </w:rPr>
              <w:t>Abrioux</w:t>
            </w:r>
            <w:proofErr w:type="spellEnd"/>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6555FA">
              <w:rPr>
                <w:sz w:val="20"/>
                <w:szCs w:val="20"/>
              </w:rPr>
              <w:t>20</w:t>
            </w:r>
            <w:r w:rsidRPr="00A935AA">
              <w:rPr>
                <w:sz w:val="20"/>
                <w:szCs w:val="20"/>
              </w:rPr>
              <w:t>.</w:t>
            </w:r>
            <w:r w:rsidR="006555FA">
              <w:rPr>
                <w:sz w:val="20"/>
                <w:szCs w:val="20"/>
              </w:rPr>
              <w:t>1</w:t>
            </w:r>
            <w:r w:rsidR="00941499">
              <w:rPr>
                <w:sz w:val="20"/>
                <w:szCs w:val="20"/>
              </w:rPr>
              <w:t>2</w:t>
            </w:r>
            <w:r w:rsidRPr="00A935AA">
              <w:rPr>
                <w:sz w:val="20"/>
                <w:szCs w:val="20"/>
              </w:rPr>
              <w:t>.201</w:t>
            </w:r>
            <w:r w:rsidR="006555FA">
              <w:rPr>
                <w:sz w:val="20"/>
                <w:szCs w:val="20"/>
              </w:rPr>
              <w:t>2</w:t>
            </w:r>
          </w:p>
          <w:p w:rsidR="00242AEE" w:rsidRPr="00A935AA" w:rsidRDefault="00CB0178" w:rsidP="003B3977">
            <w:pPr>
              <w:rPr>
                <w:sz w:val="20"/>
                <w:szCs w:val="20"/>
              </w:rPr>
            </w:pPr>
            <w:r w:rsidRPr="00CB0178">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6555FA" w:rsidP="003B3977">
            <w:pPr>
              <w:keepNext/>
              <w:keepLines/>
              <w:tabs>
                <w:tab w:val="left" w:pos="-1440"/>
                <w:tab w:val="left" w:pos="-720"/>
              </w:tabs>
              <w:rPr>
                <w:b/>
                <w:sz w:val="20"/>
                <w:szCs w:val="20"/>
              </w:rPr>
            </w:pPr>
            <w:r>
              <w:rPr>
                <w:b/>
                <w:sz w:val="20"/>
                <w:szCs w:val="20"/>
              </w:rPr>
              <w:t>Dragoljub Milunovic</w:t>
            </w:r>
          </w:p>
          <w:p w:rsidR="00242AEE" w:rsidRPr="00A935AA" w:rsidRDefault="00242AEE" w:rsidP="003B3977">
            <w:pPr>
              <w:keepNext/>
              <w:keepLines/>
              <w:tabs>
                <w:tab w:val="left" w:pos="-1440"/>
                <w:tab w:val="left" w:pos="-720"/>
              </w:tabs>
              <w:rPr>
                <w:sz w:val="20"/>
                <w:szCs w:val="20"/>
              </w:rPr>
            </w:pPr>
            <w:r w:rsidRPr="00A935AA">
              <w:rPr>
                <w:sz w:val="20"/>
                <w:szCs w:val="20"/>
              </w:rPr>
              <w:tab/>
            </w:r>
            <w:r w:rsidR="006555FA">
              <w:rPr>
                <w:sz w:val="20"/>
                <w:szCs w:val="20"/>
              </w:rPr>
              <w:t>Dragoljub Milunovic</w:t>
            </w:r>
          </w:p>
          <w:p w:rsidR="00242AEE" w:rsidRPr="00A935AA" w:rsidRDefault="00242AEE" w:rsidP="003B3977">
            <w:pPr>
              <w:keepNext/>
              <w:keepLines/>
              <w:tabs>
                <w:tab w:val="left" w:pos="-1440"/>
                <w:tab w:val="left" w:pos="-720"/>
              </w:tabs>
              <w:rPr>
                <w:sz w:val="20"/>
                <w:szCs w:val="20"/>
              </w:rPr>
            </w:pPr>
          </w:p>
          <w:p w:rsidR="00242AEE" w:rsidRPr="00E25901" w:rsidRDefault="00242AEE" w:rsidP="003B3977">
            <w:pPr>
              <w:keepNext/>
              <w:keepLines/>
              <w:tabs>
                <w:tab w:val="left" w:pos="-1440"/>
                <w:tab w:val="left" w:pos="-720"/>
              </w:tabs>
              <w:rPr>
                <w:sz w:val="20"/>
                <w:szCs w:val="20"/>
              </w:rPr>
            </w:pPr>
            <w:r w:rsidRPr="00A935AA">
              <w:rPr>
                <w:sz w:val="20"/>
                <w:szCs w:val="20"/>
              </w:rPr>
              <w:tab/>
            </w:r>
            <w:r w:rsidR="006555FA">
              <w:rPr>
                <w:sz w:val="20"/>
                <w:szCs w:val="20"/>
              </w:rPr>
              <w:t>c</w:t>
            </w:r>
            <w:r w:rsidRPr="00E25901">
              <w:rPr>
                <w:sz w:val="20"/>
                <w:szCs w:val="20"/>
              </w:rPr>
              <w:t>. (3</w:t>
            </w:r>
            <w:r w:rsidR="00941499" w:rsidRPr="00E25901">
              <w:rPr>
                <w:sz w:val="20"/>
                <w:szCs w:val="20"/>
              </w:rPr>
              <w:t>5</w:t>
            </w:r>
            <w:r w:rsidR="006555FA" w:rsidRPr="00E25901">
              <w:rPr>
                <w:sz w:val="20"/>
                <w:szCs w:val="20"/>
              </w:rPr>
              <w:t>219</w:t>
            </w:r>
            <w:r w:rsidRPr="00E25901">
              <w:rPr>
                <w:sz w:val="20"/>
                <w:szCs w:val="20"/>
              </w:rPr>
              <w:t>)</w:t>
            </w:r>
          </w:p>
          <w:p w:rsidR="00242AEE" w:rsidRPr="00E25901" w:rsidRDefault="00242AEE" w:rsidP="003B3977">
            <w:pPr>
              <w:keepNext/>
              <w:keepLines/>
              <w:tabs>
                <w:tab w:val="left" w:pos="-1440"/>
                <w:tab w:val="left" w:pos="-720"/>
              </w:tabs>
              <w:rPr>
                <w:sz w:val="20"/>
                <w:szCs w:val="20"/>
              </w:rPr>
            </w:pPr>
          </w:p>
          <w:p w:rsidR="00242AEE" w:rsidRPr="006555FA" w:rsidRDefault="006555FA" w:rsidP="003B3977">
            <w:pPr>
              <w:keepNext/>
              <w:keepLines/>
              <w:tabs>
                <w:tab w:val="left" w:pos="-1440"/>
                <w:tab w:val="left" w:pos="-720"/>
              </w:tabs>
              <w:rPr>
                <w:b/>
                <w:sz w:val="20"/>
                <w:szCs w:val="20"/>
                <w:lang w:val="fr-CA"/>
              </w:rPr>
            </w:pPr>
            <w:r w:rsidRPr="006555FA">
              <w:rPr>
                <w:b/>
                <w:sz w:val="20"/>
                <w:szCs w:val="20"/>
                <w:lang w:val="fr-CA"/>
              </w:rPr>
              <w:t xml:space="preserve">Mario Proulx et autre </w:t>
            </w:r>
            <w:r w:rsidR="00242AEE" w:rsidRPr="006555FA">
              <w:rPr>
                <w:b/>
                <w:sz w:val="20"/>
                <w:szCs w:val="20"/>
                <w:lang w:val="fr-CA"/>
              </w:rPr>
              <w:t>(</w:t>
            </w:r>
            <w:r w:rsidRPr="006555FA">
              <w:rPr>
                <w:b/>
                <w:sz w:val="20"/>
                <w:szCs w:val="20"/>
                <w:lang w:val="fr-CA"/>
              </w:rPr>
              <w:t>Qc</w:t>
            </w:r>
            <w:r w:rsidR="00242AEE" w:rsidRPr="006555FA">
              <w:rPr>
                <w:b/>
                <w:sz w:val="20"/>
                <w:szCs w:val="20"/>
                <w:lang w:val="fr-CA"/>
              </w:rPr>
              <w:t>)</w:t>
            </w:r>
          </w:p>
          <w:p w:rsidR="00242AEE" w:rsidRPr="006555FA" w:rsidRDefault="00242AEE" w:rsidP="003B3977">
            <w:pPr>
              <w:keepNext/>
              <w:keepLines/>
              <w:tabs>
                <w:tab w:val="left" w:pos="-1440"/>
                <w:tab w:val="left" w:pos="-720"/>
              </w:tabs>
              <w:rPr>
                <w:sz w:val="20"/>
                <w:szCs w:val="20"/>
                <w:lang w:val="fr-CA"/>
              </w:rPr>
            </w:pPr>
            <w:r w:rsidRPr="006555FA">
              <w:rPr>
                <w:sz w:val="20"/>
                <w:szCs w:val="20"/>
                <w:lang w:val="fr-CA"/>
              </w:rPr>
              <w:tab/>
            </w:r>
            <w:r w:rsidR="006555FA">
              <w:rPr>
                <w:sz w:val="20"/>
                <w:szCs w:val="20"/>
                <w:lang w:val="fr-CA"/>
              </w:rPr>
              <w:t>Marie-Josée Bélainsky</w:t>
            </w:r>
          </w:p>
          <w:p w:rsidR="00242AEE" w:rsidRPr="006555FA" w:rsidRDefault="00242AEE" w:rsidP="003B3977">
            <w:pPr>
              <w:keepNext/>
              <w:keepLines/>
              <w:tabs>
                <w:tab w:val="left" w:pos="-1440"/>
                <w:tab w:val="left" w:pos="-720"/>
              </w:tabs>
              <w:rPr>
                <w:sz w:val="20"/>
                <w:szCs w:val="20"/>
                <w:lang w:val="fr-CA"/>
              </w:rPr>
            </w:pPr>
            <w:r w:rsidRPr="006555FA">
              <w:rPr>
                <w:sz w:val="20"/>
                <w:szCs w:val="20"/>
                <w:lang w:val="fr-CA"/>
              </w:rPr>
              <w:tab/>
            </w:r>
            <w:r w:rsidR="006555FA">
              <w:rPr>
                <w:sz w:val="20"/>
                <w:szCs w:val="20"/>
                <w:lang w:val="fr-CA"/>
              </w:rPr>
              <w:t xml:space="preserve">Fonds d’assurance responsabilité </w:t>
            </w:r>
            <w:r w:rsidR="006555FA">
              <w:rPr>
                <w:sz w:val="20"/>
                <w:szCs w:val="20"/>
                <w:lang w:val="fr-CA"/>
              </w:rPr>
              <w:tab/>
              <w:t>professionnelle</w:t>
            </w:r>
          </w:p>
          <w:p w:rsidR="00242AEE" w:rsidRPr="006555FA" w:rsidRDefault="00242AEE" w:rsidP="003B3977">
            <w:pPr>
              <w:keepNext/>
              <w:keepLines/>
              <w:tabs>
                <w:tab w:val="left" w:pos="-1440"/>
                <w:tab w:val="left" w:pos="-720"/>
              </w:tabs>
              <w:rPr>
                <w:sz w:val="20"/>
                <w:szCs w:val="20"/>
                <w:lang w:val="fr-CA"/>
              </w:rPr>
            </w:pPr>
          </w:p>
          <w:p w:rsidR="00242AEE" w:rsidRPr="006555FA" w:rsidRDefault="00242AEE" w:rsidP="006555FA">
            <w:pPr>
              <w:rPr>
                <w:sz w:val="20"/>
                <w:szCs w:val="20"/>
                <w:lang w:val="fr-CA"/>
              </w:rPr>
            </w:pPr>
            <w:r w:rsidRPr="006555FA">
              <w:rPr>
                <w:sz w:val="20"/>
                <w:szCs w:val="20"/>
                <w:lang w:val="fr-CA"/>
              </w:rPr>
              <w:t>DATE</w:t>
            </w:r>
            <w:r w:rsidR="006555FA" w:rsidRPr="006555FA">
              <w:rPr>
                <w:sz w:val="20"/>
                <w:szCs w:val="20"/>
                <w:lang w:val="fr-CA"/>
              </w:rPr>
              <w:t xml:space="preserve"> DE PRODUCTION </w:t>
            </w:r>
            <w:r w:rsidRPr="006555FA">
              <w:rPr>
                <w:sz w:val="20"/>
                <w:szCs w:val="20"/>
                <w:lang w:val="fr-CA"/>
              </w:rPr>
              <w:t xml:space="preserve">: </w:t>
            </w:r>
            <w:r w:rsidR="006555FA">
              <w:rPr>
                <w:sz w:val="20"/>
                <w:szCs w:val="20"/>
                <w:lang w:val="fr-CA"/>
              </w:rPr>
              <w:t>04</w:t>
            </w:r>
            <w:r w:rsidRPr="006555FA">
              <w:rPr>
                <w:sz w:val="20"/>
                <w:szCs w:val="20"/>
                <w:lang w:val="fr-CA"/>
              </w:rPr>
              <w:t>.0</w:t>
            </w:r>
            <w:r w:rsidR="00941499" w:rsidRPr="006555FA">
              <w:rPr>
                <w:sz w:val="20"/>
                <w:szCs w:val="20"/>
                <w:lang w:val="fr-CA"/>
              </w:rPr>
              <w:t>2</w:t>
            </w:r>
            <w:r w:rsidRPr="006555FA">
              <w:rPr>
                <w:sz w:val="20"/>
                <w:szCs w:val="20"/>
                <w:lang w:val="fr-CA"/>
              </w:rPr>
              <w:t>.201</w:t>
            </w:r>
            <w:r w:rsidR="00941499" w:rsidRPr="006555FA">
              <w:rPr>
                <w:sz w:val="20"/>
                <w:szCs w:val="20"/>
                <w:lang w:val="fr-CA"/>
              </w:rPr>
              <w:t>3</w:t>
            </w:r>
            <w:r w:rsidR="00CB0178" w:rsidRPr="00CB0178">
              <w:rPr>
                <w:sz w:val="20"/>
                <w:szCs w:val="20"/>
                <w:lang w:val="fr-CA"/>
              </w:rPr>
              <w:pict>
                <v:rect id="_x0000_i1026" style="width:108pt;height:1pt" o:hrpct="0" o:hralign="center" o:hrstd="t" o:hrnoshade="t" o:hr="t" fillcolor="black [3213]" stroked="f"/>
              </w:pict>
            </w:r>
          </w:p>
        </w:tc>
      </w:tr>
      <w:tr w:rsidR="00941499" w:rsidRPr="00A935AA" w:rsidTr="003B3977">
        <w:tc>
          <w:tcPr>
            <w:tcW w:w="4320" w:type="dxa"/>
            <w:shd w:val="clear" w:color="auto" w:fill="auto"/>
          </w:tcPr>
          <w:p w:rsidR="00941499" w:rsidRPr="006555FA" w:rsidRDefault="001233FB" w:rsidP="001233FB">
            <w:pPr>
              <w:rPr>
                <w:b/>
                <w:sz w:val="20"/>
                <w:szCs w:val="20"/>
              </w:rPr>
            </w:pPr>
            <w:r>
              <w:rPr>
                <w:b/>
                <w:sz w:val="20"/>
                <w:szCs w:val="20"/>
              </w:rPr>
              <w:t>Evan Richa</w:t>
            </w:r>
            <w:r w:rsidR="006555FA" w:rsidRPr="006555FA">
              <w:rPr>
                <w:b/>
                <w:sz w:val="20"/>
                <w:szCs w:val="20"/>
              </w:rPr>
              <w:t>rds</w:t>
            </w:r>
          </w:p>
          <w:p w:rsidR="00941499" w:rsidRPr="006555FA" w:rsidRDefault="00941499" w:rsidP="001233FB">
            <w:pPr>
              <w:tabs>
                <w:tab w:val="left" w:pos="-1440"/>
                <w:tab w:val="left" w:pos="-720"/>
              </w:tabs>
              <w:rPr>
                <w:sz w:val="20"/>
                <w:szCs w:val="20"/>
              </w:rPr>
            </w:pPr>
            <w:r w:rsidRPr="006555FA">
              <w:rPr>
                <w:sz w:val="20"/>
                <w:szCs w:val="20"/>
              </w:rPr>
              <w:tab/>
            </w:r>
            <w:r w:rsidR="001233FB">
              <w:rPr>
                <w:sz w:val="20"/>
                <w:szCs w:val="20"/>
              </w:rPr>
              <w:t>Lawrence J. Zatlyn, Q.C.</w:t>
            </w:r>
          </w:p>
          <w:p w:rsidR="00941499" w:rsidRDefault="001233FB" w:rsidP="001233FB">
            <w:pPr>
              <w:tabs>
                <w:tab w:val="left" w:pos="-1440"/>
                <w:tab w:val="left" w:pos="-720"/>
              </w:tabs>
              <w:rPr>
                <w:sz w:val="20"/>
                <w:szCs w:val="20"/>
              </w:rPr>
            </w:pPr>
            <w:r>
              <w:rPr>
                <w:sz w:val="20"/>
                <w:szCs w:val="20"/>
              </w:rPr>
              <w:tab/>
              <w:t>Zatlyn Law Office</w:t>
            </w:r>
          </w:p>
          <w:p w:rsidR="001233FB" w:rsidRPr="006555FA" w:rsidRDefault="001233FB" w:rsidP="001233FB">
            <w:pPr>
              <w:tabs>
                <w:tab w:val="left" w:pos="-1440"/>
                <w:tab w:val="left" w:pos="-720"/>
              </w:tabs>
              <w:rPr>
                <w:sz w:val="20"/>
                <w:szCs w:val="20"/>
              </w:rPr>
            </w:pPr>
          </w:p>
          <w:p w:rsidR="00941499" w:rsidRPr="00A935AA" w:rsidRDefault="00941499" w:rsidP="001233FB">
            <w:pPr>
              <w:tabs>
                <w:tab w:val="left" w:pos="-1440"/>
                <w:tab w:val="left" w:pos="-720"/>
              </w:tabs>
              <w:rPr>
                <w:sz w:val="20"/>
                <w:szCs w:val="20"/>
              </w:rPr>
            </w:pPr>
            <w:r w:rsidRPr="006555FA">
              <w:rPr>
                <w:sz w:val="20"/>
                <w:szCs w:val="20"/>
              </w:rPr>
              <w:tab/>
            </w:r>
            <w:r w:rsidRPr="00A935AA">
              <w:rPr>
                <w:sz w:val="20"/>
                <w:szCs w:val="20"/>
              </w:rPr>
              <w:t>v. (3</w:t>
            </w:r>
            <w:r>
              <w:rPr>
                <w:sz w:val="20"/>
                <w:szCs w:val="20"/>
              </w:rPr>
              <w:t>5</w:t>
            </w:r>
            <w:r w:rsidR="001233FB">
              <w:rPr>
                <w:sz w:val="20"/>
                <w:szCs w:val="20"/>
              </w:rPr>
              <w:t>218</w:t>
            </w:r>
            <w:r w:rsidRPr="00A935AA">
              <w:rPr>
                <w:sz w:val="20"/>
                <w:szCs w:val="20"/>
              </w:rPr>
              <w:t>)</w:t>
            </w:r>
          </w:p>
          <w:p w:rsidR="00941499" w:rsidRPr="00A935AA" w:rsidRDefault="00941499" w:rsidP="001233FB">
            <w:pPr>
              <w:tabs>
                <w:tab w:val="left" w:pos="-1440"/>
                <w:tab w:val="left" w:pos="-720"/>
              </w:tabs>
              <w:rPr>
                <w:sz w:val="20"/>
                <w:szCs w:val="20"/>
              </w:rPr>
            </w:pPr>
          </w:p>
          <w:p w:rsidR="00941499" w:rsidRPr="00A935AA" w:rsidRDefault="001233FB" w:rsidP="001233FB">
            <w:pPr>
              <w:tabs>
                <w:tab w:val="left" w:pos="-1440"/>
                <w:tab w:val="left" w:pos="-720"/>
              </w:tabs>
              <w:rPr>
                <w:b/>
                <w:sz w:val="20"/>
                <w:szCs w:val="20"/>
              </w:rPr>
            </w:pPr>
            <w:r>
              <w:rPr>
                <w:b/>
                <w:sz w:val="20"/>
                <w:szCs w:val="20"/>
              </w:rPr>
              <w:t xml:space="preserve">Her Majesty the Queen </w:t>
            </w:r>
            <w:r w:rsidR="00941499" w:rsidRPr="00A935AA">
              <w:rPr>
                <w:b/>
                <w:sz w:val="20"/>
                <w:szCs w:val="20"/>
              </w:rPr>
              <w:t>(</w:t>
            </w:r>
            <w:r>
              <w:rPr>
                <w:b/>
                <w:sz w:val="20"/>
                <w:szCs w:val="20"/>
              </w:rPr>
              <w:t>Sask</w:t>
            </w:r>
            <w:r w:rsidR="00941499" w:rsidRPr="00A935AA">
              <w:rPr>
                <w:b/>
                <w:sz w:val="20"/>
                <w:szCs w:val="20"/>
              </w:rPr>
              <w:t>.)</w:t>
            </w:r>
          </w:p>
          <w:p w:rsidR="00941499" w:rsidRPr="00A935AA" w:rsidRDefault="00941499" w:rsidP="001233FB">
            <w:pPr>
              <w:tabs>
                <w:tab w:val="left" w:pos="-1440"/>
                <w:tab w:val="left" w:pos="-720"/>
              </w:tabs>
              <w:rPr>
                <w:sz w:val="20"/>
                <w:szCs w:val="20"/>
              </w:rPr>
            </w:pPr>
            <w:r w:rsidRPr="00A935AA">
              <w:rPr>
                <w:sz w:val="20"/>
                <w:szCs w:val="20"/>
              </w:rPr>
              <w:tab/>
            </w:r>
            <w:r w:rsidR="001233FB">
              <w:rPr>
                <w:sz w:val="20"/>
                <w:szCs w:val="20"/>
              </w:rPr>
              <w:t>Wade E. McBride</w:t>
            </w:r>
          </w:p>
          <w:p w:rsidR="00941499" w:rsidRPr="00A935AA" w:rsidRDefault="00941499" w:rsidP="001233FB">
            <w:pPr>
              <w:tabs>
                <w:tab w:val="left" w:pos="-1440"/>
                <w:tab w:val="left" w:pos="-720"/>
              </w:tabs>
              <w:rPr>
                <w:sz w:val="20"/>
                <w:szCs w:val="20"/>
              </w:rPr>
            </w:pPr>
            <w:r w:rsidRPr="00A935AA">
              <w:rPr>
                <w:sz w:val="20"/>
                <w:szCs w:val="20"/>
              </w:rPr>
              <w:tab/>
            </w:r>
            <w:r w:rsidR="001233FB">
              <w:rPr>
                <w:sz w:val="20"/>
                <w:szCs w:val="20"/>
              </w:rPr>
              <w:t>Public Prosecution Service of Canada</w:t>
            </w:r>
          </w:p>
          <w:p w:rsidR="00941499" w:rsidRPr="00A935AA" w:rsidRDefault="00941499" w:rsidP="001233FB">
            <w:pPr>
              <w:tabs>
                <w:tab w:val="left" w:pos="-1440"/>
                <w:tab w:val="left" w:pos="-720"/>
              </w:tabs>
              <w:rPr>
                <w:sz w:val="20"/>
                <w:szCs w:val="20"/>
              </w:rPr>
            </w:pPr>
          </w:p>
          <w:p w:rsidR="00941499" w:rsidRPr="00A935AA" w:rsidRDefault="00941499" w:rsidP="001233FB">
            <w:pPr>
              <w:rPr>
                <w:sz w:val="20"/>
                <w:szCs w:val="20"/>
              </w:rPr>
            </w:pPr>
            <w:r w:rsidRPr="00A935AA">
              <w:rPr>
                <w:sz w:val="20"/>
                <w:szCs w:val="20"/>
              </w:rPr>
              <w:t xml:space="preserve">FILING DATE: </w:t>
            </w:r>
            <w:r>
              <w:rPr>
                <w:sz w:val="20"/>
                <w:szCs w:val="20"/>
              </w:rPr>
              <w:t>1</w:t>
            </w:r>
            <w:r w:rsidR="001233FB">
              <w:rPr>
                <w:sz w:val="20"/>
                <w:szCs w:val="20"/>
              </w:rPr>
              <w:t>1</w:t>
            </w:r>
            <w:r w:rsidRPr="00A935AA">
              <w:rPr>
                <w:sz w:val="20"/>
                <w:szCs w:val="20"/>
              </w:rPr>
              <w:t>.0</w:t>
            </w:r>
            <w:r>
              <w:rPr>
                <w:sz w:val="20"/>
                <w:szCs w:val="20"/>
              </w:rPr>
              <w:t>2</w:t>
            </w:r>
            <w:r w:rsidRPr="00A935AA">
              <w:rPr>
                <w:sz w:val="20"/>
                <w:szCs w:val="20"/>
              </w:rPr>
              <w:t>.201</w:t>
            </w:r>
            <w:r>
              <w:rPr>
                <w:sz w:val="20"/>
                <w:szCs w:val="20"/>
              </w:rPr>
              <w:t>3</w:t>
            </w:r>
          </w:p>
          <w:p w:rsidR="00941499" w:rsidRPr="00A935AA" w:rsidRDefault="00CB0178" w:rsidP="001233FB">
            <w:pPr>
              <w:rPr>
                <w:sz w:val="20"/>
                <w:szCs w:val="20"/>
              </w:rPr>
            </w:pPr>
            <w:r w:rsidRPr="00CB0178">
              <w:rPr>
                <w:sz w:val="20"/>
                <w:szCs w:val="20"/>
                <w:lang w:val="fr-CA"/>
              </w:rPr>
              <w:pict>
                <v:rect id="_x0000_i1027" style="width:108pt;height:1pt" o:hrpct="0" o:hralign="center" o:hrstd="t" o:hrnoshade="t" o:hr="t" fillcolor="black [3213]" stroked="f"/>
              </w:pict>
            </w:r>
          </w:p>
        </w:tc>
        <w:tc>
          <w:tcPr>
            <w:tcW w:w="1181" w:type="dxa"/>
            <w:shd w:val="clear" w:color="auto" w:fill="auto"/>
          </w:tcPr>
          <w:p w:rsidR="00941499" w:rsidRPr="00A935AA" w:rsidRDefault="00941499" w:rsidP="00242AEE">
            <w:pPr>
              <w:jc w:val="center"/>
              <w:rPr>
                <w:sz w:val="20"/>
                <w:szCs w:val="20"/>
              </w:rPr>
            </w:pPr>
          </w:p>
          <w:p w:rsidR="00941499" w:rsidRPr="00A935AA" w:rsidRDefault="00941499" w:rsidP="00242AEE">
            <w:pPr>
              <w:jc w:val="center"/>
              <w:rPr>
                <w:sz w:val="20"/>
                <w:szCs w:val="20"/>
              </w:rPr>
            </w:pPr>
          </w:p>
          <w:p w:rsidR="00941499" w:rsidRPr="00A935AA" w:rsidRDefault="00941499" w:rsidP="00242AEE">
            <w:pPr>
              <w:jc w:val="center"/>
              <w:rPr>
                <w:sz w:val="20"/>
                <w:szCs w:val="20"/>
              </w:rPr>
            </w:pPr>
          </w:p>
          <w:p w:rsidR="00941499" w:rsidRPr="00A935AA" w:rsidRDefault="00941499" w:rsidP="00242AEE">
            <w:pPr>
              <w:jc w:val="center"/>
              <w:rPr>
                <w:sz w:val="20"/>
                <w:szCs w:val="20"/>
              </w:rPr>
            </w:pPr>
          </w:p>
          <w:p w:rsidR="00941499" w:rsidRPr="00A935AA" w:rsidRDefault="00941499" w:rsidP="00242AEE">
            <w:pPr>
              <w:jc w:val="center"/>
              <w:rPr>
                <w:sz w:val="20"/>
                <w:szCs w:val="20"/>
              </w:rPr>
            </w:pPr>
          </w:p>
          <w:p w:rsidR="00941499" w:rsidRPr="00A935AA" w:rsidRDefault="00941499" w:rsidP="00242AEE">
            <w:pPr>
              <w:jc w:val="center"/>
              <w:rPr>
                <w:sz w:val="20"/>
                <w:szCs w:val="20"/>
              </w:rPr>
            </w:pPr>
          </w:p>
          <w:p w:rsidR="00941499" w:rsidRPr="00A935AA" w:rsidRDefault="00941499" w:rsidP="00242AEE">
            <w:pPr>
              <w:jc w:val="center"/>
              <w:rPr>
                <w:sz w:val="20"/>
                <w:szCs w:val="20"/>
              </w:rPr>
            </w:pPr>
          </w:p>
          <w:p w:rsidR="00941499" w:rsidRPr="00A935AA" w:rsidRDefault="00941499" w:rsidP="00242AEE">
            <w:pPr>
              <w:jc w:val="center"/>
              <w:rPr>
                <w:sz w:val="20"/>
                <w:szCs w:val="20"/>
              </w:rPr>
            </w:pPr>
          </w:p>
          <w:p w:rsidR="00941499" w:rsidRPr="00A935AA" w:rsidRDefault="00941499" w:rsidP="00242AEE">
            <w:pPr>
              <w:jc w:val="center"/>
              <w:rPr>
                <w:sz w:val="20"/>
                <w:szCs w:val="20"/>
              </w:rPr>
            </w:pPr>
          </w:p>
          <w:p w:rsidR="00941499" w:rsidRPr="00A935AA" w:rsidRDefault="00941499" w:rsidP="00242AEE">
            <w:pPr>
              <w:jc w:val="center"/>
              <w:rPr>
                <w:sz w:val="20"/>
                <w:szCs w:val="20"/>
              </w:rPr>
            </w:pPr>
          </w:p>
          <w:p w:rsidR="00941499" w:rsidRPr="00A935AA" w:rsidRDefault="00941499" w:rsidP="00242AEE">
            <w:pPr>
              <w:jc w:val="center"/>
              <w:rPr>
                <w:sz w:val="20"/>
                <w:szCs w:val="20"/>
              </w:rPr>
            </w:pPr>
          </w:p>
          <w:p w:rsidR="00941499" w:rsidRPr="00A935AA" w:rsidRDefault="00941499" w:rsidP="00242AEE">
            <w:pPr>
              <w:jc w:val="center"/>
              <w:rPr>
                <w:sz w:val="20"/>
                <w:szCs w:val="20"/>
              </w:rPr>
            </w:pPr>
          </w:p>
        </w:tc>
        <w:tc>
          <w:tcPr>
            <w:tcW w:w="4320" w:type="dxa"/>
            <w:shd w:val="clear" w:color="auto" w:fill="auto"/>
          </w:tcPr>
          <w:p w:rsidR="00941499" w:rsidRDefault="00941499" w:rsidP="001233FB">
            <w:pPr>
              <w:keepNext/>
              <w:keepLines/>
              <w:tabs>
                <w:tab w:val="left" w:pos="-1440"/>
                <w:tab w:val="left" w:pos="-720"/>
              </w:tabs>
              <w:rPr>
                <w:b/>
                <w:sz w:val="20"/>
                <w:szCs w:val="20"/>
              </w:rPr>
            </w:pPr>
          </w:p>
          <w:p w:rsidR="001233FB" w:rsidRPr="00A935AA" w:rsidRDefault="001233FB" w:rsidP="001233FB">
            <w:pPr>
              <w:keepNext/>
              <w:keepLines/>
              <w:tabs>
                <w:tab w:val="left" w:pos="-1440"/>
                <w:tab w:val="left" w:pos="-720"/>
              </w:tabs>
              <w:rPr>
                <w:b/>
                <w:sz w:val="20"/>
                <w:szCs w:val="20"/>
              </w:rPr>
            </w:pPr>
            <w:r>
              <w:rPr>
                <w:b/>
                <w:sz w:val="20"/>
                <w:szCs w:val="20"/>
              </w:rPr>
              <w:t>Luis Alberto Hernandez Febles</w:t>
            </w:r>
          </w:p>
          <w:p w:rsidR="00941499" w:rsidRPr="00A935AA" w:rsidRDefault="00941499" w:rsidP="001233FB">
            <w:pPr>
              <w:keepNext/>
              <w:keepLines/>
              <w:tabs>
                <w:tab w:val="left" w:pos="-1440"/>
                <w:tab w:val="left" w:pos="-720"/>
              </w:tabs>
              <w:rPr>
                <w:sz w:val="20"/>
                <w:szCs w:val="20"/>
              </w:rPr>
            </w:pPr>
            <w:r w:rsidRPr="00A935AA">
              <w:rPr>
                <w:sz w:val="20"/>
                <w:szCs w:val="20"/>
              </w:rPr>
              <w:tab/>
            </w:r>
            <w:r w:rsidR="001233FB">
              <w:rPr>
                <w:sz w:val="20"/>
                <w:szCs w:val="20"/>
              </w:rPr>
              <w:t>Jared Will</w:t>
            </w:r>
          </w:p>
          <w:p w:rsidR="00941499" w:rsidRPr="00A935AA" w:rsidRDefault="00941499" w:rsidP="001233FB">
            <w:pPr>
              <w:keepNext/>
              <w:keepLines/>
              <w:tabs>
                <w:tab w:val="left" w:pos="-1440"/>
                <w:tab w:val="left" w:pos="-720"/>
              </w:tabs>
              <w:rPr>
                <w:sz w:val="20"/>
                <w:szCs w:val="20"/>
              </w:rPr>
            </w:pPr>
          </w:p>
          <w:p w:rsidR="00941499" w:rsidRPr="001233FB" w:rsidRDefault="00941499" w:rsidP="001233FB">
            <w:pPr>
              <w:keepNext/>
              <w:keepLines/>
              <w:tabs>
                <w:tab w:val="left" w:pos="-1440"/>
                <w:tab w:val="left" w:pos="-720"/>
              </w:tabs>
              <w:rPr>
                <w:sz w:val="20"/>
                <w:szCs w:val="20"/>
              </w:rPr>
            </w:pPr>
            <w:r w:rsidRPr="00A935AA">
              <w:rPr>
                <w:sz w:val="20"/>
                <w:szCs w:val="20"/>
              </w:rPr>
              <w:tab/>
            </w:r>
            <w:r w:rsidRPr="001233FB">
              <w:rPr>
                <w:sz w:val="20"/>
                <w:szCs w:val="20"/>
              </w:rPr>
              <w:t>v. (35</w:t>
            </w:r>
            <w:r w:rsidR="001233FB">
              <w:rPr>
                <w:sz w:val="20"/>
                <w:szCs w:val="20"/>
              </w:rPr>
              <w:t>215</w:t>
            </w:r>
            <w:r w:rsidRPr="001233FB">
              <w:rPr>
                <w:sz w:val="20"/>
                <w:szCs w:val="20"/>
              </w:rPr>
              <w:t>)</w:t>
            </w:r>
          </w:p>
          <w:p w:rsidR="00941499" w:rsidRPr="001233FB" w:rsidRDefault="00941499" w:rsidP="001233FB">
            <w:pPr>
              <w:keepNext/>
              <w:keepLines/>
              <w:tabs>
                <w:tab w:val="left" w:pos="-1440"/>
                <w:tab w:val="left" w:pos="-720"/>
              </w:tabs>
              <w:rPr>
                <w:sz w:val="20"/>
                <w:szCs w:val="20"/>
              </w:rPr>
            </w:pPr>
          </w:p>
          <w:p w:rsidR="00941499" w:rsidRPr="001233FB" w:rsidRDefault="001233FB" w:rsidP="001233FB">
            <w:pPr>
              <w:keepNext/>
              <w:keepLines/>
              <w:tabs>
                <w:tab w:val="left" w:pos="-1440"/>
                <w:tab w:val="left" w:pos="-720"/>
              </w:tabs>
              <w:rPr>
                <w:b/>
                <w:sz w:val="20"/>
                <w:szCs w:val="20"/>
              </w:rPr>
            </w:pPr>
            <w:r>
              <w:rPr>
                <w:b/>
                <w:sz w:val="20"/>
                <w:szCs w:val="20"/>
              </w:rPr>
              <w:t xml:space="preserve">Minister of Citizenship and Immigration </w:t>
            </w:r>
            <w:r w:rsidR="00941499" w:rsidRPr="001233FB">
              <w:rPr>
                <w:b/>
                <w:sz w:val="20"/>
                <w:szCs w:val="20"/>
              </w:rPr>
              <w:t>(</w:t>
            </w:r>
            <w:r>
              <w:rPr>
                <w:b/>
                <w:sz w:val="20"/>
                <w:szCs w:val="20"/>
              </w:rPr>
              <w:t>F</w:t>
            </w:r>
            <w:r w:rsidR="00941499" w:rsidRPr="001233FB">
              <w:rPr>
                <w:b/>
                <w:sz w:val="20"/>
                <w:szCs w:val="20"/>
              </w:rPr>
              <w:t>.</w:t>
            </w:r>
            <w:r>
              <w:rPr>
                <w:b/>
                <w:sz w:val="20"/>
                <w:szCs w:val="20"/>
              </w:rPr>
              <w:t>C.</w:t>
            </w:r>
            <w:r w:rsidR="00941499" w:rsidRPr="001233FB">
              <w:rPr>
                <w:b/>
                <w:sz w:val="20"/>
                <w:szCs w:val="20"/>
              </w:rPr>
              <w:t>)</w:t>
            </w:r>
          </w:p>
          <w:p w:rsidR="00941499" w:rsidRPr="001233FB" w:rsidRDefault="00941499" w:rsidP="001233FB">
            <w:pPr>
              <w:keepNext/>
              <w:keepLines/>
              <w:tabs>
                <w:tab w:val="left" w:pos="-1440"/>
                <w:tab w:val="left" w:pos="-720"/>
              </w:tabs>
              <w:rPr>
                <w:sz w:val="20"/>
                <w:szCs w:val="20"/>
              </w:rPr>
            </w:pPr>
            <w:r w:rsidRPr="001233FB">
              <w:rPr>
                <w:sz w:val="20"/>
                <w:szCs w:val="20"/>
              </w:rPr>
              <w:tab/>
            </w:r>
            <w:r w:rsidR="001233FB">
              <w:rPr>
                <w:sz w:val="20"/>
                <w:szCs w:val="20"/>
              </w:rPr>
              <w:t>Peter Shams</w:t>
            </w:r>
          </w:p>
          <w:p w:rsidR="00941499" w:rsidRPr="001233FB" w:rsidRDefault="00941499" w:rsidP="001233FB">
            <w:pPr>
              <w:keepNext/>
              <w:keepLines/>
              <w:tabs>
                <w:tab w:val="left" w:pos="-1440"/>
                <w:tab w:val="left" w:pos="-720"/>
              </w:tabs>
              <w:rPr>
                <w:sz w:val="20"/>
                <w:szCs w:val="20"/>
              </w:rPr>
            </w:pPr>
          </w:p>
          <w:p w:rsidR="00941499" w:rsidRPr="00A935AA" w:rsidRDefault="00941499" w:rsidP="001233FB">
            <w:pPr>
              <w:rPr>
                <w:sz w:val="20"/>
                <w:szCs w:val="20"/>
              </w:rPr>
            </w:pPr>
            <w:r w:rsidRPr="00A935AA">
              <w:rPr>
                <w:sz w:val="20"/>
                <w:szCs w:val="20"/>
              </w:rPr>
              <w:t xml:space="preserve">FILING DATE: </w:t>
            </w:r>
            <w:r w:rsidR="001233FB">
              <w:rPr>
                <w:sz w:val="20"/>
                <w:szCs w:val="20"/>
              </w:rPr>
              <w:t>05</w:t>
            </w:r>
            <w:r w:rsidRPr="00A935AA">
              <w:rPr>
                <w:sz w:val="20"/>
                <w:szCs w:val="20"/>
              </w:rPr>
              <w:t>.0</w:t>
            </w:r>
            <w:r>
              <w:rPr>
                <w:sz w:val="20"/>
                <w:szCs w:val="20"/>
              </w:rPr>
              <w:t>2</w:t>
            </w:r>
            <w:r w:rsidRPr="00A935AA">
              <w:rPr>
                <w:sz w:val="20"/>
                <w:szCs w:val="20"/>
              </w:rPr>
              <w:t>.201</w:t>
            </w:r>
            <w:r>
              <w:rPr>
                <w:sz w:val="20"/>
                <w:szCs w:val="20"/>
              </w:rPr>
              <w:t>3</w:t>
            </w:r>
            <w:r w:rsidR="00CB0178" w:rsidRPr="00CB0178">
              <w:rPr>
                <w:sz w:val="20"/>
                <w:szCs w:val="20"/>
                <w:lang w:val="fr-CA"/>
              </w:rPr>
              <w:pict>
                <v:rect id="_x0000_i1028" style="width:108pt;height:1pt" o:hrpct="0" o:hralign="center" o:hrstd="t" o:hrnoshade="t" o:hr="t" fillcolor="black [3213]" stroked="f"/>
              </w:pict>
            </w:r>
          </w:p>
        </w:tc>
      </w:tr>
      <w:tr w:rsidR="00941499" w:rsidRPr="00A935AA" w:rsidTr="003B3977">
        <w:tc>
          <w:tcPr>
            <w:tcW w:w="4320" w:type="dxa"/>
            <w:shd w:val="clear" w:color="auto" w:fill="auto"/>
          </w:tcPr>
          <w:p w:rsidR="00941499" w:rsidRDefault="00941499" w:rsidP="001233FB">
            <w:pPr>
              <w:rPr>
                <w:b/>
                <w:sz w:val="20"/>
                <w:szCs w:val="20"/>
              </w:rPr>
            </w:pPr>
          </w:p>
          <w:p w:rsidR="001233FB" w:rsidRPr="00A935AA" w:rsidRDefault="001233FB" w:rsidP="001233FB">
            <w:pPr>
              <w:rPr>
                <w:b/>
                <w:sz w:val="20"/>
                <w:szCs w:val="20"/>
              </w:rPr>
            </w:pPr>
            <w:r>
              <w:rPr>
                <w:b/>
                <w:sz w:val="20"/>
                <w:szCs w:val="20"/>
              </w:rPr>
              <w:t>Renada Lee Keshane</w:t>
            </w:r>
          </w:p>
          <w:p w:rsidR="00941499" w:rsidRPr="00A935AA" w:rsidRDefault="00941499" w:rsidP="001233FB">
            <w:pPr>
              <w:tabs>
                <w:tab w:val="left" w:pos="-1440"/>
                <w:tab w:val="left" w:pos="-720"/>
              </w:tabs>
              <w:rPr>
                <w:sz w:val="20"/>
                <w:szCs w:val="20"/>
              </w:rPr>
            </w:pPr>
            <w:r w:rsidRPr="00A935AA">
              <w:rPr>
                <w:sz w:val="20"/>
                <w:szCs w:val="20"/>
              </w:rPr>
              <w:tab/>
            </w:r>
            <w:r w:rsidR="001233FB">
              <w:rPr>
                <w:sz w:val="20"/>
                <w:szCs w:val="20"/>
              </w:rPr>
              <w:t>Dane F. Bullerwell</w:t>
            </w:r>
          </w:p>
          <w:p w:rsidR="00941499" w:rsidRPr="00A935AA" w:rsidRDefault="00941499" w:rsidP="001233FB">
            <w:pPr>
              <w:tabs>
                <w:tab w:val="left" w:pos="-1440"/>
                <w:tab w:val="left" w:pos="-720"/>
              </w:tabs>
              <w:rPr>
                <w:sz w:val="20"/>
                <w:szCs w:val="20"/>
              </w:rPr>
            </w:pPr>
            <w:r w:rsidRPr="00A935AA">
              <w:rPr>
                <w:sz w:val="20"/>
                <w:szCs w:val="20"/>
              </w:rPr>
              <w:tab/>
            </w:r>
            <w:r w:rsidR="00AD4A27">
              <w:rPr>
                <w:sz w:val="20"/>
                <w:szCs w:val="20"/>
              </w:rPr>
              <w:t>Pringle, Chivers, Sparks</w:t>
            </w:r>
          </w:p>
          <w:p w:rsidR="00941499" w:rsidRPr="00A935AA" w:rsidRDefault="00941499" w:rsidP="001233FB">
            <w:pPr>
              <w:tabs>
                <w:tab w:val="left" w:pos="-1440"/>
                <w:tab w:val="left" w:pos="-720"/>
              </w:tabs>
              <w:rPr>
                <w:sz w:val="20"/>
                <w:szCs w:val="20"/>
              </w:rPr>
            </w:pPr>
          </w:p>
          <w:p w:rsidR="00941499" w:rsidRPr="00A935AA" w:rsidRDefault="00941499" w:rsidP="001233FB">
            <w:pPr>
              <w:tabs>
                <w:tab w:val="left" w:pos="-1440"/>
                <w:tab w:val="left" w:pos="-720"/>
              </w:tabs>
              <w:rPr>
                <w:sz w:val="20"/>
                <w:szCs w:val="20"/>
              </w:rPr>
            </w:pPr>
            <w:r w:rsidRPr="00A935AA">
              <w:rPr>
                <w:sz w:val="20"/>
                <w:szCs w:val="20"/>
              </w:rPr>
              <w:tab/>
              <w:t>v. (3</w:t>
            </w:r>
            <w:r>
              <w:rPr>
                <w:sz w:val="20"/>
                <w:szCs w:val="20"/>
              </w:rPr>
              <w:t>5</w:t>
            </w:r>
            <w:r w:rsidR="00AD4A27">
              <w:rPr>
                <w:sz w:val="20"/>
                <w:szCs w:val="20"/>
              </w:rPr>
              <w:t>227</w:t>
            </w:r>
            <w:r w:rsidRPr="00A935AA">
              <w:rPr>
                <w:sz w:val="20"/>
                <w:szCs w:val="20"/>
              </w:rPr>
              <w:t>)</w:t>
            </w:r>
          </w:p>
          <w:p w:rsidR="00941499" w:rsidRPr="00A935AA" w:rsidRDefault="00941499" w:rsidP="001233FB">
            <w:pPr>
              <w:tabs>
                <w:tab w:val="left" w:pos="-1440"/>
                <w:tab w:val="left" w:pos="-720"/>
              </w:tabs>
              <w:rPr>
                <w:sz w:val="20"/>
                <w:szCs w:val="20"/>
              </w:rPr>
            </w:pPr>
          </w:p>
          <w:p w:rsidR="00941499" w:rsidRPr="00A935AA" w:rsidRDefault="00AD4A27" w:rsidP="001233FB">
            <w:pPr>
              <w:tabs>
                <w:tab w:val="left" w:pos="-1440"/>
                <w:tab w:val="left" w:pos="-720"/>
              </w:tabs>
              <w:rPr>
                <w:b/>
                <w:sz w:val="20"/>
                <w:szCs w:val="20"/>
              </w:rPr>
            </w:pPr>
            <w:r>
              <w:rPr>
                <w:b/>
                <w:sz w:val="20"/>
                <w:szCs w:val="20"/>
              </w:rPr>
              <w:t xml:space="preserve">Her Majesty the Queen </w:t>
            </w:r>
            <w:r w:rsidR="00941499" w:rsidRPr="00A935AA">
              <w:rPr>
                <w:b/>
                <w:sz w:val="20"/>
                <w:szCs w:val="20"/>
              </w:rPr>
              <w:t>(</w:t>
            </w:r>
            <w:r>
              <w:rPr>
                <w:b/>
                <w:sz w:val="20"/>
                <w:szCs w:val="20"/>
              </w:rPr>
              <w:t>Alta</w:t>
            </w:r>
            <w:r w:rsidR="00941499" w:rsidRPr="00A935AA">
              <w:rPr>
                <w:b/>
                <w:sz w:val="20"/>
                <w:szCs w:val="20"/>
              </w:rPr>
              <w:t>.)</w:t>
            </w:r>
          </w:p>
          <w:p w:rsidR="00941499" w:rsidRPr="00A935AA" w:rsidRDefault="00941499" w:rsidP="001233FB">
            <w:pPr>
              <w:tabs>
                <w:tab w:val="left" w:pos="-1440"/>
                <w:tab w:val="left" w:pos="-720"/>
              </w:tabs>
              <w:rPr>
                <w:sz w:val="20"/>
                <w:szCs w:val="20"/>
              </w:rPr>
            </w:pPr>
            <w:r w:rsidRPr="00A935AA">
              <w:rPr>
                <w:sz w:val="20"/>
                <w:szCs w:val="20"/>
              </w:rPr>
              <w:tab/>
            </w:r>
            <w:r w:rsidR="00AD4A27">
              <w:rPr>
                <w:sz w:val="20"/>
                <w:szCs w:val="20"/>
              </w:rPr>
              <w:t>Michael D. Teeling</w:t>
            </w:r>
          </w:p>
          <w:p w:rsidR="00941499" w:rsidRPr="00A935AA" w:rsidRDefault="00941499" w:rsidP="001233FB">
            <w:pPr>
              <w:tabs>
                <w:tab w:val="left" w:pos="-1440"/>
                <w:tab w:val="left" w:pos="-720"/>
              </w:tabs>
              <w:rPr>
                <w:sz w:val="20"/>
                <w:szCs w:val="20"/>
              </w:rPr>
            </w:pPr>
            <w:r w:rsidRPr="00A935AA">
              <w:rPr>
                <w:sz w:val="20"/>
                <w:szCs w:val="20"/>
              </w:rPr>
              <w:tab/>
            </w:r>
            <w:r w:rsidR="00AD4A27">
              <w:rPr>
                <w:sz w:val="20"/>
                <w:szCs w:val="20"/>
              </w:rPr>
              <w:t>City of Edmonton</w:t>
            </w:r>
          </w:p>
          <w:p w:rsidR="00941499" w:rsidRPr="00A935AA" w:rsidRDefault="00941499" w:rsidP="001233FB">
            <w:pPr>
              <w:tabs>
                <w:tab w:val="left" w:pos="-1440"/>
                <w:tab w:val="left" w:pos="-720"/>
              </w:tabs>
              <w:rPr>
                <w:sz w:val="20"/>
                <w:szCs w:val="20"/>
              </w:rPr>
            </w:pPr>
          </w:p>
          <w:p w:rsidR="00941499" w:rsidRPr="00A935AA" w:rsidRDefault="00941499" w:rsidP="001233FB">
            <w:pPr>
              <w:rPr>
                <w:sz w:val="20"/>
                <w:szCs w:val="20"/>
              </w:rPr>
            </w:pPr>
            <w:r w:rsidRPr="00A935AA">
              <w:rPr>
                <w:sz w:val="20"/>
                <w:szCs w:val="20"/>
              </w:rPr>
              <w:t xml:space="preserve">FILING DATE: </w:t>
            </w:r>
            <w:r>
              <w:rPr>
                <w:sz w:val="20"/>
                <w:szCs w:val="20"/>
              </w:rPr>
              <w:t>1</w:t>
            </w:r>
            <w:r w:rsidR="00AD4A27">
              <w:rPr>
                <w:sz w:val="20"/>
                <w:szCs w:val="20"/>
              </w:rPr>
              <w:t>5</w:t>
            </w:r>
            <w:r w:rsidRPr="00A935AA">
              <w:rPr>
                <w:sz w:val="20"/>
                <w:szCs w:val="20"/>
              </w:rPr>
              <w:t>.0</w:t>
            </w:r>
            <w:r>
              <w:rPr>
                <w:sz w:val="20"/>
                <w:szCs w:val="20"/>
              </w:rPr>
              <w:t>2</w:t>
            </w:r>
            <w:r w:rsidRPr="00A935AA">
              <w:rPr>
                <w:sz w:val="20"/>
                <w:szCs w:val="20"/>
              </w:rPr>
              <w:t>.201</w:t>
            </w:r>
            <w:r>
              <w:rPr>
                <w:sz w:val="20"/>
                <w:szCs w:val="20"/>
              </w:rPr>
              <w:t>3</w:t>
            </w:r>
          </w:p>
          <w:p w:rsidR="00941499" w:rsidRPr="00A935AA" w:rsidRDefault="00CB0178" w:rsidP="001233FB">
            <w:pPr>
              <w:rPr>
                <w:sz w:val="20"/>
                <w:szCs w:val="20"/>
              </w:rPr>
            </w:pPr>
            <w:r w:rsidRPr="00CB0178">
              <w:rPr>
                <w:sz w:val="20"/>
                <w:szCs w:val="20"/>
                <w:lang w:val="fr-CA"/>
              </w:rPr>
              <w:pict>
                <v:rect id="_x0000_i1029" style="width:108pt;height:1pt" o:hrpct="0" o:hralign="center" o:hrstd="t" o:hrnoshade="t" o:hr="t" fillcolor="black [3213]" stroked="f"/>
              </w:pict>
            </w:r>
          </w:p>
        </w:tc>
        <w:tc>
          <w:tcPr>
            <w:tcW w:w="1181" w:type="dxa"/>
            <w:shd w:val="clear" w:color="auto" w:fill="auto"/>
          </w:tcPr>
          <w:p w:rsidR="00941499" w:rsidRPr="00A935AA" w:rsidRDefault="00941499" w:rsidP="00242AEE">
            <w:pPr>
              <w:jc w:val="center"/>
              <w:rPr>
                <w:sz w:val="20"/>
                <w:szCs w:val="20"/>
              </w:rPr>
            </w:pPr>
          </w:p>
          <w:p w:rsidR="00941499" w:rsidRPr="00A935AA" w:rsidRDefault="00941499" w:rsidP="00242AEE">
            <w:pPr>
              <w:jc w:val="center"/>
              <w:rPr>
                <w:sz w:val="20"/>
                <w:szCs w:val="20"/>
              </w:rPr>
            </w:pPr>
          </w:p>
          <w:p w:rsidR="00941499" w:rsidRPr="00A935AA" w:rsidRDefault="00941499" w:rsidP="00242AEE">
            <w:pPr>
              <w:jc w:val="center"/>
              <w:rPr>
                <w:sz w:val="20"/>
                <w:szCs w:val="20"/>
              </w:rPr>
            </w:pPr>
          </w:p>
          <w:p w:rsidR="00941499" w:rsidRPr="00A935AA" w:rsidRDefault="00941499" w:rsidP="00242AEE">
            <w:pPr>
              <w:jc w:val="center"/>
              <w:rPr>
                <w:sz w:val="20"/>
                <w:szCs w:val="20"/>
              </w:rPr>
            </w:pPr>
          </w:p>
          <w:p w:rsidR="00941499" w:rsidRPr="00A935AA" w:rsidRDefault="00941499" w:rsidP="00242AEE">
            <w:pPr>
              <w:jc w:val="center"/>
              <w:rPr>
                <w:sz w:val="20"/>
                <w:szCs w:val="20"/>
              </w:rPr>
            </w:pPr>
          </w:p>
          <w:p w:rsidR="00941499" w:rsidRPr="00A935AA" w:rsidRDefault="00941499" w:rsidP="00242AEE">
            <w:pPr>
              <w:jc w:val="center"/>
              <w:rPr>
                <w:sz w:val="20"/>
                <w:szCs w:val="20"/>
              </w:rPr>
            </w:pPr>
          </w:p>
          <w:p w:rsidR="00941499" w:rsidRPr="00A935AA" w:rsidRDefault="00941499" w:rsidP="00242AEE">
            <w:pPr>
              <w:jc w:val="center"/>
              <w:rPr>
                <w:sz w:val="20"/>
                <w:szCs w:val="20"/>
              </w:rPr>
            </w:pPr>
          </w:p>
          <w:p w:rsidR="00941499" w:rsidRPr="00A935AA" w:rsidRDefault="00941499" w:rsidP="00242AEE">
            <w:pPr>
              <w:jc w:val="center"/>
              <w:rPr>
                <w:sz w:val="20"/>
                <w:szCs w:val="20"/>
              </w:rPr>
            </w:pPr>
          </w:p>
          <w:p w:rsidR="00941499" w:rsidRPr="00A935AA" w:rsidRDefault="00941499" w:rsidP="00242AEE">
            <w:pPr>
              <w:jc w:val="center"/>
              <w:rPr>
                <w:sz w:val="20"/>
                <w:szCs w:val="20"/>
              </w:rPr>
            </w:pPr>
          </w:p>
          <w:p w:rsidR="00941499" w:rsidRPr="00A935AA" w:rsidRDefault="00941499" w:rsidP="00242AEE">
            <w:pPr>
              <w:jc w:val="center"/>
              <w:rPr>
                <w:sz w:val="20"/>
                <w:szCs w:val="20"/>
              </w:rPr>
            </w:pPr>
          </w:p>
          <w:p w:rsidR="00941499" w:rsidRDefault="00941499" w:rsidP="00242AEE">
            <w:pPr>
              <w:jc w:val="center"/>
              <w:rPr>
                <w:sz w:val="20"/>
                <w:szCs w:val="20"/>
              </w:rPr>
            </w:pPr>
          </w:p>
          <w:p w:rsidR="00941499" w:rsidRDefault="00941499" w:rsidP="00242AEE">
            <w:pPr>
              <w:jc w:val="center"/>
              <w:rPr>
                <w:sz w:val="20"/>
                <w:szCs w:val="20"/>
              </w:rPr>
            </w:pPr>
          </w:p>
          <w:p w:rsidR="00434E09" w:rsidRDefault="00434E09" w:rsidP="00242AEE">
            <w:pPr>
              <w:jc w:val="center"/>
              <w:rPr>
                <w:sz w:val="20"/>
                <w:szCs w:val="20"/>
              </w:rPr>
            </w:pPr>
          </w:p>
          <w:p w:rsidR="00941499" w:rsidRPr="00A935AA" w:rsidRDefault="00941499" w:rsidP="00242AEE">
            <w:pPr>
              <w:jc w:val="center"/>
              <w:rPr>
                <w:sz w:val="20"/>
                <w:szCs w:val="20"/>
              </w:rPr>
            </w:pPr>
          </w:p>
        </w:tc>
        <w:tc>
          <w:tcPr>
            <w:tcW w:w="4320" w:type="dxa"/>
            <w:shd w:val="clear" w:color="auto" w:fill="auto"/>
          </w:tcPr>
          <w:p w:rsidR="00941499" w:rsidRPr="00A935AA" w:rsidRDefault="00AD4A27" w:rsidP="001233FB">
            <w:pPr>
              <w:keepNext/>
              <w:keepLines/>
              <w:tabs>
                <w:tab w:val="left" w:pos="-1440"/>
                <w:tab w:val="left" w:pos="-720"/>
              </w:tabs>
              <w:rPr>
                <w:b/>
                <w:sz w:val="20"/>
                <w:szCs w:val="20"/>
              </w:rPr>
            </w:pPr>
            <w:r>
              <w:rPr>
                <w:b/>
                <w:sz w:val="20"/>
                <w:szCs w:val="20"/>
              </w:rPr>
              <w:t>Barry Boyne</w:t>
            </w:r>
          </w:p>
          <w:p w:rsidR="00941499" w:rsidRPr="00A935AA" w:rsidRDefault="00941499" w:rsidP="001233FB">
            <w:pPr>
              <w:keepNext/>
              <w:keepLines/>
              <w:tabs>
                <w:tab w:val="left" w:pos="-1440"/>
                <w:tab w:val="left" w:pos="-720"/>
              </w:tabs>
              <w:rPr>
                <w:sz w:val="20"/>
                <w:szCs w:val="20"/>
              </w:rPr>
            </w:pPr>
            <w:r w:rsidRPr="00A935AA">
              <w:rPr>
                <w:sz w:val="20"/>
                <w:szCs w:val="20"/>
              </w:rPr>
              <w:tab/>
            </w:r>
            <w:r w:rsidR="00AD4A27">
              <w:rPr>
                <w:sz w:val="20"/>
                <w:szCs w:val="20"/>
              </w:rPr>
              <w:t>Michael W. Owens</w:t>
            </w:r>
          </w:p>
          <w:p w:rsidR="00941499" w:rsidRPr="00A935AA" w:rsidRDefault="00941499" w:rsidP="001233FB">
            <w:pPr>
              <w:keepNext/>
              <w:keepLines/>
              <w:tabs>
                <w:tab w:val="left" w:pos="-1440"/>
                <w:tab w:val="left" w:pos="-720"/>
              </w:tabs>
              <w:rPr>
                <w:sz w:val="20"/>
                <w:szCs w:val="20"/>
              </w:rPr>
            </w:pPr>
            <w:r w:rsidRPr="00A935AA">
              <w:rPr>
                <w:sz w:val="20"/>
                <w:szCs w:val="20"/>
              </w:rPr>
              <w:tab/>
            </w:r>
            <w:r w:rsidR="00AD4A27">
              <w:rPr>
                <w:sz w:val="20"/>
                <w:szCs w:val="20"/>
              </w:rPr>
              <w:t>Michael W. Owens Legal P.C. Ltd.</w:t>
            </w:r>
          </w:p>
          <w:p w:rsidR="00941499" w:rsidRPr="00A935AA" w:rsidRDefault="00941499" w:rsidP="001233FB">
            <w:pPr>
              <w:keepNext/>
              <w:keepLines/>
              <w:tabs>
                <w:tab w:val="left" w:pos="-1440"/>
                <w:tab w:val="left" w:pos="-720"/>
              </w:tabs>
              <w:rPr>
                <w:sz w:val="20"/>
                <w:szCs w:val="20"/>
              </w:rPr>
            </w:pPr>
          </w:p>
          <w:p w:rsidR="00941499" w:rsidRPr="001233FB" w:rsidRDefault="00941499" w:rsidP="001233FB">
            <w:pPr>
              <w:keepNext/>
              <w:keepLines/>
              <w:tabs>
                <w:tab w:val="left" w:pos="-1440"/>
                <w:tab w:val="left" w:pos="-720"/>
              </w:tabs>
              <w:rPr>
                <w:sz w:val="20"/>
                <w:szCs w:val="20"/>
              </w:rPr>
            </w:pPr>
            <w:r w:rsidRPr="00A935AA">
              <w:rPr>
                <w:sz w:val="20"/>
                <w:szCs w:val="20"/>
              </w:rPr>
              <w:tab/>
            </w:r>
            <w:r w:rsidRPr="001233FB">
              <w:rPr>
                <w:sz w:val="20"/>
                <w:szCs w:val="20"/>
              </w:rPr>
              <w:t>v. (35</w:t>
            </w:r>
            <w:r w:rsidR="00AD4A27">
              <w:rPr>
                <w:sz w:val="20"/>
                <w:szCs w:val="20"/>
              </w:rPr>
              <w:t>228</w:t>
            </w:r>
            <w:r w:rsidRPr="001233FB">
              <w:rPr>
                <w:sz w:val="20"/>
                <w:szCs w:val="20"/>
              </w:rPr>
              <w:t>)</w:t>
            </w:r>
          </w:p>
          <w:p w:rsidR="00941499" w:rsidRPr="001233FB" w:rsidRDefault="00941499" w:rsidP="001233FB">
            <w:pPr>
              <w:keepNext/>
              <w:keepLines/>
              <w:tabs>
                <w:tab w:val="left" w:pos="-1440"/>
                <w:tab w:val="left" w:pos="-720"/>
              </w:tabs>
              <w:rPr>
                <w:sz w:val="20"/>
                <w:szCs w:val="20"/>
              </w:rPr>
            </w:pPr>
          </w:p>
          <w:p w:rsidR="00941499" w:rsidRPr="001233FB" w:rsidRDefault="00AD4A27" w:rsidP="001233FB">
            <w:pPr>
              <w:keepNext/>
              <w:keepLines/>
              <w:tabs>
                <w:tab w:val="left" w:pos="-1440"/>
                <w:tab w:val="left" w:pos="-720"/>
              </w:tabs>
              <w:rPr>
                <w:b/>
                <w:sz w:val="20"/>
                <w:szCs w:val="20"/>
              </w:rPr>
            </w:pPr>
            <w:r>
              <w:rPr>
                <w:b/>
                <w:sz w:val="20"/>
                <w:szCs w:val="20"/>
              </w:rPr>
              <w:t xml:space="preserve">Her Majesty the Queen </w:t>
            </w:r>
            <w:r w:rsidR="00941499" w:rsidRPr="001233FB">
              <w:rPr>
                <w:b/>
                <w:sz w:val="20"/>
                <w:szCs w:val="20"/>
              </w:rPr>
              <w:t>(</w:t>
            </w:r>
            <w:r>
              <w:rPr>
                <w:b/>
                <w:sz w:val="20"/>
                <w:szCs w:val="20"/>
              </w:rPr>
              <w:t>Sask</w:t>
            </w:r>
            <w:r w:rsidR="00941499" w:rsidRPr="001233FB">
              <w:rPr>
                <w:b/>
                <w:sz w:val="20"/>
                <w:szCs w:val="20"/>
              </w:rPr>
              <w:t>.)</w:t>
            </w:r>
          </w:p>
          <w:p w:rsidR="00941499" w:rsidRPr="001233FB" w:rsidRDefault="00941499" w:rsidP="001233FB">
            <w:pPr>
              <w:keepNext/>
              <w:keepLines/>
              <w:tabs>
                <w:tab w:val="left" w:pos="-1440"/>
                <w:tab w:val="left" w:pos="-720"/>
              </w:tabs>
              <w:rPr>
                <w:sz w:val="20"/>
                <w:szCs w:val="20"/>
              </w:rPr>
            </w:pPr>
            <w:r w:rsidRPr="001233FB">
              <w:rPr>
                <w:sz w:val="20"/>
                <w:szCs w:val="20"/>
              </w:rPr>
              <w:tab/>
            </w:r>
            <w:r w:rsidR="00434E09">
              <w:rPr>
                <w:sz w:val="20"/>
                <w:szCs w:val="20"/>
              </w:rPr>
              <w:t>Anthony B. Gerein</w:t>
            </w:r>
          </w:p>
          <w:p w:rsidR="00941499" w:rsidRPr="001233FB" w:rsidRDefault="00941499" w:rsidP="001233FB">
            <w:pPr>
              <w:keepNext/>
              <w:keepLines/>
              <w:tabs>
                <w:tab w:val="left" w:pos="-1440"/>
                <w:tab w:val="left" w:pos="-720"/>
              </w:tabs>
              <w:rPr>
                <w:sz w:val="20"/>
                <w:szCs w:val="20"/>
              </w:rPr>
            </w:pPr>
            <w:r w:rsidRPr="001233FB">
              <w:rPr>
                <w:sz w:val="20"/>
                <w:szCs w:val="20"/>
              </w:rPr>
              <w:tab/>
            </w:r>
            <w:r w:rsidR="00434E09">
              <w:rPr>
                <w:sz w:val="20"/>
                <w:szCs w:val="20"/>
              </w:rPr>
              <w:t>A.G. of Saskatchewan</w:t>
            </w:r>
          </w:p>
          <w:p w:rsidR="00941499" w:rsidRPr="001233FB" w:rsidRDefault="00941499" w:rsidP="001233FB">
            <w:pPr>
              <w:keepNext/>
              <w:keepLines/>
              <w:tabs>
                <w:tab w:val="left" w:pos="-1440"/>
                <w:tab w:val="left" w:pos="-720"/>
              </w:tabs>
              <w:rPr>
                <w:sz w:val="20"/>
                <w:szCs w:val="20"/>
              </w:rPr>
            </w:pPr>
          </w:p>
          <w:p w:rsidR="00941499" w:rsidRPr="00A935AA" w:rsidRDefault="00941499" w:rsidP="001233FB">
            <w:pPr>
              <w:rPr>
                <w:sz w:val="20"/>
                <w:szCs w:val="20"/>
              </w:rPr>
            </w:pPr>
            <w:r w:rsidRPr="00A935AA">
              <w:rPr>
                <w:sz w:val="20"/>
                <w:szCs w:val="20"/>
              </w:rPr>
              <w:t xml:space="preserve">FILING DATE: </w:t>
            </w:r>
            <w:r>
              <w:rPr>
                <w:sz w:val="20"/>
                <w:szCs w:val="20"/>
              </w:rPr>
              <w:t>1</w:t>
            </w:r>
            <w:r w:rsidR="00434E09">
              <w:rPr>
                <w:sz w:val="20"/>
                <w:szCs w:val="20"/>
              </w:rPr>
              <w:t>5</w:t>
            </w:r>
            <w:r w:rsidRPr="00A935AA">
              <w:rPr>
                <w:sz w:val="20"/>
                <w:szCs w:val="20"/>
              </w:rPr>
              <w:t>.0</w:t>
            </w:r>
            <w:r>
              <w:rPr>
                <w:sz w:val="20"/>
                <w:szCs w:val="20"/>
              </w:rPr>
              <w:t>2</w:t>
            </w:r>
            <w:r w:rsidRPr="00A935AA">
              <w:rPr>
                <w:sz w:val="20"/>
                <w:szCs w:val="20"/>
              </w:rPr>
              <w:t>.201</w:t>
            </w:r>
            <w:r>
              <w:rPr>
                <w:sz w:val="20"/>
                <w:szCs w:val="20"/>
              </w:rPr>
              <w:t>3</w:t>
            </w:r>
            <w:r w:rsidR="00CB0178" w:rsidRPr="00CB0178">
              <w:rPr>
                <w:sz w:val="20"/>
                <w:szCs w:val="20"/>
                <w:lang w:val="fr-CA"/>
              </w:rPr>
              <w:pict>
                <v:rect id="_x0000_i1030" style="width:108pt;height:1pt" o:hrpct="0" o:hralign="center" o:hrstd="t" o:hrnoshade="t" o:hr="t" fillcolor="black [3213]" stroked="f"/>
              </w:pict>
            </w:r>
          </w:p>
        </w:tc>
      </w:tr>
      <w:tr w:rsidR="00941499" w:rsidRPr="00A935AA" w:rsidTr="003B3977">
        <w:trPr>
          <w:cantSplit/>
        </w:trPr>
        <w:tc>
          <w:tcPr>
            <w:tcW w:w="4320" w:type="dxa"/>
            <w:shd w:val="clear" w:color="auto" w:fill="auto"/>
          </w:tcPr>
          <w:p w:rsidR="00941499" w:rsidRPr="00A935AA" w:rsidRDefault="00434E09" w:rsidP="001233FB">
            <w:pPr>
              <w:rPr>
                <w:b/>
                <w:sz w:val="20"/>
                <w:szCs w:val="20"/>
              </w:rPr>
            </w:pPr>
            <w:r>
              <w:rPr>
                <w:b/>
                <w:sz w:val="20"/>
                <w:szCs w:val="20"/>
              </w:rPr>
              <w:t>Rural Municipality of Britannia No. 502 et al.</w:t>
            </w:r>
          </w:p>
          <w:p w:rsidR="00941499" w:rsidRPr="00A935AA" w:rsidRDefault="00941499" w:rsidP="001233FB">
            <w:pPr>
              <w:tabs>
                <w:tab w:val="left" w:pos="-1440"/>
                <w:tab w:val="left" w:pos="-720"/>
              </w:tabs>
              <w:rPr>
                <w:sz w:val="20"/>
                <w:szCs w:val="20"/>
              </w:rPr>
            </w:pPr>
            <w:r w:rsidRPr="00A935AA">
              <w:rPr>
                <w:sz w:val="20"/>
                <w:szCs w:val="20"/>
              </w:rPr>
              <w:tab/>
            </w:r>
            <w:r w:rsidR="00434E09">
              <w:rPr>
                <w:sz w:val="20"/>
                <w:szCs w:val="20"/>
              </w:rPr>
              <w:t>Reginald A. Watson, Q.C.</w:t>
            </w:r>
          </w:p>
          <w:p w:rsidR="00941499" w:rsidRPr="00A935AA" w:rsidRDefault="00941499" w:rsidP="001233FB">
            <w:pPr>
              <w:tabs>
                <w:tab w:val="left" w:pos="-1440"/>
                <w:tab w:val="left" w:pos="-720"/>
              </w:tabs>
              <w:rPr>
                <w:sz w:val="20"/>
                <w:szCs w:val="20"/>
              </w:rPr>
            </w:pPr>
            <w:r w:rsidRPr="00A935AA">
              <w:rPr>
                <w:sz w:val="20"/>
                <w:szCs w:val="20"/>
              </w:rPr>
              <w:tab/>
            </w:r>
            <w:r w:rsidR="00434E09">
              <w:rPr>
                <w:sz w:val="20"/>
                <w:szCs w:val="20"/>
              </w:rPr>
              <w:t>Miller Thomson LLP</w:t>
            </w:r>
          </w:p>
          <w:p w:rsidR="00941499" w:rsidRPr="00A935AA" w:rsidRDefault="00941499" w:rsidP="001233FB">
            <w:pPr>
              <w:tabs>
                <w:tab w:val="left" w:pos="-1440"/>
                <w:tab w:val="left" w:pos="-720"/>
              </w:tabs>
              <w:rPr>
                <w:sz w:val="20"/>
                <w:szCs w:val="20"/>
              </w:rPr>
            </w:pPr>
          </w:p>
          <w:p w:rsidR="00941499" w:rsidRPr="00A935AA" w:rsidRDefault="00941499" w:rsidP="001233FB">
            <w:pPr>
              <w:tabs>
                <w:tab w:val="left" w:pos="-1440"/>
                <w:tab w:val="left" w:pos="-720"/>
              </w:tabs>
              <w:rPr>
                <w:sz w:val="20"/>
                <w:szCs w:val="20"/>
              </w:rPr>
            </w:pPr>
            <w:r w:rsidRPr="00A935AA">
              <w:rPr>
                <w:sz w:val="20"/>
                <w:szCs w:val="20"/>
              </w:rPr>
              <w:tab/>
              <w:t>v. (3</w:t>
            </w:r>
            <w:r>
              <w:rPr>
                <w:sz w:val="20"/>
                <w:szCs w:val="20"/>
              </w:rPr>
              <w:t>5</w:t>
            </w:r>
            <w:r w:rsidR="00434E09">
              <w:rPr>
                <w:sz w:val="20"/>
                <w:szCs w:val="20"/>
              </w:rPr>
              <w:t>229</w:t>
            </w:r>
            <w:r w:rsidRPr="00A935AA">
              <w:rPr>
                <w:sz w:val="20"/>
                <w:szCs w:val="20"/>
              </w:rPr>
              <w:t>)</w:t>
            </w:r>
          </w:p>
          <w:p w:rsidR="00941499" w:rsidRPr="00A935AA" w:rsidRDefault="00941499" w:rsidP="001233FB">
            <w:pPr>
              <w:tabs>
                <w:tab w:val="left" w:pos="-1440"/>
                <w:tab w:val="left" w:pos="-720"/>
              </w:tabs>
              <w:rPr>
                <w:sz w:val="20"/>
                <w:szCs w:val="20"/>
              </w:rPr>
            </w:pPr>
          </w:p>
          <w:p w:rsidR="00941499" w:rsidRPr="00A935AA" w:rsidRDefault="00434E09" w:rsidP="001233FB">
            <w:pPr>
              <w:tabs>
                <w:tab w:val="left" w:pos="-1440"/>
                <w:tab w:val="left" w:pos="-720"/>
              </w:tabs>
              <w:rPr>
                <w:b/>
                <w:sz w:val="20"/>
                <w:szCs w:val="20"/>
              </w:rPr>
            </w:pPr>
            <w:r>
              <w:rPr>
                <w:b/>
                <w:sz w:val="20"/>
                <w:szCs w:val="20"/>
              </w:rPr>
              <w:t xml:space="preserve">John Acton </w:t>
            </w:r>
            <w:r w:rsidR="00941499" w:rsidRPr="00A935AA">
              <w:rPr>
                <w:b/>
                <w:sz w:val="20"/>
                <w:szCs w:val="20"/>
              </w:rPr>
              <w:t>(</w:t>
            </w:r>
            <w:r>
              <w:rPr>
                <w:b/>
                <w:sz w:val="20"/>
                <w:szCs w:val="20"/>
              </w:rPr>
              <w:t>Sask</w:t>
            </w:r>
            <w:r w:rsidR="00941499" w:rsidRPr="00A935AA">
              <w:rPr>
                <w:b/>
                <w:sz w:val="20"/>
                <w:szCs w:val="20"/>
              </w:rPr>
              <w:t>.)</w:t>
            </w:r>
          </w:p>
          <w:p w:rsidR="00941499" w:rsidRPr="00A935AA" w:rsidRDefault="00941499" w:rsidP="001233FB">
            <w:pPr>
              <w:tabs>
                <w:tab w:val="left" w:pos="-1440"/>
                <w:tab w:val="left" w:pos="-720"/>
              </w:tabs>
              <w:rPr>
                <w:sz w:val="20"/>
                <w:szCs w:val="20"/>
              </w:rPr>
            </w:pPr>
            <w:r w:rsidRPr="00A935AA">
              <w:rPr>
                <w:sz w:val="20"/>
                <w:szCs w:val="20"/>
              </w:rPr>
              <w:tab/>
            </w:r>
            <w:r w:rsidR="00434E09">
              <w:rPr>
                <w:sz w:val="20"/>
                <w:szCs w:val="20"/>
              </w:rPr>
              <w:t>Gary A. Zabos, Q.C.</w:t>
            </w:r>
          </w:p>
          <w:p w:rsidR="00941499" w:rsidRPr="00A935AA" w:rsidRDefault="00941499" w:rsidP="001233FB">
            <w:pPr>
              <w:tabs>
                <w:tab w:val="left" w:pos="-1440"/>
                <w:tab w:val="left" w:pos="-720"/>
              </w:tabs>
              <w:rPr>
                <w:sz w:val="20"/>
                <w:szCs w:val="20"/>
              </w:rPr>
            </w:pPr>
            <w:r w:rsidRPr="00A935AA">
              <w:rPr>
                <w:sz w:val="20"/>
                <w:szCs w:val="20"/>
              </w:rPr>
              <w:tab/>
            </w:r>
            <w:r w:rsidR="00434E09">
              <w:rPr>
                <w:sz w:val="20"/>
                <w:szCs w:val="20"/>
              </w:rPr>
              <w:t>McDougall Gauley LLP</w:t>
            </w:r>
          </w:p>
          <w:p w:rsidR="00941499" w:rsidRPr="00A935AA" w:rsidRDefault="00941499" w:rsidP="001233FB">
            <w:pPr>
              <w:tabs>
                <w:tab w:val="left" w:pos="-1440"/>
                <w:tab w:val="left" w:pos="-720"/>
              </w:tabs>
              <w:rPr>
                <w:sz w:val="20"/>
                <w:szCs w:val="20"/>
              </w:rPr>
            </w:pPr>
          </w:p>
          <w:p w:rsidR="00941499" w:rsidRPr="00A935AA" w:rsidRDefault="00941499" w:rsidP="001233FB">
            <w:pPr>
              <w:rPr>
                <w:sz w:val="20"/>
                <w:szCs w:val="20"/>
              </w:rPr>
            </w:pPr>
            <w:r w:rsidRPr="00A935AA">
              <w:rPr>
                <w:sz w:val="20"/>
                <w:szCs w:val="20"/>
              </w:rPr>
              <w:t xml:space="preserve">FILING DATE: </w:t>
            </w:r>
            <w:r>
              <w:rPr>
                <w:sz w:val="20"/>
                <w:szCs w:val="20"/>
              </w:rPr>
              <w:t>1</w:t>
            </w:r>
            <w:r w:rsidR="00434E09">
              <w:rPr>
                <w:sz w:val="20"/>
                <w:szCs w:val="20"/>
              </w:rPr>
              <w:t>5</w:t>
            </w:r>
            <w:r w:rsidRPr="00A935AA">
              <w:rPr>
                <w:sz w:val="20"/>
                <w:szCs w:val="20"/>
              </w:rPr>
              <w:t>.0</w:t>
            </w:r>
            <w:r>
              <w:rPr>
                <w:sz w:val="20"/>
                <w:szCs w:val="20"/>
              </w:rPr>
              <w:t>2</w:t>
            </w:r>
            <w:r w:rsidRPr="00A935AA">
              <w:rPr>
                <w:sz w:val="20"/>
                <w:szCs w:val="20"/>
              </w:rPr>
              <w:t>.201</w:t>
            </w:r>
            <w:r>
              <w:rPr>
                <w:sz w:val="20"/>
                <w:szCs w:val="20"/>
              </w:rPr>
              <w:t>3</w:t>
            </w:r>
          </w:p>
          <w:p w:rsidR="00941499" w:rsidRPr="00A935AA" w:rsidRDefault="00CB0178" w:rsidP="001233FB">
            <w:pPr>
              <w:rPr>
                <w:sz w:val="20"/>
                <w:szCs w:val="20"/>
              </w:rPr>
            </w:pPr>
            <w:r w:rsidRPr="00CB0178">
              <w:rPr>
                <w:sz w:val="20"/>
                <w:szCs w:val="20"/>
                <w:lang w:val="fr-CA"/>
              </w:rPr>
              <w:pict>
                <v:rect id="_x0000_i1031" style="width:108pt;height:1pt" o:hrpct="0" o:hralign="center" o:hrstd="t" o:hrnoshade="t" o:hr="t" fillcolor="black [3213]" stroked="f"/>
              </w:pict>
            </w:r>
          </w:p>
        </w:tc>
        <w:tc>
          <w:tcPr>
            <w:tcW w:w="1181" w:type="dxa"/>
            <w:shd w:val="clear" w:color="auto" w:fill="auto"/>
          </w:tcPr>
          <w:p w:rsidR="00941499" w:rsidRPr="00A935AA" w:rsidRDefault="00941499" w:rsidP="00242AEE">
            <w:pPr>
              <w:jc w:val="center"/>
              <w:rPr>
                <w:sz w:val="20"/>
                <w:szCs w:val="20"/>
              </w:rPr>
            </w:pPr>
          </w:p>
          <w:p w:rsidR="00941499" w:rsidRPr="00A935AA" w:rsidRDefault="00941499" w:rsidP="00242AEE">
            <w:pPr>
              <w:jc w:val="center"/>
              <w:rPr>
                <w:sz w:val="20"/>
                <w:szCs w:val="20"/>
              </w:rPr>
            </w:pPr>
          </w:p>
          <w:p w:rsidR="00941499" w:rsidRPr="00A935AA" w:rsidRDefault="00941499" w:rsidP="00242AEE">
            <w:pPr>
              <w:jc w:val="center"/>
              <w:rPr>
                <w:sz w:val="20"/>
                <w:szCs w:val="20"/>
              </w:rPr>
            </w:pPr>
          </w:p>
          <w:p w:rsidR="00941499" w:rsidRPr="00A935AA" w:rsidRDefault="00941499" w:rsidP="00242AEE">
            <w:pPr>
              <w:jc w:val="center"/>
              <w:rPr>
                <w:sz w:val="20"/>
                <w:szCs w:val="20"/>
              </w:rPr>
            </w:pPr>
          </w:p>
          <w:p w:rsidR="00941499" w:rsidRPr="00A935AA" w:rsidRDefault="00941499" w:rsidP="00242AEE">
            <w:pPr>
              <w:jc w:val="center"/>
              <w:rPr>
                <w:sz w:val="20"/>
                <w:szCs w:val="20"/>
              </w:rPr>
            </w:pPr>
          </w:p>
          <w:p w:rsidR="00941499" w:rsidRPr="00A935AA" w:rsidRDefault="00941499" w:rsidP="00242AEE">
            <w:pPr>
              <w:jc w:val="center"/>
              <w:rPr>
                <w:sz w:val="20"/>
                <w:szCs w:val="20"/>
              </w:rPr>
            </w:pPr>
          </w:p>
          <w:p w:rsidR="00941499" w:rsidRPr="00A935AA" w:rsidRDefault="00941499" w:rsidP="00242AEE">
            <w:pPr>
              <w:jc w:val="center"/>
              <w:rPr>
                <w:sz w:val="20"/>
                <w:szCs w:val="20"/>
              </w:rPr>
            </w:pPr>
          </w:p>
          <w:p w:rsidR="00941499" w:rsidRPr="00A935AA" w:rsidRDefault="00941499" w:rsidP="00242AEE">
            <w:pPr>
              <w:jc w:val="center"/>
              <w:rPr>
                <w:sz w:val="20"/>
                <w:szCs w:val="20"/>
              </w:rPr>
            </w:pPr>
          </w:p>
          <w:p w:rsidR="00941499" w:rsidRPr="00A935AA" w:rsidRDefault="00941499" w:rsidP="00242AEE">
            <w:pPr>
              <w:jc w:val="center"/>
              <w:rPr>
                <w:sz w:val="20"/>
                <w:szCs w:val="20"/>
              </w:rPr>
            </w:pPr>
          </w:p>
          <w:p w:rsidR="00941499" w:rsidRPr="00A935AA" w:rsidRDefault="00941499" w:rsidP="00242AEE">
            <w:pPr>
              <w:jc w:val="center"/>
              <w:rPr>
                <w:sz w:val="20"/>
                <w:szCs w:val="20"/>
              </w:rPr>
            </w:pPr>
          </w:p>
          <w:p w:rsidR="00941499" w:rsidRPr="00A935AA" w:rsidRDefault="00941499" w:rsidP="00242AEE">
            <w:pPr>
              <w:jc w:val="center"/>
              <w:rPr>
                <w:sz w:val="20"/>
                <w:szCs w:val="20"/>
              </w:rPr>
            </w:pPr>
          </w:p>
          <w:p w:rsidR="00941499" w:rsidRPr="00A935AA" w:rsidRDefault="00941499" w:rsidP="00242AEE">
            <w:pPr>
              <w:jc w:val="center"/>
              <w:rPr>
                <w:sz w:val="20"/>
                <w:szCs w:val="20"/>
              </w:rPr>
            </w:pPr>
          </w:p>
          <w:p w:rsidR="00941499" w:rsidRPr="00A935AA" w:rsidRDefault="00941499" w:rsidP="00242AEE">
            <w:pPr>
              <w:jc w:val="center"/>
              <w:rPr>
                <w:sz w:val="20"/>
                <w:szCs w:val="20"/>
              </w:rPr>
            </w:pPr>
          </w:p>
        </w:tc>
        <w:tc>
          <w:tcPr>
            <w:tcW w:w="4320" w:type="dxa"/>
            <w:shd w:val="clear" w:color="auto" w:fill="auto"/>
          </w:tcPr>
          <w:p w:rsidR="00941499" w:rsidRPr="00A935AA" w:rsidRDefault="00941499" w:rsidP="001233FB">
            <w:pPr>
              <w:rPr>
                <w:sz w:val="20"/>
                <w:szCs w:val="20"/>
              </w:rPr>
            </w:pP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941499">
          <w:headerReference w:type="default" r:id="rId16"/>
          <w:footerReference w:type="default" r:id="rId17"/>
          <w:headerReference w:type="first" r:id="rId18"/>
          <w:footerReference w:type="first" r:id="rId19"/>
          <w:pgSz w:w="12240" w:h="15840"/>
          <w:pgMar w:top="720" w:right="965" w:bottom="1080" w:left="1656" w:header="706" w:footer="706" w:gutter="0"/>
          <w:pgNumType w:start="327"/>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B07D2C"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E25901">
              <w:rPr>
                <w:b/>
                <w:szCs w:val="24"/>
                <w:lang w:val="fr-CA"/>
              </w:rPr>
              <w:t>DEMANDES SO</w:t>
            </w:r>
            <w:r w:rsidRPr="001D0D5F">
              <w:rPr>
                <w:b/>
                <w:szCs w:val="24"/>
                <w:lang w:val="fr-CA"/>
              </w:rPr>
              <w:t>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F05E19" w:rsidP="004B7F60">
      <w:pPr>
        <w:widowControl w:val="0"/>
        <w:rPr>
          <w:b/>
          <w:sz w:val="20"/>
          <w:szCs w:val="20"/>
        </w:rPr>
      </w:pPr>
      <w:r>
        <w:rPr>
          <w:b/>
          <w:sz w:val="20"/>
          <w:szCs w:val="20"/>
        </w:rPr>
        <w:t>FEBRU</w:t>
      </w:r>
      <w:r w:rsidR="00F761A3">
        <w:rPr>
          <w:b/>
          <w:sz w:val="20"/>
          <w:szCs w:val="20"/>
        </w:rPr>
        <w:t xml:space="preserve">ARY </w:t>
      </w:r>
      <w:r>
        <w:rPr>
          <w:b/>
          <w:sz w:val="20"/>
          <w:szCs w:val="20"/>
        </w:rPr>
        <w:t>25</w:t>
      </w:r>
      <w:r w:rsidR="004B7F60" w:rsidRPr="00C50A5C">
        <w:rPr>
          <w:b/>
          <w:sz w:val="20"/>
          <w:szCs w:val="20"/>
        </w:rPr>
        <w:t>, 201</w:t>
      </w:r>
      <w:r w:rsidR="00F761A3">
        <w:rPr>
          <w:b/>
          <w:sz w:val="20"/>
          <w:szCs w:val="20"/>
        </w:rPr>
        <w:t>3</w:t>
      </w:r>
      <w:r w:rsidR="004B7F60" w:rsidRPr="00C50A5C">
        <w:rPr>
          <w:b/>
          <w:sz w:val="20"/>
          <w:szCs w:val="20"/>
        </w:rPr>
        <w:t xml:space="preserve"> / LE </w:t>
      </w:r>
      <w:r>
        <w:rPr>
          <w:b/>
          <w:sz w:val="20"/>
          <w:szCs w:val="20"/>
        </w:rPr>
        <w:t>25 FÉ</w:t>
      </w:r>
      <w:r w:rsidR="00F761A3">
        <w:rPr>
          <w:b/>
          <w:sz w:val="20"/>
          <w:szCs w:val="20"/>
        </w:rPr>
        <w:t>V</w:t>
      </w:r>
      <w:r>
        <w:rPr>
          <w:b/>
          <w:sz w:val="20"/>
          <w:szCs w:val="20"/>
        </w:rPr>
        <w:t>R</w:t>
      </w:r>
      <w:r w:rsidR="00F761A3">
        <w:rPr>
          <w:b/>
          <w:sz w:val="20"/>
          <w:szCs w:val="20"/>
        </w:rPr>
        <w:t>IE</w:t>
      </w:r>
      <w:r w:rsidR="004B7F60">
        <w:rPr>
          <w:b/>
          <w:sz w:val="20"/>
          <w:szCs w:val="20"/>
        </w:rPr>
        <w:t>R</w:t>
      </w:r>
      <w:r w:rsidR="004B7F60" w:rsidRPr="00C50A5C">
        <w:rPr>
          <w:b/>
          <w:sz w:val="20"/>
          <w:szCs w:val="20"/>
        </w:rPr>
        <w:t xml:space="preserve"> 201</w:t>
      </w:r>
      <w:r w:rsidR="00F761A3">
        <w:rPr>
          <w:b/>
          <w:sz w:val="20"/>
          <w:szCs w:val="20"/>
        </w:rPr>
        <w:t>3</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62714A">
        <w:rPr>
          <w:b/>
          <w:sz w:val="20"/>
          <w:szCs w:val="20"/>
        </w:rPr>
        <w:t>Abella</w:t>
      </w:r>
      <w:r w:rsidRPr="00C50A5C">
        <w:rPr>
          <w:b/>
          <w:sz w:val="20"/>
          <w:szCs w:val="20"/>
        </w:rPr>
        <w:t xml:space="preserve"> and </w:t>
      </w:r>
      <w:r w:rsidR="0062714A">
        <w:rPr>
          <w:b/>
          <w:sz w:val="20"/>
          <w:szCs w:val="20"/>
        </w:rPr>
        <w:t>Cr</w:t>
      </w:r>
      <w:r>
        <w:rPr>
          <w:b/>
          <w:sz w:val="20"/>
          <w:szCs w:val="20"/>
        </w:rPr>
        <w:t>o</w:t>
      </w:r>
      <w:r w:rsidR="0062714A">
        <w:rPr>
          <w:b/>
          <w:sz w:val="20"/>
          <w:szCs w:val="20"/>
        </w:rPr>
        <w:t>mwe</w:t>
      </w:r>
      <w:r>
        <w:rPr>
          <w:b/>
          <w:sz w:val="20"/>
          <w:szCs w:val="20"/>
        </w:rPr>
        <w:t>l</w:t>
      </w:r>
      <w:r w:rsidR="0062714A">
        <w:rPr>
          <w:b/>
          <w:sz w:val="20"/>
          <w:szCs w:val="20"/>
        </w:rPr>
        <w:t>l</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62714A">
        <w:rPr>
          <w:b/>
          <w:sz w:val="20"/>
          <w:szCs w:val="20"/>
          <w:lang w:val="fr-CA"/>
        </w:rPr>
        <w:t>Ab</w:t>
      </w:r>
      <w:r>
        <w:rPr>
          <w:b/>
          <w:sz w:val="20"/>
          <w:szCs w:val="20"/>
          <w:lang w:val="fr-CA"/>
        </w:rPr>
        <w:t>e</w:t>
      </w:r>
      <w:r w:rsidR="0062714A">
        <w:rPr>
          <w:b/>
          <w:sz w:val="20"/>
          <w:szCs w:val="20"/>
          <w:lang w:val="fr-CA"/>
        </w:rPr>
        <w:t>lla</w:t>
      </w:r>
      <w:r w:rsidRPr="00C50A5C">
        <w:rPr>
          <w:b/>
          <w:sz w:val="20"/>
          <w:szCs w:val="20"/>
          <w:lang w:val="fr-CA"/>
        </w:rPr>
        <w:t xml:space="preserve"> et </w:t>
      </w:r>
      <w:r w:rsidR="0062714A">
        <w:rPr>
          <w:b/>
          <w:sz w:val="20"/>
          <w:szCs w:val="20"/>
          <w:lang w:val="fr-CA"/>
        </w:rPr>
        <w:t>Cr</w:t>
      </w:r>
      <w:r>
        <w:rPr>
          <w:b/>
          <w:sz w:val="20"/>
          <w:szCs w:val="20"/>
          <w:lang w:val="fr-CA"/>
        </w:rPr>
        <w:t>o</w:t>
      </w:r>
      <w:r w:rsidR="0062714A">
        <w:rPr>
          <w:b/>
          <w:sz w:val="20"/>
          <w:szCs w:val="20"/>
          <w:lang w:val="fr-CA"/>
        </w:rPr>
        <w:t>mw</w:t>
      </w:r>
      <w:r>
        <w:rPr>
          <w:b/>
          <w:sz w:val="20"/>
          <w:szCs w:val="20"/>
          <w:lang w:val="fr-CA"/>
        </w:rPr>
        <w:t>e</w:t>
      </w:r>
      <w:r w:rsidR="0062714A">
        <w:rPr>
          <w:b/>
          <w:sz w:val="20"/>
          <w:szCs w:val="20"/>
          <w:lang w:val="fr-CA"/>
        </w:rPr>
        <w:t>ll</w:t>
      </w:r>
    </w:p>
    <w:p w:rsidR="004B7F60" w:rsidRPr="00C50A5C" w:rsidRDefault="004B7F60" w:rsidP="004B7F60">
      <w:pPr>
        <w:widowControl w:val="0"/>
        <w:rPr>
          <w:sz w:val="20"/>
          <w:szCs w:val="20"/>
          <w:lang w:val="fr-CA"/>
        </w:rPr>
      </w:pPr>
    </w:p>
    <w:p w:rsidR="004B7F60" w:rsidRPr="006834B3" w:rsidRDefault="006834B3" w:rsidP="004B7F60">
      <w:pPr>
        <w:pStyle w:val="ListParagraph"/>
        <w:widowControl w:val="0"/>
        <w:numPr>
          <w:ilvl w:val="0"/>
          <w:numId w:val="1"/>
        </w:numPr>
        <w:ind w:hanging="720"/>
        <w:jc w:val="both"/>
        <w:rPr>
          <w:sz w:val="20"/>
          <w:szCs w:val="20"/>
          <w:lang w:val="fr-CA"/>
        </w:rPr>
      </w:pPr>
      <w:r w:rsidRPr="006834B3">
        <w:rPr>
          <w:i/>
          <w:sz w:val="20"/>
          <w:szCs w:val="20"/>
          <w:lang w:val="fr-CA"/>
        </w:rPr>
        <w:t>Dany Cecere c. Sa Majesté la Reine</w:t>
      </w:r>
      <w:r w:rsidRPr="00DD1874">
        <w:rPr>
          <w:sz w:val="20"/>
          <w:szCs w:val="20"/>
          <w:lang w:val="fr-CA"/>
        </w:rPr>
        <w:t xml:space="preserve"> (Qc) (Crim.) (Autorisation)</w:t>
      </w:r>
      <w:r w:rsidRPr="006834B3">
        <w:rPr>
          <w:sz w:val="20"/>
          <w:szCs w:val="20"/>
          <w:lang w:val="fr-CA"/>
        </w:rPr>
        <w:t xml:space="preserve"> </w:t>
      </w:r>
      <w:r w:rsidR="004B7F60" w:rsidRPr="006834B3">
        <w:rPr>
          <w:sz w:val="20"/>
          <w:szCs w:val="20"/>
          <w:lang w:val="fr-CA"/>
        </w:rPr>
        <w:t>(3</w:t>
      </w:r>
      <w:r w:rsidR="002F3BD3" w:rsidRPr="006834B3">
        <w:rPr>
          <w:sz w:val="20"/>
          <w:szCs w:val="20"/>
          <w:lang w:val="fr-CA"/>
        </w:rPr>
        <w:t>5</w:t>
      </w:r>
      <w:r w:rsidR="004B7F60" w:rsidRPr="006834B3">
        <w:rPr>
          <w:sz w:val="20"/>
          <w:szCs w:val="20"/>
          <w:lang w:val="fr-CA"/>
        </w:rPr>
        <w:t>1</w:t>
      </w:r>
      <w:r w:rsidR="002F3BD3" w:rsidRPr="006834B3">
        <w:rPr>
          <w:sz w:val="20"/>
          <w:szCs w:val="20"/>
          <w:lang w:val="fr-CA"/>
        </w:rPr>
        <w:t>03</w:t>
      </w:r>
      <w:r w:rsidR="004B7F60" w:rsidRPr="006834B3">
        <w:rPr>
          <w:sz w:val="20"/>
          <w:szCs w:val="20"/>
          <w:lang w:val="fr-CA"/>
        </w:rPr>
        <w:t>)</w:t>
      </w:r>
    </w:p>
    <w:p w:rsidR="004B7F60" w:rsidRPr="006834B3" w:rsidRDefault="004B7F60" w:rsidP="004B7F60">
      <w:pPr>
        <w:widowControl w:val="0"/>
        <w:jc w:val="both"/>
        <w:rPr>
          <w:sz w:val="20"/>
          <w:szCs w:val="20"/>
          <w:lang w:val="fr-CA"/>
        </w:rPr>
      </w:pPr>
    </w:p>
    <w:p w:rsidR="004B7F60" w:rsidRPr="006834B3" w:rsidRDefault="006834B3" w:rsidP="004B7F60">
      <w:pPr>
        <w:pStyle w:val="ListParagraph"/>
        <w:widowControl w:val="0"/>
        <w:numPr>
          <w:ilvl w:val="0"/>
          <w:numId w:val="1"/>
        </w:numPr>
        <w:ind w:hanging="720"/>
        <w:jc w:val="both"/>
        <w:rPr>
          <w:sz w:val="20"/>
          <w:szCs w:val="20"/>
          <w:lang w:val="fr-CA"/>
        </w:rPr>
      </w:pPr>
      <w:r w:rsidRPr="006834B3">
        <w:rPr>
          <w:i/>
          <w:sz w:val="20"/>
          <w:szCs w:val="20"/>
          <w:lang w:val="fr-CA"/>
        </w:rPr>
        <w:t>Marco Pedicelli c. Sa Majesté la Reine</w:t>
      </w:r>
      <w:r w:rsidRPr="00DD1874">
        <w:rPr>
          <w:sz w:val="20"/>
          <w:szCs w:val="20"/>
          <w:lang w:val="fr-CA"/>
        </w:rPr>
        <w:t xml:space="preserve"> (Qc) (Crim.) (Autorisation)</w:t>
      </w:r>
      <w:r w:rsidRPr="006834B3">
        <w:rPr>
          <w:sz w:val="20"/>
          <w:szCs w:val="20"/>
          <w:lang w:val="fr-CA"/>
        </w:rPr>
        <w:t xml:space="preserve"> </w:t>
      </w:r>
      <w:r w:rsidR="004B7F60" w:rsidRPr="006834B3">
        <w:rPr>
          <w:sz w:val="20"/>
          <w:szCs w:val="20"/>
          <w:lang w:val="fr-CA"/>
        </w:rPr>
        <w:t>(3</w:t>
      </w:r>
      <w:r w:rsidR="002F3BD3" w:rsidRPr="006834B3">
        <w:rPr>
          <w:sz w:val="20"/>
          <w:szCs w:val="20"/>
          <w:lang w:val="fr-CA"/>
        </w:rPr>
        <w:t>5105</w:t>
      </w:r>
      <w:r w:rsidR="004B7F60" w:rsidRPr="006834B3">
        <w:rPr>
          <w:sz w:val="20"/>
          <w:szCs w:val="20"/>
          <w:lang w:val="fr-CA"/>
        </w:rPr>
        <w:t>)</w:t>
      </w:r>
    </w:p>
    <w:p w:rsidR="004B7F60" w:rsidRPr="006834B3" w:rsidRDefault="004B7F60" w:rsidP="004B7F60">
      <w:pPr>
        <w:widowControl w:val="0"/>
        <w:jc w:val="both"/>
        <w:rPr>
          <w:sz w:val="20"/>
          <w:szCs w:val="20"/>
          <w:lang w:val="fr-CA"/>
        </w:rPr>
      </w:pPr>
    </w:p>
    <w:p w:rsidR="004B7F60" w:rsidRPr="00C50A5C" w:rsidRDefault="006834B3" w:rsidP="004B7F60">
      <w:pPr>
        <w:pStyle w:val="ListParagraph"/>
        <w:widowControl w:val="0"/>
        <w:numPr>
          <w:ilvl w:val="0"/>
          <w:numId w:val="1"/>
        </w:numPr>
        <w:ind w:hanging="720"/>
        <w:jc w:val="both"/>
        <w:rPr>
          <w:sz w:val="20"/>
          <w:szCs w:val="20"/>
        </w:rPr>
      </w:pPr>
      <w:r w:rsidRPr="006834B3">
        <w:rPr>
          <w:i/>
          <w:sz w:val="20"/>
          <w:szCs w:val="20"/>
        </w:rPr>
        <w:t>Jennifer Margaret Quinn v. Mary Melodee Dianne Carrigan et al.</w:t>
      </w:r>
      <w:r w:rsidRPr="00DD1874">
        <w:rPr>
          <w:sz w:val="20"/>
          <w:szCs w:val="20"/>
        </w:rPr>
        <w:t xml:space="preserve"> (Ont.) (Civil) (By Leave)</w:t>
      </w:r>
      <w:r w:rsidRPr="00940CAD">
        <w:rPr>
          <w:sz w:val="20"/>
          <w:szCs w:val="20"/>
        </w:rPr>
        <w:t xml:space="preserve"> </w:t>
      </w:r>
      <w:r w:rsidR="004B7F60" w:rsidRPr="00940CAD">
        <w:rPr>
          <w:sz w:val="20"/>
          <w:szCs w:val="20"/>
        </w:rPr>
        <w:t>(3</w:t>
      </w:r>
      <w:r w:rsidR="002F3BD3">
        <w:rPr>
          <w:sz w:val="20"/>
          <w:szCs w:val="20"/>
        </w:rPr>
        <w:t>51</w:t>
      </w:r>
      <w:r w:rsidR="004B7F60" w:rsidRPr="00940CAD">
        <w:rPr>
          <w:sz w:val="20"/>
          <w:szCs w:val="20"/>
        </w:rPr>
        <w:t>3</w:t>
      </w:r>
      <w:r w:rsidR="002F3BD3">
        <w:rPr>
          <w:sz w:val="20"/>
          <w:szCs w:val="20"/>
        </w:rPr>
        <w:t>1</w:t>
      </w:r>
      <w:r w:rsidR="004B7F60" w:rsidRPr="00940CAD">
        <w:rPr>
          <w:sz w:val="20"/>
          <w:szCs w:val="20"/>
        </w:rPr>
        <w:t>)</w:t>
      </w:r>
    </w:p>
    <w:p w:rsidR="004B7F60" w:rsidRPr="00C50A5C" w:rsidRDefault="004B7F60" w:rsidP="004B7F60">
      <w:pPr>
        <w:widowControl w:val="0"/>
        <w:rPr>
          <w:sz w:val="20"/>
          <w:szCs w:val="20"/>
        </w:rPr>
      </w:pPr>
    </w:p>
    <w:p w:rsidR="004B7F60" w:rsidRPr="00C50A5C" w:rsidRDefault="006834B3" w:rsidP="004B7F60">
      <w:pPr>
        <w:pStyle w:val="ListParagraph"/>
        <w:widowControl w:val="0"/>
        <w:numPr>
          <w:ilvl w:val="0"/>
          <w:numId w:val="1"/>
        </w:numPr>
        <w:ind w:hanging="720"/>
        <w:jc w:val="both"/>
        <w:rPr>
          <w:sz w:val="20"/>
          <w:szCs w:val="20"/>
        </w:rPr>
      </w:pPr>
      <w:r w:rsidRPr="006834B3">
        <w:rPr>
          <w:i/>
          <w:sz w:val="20"/>
          <w:szCs w:val="20"/>
        </w:rPr>
        <w:t>Lana Yvonne Young v. Jack Ewatski et al.</w:t>
      </w:r>
      <w:r w:rsidRPr="006834B3">
        <w:rPr>
          <w:sz w:val="20"/>
          <w:szCs w:val="20"/>
        </w:rPr>
        <w:t xml:space="preserve"> (Man.) (Civil) (By Leave)</w:t>
      </w:r>
      <w:r w:rsidRPr="00C50A5C">
        <w:rPr>
          <w:sz w:val="20"/>
          <w:szCs w:val="20"/>
        </w:rPr>
        <w:t xml:space="preserve"> </w:t>
      </w:r>
      <w:r w:rsidR="004B7F60" w:rsidRPr="00C50A5C">
        <w:rPr>
          <w:sz w:val="20"/>
          <w:szCs w:val="20"/>
        </w:rPr>
        <w:t>(3</w:t>
      </w:r>
      <w:r w:rsidR="002F3BD3">
        <w:rPr>
          <w:sz w:val="20"/>
          <w:szCs w:val="20"/>
        </w:rPr>
        <w:t>5035</w:t>
      </w:r>
      <w:r w:rsidR="004B7F60" w:rsidRPr="00C50A5C">
        <w:rPr>
          <w:sz w:val="20"/>
          <w:szCs w:val="20"/>
        </w:rPr>
        <w:t>)</w:t>
      </w:r>
    </w:p>
    <w:p w:rsidR="004B7F60" w:rsidRDefault="004B7F60" w:rsidP="004B7F60">
      <w:pPr>
        <w:widowControl w:val="0"/>
        <w:jc w:val="both"/>
        <w:rPr>
          <w:sz w:val="20"/>
          <w:szCs w:val="20"/>
        </w:rPr>
      </w:pPr>
    </w:p>
    <w:p w:rsidR="004B7F60" w:rsidRDefault="004B7F60" w:rsidP="004B7F60">
      <w:pPr>
        <w:widowControl w:val="0"/>
        <w:jc w:val="both"/>
        <w:rPr>
          <w:sz w:val="20"/>
          <w:szCs w:val="20"/>
        </w:rPr>
      </w:pPr>
    </w:p>
    <w:p w:rsidR="004B7F60" w:rsidRPr="00C50A5C" w:rsidRDefault="004B7F60" w:rsidP="004B7F60">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sidR="0062714A">
        <w:rPr>
          <w:b/>
          <w:sz w:val="20"/>
          <w:szCs w:val="20"/>
        </w:rPr>
        <w:t>K</w:t>
      </w:r>
      <w:r>
        <w:rPr>
          <w:b/>
          <w:sz w:val="20"/>
          <w:szCs w:val="20"/>
        </w:rPr>
        <w:t>a</w:t>
      </w:r>
      <w:r w:rsidR="0062714A">
        <w:rPr>
          <w:b/>
          <w:sz w:val="20"/>
          <w:szCs w:val="20"/>
        </w:rPr>
        <w:t>rakatsanis</w:t>
      </w:r>
      <w:r w:rsidRPr="00C50A5C">
        <w:rPr>
          <w:b/>
          <w:sz w:val="20"/>
          <w:szCs w:val="20"/>
        </w:rPr>
        <w:t xml:space="preserve"> and </w:t>
      </w:r>
      <w:r w:rsidR="0062714A">
        <w:rPr>
          <w:b/>
          <w:sz w:val="20"/>
          <w:szCs w:val="20"/>
        </w:rPr>
        <w:t>Wagn</w:t>
      </w:r>
      <w:r>
        <w:rPr>
          <w:b/>
          <w:sz w:val="20"/>
          <w:szCs w:val="20"/>
        </w:rPr>
        <w:t>e</w:t>
      </w:r>
      <w:r w:rsidR="0062714A">
        <w:rPr>
          <w:b/>
          <w:sz w:val="20"/>
          <w:szCs w:val="20"/>
        </w:rPr>
        <w:t>r</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sidR="0062714A">
        <w:rPr>
          <w:b/>
          <w:sz w:val="20"/>
          <w:szCs w:val="20"/>
          <w:lang w:val="fr-CA"/>
        </w:rPr>
        <w:t>K</w:t>
      </w:r>
      <w:r>
        <w:rPr>
          <w:b/>
          <w:sz w:val="20"/>
          <w:szCs w:val="20"/>
          <w:lang w:val="fr-CA"/>
        </w:rPr>
        <w:t>a</w:t>
      </w:r>
      <w:r w:rsidR="0062714A">
        <w:rPr>
          <w:b/>
          <w:sz w:val="20"/>
          <w:szCs w:val="20"/>
          <w:lang w:val="fr-CA"/>
        </w:rPr>
        <w:t>rakatsanis</w:t>
      </w:r>
      <w:r w:rsidRPr="00C50A5C">
        <w:rPr>
          <w:b/>
          <w:sz w:val="20"/>
          <w:szCs w:val="20"/>
          <w:lang w:val="fr-CA"/>
        </w:rPr>
        <w:t xml:space="preserve"> et </w:t>
      </w:r>
      <w:r w:rsidR="0062714A">
        <w:rPr>
          <w:b/>
          <w:sz w:val="20"/>
          <w:szCs w:val="20"/>
          <w:lang w:val="fr-CA"/>
        </w:rPr>
        <w:t>Wagn</w:t>
      </w:r>
      <w:r w:rsidRPr="00C50A5C">
        <w:rPr>
          <w:b/>
          <w:sz w:val="20"/>
          <w:szCs w:val="20"/>
          <w:lang w:val="fr-CA"/>
        </w:rPr>
        <w:t>e</w:t>
      </w:r>
      <w:r w:rsidR="0062714A">
        <w:rPr>
          <w:b/>
          <w:sz w:val="20"/>
          <w:szCs w:val="20"/>
          <w:lang w:val="fr-CA"/>
        </w:rPr>
        <w:t>r</w:t>
      </w:r>
    </w:p>
    <w:p w:rsidR="004B7F60" w:rsidRPr="00C16CB3" w:rsidRDefault="004B7F60" w:rsidP="004B7F60">
      <w:pPr>
        <w:widowControl w:val="0"/>
        <w:jc w:val="both"/>
        <w:rPr>
          <w:sz w:val="20"/>
          <w:szCs w:val="20"/>
          <w:lang w:val="fr-CA"/>
        </w:rPr>
      </w:pPr>
    </w:p>
    <w:p w:rsidR="004B7F60" w:rsidRPr="00C612D0" w:rsidRDefault="006834B3" w:rsidP="004B7F60">
      <w:pPr>
        <w:pStyle w:val="ListParagraph"/>
        <w:widowControl w:val="0"/>
        <w:numPr>
          <w:ilvl w:val="0"/>
          <w:numId w:val="1"/>
        </w:numPr>
        <w:ind w:hanging="720"/>
        <w:jc w:val="both"/>
        <w:rPr>
          <w:sz w:val="20"/>
          <w:szCs w:val="20"/>
          <w:lang w:val="fr-CA"/>
        </w:rPr>
      </w:pPr>
      <w:r w:rsidRPr="006834B3">
        <w:rPr>
          <w:i/>
          <w:sz w:val="20"/>
          <w:szCs w:val="20"/>
          <w:lang w:val="fr-CA"/>
        </w:rPr>
        <w:t>Gérald Doucet et autre c. Pierre Bourque et autres</w:t>
      </w:r>
      <w:r w:rsidRPr="00DD1874">
        <w:rPr>
          <w:sz w:val="20"/>
          <w:szCs w:val="20"/>
          <w:lang w:val="fr-CA"/>
        </w:rPr>
        <w:t xml:space="preserve"> (Qc) (Civile) (Autorisation)</w:t>
      </w:r>
      <w:r w:rsidRPr="00C612D0">
        <w:rPr>
          <w:sz w:val="20"/>
          <w:szCs w:val="20"/>
          <w:lang w:val="fr-CA"/>
        </w:rPr>
        <w:t xml:space="preserve"> </w:t>
      </w:r>
      <w:r w:rsidR="004B7F60" w:rsidRPr="00C612D0">
        <w:rPr>
          <w:sz w:val="20"/>
          <w:szCs w:val="20"/>
          <w:lang w:val="fr-CA"/>
        </w:rPr>
        <w:t>(3</w:t>
      </w:r>
      <w:r w:rsidR="002F3BD3">
        <w:rPr>
          <w:sz w:val="20"/>
          <w:szCs w:val="20"/>
          <w:lang w:val="fr-CA"/>
        </w:rPr>
        <w:t>511</w:t>
      </w:r>
      <w:r w:rsidR="004B7F60" w:rsidRPr="00C612D0">
        <w:rPr>
          <w:sz w:val="20"/>
          <w:szCs w:val="20"/>
          <w:lang w:val="fr-CA"/>
        </w:rPr>
        <w:t>3)</w:t>
      </w:r>
    </w:p>
    <w:p w:rsidR="004B7F60" w:rsidRPr="00C612D0" w:rsidRDefault="004B7F60" w:rsidP="004B7F60">
      <w:pPr>
        <w:widowControl w:val="0"/>
        <w:rPr>
          <w:sz w:val="20"/>
          <w:szCs w:val="20"/>
          <w:lang w:val="fr-CA"/>
        </w:rPr>
      </w:pPr>
    </w:p>
    <w:p w:rsidR="004B7F60" w:rsidRPr="00115C9E" w:rsidRDefault="006834B3" w:rsidP="004B7F60">
      <w:pPr>
        <w:pStyle w:val="ListParagraph"/>
        <w:widowControl w:val="0"/>
        <w:numPr>
          <w:ilvl w:val="0"/>
          <w:numId w:val="1"/>
        </w:numPr>
        <w:ind w:hanging="720"/>
        <w:jc w:val="both"/>
        <w:rPr>
          <w:sz w:val="20"/>
          <w:szCs w:val="20"/>
          <w:lang w:val="fr-CA"/>
        </w:rPr>
      </w:pPr>
      <w:r w:rsidRPr="006834B3">
        <w:rPr>
          <w:i/>
          <w:sz w:val="20"/>
          <w:szCs w:val="20"/>
        </w:rPr>
        <w:t>Jack W. Leclaire et al. v. Attorney General of Canada et al.</w:t>
      </w:r>
      <w:r w:rsidRPr="00DD1874">
        <w:rPr>
          <w:sz w:val="20"/>
          <w:szCs w:val="20"/>
        </w:rPr>
        <w:t xml:space="preserve"> (Que.) (Civil) (By Leave)</w:t>
      </w:r>
      <w:r w:rsidRPr="00115C9E">
        <w:rPr>
          <w:sz w:val="20"/>
          <w:szCs w:val="20"/>
          <w:lang w:val="fr-CA"/>
        </w:rPr>
        <w:t xml:space="preserve"> </w:t>
      </w:r>
      <w:r w:rsidR="004B7F60" w:rsidRPr="00115C9E">
        <w:rPr>
          <w:sz w:val="20"/>
          <w:szCs w:val="20"/>
          <w:lang w:val="fr-CA"/>
        </w:rPr>
        <w:t>(35</w:t>
      </w:r>
      <w:r w:rsidR="002F3BD3">
        <w:rPr>
          <w:sz w:val="20"/>
          <w:szCs w:val="20"/>
          <w:lang w:val="fr-CA"/>
        </w:rPr>
        <w:t>119</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115C9E" w:rsidRDefault="006834B3" w:rsidP="004B7F60">
      <w:pPr>
        <w:pStyle w:val="ListParagraph"/>
        <w:widowControl w:val="0"/>
        <w:numPr>
          <w:ilvl w:val="0"/>
          <w:numId w:val="1"/>
        </w:numPr>
        <w:ind w:hanging="720"/>
        <w:jc w:val="both"/>
        <w:rPr>
          <w:sz w:val="20"/>
          <w:szCs w:val="20"/>
          <w:lang w:val="fr-CA"/>
        </w:rPr>
      </w:pPr>
      <w:r w:rsidRPr="006834B3">
        <w:rPr>
          <w:i/>
          <w:sz w:val="20"/>
          <w:szCs w:val="20"/>
          <w:lang w:val="fr-CA"/>
        </w:rPr>
        <w:t>Nicholas Smith, fondé de pouvoir au Canada pour les Souscripteurs de Lloyd's c. Marie Audet et autres</w:t>
      </w:r>
      <w:r w:rsidRPr="00DD1874">
        <w:rPr>
          <w:sz w:val="20"/>
          <w:szCs w:val="20"/>
          <w:lang w:val="fr-CA"/>
        </w:rPr>
        <w:t xml:space="preserve"> (Qc) (Civile) (Autorisation)</w:t>
      </w:r>
      <w:r w:rsidRPr="00115C9E">
        <w:rPr>
          <w:sz w:val="20"/>
          <w:szCs w:val="20"/>
          <w:lang w:val="fr-CA"/>
        </w:rPr>
        <w:t xml:space="preserve"> </w:t>
      </w:r>
      <w:r w:rsidR="004B7F60" w:rsidRPr="00115C9E">
        <w:rPr>
          <w:sz w:val="20"/>
          <w:szCs w:val="20"/>
          <w:lang w:val="fr-CA"/>
        </w:rPr>
        <w:t>(35</w:t>
      </w:r>
      <w:r w:rsidR="002F3BD3">
        <w:rPr>
          <w:sz w:val="20"/>
          <w:szCs w:val="20"/>
          <w:lang w:val="fr-CA"/>
        </w:rPr>
        <w:t>098</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C50A5C" w:rsidRDefault="006834B3" w:rsidP="004B7F60">
      <w:pPr>
        <w:pStyle w:val="ListParagraph"/>
        <w:widowControl w:val="0"/>
        <w:numPr>
          <w:ilvl w:val="0"/>
          <w:numId w:val="1"/>
        </w:numPr>
        <w:ind w:hanging="720"/>
        <w:jc w:val="both"/>
        <w:rPr>
          <w:sz w:val="20"/>
          <w:szCs w:val="20"/>
          <w:lang w:val="fr-CA"/>
        </w:rPr>
      </w:pPr>
      <w:r w:rsidRPr="006834B3">
        <w:rPr>
          <w:i/>
          <w:sz w:val="20"/>
          <w:szCs w:val="20"/>
          <w:lang w:val="fr-CA"/>
        </w:rPr>
        <w:t>Les souscripteurs du Lloyd's c. Alimentation Denis &amp; Mario Guillemette Inc. et autres</w:t>
      </w:r>
      <w:r w:rsidRPr="00DD1874">
        <w:rPr>
          <w:sz w:val="20"/>
          <w:szCs w:val="20"/>
          <w:lang w:val="fr-CA"/>
        </w:rPr>
        <w:t xml:space="preserve"> (Qc) (Civile) (Autorisation)</w:t>
      </w:r>
      <w:r w:rsidRPr="00C50A5C">
        <w:rPr>
          <w:sz w:val="20"/>
          <w:szCs w:val="20"/>
          <w:lang w:val="fr-CA"/>
        </w:rPr>
        <w:t xml:space="preserve"> </w:t>
      </w:r>
      <w:r w:rsidR="004B7F60" w:rsidRPr="00C50A5C">
        <w:rPr>
          <w:sz w:val="20"/>
          <w:szCs w:val="20"/>
          <w:lang w:val="fr-CA"/>
        </w:rPr>
        <w:t>(3</w:t>
      </w:r>
      <w:r w:rsidR="002F3BD3">
        <w:rPr>
          <w:sz w:val="20"/>
          <w:szCs w:val="20"/>
          <w:lang w:val="fr-CA"/>
        </w:rPr>
        <w:t>501</w:t>
      </w:r>
      <w:r w:rsidR="004B7F60">
        <w:rPr>
          <w:sz w:val="20"/>
          <w:szCs w:val="20"/>
          <w:lang w:val="fr-CA"/>
        </w:rPr>
        <w:t>1</w:t>
      </w:r>
      <w:r w:rsidR="004B7F60" w:rsidRPr="00C50A5C">
        <w:rPr>
          <w:sz w:val="20"/>
          <w:szCs w:val="20"/>
          <w:lang w:val="fr-CA"/>
        </w:rPr>
        <w:t>)</w:t>
      </w:r>
    </w:p>
    <w:p w:rsidR="004B7F60" w:rsidRDefault="004B7F60" w:rsidP="004B7F60">
      <w:pPr>
        <w:widowControl w:val="0"/>
        <w:rPr>
          <w:sz w:val="20"/>
          <w:szCs w:val="20"/>
          <w:lang w:val="fr-CA"/>
        </w:rPr>
      </w:pPr>
    </w:p>
    <w:p w:rsidR="004B7F60" w:rsidRDefault="004B7F60" w:rsidP="004B7F60">
      <w:pPr>
        <w:widowControl w:val="0"/>
        <w:rPr>
          <w:sz w:val="20"/>
          <w:szCs w:val="20"/>
          <w:lang w:val="fr-CA"/>
        </w:rPr>
      </w:pPr>
    </w:p>
    <w:p w:rsidR="004B7F60" w:rsidRPr="00C50A5C" w:rsidRDefault="004B7F60" w:rsidP="004B7F60">
      <w:pPr>
        <w:widowControl w:val="0"/>
        <w:jc w:val="center"/>
        <w:rPr>
          <w:b/>
          <w:sz w:val="20"/>
          <w:szCs w:val="20"/>
        </w:rPr>
      </w:pPr>
      <w:r w:rsidRPr="00C50A5C">
        <w:rPr>
          <w:b/>
          <w:sz w:val="20"/>
          <w:szCs w:val="20"/>
        </w:rPr>
        <w:t xml:space="preserve">CORAM: </w:t>
      </w:r>
      <w:r w:rsidR="0062714A">
        <w:rPr>
          <w:b/>
          <w:sz w:val="20"/>
          <w:szCs w:val="20"/>
        </w:rPr>
        <w:t>Fi</w:t>
      </w:r>
      <w:r>
        <w:rPr>
          <w:b/>
          <w:sz w:val="20"/>
          <w:szCs w:val="20"/>
        </w:rPr>
        <w:t>sh</w:t>
      </w:r>
      <w:r w:rsidR="0062714A">
        <w:rPr>
          <w:b/>
          <w:sz w:val="20"/>
          <w:szCs w:val="20"/>
        </w:rPr>
        <w:t>,</w:t>
      </w:r>
      <w:r w:rsidRPr="00C50A5C">
        <w:rPr>
          <w:b/>
          <w:sz w:val="20"/>
          <w:szCs w:val="20"/>
        </w:rPr>
        <w:t xml:space="preserve"> </w:t>
      </w:r>
      <w:r w:rsidR="0062714A">
        <w:rPr>
          <w:b/>
          <w:sz w:val="20"/>
          <w:szCs w:val="20"/>
        </w:rPr>
        <w:t>Rot</w:t>
      </w:r>
      <w:r>
        <w:rPr>
          <w:b/>
          <w:sz w:val="20"/>
          <w:szCs w:val="20"/>
        </w:rPr>
        <w:t>h</w:t>
      </w:r>
      <w:r w:rsidR="0062714A">
        <w:rPr>
          <w:b/>
          <w:sz w:val="20"/>
          <w:szCs w:val="20"/>
        </w:rPr>
        <w:t>stein</w:t>
      </w:r>
      <w:r w:rsidRPr="00C50A5C">
        <w:rPr>
          <w:b/>
          <w:sz w:val="20"/>
          <w:szCs w:val="20"/>
        </w:rPr>
        <w:t xml:space="preserve"> and </w:t>
      </w:r>
      <w:r w:rsidR="0062714A">
        <w:rPr>
          <w:b/>
          <w:sz w:val="20"/>
          <w:szCs w:val="20"/>
        </w:rPr>
        <w:t>Mold</w:t>
      </w:r>
      <w:r>
        <w:rPr>
          <w:b/>
          <w:sz w:val="20"/>
          <w:szCs w:val="20"/>
        </w:rPr>
        <w:t>a</w:t>
      </w:r>
      <w:r w:rsidR="0062714A">
        <w:rPr>
          <w:b/>
          <w:sz w:val="20"/>
          <w:szCs w:val="20"/>
        </w:rPr>
        <w:t>ver</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r w:rsidR="0062714A">
        <w:rPr>
          <w:b/>
          <w:sz w:val="20"/>
          <w:szCs w:val="20"/>
          <w:lang w:val="fr-CA"/>
        </w:rPr>
        <w:t>Fi</w:t>
      </w:r>
      <w:r>
        <w:rPr>
          <w:b/>
          <w:sz w:val="20"/>
          <w:szCs w:val="20"/>
          <w:lang w:val="fr-CA"/>
        </w:rPr>
        <w:t>sh</w:t>
      </w:r>
      <w:r w:rsidRPr="00C50A5C">
        <w:rPr>
          <w:b/>
          <w:sz w:val="20"/>
          <w:szCs w:val="20"/>
          <w:lang w:val="fr-CA"/>
        </w:rPr>
        <w:t xml:space="preserve">, </w:t>
      </w:r>
      <w:r w:rsidR="0062714A">
        <w:rPr>
          <w:b/>
          <w:sz w:val="20"/>
          <w:szCs w:val="20"/>
          <w:lang w:val="fr-CA"/>
        </w:rPr>
        <w:t>Rot</w:t>
      </w:r>
      <w:r>
        <w:rPr>
          <w:b/>
          <w:sz w:val="20"/>
          <w:szCs w:val="20"/>
          <w:lang w:val="fr-CA"/>
        </w:rPr>
        <w:t>h</w:t>
      </w:r>
      <w:r w:rsidR="0062714A">
        <w:rPr>
          <w:b/>
          <w:sz w:val="20"/>
          <w:szCs w:val="20"/>
          <w:lang w:val="fr-CA"/>
        </w:rPr>
        <w:t>stein</w:t>
      </w:r>
      <w:r w:rsidRPr="00C50A5C">
        <w:rPr>
          <w:b/>
          <w:sz w:val="20"/>
          <w:szCs w:val="20"/>
          <w:lang w:val="fr-CA"/>
        </w:rPr>
        <w:t xml:space="preserve"> et </w:t>
      </w:r>
      <w:r w:rsidR="0062714A">
        <w:rPr>
          <w:b/>
          <w:sz w:val="20"/>
          <w:szCs w:val="20"/>
          <w:lang w:val="fr-CA"/>
        </w:rPr>
        <w:t>Moldaver</w:t>
      </w:r>
    </w:p>
    <w:p w:rsidR="004B7F60" w:rsidRPr="00C50A5C" w:rsidRDefault="004B7F60" w:rsidP="004B7F60">
      <w:pPr>
        <w:widowControl w:val="0"/>
        <w:rPr>
          <w:sz w:val="20"/>
          <w:szCs w:val="20"/>
          <w:lang w:val="fr-CA"/>
        </w:rPr>
      </w:pPr>
    </w:p>
    <w:p w:rsidR="004B7F60" w:rsidRPr="00C50A5C" w:rsidRDefault="006834B3" w:rsidP="004B7F60">
      <w:pPr>
        <w:pStyle w:val="ListParagraph"/>
        <w:widowControl w:val="0"/>
        <w:numPr>
          <w:ilvl w:val="0"/>
          <w:numId w:val="1"/>
        </w:numPr>
        <w:ind w:hanging="720"/>
        <w:jc w:val="both"/>
        <w:rPr>
          <w:sz w:val="20"/>
          <w:szCs w:val="20"/>
          <w:lang w:val="fr-CA"/>
        </w:rPr>
      </w:pPr>
      <w:r w:rsidRPr="006834B3">
        <w:rPr>
          <w:i/>
          <w:sz w:val="20"/>
          <w:szCs w:val="20"/>
        </w:rPr>
        <w:t>Her Majesty the Queen v. Level Aaron Carvery</w:t>
      </w:r>
      <w:r w:rsidRPr="00DD1874">
        <w:rPr>
          <w:sz w:val="20"/>
          <w:szCs w:val="20"/>
        </w:rPr>
        <w:t xml:space="preserve"> (N.S.) (Crim.) (By Leave)</w:t>
      </w:r>
      <w:r w:rsidRPr="00C50A5C">
        <w:rPr>
          <w:sz w:val="20"/>
          <w:szCs w:val="20"/>
          <w:lang w:val="fr-CA"/>
        </w:rPr>
        <w:t xml:space="preserve"> </w:t>
      </w:r>
      <w:r w:rsidR="004B7F60" w:rsidRPr="00C50A5C">
        <w:rPr>
          <w:sz w:val="20"/>
          <w:szCs w:val="20"/>
          <w:lang w:val="fr-CA"/>
        </w:rPr>
        <w:t>(3</w:t>
      </w:r>
      <w:r w:rsidR="002F3BD3">
        <w:rPr>
          <w:sz w:val="20"/>
          <w:szCs w:val="20"/>
          <w:lang w:val="fr-CA"/>
        </w:rPr>
        <w:t>5115</w:t>
      </w:r>
      <w:r w:rsidR="004B7F60" w:rsidRPr="00C50A5C">
        <w:rPr>
          <w:sz w:val="20"/>
          <w:szCs w:val="20"/>
          <w:lang w:val="fr-CA"/>
        </w:rPr>
        <w:t>)</w:t>
      </w:r>
    </w:p>
    <w:p w:rsidR="004B7F60" w:rsidRDefault="004B7F60" w:rsidP="004B7F60">
      <w:pPr>
        <w:widowControl w:val="0"/>
        <w:jc w:val="both"/>
        <w:rPr>
          <w:sz w:val="20"/>
          <w:szCs w:val="20"/>
          <w:lang w:val="fr-CA"/>
        </w:rPr>
      </w:pPr>
    </w:p>
    <w:p w:rsidR="004B7F60" w:rsidRPr="00115C9E" w:rsidRDefault="006834B3" w:rsidP="004B7F60">
      <w:pPr>
        <w:pStyle w:val="ListParagraph"/>
        <w:widowControl w:val="0"/>
        <w:numPr>
          <w:ilvl w:val="0"/>
          <w:numId w:val="1"/>
        </w:numPr>
        <w:ind w:hanging="720"/>
        <w:jc w:val="both"/>
        <w:rPr>
          <w:sz w:val="20"/>
          <w:szCs w:val="20"/>
        </w:rPr>
      </w:pPr>
      <w:r w:rsidRPr="006834B3">
        <w:rPr>
          <w:i/>
          <w:sz w:val="20"/>
          <w:szCs w:val="20"/>
        </w:rPr>
        <w:t xml:space="preserve">Thomas Leslie Armstrong v. Her Majesty the Queen </w:t>
      </w:r>
      <w:r w:rsidRPr="00DD1874">
        <w:rPr>
          <w:sz w:val="20"/>
          <w:szCs w:val="20"/>
        </w:rPr>
        <w:t>(B.C.) (Crim.) (By Leave)</w:t>
      </w:r>
      <w:r w:rsidRPr="00115C9E">
        <w:rPr>
          <w:sz w:val="20"/>
          <w:szCs w:val="20"/>
        </w:rPr>
        <w:t xml:space="preserve"> </w:t>
      </w:r>
      <w:r w:rsidR="004B7F60" w:rsidRPr="00115C9E">
        <w:rPr>
          <w:sz w:val="20"/>
          <w:szCs w:val="20"/>
        </w:rPr>
        <w:t>(3</w:t>
      </w:r>
      <w:r w:rsidR="002F3BD3">
        <w:rPr>
          <w:sz w:val="20"/>
          <w:szCs w:val="20"/>
        </w:rPr>
        <w:t>5129</w:t>
      </w:r>
      <w:r w:rsidR="004B7F60" w:rsidRPr="00115C9E">
        <w:rPr>
          <w:sz w:val="20"/>
          <w:szCs w:val="20"/>
        </w:rPr>
        <w:t>)</w:t>
      </w:r>
    </w:p>
    <w:p w:rsidR="004B7F60" w:rsidRPr="00115C9E" w:rsidRDefault="004B7F60" w:rsidP="004B7F60">
      <w:pPr>
        <w:widowControl w:val="0"/>
        <w:jc w:val="both"/>
        <w:rPr>
          <w:sz w:val="20"/>
          <w:szCs w:val="20"/>
        </w:rPr>
      </w:pPr>
    </w:p>
    <w:p w:rsidR="004B7F60" w:rsidRPr="00115C9E" w:rsidRDefault="006834B3" w:rsidP="004B7F60">
      <w:pPr>
        <w:pStyle w:val="ListParagraph"/>
        <w:widowControl w:val="0"/>
        <w:numPr>
          <w:ilvl w:val="0"/>
          <w:numId w:val="1"/>
        </w:numPr>
        <w:ind w:hanging="720"/>
        <w:jc w:val="both"/>
        <w:rPr>
          <w:sz w:val="20"/>
          <w:szCs w:val="20"/>
        </w:rPr>
      </w:pPr>
      <w:r w:rsidRPr="006834B3">
        <w:rPr>
          <w:i/>
          <w:sz w:val="20"/>
          <w:szCs w:val="20"/>
        </w:rPr>
        <w:t>Jim Bronskill v. Minister of Canadian Heritage et al.</w:t>
      </w:r>
      <w:r w:rsidRPr="00DD1874">
        <w:rPr>
          <w:sz w:val="20"/>
          <w:szCs w:val="20"/>
        </w:rPr>
        <w:t xml:space="preserve"> (F.C.) (Civil) (By Leave)</w:t>
      </w:r>
      <w:r w:rsidRPr="00115C9E">
        <w:rPr>
          <w:sz w:val="20"/>
          <w:szCs w:val="20"/>
        </w:rPr>
        <w:t xml:space="preserve"> </w:t>
      </w:r>
      <w:r w:rsidR="004B7F60" w:rsidRPr="00115C9E">
        <w:rPr>
          <w:sz w:val="20"/>
          <w:szCs w:val="20"/>
        </w:rPr>
        <w:t>(3</w:t>
      </w:r>
      <w:r w:rsidR="002F3BD3">
        <w:rPr>
          <w:sz w:val="20"/>
          <w:szCs w:val="20"/>
        </w:rPr>
        <w:t>5118</w:t>
      </w:r>
      <w:r w:rsidR="004B7F60" w:rsidRPr="00115C9E">
        <w:rPr>
          <w:sz w:val="20"/>
          <w:szCs w:val="20"/>
        </w:rPr>
        <w:t>)</w:t>
      </w:r>
    </w:p>
    <w:p w:rsidR="004B7F60" w:rsidRDefault="004B7F60" w:rsidP="004B7F60">
      <w:pPr>
        <w:widowControl w:val="0"/>
        <w:rPr>
          <w:sz w:val="20"/>
          <w:szCs w:val="20"/>
        </w:rPr>
      </w:pPr>
    </w:p>
    <w:p w:rsidR="002E2327" w:rsidRDefault="00CB0178" w:rsidP="002E2327">
      <w:pPr>
        <w:widowControl w:val="0"/>
        <w:rPr>
          <w:sz w:val="20"/>
          <w:szCs w:val="20"/>
        </w:rPr>
      </w:pPr>
      <w:r w:rsidRPr="00CB0178">
        <w:rPr>
          <w:sz w:val="20"/>
          <w:szCs w:val="20"/>
        </w:rPr>
        <w:pict>
          <v:rect id="_x0000_i1034" style="width:2in;height:1pt" o:hrpct="0" o:hralign="center" o:hrstd="t" o:hrnoshade="t" o:hr="t" fillcolor="black [3213]" stroked="f"/>
        </w:pict>
      </w:r>
    </w:p>
    <w:p w:rsidR="0099497E" w:rsidRDefault="0099497E" w:rsidP="002E2327">
      <w:pPr>
        <w:widowControl w:val="0"/>
        <w:rPr>
          <w:sz w:val="20"/>
          <w:szCs w:val="20"/>
        </w:rPr>
      </w:pPr>
    </w:p>
    <w:p w:rsidR="0099497E" w:rsidRPr="00C50A5C" w:rsidRDefault="0099497E"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B07D2C"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A32A8F" w:rsidP="008D292F">
      <w:pPr>
        <w:rPr>
          <w:b/>
          <w:sz w:val="20"/>
          <w:szCs w:val="20"/>
        </w:rPr>
      </w:pPr>
      <w:r>
        <w:rPr>
          <w:b/>
          <w:sz w:val="20"/>
          <w:szCs w:val="20"/>
        </w:rPr>
        <w:t>FEB</w:t>
      </w:r>
      <w:r w:rsidR="008D292F" w:rsidRPr="00C50A5C">
        <w:rPr>
          <w:b/>
          <w:sz w:val="20"/>
          <w:szCs w:val="20"/>
        </w:rPr>
        <w:t>R</w:t>
      </w:r>
      <w:r>
        <w:rPr>
          <w:b/>
          <w:sz w:val="20"/>
          <w:szCs w:val="20"/>
        </w:rPr>
        <w:t>UARY</w:t>
      </w:r>
      <w:r w:rsidR="008D292F" w:rsidRPr="00C50A5C">
        <w:rPr>
          <w:b/>
          <w:sz w:val="20"/>
          <w:szCs w:val="20"/>
        </w:rPr>
        <w:t xml:space="preserve"> 2</w:t>
      </w:r>
      <w:r>
        <w:rPr>
          <w:b/>
          <w:sz w:val="20"/>
          <w:szCs w:val="20"/>
        </w:rPr>
        <w:t>8</w:t>
      </w:r>
      <w:r w:rsidR="008D292F" w:rsidRPr="00C50A5C">
        <w:rPr>
          <w:b/>
          <w:sz w:val="20"/>
          <w:szCs w:val="20"/>
        </w:rPr>
        <w:t>, 201</w:t>
      </w:r>
      <w:r>
        <w:rPr>
          <w:b/>
          <w:sz w:val="20"/>
          <w:szCs w:val="20"/>
        </w:rPr>
        <w:t>3</w:t>
      </w:r>
      <w:r w:rsidR="008D292F" w:rsidRPr="00C50A5C">
        <w:rPr>
          <w:b/>
          <w:sz w:val="20"/>
          <w:szCs w:val="20"/>
        </w:rPr>
        <w:t xml:space="preserve"> / LE 2</w:t>
      </w:r>
      <w:r>
        <w:rPr>
          <w:b/>
          <w:sz w:val="20"/>
          <w:szCs w:val="20"/>
        </w:rPr>
        <w:t>8 FÉ</w:t>
      </w:r>
      <w:r w:rsidR="008D292F" w:rsidRPr="00C50A5C">
        <w:rPr>
          <w:b/>
          <w:sz w:val="20"/>
          <w:szCs w:val="20"/>
        </w:rPr>
        <w:t>VRI</w:t>
      </w:r>
      <w:r>
        <w:rPr>
          <w:b/>
          <w:sz w:val="20"/>
          <w:szCs w:val="20"/>
        </w:rPr>
        <w:t>ER</w:t>
      </w:r>
      <w:r w:rsidR="008D292F" w:rsidRPr="00C50A5C">
        <w:rPr>
          <w:b/>
          <w:sz w:val="20"/>
          <w:szCs w:val="20"/>
        </w:rPr>
        <w:t xml:space="preserve"> 201</w:t>
      </w:r>
      <w:r>
        <w:rPr>
          <w:b/>
          <w:sz w:val="20"/>
          <w:szCs w:val="20"/>
        </w:rPr>
        <w:t>3</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8316E" w:rsidRPr="00104479" w:rsidTr="00D54B9C">
        <w:trPr>
          <w:cantSplit/>
        </w:trPr>
        <w:tc>
          <w:tcPr>
            <w:tcW w:w="1458" w:type="dxa"/>
          </w:tcPr>
          <w:p w:rsidR="0078316E" w:rsidRPr="00104479" w:rsidRDefault="0078316E" w:rsidP="00D54B9C">
            <w:pPr>
              <w:rPr>
                <w:sz w:val="20"/>
                <w:szCs w:val="20"/>
              </w:rPr>
            </w:pPr>
            <w:r w:rsidRPr="00104479">
              <w:rPr>
                <w:rStyle w:val="SCCFileNumberChar"/>
                <w:sz w:val="20"/>
                <w:szCs w:val="20"/>
              </w:rPr>
              <w:t>34346</w:t>
            </w:r>
          </w:p>
          <w:p w:rsidR="0078316E" w:rsidRPr="00104479" w:rsidRDefault="0078316E" w:rsidP="00D54B9C">
            <w:pPr>
              <w:rPr>
                <w:b/>
                <w:sz w:val="20"/>
                <w:szCs w:val="20"/>
                <w:lang w:val="fr-CA"/>
              </w:rPr>
            </w:pPr>
          </w:p>
        </w:tc>
        <w:tc>
          <w:tcPr>
            <w:tcW w:w="8118" w:type="dxa"/>
          </w:tcPr>
          <w:p w:rsidR="0078316E" w:rsidRPr="00104479" w:rsidRDefault="0078316E" w:rsidP="00D54B9C">
            <w:pPr>
              <w:rPr>
                <w:sz w:val="20"/>
                <w:szCs w:val="20"/>
              </w:rPr>
            </w:pPr>
            <w:r w:rsidRPr="00104479">
              <w:rPr>
                <w:rStyle w:val="SCCLsocChar"/>
                <w:sz w:val="20"/>
                <w:szCs w:val="20"/>
                <w:lang w:val="en-CA"/>
              </w:rPr>
              <w:t>Zakaria Amara v. Her Majesty the Queen</w:t>
            </w:r>
            <w:r w:rsidRPr="00104479">
              <w:rPr>
                <w:sz w:val="20"/>
                <w:szCs w:val="20"/>
              </w:rPr>
              <w:t xml:space="preserve"> (Ont.) (Criminal) (By Leave)</w:t>
            </w:r>
          </w:p>
          <w:p w:rsidR="0078316E" w:rsidRPr="00104479" w:rsidRDefault="0078316E" w:rsidP="00D54B9C">
            <w:pPr>
              <w:rPr>
                <w:sz w:val="20"/>
                <w:szCs w:val="20"/>
              </w:rPr>
            </w:pPr>
          </w:p>
        </w:tc>
      </w:tr>
      <w:tr w:rsidR="0078316E" w:rsidRPr="00104479" w:rsidTr="00D54B9C">
        <w:trPr>
          <w:cantSplit/>
        </w:trPr>
        <w:tc>
          <w:tcPr>
            <w:tcW w:w="1458" w:type="dxa"/>
          </w:tcPr>
          <w:p w:rsidR="0078316E" w:rsidRDefault="0078316E" w:rsidP="00D54B9C">
            <w:pPr>
              <w:rPr>
                <w:sz w:val="20"/>
                <w:szCs w:val="20"/>
              </w:rPr>
            </w:pPr>
            <w:r w:rsidRPr="00104479">
              <w:rPr>
                <w:sz w:val="20"/>
                <w:szCs w:val="20"/>
              </w:rPr>
              <w:t>Coram :</w:t>
            </w:r>
          </w:p>
          <w:p w:rsidR="00B07D2C" w:rsidRPr="00104479" w:rsidRDefault="00B07D2C" w:rsidP="00D54B9C">
            <w:pPr>
              <w:rPr>
                <w:sz w:val="20"/>
                <w:szCs w:val="20"/>
              </w:rPr>
            </w:pPr>
          </w:p>
        </w:tc>
        <w:tc>
          <w:tcPr>
            <w:tcW w:w="8118" w:type="dxa"/>
          </w:tcPr>
          <w:p w:rsidR="0078316E" w:rsidRPr="00104479" w:rsidRDefault="0078316E" w:rsidP="00D54B9C">
            <w:pPr>
              <w:rPr>
                <w:sz w:val="20"/>
                <w:szCs w:val="20"/>
              </w:rPr>
            </w:pPr>
            <w:r w:rsidRPr="00104479">
              <w:rPr>
                <w:rStyle w:val="SCCCoramChar"/>
                <w:sz w:val="20"/>
                <w:szCs w:val="20"/>
                <w:lang w:val="en-CA"/>
              </w:rPr>
              <w:t>LeBel, Abella and Rothstein JJ.</w:t>
            </w:r>
          </w:p>
          <w:p w:rsidR="0078316E" w:rsidRPr="00104479" w:rsidRDefault="0078316E" w:rsidP="00D54B9C">
            <w:pPr>
              <w:rPr>
                <w:sz w:val="20"/>
                <w:szCs w:val="20"/>
                <w:u w:val="single"/>
              </w:rPr>
            </w:pPr>
          </w:p>
        </w:tc>
      </w:tr>
      <w:tr w:rsidR="0078316E" w:rsidRPr="00B07D2C" w:rsidTr="00D54B9C">
        <w:trPr>
          <w:cantSplit/>
        </w:trPr>
        <w:tc>
          <w:tcPr>
            <w:tcW w:w="9576" w:type="dxa"/>
            <w:gridSpan w:val="2"/>
          </w:tcPr>
          <w:p w:rsidR="0078316E" w:rsidRPr="00104479" w:rsidRDefault="0078316E" w:rsidP="00D54B9C">
            <w:pPr>
              <w:pStyle w:val="SCCShortJudgment"/>
              <w:rPr>
                <w:szCs w:val="20"/>
              </w:rPr>
            </w:pPr>
            <w:r w:rsidRPr="00104479">
              <w:rPr>
                <w:szCs w:val="20"/>
              </w:rPr>
              <w:t>The motion for an extension of time to serve and file the application for leave to appeal is granted. The application for leave to appeal from the judgment of the Court of Appeal for Ontario, Number C52036, 2010 ONCA 858, dated December 17, 2010, is dismissed without costs.</w:t>
            </w:r>
          </w:p>
          <w:p w:rsidR="0078316E" w:rsidRPr="00104479" w:rsidRDefault="0078316E" w:rsidP="00D54B9C">
            <w:pPr>
              <w:pStyle w:val="SCCShortJudgment"/>
              <w:ind w:firstLine="0"/>
              <w:rPr>
                <w:szCs w:val="20"/>
              </w:rPr>
            </w:pPr>
          </w:p>
          <w:p w:rsidR="0078316E" w:rsidRPr="00104479" w:rsidRDefault="0078316E" w:rsidP="00D54B9C">
            <w:pPr>
              <w:pStyle w:val="SCCShortJudgment"/>
              <w:rPr>
                <w:szCs w:val="20"/>
                <w:lang w:val="fr-CA"/>
              </w:rPr>
            </w:pPr>
            <w:r w:rsidRPr="00104479">
              <w:rPr>
                <w:szCs w:val="20"/>
                <w:lang w:val="fr-CA"/>
              </w:rPr>
              <w:t>La requête en prorogation du délai de signification et de dépôt de la demande d’autorisation d’appel est accueillie. La demande d’autorisation d’appel de l’arrêt de la Cour d’appel de l’Ontario, numéro C52036, 2010 ONCA 858, daté du 17 décembre 2010, est rejetée sans dépens.</w:t>
            </w:r>
          </w:p>
        </w:tc>
      </w:tr>
    </w:tbl>
    <w:p w:rsidR="00A32A8F" w:rsidRPr="00A32A8F" w:rsidRDefault="00A32A8F" w:rsidP="00A32A8F">
      <w:pPr>
        <w:rPr>
          <w:sz w:val="20"/>
          <w:szCs w:val="20"/>
          <w:lang w:val="fr-CA"/>
        </w:rPr>
      </w:pPr>
    </w:p>
    <w:p w:rsidR="00A32A8F" w:rsidRDefault="00A32A8F" w:rsidP="00A32A8F">
      <w:pPr>
        <w:rPr>
          <w:sz w:val="20"/>
          <w:szCs w:val="20"/>
          <w:u w:val="single"/>
        </w:rPr>
      </w:pPr>
      <w:r w:rsidRPr="001B157C">
        <w:rPr>
          <w:sz w:val="20"/>
          <w:szCs w:val="20"/>
          <w:u w:val="single"/>
        </w:rPr>
        <w:t>CASE SUMMARY</w:t>
      </w:r>
    </w:p>
    <w:p w:rsidR="00A32A8F" w:rsidRDefault="00A32A8F" w:rsidP="00A32A8F">
      <w:pPr>
        <w:rPr>
          <w:sz w:val="20"/>
          <w:szCs w:val="20"/>
        </w:rPr>
      </w:pPr>
    </w:p>
    <w:tbl>
      <w:tblPr>
        <w:tblW w:w="5000" w:type="pct"/>
        <w:tblLayout w:type="fixed"/>
        <w:tblCellMar>
          <w:left w:w="0" w:type="dxa"/>
          <w:bottom w:w="99" w:type="dxa"/>
          <w:right w:w="0" w:type="dxa"/>
        </w:tblCellMar>
        <w:tblLook w:val="04A0"/>
      </w:tblPr>
      <w:tblGrid>
        <w:gridCol w:w="4554"/>
        <w:gridCol w:w="514"/>
        <w:gridCol w:w="4459"/>
        <w:gridCol w:w="92"/>
      </w:tblGrid>
      <w:tr w:rsidR="00B156A6" w:rsidRPr="00FF00BC" w:rsidTr="00902B1D">
        <w:trPr>
          <w:gridAfter w:val="1"/>
          <w:wAfter w:w="48" w:type="pct"/>
        </w:trPr>
        <w:tc>
          <w:tcPr>
            <w:tcW w:w="4952" w:type="pct"/>
            <w:gridSpan w:val="3"/>
          </w:tcPr>
          <w:p w:rsidR="00B156A6" w:rsidRPr="00FF00BC" w:rsidRDefault="00B156A6" w:rsidP="00902B1D">
            <w:pPr>
              <w:pStyle w:val="SCCBanSummary"/>
              <w:rPr>
                <w:sz w:val="20"/>
                <w:szCs w:val="20"/>
              </w:rPr>
            </w:pPr>
            <w:r w:rsidRPr="00FF00BC">
              <w:rPr>
                <w:smallCaps w:val="0"/>
                <w:sz w:val="20"/>
                <w:szCs w:val="20"/>
              </w:rPr>
              <w:t>Criminal law — Sentencing — Applicant sentenced to maximum sentence of life in prison without parole for ten years for terrorism — Appeal from sentence dismissed — Was maximum sentence reasonable in Applicant’s case? — What sentencing principles apply to terrorism offences?</w:t>
            </w:r>
          </w:p>
        </w:tc>
      </w:tr>
      <w:tr w:rsidR="00B156A6" w:rsidRPr="00FF00BC" w:rsidTr="00902B1D">
        <w:trPr>
          <w:gridAfter w:val="1"/>
          <w:wAfter w:w="48" w:type="pct"/>
        </w:trPr>
        <w:tc>
          <w:tcPr>
            <w:tcW w:w="4952" w:type="pct"/>
            <w:gridSpan w:val="3"/>
          </w:tcPr>
          <w:p w:rsidR="00B156A6" w:rsidRPr="00FF00BC" w:rsidRDefault="00B156A6" w:rsidP="00902B1D">
            <w:pPr>
              <w:pStyle w:val="SCCBanSummary"/>
              <w:rPr>
                <w:smallCaps w:val="0"/>
                <w:sz w:val="20"/>
                <w:szCs w:val="20"/>
              </w:rPr>
            </w:pPr>
          </w:p>
        </w:tc>
      </w:tr>
      <w:tr w:rsidR="00B156A6" w:rsidRPr="00FF00BC" w:rsidTr="00902B1D">
        <w:trPr>
          <w:gridAfter w:val="1"/>
          <w:wAfter w:w="48" w:type="pct"/>
        </w:trPr>
        <w:tc>
          <w:tcPr>
            <w:tcW w:w="4952" w:type="pct"/>
            <w:gridSpan w:val="3"/>
          </w:tcPr>
          <w:p w:rsidR="00B156A6" w:rsidRPr="00FF00BC" w:rsidRDefault="00B156A6" w:rsidP="00902B1D">
            <w:pPr>
              <w:jc w:val="both"/>
              <w:rPr>
                <w:sz w:val="20"/>
                <w:szCs w:val="20"/>
              </w:rPr>
            </w:pPr>
            <w:r w:rsidRPr="00FF00BC">
              <w:rPr>
                <w:sz w:val="20"/>
                <w:szCs w:val="20"/>
              </w:rPr>
              <w:t xml:space="preserve">On October 8, 2009, the applicant, Mr. Amara, a member of the so-called “Toronto 18”, entered guilty pleas before Durno J. of the Superior Court of Justice on two counts of terrorism.  Durno J. referred to the first count as the “camp plot” and the second, as the “bomb plot”. </w:t>
            </w:r>
          </w:p>
          <w:p w:rsidR="00B156A6" w:rsidRPr="00FF00BC" w:rsidRDefault="00B156A6" w:rsidP="00902B1D">
            <w:pPr>
              <w:jc w:val="both"/>
              <w:rPr>
                <w:sz w:val="20"/>
                <w:szCs w:val="20"/>
              </w:rPr>
            </w:pPr>
          </w:p>
          <w:p w:rsidR="00B156A6" w:rsidRPr="00FF00BC" w:rsidRDefault="00B156A6" w:rsidP="00902B1D">
            <w:pPr>
              <w:jc w:val="both"/>
              <w:rPr>
                <w:sz w:val="20"/>
                <w:szCs w:val="20"/>
              </w:rPr>
            </w:pPr>
            <w:r w:rsidRPr="00FF00BC">
              <w:rPr>
                <w:sz w:val="20"/>
                <w:szCs w:val="20"/>
              </w:rPr>
              <w:t>On January 18, 2010, Mr. Amara was sentenced on the camp plot for 21 months’ imprisonment. In arriving at that sentence, the judge credited Mr. Amara with seven years and three months for the 43 months and 18 days that he had spent in pre-sentence custody. Hence, on that count, Mr. Amara received the equivalent of a nine-year sentence.  Mr. Amara did not contest that sentence on appeal.</w:t>
            </w:r>
          </w:p>
          <w:p w:rsidR="00B156A6" w:rsidRPr="00FF00BC" w:rsidRDefault="00B156A6" w:rsidP="00902B1D">
            <w:pPr>
              <w:jc w:val="both"/>
              <w:rPr>
                <w:sz w:val="20"/>
                <w:szCs w:val="20"/>
              </w:rPr>
            </w:pPr>
          </w:p>
          <w:p w:rsidR="00B156A6" w:rsidRPr="00FF00BC" w:rsidRDefault="00B156A6" w:rsidP="00902B1D">
            <w:pPr>
              <w:jc w:val="both"/>
              <w:rPr>
                <w:sz w:val="20"/>
                <w:szCs w:val="20"/>
              </w:rPr>
            </w:pPr>
            <w:r w:rsidRPr="00FF00BC">
              <w:rPr>
                <w:sz w:val="20"/>
                <w:szCs w:val="20"/>
              </w:rPr>
              <w:t xml:space="preserve">In respect of the bomb plot, Mr. Amara was sentenced to life imprisonment.  Under s. 743.6(1.2) of the </w:t>
            </w:r>
            <w:r w:rsidRPr="00FF00BC">
              <w:rPr>
                <w:i/>
                <w:sz w:val="20"/>
                <w:szCs w:val="20"/>
              </w:rPr>
              <w:t>Criminal Code</w:t>
            </w:r>
            <w:r w:rsidRPr="00FF00BC">
              <w:rPr>
                <w:sz w:val="20"/>
                <w:szCs w:val="20"/>
              </w:rPr>
              <w:t>, the judge fixed the period of Mr. Amara’s parole ineligibility at ten years from the date of his arrest.</w:t>
            </w:r>
          </w:p>
          <w:p w:rsidR="00B156A6" w:rsidRPr="00FF00BC" w:rsidRDefault="00B156A6" w:rsidP="00902B1D">
            <w:pPr>
              <w:jc w:val="both"/>
              <w:rPr>
                <w:sz w:val="20"/>
                <w:szCs w:val="20"/>
              </w:rPr>
            </w:pPr>
          </w:p>
          <w:p w:rsidR="00B156A6" w:rsidRPr="00FF00BC" w:rsidRDefault="00B156A6" w:rsidP="00902B1D">
            <w:pPr>
              <w:jc w:val="both"/>
              <w:rPr>
                <w:sz w:val="20"/>
                <w:szCs w:val="20"/>
              </w:rPr>
            </w:pPr>
            <w:r w:rsidRPr="00FF00BC">
              <w:rPr>
                <w:sz w:val="20"/>
                <w:szCs w:val="20"/>
              </w:rPr>
              <w:t>The Court of Appeal dismissed Mr. Amara’s appeal from the life sentence imposed in connection with the bomb plot.</w:t>
            </w:r>
          </w:p>
          <w:p w:rsidR="00B156A6" w:rsidRPr="00FF00BC" w:rsidRDefault="00B156A6" w:rsidP="00902B1D">
            <w:pPr>
              <w:jc w:val="both"/>
              <w:rPr>
                <w:sz w:val="20"/>
                <w:szCs w:val="20"/>
              </w:rPr>
            </w:pPr>
          </w:p>
        </w:tc>
      </w:tr>
      <w:tr w:rsidR="00B156A6" w:rsidRPr="00FF00BC" w:rsidTr="00902B1D">
        <w:tblPrEx>
          <w:tblCellMar>
            <w:bottom w:w="0" w:type="dxa"/>
          </w:tblCellMar>
        </w:tblPrEx>
        <w:tc>
          <w:tcPr>
            <w:tcW w:w="2367" w:type="pct"/>
          </w:tcPr>
          <w:p w:rsidR="00B156A6" w:rsidRPr="00FF00BC" w:rsidRDefault="00B156A6" w:rsidP="00902B1D">
            <w:pPr>
              <w:jc w:val="both"/>
              <w:rPr>
                <w:sz w:val="20"/>
                <w:szCs w:val="20"/>
              </w:rPr>
            </w:pPr>
            <w:r w:rsidRPr="00FF00BC">
              <w:rPr>
                <w:sz w:val="20"/>
                <w:szCs w:val="20"/>
              </w:rPr>
              <w:t>January 18, 2010</w:t>
            </w:r>
          </w:p>
          <w:p w:rsidR="00B156A6" w:rsidRPr="00FF00BC" w:rsidRDefault="00B156A6" w:rsidP="00902B1D">
            <w:pPr>
              <w:jc w:val="both"/>
              <w:rPr>
                <w:sz w:val="20"/>
                <w:szCs w:val="20"/>
              </w:rPr>
            </w:pPr>
            <w:r w:rsidRPr="00FF00BC">
              <w:rPr>
                <w:sz w:val="20"/>
                <w:szCs w:val="20"/>
              </w:rPr>
              <w:t>Ontario Superior Court of Justice</w:t>
            </w:r>
          </w:p>
          <w:p w:rsidR="00B156A6" w:rsidRPr="00FF00BC" w:rsidRDefault="00B156A6" w:rsidP="00902B1D">
            <w:pPr>
              <w:jc w:val="both"/>
              <w:rPr>
                <w:sz w:val="20"/>
                <w:szCs w:val="20"/>
              </w:rPr>
            </w:pPr>
            <w:r w:rsidRPr="00FF00BC">
              <w:rPr>
                <w:sz w:val="20"/>
                <w:szCs w:val="20"/>
              </w:rPr>
              <w:t>(Durno J.)</w:t>
            </w:r>
          </w:p>
          <w:p w:rsidR="00B156A6" w:rsidRPr="00FF00BC" w:rsidRDefault="00B156A6" w:rsidP="00902B1D">
            <w:pPr>
              <w:jc w:val="both"/>
              <w:rPr>
                <w:sz w:val="20"/>
                <w:szCs w:val="20"/>
              </w:rPr>
            </w:pPr>
            <w:r w:rsidRPr="00FF00BC">
              <w:rPr>
                <w:sz w:val="20"/>
                <w:szCs w:val="20"/>
              </w:rPr>
              <w:t xml:space="preserve">Neutral citation: 2010 ONSC 441 </w:t>
            </w:r>
          </w:p>
          <w:p w:rsidR="00B156A6" w:rsidRPr="00FF00BC" w:rsidRDefault="00B156A6" w:rsidP="00902B1D">
            <w:pPr>
              <w:jc w:val="both"/>
              <w:rPr>
                <w:sz w:val="20"/>
                <w:szCs w:val="20"/>
              </w:rPr>
            </w:pPr>
          </w:p>
        </w:tc>
        <w:tc>
          <w:tcPr>
            <w:tcW w:w="267" w:type="pct"/>
          </w:tcPr>
          <w:p w:rsidR="00B156A6" w:rsidRPr="00FF00BC" w:rsidRDefault="00B156A6" w:rsidP="00902B1D">
            <w:pPr>
              <w:jc w:val="both"/>
              <w:rPr>
                <w:sz w:val="20"/>
                <w:szCs w:val="20"/>
              </w:rPr>
            </w:pPr>
          </w:p>
        </w:tc>
        <w:tc>
          <w:tcPr>
            <w:tcW w:w="2366" w:type="pct"/>
            <w:gridSpan w:val="2"/>
          </w:tcPr>
          <w:p w:rsidR="00B156A6" w:rsidRPr="00FF00BC" w:rsidRDefault="00B156A6" w:rsidP="00902B1D">
            <w:pPr>
              <w:jc w:val="both"/>
              <w:rPr>
                <w:sz w:val="20"/>
                <w:szCs w:val="20"/>
              </w:rPr>
            </w:pPr>
            <w:r w:rsidRPr="00FF00BC">
              <w:rPr>
                <w:sz w:val="20"/>
                <w:szCs w:val="20"/>
              </w:rPr>
              <w:t>Life sentence imposed with no parole eligibility for ten years.</w:t>
            </w:r>
          </w:p>
          <w:p w:rsidR="00B156A6" w:rsidRPr="00FF00BC" w:rsidRDefault="00B156A6" w:rsidP="00902B1D">
            <w:pPr>
              <w:jc w:val="both"/>
              <w:rPr>
                <w:sz w:val="20"/>
                <w:szCs w:val="20"/>
              </w:rPr>
            </w:pPr>
          </w:p>
        </w:tc>
      </w:tr>
      <w:tr w:rsidR="00B156A6" w:rsidRPr="00FF00BC" w:rsidTr="00902B1D">
        <w:tblPrEx>
          <w:tblCellMar>
            <w:bottom w:w="0" w:type="dxa"/>
          </w:tblCellMar>
        </w:tblPrEx>
        <w:tc>
          <w:tcPr>
            <w:tcW w:w="2367" w:type="pct"/>
          </w:tcPr>
          <w:p w:rsidR="00B156A6" w:rsidRPr="00FF00BC" w:rsidRDefault="00B156A6" w:rsidP="00902B1D">
            <w:pPr>
              <w:jc w:val="both"/>
              <w:rPr>
                <w:sz w:val="20"/>
                <w:szCs w:val="20"/>
              </w:rPr>
            </w:pPr>
            <w:r w:rsidRPr="00FF00BC">
              <w:rPr>
                <w:sz w:val="20"/>
                <w:szCs w:val="20"/>
              </w:rPr>
              <w:t>December 17, 2010</w:t>
            </w:r>
          </w:p>
          <w:p w:rsidR="00B156A6" w:rsidRPr="00FF00BC" w:rsidRDefault="00B156A6" w:rsidP="00902B1D">
            <w:pPr>
              <w:jc w:val="both"/>
              <w:rPr>
                <w:sz w:val="20"/>
                <w:szCs w:val="20"/>
              </w:rPr>
            </w:pPr>
            <w:r w:rsidRPr="00FF00BC">
              <w:rPr>
                <w:sz w:val="20"/>
                <w:szCs w:val="20"/>
              </w:rPr>
              <w:t>Court of Appeal for Ontario</w:t>
            </w:r>
          </w:p>
          <w:p w:rsidR="00B156A6" w:rsidRPr="00FF00BC" w:rsidRDefault="00B156A6" w:rsidP="00902B1D">
            <w:pPr>
              <w:jc w:val="both"/>
              <w:rPr>
                <w:sz w:val="20"/>
                <w:szCs w:val="20"/>
              </w:rPr>
            </w:pPr>
            <w:r w:rsidRPr="00FF00BC">
              <w:rPr>
                <w:sz w:val="20"/>
                <w:szCs w:val="20"/>
              </w:rPr>
              <w:t>(Doherty, Moldaver and Cronk JJ.A.)</w:t>
            </w:r>
          </w:p>
          <w:p w:rsidR="00B156A6" w:rsidRPr="00FF00BC" w:rsidRDefault="00B156A6" w:rsidP="00902B1D">
            <w:pPr>
              <w:jc w:val="both"/>
              <w:rPr>
                <w:sz w:val="20"/>
                <w:szCs w:val="20"/>
              </w:rPr>
            </w:pPr>
            <w:r w:rsidRPr="00FF00BC">
              <w:rPr>
                <w:sz w:val="20"/>
                <w:szCs w:val="20"/>
              </w:rPr>
              <w:t>Neutral citation: 2010 ONCA 858</w:t>
            </w:r>
          </w:p>
          <w:p w:rsidR="00B156A6" w:rsidRPr="00FF00BC" w:rsidRDefault="00B156A6" w:rsidP="00902B1D">
            <w:pPr>
              <w:jc w:val="both"/>
              <w:rPr>
                <w:sz w:val="20"/>
                <w:szCs w:val="20"/>
              </w:rPr>
            </w:pPr>
          </w:p>
        </w:tc>
        <w:tc>
          <w:tcPr>
            <w:tcW w:w="267" w:type="pct"/>
          </w:tcPr>
          <w:p w:rsidR="00B156A6" w:rsidRPr="00FF00BC" w:rsidRDefault="00B156A6" w:rsidP="00902B1D">
            <w:pPr>
              <w:jc w:val="both"/>
              <w:rPr>
                <w:sz w:val="20"/>
                <w:szCs w:val="20"/>
              </w:rPr>
            </w:pPr>
          </w:p>
        </w:tc>
        <w:tc>
          <w:tcPr>
            <w:tcW w:w="2366" w:type="pct"/>
            <w:gridSpan w:val="2"/>
          </w:tcPr>
          <w:p w:rsidR="00B156A6" w:rsidRPr="00FF00BC" w:rsidRDefault="00B156A6" w:rsidP="00902B1D">
            <w:pPr>
              <w:jc w:val="both"/>
              <w:rPr>
                <w:sz w:val="20"/>
                <w:szCs w:val="20"/>
              </w:rPr>
            </w:pPr>
            <w:r w:rsidRPr="00FF00BC">
              <w:rPr>
                <w:sz w:val="20"/>
                <w:szCs w:val="20"/>
              </w:rPr>
              <w:t>Appeal from sentence dismissed.</w:t>
            </w:r>
          </w:p>
          <w:p w:rsidR="00B156A6" w:rsidRPr="00FF00BC" w:rsidRDefault="00B156A6" w:rsidP="00902B1D">
            <w:pPr>
              <w:jc w:val="both"/>
              <w:rPr>
                <w:sz w:val="20"/>
                <w:szCs w:val="20"/>
              </w:rPr>
            </w:pPr>
          </w:p>
        </w:tc>
      </w:tr>
      <w:tr w:rsidR="00B156A6" w:rsidRPr="00FF00BC" w:rsidTr="00902B1D">
        <w:tblPrEx>
          <w:tblCellMar>
            <w:bottom w:w="0" w:type="dxa"/>
          </w:tblCellMar>
        </w:tblPrEx>
        <w:tc>
          <w:tcPr>
            <w:tcW w:w="2367" w:type="pct"/>
          </w:tcPr>
          <w:p w:rsidR="00B156A6" w:rsidRPr="00FF00BC" w:rsidRDefault="00B156A6" w:rsidP="00902B1D">
            <w:pPr>
              <w:jc w:val="both"/>
              <w:rPr>
                <w:sz w:val="20"/>
                <w:szCs w:val="20"/>
              </w:rPr>
            </w:pPr>
            <w:r w:rsidRPr="00FF00BC">
              <w:rPr>
                <w:sz w:val="20"/>
                <w:szCs w:val="20"/>
              </w:rPr>
              <w:t>July 12, 2011</w:t>
            </w:r>
          </w:p>
          <w:p w:rsidR="00B156A6" w:rsidRPr="00FF00BC" w:rsidRDefault="00B156A6" w:rsidP="00902B1D">
            <w:pPr>
              <w:jc w:val="both"/>
              <w:rPr>
                <w:sz w:val="20"/>
                <w:szCs w:val="20"/>
              </w:rPr>
            </w:pPr>
            <w:r w:rsidRPr="00FF00BC">
              <w:rPr>
                <w:sz w:val="20"/>
                <w:szCs w:val="20"/>
              </w:rPr>
              <w:t>Supreme Court of Canada</w:t>
            </w:r>
          </w:p>
          <w:p w:rsidR="00B156A6" w:rsidRPr="00FF00BC" w:rsidRDefault="00B156A6" w:rsidP="00902B1D">
            <w:pPr>
              <w:jc w:val="both"/>
              <w:rPr>
                <w:sz w:val="20"/>
                <w:szCs w:val="20"/>
              </w:rPr>
            </w:pPr>
          </w:p>
          <w:p w:rsidR="00B156A6" w:rsidRPr="00FF00BC" w:rsidRDefault="00B156A6" w:rsidP="00902B1D">
            <w:pPr>
              <w:jc w:val="both"/>
              <w:rPr>
                <w:sz w:val="20"/>
                <w:szCs w:val="20"/>
              </w:rPr>
            </w:pPr>
          </w:p>
        </w:tc>
        <w:tc>
          <w:tcPr>
            <w:tcW w:w="267" w:type="pct"/>
          </w:tcPr>
          <w:p w:rsidR="00B156A6" w:rsidRPr="00FF00BC" w:rsidRDefault="00B156A6" w:rsidP="00902B1D">
            <w:pPr>
              <w:jc w:val="both"/>
              <w:rPr>
                <w:sz w:val="20"/>
                <w:szCs w:val="20"/>
              </w:rPr>
            </w:pPr>
          </w:p>
        </w:tc>
        <w:tc>
          <w:tcPr>
            <w:tcW w:w="2366" w:type="pct"/>
            <w:gridSpan w:val="2"/>
          </w:tcPr>
          <w:p w:rsidR="00B156A6" w:rsidRPr="00FF00BC" w:rsidRDefault="00B156A6" w:rsidP="00902B1D">
            <w:pPr>
              <w:jc w:val="both"/>
              <w:rPr>
                <w:sz w:val="20"/>
                <w:szCs w:val="20"/>
              </w:rPr>
            </w:pPr>
            <w:r w:rsidRPr="00FF00BC">
              <w:rPr>
                <w:sz w:val="20"/>
                <w:szCs w:val="20"/>
              </w:rPr>
              <w:t>Motion for an extension of time to file and serve the application for leave to appeal was filed together with the application itself.</w:t>
            </w:r>
          </w:p>
        </w:tc>
      </w:tr>
    </w:tbl>
    <w:p w:rsidR="00A32A8F" w:rsidRDefault="00A32A8F" w:rsidP="00A32A8F">
      <w:pPr>
        <w:rPr>
          <w:sz w:val="20"/>
          <w:szCs w:val="20"/>
        </w:rPr>
      </w:pPr>
    </w:p>
    <w:p w:rsidR="00A32A8F" w:rsidRDefault="00CB0178" w:rsidP="00A32A8F">
      <w:pPr>
        <w:rPr>
          <w:sz w:val="20"/>
          <w:szCs w:val="20"/>
        </w:rPr>
      </w:pPr>
      <w:r w:rsidRPr="00CB0178">
        <w:rPr>
          <w:sz w:val="20"/>
          <w:szCs w:val="20"/>
          <w:lang w:val="fr-CA"/>
        </w:rPr>
        <w:pict>
          <v:rect id="_x0000_i1037" style="width:2in;height:1pt" o:hrpct="0" o:hralign="center" o:hrstd="t" o:hrnoshade="t" o:hr="t" fillcolor="black [3213]" stroked="f"/>
        </w:pict>
      </w:r>
    </w:p>
    <w:p w:rsidR="00A32A8F" w:rsidRDefault="00A32A8F" w:rsidP="00A32A8F">
      <w:pPr>
        <w:rPr>
          <w:sz w:val="20"/>
          <w:szCs w:val="20"/>
        </w:rPr>
      </w:pPr>
    </w:p>
    <w:p w:rsidR="00A32A8F" w:rsidRPr="001B157C" w:rsidRDefault="00A32A8F" w:rsidP="00A32A8F">
      <w:pPr>
        <w:rPr>
          <w:sz w:val="20"/>
          <w:szCs w:val="20"/>
          <w:u w:val="single"/>
          <w:lang w:val="fr-CA"/>
        </w:rPr>
      </w:pPr>
      <w:r w:rsidRPr="001B157C">
        <w:rPr>
          <w:sz w:val="20"/>
          <w:szCs w:val="20"/>
          <w:u w:val="single"/>
          <w:lang w:val="fr-CA"/>
        </w:rPr>
        <w:t>RÉSUMÉ DE L’AFFAIRE</w:t>
      </w:r>
    </w:p>
    <w:p w:rsidR="00A32A8F" w:rsidRDefault="00A32A8F" w:rsidP="00A32A8F">
      <w:pPr>
        <w:rPr>
          <w:sz w:val="20"/>
          <w:szCs w:val="20"/>
        </w:rPr>
      </w:pPr>
    </w:p>
    <w:tbl>
      <w:tblPr>
        <w:tblW w:w="5000" w:type="pct"/>
        <w:tblLayout w:type="fixed"/>
        <w:tblCellMar>
          <w:left w:w="0" w:type="dxa"/>
          <w:bottom w:w="99" w:type="dxa"/>
          <w:right w:w="0" w:type="dxa"/>
        </w:tblCellMar>
        <w:tblLook w:val="00A0"/>
      </w:tblPr>
      <w:tblGrid>
        <w:gridCol w:w="4554"/>
        <w:gridCol w:w="514"/>
        <w:gridCol w:w="4459"/>
        <w:gridCol w:w="92"/>
      </w:tblGrid>
      <w:tr w:rsidR="00B156A6" w:rsidRPr="00B07D2C" w:rsidTr="00902B1D">
        <w:trPr>
          <w:gridAfter w:val="1"/>
          <w:wAfter w:w="48" w:type="pct"/>
        </w:trPr>
        <w:tc>
          <w:tcPr>
            <w:tcW w:w="4952" w:type="pct"/>
            <w:gridSpan w:val="3"/>
          </w:tcPr>
          <w:p w:rsidR="00B156A6" w:rsidRPr="00FF00BC" w:rsidRDefault="00B156A6" w:rsidP="00902B1D">
            <w:pPr>
              <w:pStyle w:val="SCCBanSummary"/>
              <w:rPr>
                <w:smallCaps w:val="0"/>
                <w:sz w:val="20"/>
                <w:szCs w:val="20"/>
                <w:lang w:val="fr-CA"/>
              </w:rPr>
            </w:pPr>
            <w:r w:rsidRPr="00FF00BC">
              <w:rPr>
                <w:smallCaps w:val="0"/>
                <w:sz w:val="20"/>
                <w:szCs w:val="20"/>
                <w:lang w:val="fr-CA"/>
              </w:rPr>
              <w:t>Droit criminel — Détermination de la peine — Le demandeur a été condamné à la peine maximale d’emprisonnement à perpétuité sans possibilité de libération conditionnelle avant 10 ans pour terrorisme — Appel de la peine rejeté — La peine maximale était</w:t>
            </w:r>
            <w:r w:rsidRPr="00FF00BC">
              <w:rPr>
                <w:smallCaps w:val="0"/>
                <w:sz w:val="20"/>
                <w:szCs w:val="20"/>
                <w:lang w:val="fr-CA"/>
              </w:rPr>
              <w:noBreakHyphen/>
              <w:t xml:space="preserve">elle raisonnable dans le cas du demandeur? — Quels principes de détermination de la peine s'appliquent aux infractions de terrorisme? </w:t>
            </w:r>
          </w:p>
          <w:p w:rsidR="00B156A6" w:rsidRPr="00FF00BC" w:rsidRDefault="00B156A6" w:rsidP="00902B1D">
            <w:pPr>
              <w:jc w:val="both"/>
              <w:rPr>
                <w:sz w:val="20"/>
                <w:szCs w:val="20"/>
                <w:lang w:val="fr-CA"/>
              </w:rPr>
            </w:pPr>
          </w:p>
        </w:tc>
      </w:tr>
      <w:tr w:rsidR="00B156A6" w:rsidRPr="00B07D2C" w:rsidTr="00902B1D">
        <w:trPr>
          <w:gridAfter w:val="1"/>
          <w:wAfter w:w="48" w:type="pct"/>
        </w:trPr>
        <w:tc>
          <w:tcPr>
            <w:tcW w:w="4952" w:type="pct"/>
            <w:gridSpan w:val="3"/>
          </w:tcPr>
          <w:p w:rsidR="00B156A6" w:rsidRPr="00FF00BC" w:rsidRDefault="00B156A6" w:rsidP="00902B1D">
            <w:pPr>
              <w:jc w:val="both"/>
              <w:rPr>
                <w:sz w:val="20"/>
                <w:szCs w:val="20"/>
                <w:lang w:val="fr-CA"/>
              </w:rPr>
            </w:pPr>
            <w:r w:rsidRPr="00FF00BC">
              <w:rPr>
                <w:sz w:val="20"/>
                <w:szCs w:val="20"/>
                <w:lang w:val="fr-CA"/>
              </w:rPr>
              <w:t>Le 8 octobre 2009, le demandeur, M. Amara, un membre du groupe connu sous le nom des « 18 de Toronto », a plaidé coupable devant le juge Durno de la Cour supérieure de justice sous deux chefs de terrorisme.  Le juge Durno a appelé le premier chef [</w:t>
            </w:r>
            <w:r w:rsidRPr="00FF00BC">
              <w:rPr>
                <w:smallCaps/>
                <w:sz w:val="20"/>
                <w:szCs w:val="20"/>
                <w:lang w:val="fr-CA"/>
              </w:rPr>
              <w:t>traduction</w:t>
            </w:r>
            <w:r w:rsidRPr="00FF00BC">
              <w:rPr>
                <w:sz w:val="20"/>
                <w:szCs w:val="20"/>
                <w:lang w:val="fr-CA"/>
              </w:rPr>
              <w:t>] « le complot du camp » et le deuxième [</w:t>
            </w:r>
            <w:r w:rsidRPr="00FF00BC">
              <w:rPr>
                <w:smallCaps/>
                <w:sz w:val="20"/>
                <w:szCs w:val="20"/>
                <w:lang w:val="fr-CA"/>
              </w:rPr>
              <w:t>traduction</w:t>
            </w:r>
            <w:r w:rsidRPr="00FF00BC">
              <w:rPr>
                <w:sz w:val="20"/>
                <w:szCs w:val="20"/>
                <w:lang w:val="fr-CA"/>
              </w:rPr>
              <w:t xml:space="preserve">] « le complot à la bombe ». </w:t>
            </w:r>
          </w:p>
          <w:p w:rsidR="00B156A6" w:rsidRPr="00FF00BC" w:rsidRDefault="00B156A6" w:rsidP="00902B1D">
            <w:pPr>
              <w:jc w:val="both"/>
              <w:rPr>
                <w:sz w:val="20"/>
                <w:szCs w:val="20"/>
                <w:lang w:val="fr-CA"/>
              </w:rPr>
            </w:pPr>
          </w:p>
          <w:p w:rsidR="00B156A6" w:rsidRPr="00FF00BC" w:rsidRDefault="00B156A6" w:rsidP="00902B1D">
            <w:pPr>
              <w:jc w:val="both"/>
              <w:rPr>
                <w:sz w:val="20"/>
                <w:szCs w:val="20"/>
                <w:lang w:val="fr-CA"/>
              </w:rPr>
            </w:pPr>
            <w:r w:rsidRPr="00FF00BC">
              <w:rPr>
                <w:sz w:val="20"/>
                <w:szCs w:val="20"/>
                <w:lang w:val="fr-CA"/>
              </w:rPr>
              <w:t>Le 18 janvier 2010, M. Amara a été condamné à une peine d'emprisonnement de 21 mois relativement au complot du camp. Pour déterminer cette peine, le juge a réduit la peine de M. Amara de sept ans et trois mois pour tenir compte du temps de sa détention provisoire de 43 mois et 18 jours.  Relativement à ce chef, M. Amara s'est donc vu imposer l'équivalent d'une peine de neuf ans.  Monsieur Amara n'a pas contesté cette peine en appel.</w:t>
            </w:r>
          </w:p>
          <w:p w:rsidR="00B156A6" w:rsidRPr="00FF00BC" w:rsidRDefault="00B156A6" w:rsidP="00902B1D">
            <w:pPr>
              <w:jc w:val="both"/>
              <w:rPr>
                <w:sz w:val="20"/>
                <w:szCs w:val="20"/>
                <w:lang w:val="fr-CA"/>
              </w:rPr>
            </w:pPr>
          </w:p>
          <w:p w:rsidR="00B156A6" w:rsidRPr="00FF00BC" w:rsidRDefault="00B156A6" w:rsidP="00902B1D">
            <w:pPr>
              <w:jc w:val="both"/>
              <w:rPr>
                <w:sz w:val="20"/>
                <w:szCs w:val="20"/>
                <w:lang w:val="fr-CA"/>
              </w:rPr>
            </w:pPr>
            <w:r w:rsidRPr="00FF00BC">
              <w:rPr>
                <w:sz w:val="20"/>
                <w:szCs w:val="20"/>
                <w:lang w:val="fr-CA"/>
              </w:rPr>
              <w:t>Relativement au complot à la bombe, M. Amara a été condamné à l'emprisonnement à perpétuité.  En vertu du par. 743.6(1.2) du</w:t>
            </w:r>
            <w:r w:rsidRPr="00FF00BC">
              <w:rPr>
                <w:i/>
                <w:sz w:val="20"/>
                <w:szCs w:val="20"/>
                <w:lang w:val="fr-CA"/>
              </w:rPr>
              <w:t xml:space="preserve"> Code criminel</w:t>
            </w:r>
            <w:r w:rsidRPr="00FF00BC">
              <w:rPr>
                <w:sz w:val="20"/>
                <w:szCs w:val="20"/>
                <w:lang w:val="fr-CA"/>
              </w:rPr>
              <w:t>, le juge a fixé à 10 ans, à compter de la date de son arrestation, la période d'inadmissibilité de M. Amara à la libération conditionnelle.</w:t>
            </w:r>
          </w:p>
          <w:p w:rsidR="00B156A6" w:rsidRPr="00FF00BC" w:rsidRDefault="00B156A6" w:rsidP="00902B1D">
            <w:pPr>
              <w:jc w:val="both"/>
              <w:rPr>
                <w:sz w:val="20"/>
                <w:szCs w:val="20"/>
                <w:lang w:val="fr-CA"/>
              </w:rPr>
            </w:pPr>
          </w:p>
          <w:p w:rsidR="00B156A6" w:rsidRPr="00FF00BC" w:rsidRDefault="00B156A6" w:rsidP="00902B1D">
            <w:pPr>
              <w:jc w:val="both"/>
              <w:rPr>
                <w:sz w:val="20"/>
                <w:szCs w:val="20"/>
                <w:lang w:val="fr-CA"/>
              </w:rPr>
            </w:pPr>
            <w:r w:rsidRPr="00FF00BC">
              <w:rPr>
                <w:sz w:val="20"/>
                <w:szCs w:val="20"/>
                <w:lang w:val="fr-CA"/>
              </w:rPr>
              <w:t>La Cour d'appel a rejeté l'appel interjeté par M. Amara de la peine d'emprisonnement à perpétuité imposée en rapport avec le complot à la bombe.</w:t>
            </w:r>
          </w:p>
        </w:tc>
      </w:tr>
      <w:tr w:rsidR="00B156A6" w:rsidRPr="00B07D2C" w:rsidTr="00902B1D">
        <w:trPr>
          <w:gridAfter w:val="1"/>
          <w:wAfter w:w="48" w:type="pct"/>
        </w:trPr>
        <w:tc>
          <w:tcPr>
            <w:tcW w:w="4952" w:type="pct"/>
            <w:gridSpan w:val="3"/>
          </w:tcPr>
          <w:p w:rsidR="00B156A6" w:rsidRPr="00FF00BC" w:rsidRDefault="00B156A6" w:rsidP="00902B1D">
            <w:pPr>
              <w:jc w:val="both"/>
              <w:rPr>
                <w:sz w:val="20"/>
                <w:szCs w:val="20"/>
                <w:lang w:val="fr-CA"/>
              </w:rPr>
            </w:pPr>
          </w:p>
        </w:tc>
      </w:tr>
      <w:tr w:rsidR="00B156A6" w:rsidRPr="00B07D2C" w:rsidTr="00902B1D">
        <w:tblPrEx>
          <w:tblCellMar>
            <w:bottom w:w="0" w:type="dxa"/>
          </w:tblCellMar>
        </w:tblPrEx>
        <w:tc>
          <w:tcPr>
            <w:tcW w:w="2367" w:type="pct"/>
          </w:tcPr>
          <w:p w:rsidR="00B156A6" w:rsidRPr="00FF00BC" w:rsidRDefault="00B156A6" w:rsidP="00902B1D">
            <w:pPr>
              <w:jc w:val="both"/>
              <w:rPr>
                <w:sz w:val="20"/>
                <w:szCs w:val="20"/>
                <w:lang w:val="fr-CA"/>
              </w:rPr>
            </w:pPr>
            <w:r w:rsidRPr="00FF00BC">
              <w:rPr>
                <w:sz w:val="20"/>
                <w:szCs w:val="20"/>
                <w:lang w:val="fr-CA"/>
              </w:rPr>
              <w:t>18 janvier 2010</w:t>
            </w:r>
          </w:p>
          <w:p w:rsidR="00B156A6" w:rsidRPr="00FF00BC" w:rsidRDefault="00B156A6" w:rsidP="00902B1D">
            <w:pPr>
              <w:jc w:val="both"/>
              <w:rPr>
                <w:sz w:val="20"/>
                <w:szCs w:val="20"/>
                <w:lang w:val="fr-CA"/>
              </w:rPr>
            </w:pPr>
            <w:r w:rsidRPr="00FF00BC">
              <w:rPr>
                <w:sz w:val="20"/>
                <w:szCs w:val="20"/>
                <w:lang w:val="fr-CA"/>
              </w:rPr>
              <w:t xml:space="preserve">Cour supérieure de justice de l'Ontario </w:t>
            </w:r>
          </w:p>
          <w:p w:rsidR="00B156A6" w:rsidRPr="00FF00BC" w:rsidRDefault="00B156A6" w:rsidP="00902B1D">
            <w:pPr>
              <w:jc w:val="both"/>
              <w:rPr>
                <w:sz w:val="20"/>
                <w:szCs w:val="20"/>
                <w:lang w:val="fr-CA"/>
              </w:rPr>
            </w:pPr>
            <w:r w:rsidRPr="00FF00BC">
              <w:rPr>
                <w:sz w:val="20"/>
                <w:szCs w:val="20"/>
                <w:lang w:val="fr-CA"/>
              </w:rPr>
              <w:t>(Juge Durno)</w:t>
            </w:r>
          </w:p>
          <w:p w:rsidR="00B156A6" w:rsidRPr="00FF00BC" w:rsidRDefault="00B156A6" w:rsidP="00902B1D">
            <w:pPr>
              <w:jc w:val="both"/>
              <w:rPr>
                <w:sz w:val="20"/>
                <w:szCs w:val="20"/>
                <w:lang w:val="fr-CA"/>
              </w:rPr>
            </w:pPr>
            <w:r w:rsidRPr="00FF00BC">
              <w:rPr>
                <w:sz w:val="20"/>
                <w:szCs w:val="20"/>
                <w:lang w:val="fr-CA"/>
              </w:rPr>
              <w:t xml:space="preserve">Référence neutre : 2010 ONSC 441 </w:t>
            </w:r>
          </w:p>
          <w:p w:rsidR="00B156A6" w:rsidRPr="00FF00BC" w:rsidRDefault="00B156A6" w:rsidP="00902B1D">
            <w:pPr>
              <w:jc w:val="both"/>
              <w:rPr>
                <w:sz w:val="20"/>
                <w:szCs w:val="20"/>
                <w:lang w:val="fr-CA"/>
              </w:rPr>
            </w:pPr>
          </w:p>
        </w:tc>
        <w:tc>
          <w:tcPr>
            <w:tcW w:w="267" w:type="pct"/>
          </w:tcPr>
          <w:p w:rsidR="00B156A6" w:rsidRPr="00FF00BC" w:rsidRDefault="00B156A6" w:rsidP="00902B1D">
            <w:pPr>
              <w:jc w:val="both"/>
              <w:rPr>
                <w:sz w:val="20"/>
                <w:szCs w:val="20"/>
                <w:lang w:val="fr-CA"/>
              </w:rPr>
            </w:pPr>
          </w:p>
        </w:tc>
        <w:tc>
          <w:tcPr>
            <w:tcW w:w="2366" w:type="pct"/>
            <w:gridSpan w:val="2"/>
          </w:tcPr>
          <w:p w:rsidR="00B156A6" w:rsidRPr="00FF00BC" w:rsidRDefault="00B156A6" w:rsidP="00902B1D">
            <w:pPr>
              <w:jc w:val="both"/>
              <w:rPr>
                <w:sz w:val="20"/>
                <w:szCs w:val="20"/>
                <w:lang w:val="fr-CA"/>
              </w:rPr>
            </w:pPr>
            <w:r w:rsidRPr="00FF00BC">
              <w:rPr>
                <w:sz w:val="20"/>
                <w:szCs w:val="20"/>
                <w:lang w:val="fr-CA"/>
              </w:rPr>
              <w:t>Peine d'emprisonnement à perpétuité imposée sans possibilité de libération conditionnelle avant 10 ans.</w:t>
            </w:r>
          </w:p>
          <w:p w:rsidR="00B156A6" w:rsidRPr="00FF00BC" w:rsidRDefault="00B156A6" w:rsidP="00902B1D">
            <w:pPr>
              <w:jc w:val="both"/>
              <w:rPr>
                <w:sz w:val="20"/>
                <w:szCs w:val="20"/>
                <w:lang w:val="fr-CA"/>
              </w:rPr>
            </w:pPr>
          </w:p>
        </w:tc>
      </w:tr>
      <w:tr w:rsidR="00B156A6" w:rsidRPr="00B07D2C" w:rsidTr="00902B1D">
        <w:tblPrEx>
          <w:tblCellMar>
            <w:bottom w:w="0" w:type="dxa"/>
          </w:tblCellMar>
        </w:tblPrEx>
        <w:tc>
          <w:tcPr>
            <w:tcW w:w="2367" w:type="pct"/>
          </w:tcPr>
          <w:p w:rsidR="00B156A6" w:rsidRPr="00FF00BC" w:rsidRDefault="00B156A6" w:rsidP="00902B1D">
            <w:pPr>
              <w:jc w:val="both"/>
              <w:rPr>
                <w:sz w:val="20"/>
                <w:szCs w:val="20"/>
                <w:lang w:val="fr-CA"/>
              </w:rPr>
            </w:pPr>
            <w:r w:rsidRPr="00FF00BC">
              <w:rPr>
                <w:sz w:val="20"/>
                <w:szCs w:val="20"/>
                <w:lang w:val="fr-CA"/>
              </w:rPr>
              <w:t>17 décembre 2010</w:t>
            </w:r>
          </w:p>
          <w:p w:rsidR="00B156A6" w:rsidRPr="00FF00BC" w:rsidRDefault="00B156A6" w:rsidP="00902B1D">
            <w:pPr>
              <w:jc w:val="both"/>
              <w:rPr>
                <w:sz w:val="20"/>
                <w:szCs w:val="20"/>
                <w:lang w:val="fr-CA"/>
              </w:rPr>
            </w:pPr>
            <w:r w:rsidRPr="00FF00BC">
              <w:rPr>
                <w:sz w:val="20"/>
                <w:szCs w:val="20"/>
                <w:lang w:val="fr-CA"/>
              </w:rPr>
              <w:t>Cour d'appel de l'Ontario Ontario</w:t>
            </w:r>
          </w:p>
          <w:p w:rsidR="00B156A6" w:rsidRPr="00FF00BC" w:rsidRDefault="00B156A6" w:rsidP="00902B1D">
            <w:pPr>
              <w:jc w:val="both"/>
              <w:rPr>
                <w:sz w:val="20"/>
                <w:szCs w:val="20"/>
                <w:lang w:val="fr-CA"/>
              </w:rPr>
            </w:pPr>
            <w:r w:rsidRPr="00FF00BC">
              <w:rPr>
                <w:sz w:val="20"/>
                <w:szCs w:val="20"/>
                <w:lang w:val="fr-CA"/>
              </w:rPr>
              <w:t>(Juges Doherty, Moldaver et Cronk)</w:t>
            </w:r>
          </w:p>
          <w:p w:rsidR="00B156A6" w:rsidRPr="00FF00BC" w:rsidRDefault="00B156A6" w:rsidP="00902B1D">
            <w:pPr>
              <w:jc w:val="both"/>
              <w:rPr>
                <w:sz w:val="20"/>
                <w:szCs w:val="20"/>
                <w:lang w:val="fr-CA"/>
              </w:rPr>
            </w:pPr>
            <w:r w:rsidRPr="00FF00BC">
              <w:rPr>
                <w:sz w:val="20"/>
                <w:szCs w:val="20"/>
                <w:lang w:val="fr-CA"/>
              </w:rPr>
              <w:t>Référence neutre : 2010 ONCA 858</w:t>
            </w:r>
          </w:p>
          <w:p w:rsidR="00B156A6" w:rsidRPr="00FF00BC" w:rsidRDefault="00B156A6" w:rsidP="00902B1D">
            <w:pPr>
              <w:jc w:val="both"/>
              <w:rPr>
                <w:sz w:val="20"/>
                <w:szCs w:val="20"/>
                <w:lang w:val="fr-CA"/>
              </w:rPr>
            </w:pPr>
          </w:p>
        </w:tc>
        <w:tc>
          <w:tcPr>
            <w:tcW w:w="267" w:type="pct"/>
          </w:tcPr>
          <w:p w:rsidR="00B156A6" w:rsidRPr="00FF00BC" w:rsidRDefault="00B156A6" w:rsidP="00902B1D">
            <w:pPr>
              <w:jc w:val="both"/>
              <w:rPr>
                <w:sz w:val="20"/>
                <w:szCs w:val="20"/>
                <w:lang w:val="fr-CA"/>
              </w:rPr>
            </w:pPr>
          </w:p>
        </w:tc>
        <w:tc>
          <w:tcPr>
            <w:tcW w:w="2366" w:type="pct"/>
            <w:gridSpan w:val="2"/>
          </w:tcPr>
          <w:p w:rsidR="00B156A6" w:rsidRPr="00FF00BC" w:rsidRDefault="00B156A6" w:rsidP="00902B1D">
            <w:pPr>
              <w:jc w:val="both"/>
              <w:rPr>
                <w:sz w:val="20"/>
                <w:szCs w:val="20"/>
                <w:lang w:val="fr-CA"/>
              </w:rPr>
            </w:pPr>
            <w:r w:rsidRPr="00FF00BC">
              <w:rPr>
                <w:sz w:val="20"/>
                <w:szCs w:val="20"/>
                <w:lang w:val="fr-CA"/>
              </w:rPr>
              <w:t>Appel de la peine, rejeté.</w:t>
            </w:r>
          </w:p>
          <w:p w:rsidR="00B156A6" w:rsidRPr="00FF00BC" w:rsidRDefault="00B156A6" w:rsidP="00902B1D">
            <w:pPr>
              <w:jc w:val="both"/>
              <w:rPr>
                <w:sz w:val="20"/>
                <w:szCs w:val="20"/>
                <w:lang w:val="fr-CA"/>
              </w:rPr>
            </w:pPr>
          </w:p>
        </w:tc>
      </w:tr>
      <w:tr w:rsidR="00B156A6" w:rsidRPr="00B07D2C" w:rsidTr="00902B1D">
        <w:tblPrEx>
          <w:tblCellMar>
            <w:bottom w:w="0" w:type="dxa"/>
          </w:tblCellMar>
        </w:tblPrEx>
        <w:tc>
          <w:tcPr>
            <w:tcW w:w="2367" w:type="pct"/>
          </w:tcPr>
          <w:p w:rsidR="00B156A6" w:rsidRPr="00FF00BC" w:rsidRDefault="00B156A6" w:rsidP="00902B1D">
            <w:pPr>
              <w:jc w:val="both"/>
              <w:rPr>
                <w:sz w:val="20"/>
                <w:szCs w:val="20"/>
                <w:lang w:val="fr-CA"/>
              </w:rPr>
            </w:pPr>
            <w:r w:rsidRPr="00FF00BC">
              <w:rPr>
                <w:sz w:val="20"/>
                <w:szCs w:val="20"/>
                <w:lang w:val="fr-CA"/>
              </w:rPr>
              <w:t>12 juillet 2011</w:t>
            </w:r>
          </w:p>
          <w:p w:rsidR="00B156A6" w:rsidRPr="00FF00BC" w:rsidRDefault="00B156A6" w:rsidP="00902B1D">
            <w:pPr>
              <w:jc w:val="both"/>
              <w:rPr>
                <w:sz w:val="20"/>
                <w:szCs w:val="20"/>
                <w:lang w:val="fr-CA"/>
              </w:rPr>
            </w:pPr>
            <w:r w:rsidRPr="00FF00BC">
              <w:rPr>
                <w:sz w:val="20"/>
                <w:szCs w:val="20"/>
                <w:lang w:val="fr-CA"/>
              </w:rPr>
              <w:t>Cour suprême du Canada</w:t>
            </w:r>
          </w:p>
          <w:p w:rsidR="00B156A6" w:rsidRPr="00FF00BC" w:rsidRDefault="00B156A6" w:rsidP="00902B1D">
            <w:pPr>
              <w:jc w:val="both"/>
              <w:rPr>
                <w:sz w:val="20"/>
                <w:szCs w:val="20"/>
                <w:lang w:val="fr-CA"/>
              </w:rPr>
            </w:pPr>
          </w:p>
        </w:tc>
        <w:tc>
          <w:tcPr>
            <w:tcW w:w="267" w:type="pct"/>
          </w:tcPr>
          <w:p w:rsidR="00B156A6" w:rsidRPr="00FF00BC" w:rsidRDefault="00B156A6" w:rsidP="00902B1D">
            <w:pPr>
              <w:jc w:val="both"/>
              <w:rPr>
                <w:sz w:val="20"/>
                <w:szCs w:val="20"/>
                <w:lang w:val="fr-CA"/>
              </w:rPr>
            </w:pPr>
          </w:p>
        </w:tc>
        <w:tc>
          <w:tcPr>
            <w:tcW w:w="2366" w:type="pct"/>
            <w:gridSpan w:val="2"/>
          </w:tcPr>
          <w:p w:rsidR="00B156A6" w:rsidRPr="00FF00BC" w:rsidRDefault="00B156A6" w:rsidP="00902B1D">
            <w:pPr>
              <w:jc w:val="both"/>
              <w:rPr>
                <w:sz w:val="20"/>
                <w:szCs w:val="20"/>
                <w:lang w:val="fr-CA"/>
              </w:rPr>
            </w:pPr>
            <w:r w:rsidRPr="00FF00BC">
              <w:rPr>
                <w:sz w:val="20"/>
                <w:szCs w:val="20"/>
                <w:lang w:val="fr-CA"/>
              </w:rPr>
              <w:t>Requête en prorogation du délai de dépôt et de signification de la demande d'autorisation d'appel et demande d'autorisation d'appel, déposées.</w:t>
            </w:r>
          </w:p>
        </w:tc>
      </w:tr>
    </w:tbl>
    <w:p w:rsidR="00A32A8F" w:rsidRPr="00B156A6" w:rsidRDefault="00A32A8F" w:rsidP="00A32A8F">
      <w:pPr>
        <w:rPr>
          <w:sz w:val="20"/>
          <w:szCs w:val="20"/>
          <w:lang w:val="fr-CA"/>
        </w:rPr>
      </w:pPr>
    </w:p>
    <w:p w:rsidR="00A32A8F" w:rsidRDefault="00CB0178" w:rsidP="00A32A8F">
      <w:pPr>
        <w:rPr>
          <w:sz w:val="20"/>
          <w:szCs w:val="20"/>
        </w:rPr>
      </w:pPr>
      <w:r w:rsidRPr="00CB0178">
        <w:rPr>
          <w:sz w:val="20"/>
          <w:szCs w:val="20"/>
          <w:lang w:val="fr-CA"/>
        </w:rPr>
        <w:pict>
          <v:rect id="_x0000_i1038" style="width:2in;height:1pt" o:hrpct="0" o:hralign="center" o:hrstd="t" o:hrnoshade="t" o:hr="t" fillcolor="black [3213]" stroked="f"/>
        </w:pict>
      </w:r>
    </w:p>
    <w:p w:rsidR="00A32A8F" w:rsidRDefault="00A32A8F" w:rsidP="00A32A8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8316E" w:rsidRPr="00104479" w:rsidTr="00D54B9C">
        <w:trPr>
          <w:cantSplit/>
        </w:trPr>
        <w:tc>
          <w:tcPr>
            <w:tcW w:w="1458" w:type="dxa"/>
          </w:tcPr>
          <w:p w:rsidR="0078316E" w:rsidRPr="00104479" w:rsidRDefault="0078316E" w:rsidP="00D54B9C">
            <w:pPr>
              <w:rPr>
                <w:sz w:val="20"/>
                <w:szCs w:val="20"/>
              </w:rPr>
            </w:pPr>
            <w:r w:rsidRPr="00104479">
              <w:rPr>
                <w:rStyle w:val="SCCFileNumberChar"/>
                <w:sz w:val="20"/>
                <w:szCs w:val="20"/>
              </w:rPr>
              <w:t>34367</w:t>
            </w:r>
          </w:p>
          <w:p w:rsidR="0078316E" w:rsidRPr="00104479" w:rsidRDefault="0078316E" w:rsidP="00D54B9C">
            <w:pPr>
              <w:rPr>
                <w:b/>
                <w:sz w:val="20"/>
                <w:szCs w:val="20"/>
                <w:lang w:val="fr-CA"/>
              </w:rPr>
            </w:pPr>
          </w:p>
        </w:tc>
        <w:tc>
          <w:tcPr>
            <w:tcW w:w="8118" w:type="dxa"/>
          </w:tcPr>
          <w:p w:rsidR="0078316E" w:rsidRPr="00104479" w:rsidRDefault="0078316E" w:rsidP="00D54B9C">
            <w:pPr>
              <w:rPr>
                <w:sz w:val="20"/>
                <w:szCs w:val="20"/>
              </w:rPr>
            </w:pPr>
            <w:r w:rsidRPr="00104479">
              <w:rPr>
                <w:rStyle w:val="SCCLsocChar"/>
                <w:sz w:val="20"/>
                <w:szCs w:val="20"/>
                <w:lang w:val="en-CA"/>
              </w:rPr>
              <w:t>Saad Khalid v. Her Majesty the Queen</w:t>
            </w:r>
            <w:r w:rsidRPr="00104479">
              <w:rPr>
                <w:sz w:val="20"/>
                <w:szCs w:val="20"/>
              </w:rPr>
              <w:t xml:space="preserve"> (Ont.) (Criminal) (By Leave)</w:t>
            </w:r>
          </w:p>
          <w:p w:rsidR="0078316E" w:rsidRPr="00104479" w:rsidRDefault="0078316E" w:rsidP="00D54B9C">
            <w:pPr>
              <w:rPr>
                <w:sz w:val="20"/>
                <w:szCs w:val="20"/>
              </w:rPr>
            </w:pPr>
          </w:p>
        </w:tc>
      </w:tr>
      <w:tr w:rsidR="0078316E" w:rsidRPr="00104479" w:rsidTr="00D54B9C">
        <w:trPr>
          <w:cantSplit/>
        </w:trPr>
        <w:tc>
          <w:tcPr>
            <w:tcW w:w="1458" w:type="dxa"/>
          </w:tcPr>
          <w:p w:rsidR="0078316E" w:rsidRDefault="0078316E" w:rsidP="00D54B9C">
            <w:pPr>
              <w:rPr>
                <w:sz w:val="20"/>
                <w:szCs w:val="20"/>
              </w:rPr>
            </w:pPr>
            <w:r w:rsidRPr="00104479">
              <w:rPr>
                <w:sz w:val="20"/>
                <w:szCs w:val="20"/>
              </w:rPr>
              <w:t>Coram :</w:t>
            </w:r>
          </w:p>
          <w:p w:rsidR="00B07D2C" w:rsidRPr="00104479" w:rsidRDefault="00B07D2C" w:rsidP="00D54B9C">
            <w:pPr>
              <w:rPr>
                <w:sz w:val="20"/>
                <w:szCs w:val="20"/>
              </w:rPr>
            </w:pPr>
          </w:p>
        </w:tc>
        <w:tc>
          <w:tcPr>
            <w:tcW w:w="8118" w:type="dxa"/>
          </w:tcPr>
          <w:p w:rsidR="0078316E" w:rsidRPr="00104479" w:rsidRDefault="0078316E" w:rsidP="00D54B9C">
            <w:pPr>
              <w:rPr>
                <w:sz w:val="20"/>
                <w:szCs w:val="20"/>
              </w:rPr>
            </w:pPr>
            <w:r w:rsidRPr="00104479">
              <w:rPr>
                <w:rStyle w:val="SCCCoramChar"/>
                <w:sz w:val="20"/>
                <w:szCs w:val="20"/>
                <w:lang w:val="en-CA"/>
              </w:rPr>
              <w:t>LeBel, Abella and Rothstein JJ.</w:t>
            </w:r>
          </w:p>
          <w:p w:rsidR="0078316E" w:rsidRPr="00104479" w:rsidRDefault="0078316E" w:rsidP="00D54B9C">
            <w:pPr>
              <w:rPr>
                <w:sz w:val="20"/>
                <w:szCs w:val="20"/>
                <w:u w:val="single"/>
              </w:rPr>
            </w:pPr>
          </w:p>
        </w:tc>
      </w:tr>
      <w:tr w:rsidR="0078316E" w:rsidRPr="00B07D2C" w:rsidTr="00D54B9C">
        <w:trPr>
          <w:cantSplit/>
        </w:trPr>
        <w:tc>
          <w:tcPr>
            <w:tcW w:w="9576" w:type="dxa"/>
            <w:gridSpan w:val="2"/>
          </w:tcPr>
          <w:p w:rsidR="0078316E" w:rsidRPr="00104479" w:rsidRDefault="0078316E" w:rsidP="00D54B9C">
            <w:pPr>
              <w:pStyle w:val="SCCShortJudgment"/>
              <w:rPr>
                <w:szCs w:val="20"/>
              </w:rPr>
            </w:pPr>
            <w:r w:rsidRPr="00104479">
              <w:rPr>
                <w:szCs w:val="20"/>
              </w:rPr>
              <w:t>The motion for an extension of time to serve and file the application for leave to appeal is granted. The application for leave to appeal from the judgment of the Court of Appeal for Ontario, Number C51062, 2010 ONCA 861, dated December 17, 2010, is dismissed without costs.</w:t>
            </w:r>
          </w:p>
          <w:p w:rsidR="0078316E" w:rsidRPr="00104479" w:rsidRDefault="0078316E" w:rsidP="00D54B9C">
            <w:pPr>
              <w:pStyle w:val="SCCShortJudgment"/>
              <w:ind w:firstLine="0"/>
              <w:rPr>
                <w:szCs w:val="20"/>
              </w:rPr>
            </w:pPr>
          </w:p>
          <w:p w:rsidR="0078316E" w:rsidRPr="00104479" w:rsidRDefault="0078316E" w:rsidP="00D54B9C">
            <w:pPr>
              <w:pStyle w:val="SCCShortJudgment"/>
              <w:rPr>
                <w:szCs w:val="20"/>
                <w:lang w:val="fr-CA"/>
              </w:rPr>
            </w:pPr>
            <w:r w:rsidRPr="00104479">
              <w:rPr>
                <w:szCs w:val="20"/>
                <w:lang w:val="fr-CA"/>
              </w:rPr>
              <w:t>La requête en prorogation du délai de signification et de dépôt de la demande d’autorisation d’appel est accueillie. La demande d’autorisation d’appel de l’arrêt de la Cour d’appel de l’Ontario, numéro C51062, 2010 ONCA 861, daté du 17 décembre 2010, est rejetée sans dépens.</w:t>
            </w:r>
          </w:p>
        </w:tc>
      </w:tr>
    </w:tbl>
    <w:p w:rsidR="00A32A8F" w:rsidRPr="00A32A8F" w:rsidRDefault="00A32A8F" w:rsidP="00A32A8F">
      <w:pPr>
        <w:rPr>
          <w:sz w:val="20"/>
          <w:szCs w:val="20"/>
          <w:lang w:val="fr-CA"/>
        </w:rPr>
      </w:pPr>
    </w:p>
    <w:p w:rsidR="00A32A8F" w:rsidRDefault="00A32A8F" w:rsidP="00A32A8F">
      <w:pPr>
        <w:rPr>
          <w:sz w:val="20"/>
          <w:szCs w:val="20"/>
          <w:u w:val="single"/>
        </w:rPr>
      </w:pPr>
      <w:r w:rsidRPr="001B157C">
        <w:rPr>
          <w:sz w:val="20"/>
          <w:szCs w:val="20"/>
          <w:u w:val="single"/>
        </w:rPr>
        <w:lastRenderedPageBreak/>
        <w:t>CASE SUMMARY</w:t>
      </w:r>
    </w:p>
    <w:p w:rsidR="00A32A8F" w:rsidRDefault="00A32A8F" w:rsidP="00A32A8F">
      <w:pPr>
        <w:rPr>
          <w:sz w:val="20"/>
          <w:szCs w:val="20"/>
        </w:rPr>
      </w:pPr>
    </w:p>
    <w:tbl>
      <w:tblPr>
        <w:tblW w:w="5000" w:type="pct"/>
        <w:tblLayout w:type="fixed"/>
        <w:tblCellMar>
          <w:left w:w="0" w:type="dxa"/>
          <w:bottom w:w="99" w:type="dxa"/>
          <w:right w:w="0" w:type="dxa"/>
        </w:tblCellMar>
        <w:tblLook w:val="04A0"/>
      </w:tblPr>
      <w:tblGrid>
        <w:gridCol w:w="4554"/>
        <w:gridCol w:w="514"/>
        <w:gridCol w:w="4459"/>
        <w:gridCol w:w="92"/>
      </w:tblGrid>
      <w:tr w:rsidR="00E25901" w:rsidRPr="00FF00BC" w:rsidTr="00902B1D">
        <w:trPr>
          <w:gridAfter w:val="1"/>
          <w:wAfter w:w="48" w:type="pct"/>
        </w:trPr>
        <w:tc>
          <w:tcPr>
            <w:tcW w:w="4952" w:type="pct"/>
            <w:gridSpan w:val="3"/>
          </w:tcPr>
          <w:p w:rsidR="00E25901" w:rsidRPr="00FF00BC" w:rsidRDefault="00E25901" w:rsidP="00902B1D">
            <w:pPr>
              <w:jc w:val="both"/>
              <w:rPr>
                <w:sz w:val="20"/>
                <w:szCs w:val="20"/>
              </w:rPr>
            </w:pPr>
            <w:r w:rsidRPr="00FF00BC">
              <w:rPr>
                <w:sz w:val="20"/>
                <w:szCs w:val="20"/>
              </w:rPr>
              <w:t>Criminal law — Sentencing — Applicant sentenced to 14 years in custody for terrorism, with credit of seven years for time spent in pre-sentence custody — Court of Appeal increased Applicant’s sentence to 20 years, with same credit of seven years for pre-sentence custody — Whether the Court of Appeal accorded sufficient deference to the decision of the sentencing judge? — Whether the Court of Appeal treated Applicant’s offence as akin to conspiracy to commit murder? — Whether the Court of Appeal articulated an inappropriate range of sentence? — What sentencing principles apply to terrorism? — Were those principles applied correctly by the sentencing judge in this case?</w:t>
            </w:r>
          </w:p>
          <w:p w:rsidR="00E25901" w:rsidRPr="00FF00BC" w:rsidRDefault="00E25901" w:rsidP="00902B1D">
            <w:pPr>
              <w:jc w:val="both"/>
              <w:rPr>
                <w:sz w:val="20"/>
                <w:szCs w:val="20"/>
              </w:rPr>
            </w:pPr>
          </w:p>
        </w:tc>
      </w:tr>
      <w:tr w:rsidR="00E25901" w:rsidRPr="00FF00BC" w:rsidTr="00902B1D">
        <w:trPr>
          <w:gridAfter w:val="1"/>
          <w:wAfter w:w="48" w:type="pct"/>
        </w:trPr>
        <w:tc>
          <w:tcPr>
            <w:tcW w:w="4952" w:type="pct"/>
            <w:gridSpan w:val="3"/>
          </w:tcPr>
          <w:p w:rsidR="00E25901" w:rsidRPr="00FF00BC" w:rsidRDefault="00E25901" w:rsidP="00902B1D">
            <w:pPr>
              <w:jc w:val="both"/>
              <w:rPr>
                <w:sz w:val="20"/>
                <w:szCs w:val="20"/>
              </w:rPr>
            </w:pPr>
            <w:r w:rsidRPr="00FF00BC">
              <w:rPr>
                <w:sz w:val="20"/>
                <w:szCs w:val="20"/>
              </w:rPr>
              <w:t xml:space="preserve">On May 4, 2009, Mr. Khalid, a member of the so-called “Toronto 18”, entered a guilty plea before Durno J. of the Superior Court of Justice to one count of terrorism.  On September 3, 2009, Durno J. sentenced Mr. Khalid to 14 years’ imprisonment, with credit of seven years for time spent in pre-sentence custody.  The sentencing judge declined to make an order under s. 743.6(1.2) of the </w:t>
            </w:r>
            <w:r w:rsidRPr="00FF00BC">
              <w:rPr>
                <w:i/>
                <w:sz w:val="20"/>
                <w:szCs w:val="20"/>
              </w:rPr>
              <w:t>Criminal Code</w:t>
            </w:r>
            <w:r w:rsidRPr="00FF00BC">
              <w:rPr>
                <w:sz w:val="20"/>
                <w:szCs w:val="20"/>
              </w:rPr>
              <w:t xml:space="preserve"> requiring that Mr. Khalid serve one half of his sentence before being eligible for parole.  The Court of Appeal allowed the Crown’s appeal and increased Mr. Khalid’s effective sentence to 20 years, again with credit of seven years for time spent in pre-sentence custody.  The Court of Appeal found that the sentencing judge did not have adequate regard to the sentencing considerations that were demanded by the unique nature of terrorism-related crimes and that the sentence imposed did not adequately reflect the enormity of Mr. Khalid’s crime and the significant part he played in it.  Furthermore, the sentencing judge placed too great an emphasis on rehabilitation in arriving at what he considered to be a fit sentence.  While Mr. Khalid’s youth and lack of criminal record were relevant sentencing considerations, such persons were attractive recruits for sophisticated terrorists and therefore those factors had to be viewed differently in terrorism cases.  The absence of a mental illness was irrelevant as it did not diminish Mr. Khalid’s level of moral culpability or say anything about his risk of re-offending. </w:t>
            </w:r>
          </w:p>
        </w:tc>
      </w:tr>
      <w:tr w:rsidR="00E25901" w:rsidRPr="00FF00BC" w:rsidTr="00902B1D">
        <w:trPr>
          <w:gridAfter w:val="1"/>
          <w:wAfter w:w="48" w:type="pct"/>
        </w:trPr>
        <w:tc>
          <w:tcPr>
            <w:tcW w:w="4952" w:type="pct"/>
            <w:gridSpan w:val="3"/>
          </w:tcPr>
          <w:p w:rsidR="00E25901" w:rsidRPr="00FF00BC" w:rsidRDefault="00E25901" w:rsidP="00902B1D">
            <w:pPr>
              <w:jc w:val="both"/>
              <w:rPr>
                <w:sz w:val="20"/>
                <w:szCs w:val="20"/>
              </w:rPr>
            </w:pPr>
          </w:p>
        </w:tc>
      </w:tr>
      <w:tr w:rsidR="00E25901" w:rsidRPr="00FF00BC" w:rsidTr="00902B1D">
        <w:tblPrEx>
          <w:tblCellMar>
            <w:bottom w:w="0" w:type="dxa"/>
          </w:tblCellMar>
        </w:tblPrEx>
        <w:tc>
          <w:tcPr>
            <w:tcW w:w="2367" w:type="pct"/>
          </w:tcPr>
          <w:p w:rsidR="00E25901" w:rsidRPr="00FF00BC" w:rsidRDefault="00E25901" w:rsidP="00902B1D">
            <w:pPr>
              <w:jc w:val="both"/>
              <w:rPr>
                <w:sz w:val="20"/>
                <w:szCs w:val="20"/>
              </w:rPr>
            </w:pPr>
            <w:r w:rsidRPr="00FF00BC">
              <w:rPr>
                <w:sz w:val="20"/>
                <w:szCs w:val="20"/>
              </w:rPr>
              <w:t>September 3, 2009</w:t>
            </w:r>
          </w:p>
          <w:p w:rsidR="00E25901" w:rsidRPr="00FF00BC" w:rsidRDefault="00E25901" w:rsidP="00902B1D">
            <w:pPr>
              <w:jc w:val="both"/>
              <w:rPr>
                <w:sz w:val="20"/>
                <w:szCs w:val="20"/>
              </w:rPr>
            </w:pPr>
            <w:r w:rsidRPr="00FF00BC">
              <w:rPr>
                <w:sz w:val="20"/>
                <w:szCs w:val="20"/>
              </w:rPr>
              <w:t>Ontario Superior Court of Justice</w:t>
            </w:r>
          </w:p>
          <w:p w:rsidR="00E25901" w:rsidRPr="00FF00BC" w:rsidRDefault="00E25901" w:rsidP="00902B1D">
            <w:pPr>
              <w:jc w:val="both"/>
              <w:rPr>
                <w:sz w:val="20"/>
                <w:szCs w:val="20"/>
              </w:rPr>
            </w:pPr>
            <w:r w:rsidRPr="00FF00BC">
              <w:rPr>
                <w:sz w:val="20"/>
                <w:szCs w:val="20"/>
              </w:rPr>
              <w:t>(Durno J.)</w:t>
            </w:r>
          </w:p>
          <w:p w:rsidR="00E25901" w:rsidRPr="00FF00BC" w:rsidRDefault="00E25901" w:rsidP="00902B1D">
            <w:pPr>
              <w:jc w:val="both"/>
              <w:rPr>
                <w:sz w:val="20"/>
                <w:szCs w:val="20"/>
              </w:rPr>
            </w:pPr>
            <w:r w:rsidRPr="00FF00BC">
              <w:rPr>
                <w:sz w:val="20"/>
                <w:szCs w:val="20"/>
              </w:rPr>
              <w:t xml:space="preserve">Neutral citation: None </w:t>
            </w:r>
          </w:p>
          <w:p w:rsidR="00E25901" w:rsidRPr="00FF00BC" w:rsidRDefault="00E25901" w:rsidP="00902B1D">
            <w:pPr>
              <w:jc w:val="both"/>
              <w:rPr>
                <w:sz w:val="20"/>
                <w:szCs w:val="20"/>
              </w:rPr>
            </w:pPr>
          </w:p>
        </w:tc>
        <w:tc>
          <w:tcPr>
            <w:tcW w:w="267" w:type="pct"/>
          </w:tcPr>
          <w:p w:rsidR="00E25901" w:rsidRPr="00FF00BC" w:rsidRDefault="00E25901" w:rsidP="00902B1D">
            <w:pPr>
              <w:jc w:val="both"/>
              <w:rPr>
                <w:sz w:val="20"/>
                <w:szCs w:val="20"/>
              </w:rPr>
            </w:pPr>
          </w:p>
        </w:tc>
        <w:tc>
          <w:tcPr>
            <w:tcW w:w="2366" w:type="pct"/>
            <w:gridSpan w:val="2"/>
          </w:tcPr>
          <w:p w:rsidR="00E25901" w:rsidRPr="00FF00BC" w:rsidRDefault="00E25901" w:rsidP="00902B1D">
            <w:pPr>
              <w:jc w:val="both"/>
              <w:rPr>
                <w:sz w:val="20"/>
                <w:szCs w:val="20"/>
              </w:rPr>
            </w:pPr>
            <w:r w:rsidRPr="00FF00BC">
              <w:rPr>
                <w:sz w:val="20"/>
                <w:szCs w:val="20"/>
              </w:rPr>
              <w:t xml:space="preserve">The Applicant was sentenced to 14 years’ imprisonment, with credit of seven years for time spent in pre-sentence custody. The judge declined to make an order increasing the Applicant’s period of parole ineligibility. </w:t>
            </w:r>
          </w:p>
          <w:p w:rsidR="00E25901" w:rsidRPr="00FF00BC" w:rsidRDefault="00E25901" w:rsidP="00902B1D">
            <w:pPr>
              <w:jc w:val="both"/>
              <w:rPr>
                <w:sz w:val="20"/>
                <w:szCs w:val="20"/>
              </w:rPr>
            </w:pPr>
          </w:p>
        </w:tc>
      </w:tr>
      <w:tr w:rsidR="00E25901" w:rsidRPr="00FF00BC" w:rsidTr="00902B1D">
        <w:tblPrEx>
          <w:tblCellMar>
            <w:bottom w:w="0" w:type="dxa"/>
          </w:tblCellMar>
        </w:tblPrEx>
        <w:tc>
          <w:tcPr>
            <w:tcW w:w="2367" w:type="pct"/>
          </w:tcPr>
          <w:p w:rsidR="00E25901" w:rsidRPr="00FF00BC" w:rsidRDefault="00E25901" w:rsidP="00902B1D">
            <w:pPr>
              <w:jc w:val="both"/>
              <w:rPr>
                <w:sz w:val="20"/>
                <w:szCs w:val="20"/>
              </w:rPr>
            </w:pPr>
            <w:r w:rsidRPr="00FF00BC">
              <w:rPr>
                <w:sz w:val="20"/>
                <w:szCs w:val="20"/>
              </w:rPr>
              <w:t>December 17, 2010</w:t>
            </w:r>
          </w:p>
          <w:p w:rsidR="00E25901" w:rsidRPr="00FF00BC" w:rsidRDefault="00E25901" w:rsidP="00902B1D">
            <w:pPr>
              <w:jc w:val="both"/>
              <w:rPr>
                <w:sz w:val="20"/>
                <w:szCs w:val="20"/>
              </w:rPr>
            </w:pPr>
            <w:r w:rsidRPr="00FF00BC">
              <w:rPr>
                <w:sz w:val="20"/>
                <w:szCs w:val="20"/>
              </w:rPr>
              <w:t>Court of Appeal for Ontario</w:t>
            </w:r>
          </w:p>
          <w:p w:rsidR="00E25901" w:rsidRPr="00FF00BC" w:rsidRDefault="00E25901" w:rsidP="00902B1D">
            <w:pPr>
              <w:jc w:val="both"/>
              <w:rPr>
                <w:sz w:val="20"/>
                <w:szCs w:val="20"/>
              </w:rPr>
            </w:pPr>
            <w:r w:rsidRPr="00FF00BC">
              <w:rPr>
                <w:sz w:val="20"/>
                <w:szCs w:val="20"/>
              </w:rPr>
              <w:t>(Doherty, Moldaver and Cronk JJ.A.)</w:t>
            </w:r>
          </w:p>
          <w:p w:rsidR="00E25901" w:rsidRPr="00FF00BC" w:rsidRDefault="00E25901" w:rsidP="00902B1D">
            <w:pPr>
              <w:jc w:val="both"/>
              <w:rPr>
                <w:sz w:val="20"/>
                <w:szCs w:val="20"/>
              </w:rPr>
            </w:pPr>
            <w:r w:rsidRPr="00FF00BC">
              <w:rPr>
                <w:sz w:val="20"/>
                <w:szCs w:val="20"/>
              </w:rPr>
              <w:t>Neutral citation: 2010 ONCA 861</w:t>
            </w:r>
          </w:p>
          <w:p w:rsidR="00E25901" w:rsidRPr="00FF00BC" w:rsidRDefault="00E25901" w:rsidP="00902B1D">
            <w:pPr>
              <w:jc w:val="both"/>
              <w:rPr>
                <w:sz w:val="20"/>
                <w:szCs w:val="20"/>
              </w:rPr>
            </w:pPr>
          </w:p>
        </w:tc>
        <w:tc>
          <w:tcPr>
            <w:tcW w:w="267" w:type="pct"/>
          </w:tcPr>
          <w:p w:rsidR="00E25901" w:rsidRPr="00FF00BC" w:rsidRDefault="00E25901" w:rsidP="00902B1D">
            <w:pPr>
              <w:jc w:val="both"/>
              <w:rPr>
                <w:sz w:val="20"/>
                <w:szCs w:val="20"/>
              </w:rPr>
            </w:pPr>
          </w:p>
        </w:tc>
        <w:tc>
          <w:tcPr>
            <w:tcW w:w="2366" w:type="pct"/>
            <w:gridSpan w:val="2"/>
          </w:tcPr>
          <w:p w:rsidR="00E25901" w:rsidRPr="00FF00BC" w:rsidRDefault="00E25901" w:rsidP="00902B1D">
            <w:pPr>
              <w:jc w:val="both"/>
              <w:rPr>
                <w:sz w:val="20"/>
                <w:szCs w:val="20"/>
              </w:rPr>
            </w:pPr>
            <w:r w:rsidRPr="00FF00BC">
              <w:rPr>
                <w:sz w:val="20"/>
                <w:szCs w:val="20"/>
              </w:rPr>
              <w:t>The appeal was allowed. The Applicant’s sentence was increased to 20 years, with same credit of seven years for pre-sentence custody.</w:t>
            </w:r>
          </w:p>
          <w:p w:rsidR="00E25901" w:rsidRPr="00FF00BC" w:rsidRDefault="00E25901" w:rsidP="00902B1D">
            <w:pPr>
              <w:jc w:val="both"/>
              <w:rPr>
                <w:sz w:val="20"/>
                <w:szCs w:val="20"/>
              </w:rPr>
            </w:pPr>
          </w:p>
        </w:tc>
      </w:tr>
      <w:tr w:rsidR="00E25901" w:rsidRPr="00FF00BC" w:rsidTr="00902B1D">
        <w:tblPrEx>
          <w:tblCellMar>
            <w:bottom w:w="0" w:type="dxa"/>
          </w:tblCellMar>
        </w:tblPrEx>
        <w:tc>
          <w:tcPr>
            <w:tcW w:w="2367" w:type="pct"/>
          </w:tcPr>
          <w:p w:rsidR="00E25901" w:rsidRPr="00FF00BC" w:rsidRDefault="00E25901" w:rsidP="00902B1D">
            <w:pPr>
              <w:jc w:val="both"/>
              <w:rPr>
                <w:sz w:val="20"/>
                <w:szCs w:val="20"/>
              </w:rPr>
            </w:pPr>
            <w:r w:rsidRPr="00FF00BC">
              <w:rPr>
                <w:sz w:val="20"/>
                <w:szCs w:val="20"/>
              </w:rPr>
              <w:t>August 5, 2011</w:t>
            </w:r>
          </w:p>
          <w:p w:rsidR="00E25901" w:rsidRPr="00FF00BC" w:rsidRDefault="00E25901" w:rsidP="00902B1D">
            <w:pPr>
              <w:jc w:val="both"/>
              <w:rPr>
                <w:sz w:val="20"/>
                <w:szCs w:val="20"/>
              </w:rPr>
            </w:pPr>
            <w:r w:rsidRPr="00FF00BC">
              <w:rPr>
                <w:sz w:val="20"/>
                <w:szCs w:val="20"/>
              </w:rPr>
              <w:t>Supreme Court of Canada</w:t>
            </w:r>
          </w:p>
          <w:p w:rsidR="00E25901" w:rsidRPr="00FF00BC" w:rsidRDefault="00E25901" w:rsidP="00902B1D">
            <w:pPr>
              <w:jc w:val="both"/>
              <w:rPr>
                <w:sz w:val="20"/>
                <w:szCs w:val="20"/>
              </w:rPr>
            </w:pPr>
          </w:p>
        </w:tc>
        <w:tc>
          <w:tcPr>
            <w:tcW w:w="267" w:type="pct"/>
          </w:tcPr>
          <w:p w:rsidR="00E25901" w:rsidRPr="00FF00BC" w:rsidRDefault="00E25901" w:rsidP="00902B1D">
            <w:pPr>
              <w:jc w:val="both"/>
              <w:rPr>
                <w:sz w:val="20"/>
                <w:szCs w:val="20"/>
              </w:rPr>
            </w:pPr>
          </w:p>
        </w:tc>
        <w:tc>
          <w:tcPr>
            <w:tcW w:w="2366" w:type="pct"/>
            <w:gridSpan w:val="2"/>
          </w:tcPr>
          <w:p w:rsidR="00E25901" w:rsidRPr="00FF00BC" w:rsidRDefault="00E25901" w:rsidP="00902B1D">
            <w:pPr>
              <w:jc w:val="both"/>
              <w:rPr>
                <w:sz w:val="20"/>
                <w:szCs w:val="20"/>
              </w:rPr>
            </w:pPr>
            <w:r w:rsidRPr="00FF00BC">
              <w:rPr>
                <w:sz w:val="20"/>
                <w:szCs w:val="20"/>
              </w:rPr>
              <w:t>A motion for an extension of time to file and serve the application for leave to appeal was filed together with the application itself.</w:t>
            </w:r>
          </w:p>
        </w:tc>
      </w:tr>
    </w:tbl>
    <w:p w:rsidR="00A32A8F" w:rsidRDefault="00A32A8F" w:rsidP="00A32A8F">
      <w:pPr>
        <w:rPr>
          <w:sz w:val="20"/>
          <w:szCs w:val="20"/>
        </w:rPr>
      </w:pPr>
    </w:p>
    <w:p w:rsidR="00A32A8F" w:rsidRDefault="00CB0178" w:rsidP="00A32A8F">
      <w:pPr>
        <w:rPr>
          <w:sz w:val="20"/>
          <w:szCs w:val="20"/>
        </w:rPr>
      </w:pPr>
      <w:r w:rsidRPr="00CB0178">
        <w:rPr>
          <w:sz w:val="20"/>
          <w:szCs w:val="20"/>
          <w:lang w:val="fr-CA"/>
        </w:rPr>
        <w:pict>
          <v:rect id="_x0000_i1039" style="width:2in;height:1pt" o:hrpct="0" o:hralign="center" o:hrstd="t" o:hrnoshade="t" o:hr="t" fillcolor="black [3213]" stroked="f"/>
        </w:pict>
      </w:r>
    </w:p>
    <w:p w:rsidR="00A32A8F" w:rsidRDefault="00A32A8F" w:rsidP="00A32A8F">
      <w:pPr>
        <w:rPr>
          <w:sz w:val="20"/>
          <w:szCs w:val="20"/>
        </w:rPr>
      </w:pPr>
    </w:p>
    <w:p w:rsidR="00A32A8F" w:rsidRPr="001B157C" w:rsidRDefault="00A32A8F" w:rsidP="00A32A8F">
      <w:pPr>
        <w:rPr>
          <w:sz w:val="20"/>
          <w:szCs w:val="20"/>
          <w:u w:val="single"/>
          <w:lang w:val="fr-CA"/>
        </w:rPr>
      </w:pPr>
      <w:r w:rsidRPr="001B157C">
        <w:rPr>
          <w:sz w:val="20"/>
          <w:szCs w:val="20"/>
          <w:u w:val="single"/>
          <w:lang w:val="fr-CA"/>
        </w:rPr>
        <w:t>RÉSUMÉ DE L’AFFAIRE</w:t>
      </w:r>
    </w:p>
    <w:p w:rsidR="00A32A8F" w:rsidRDefault="00A32A8F" w:rsidP="00A32A8F">
      <w:pPr>
        <w:rPr>
          <w:sz w:val="20"/>
          <w:szCs w:val="20"/>
        </w:rPr>
      </w:pPr>
    </w:p>
    <w:tbl>
      <w:tblPr>
        <w:tblW w:w="5000" w:type="pct"/>
        <w:tblLayout w:type="fixed"/>
        <w:tblCellMar>
          <w:left w:w="0" w:type="dxa"/>
          <w:bottom w:w="99" w:type="dxa"/>
          <w:right w:w="0" w:type="dxa"/>
        </w:tblCellMar>
        <w:tblLook w:val="00A0"/>
      </w:tblPr>
      <w:tblGrid>
        <w:gridCol w:w="4554"/>
        <w:gridCol w:w="514"/>
        <w:gridCol w:w="4459"/>
        <w:gridCol w:w="92"/>
      </w:tblGrid>
      <w:tr w:rsidR="00E25901" w:rsidRPr="00B07D2C" w:rsidTr="00902B1D">
        <w:trPr>
          <w:gridAfter w:val="1"/>
          <w:wAfter w:w="48" w:type="pct"/>
        </w:trPr>
        <w:tc>
          <w:tcPr>
            <w:tcW w:w="4952" w:type="pct"/>
            <w:gridSpan w:val="3"/>
          </w:tcPr>
          <w:p w:rsidR="00E25901" w:rsidRPr="00FF00BC" w:rsidRDefault="00E25901" w:rsidP="00902B1D">
            <w:pPr>
              <w:pStyle w:val="SCCBanSummary"/>
              <w:rPr>
                <w:smallCaps w:val="0"/>
                <w:sz w:val="20"/>
                <w:szCs w:val="20"/>
                <w:lang w:val="fr-CA"/>
              </w:rPr>
            </w:pPr>
            <w:r w:rsidRPr="00FF00BC">
              <w:rPr>
                <w:smallCaps w:val="0"/>
                <w:sz w:val="20"/>
                <w:szCs w:val="20"/>
                <w:lang w:val="fr-CA"/>
              </w:rPr>
              <w:t>Droit criminel — Détermination de la peine — Le demandeur a été condamné à purger une peine de détention de 14 ans pour terrorisme, réduite de sept ans pour tenir compte du temps de détention provisoire — La Cour d’appel a augmenté sa peine à 20 ans avec la même réduction de sept ans pour tenir compte de la détention provisoire — La Cour d’appel a</w:t>
            </w:r>
            <w:r w:rsidRPr="00FF00BC">
              <w:rPr>
                <w:smallCaps w:val="0"/>
                <w:sz w:val="20"/>
                <w:szCs w:val="20"/>
                <w:lang w:val="fr-CA"/>
              </w:rPr>
              <w:noBreakHyphen/>
              <w:t>t</w:t>
            </w:r>
            <w:r w:rsidRPr="00FF00BC">
              <w:rPr>
                <w:smallCaps w:val="0"/>
                <w:sz w:val="20"/>
                <w:szCs w:val="20"/>
                <w:lang w:val="fr-CA"/>
              </w:rPr>
              <w:noBreakHyphen/>
              <w:t>elle fait preuve de suffisamment de retenue à l’égard à la décision du juge qui a prononcé la peine? — La Cour d’appel a</w:t>
            </w:r>
            <w:r w:rsidRPr="00FF00BC">
              <w:rPr>
                <w:smallCaps w:val="0"/>
                <w:sz w:val="20"/>
                <w:szCs w:val="20"/>
                <w:lang w:val="fr-CA"/>
              </w:rPr>
              <w:noBreakHyphen/>
              <w:t>t</w:t>
            </w:r>
            <w:r w:rsidRPr="00FF00BC">
              <w:rPr>
                <w:smallCaps w:val="0"/>
                <w:sz w:val="20"/>
                <w:szCs w:val="20"/>
                <w:lang w:val="fr-CA"/>
              </w:rPr>
              <w:noBreakHyphen/>
              <w:t>elle traité l’infraction commise par le demandeur comme apparentée à un complot en vue de commettre un meurtre? — La Cour d’appel a</w:t>
            </w:r>
            <w:r w:rsidRPr="00FF00BC">
              <w:rPr>
                <w:smallCaps w:val="0"/>
                <w:sz w:val="20"/>
                <w:szCs w:val="20"/>
                <w:lang w:val="fr-CA"/>
              </w:rPr>
              <w:noBreakHyphen/>
              <w:t>t</w:t>
            </w:r>
            <w:r w:rsidRPr="00FF00BC">
              <w:rPr>
                <w:smallCaps w:val="0"/>
                <w:sz w:val="20"/>
                <w:szCs w:val="20"/>
                <w:lang w:val="fr-CA"/>
              </w:rPr>
              <w:noBreakHyphen/>
              <w:t>elle exprimé une fourchette des peines inappropriée? — Quels principes de détermination de la peine s’appliquent au terrorisme? — Le juge qui a prononcé la peine en l’espèce a</w:t>
            </w:r>
            <w:r w:rsidRPr="00FF00BC">
              <w:rPr>
                <w:smallCaps w:val="0"/>
                <w:sz w:val="20"/>
                <w:szCs w:val="20"/>
                <w:lang w:val="fr-CA"/>
              </w:rPr>
              <w:noBreakHyphen/>
              <w:t>t</w:t>
            </w:r>
            <w:r w:rsidRPr="00FF00BC">
              <w:rPr>
                <w:smallCaps w:val="0"/>
                <w:sz w:val="20"/>
                <w:szCs w:val="20"/>
                <w:lang w:val="fr-CA"/>
              </w:rPr>
              <w:noBreakHyphen/>
              <w:t>il correctement appliqué ces principes?</w:t>
            </w:r>
          </w:p>
          <w:p w:rsidR="00E25901" w:rsidRPr="00FF00BC" w:rsidRDefault="00E25901" w:rsidP="00902B1D">
            <w:pPr>
              <w:jc w:val="both"/>
              <w:rPr>
                <w:sz w:val="20"/>
                <w:szCs w:val="20"/>
                <w:lang w:val="fr-CA"/>
              </w:rPr>
            </w:pPr>
          </w:p>
        </w:tc>
      </w:tr>
      <w:tr w:rsidR="00E25901" w:rsidRPr="00B07D2C" w:rsidTr="00902B1D">
        <w:trPr>
          <w:gridAfter w:val="1"/>
          <w:wAfter w:w="48" w:type="pct"/>
        </w:trPr>
        <w:tc>
          <w:tcPr>
            <w:tcW w:w="4952" w:type="pct"/>
            <w:gridSpan w:val="3"/>
          </w:tcPr>
          <w:p w:rsidR="00E25901" w:rsidRPr="00FF00BC" w:rsidRDefault="00E25901" w:rsidP="00902B1D">
            <w:pPr>
              <w:jc w:val="both"/>
              <w:rPr>
                <w:sz w:val="20"/>
                <w:szCs w:val="20"/>
                <w:lang w:val="fr-CA"/>
              </w:rPr>
            </w:pPr>
            <w:r w:rsidRPr="00FF00BC">
              <w:rPr>
                <w:sz w:val="20"/>
                <w:szCs w:val="20"/>
                <w:lang w:val="fr-CA"/>
              </w:rPr>
              <w:lastRenderedPageBreak/>
              <w:t>Le 4 mai 2009, M. Khalid, un membre du groupe connu sous le nom des « 18 de Toronto », a plaidé coupable devant le juge Durno de la Cour supérieure de justice sous un chef d’accusation de terrorisme.  Le 3 septembre 2009, le juge Durno a condamné M. Khalid à une peine d’emprisonnement de 14 ans, réduite de sept ans pour tenir compte du temps de détention provisoire.  Le juge qui a prononcé la peine a refusé de rendre une ordonnance aux termes du par. 743.6(1.2) du</w:t>
            </w:r>
            <w:r w:rsidRPr="00FF00BC">
              <w:rPr>
                <w:i/>
                <w:sz w:val="20"/>
                <w:szCs w:val="20"/>
                <w:lang w:val="fr-CA"/>
              </w:rPr>
              <w:t xml:space="preserve"> Code criminel</w:t>
            </w:r>
            <w:r w:rsidRPr="00FF00BC">
              <w:rPr>
                <w:sz w:val="20"/>
                <w:szCs w:val="20"/>
                <w:lang w:val="fr-CA"/>
              </w:rPr>
              <w:t xml:space="preserve"> obligeant M. Khalid à purge la moitié de sa peine avant d’être admissible à la libération conditionnelle.  La Cour d’appel a accueilli l’appel du ministère public et a augmenté la peine que devait effectivement purger M. Khalid à 20 ans, la réduisant encore une fois de sept ans pour tenir compte du temps de détention provisoire.  La Cour d’appel a conclu que le juge qui a prononcé la peine n’avait pas dûment pris en compte les facteurs pertinents à la détermination de la peine qui s’imposaient en raison du caractère particulier des crimes liés au terrorisme et que la peine imposée ne prenait pas adéquatement en compte l’énormité du crime de M. Khalid et le rôle important qu’il avait joué dans sa perpétration.  En outre, le juge qui a prononcé la peine avait accordé une trop grande importance à la réadaptation dans sa détermination de ce qu’il considérait être une peine appropriée.  Même si la jeunesse de M. Khalid et le fait qu’il ne possédait pas de casier judiciaire étaient des facteurs pertinents à la détermination de la peine, de telles personnes représentaient des recrues attrayantes pour des terroristes expérimentés, si bien que ces facteurs devaient être considérés différemment dans les affaires de terrorisme.  L’absence de maladie mentale n’était pas pertinente, puisqu’elle ne réduisait pas le niveau de culpabilité morale de M. Khalid et n’éclairait en rien quant au risque de récidive. </w:t>
            </w:r>
          </w:p>
        </w:tc>
      </w:tr>
      <w:tr w:rsidR="00E25901" w:rsidRPr="00B07D2C" w:rsidTr="00902B1D">
        <w:trPr>
          <w:gridAfter w:val="1"/>
          <w:wAfter w:w="48" w:type="pct"/>
        </w:trPr>
        <w:tc>
          <w:tcPr>
            <w:tcW w:w="4952" w:type="pct"/>
            <w:gridSpan w:val="3"/>
          </w:tcPr>
          <w:p w:rsidR="00E25901" w:rsidRPr="00FF00BC" w:rsidRDefault="00E25901" w:rsidP="00902B1D">
            <w:pPr>
              <w:jc w:val="both"/>
              <w:rPr>
                <w:sz w:val="20"/>
                <w:szCs w:val="20"/>
                <w:lang w:val="fr-CA"/>
              </w:rPr>
            </w:pPr>
          </w:p>
        </w:tc>
      </w:tr>
      <w:tr w:rsidR="00E25901" w:rsidRPr="00B07D2C" w:rsidTr="00902B1D">
        <w:tblPrEx>
          <w:tblCellMar>
            <w:bottom w:w="0" w:type="dxa"/>
          </w:tblCellMar>
        </w:tblPrEx>
        <w:tc>
          <w:tcPr>
            <w:tcW w:w="2367" w:type="pct"/>
          </w:tcPr>
          <w:p w:rsidR="00E25901" w:rsidRPr="00FF00BC" w:rsidRDefault="00E25901" w:rsidP="00902B1D">
            <w:pPr>
              <w:jc w:val="both"/>
              <w:rPr>
                <w:sz w:val="20"/>
                <w:szCs w:val="20"/>
                <w:lang w:val="fr-CA"/>
              </w:rPr>
            </w:pPr>
            <w:r w:rsidRPr="00FF00BC">
              <w:rPr>
                <w:sz w:val="20"/>
                <w:szCs w:val="20"/>
                <w:lang w:val="fr-CA"/>
              </w:rPr>
              <w:t>3 septembre 2009</w:t>
            </w:r>
          </w:p>
          <w:p w:rsidR="00E25901" w:rsidRPr="00FF00BC" w:rsidRDefault="00E25901" w:rsidP="00902B1D">
            <w:pPr>
              <w:jc w:val="both"/>
              <w:rPr>
                <w:sz w:val="20"/>
                <w:szCs w:val="20"/>
                <w:lang w:val="fr-CA"/>
              </w:rPr>
            </w:pPr>
            <w:r w:rsidRPr="00FF00BC">
              <w:rPr>
                <w:sz w:val="20"/>
                <w:szCs w:val="20"/>
                <w:lang w:val="fr-CA"/>
              </w:rPr>
              <w:t xml:space="preserve">Cour supérieure de justice de l’Ontario </w:t>
            </w:r>
          </w:p>
          <w:p w:rsidR="00E25901" w:rsidRPr="00FF00BC" w:rsidRDefault="00E25901" w:rsidP="00902B1D">
            <w:pPr>
              <w:jc w:val="both"/>
              <w:rPr>
                <w:sz w:val="20"/>
                <w:szCs w:val="20"/>
                <w:lang w:val="fr-CA"/>
              </w:rPr>
            </w:pPr>
            <w:r w:rsidRPr="00FF00BC">
              <w:rPr>
                <w:sz w:val="20"/>
                <w:szCs w:val="20"/>
                <w:lang w:val="fr-CA"/>
              </w:rPr>
              <w:t>(Juge Durno)</w:t>
            </w:r>
          </w:p>
          <w:p w:rsidR="00E25901" w:rsidRPr="00FF00BC" w:rsidRDefault="00E25901" w:rsidP="00902B1D">
            <w:pPr>
              <w:jc w:val="both"/>
              <w:rPr>
                <w:sz w:val="20"/>
                <w:szCs w:val="20"/>
                <w:lang w:val="fr-CA"/>
              </w:rPr>
            </w:pPr>
            <w:r w:rsidRPr="00FF00BC">
              <w:rPr>
                <w:sz w:val="20"/>
                <w:szCs w:val="20"/>
                <w:lang w:val="fr-CA"/>
              </w:rPr>
              <w:t>Référence neutre : aucune</w:t>
            </w:r>
          </w:p>
          <w:p w:rsidR="00E25901" w:rsidRPr="00FF00BC" w:rsidRDefault="00E25901" w:rsidP="00902B1D">
            <w:pPr>
              <w:jc w:val="both"/>
              <w:rPr>
                <w:sz w:val="20"/>
                <w:szCs w:val="20"/>
                <w:lang w:val="fr-CA"/>
              </w:rPr>
            </w:pPr>
          </w:p>
        </w:tc>
        <w:tc>
          <w:tcPr>
            <w:tcW w:w="267" w:type="pct"/>
          </w:tcPr>
          <w:p w:rsidR="00E25901" w:rsidRPr="00FF00BC" w:rsidRDefault="00E25901" w:rsidP="00902B1D">
            <w:pPr>
              <w:jc w:val="both"/>
              <w:rPr>
                <w:sz w:val="20"/>
                <w:szCs w:val="20"/>
                <w:lang w:val="fr-CA"/>
              </w:rPr>
            </w:pPr>
          </w:p>
        </w:tc>
        <w:tc>
          <w:tcPr>
            <w:tcW w:w="2366" w:type="pct"/>
            <w:gridSpan w:val="2"/>
          </w:tcPr>
          <w:p w:rsidR="00E25901" w:rsidRPr="00FF00BC" w:rsidRDefault="00E25901" w:rsidP="00902B1D">
            <w:pPr>
              <w:jc w:val="both"/>
              <w:rPr>
                <w:sz w:val="20"/>
                <w:szCs w:val="20"/>
                <w:lang w:val="fr-CA"/>
              </w:rPr>
            </w:pPr>
            <w:r w:rsidRPr="00FF00BC">
              <w:rPr>
                <w:sz w:val="20"/>
                <w:szCs w:val="20"/>
                <w:lang w:val="fr-CA"/>
              </w:rPr>
              <w:t xml:space="preserve">Demandeur condamné à une peine d’emprisonnement de 14 ans, réduite de sept ans pour tenir compte du temps de détention provisoire. Le juge a refusé de rendre une ordonnance augmentant la période d’inadmissibilité à une libération conditionnelle du demandeur. </w:t>
            </w:r>
          </w:p>
          <w:p w:rsidR="00E25901" w:rsidRPr="00FF00BC" w:rsidRDefault="00E25901" w:rsidP="00902B1D">
            <w:pPr>
              <w:jc w:val="both"/>
              <w:rPr>
                <w:sz w:val="20"/>
                <w:szCs w:val="20"/>
                <w:lang w:val="fr-CA"/>
              </w:rPr>
            </w:pPr>
          </w:p>
        </w:tc>
      </w:tr>
      <w:tr w:rsidR="00E25901" w:rsidRPr="00B07D2C" w:rsidTr="00902B1D">
        <w:tblPrEx>
          <w:tblCellMar>
            <w:bottom w:w="0" w:type="dxa"/>
          </w:tblCellMar>
        </w:tblPrEx>
        <w:tc>
          <w:tcPr>
            <w:tcW w:w="2367" w:type="pct"/>
          </w:tcPr>
          <w:p w:rsidR="00E25901" w:rsidRPr="00FF00BC" w:rsidRDefault="00E25901" w:rsidP="00902B1D">
            <w:pPr>
              <w:jc w:val="both"/>
              <w:rPr>
                <w:sz w:val="20"/>
                <w:szCs w:val="20"/>
                <w:lang w:val="fr-CA"/>
              </w:rPr>
            </w:pPr>
            <w:r w:rsidRPr="00FF00BC">
              <w:rPr>
                <w:sz w:val="20"/>
                <w:szCs w:val="20"/>
                <w:lang w:val="fr-CA"/>
              </w:rPr>
              <w:t>17 décembre 2010</w:t>
            </w:r>
          </w:p>
          <w:p w:rsidR="00E25901" w:rsidRPr="00FF00BC" w:rsidRDefault="00E25901" w:rsidP="00902B1D">
            <w:pPr>
              <w:jc w:val="both"/>
              <w:rPr>
                <w:sz w:val="20"/>
                <w:szCs w:val="20"/>
                <w:lang w:val="fr-CA"/>
              </w:rPr>
            </w:pPr>
            <w:r w:rsidRPr="00FF00BC">
              <w:rPr>
                <w:sz w:val="20"/>
                <w:szCs w:val="20"/>
                <w:lang w:val="fr-CA"/>
              </w:rPr>
              <w:t>Cour d’appel de l’Ontario</w:t>
            </w:r>
          </w:p>
          <w:p w:rsidR="00E25901" w:rsidRPr="00FF00BC" w:rsidRDefault="00E25901" w:rsidP="00902B1D">
            <w:pPr>
              <w:jc w:val="both"/>
              <w:rPr>
                <w:sz w:val="20"/>
                <w:szCs w:val="20"/>
                <w:lang w:val="fr-CA"/>
              </w:rPr>
            </w:pPr>
            <w:r w:rsidRPr="00FF00BC">
              <w:rPr>
                <w:sz w:val="20"/>
                <w:szCs w:val="20"/>
                <w:lang w:val="fr-CA"/>
              </w:rPr>
              <w:t>(Juges Doherty, Moldaver et Cronk)</w:t>
            </w:r>
          </w:p>
          <w:p w:rsidR="00E25901" w:rsidRPr="00FF00BC" w:rsidRDefault="00E25901" w:rsidP="00902B1D">
            <w:pPr>
              <w:jc w:val="both"/>
              <w:rPr>
                <w:sz w:val="20"/>
                <w:szCs w:val="20"/>
                <w:lang w:val="fr-CA"/>
              </w:rPr>
            </w:pPr>
            <w:r w:rsidRPr="00FF00BC">
              <w:rPr>
                <w:sz w:val="20"/>
                <w:szCs w:val="20"/>
                <w:lang w:val="fr-CA"/>
              </w:rPr>
              <w:t>Référence neutre : 2010 ONCA 861</w:t>
            </w:r>
          </w:p>
          <w:p w:rsidR="00E25901" w:rsidRPr="00FF00BC" w:rsidRDefault="00E25901" w:rsidP="00902B1D">
            <w:pPr>
              <w:jc w:val="both"/>
              <w:rPr>
                <w:sz w:val="20"/>
                <w:szCs w:val="20"/>
                <w:lang w:val="fr-CA"/>
              </w:rPr>
            </w:pPr>
          </w:p>
        </w:tc>
        <w:tc>
          <w:tcPr>
            <w:tcW w:w="267" w:type="pct"/>
          </w:tcPr>
          <w:p w:rsidR="00E25901" w:rsidRPr="00FF00BC" w:rsidRDefault="00E25901" w:rsidP="00902B1D">
            <w:pPr>
              <w:jc w:val="both"/>
              <w:rPr>
                <w:sz w:val="20"/>
                <w:szCs w:val="20"/>
                <w:lang w:val="fr-CA"/>
              </w:rPr>
            </w:pPr>
          </w:p>
        </w:tc>
        <w:tc>
          <w:tcPr>
            <w:tcW w:w="2366" w:type="pct"/>
            <w:gridSpan w:val="2"/>
          </w:tcPr>
          <w:p w:rsidR="00E25901" w:rsidRPr="00FF00BC" w:rsidRDefault="00E25901" w:rsidP="00902B1D">
            <w:pPr>
              <w:jc w:val="both"/>
              <w:rPr>
                <w:sz w:val="20"/>
                <w:szCs w:val="20"/>
                <w:lang w:val="fr-CA"/>
              </w:rPr>
            </w:pPr>
            <w:r w:rsidRPr="00FF00BC">
              <w:rPr>
                <w:sz w:val="20"/>
                <w:szCs w:val="20"/>
                <w:lang w:val="fr-CA"/>
              </w:rPr>
              <w:t>Appel accueilli. Peine du demandeur augmentée à 20 ans avec la même réduction de sept ans pour tenir compte de la détention provisoire.</w:t>
            </w:r>
          </w:p>
          <w:p w:rsidR="00E25901" w:rsidRPr="00FF00BC" w:rsidRDefault="00E25901" w:rsidP="00902B1D">
            <w:pPr>
              <w:jc w:val="both"/>
              <w:rPr>
                <w:sz w:val="20"/>
                <w:szCs w:val="20"/>
                <w:lang w:val="fr-CA"/>
              </w:rPr>
            </w:pPr>
          </w:p>
        </w:tc>
      </w:tr>
      <w:tr w:rsidR="00E25901" w:rsidRPr="00B07D2C" w:rsidTr="00902B1D">
        <w:tblPrEx>
          <w:tblCellMar>
            <w:bottom w:w="0" w:type="dxa"/>
          </w:tblCellMar>
        </w:tblPrEx>
        <w:tc>
          <w:tcPr>
            <w:tcW w:w="2367" w:type="pct"/>
          </w:tcPr>
          <w:p w:rsidR="00E25901" w:rsidRPr="00FF00BC" w:rsidRDefault="00E25901" w:rsidP="00902B1D">
            <w:pPr>
              <w:jc w:val="both"/>
              <w:rPr>
                <w:sz w:val="20"/>
                <w:szCs w:val="20"/>
                <w:lang w:val="fr-CA"/>
              </w:rPr>
            </w:pPr>
            <w:r w:rsidRPr="00FF00BC">
              <w:rPr>
                <w:sz w:val="20"/>
                <w:szCs w:val="20"/>
                <w:lang w:val="fr-CA"/>
              </w:rPr>
              <w:t>5 août 2011</w:t>
            </w:r>
          </w:p>
          <w:p w:rsidR="00E25901" w:rsidRPr="00FF00BC" w:rsidRDefault="00E25901" w:rsidP="00902B1D">
            <w:pPr>
              <w:jc w:val="both"/>
              <w:rPr>
                <w:sz w:val="20"/>
                <w:szCs w:val="20"/>
                <w:lang w:val="fr-CA"/>
              </w:rPr>
            </w:pPr>
            <w:r w:rsidRPr="00FF00BC">
              <w:rPr>
                <w:sz w:val="20"/>
                <w:szCs w:val="20"/>
                <w:lang w:val="fr-CA"/>
              </w:rPr>
              <w:t>Cour suprême du Canada</w:t>
            </w:r>
          </w:p>
          <w:p w:rsidR="00E25901" w:rsidRPr="00FF00BC" w:rsidRDefault="00E25901" w:rsidP="00902B1D">
            <w:pPr>
              <w:jc w:val="both"/>
              <w:rPr>
                <w:sz w:val="20"/>
                <w:szCs w:val="20"/>
                <w:lang w:val="fr-CA"/>
              </w:rPr>
            </w:pPr>
          </w:p>
        </w:tc>
        <w:tc>
          <w:tcPr>
            <w:tcW w:w="267" w:type="pct"/>
          </w:tcPr>
          <w:p w:rsidR="00E25901" w:rsidRPr="00FF00BC" w:rsidRDefault="00E25901" w:rsidP="00902B1D">
            <w:pPr>
              <w:jc w:val="both"/>
              <w:rPr>
                <w:sz w:val="20"/>
                <w:szCs w:val="20"/>
                <w:lang w:val="fr-CA"/>
              </w:rPr>
            </w:pPr>
          </w:p>
        </w:tc>
        <w:tc>
          <w:tcPr>
            <w:tcW w:w="2366" w:type="pct"/>
            <w:gridSpan w:val="2"/>
          </w:tcPr>
          <w:p w:rsidR="00E25901" w:rsidRPr="00FF00BC" w:rsidRDefault="00E25901" w:rsidP="00902B1D">
            <w:pPr>
              <w:jc w:val="both"/>
              <w:rPr>
                <w:sz w:val="20"/>
                <w:szCs w:val="20"/>
                <w:lang w:val="fr-CA"/>
              </w:rPr>
            </w:pPr>
            <w:r w:rsidRPr="00FF00BC">
              <w:rPr>
                <w:sz w:val="20"/>
                <w:szCs w:val="20"/>
                <w:lang w:val="fr-CA"/>
              </w:rPr>
              <w:t>Requête en prorogation du délai de dépôt et de signification de la demande d’autorisation d’appel et demande d’autorisation d’appel, déposées.</w:t>
            </w:r>
          </w:p>
        </w:tc>
      </w:tr>
    </w:tbl>
    <w:p w:rsidR="00A32A8F" w:rsidRPr="00E25901" w:rsidRDefault="00A32A8F" w:rsidP="00A32A8F">
      <w:pPr>
        <w:rPr>
          <w:sz w:val="20"/>
          <w:szCs w:val="20"/>
          <w:lang w:val="fr-CA"/>
        </w:rPr>
      </w:pPr>
    </w:p>
    <w:p w:rsidR="00A32A8F" w:rsidRDefault="00CB0178" w:rsidP="00A32A8F">
      <w:pPr>
        <w:rPr>
          <w:sz w:val="20"/>
          <w:szCs w:val="20"/>
        </w:rPr>
      </w:pPr>
      <w:r w:rsidRPr="00CB0178">
        <w:rPr>
          <w:sz w:val="20"/>
          <w:szCs w:val="20"/>
          <w:lang w:val="fr-CA"/>
        </w:rPr>
        <w:pict>
          <v:rect id="_x0000_i1040" style="width:2in;height:1pt" o:hrpct="0" o:hralign="center" o:hrstd="t" o:hrnoshade="t" o:hr="t" fillcolor="black [3213]" stroked="f"/>
        </w:pict>
      </w:r>
    </w:p>
    <w:p w:rsidR="00A32A8F" w:rsidRDefault="00A32A8F" w:rsidP="00A32A8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8316E" w:rsidRPr="00104479" w:rsidTr="00D54B9C">
        <w:trPr>
          <w:cantSplit/>
        </w:trPr>
        <w:tc>
          <w:tcPr>
            <w:tcW w:w="1458" w:type="dxa"/>
          </w:tcPr>
          <w:p w:rsidR="0078316E" w:rsidRPr="00104479" w:rsidRDefault="0078316E" w:rsidP="00D54B9C">
            <w:pPr>
              <w:rPr>
                <w:sz w:val="20"/>
                <w:szCs w:val="20"/>
              </w:rPr>
            </w:pPr>
            <w:r w:rsidRPr="00104479">
              <w:rPr>
                <w:rStyle w:val="SCCFileNumberChar"/>
                <w:sz w:val="20"/>
                <w:szCs w:val="20"/>
              </w:rPr>
              <w:t>34368</w:t>
            </w:r>
          </w:p>
          <w:p w:rsidR="0078316E" w:rsidRPr="00104479" w:rsidRDefault="0078316E" w:rsidP="00D54B9C">
            <w:pPr>
              <w:rPr>
                <w:b/>
                <w:sz w:val="20"/>
                <w:szCs w:val="20"/>
                <w:lang w:val="fr-CA"/>
              </w:rPr>
            </w:pPr>
          </w:p>
        </w:tc>
        <w:tc>
          <w:tcPr>
            <w:tcW w:w="8118" w:type="dxa"/>
          </w:tcPr>
          <w:p w:rsidR="0078316E" w:rsidRPr="00104479" w:rsidRDefault="0078316E" w:rsidP="00D54B9C">
            <w:pPr>
              <w:rPr>
                <w:sz w:val="20"/>
                <w:szCs w:val="20"/>
              </w:rPr>
            </w:pPr>
            <w:r w:rsidRPr="00104479">
              <w:rPr>
                <w:rStyle w:val="SCCLsocChar"/>
                <w:sz w:val="20"/>
                <w:szCs w:val="20"/>
                <w:lang w:val="en-CA"/>
              </w:rPr>
              <w:t>Saad Gaya v. Her Majesty the Queen</w:t>
            </w:r>
            <w:r w:rsidRPr="00104479">
              <w:rPr>
                <w:sz w:val="20"/>
                <w:szCs w:val="20"/>
              </w:rPr>
              <w:t xml:space="preserve"> (Ont.) (Criminal) (By Leave)</w:t>
            </w:r>
          </w:p>
          <w:p w:rsidR="0078316E" w:rsidRPr="00104479" w:rsidRDefault="0078316E" w:rsidP="00D54B9C">
            <w:pPr>
              <w:rPr>
                <w:sz w:val="20"/>
                <w:szCs w:val="20"/>
              </w:rPr>
            </w:pPr>
          </w:p>
        </w:tc>
      </w:tr>
      <w:tr w:rsidR="0078316E" w:rsidRPr="00104479" w:rsidTr="00D54B9C">
        <w:trPr>
          <w:cantSplit/>
        </w:trPr>
        <w:tc>
          <w:tcPr>
            <w:tcW w:w="1458" w:type="dxa"/>
          </w:tcPr>
          <w:p w:rsidR="0078316E" w:rsidRDefault="0078316E" w:rsidP="00D54B9C">
            <w:pPr>
              <w:rPr>
                <w:sz w:val="20"/>
                <w:szCs w:val="20"/>
              </w:rPr>
            </w:pPr>
            <w:r w:rsidRPr="00104479">
              <w:rPr>
                <w:sz w:val="20"/>
                <w:szCs w:val="20"/>
              </w:rPr>
              <w:t>Coram :</w:t>
            </w:r>
          </w:p>
          <w:p w:rsidR="00B07D2C" w:rsidRPr="00104479" w:rsidRDefault="00B07D2C" w:rsidP="00D54B9C">
            <w:pPr>
              <w:rPr>
                <w:sz w:val="20"/>
                <w:szCs w:val="20"/>
              </w:rPr>
            </w:pPr>
          </w:p>
        </w:tc>
        <w:tc>
          <w:tcPr>
            <w:tcW w:w="8118" w:type="dxa"/>
          </w:tcPr>
          <w:p w:rsidR="0078316E" w:rsidRPr="00104479" w:rsidRDefault="0078316E" w:rsidP="00D54B9C">
            <w:pPr>
              <w:rPr>
                <w:sz w:val="20"/>
                <w:szCs w:val="20"/>
              </w:rPr>
            </w:pPr>
            <w:r w:rsidRPr="00104479">
              <w:rPr>
                <w:rStyle w:val="SCCCoramChar"/>
                <w:sz w:val="20"/>
                <w:szCs w:val="20"/>
                <w:lang w:val="en-CA"/>
              </w:rPr>
              <w:t>LeBel, Abella and Rothstein JJ.</w:t>
            </w:r>
          </w:p>
          <w:p w:rsidR="0078316E" w:rsidRPr="00104479" w:rsidRDefault="0078316E" w:rsidP="00D54B9C">
            <w:pPr>
              <w:rPr>
                <w:sz w:val="20"/>
                <w:szCs w:val="20"/>
                <w:u w:val="single"/>
              </w:rPr>
            </w:pPr>
          </w:p>
        </w:tc>
      </w:tr>
      <w:tr w:rsidR="0078316E" w:rsidRPr="00B07D2C" w:rsidTr="00D54B9C">
        <w:trPr>
          <w:cantSplit/>
        </w:trPr>
        <w:tc>
          <w:tcPr>
            <w:tcW w:w="9576" w:type="dxa"/>
            <w:gridSpan w:val="2"/>
          </w:tcPr>
          <w:p w:rsidR="0078316E" w:rsidRPr="00104479" w:rsidRDefault="0078316E" w:rsidP="00D54B9C">
            <w:pPr>
              <w:pStyle w:val="SCCShortJudgment"/>
              <w:rPr>
                <w:szCs w:val="20"/>
              </w:rPr>
            </w:pPr>
            <w:r w:rsidRPr="00104479">
              <w:rPr>
                <w:szCs w:val="20"/>
              </w:rPr>
              <w:t>The motion for an extension of time to serve and file the application for leave to appeal is granted. The application for leave to appeal from the judgment of the Court of Appeal for Ontario, Number C51656, 2010 ONCA 860, dated December 17, 2010, is dismissed without costs.</w:t>
            </w:r>
          </w:p>
          <w:p w:rsidR="0078316E" w:rsidRPr="00104479" w:rsidRDefault="0078316E" w:rsidP="00D54B9C">
            <w:pPr>
              <w:pStyle w:val="SCCShortJudgment"/>
              <w:ind w:firstLine="0"/>
              <w:rPr>
                <w:szCs w:val="20"/>
              </w:rPr>
            </w:pPr>
          </w:p>
          <w:p w:rsidR="0078316E" w:rsidRPr="00104479" w:rsidRDefault="0078316E" w:rsidP="00D54B9C">
            <w:pPr>
              <w:pStyle w:val="SCCShortJudgment"/>
              <w:rPr>
                <w:szCs w:val="20"/>
                <w:lang w:val="fr-CA"/>
              </w:rPr>
            </w:pPr>
            <w:r w:rsidRPr="00104479">
              <w:rPr>
                <w:szCs w:val="20"/>
                <w:lang w:val="fr-CA"/>
              </w:rPr>
              <w:t>La requête en prorogation du délai de signification et de dépôt de la demande d’autorisation d’appel est accueillie. La demande d’autorisation d’appel de l’arrêt de la Cour d’appel de l’Ontario, numéro C51656, 2010 ONCA 860, daté du 17 décembre 2010, est rejetée sans dépens.</w:t>
            </w:r>
          </w:p>
        </w:tc>
      </w:tr>
    </w:tbl>
    <w:p w:rsidR="00A32A8F" w:rsidRPr="00A32A8F" w:rsidRDefault="00A32A8F" w:rsidP="00A32A8F">
      <w:pPr>
        <w:rPr>
          <w:sz w:val="20"/>
          <w:szCs w:val="20"/>
          <w:lang w:val="fr-CA"/>
        </w:rPr>
      </w:pPr>
    </w:p>
    <w:p w:rsidR="00A32A8F" w:rsidRDefault="00A32A8F" w:rsidP="00A32A8F">
      <w:pPr>
        <w:rPr>
          <w:sz w:val="20"/>
          <w:szCs w:val="20"/>
          <w:u w:val="single"/>
        </w:rPr>
      </w:pPr>
      <w:r w:rsidRPr="001B157C">
        <w:rPr>
          <w:sz w:val="20"/>
          <w:szCs w:val="20"/>
          <w:u w:val="single"/>
        </w:rPr>
        <w:t>CASE SUMMARY</w:t>
      </w:r>
    </w:p>
    <w:p w:rsidR="00A32A8F" w:rsidRDefault="00A32A8F" w:rsidP="00A32A8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25901" w:rsidRPr="00FF00BC" w:rsidTr="00902B1D">
        <w:tc>
          <w:tcPr>
            <w:tcW w:w="5000" w:type="pct"/>
            <w:gridSpan w:val="3"/>
          </w:tcPr>
          <w:p w:rsidR="00E25901" w:rsidRPr="00FF00BC" w:rsidRDefault="00E25901" w:rsidP="00902B1D">
            <w:pPr>
              <w:jc w:val="both"/>
              <w:rPr>
                <w:sz w:val="20"/>
                <w:szCs w:val="20"/>
              </w:rPr>
            </w:pPr>
            <w:r w:rsidRPr="00FF00BC">
              <w:rPr>
                <w:sz w:val="20"/>
                <w:szCs w:val="20"/>
              </w:rPr>
              <w:t>Criminal law — Sentencing — Applicant sentenced to 4.5 years’ in custody for terrorism, in addition to 43.5 months of pre</w:t>
            </w:r>
            <w:r w:rsidRPr="00FF00BC">
              <w:rPr>
                <w:sz w:val="20"/>
                <w:szCs w:val="20"/>
              </w:rPr>
              <w:noBreakHyphen/>
              <w:t xml:space="preserve">sentence custody — Court of Appeal increased Applicant’s sentence to 10.5 years, plus time served — Whether </w:t>
            </w:r>
            <w:r w:rsidRPr="00FF00BC">
              <w:rPr>
                <w:sz w:val="20"/>
                <w:szCs w:val="20"/>
              </w:rPr>
              <w:lastRenderedPageBreak/>
              <w:t>the Court of Appeal accorded sufficient deference to the decision of the sentencing judge? — Whether the Court of Appeal treated Applicant’s offence as akin to conspiracy to commit murder? — Whether the Court of Appeal articulated an inappropriate range of sentence? — What sentencing principles apply to terrorism? — Were those principles applied correctly by the sentencing judge in this case?</w:t>
            </w:r>
          </w:p>
        </w:tc>
      </w:tr>
      <w:tr w:rsidR="00E25901" w:rsidRPr="00FF00BC" w:rsidTr="00902B1D">
        <w:tc>
          <w:tcPr>
            <w:tcW w:w="5000" w:type="pct"/>
            <w:gridSpan w:val="3"/>
          </w:tcPr>
          <w:p w:rsidR="00E25901" w:rsidRPr="00FF00BC" w:rsidRDefault="00E25901" w:rsidP="00902B1D">
            <w:pPr>
              <w:jc w:val="both"/>
              <w:rPr>
                <w:sz w:val="20"/>
                <w:szCs w:val="20"/>
              </w:rPr>
            </w:pPr>
          </w:p>
        </w:tc>
      </w:tr>
      <w:tr w:rsidR="00E25901" w:rsidRPr="00FF00BC" w:rsidTr="00902B1D">
        <w:tc>
          <w:tcPr>
            <w:tcW w:w="5000" w:type="pct"/>
            <w:gridSpan w:val="3"/>
          </w:tcPr>
          <w:p w:rsidR="00E25901" w:rsidRPr="00FF00BC" w:rsidRDefault="00E25901" w:rsidP="00902B1D">
            <w:pPr>
              <w:jc w:val="both"/>
              <w:rPr>
                <w:sz w:val="20"/>
                <w:szCs w:val="20"/>
              </w:rPr>
            </w:pPr>
            <w:r w:rsidRPr="00FF00BC">
              <w:rPr>
                <w:sz w:val="20"/>
                <w:szCs w:val="20"/>
              </w:rPr>
              <w:t>On September 28, 2009, Mr. Gaya, a member of the so</w:t>
            </w:r>
            <w:r w:rsidRPr="00FF00BC">
              <w:rPr>
                <w:sz w:val="20"/>
                <w:szCs w:val="20"/>
              </w:rPr>
              <w:noBreakHyphen/>
              <w:t>called “Toronto 18”, entered a guilty plea before Durno J. of the Superior Court of Justice to one count of terrorism.  On January 18, 2010, Durno J. sentenced Mr. Gaya to 4.5 years’ imprisonment. In arriving at that sentence, the sentencing judge credited Mr. Gaya with 7.5 years for the 43.5 months that he had spent in pre</w:t>
            </w:r>
            <w:r w:rsidRPr="00FF00BC">
              <w:rPr>
                <w:sz w:val="20"/>
                <w:szCs w:val="20"/>
              </w:rPr>
              <w:noBreakHyphen/>
              <w:t>sentence custody.  Hence, Mr. Gaya received the equivalent of a 12</w:t>
            </w:r>
            <w:r w:rsidRPr="00FF00BC">
              <w:rPr>
                <w:sz w:val="20"/>
                <w:szCs w:val="20"/>
              </w:rPr>
              <w:noBreakHyphen/>
              <w:t xml:space="preserve">year sentence.  With respect to parole, the sentencing judge declined to make an order under s. 743.6(1.2) of the </w:t>
            </w:r>
            <w:r w:rsidRPr="00FF00BC">
              <w:rPr>
                <w:i/>
                <w:sz w:val="20"/>
                <w:szCs w:val="20"/>
              </w:rPr>
              <w:t xml:space="preserve">Criminal Code </w:t>
            </w:r>
            <w:r w:rsidRPr="00FF00BC">
              <w:rPr>
                <w:sz w:val="20"/>
                <w:szCs w:val="20"/>
              </w:rPr>
              <w:t>requiring that M. Gaya serve one half of his sentence before being eligible for parole.  The Court of Appeal allowed the Crown’s appeal and increased Mr. Gaya’s effective sentence from 12 to 18 years.  Taking into account the 7.5 years credited for pre</w:t>
            </w:r>
            <w:r w:rsidRPr="00FF00BC">
              <w:rPr>
                <w:sz w:val="20"/>
                <w:szCs w:val="20"/>
              </w:rPr>
              <w:noBreakHyphen/>
              <w:t>sentence custody, the Court of Appeal increased Mr. Gaya’s sentence from 4.5 years to 10.5 years.  The Court of Appeal also made an order requiring Mr. Gaya to serve one half of his sentence before being eligible for full parole.</w:t>
            </w:r>
          </w:p>
          <w:p w:rsidR="00E25901" w:rsidRPr="00FF00BC" w:rsidRDefault="00E25901" w:rsidP="00902B1D">
            <w:pPr>
              <w:jc w:val="both"/>
              <w:rPr>
                <w:sz w:val="20"/>
                <w:szCs w:val="20"/>
              </w:rPr>
            </w:pPr>
          </w:p>
        </w:tc>
      </w:tr>
      <w:tr w:rsidR="00E25901" w:rsidRPr="00FF00BC" w:rsidTr="00902B1D">
        <w:tc>
          <w:tcPr>
            <w:tcW w:w="2427" w:type="pct"/>
          </w:tcPr>
          <w:p w:rsidR="00E25901" w:rsidRPr="00FF00BC" w:rsidRDefault="00E25901" w:rsidP="00902B1D">
            <w:pPr>
              <w:jc w:val="both"/>
              <w:rPr>
                <w:sz w:val="20"/>
                <w:szCs w:val="20"/>
              </w:rPr>
            </w:pPr>
            <w:r w:rsidRPr="00FF00BC">
              <w:rPr>
                <w:sz w:val="20"/>
                <w:szCs w:val="20"/>
              </w:rPr>
              <w:t>January 18, 2010</w:t>
            </w:r>
          </w:p>
          <w:p w:rsidR="00E25901" w:rsidRPr="00FF00BC" w:rsidRDefault="00E25901" w:rsidP="00902B1D">
            <w:pPr>
              <w:jc w:val="both"/>
              <w:rPr>
                <w:sz w:val="20"/>
                <w:szCs w:val="20"/>
              </w:rPr>
            </w:pPr>
            <w:r w:rsidRPr="00FF00BC">
              <w:rPr>
                <w:sz w:val="20"/>
                <w:szCs w:val="20"/>
              </w:rPr>
              <w:t>Ontario Superior Court of Justice</w:t>
            </w:r>
          </w:p>
          <w:p w:rsidR="00E25901" w:rsidRPr="00FF00BC" w:rsidRDefault="00E25901" w:rsidP="00902B1D">
            <w:pPr>
              <w:jc w:val="both"/>
              <w:rPr>
                <w:sz w:val="20"/>
                <w:szCs w:val="20"/>
              </w:rPr>
            </w:pPr>
            <w:r w:rsidRPr="00FF00BC">
              <w:rPr>
                <w:sz w:val="20"/>
                <w:szCs w:val="20"/>
              </w:rPr>
              <w:t>(Durno J.)</w:t>
            </w:r>
          </w:p>
          <w:p w:rsidR="00E25901" w:rsidRPr="00FF00BC" w:rsidRDefault="00E25901" w:rsidP="00902B1D">
            <w:pPr>
              <w:jc w:val="both"/>
              <w:rPr>
                <w:sz w:val="20"/>
                <w:szCs w:val="20"/>
              </w:rPr>
            </w:pPr>
            <w:r w:rsidRPr="00FF00BC">
              <w:rPr>
                <w:sz w:val="20"/>
                <w:szCs w:val="20"/>
              </w:rPr>
              <w:t>Neutral citation: 2010 ONSC 434</w:t>
            </w:r>
          </w:p>
          <w:p w:rsidR="00E25901" w:rsidRPr="00FF00BC" w:rsidRDefault="00E25901" w:rsidP="00902B1D">
            <w:pPr>
              <w:jc w:val="both"/>
              <w:rPr>
                <w:sz w:val="20"/>
                <w:szCs w:val="20"/>
              </w:rPr>
            </w:pPr>
          </w:p>
        </w:tc>
        <w:tc>
          <w:tcPr>
            <w:tcW w:w="243" w:type="pct"/>
          </w:tcPr>
          <w:p w:rsidR="00E25901" w:rsidRPr="00FF00BC" w:rsidRDefault="00E25901" w:rsidP="00902B1D">
            <w:pPr>
              <w:jc w:val="both"/>
              <w:rPr>
                <w:sz w:val="20"/>
                <w:szCs w:val="20"/>
              </w:rPr>
            </w:pPr>
          </w:p>
        </w:tc>
        <w:tc>
          <w:tcPr>
            <w:tcW w:w="2330" w:type="pct"/>
          </w:tcPr>
          <w:p w:rsidR="00E25901" w:rsidRPr="00FF00BC" w:rsidRDefault="00E25901" w:rsidP="00902B1D">
            <w:pPr>
              <w:jc w:val="both"/>
              <w:rPr>
                <w:sz w:val="20"/>
                <w:szCs w:val="20"/>
              </w:rPr>
            </w:pPr>
            <w:r w:rsidRPr="00FF00BC">
              <w:rPr>
                <w:sz w:val="20"/>
                <w:szCs w:val="20"/>
              </w:rPr>
              <w:t>The Applicant was sentenced 4.5 years’ in custody, in addition to 43.5 months of pre</w:t>
            </w:r>
            <w:r w:rsidRPr="00FF00BC">
              <w:rPr>
                <w:sz w:val="20"/>
                <w:szCs w:val="20"/>
              </w:rPr>
              <w:noBreakHyphen/>
              <w:t xml:space="preserve">sentence custody. The judge declined to make an order increasing the Applicant’s period of parole ineligibility. </w:t>
            </w:r>
          </w:p>
          <w:p w:rsidR="00E25901" w:rsidRPr="00FF00BC" w:rsidRDefault="00E25901" w:rsidP="00902B1D">
            <w:pPr>
              <w:jc w:val="both"/>
              <w:rPr>
                <w:sz w:val="20"/>
                <w:szCs w:val="20"/>
              </w:rPr>
            </w:pPr>
          </w:p>
        </w:tc>
      </w:tr>
      <w:tr w:rsidR="00E25901" w:rsidRPr="00FF00BC" w:rsidTr="00902B1D">
        <w:tc>
          <w:tcPr>
            <w:tcW w:w="2427" w:type="pct"/>
          </w:tcPr>
          <w:p w:rsidR="00E25901" w:rsidRPr="00FF00BC" w:rsidRDefault="00E25901" w:rsidP="00902B1D">
            <w:pPr>
              <w:jc w:val="both"/>
              <w:rPr>
                <w:sz w:val="20"/>
                <w:szCs w:val="20"/>
              </w:rPr>
            </w:pPr>
            <w:r w:rsidRPr="00FF00BC">
              <w:rPr>
                <w:sz w:val="20"/>
                <w:szCs w:val="20"/>
              </w:rPr>
              <w:t>December 17, 2010</w:t>
            </w:r>
          </w:p>
          <w:p w:rsidR="00E25901" w:rsidRPr="00FF00BC" w:rsidRDefault="00E25901" w:rsidP="00902B1D">
            <w:pPr>
              <w:jc w:val="both"/>
              <w:rPr>
                <w:sz w:val="20"/>
                <w:szCs w:val="20"/>
              </w:rPr>
            </w:pPr>
            <w:r w:rsidRPr="00FF00BC">
              <w:rPr>
                <w:sz w:val="20"/>
                <w:szCs w:val="20"/>
              </w:rPr>
              <w:t>Court of Appeal for Ontario</w:t>
            </w:r>
          </w:p>
          <w:p w:rsidR="00E25901" w:rsidRPr="00FF00BC" w:rsidRDefault="00E25901" w:rsidP="00902B1D">
            <w:pPr>
              <w:jc w:val="both"/>
              <w:rPr>
                <w:sz w:val="20"/>
                <w:szCs w:val="20"/>
              </w:rPr>
            </w:pPr>
            <w:r w:rsidRPr="00FF00BC">
              <w:rPr>
                <w:sz w:val="20"/>
                <w:szCs w:val="20"/>
              </w:rPr>
              <w:t>(Doherty, Moldaver and Cronk JJ.A.)</w:t>
            </w:r>
          </w:p>
          <w:p w:rsidR="00E25901" w:rsidRPr="00FF00BC" w:rsidRDefault="00E25901" w:rsidP="00902B1D">
            <w:pPr>
              <w:jc w:val="both"/>
              <w:rPr>
                <w:sz w:val="20"/>
                <w:szCs w:val="20"/>
              </w:rPr>
            </w:pPr>
            <w:r w:rsidRPr="00FF00BC">
              <w:rPr>
                <w:sz w:val="20"/>
                <w:szCs w:val="20"/>
              </w:rPr>
              <w:t>Neutral citation: 2010 ONCA 860</w:t>
            </w:r>
          </w:p>
          <w:p w:rsidR="00E25901" w:rsidRPr="00FF00BC" w:rsidRDefault="00E25901" w:rsidP="00902B1D">
            <w:pPr>
              <w:jc w:val="both"/>
              <w:rPr>
                <w:sz w:val="20"/>
                <w:szCs w:val="20"/>
              </w:rPr>
            </w:pPr>
          </w:p>
        </w:tc>
        <w:tc>
          <w:tcPr>
            <w:tcW w:w="243" w:type="pct"/>
          </w:tcPr>
          <w:p w:rsidR="00E25901" w:rsidRPr="00FF00BC" w:rsidRDefault="00E25901" w:rsidP="00902B1D">
            <w:pPr>
              <w:jc w:val="both"/>
              <w:rPr>
                <w:sz w:val="20"/>
                <w:szCs w:val="20"/>
              </w:rPr>
            </w:pPr>
          </w:p>
        </w:tc>
        <w:tc>
          <w:tcPr>
            <w:tcW w:w="2330" w:type="pct"/>
          </w:tcPr>
          <w:p w:rsidR="00E25901" w:rsidRPr="00FF00BC" w:rsidRDefault="00E25901" w:rsidP="00902B1D">
            <w:pPr>
              <w:jc w:val="both"/>
              <w:rPr>
                <w:sz w:val="20"/>
                <w:szCs w:val="20"/>
              </w:rPr>
            </w:pPr>
            <w:r w:rsidRPr="00FF00BC">
              <w:rPr>
                <w:sz w:val="20"/>
                <w:szCs w:val="20"/>
              </w:rPr>
              <w:t>The appeal was allowed. The Applicant’s sentence was increased to 10.5 years’ imprisonment, plus time served. He was ordered to serve half of this time before being eligible for parole.</w:t>
            </w:r>
          </w:p>
          <w:p w:rsidR="00E25901" w:rsidRPr="00FF00BC" w:rsidRDefault="00E25901" w:rsidP="00902B1D">
            <w:pPr>
              <w:jc w:val="both"/>
              <w:rPr>
                <w:sz w:val="20"/>
                <w:szCs w:val="20"/>
              </w:rPr>
            </w:pPr>
          </w:p>
        </w:tc>
      </w:tr>
      <w:tr w:rsidR="00E25901" w:rsidRPr="00FF00BC" w:rsidTr="00902B1D">
        <w:tc>
          <w:tcPr>
            <w:tcW w:w="2427" w:type="pct"/>
          </w:tcPr>
          <w:p w:rsidR="00E25901" w:rsidRPr="00FF00BC" w:rsidRDefault="00E25901" w:rsidP="00902B1D">
            <w:pPr>
              <w:jc w:val="both"/>
              <w:rPr>
                <w:sz w:val="20"/>
                <w:szCs w:val="20"/>
              </w:rPr>
            </w:pPr>
            <w:r w:rsidRPr="00FF00BC">
              <w:rPr>
                <w:sz w:val="20"/>
                <w:szCs w:val="20"/>
              </w:rPr>
              <w:t>August 5, 2011</w:t>
            </w:r>
          </w:p>
          <w:p w:rsidR="00E25901" w:rsidRPr="00FF00BC" w:rsidRDefault="00E25901" w:rsidP="00902B1D">
            <w:pPr>
              <w:jc w:val="both"/>
              <w:rPr>
                <w:sz w:val="20"/>
                <w:szCs w:val="20"/>
              </w:rPr>
            </w:pPr>
            <w:r w:rsidRPr="00FF00BC">
              <w:rPr>
                <w:sz w:val="20"/>
                <w:szCs w:val="20"/>
              </w:rPr>
              <w:t>Supreme Court of Canada</w:t>
            </w:r>
          </w:p>
        </w:tc>
        <w:tc>
          <w:tcPr>
            <w:tcW w:w="243" w:type="pct"/>
          </w:tcPr>
          <w:p w:rsidR="00E25901" w:rsidRPr="00FF00BC" w:rsidRDefault="00E25901" w:rsidP="00902B1D">
            <w:pPr>
              <w:jc w:val="both"/>
              <w:rPr>
                <w:sz w:val="20"/>
                <w:szCs w:val="20"/>
              </w:rPr>
            </w:pPr>
          </w:p>
        </w:tc>
        <w:tc>
          <w:tcPr>
            <w:tcW w:w="2330" w:type="pct"/>
          </w:tcPr>
          <w:p w:rsidR="00E25901" w:rsidRPr="00FF00BC" w:rsidRDefault="00E25901" w:rsidP="00902B1D">
            <w:pPr>
              <w:jc w:val="both"/>
              <w:rPr>
                <w:sz w:val="20"/>
                <w:szCs w:val="20"/>
              </w:rPr>
            </w:pPr>
            <w:r w:rsidRPr="00FF00BC">
              <w:rPr>
                <w:sz w:val="20"/>
                <w:szCs w:val="20"/>
              </w:rPr>
              <w:t>A motion for an extension of time to file and serve the application for leave to appeal was filed together with the application itself.</w:t>
            </w:r>
          </w:p>
        </w:tc>
      </w:tr>
    </w:tbl>
    <w:p w:rsidR="00A32A8F" w:rsidRDefault="00A32A8F" w:rsidP="00A32A8F">
      <w:pPr>
        <w:rPr>
          <w:sz w:val="20"/>
          <w:szCs w:val="20"/>
        </w:rPr>
      </w:pPr>
    </w:p>
    <w:p w:rsidR="00A32A8F" w:rsidRDefault="00CB0178" w:rsidP="00A32A8F">
      <w:pPr>
        <w:rPr>
          <w:sz w:val="20"/>
          <w:szCs w:val="20"/>
        </w:rPr>
      </w:pPr>
      <w:r w:rsidRPr="00CB0178">
        <w:rPr>
          <w:sz w:val="20"/>
          <w:szCs w:val="20"/>
          <w:lang w:val="fr-CA"/>
        </w:rPr>
        <w:pict>
          <v:rect id="_x0000_i1041" style="width:2in;height:1pt" o:hrpct="0" o:hralign="center" o:hrstd="t" o:hrnoshade="t" o:hr="t" fillcolor="black [3213]" stroked="f"/>
        </w:pict>
      </w:r>
    </w:p>
    <w:p w:rsidR="00A32A8F" w:rsidRDefault="00A32A8F" w:rsidP="00A32A8F">
      <w:pPr>
        <w:rPr>
          <w:sz w:val="20"/>
          <w:szCs w:val="20"/>
        </w:rPr>
      </w:pPr>
    </w:p>
    <w:p w:rsidR="00A32A8F" w:rsidRPr="001B157C" w:rsidRDefault="00A32A8F" w:rsidP="00A32A8F">
      <w:pPr>
        <w:rPr>
          <w:sz w:val="20"/>
          <w:szCs w:val="20"/>
          <w:u w:val="single"/>
          <w:lang w:val="fr-CA"/>
        </w:rPr>
      </w:pPr>
      <w:r w:rsidRPr="001B157C">
        <w:rPr>
          <w:sz w:val="20"/>
          <w:szCs w:val="20"/>
          <w:u w:val="single"/>
          <w:lang w:val="fr-CA"/>
        </w:rPr>
        <w:t>RÉSUMÉ DE L’AFFAIRE</w:t>
      </w:r>
    </w:p>
    <w:p w:rsidR="00A32A8F" w:rsidRDefault="00A32A8F" w:rsidP="00A32A8F">
      <w:pPr>
        <w:rPr>
          <w:sz w:val="20"/>
          <w:szCs w:val="20"/>
        </w:rPr>
      </w:pPr>
    </w:p>
    <w:tbl>
      <w:tblPr>
        <w:tblW w:w="5000" w:type="pct"/>
        <w:tblLayout w:type="fixed"/>
        <w:tblCellMar>
          <w:left w:w="0" w:type="dxa"/>
          <w:bottom w:w="99" w:type="dxa"/>
          <w:right w:w="0" w:type="dxa"/>
        </w:tblCellMar>
        <w:tblLook w:val="00A0"/>
      </w:tblPr>
      <w:tblGrid>
        <w:gridCol w:w="4554"/>
        <w:gridCol w:w="514"/>
        <w:gridCol w:w="4459"/>
        <w:gridCol w:w="92"/>
      </w:tblGrid>
      <w:tr w:rsidR="00E25901" w:rsidRPr="00B07D2C" w:rsidTr="00902B1D">
        <w:trPr>
          <w:gridAfter w:val="1"/>
          <w:wAfter w:w="48" w:type="pct"/>
        </w:trPr>
        <w:tc>
          <w:tcPr>
            <w:tcW w:w="4952" w:type="pct"/>
            <w:gridSpan w:val="3"/>
          </w:tcPr>
          <w:p w:rsidR="00E25901" w:rsidRPr="00FF00BC" w:rsidRDefault="00E25901" w:rsidP="00902B1D">
            <w:pPr>
              <w:pStyle w:val="SCCBanSummary"/>
              <w:rPr>
                <w:sz w:val="20"/>
                <w:szCs w:val="20"/>
                <w:lang w:val="fr-CA"/>
              </w:rPr>
            </w:pPr>
            <w:r w:rsidRPr="00FF00BC">
              <w:rPr>
                <w:smallCaps w:val="0"/>
                <w:sz w:val="20"/>
                <w:szCs w:val="20"/>
                <w:lang w:val="fr-CA"/>
              </w:rPr>
              <w:t>Droit criminel — Détermination de la peine — Le demandeur a été condamné à purger une peine de détention de 4,5 ans pour terrorisme, en plus de la détention provisoire de 43,5 mois — La Cour d’appel a augmenté sa peine à 10,5 ans en sus du temps purgé — La Cour d’appel a</w:t>
            </w:r>
            <w:r w:rsidRPr="00FF00BC">
              <w:rPr>
                <w:smallCaps w:val="0"/>
                <w:sz w:val="20"/>
                <w:szCs w:val="20"/>
                <w:lang w:val="fr-CA"/>
              </w:rPr>
              <w:noBreakHyphen/>
              <w:t>t</w:t>
            </w:r>
            <w:r w:rsidRPr="00FF00BC">
              <w:rPr>
                <w:smallCaps w:val="0"/>
                <w:sz w:val="20"/>
                <w:szCs w:val="20"/>
                <w:lang w:val="fr-CA"/>
              </w:rPr>
              <w:noBreakHyphen/>
              <w:t>elle fait preuve de suffisamment de retenue à l’égard à la décision du juge qui a prononcé la peine? — La Cour d’appel a</w:t>
            </w:r>
            <w:r w:rsidRPr="00FF00BC">
              <w:rPr>
                <w:smallCaps w:val="0"/>
                <w:sz w:val="20"/>
                <w:szCs w:val="20"/>
                <w:lang w:val="fr-CA"/>
              </w:rPr>
              <w:noBreakHyphen/>
              <w:t>t</w:t>
            </w:r>
            <w:r w:rsidRPr="00FF00BC">
              <w:rPr>
                <w:smallCaps w:val="0"/>
                <w:sz w:val="20"/>
                <w:szCs w:val="20"/>
                <w:lang w:val="fr-CA"/>
              </w:rPr>
              <w:noBreakHyphen/>
              <w:t>elle traité l’infraction commise par le demandeur comme apparentée à un complot en vue de commettre un meurtre? — La Cour d’appel a</w:t>
            </w:r>
            <w:r w:rsidRPr="00FF00BC">
              <w:rPr>
                <w:smallCaps w:val="0"/>
                <w:sz w:val="20"/>
                <w:szCs w:val="20"/>
                <w:lang w:val="fr-CA"/>
              </w:rPr>
              <w:noBreakHyphen/>
              <w:t>t</w:t>
            </w:r>
            <w:r w:rsidRPr="00FF00BC">
              <w:rPr>
                <w:smallCaps w:val="0"/>
                <w:sz w:val="20"/>
                <w:szCs w:val="20"/>
                <w:lang w:val="fr-CA"/>
              </w:rPr>
              <w:noBreakHyphen/>
              <w:t>elle exprimé une fourchette des peines inappropriée? — Quels principes de détermination de la peine s’appliquent au terrorisme? — Le juge qui a prononcé la peine en l’espèce a</w:t>
            </w:r>
            <w:r w:rsidRPr="00FF00BC">
              <w:rPr>
                <w:smallCaps w:val="0"/>
                <w:sz w:val="20"/>
                <w:szCs w:val="20"/>
                <w:lang w:val="fr-CA"/>
              </w:rPr>
              <w:noBreakHyphen/>
              <w:t>t</w:t>
            </w:r>
            <w:r w:rsidRPr="00FF00BC">
              <w:rPr>
                <w:smallCaps w:val="0"/>
                <w:sz w:val="20"/>
                <w:szCs w:val="20"/>
                <w:lang w:val="fr-CA"/>
              </w:rPr>
              <w:noBreakHyphen/>
              <w:t>il correctement appliqué ces principes?</w:t>
            </w:r>
          </w:p>
          <w:p w:rsidR="00E25901" w:rsidRPr="00FF00BC" w:rsidRDefault="00E25901" w:rsidP="00902B1D">
            <w:pPr>
              <w:jc w:val="both"/>
              <w:rPr>
                <w:sz w:val="20"/>
                <w:szCs w:val="20"/>
                <w:lang w:val="fr-CA"/>
              </w:rPr>
            </w:pPr>
          </w:p>
        </w:tc>
      </w:tr>
      <w:tr w:rsidR="00E25901" w:rsidRPr="00B07D2C" w:rsidTr="00902B1D">
        <w:trPr>
          <w:gridAfter w:val="1"/>
          <w:wAfter w:w="48" w:type="pct"/>
        </w:trPr>
        <w:tc>
          <w:tcPr>
            <w:tcW w:w="4952" w:type="pct"/>
            <w:gridSpan w:val="3"/>
          </w:tcPr>
          <w:p w:rsidR="00E25901" w:rsidRPr="00FF00BC" w:rsidRDefault="00E25901" w:rsidP="00902B1D">
            <w:pPr>
              <w:jc w:val="both"/>
              <w:rPr>
                <w:sz w:val="20"/>
                <w:szCs w:val="20"/>
                <w:lang w:val="fr-CA"/>
              </w:rPr>
            </w:pPr>
            <w:r w:rsidRPr="00FF00BC">
              <w:rPr>
                <w:sz w:val="20"/>
                <w:szCs w:val="20"/>
                <w:lang w:val="fr-CA"/>
              </w:rPr>
              <w:t>Le 28 septembre 2009, M. Gaya, un membre du groupe connu sous le nom des « 18 de Toronto », a plaidé coupable devant le juge Durno de la Cour supérieure de justice sous un chef d’accusation de terrorisme.  Le 18 janvier 2010, le juge Durno a condamné M. Gaya à une peine d’emprisonnement de 4,5 ans.  Pour déterminer cette peine, le juge a réduit la peine de M. Gaya de 7,5 ans pour tenir compte du temps de sa détention provisoire de 43,5 mois. Monsieur Gaya s’est donc vu imposer l’équivalent d’une peine de 12 ans.  Pour ce qui est de la libération conditionnelle, le juge qui a prononcé la peine a refusé de rendre une ordonnance aux termes du par. 743.6(1.2) du</w:t>
            </w:r>
            <w:r w:rsidRPr="00FF00BC">
              <w:rPr>
                <w:i/>
                <w:sz w:val="20"/>
                <w:szCs w:val="20"/>
                <w:lang w:val="fr-CA"/>
              </w:rPr>
              <w:t xml:space="preserve"> Code criminel</w:t>
            </w:r>
            <w:r w:rsidRPr="00FF00BC">
              <w:rPr>
                <w:sz w:val="20"/>
                <w:szCs w:val="20"/>
                <w:lang w:val="fr-CA"/>
              </w:rPr>
              <w:t xml:space="preserve"> obligeant M. Gaya à purge la moitié de sa peine avant d’être admissible à la libération conditionnelle.  La Cour d’appel a accueilli l’appel du ministère public et a augmenté la peine que devait effectivement purger M. Gaya de 12 à 18 ans.  Prenant en compte les 7,5 ans déduits au titre de la détention provisoire, la Cour d’appel a augmenté la peine de </w:t>
            </w:r>
            <w:r w:rsidRPr="00FF00BC">
              <w:rPr>
                <w:sz w:val="20"/>
                <w:szCs w:val="20"/>
                <w:lang w:val="fr-CA"/>
              </w:rPr>
              <w:lastRenderedPageBreak/>
              <w:t xml:space="preserve">M. Gaya de 4,5 ans à 10,5 ans.  La Cour d’appel a également rendu une ordonnance obligeant M. Gaya à purger la moitié de sa peine avant d’être admissible à la libération conditionnelle totale. </w:t>
            </w:r>
          </w:p>
        </w:tc>
      </w:tr>
      <w:tr w:rsidR="00E25901" w:rsidRPr="00B07D2C" w:rsidTr="00902B1D">
        <w:trPr>
          <w:gridAfter w:val="1"/>
          <w:wAfter w:w="48" w:type="pct"/>
        </w:trPr>
        <w:tc>
          <w:tcPr>
            <w:tcW w:w="4952" w:type="pct"/>
            <w:gridSpan w:val="3"/>
          </w:tcPr>
          <w:p w:rsidR="00E25901" w:rsidRPr="00FF00BC" w:rsidRDefault="00E25901" w:rsidP="00902B1D">
            <w:pPr>
              <w:jc w:val="both"/>
              <w:rPr>
                <w:sz w:val="20"/>
                <w:szCs w:val="20"/>
                <w:lang w:val="fr-CA"/>
              </w:rPr>
            </w:pPr>
          </w:p>
        </w:tc>
      </w:tr>
      <w:tr w:rsidR="00E25901" w:rsidRPr="00B07D2C" w:rsidTr="00902B1D">
        <w:tblPrEx>
          <w:tblCellMar>
            <w:bottom w:w="0" w:type="dxa"/>
          </w:tblCellMar>
        </w:tblPrEx>
        <w:tc>
          <w:tcPr>
            <w:tcW w:w="2367" w:type="pct"/>
          </w:tcPr>
          <w:p w:rsidR="00E25901" w:rsidRPr="00FF00BC" w:rsidRDefault="00E25901" w:rsidP="00902B1D">
            <w:pPr>
              <w:jc w:val="both"/>
              <w:rPr>
                <w:sz w:val="20"/>
                <w:szCs w:val="20"/>
                <w:lang w:val="fr-CA"/>
              </w:rPr>
            </w:pPr>
            <w:r w:rsidRPr="00FF00BC">
              <w:rPr>
                <w:sz w:val="20"/>
                <w:szCs w:val="20"/>
                <w:lang w:val="fr-CA"/>
              </w:rPr>
              <w:t>18 janvier 2009</w:t>
            </w:r>
          </w:p>
          <w:p w:rsidR="00E25901" w:rsidRPr="00FF00BC" w:rsidRDefault="00E25901" w:rsidP="00902B1D">
            <w:pPr>
              <w:jc w:val="both"/>
              <w:rPr>
                <w:sz w:val="20"/>
                <w:szCs w:val="20"/>
                <w:lang w:val="fr-CA"/>
              </w:rPr>
            </w:pPr>
            <w:r w:rsidRPr="00FF00BC">
              <w:rPr>
                <w:sz w:val="20"/>
                <w:szCs w:val="20"/>
                <w:lang w:val="fr-CA"/>
              </w:rPr>
              <w:t xml:space="preserve">Cour supérieure de justice de l’Ontario </w:t>
            </w:r>
          </w:p>
          <w:p w:rsidR="00E25901" w:rsidRPr="00FF00BC" w:rsidRDefault="00E25901" w:rsidP="00902B1D">
            <w:pPr>
              <w:jc w:val="both"/>
              <w:rPr>
                <w:sz w:val="20"/>
                <w:szCs w:val="20"/>
                <w:lang w:val="fr-CA"/>
              </w:rPr>
            </w:pPr>
            <w:r w:rsidRPr="00FF00BC">
              <w:rPr>
                <w:sz w:val="20"/>
                <w:szCs w:val="20"/>
                <w:lang w:val="fr-CA"/>
              </w:rPr>
              <w:t>(Juge Durno)</w:t>
            </w:r>
          </w:p>
          <w:p w:rsidR="00E25901" w:rsidRPr="00FF00BC" w:rsidRDefault="00E25901" w:rsidP="00902B1D">
            <w:pPr>
              <w:jc w:val="both"/>
              <w:rPr>
                <w:sz w:val="20"/>
                <w:szCs w:val="20"/>
                <w:lang w:val="fr-CA"/>
              </w:rPr>
            </w:pPr>
            <w:r w:rsidRPr="00FF00BC">
              <w:rPr>
                <w:sz w:val="20"/>
                <w:szCs w:val="20"/>
                <w:lang w:val="fr-CA"/>
              </w:rPr>
              <w:t>Référence neutre : 2010 ONSC 434</w:t>
            </w:r>
          </w:p>
          <w:p w:rsidR="00E25901" w:rsidRPr="00FF00BC" w:rsidRDefault="00E25901" w:rsidP="00902B1D">
            <w:pPr>
              <w:jc w:val="both"/>
              <w:rPr>
                <w:sz w:val="20"/>
                <w:szCs w:val="20"/>
                <w:lang w:val="fr-CA"/>
              </w:rPr>
            </w:pPr>
          </w:p>
        </w:tc>
        <w:tc>
          <w:tcPr>
            <w:tcW w:w="267" w:type="pct"/>
          </w:tcPr>
          <w:p w:rsidR="00E25901" w:rsidRPr="00FF00BC" w:rsidRDefault="00E25901" w:rsidP="00902B1D">
            <w:pPr>
              <w:jc w:val="both"/>
              <w:rPr>
                <w:sz w:val="20"/>
                <w:szCs w:val="20"/>
                <w:lang w:val="fr-CA"/>
              </w:rPr>
            </w:pPr>
          </w:p>
        </w:tc>
        <w:tc>
          <w:tcPr>
            <w:tcW w:w="2366" w:type="pct"/>
            <w:gridSpan w:val="2"/>
          </w:tcPr>
          <w:p w:rsidR="00E25901" w:rsidRPr="00FF00BC" w:rsidRDefault="00E25901" w:rsidP="00902B1D">
            <w:pPr>
              <w:jc w:val="both"/>
              <w:rPr>
                <w:sz w:val="20"/>
                <w:szCs w:val="20"/>
                <w:lang w:val="fr-CA"/>
              </w:rPr>
            </w:pPr>
            <w:r w:rsidRPr="00FF00BC">
              <w:rPr>
                <w:sz w:val="20"/>
                <w:szCs w:val="20"/>
                <w:lang w:val="fr-CA"/>
              </w:rPr>
              <w:t xml:space="preserve">Demandeur condamné à une peine d’emprisonnement de 4,5 ans, en sus des 43,5 mois de détention provisoire. Le juge a refusé de rendre une ordonnance augmentant la période d’inadmissibilité à une libération conditionnelle du demandeur. </w:t>
            </w:r>
          </w:p>
          <w:p w:rsidR="00E25901" w:rsidRPr="00FF00BC" w:rsidRDefault="00E25901" w:rsidP="00902B1D">
            <w:pPr>
              <w:jc w:val="both"/>
              <w:rPr>
                <w:sz w:val="20"/>
                <w:szCs w:val="20"/>
                <w:lang w:val="fr-CA"/>
              </w:rPr>
            </w:pPr>
          </w:p>
        </w:tc>
      </w:tr>
      <w:tr w:rsidR="00E25901" w:rsidRPr="00B07D2C" w:rsidTr="00902B1D">
        <w:tblPrEx>
          <w:tblCellMar>
            <w:bottom w:w="0" w:type="dxa"/>
          </w:tblCellMar>
        </w:tblPrEx>
        <w:tc>
          <w:tcPr>
            <w:tcW w:w="2367" w:type="pct"/>
          </w:tcPr>
          <w:p w:rsidR="00E25901" w:rsidRPr="00FF00BC" w:rsidRDefault="00E25901" w:rsidP="00902B1D">
            <w:pPr>
              <w:jc w:val="both"/>
              <w:rPr>
                <w:sz w:val="20"/>
                <w:szCs w:val="20"/>
                <w:lang w:val="fr-CA"/>
              </w:rPr>
            </w:pPr>
            <w:r w:rsidRPr="00FF00BC">
              <w:rPr>
                <w:sz w:val="20"/>
                <w:szCs w:val="20"/>
                <w:lang w:val="fr-CA"/>
              </w:rPr>
              <w:t>17 décembre 2010</w:t>
            </w:r>
          </w:p>
          <w:p w:rsidR="00E25901" w:rsidRPr="00FF00BC" w:rsidRDefault="00E25901" w:rsidP="00902B1D">
            <w:pPr>
              <w:jc w:val="both"/>
              <w:rPr>
                <w:sz w:val="20"/>
                <w:szCs w:val="20"/>
                <w:lang w:val="fr-CA"/>
              </w:rPr>
            </w:pPr>
            <w:r w:rsidRPr="00FF00BC">
              <w:rPr>
                <w:sz w:val="20"/>
                <w:szCs w:val="20"/>
                <w:lang w:val="fr-CA"/>
              </w:rPr>
              <w:t>Cour d’appel de l’Ontario</w:t>
            </w:r>
          </w:p>
          <w:p w:rsidR="00E25901" w:rsidRPr="00FF00BC" w:rsidRDefault="00E25901" w:rsidP="00902B1D">
            <w:pPr>
              <w:jc w:val="both"/>
              <w:rPr>
                <w:sz w:val="20"/>
                <w:szCs w:val="20"/>
                <w:lang w:val="fr-CA"/>
              </w:rPr>
            </w:pPr>
            <w:r w:rsidRPr="00FF00BC">
              <w:rPr>
                <w:sz w:val="20"/>
                <w:szCs w:val="20"/>
                <w:lang w:val="fr-CA"/>
              </w:rPr>
              <w:t>(Juges Doherty, Moldaver et Cronk)</w:t>
            </w:r>
          </w:p>
          <w:p w:rsidR="00E25901" w:rsidRPr="00FF00BC" w:rsidRDefault="00E25901" w:rsidP="00902B1D">
            <w:pPr>
              <w:jc w:val="both"/>
              <w:rPr>
                <w:sz w:val="20"/>
                <w:szCs w:val="20"/>
                <w:lang w:val="fr-CA"/>
              </w:rPr>
            </w:pPr>
            <w:r w:rsidRPr="00FF00BC">
              <w:rPr>
                <w:sz w:val="20"/>
                <w:szCs w:val="20"/>
                <w:lang w:val="fr-CA"/>
              </w:rPr>
              <w:t>Référence neutre : 2010 ONCA 860</w:t>
            </w:r>
          </w:p>
          <w:p w:rsidR="00E25901" w:rsidRPr="00FF00BC" w:rsidRDefault="00E25901" w:rsidP="00902B1D">
            <w:pPr>
              <w:jc w:val="both"/>
              <w:rPr>
                <w:sz w:val="20"/>
                <w:szCs w:val="20"/>
                <w:lang w:val="fr-CA"/>
              </w:rPr>
            </w:pPr>
          </w:p>
        </w:tc>
        <w:tc>
          <w:tcPr>
            <w:tcW w:w="267" w:type="pct"/>
          </w:tcPr>
          <w:p w:rsidR="00E25901" w:rsidRPr="00FF00BC" w:rsidRDefault="00E25901" w:rsidP="00902B1D">
            <w:pPr>
              <w:jc w:val="both"/>
              <w:rPr>
                <w:sz w:val="20"/>
                <w:szCs w:val="20"/>
                <w:lang w:val="fr-CA"/>
              </w:rPr>
            </w:pPr>
          </w:p>
        </w:tc>
        <w:tc>
          <w:tcPr>
            <w:tcW w:w="2366" w:type="pct"/>
            <w:gridSpan w:val="2"/>
          </w:tcPr>
          <w:p w:rsidR="00E25901" w:rsidRPr="00FF00BC" w:rsidRDefault="00E25901" w:rsidP="00902B1D">
            <w:pPr>
              <w:jc w:val="both"/>
              <w:rPr>
                <w:sz w:val="20"/>
                <w:szCs w:val="20"/>
                <w:lang w:val="fr-CA"/>
              </w:rPr>
            </w:pPr>
            <w:r w:rsidRPr="00FF00BC">
              <w:rPr>
                <w:sz w:val="20"/>
                <w:szCs w:val="20"/>
                <w:lang w:val="fr-CA"/>
              </w:rPr>
              <w:t>Appel accueilli. Peine du demandeur augmentée à 10,5 ans d’emprisonnement, en sus du temps purgé. La Cour lui a ordonné de purger la moitié de cette peine avant d’être admissible à la libération conditionnelle.</w:t>
            </w:r>
          </w:p>
          <w:p w:rsidR="00E25901" w:rsidRPr="00FF00BC" w:rsidRDefault="00E25901" w:rsidP="00902B1D">
            <w:pPr>
              <w:jc w:val="both"/>
              <w:rPr>
                <w:sz w:val="20"/>
                <w:szCs w:val="20"/>
                <w:lang w:val="fr-CA"/>
              </w:rPr>
            </w:pPr>
          </w:p>
        </w:tc>
      </w:tr>
      <w:tr w:rsidR="00E25901" w:rsidRPr="00B07D2C" w:rsidTr="00902B1D">
        <w:tblPrEx>
          <w:tblCellMar>
            <w:bottom w:w="0" w:type="dxa"/>
          </w:tblCellMar>
        </w:tblPrEx>
        <w:tc>
          <w:tcPr>
            <w:tcW w:w="2367" w:type="pct"/>
          </w:tcPr>
          <w:p w:rsidR="00E25901" w:rsidRPr="00FF00BC" w:rsidRDefault="00E25901" w:rsidP="00902B1D">
            <w:pPr>
              <w:jc w:val="both"/>
              <w:rPr>
                <w:sz w:val="20"/>
                <w:szCs w:val="20"/>
                <w:lang w:val="fr-CA"/>
              </w:rPr>
            </w:pPr>
            <w:r w:rsidRPr="00FF00BC">
              <w:rPr>
                <w:sz w:val="20"/>
                <w:szCs w:val="20"/>
                <w:lang w:val="fr-CA"/>
              </w:rPr>
              <w:t>5 août 2011</w:t>
            </w:r>
          </w:p>
          <w:p w:rsidR="00E25901" w:rsidRPr="00FF00BC" w:rsidRDefault="00E25901" w:rsidP="00902B1D">
            <w:pPr>
              <w:jc w:val="both"/>
              <w:rPr>
                <w:sz w:val="20"/>
                <w:szCs w:val="20"/>
                <w:lang w:val="fr-CA"/>
              </w:rPr>
            </w:pPr>
            <w:r w:rsidRPr="00FF00BC">
              <w:rPr>
                <w:sz w:val="20"/>
                <w:szCs w:val="20"/>
                <w:lang w:val="fr-CA"/>
              </w:rPr>
              <w:t>Cour suprême du Canada</w:t>
            </w:r>
          </w:p>
          <w:p w:rsidR="00E25901" w:rsidRPr="00FF00BC" w:rsidRDefault="00E25901" w:rsidP="00902B1D">
            <w:pPr>
              <w:jc w:val="both"/>
              <w:rPr>
                <w:sz w:val="20"/>
                <w:szCs w:val="20"/>
                <w:lang w:val="fr-CA"/>
              </w:rPr>
            </w:pPr>
          </w:p>
        </w:tc>
        <w:tc>
          <w:tcPr>
            <w:tcW w:w="267" w:type="pct"/>
          </w:tcPr>
          <w:p w:rsidR="00E25901" w:rsidRPr="00FF00BC" w:rsidRDefault="00E25901" w:rsidP="00902B1D">
            <w:pPr>
              <w:jc w:val="both"/>
              <w:rPr>
                <w:sz w:val="20"/>
                <w:szCs w:val="20"/>
                <w:lang w:val="fr-CA"/>
              </w:rPr>
            </w:pPr>
          </w:p>
        </w:tc>
        <w:tc>
          <w:tcPr>
            <w:tcW w:w="2366" w:type="pct"/>
            <w:gridSpan w:val="2"/>
          </w:tcPr>
          <w:p w:rsidR="00E25901" w:rsidRPr="00FF00BC" w:rsidRDefault="00E25901" w:rsidP="00902B1D">
            <w:pPr>
              <w:jc w:val="both"/>
              <w:rPr>
                <w:sz w:val="20"/>
                <w:szCs w:val="20"/>
                <w:lang w:val="fr-CA"/>
              </w:rPr>
            </w:pPr>
            <w:r w:rsidRPr="00FF00BC">
              <w:rPr>
                <w:sz w:val="20"/>
                <w:szCs w:val="20"/>
                <w:lang w:val="fr-CA"/>
              </w:rPr>
              <w:t>Requête en prorogation du délai de dépôt et de signification de la demande d’autorisation d’appel et demande d’autorisation d’appel, déposées.</w:t>
            </w:r>
          </w:p>
        </w:tc>
      </w:tr>
    </w:tbl>
    <w:p w:rsidR="00A32A8F" w:rsidRPr="00E25901" w:rsidRDefault="00A32A8F" w:rsidP="00A32A8F">
      <w:pPr>
        <w:rPr>
          <w:sz w:val="20"/>
          <w:szCs w:val="20"/>
          <w:lang w:val="fr-CA"/>
        </w:rPr>
      </w:pPr>
    </w:p>
    <w:p w:rsidR="00A32A8F" w:rsidRDefault="00CB0178" w:rsidP="00A32A8F">
      <w:pPr>
        <w:rPr>
          <w:sz w:val="20"/>
          <w:szCs w:val="20"/>
        </w:rPr>
      </w:pPr>
      <w:r w:rsidRPr="00CB0178">
        <w:rPr>
          <w:sz w:val="20"/>
          <w:szCs w:val="20"/>
          <w:lang w:val="fr-CA"/>
        </w:rPr>
        <w:pict>
          <v:rect id="_x0000_i1042" style="width:2in;height:1pt" o:hrpct="0" o:hralign="center" o:hrstd="t" o:hrnoshade="t" o:hr="t" fillcolor="black [3213]" stroked="f"/>
        </w:pict>
      </w:r>
    </w:p>
    <w:p w:rsidR="00A32A8F" w:rsidRDefault="00A32A8F" w:rsidP="00A32A8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8316E" w:rsidRPr="00104479" w:rsidTr="00D54B9C">
        <w:trPr>
          <w:cantSplit/>
        </w:trPr>
        <w:tc>
          <w:tcPr>
            <w:tcW w:w="1458" w:type="dxa"/>
          </w:tcPr>
          <w:p w:rsidR="0078316E" w:rsidRPr="00104479" w:rsidRDefault="0078316E" w:rsidP="00D54B9C">
            <w:pPr>
              <w:rPr>
                <w:sz w:val="20"/>
                <w:szCs w:val="20"/>
              </w:rPr>
            </w:pPr>
            <w:r w:rsidRPr="00104479">
              <w:rPr>
                <w:rStyle w:val="SCCFileNumberChar"/>
                <w:sz w:val="20"/>
                <w:szCs w:val="20"/>
              </w:rPr>
              <w:t>35049</w:t>
            </w:r>
          </w:p>
          <w:p w:rsidR="0078316E" w:rsidRPr="00104479" w:rsidRDefault="0078316E" w:rsidP="00D54B9C">
            <w:pPr>
              <w:rPr>
                <w:b/>
                <w:sz w:val="20"/>
                <w:szCs w:val="20"/>
                <w:lang w:val="fr-CA"/>
              </w:rPr>
            </w:pPr>
          </w:p>
        </w:tc>
        <w:tc>
          <w:tcPr>
            <w:tcW w:w="8118" w:type="dxa"/>
          </w:tcPr>
          <w:p w:rsidR="0078316E" w:rsidRPr="00104479" w:rsidRDefault="0078316E" w:rsidP="00D54B9C">
            <w:pPr>
              <w:rPr>
                <w:sz w:val="20"/>
                <w:szCs w:val="20"/>
              </w:rPr>
            </w:pPr>
            <w:r w:rsidRPr="00104479">
              <w:rPr>
                <w:rStyle w:val="SCCLsocChar"/>
                <w:sz w:val="20"/>
                <w:szCs w:val="20"/>
                <w:lang w:val="en-CA"/>
              </w:rPr>
              <w:t>Her Majesty the Queen v. Nelson Lloyd Hart</w:t>
            </w:r>
            <w:r w:rsidRPr="00104479">
              <w:rPr>
                <w:sz w:val="20"/>
                <w:szCs w:val="20"/>
              </w:rPr>
              <w:t xml:space="preserve"> (N.L.) (Criminal) (By Leave)</w:t>
            </w:r>
          </w:p>
          <w:p w:rsidR="0078316E" w:rsidRPr="00104479" w:rsidRDefault="0078316E" w:rsidP="00D54B9C">
            <w:pPr>
              <w:rPr>
                <w:sz w:val="20"/>
                <w:szCs w:val="20"/>
              </w:rPr>
            </w:pPr>
          </w:p>
        </w:tc>
      </w:tr>
      <w:tr w:rsidR="0078316E" w:rsidRPr="00104479" w:rsidTr="00D54B9C">
        <w:trPr>
          <w:cantSplit/>
        </w:trPr>
        <w:tc>
          <w:tcPr>
            <w:tcW w:w="1458" w:type="dxa"/>
          </w:tcPr>
          <w:p w:rsidR="0078316E" w:rsidRDefault="0078316E" w:rsidP="00D54B9C">
            <w:pPr>
              <w:rPr>
                <w:sz w:val="20"/>
                <w:szCs w:val="20"/>
              </w:rPr>
            </w:pPr>
            <w:r w:rsidRPr="00104479">
              <w:rPr>
                <w:sz w:val="20"/>
                <w:szCs w:val="20"/>
              </w:rPr>
              <w:t>Coram :</w:t>
            </w:r>
          </w:p>
          <w:p w:rsidR="00B07D2C" w:rsidRPr="00104479" w:rsidRDefault="00B07D2C" w:rsidP="00D54B9C">
            <w:pPr>
              <w:rPr>
                <w:sz w:val="20"/>
                <w:szCs w:val="20"/>
              </w:rPr>
            </w:pPr>
          </w:p>
        </w:tc>
        <w:tc>
          <w:tcPr>
            <w:tcW w:w="8118" w:type="dxa"/>
          </w:tcPr>
          <w:p w:rsidR="0078316E" w:rsidRPr="00104479" w:rsidRDefault="0078316E" w:rsidP="00D54B9C">
            <w:pPr>
              <w:rPr>
                <w:sz w:val="20"/>
                <w:szCs w:val="20"/>
              </w:rPr>
            </w:pPr>
            <w:r w:rsidRPr="00104479">
              <w:rPr>
                <w:rStyle w:val="SCCCoramChar"/>
                <w:sz w:val="20"/>
                <w:szCs w:val="20"/>
                <w:lang w:val="en-CA"/>
              </w:rPr>
              <w:t>LeBel, Karakatsanis and Wagner JJ.</w:t>
            </w:r>
          </w:p>
          <w:p w:rsidR="0078316E" w:rsidRPr="00104479" w:rsidRDefault="0078316E" w:rsidP="00D54B9C">
            <w:pPr>
              <w:rPr>
                <w:sz w:val="20"/>
                <w:szCs w:val="20"/>
                <w:u w:val="single"/>
              </w:rPr>
            </w:pPr>
          </w:p>
        </w:tc>
      </w:tr>
      <w:tr w:rsidR="0078316E" w:rsidRPr="00B07D2C" w:rsidTr="00D54B9C">
        <w:trPr>
          <w:cantSplit/>
        </w:trPr>
        <w:tc>
          <w:tcPr>
            <w:tcW w:w="9576" w:type="dxa"/>
            <w:gridSpan w:val="2"/>
          </w:tcPr>
          <w:p w:rsidR="0078316E" w:rsidRPr="00104479" w:rsidRDefault="0078316E" w:rsidP="00D54B9C">
            <w:pPr>
              <w:pStyle w:val="SCCShortJudgment"/>
              <w:rPr>
                <w:szCs w:val="20"/>
              </w:rPr>
            </w:pPr>
            <w:r w:rsidRPr="00104479">
              <w:rPr>
                <w:szCs w:val="20"/>
              </w:rPr>
              <w:t>The application for leave to appeal from the judgment of the Supreme Court of Newfoundland and Labrador</w:t>
            </w:r>
            <w:r w:rsidR="00077688">
              <w:rPr>
                <w:szCs w:val="20"/>
              </w:rPr>
              <w:t> </w:t>
            </w:r>
            <w:r w:rsidRPr="00104479">
              <w:rPr>
                <w:szCs w:val="20"/>
              </w:rPr>
              <w:t>- Court of Appeal, Number 07/30, 2012 NLCA 61, dated September 17, 2012, is granted without costs.</w:t>
            </w:r>
          </w:p>
          <w:p w:rsidR="0078316E" w:rsidRPr="00104479" w:rsidRDefault="0078316E" w:rsidP="00D54B9C">
            <w:pPr>
              <w:pStyle w:val="SCCShortJudgment"/>
              <w:ind w:firstLine="0"/>
              <w:rPr>
                <w:szCs w:val="20"/>
              </w:rPr>
            </w:pPr>
          </w:p>
          <w:p w:rsidR="0078316E" w:rsidRPr="00104479" w:rsidRDefault="0078316E" w:rsidP="00D54B9C">
            <w:pPr>
              <w:pStyle w:val="SCCShortJudgment"/>
              <w:rPr>
                <w:szCs w:val="20"/>
                <w:lang w:val="fr-CA"/>
              </w:rPr>
            </w:pPr>
            <w:r w:rsidRPr="00104479">
              <w:rPr>
                <w:szCs w:val="20"/>
                <w:lang w:val="fr-CA"/>
              </w:rPr>
              <w:t>La demande d’autorisation d’appel de l’arrêt de la Cour suprême de Terre-Neuve-et-Labrador - Cour d’appel, numéro 07/30, 2012 NLCA 61, daté du 17 septembre 2012, est accueillie sans dépens.</w:t>
            </w:r>
          </w:p>
        </w:tc>
      </w:tr>
    </w:tbl>
    <w:p w:rsidR="00A32A8F" w:rsidRPr="0078316E" w:rsidRDefault="00A32A8F" w:rsidP="00A32A8F">
      <w:pPr>
        <w:rPr>
          <w:sz w:val="20"/>
          <w:szCs w:val="20"/>
          <w:lang w:val="fr-CA"/>
        </w:rPr>
      </w:pPr>
    </w:p>
    <w:p w:rsidR="00A32A8F" w:rsidRDefault="00A32A8F" w:rsidP="00A32A8F">
      <w:pPr>
        <w:rPr>
          <w:sz w:val="20"/>
          <w:szCs w:val="20"/>
          <w:u w:val="single"/>
        </w:rPr>
      </w:pPr>
      <w:r w:rsidRPr="001B157C">
        <w:rPr>
          <w:sz w:val="20"/>
          <w:szCs w:val="20"/>
          <w:u w:val="single"/>
        </w:rPr>
        <w:t>CASE SUMMARY</w:t>
      </w:r>
    </w:p>
    <w:p w:rsidR="00A32A8F" w:rsidRDefault="00A32A8F" w:rsidP="00A32A8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25901" w:rsidRPr="00FF00BC" w:rsidTr="00902B1D">
        <w:tc>
          <w:tcPr>
            <w:tcW w:w="5000" w:type="pct"/>
            <w:gridSpan w:val="3"/>
          </w:tcPr>
          <w:p w:rsidR="00E25901" w:rsidRPr="00FF00BC" w:rsidRDefault="00E25901" w:rsidP="00902B1D">
            <w:pPr>
              <w:jc w:val="both"/>
              <w:rPr>
                <w:sz w:val="20"/>
                <w:szCs w:val="20"/>
              </w:rPr>
            </w:pPr>
            <w:r w:rsidRPr="00FF00BC">
              <w:rPr>
                <w:sz w:val="20"/>
                <w:szCs w:val="20"/>
              </w:rPr>
              <w:t>(</w:t>
            </w:r>
            <w:r w:rsidRPr="00FF00BC">
              <w:rPr>
                <w:smallCaps/>
                <w:sz w:val="20"/>
                <w:szCs w:val="20"/>
              </w:rPr>
              <w:t>Publication Ban in Case</w:t>
            </w:r>
            <w:r w:rsidRPr="00FF00BC">
              <w:rPr>
                <w:sz w:val="20"/>
                <w:szCs w:val="20"/>
              </w:rPr>
              <w:t>)</w:t>
            </w:r>
          </w:p>
          <w:p w:rsidR="00E25901" w:rsidRDefault="00E25901" w:rsidP="00902B1D">
            <w:pPr>
              <w:jc w:val="both"/>
              <w:rPr>
                <w:i/>
                <w:sz w:val="20"/>
                <w:szCs w:val="20"/>
              </w:rPr>
            </w:pPr>
          </w:p>
          <w:p w:rsidR="00E25901" w:rsidRPr="00FF00BC" w:rsidRDefault="00E25901" w:rsidP="00902B1D">
            <w:pPr>
              <w:jc w:val="both"/>
              <w:rPr>
                <w:sz w:val="20"/>
                <w:szCs w:val="20"/>
              </w:rPr>
            </w:pPr>
            <w:r w:rsidRPr="00FF00BC">
              <w:rPr>
                <w:i/>
                <w:sz w:val="20"/>
                <w:szCs w:val="20"/>
              </w:rPr>
              <w:t>Charter of Rights</w:t>
            </w:r>
            <w:r w:rsidRPr="00FF00BC">
              <w:rPr>
                <w:sz w:val="20"/>
                <w:szCs w:val="20"/>
              </w:rPr>
              <w:t xml:space="preserve"> – Criminal law – Self-Incrimination – Right to Silence – Admissibility of confession obtained by Mr. Big undercover operation – Evidence – </w:t>
            </w:r>
            <w:r w:rsidRPr="00FF00BC">
              <w:rPr>
                <w:i/>
                <w:sz w:val="20"/>
                <w:szCs w:val="20"/>
              </w:rPr>
              <w:t>In camera</w:t>
            </w:r>
            <w:r w:rsidRPr="00FF00BC">
              <w:rPr>
                <w:sz w:val="20"/>
                <w:szCs w:val="20"/>
              </w:rPr>
              <w:t xml:space="preserve"> testimony by accused – Whether respondent’s s. 7 </w:t>
            </w:r>
            <w:r w:rsidRPr="00FF00BC">
              <w:rPr>
                <w:i/>
                <w:sz w:val="20"/>
                <w:szCs w:val="20"/>
              </w:rPr>
              <w:t>Charter</w:t>
            </w:r>
            <w:r w:rsidRPr="00FF00BC">
              <w:rPr>
                <w:sz w:val="20"/>
                <w:szCs w:val="20"/>
              </w:rPr>
              <w:t xml:space="preserve"> rights were breached – Whether trial judge erred in dismissing applicant’s application to testify </w:t>
            </w:r>
            <w:r w:rsidRPr="00FF00BC">
              <w:rPr>
                <w:i/>
                <w:sz w:val="20"/>
                <w:szCs w:val="20"/>
              </w:rPr>
              <w:t>in camera</w:t>
            </w:r>
            <w:r w:rsidRPr="00FF00BC">
              <w:rPr>
                <w:sz w:val="20"/>
                <w:szCs w:val="20"/>
              </w:rPr>
              <w:t xml:space="preserve"> – </w:t>
            </w:r>
            <w:r w:rsidRPr="00FF00BC">
              <w:rPr>
                <w:i/>
                <w:sz w:val="20"/>
                <w:szCs w:val="20"/>
              </w:rPr>
              <w:t>Canadian Charter of Rights and Freedoms</w:t>
            </w:r>
            <w:r w:rsidRPr="00FF00BC">
              <w:rPr>
                <w:sz w:val="20"/>
                <w:szCs w:val="20"/>
              </w:rPr>
              <w:t xml:space="preserve">, s. 7 – </w:t>
            </w:r>
            <w:r w:rsidRPr="00FF00BC">
              <w:rPr>
                <w:i/>
                <w:sz w:val="20"/>
                <w:szCs w:val="20"/>
              </w:rPr>
              <w:t>Criminal Code</w:t>
            </w:r>
            <w:r w:rsidRPr="00FF00BC">
              <w:rPr>
                <w:sz w:val="20"/>
                <w:szCs w:val="20"/>
              </w:rPr>
              <w:t xml:space="preserve">, R.S.C. 1985, c. C-46, s. 486(1) – Application of </w:t>
            </w:r>
            <w:r w:rsidRPr="00FF00BC">
              <w:rPr>
                <w:i/>
                <w:sz w:val="20"/>
                <w:szCs w:val="20"/>
              </w:rPr>
              <w:t>R. v. Hebert</w:t>
            </w:r>
            <w:r w:rsidRPr="00FF00BC">
              <w:rPr>
                <w:sz w:val="20"/>
                <w:szCs w:val="20"/>
              </w:rPr>
              <w:t xml:space="preserve">, [1990] 2 S.C.R. 151, and </w:t>
            </w:r>
            <w:r w:rsidRPr="00FF00BC">
              <w:rPr>
                <w:i/>
                <w:sz w:val="20"/>
                <w:szCs w:val="20"/>
              </w:rPr>
              <w:t>R. v. White</w:t>
            </w:r>
            <w:r w:rsidRPr="00FF00BC">
              <w:rPr>
                <w:sz w:val="20"/>
                <w:szCs w:val="20"/>
              </w:rPr>
              <w:t>, [1992] 2 S.C.R. 417.</w:t>
            </w:r>
          </w:p>
          <w:p w:rsidR="00E25901" w:rsidRPr="00FF00BC" w:rsidRDefault="00E25901" w:rsidP="00902B1D">
            <w:pPr>
              <w:jc w:val="both"/>
              <w:rPr>
                <w:sz w:val="20"/>
                <w:szCs w:val="20"/>
              </w:rPr>
            </w:pPr>
          </w:p>
        </w:tc>
      </w:tr>
      <w:tr w:rsidR="00E25901" w:rsidRPr="00FF00BC" w:rsidTr="00902B1D">
        <w:tc>
          <w:tcPr>
            <w:tcW w:w="5000" w:type="pct"/>
            <w:gridSpan w:val="3"/>
          </w:tcPr>
          <w:p w:rsidR="00E25901" w:rsidRPr="00FF00BC" w:rsidRDefault="00E25901" w:rsidP="00902B1D">
            <w:pPr>
              <w:jc w:val="both"/>
              <w:rPr>
                <w:sz w:val="20"/>
                <w:szCs w:val="20"/>
              </w:rPr>
            </w:pPr>
            <w:r w:rsidRPr="00FF00BC">
              <w:rPr>
                <w:sz w:val="20"/>
                <w:szCs w:val="20"/>
              </w:rPr>
              <w:t xml:space="preserve">The respondent, Mr. Hart, was convicted of two counts of first degree murder following the deaths by drowning of his twin three-year-old daughters. Initially, while Mr. Hart made two different statements to police, there was not enough evidence for the Crown to charge him and proceed to trial. The police subsequently set up a “Mr. Big” operation by which undercover RCMP officers recruited Mr. Hart to join a fictitious criminal organization. They hired him to perform various tasks and exposed him to their simulated illegal activities in order to gain his trust and confidence. As a part of his “membership” in the organization, Mr. Hart was paid, enjoyed opportunities to travel across Canada, stayed in luxurious hotels and dined at fine restaurants. Mr. Hart has a Grade 5 education, was on social assistance at the time, was isolated, had no friends and came to view the undercover officers as brothers. Mr. Hart eventually confessed to the officers that he had deliberately killed his daughters. At trial, his confession was admitted into evidence. A majority Court of Appeal allowed the appeal and ordered a new trial on the basis that the trial judge erred in refusing to allow Mr. Hart to testify </w:t>
            </w:r>
            <w:r w:rsidRPr="00FF00BC">
              <w:rPr>
                <w:i/>
                <w:sz w:val="20"/>
                <w:szCs w:val="20"/>
              </w:rPr>
              <w:t>in camera</w:t>
            </w:r>
            <w:r w:rsidRPr="00FF00BC">
              <w:rPr>
                <w:sz w:val="20"/>
                <w:szCs w:val="20"/>
              </w:rPr>
              <w:t xml:space="preserve"> to facilitate his testifying and on the ground that his s. 7 </w:t>
            </w:r>
            <w:r w:rsidRPr="00FF00BC">
              <w:rPr>
                <w:i/>
                <w:sz w:val="20"/>
                <w:szCs w:val="20"/>
              </w:rPr>
              <w:t>Charter</w:t>
            </w:r>
            <w:r w:rsidRPr="00FF00BC">
              <w:rPr>
                <w:sz w:val="20"/>
                <w:szCs w:val="20"/>
              </w:rPr>
              <w:t xml:space="preserve"> </w:t>
            </w:r>
            <w:r w:rsidRPr="00FF00BC">
              <w:rPr>
                <w:sz w:val="20"/>
                <w:szCs w:val="20"/>
              </w:rPr>
              <w:lastRenderedPageBreak/>
              <w:t>rights were violated by the admission of his confession. Barry J.A., dissenting in part, would have affirmed the trial judge’s ruling on the admissibility of the confession.</w:t>
            </w:r>
          </w:p>
          <w:p w:rsidR="00E25901" w:rsidRPr="00FF00BC" w:rsidRDefault="00E25901" w:rsidP="00902B1D">
            <w:pPr>
              <w:jc w:val="both"/>
              <w:rPr>
                <w:sz w:val="20"/>
                <w:szCs w:val="20"/>
              </w:rPr>
            </w:pPr>
          </w:p>
        </w:tc>
      </w:tr>
      <w:tr w:rsidR="00E25901" w:rsidRPr="00FF00BC" w:rsidTr="00902B1D">
        <w:tc>
          <w:tcPr>
            <w:tcW w:w="2427" w:type="pct"/>
          </w:tcPr>
          <w:p w:rsidR="00E25901" w:rsidRPr="00FF00BC" w:rsidRDefault="00E25901" w:rsidP="00902B1D">
            <w:pPr>
              <w:jc w:val="both"/>
              <w:rPr>
                <w:sz w:val="20"/>
                <w:szCs w:val="20"/>
              </w:rPr>
            </w:pPr>
            <w:r w:rsidRPr="00FF00BC">
              <w:rPr>
                <w:sz w:val="20"/>
                <w:szCs w:val="20"/>
              </w:rPr>
              <w:lastRenderedPageBreak/>
              <w:t>January 26, 2007</w:t>
            </w:r>
          </w:p>
          <w:p w:rsidR="00E25901" w:rsidRPr="00FF00BC" w:rsidRDefault="00E25901" w:rsidP="00902B1D">
            <w:pPr>
              <w:jc w:val="both"/>
              <w:rPr>
                <w:sz w:val="20"/>
                <w:szCs w:val="20"/>
              </w:rPr>
            </w:pPr>
            <w:r w:rsidRPr="00FF00BC">
              <w:rPr>
                <w:sz w:val="20"/>
                <w:szCs w:val="20"/>
              </w:rPr>
              <w:t>Supreme Court of Newfoundland &amp; Labrador,</w:t>
            </w:r>
          </w:p>
          <w:p w:rsidR="00E25901" w:rsidRPr="00FF00BC" w:rsidRDefault="00E25901" w:rsidP="00902B1D">
            <w:pPr>
              <w:jc w:val="both"/>
              <w:rPr>
                <w:sz w:val="20"/>
                <w:szCs w:val="20"/>
              </w:rPr>
            </w:pPr>
            <w:r w:rsidRPr="00FF00BC">
              <w:rPr>
                <w:sz w:val="20"/>
                <w:szCs w:val="20"/>
              </w:rPr>
              <w:t>Trial Division</w:t>
            </w:r>
          </w:p>
          <w:p w:rsidR="00E25901" w:rsidRPr="00FF00BC" w:rsidRDefault="00E25901" w:rsidP="00902B1D">
            <w:pPr>
              <w:jc w:val="both"/>
              <w:rPr>
                <w:sz w:val="20"/>
                <w:szCs w:val="20"/>
              </w:rPr>
            </w:pPr>
            <w:r w:rsidRPr="00FF00BC">
              <w:rPr>
                <w:sz w:val="20"/>
                <w:szCs w:val="20"/>
              </w:rPr>
              <w:t>(Dymond J.)</w:t>
            </w:r>
          </w:p>
          <w:p w:rsidR="00E25901" w:rsidRPr="00FF00BC" w:rsidRDefault="00E25901" w:rsidP="00902B1D">
            <w:pPr>
              <w:jc w:val="both"/>
              <w:rPr>
                <w:sz w:val="20"/>
                <w:szCs w:val="20"/>
              </w:rPr>
            </w:pPr>
          </w:p>
        </w:tc>
        <w:tc>
          <w:tcPr>
            <w:tcW w:w="243" w:type="pct"/>
          </w:tcPr>
          <w:p w:rsidR="00E25901" w:rsidRPr="00FF00BC" w:rsidRDefault="00E25901" w:rsidP="00902B1D">
            <w:pPr>
              <w:jc w:val="both"/>
              <w:rPr>
                <w:sz w:val="20"/>
                <w:szCs w:val="20"/>
              </w:rPr>
            </w:pPr>
          </w:p>
        </w:tc>
        <w:tc>
          <w:tcPr>
            <w:tcW w:w="2330" w:type="pct"/>
          </w:tcPr>
          <w:p w:rsidR="00E25901" w:rsidRPr="00FF00BC" w:rsidRDefault="00E25901" w:rsidP="00902B1D">
            <w:pPr>
              <w:jc w:val="both"/>
              <w:rPr>
                <w:sz w:val="20"/>
                <w:szCs w:val="20"/>
              </w:rPr>
            </w:pPr>
            <w:r w:rsidRPr="00FF00BC">
              <w:rPr>
                <w:sz w:val="20"/>
                <w:szCs w:val="20"/>
              </w:rPr>
              <w:t>Respondent convicted of two counts of first degree murder</w:t>
            </w:r>
          </w:p>
          <w:p w:rsidR="00E25901" w:rsidRPr="00FF00BC" w:rsidRDefault="00E25901" w:rsidP="00902B1D">
            <w:pPr>
              <w:jc w:val="both"/>
              <w:rPr>
                <w:sz w:val="20"/>
                <w:szCs w:val="20"/>
              </w:rPr>
            </w:pPr>
          </w:p>
        </w:tc>
      </w:tr>
      <w:tr w:rsidR="00E25901" w:rsidRPr="00FF00BC" w:rsidTr="00902B1D">
        <w:tc>
          <w:tcPr>
            <w:tcW w:w="2427" w:type="pct"/>
          </w:tcPr>
          <w:p w:rsidR="00E25901" w:rsidRPr="00FF00BC" w:rsidRDefault="00E25901" w:rsidP="00902B1D">
            <w:pPr>
              <w:jc w:val="both"/>
              <w:rPr>
                <w:sz w:val="20"/>
                <w:szCs w:val="20"/>
              </w:rPr>
            </w:pPr>
            <w:r w:rsidRPr="00FF00BC">
              <w:rPr>
                <w:sz w:val="20"/>
                <w:szCs w:val="20"/>
              </w:rPr>
              <w:t>September 17, 2012</w:t>
            </w:r>
          </w:p>
          <w:p w:rsidR="00E25901" w:rsidRPr="00FF00BC" w:rsidRDefault="00E25901" w:rsidP="00902B1D">
            <w:pPr>
              <w:jc w:val="both"/>
              <w:rPr>
                <w:sz w:val="20"/>
                <w:szCs w:val="20"/>
              </w:rPr>
            </w:pPr>
            <w:r w:rsidRPr="00FF00BC">
              <w:rPr>
                <w:sz w:val="20"/>
                <w:szCs w:val="20"/>
              </w:rPr>
              <w:t xml:space="preserve">Supreme Court of Newfoundland and </w:t>
            </w:r>
          </w:p>
          <w:p w:rsidR="00E25901" w:rsidRPr="00FF00BC" w:rsidRDefault="00E25901" w:rsidP="00902B1D">
            <w:pPr>
              <w:jc w:val="both"/>
              <w:rPr>
                <w:sz w:val="20"/>
                <w:szCs w:val="20"/>
              </w:rPr>
            </w:pPr>
            <w:r w:rsidRPr="00FF00BC">
              <w:rPr>
                <w:sz w:val="20"/>
                <w:szCs w:val="20"/>
              </w:rPr>
              <w:t>Labrador - Court of Appeal</w:t>
            </w:r>
          </w:p>
          <w:p w:rsidR="00E25901" w:rsidRPr="00FF00BC" w:rsidRDefault="00E25901" w:rsidP="00902B1D">
            <w:pPr>
              <w:jc w:val="both"/>
              <w:rPr>
                <w:sz w:val="20"/>
                <w:szCs w:val="20"/>
              </w:rPr>
            </w:pPr>
            <w:r w:rsidRPr="00FF00BC">
              <w:rPr>
                <w:sz w:val="20"/>
                <w:szCs w:val="20"/>
              </w:rPr>
              <w:t xml:space="preserve">(Green C.J.N.L., Harrington and Barry JJ.A. </w:t>
            </w:r>
          </w:p>
          <w:p w:rsidR="00E25901" w:rsidRPr="00FF00BC" w:rsidRDefault="00E25901" w:rsidP="00902B1D">
            <w:pPr>
              <w:jc w:val="both"/>
              <w:rPr>
                <w:sz w:val="20"/>
                <w:szCs w:val="20"/>
              </w:rPr>
            </w:pPr>
            <w:r w:rsidRPr="00FF00BC">
              <w:rPr>
                <w:sz w:val="20"/>
                <w:szCs w:val="20"/>
              </w:rPr>
              <w:t>[dissenting in part])</w:t>
            </w:r>
          </w:p>
          <w:p w:rsidR="00E25901" w:rsidRPr="00FF00BC" w:rsidRDefault="00E25901" w:rsidP="00902B1D">
            <w:pPr>
              <w:jc w:val="both"/>
              <w:rPr>
                <w:sz w:val="20"/>
                <w:szCs w:val="20"/>
              </w:rPr>
            </w:pPr>
            <w:r w:rsidRPr="00FF00BC">
              <w:rPr>
                <w:sz w:val="20"/>
                <w:szCs w:val="20"/>
              </w:rPr>
              <w:t>2012 NLCA 61</w:t>
            </w:r>
          </w:p>
          <w:p w:rsidR="00E25901" w:rsidRPr="00FF00BC" w:rsidRDefault="00E25901" w:rsidP="00902B1D">
            <w:pPr>
              <w:jc w:val="both"/>
              <w:rPr>
                <w:sz w:val="20"/>
                <w:szCs w:val="20"/>
              </w:rPr>
            </w:pPr>
          </w:p>
        </w:tc>
        <w:tc>
          <w:tcPr>
            <w:tcW w:w="243" w:type="pct"/>
          </w:tcPr>
          <w:p w:rsidR="00E25901" w:rsidRPr="00FF00BC" w:rsidRDefault="00E25901" w:rsidP="00902B1D">
            <w:pPr>
              <w:jc w:val="both"/>
              <w:rPr>
                <w:sz w:val="20"/>
                <w:szCs w:val="20"/>
              </w:rPr>
            </w:pPr>
          </w:p>
        </w:tc>
        <w:tc>
          <w:tcPr>
            <w:tcW w:w="2330" w:type="pct"/>
          </w:tcPr>
          <w:p w:rsidR="00E25901" w:rsidRPr="00FF00BC" w:rsidRDefault="00E25901" w:rsidP="00902B1D">
            <w:pPr>
              <w:jc w:val="both"/>
              <w:rPr>
                <w:sz w:val="20"/>
                <w:szCs w:val="20"/>
              </w:rPr>
            </w:pPr>
            <w:r w:rsidRPr="00FF00BC">
              <w:rPr>
                <w:sz w:val="20"/>
                <w:szCs w:val="20"/>
              </w:rPr>
              <w:t xml:space="preserve">Appeal allowed; new trial ordered </w:t>
            </w:r>
          </w:p>
        </w:tc>
      </w:tr>
      <w:tr w:rsidR="00E25901" w:rsidRPr="00FF00BC" w:rsidTr="00902B1D">
        <w:tc>
          <w:tcPr>
            <w:tcW w:w="2427" w:type="pct"/>
          </w:tcPr>
          <w:p w:rsidR="00E25901" w:rsidRPr="00FF00BC" w:rsidRDefault="00E25901" w:rsidP="00902B1D">
            <w:pPr>
              <w:jc w:val="both"/>
              <w:rPr>
                <w:sz w:val="20"/>
                <w:szCs w:val="20"/>
              </w:rPr>
            </w:pPr>
            <w:r w:rsidRPr="00FF00BC">
              <w:rPr>
                <w:sz w:val="20"/>
                <w:szCs w:val="20"/>
              </w:rPr>
              <w:t>October 25, 2012</w:t>
            </w:r>
          </w:p>
          <w:p w:rsidR="00E25901" w:rsidRPr="00FF00BC" w:rsidRDefault="00E25901" w:rsidP="00902B1D">
            <w:pPr>
              <w:jc w:val="both"/>
              <w:rPr>
                <w:sz w:val="20"/>
                <w:szCs w:val="20"/>
              </w:rPr>
            </w:pPr>
            <w:r w:rsidRPr="00FF00BC">
              <w:rPr>
                <w:sz w:val="20"/>
                <w:szCs w:val="20"/>
              </w:rPr>
              <w:t>Supreme Court of Canada</w:t>
            </w:r>
          </w:p>
        </w:tc>
        <w:tc>
          <w:tcPr>
            <w:tcW w:w="243" w:type="pct"/>
          </w:tcPr>
          <w:p w:rsidR="00E25901" w:rsidRPr="00FF00BC" w:rsidRDefault="00E25901" w:rsidP="00902B1D">
            <w:pPr>
              <w:jc w:val="both"/>
              <w:rPr>
                <w:sz w:val="20"/>
                <w:szCs w:val="20"/>
              </w:rPr>
            </w:pPr>
          </w:p>
        </w:tc>
        <w:tc>
          <w:tcPr>
            <w:tcW w:w="2330" w:type="pct"/>
          </w:tcPr>
          <w:p w:rsidR="00E25901" w:rsidRPr="00FF00BC" w:rsidRDefault="00E25901" w:rsidP="00902B1D">
            <w:pPr>
              <w:jc w:val="both"/>
              <w:rPr>
                <w:sz w:val="20"/>
                <w:szCs w:val="20"/>
              </w:rPr>
            </w:pPr>
            <w:r w:rsidRPr="00FF00BC">
              <w:rPr>
                <w:sz w:val="20"/>
                <w:szCs w:val="20"/>
              </w:rPr>
              <w:t>Application for leave to appeal filed</w:t>
            </w:r>
          </w:p>
          <w:p w:rsidR="00E25901" w:rsidRPr="00FF00BC" w:rsidRDefault="00E25901" w:rsidP="00902B1D">
            <w:pPr>
              <w:jc w:val="both"/>
              <w:rPr>
                <w:sz w:val="20"/>
                <w:szCs w:val="20"/>
              </w:rPr>
            </w:pPr>
          </w:p>
        </w:tc>
      </w:tr>
    </w:tbl>
    <w:p w:rsidR="00A32A8F" w:rsidRDefault="00A32A8F" w:rsidP="00A32A8F">
      <w:pPr>
        <w:rPr>
          <w:sz w:val="20"/>
          <w:szCs w:val="20"/>
        </w:rPr>
      </w:pPr>
    </w:p>
    <w:p w:rsidR="00A32A8F" w:rsidRDefault="00CB0178" w:rsidP="00A32A8F">
      <w:pPr>
        <w:rPr>
          <w:sz w:val="20"/>
          <w:szCs w:val="20"/>
        </w:rPr>
      </w:pPr>
      <w:r w:rsidRPr="00CB0178">
        <w:rPr>
          <w:sz w:val="20"/>
          <w:szCs w:val="20"/>
          <w:lang w:val="fr-CA"/>
        </w:rPr>
        <w:pict>
          <v:rect id="_x0000_i1043" style="width:2in;height:1pt" o:hrpct="0" o:hralign="center" o:hrstd="t" o:hrnoshade="t" o:hr="t" fillcolor="black [3213]" stroked="f"/>
        </w:pict>
      </w:r>
    </w:p>
    <w:p w:rsidR="00A32A8F" w:rsidRDefault="00A32A8F" w:rsidP="00A32A8F">
      <w:pPr>
        <w:rPr>
          <w:sz w:val="20"/>
          <w:szCs w:val="20"/>
        </w:rPr>
      </w:pPr>
    </w:p>
    <w:p w:rsidR="00A32A8F" w:rsidRPr="001B157C" w:rsidRDefault="00A32A8F" w:rsidP="00A32A8F">
      <w:pPr>
        <w:rPr>
          <w:sz w:val="20"/>
          <w:szCs w:val="20"/>
          <w:u w:val="single"/>
          <w:lang w:val="fr-CA"/>
        </w:rPr>
      </w:pPr>
      <w:r w:rsidRPr="001B157C">
        <w:rPr>
          <w:sz w:val="20"/>
          <w:szCs w:val="20"/>
          <w:u w:val="single"/>
          <w:lang w:val="fr-CA"/>
        </w:rPr>
        <w:t>RÉSUMÉ DE L’AFFAIRE</w:t>
      </w:r>
    </w:p>
    <w:p w:rsidR="00A32A8F" w:rsidRDefault="00A32A8F" w:rsidP="00A32A8F">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E25901" w:rsidRPr="00B07D2C" w:rsidTr="00902B1D">
        <w:tc>
          <w:tcPr>
            <w:tcW w:w="5000" w:type="pct"/>
            <w:gridSpan w:val="3"/>
          </w:tcPr>
          <w:p w:rsidR="00E25901" w:rsidRDefault="00E25901" w:rsidP="00902B1D">
            <w:pPr>
              <w:jc w:val="both"/>
              <w:rPr>
                <w:sz w:val="20"/>
                <w:szCs w:val="20"/>
                <w:lang w:val="fr-CA"/>
              </w:rPr>
            </w:pPr>
            <w:r w:rsidRPr="00FF00BC">
              <w:rPr>
                <w:sz w:val="20"/>
                <w:szCs w:val="20"/>
                <w:lang w:val="fr-CA"/>
              </w:rPr>
              <w:t>(</w:t>
            </w:r>
            <w:r w:rsidRPr="00FF00BC">
              <w:rPr>
                <w:smallCaps/>
                <w:sz w:val="20"/>
                <w:szCs w:val="20"/>
                <w:lang w:val="fr-CA"/>
              </w:rPr>
              <w:t>Ordonnance de non</w:t>
            </w:r>
            <w:r w:rsidRPr="00FF00BC">
              <w:rPr>
                <w:smallCaps/>
                <w:sz w:val="20"/>
                <w:szCs w:val="20"/>
                <w:lang w:val="fr-CA"/>
              </w:rPr>
              <w:noBreakHyphen/>
              <w:t>publication dans le dossier</w:t>
            </w:r>
            <w:r w:rsidRPr="00FF00BC">
              <w:rPr>
                <w:sz w:val="20"/>
                <w:szCs w:val="20"/>
                <w:lang w:val="fr-CA"/>
              </w:rPr>
              <w:t>)</w:t>
            </w:r>
          </w:p>
          <w:p w:rsidR="00E25901" w:rsidRPr="00FF00BC" w:rsidRDefault="00E25901" w:rsidP="00902B1D">
            <w:pPr>
              <w:jc w:val="both"/>
              <w:rPr>
                <w:sz w:val="20"/>
                <w:szCs w:val="20"/>
                <w:lang w:val="fr-CA"/>
              </w:rPr>
            </w:pPr>
          </w:p>
          <w:p w:rsidR="00E25901" w:rsidRPr="00FF00BC" w:rsidRDefault="00E25901" w:rsidP="00902B1D">
            <w:pPr>
              <w:jc w:val="both"/>
              <w:rPr>
                <w:sz w:val="20"/>
                <w:szCs w:val="20"/>
                <w:lang w:val="fr-CA"/>
              </w:rPr>
            </w:pPr>
            <w:r w:rsidRPr="00FF00BC">
              <w:rPr>
                <w:i/>
                <w:sz w:val="20"/>
                <w:szCs w:val="20"/>
                <w:lang w:val="fr-CA"/>
              </w:rPr>
              <w:t xml:space="preserve">Charte des droits </w:t>
            </w:r>
            <w:r w:rsidRPr="00FF00BC">
              <w:rPr>
                <w:sz w:val="20"/>
                <w:szCs w:val="20"/>
                <w:lang w:val="fr-CA"/>
              </w:rPr>
              <w:t>— Droit criminel — Auto</w:t>
            </w:r>
            <w:r w:rsidRPr="00FF00BC">
              <w:rPr>
                <w:sz w:val="20"/>
                <w:szCs w:val="20"/>
                <w:lang w:val="fr-CA"/>
              </w:rPr>
              <w:noBreakHyphen/>
              <w:t>incrimination — Droit de garder le silence — Admissibilité d'une confession obtenue par une opération d'infiltration de type « Mr. Big » — Preuve —</w:t>
            </w:r>
            <w:r w:rsidRPr="00FF00BC">
              <w:rPr>
                <w:i/>
                <w:sz w:val="20"/>
                <w:szCs w:val="20"/>
                <w:lang w:val="fr-CA"/>
              </w:rPr>
              <w:t xml:space="preserve"> </w:t>
            </w:r>
            <w:r w:rsidRPr="00FF00BC">
              <w:rPr>
                <w:sz w:val="20"/>
                <w:szCs w:val="20"/>
                <w:lang w:val="fr-CA"/>
              </w:rPr>
              <w:t>Témoignage de l'accusé donné à huis clos</w:t>
            </w:r>
            <w:r w:rsidRPr="00FF00BC">
              <w:rPr>
                <w:i/>
                <w:sz w:val="20"/>
                <w:szCs w:val="20"/>
                <w:lang w:val="fr-CA"/>
              </w:rPr>
              <w:t xml:space="preserve"> </w:t>
            </w:r>
            <w:r w:rsidRPr="00FF00BC">
              <w:rPr>
                <w:sz w:val="20"/>
                <w:szCs w:val="20"/>
                <w:lang w:val="fr-CA"/>
              </w:rPr>
              <w:t xml:space="preserve">— Les droits de l'intimé garantis par l'art. 7 de la </w:t>
            </w:r>
            <w:r w:rsidRPr="00FF00BC">
              <w:rPr>
                <w:i/>
                <w:sz w:val="20"/>
                <w:szCs w:val="20"/>
                <w:lang w:val="fr-CA"/>
              </w:rPr>
              <w:t>Charte</w:t>
            </w:r>
            <w:r w:rsidRPr="00FF00BC">
              <w:rPr>
                <w:sz w:val="20"/>
                <w:szCs w:val="20"/>
                <w:lang w:val="fr-CA"/>
              </w:rPr>
              <w:t xml:space="preserve"> ont</w:t>
            </w:r>
            <w:r w:rsidRPr="00FF00BC">
              <w:rPr>
                <w:sz w:val="20"/>
                <w:szCs w:val="20"/>
                <w:lang w:val="fr-CA"/>
              </w:rPr>
              <w:noBreakHyphen/>
              <w:t>ils été violés? — Le juge du procès a</w:t>
            </w:r>
            <w:r w:rsidRPr="00FF00BC">
              <w:rPr>
                <w:sz w:val="20"/>
                <w:szCs w:val="20"/>
                <w:lang w:val="fr-CA"/>
              </w:rPr>
              <w:noBreakHyphen/>
              <w:t>t</w:t>
            </w:r>
            <w:r w:rsidRPr="00FF00BC">
              <w:rPr>
                <w:sz w:val="20"/>
                <w:szCs w:val="20"/>
                <w:lang w:val="fr-CA"/>
              </w:rPr>
              <w:noBreakHyphen/>
              <w:t>il eu tort de rejeter la demande de l'intimé de témoigner à huis clos? —</w:t>
            </w:r>
            <w:r w:rsidRPr="00FF00BC">
              <w:rPr>
                <w:i/>
                <w:sz w:val="20"/>
                <w:szCs w:val="20"/>
                <w:lang w:val="fr-CA"/>
              </w:rPr>
              <w:t xml:space="preserve"> Charte canadienne des droits et libertés</w:t>
            </w:r>
            <w:r w:rsidRPr="00FF00BC">
              <w:rPr>
                <w:sz w:val="20"/>
                <w:szCs w:val="20"/>
                <w:lang w:val="fr-CA"/>
              </w:rPr>
              <w:t>, art. 7 —</w:t>
            </w:r>
            <w:r w:rsidRPr="00FF00BC">
              <w:rPr>
                <w:i/>
                <w:sz w:val="20"/>
                <w:szCs w:val="20"/>
                <w:lang w:val="fr-CA"/>
              </w:rPr>
              <w:t xml:space="preserve"> Code criminel</w:t>
            </w:r>
            <w:r w:rsidRPr="00FF00BC">
              <w:rPr>
                <w:sz w:val="20"/>
                <w:szCs w:val="20"/>
                <w:lang w:val="fr-CA"/>
              </w:rPr>
              <w:t>, L.R.C. 1985, ch. C</w:t>
            </w:r>
            <w:r w:rsidRPr="00FF00BC">
              <w:rPr>
                <w:sz w:val="20"/>
                <w:szCs w:val="20"/>
                <w:lang w:val="fr-CA"/>
              </w:rPr>
              <w:noBreakHyphen/>
              <w:t xml:space="preserve">46, par. 486(1) — Application des arrêts </w:t>
            </w:r>
            <w:r w:rsidRPr="00FF00BC">
              <w:rPr>
                <w:i/>
                <w:sz w:val="20"/>
                <w:szCs w:val="20"/>
                <w:lang w:val="fr-CA"/>
              </w:rPr>
              <w:t>R. c. Hebert</w:t>
            </w:r>
            <w:r w:rsidRPr="00FF00BC">
              <w:rPr>
                <w:sz w:val="20"/>
                <w:szCs w:val="20"/>
                <w:lang w:val="fr-CA"/>
              </w:rPr>
              <w:t xml:space="preserve">, [1990] 2 R.C.S. 151, et </w:t>
            </w:r>
            <w:r w:rsidRPr="00FF00BC">
              <w:rPr>
                <w:i/>
                <w:sz w:val="20"/>
                <w:szCs w:val="20"/>
                <w:lang w:val="fr-CA"/>
              </w:rPr>
              <w:t>R. c. White</w:t>
            </w:r>
            <w:r w:rsidRPr="00FF00BC">
              <w:rPr>
                <w:sz w:val="20"/>
                <w:szCs w:val="20"/>
                <w:lang w:val="fr-CA"/>
              </w:rPr>
              <w:t>, [1992] 2 R.C.S. 417.</w:t>
            </w:r>
          </w:p>
          <w:p w:rsidR="00E25901" w:rsidRPr="00FF00BC" w:rsidRDefault="00E25901" w:rsidP="00902B1D">
            <w:pPr>
              <w:jc w:val="both"/>
              <w:rPr>
                <w:sz w:val="20"/>
                <w:szCs w:val="20"/>
                <w:lang w:val="fr-CA"/>
              </w:rPr>
            </w:pPr>
          </w:p>
        </w:tc>
      </w:tr>
      <w:tr w:rsidR="00E25901" w:rsidRPr="00B07D2C" w:rsidTr="00902B1D">
        <w:tc>
          <w:tcPr>
            <w:tcW w:w="5000" w:type="pct"/>
            <w:gridSpan w:val="3"/>
          </w:tcPr>
          <w:p w:rsidR="00E25901" w:rsidRPr="00FF00BC" w:rsidRDefault="00E25901" w:rsidP="00902B1D">
            <w:pPr>
              <w:jc w:val="both"/>
              <w:rPr>
                <w:sz w:val="20"/>
                <w:szCs w:val="20"/>
                <w:lang w:val="fr-CA"/>
              </w:rPr>
            </w:pPr>
            <w:r w:rsidRPr="00FF00BC">
              <w:rPr>
                <w:sz w:val="20"/>
                <w:szCs w:val="20"/>
                <w:lang w:val="fr-CA"/>
              </w:rPr>
              <w:t xml:space="preserve">L'intimé, M. Hart, a été déclaré coupable sous deux chefs de meurtre au premier degré à la suite des décès par noyade de ses filles jumelles âgées de 3 ans. À l'origine, bien que M. Hart ait fait deux déclarations différentes à la police, il n'y avait pas de suffisamment de preuve pour que le ministère public puisse l'accuser et aller à procès. Par la suite, la police a monté une opération de type « Mr. Big » par laquelle des agents d'infiltration de la GRC ont recruté M. Hart pour qu'il se joigne à une organisation criminelle fictive. Ils l'ont engagé pour accomplir diverses tâches et l’ont exposé à leurs activités illégales simulées pour gagner sa confiance. En tant que « membre » de l'organisation, M. Hart était payé, il jouissait d'occasions de voyager partout au Canada, il séjournait dans des hôtels luxueux et il dînait dans de bons restaurants.  Monsieur Hart avait une cinquième année de scolarité, recevait de l’aide sociale à l'époque, était isolé, n'avait pas d'amis et en est venu à considérer les agents d'infiltration comme des frères. Monsieur Hart a fini par avouer aux agents qu'il avait délibérément tué ses filles. Au procès, sa confession a été admise en preuve. Les juges majoritaires de la Cour d'appel ont accueilli l'appel et ordonné un nouveau procès au motif que le juge du procès avait eu tort de refuser de permettre à M. Hart de témoigner à huis clos pour faciliter son témoignage et au motif que ses droits garantis par l'art. 7 de la </w:t>
            </w:r>
            <w:r w:rsidRPr="00FF00BC">
              <w:rPr>
                <w:i/>
                <w:sz w:val="20"/>
                <w:szCs w:val="20"/>
                <w:lang w:val="fr-CA"/>
              </w:rPr>
              <w:t>Charte</w:t>
            </w:r>
            <w:r w:rsidRPr="00FF00BC">
              <w:rPr>
                <w:sz w:val="20"/>
                <w:szCs w:val="20"/>
                <w:lang w:val="fr-CA"/>
              </w:rPr>
              <w:t xml:space="preserve"> avaient été violés par l'admission de sa confession.  Le juge Barry, dissident en partie, aurait confirmé la décision du juge du procès quant à l'admissibilité de la confession.</w:t>
            </w:r>
          </w:p>
          <w:p w:rsidR="00E25901" w:rsidRPr="00FF00BC" w:rsidRDefault="00E25901" w:rsidP="00902B1D">
            <w:pPr>
              <w:jc w:val="both"/>
              <w:rPr>
                <w:sz w:val="20"/>
                <w:szCs w:val="20"/>
                <w:lang w:val="fr-CA"/>
              </w:rPr>
            </w:pPr>
          </w:p>
        </w:tc>
      </w:tr>
      <w:tr w:rsidR="00E25901" w:rsidRPr="00B07D2C" w:rsidTr="00902B1D">
        <w:tc>
          <w:tcPr>
            <w:tcW w:w="2427" w:type="pct"/>
          </w:tcPr>
          <w:p w:rsidR="00E25901" w:rsidRPr="00FF00BC" w:rsidRDefault="00E25901" w:rsidP="00902B1D">
            <w:pPr>
              <w:jc w:val="both"/>
              <w:rPr>
                <w:sz w:val="20"/>
                <w:szCs w:val="20"/>
                <w:lang w:val="fr-CA"/>
              </w:rPr>
            </w:pPr>
            <w:r w:rsidRPr="00FF00BC">
              <w:rPr>
                <w:sz w:val="20"/>
                <w:szCs w:val="20"/>
                <w:lang w:val="fr-CA"/>
              </w:rPr>
              <w:t>26 janvier 2007</w:t>
            </w:r>
          </w:p>
          <w:p w:rsidR="00E25901" w:rsidRPr="00FF00BC" w:rsidRDefault="00E25901" w:rsidP="00902B1D">
            <w:pPr>
              <w:jc w:val="both"/>
              <w:rPr>
                <w:sz w:val="20"/>
                <w:szCs w:val="20"/>
                <w:lang w:val="fr-CA"/>
              </w:rPr>
            </w:pPr>
            <w:r w:rsidRPr="00FF00BC">
              <w:rPr>
                <w:sz w:val="20"/>
                <w:szCs w:val="20"/>
                <w:lang w:val="fr-CA"/>
              </w:rPr>
              <w:t>Cour suprême de Terre</w:t>
            </w:r>
            <w:r w:rsidRPr="00FF00BC">
              <w:rPr>
                <w:sz w:val="20"/>
                <w:szCs w:val="20"/>
                <w:lang w:val="fr-CA"/>
              </w:rPr>
              <w:noBreakHyphen/>
              <w:t>Neuve</w:t>
            </w:r>
            <w:r w:rsidRPr="00FF00BC">
              <w:rPr>
                <w:sz w:val="20"/>
                <w:szCs w:val="20"/>
                <w:lang w:val="fr-CA"/>
              </w:rPr>
              <w:noBreakHyphen/>
              <w:t>et</w:t>
            </w:r>
            <w:r w:rsidRPr="00FF00BC">
              <w:rPr>
                <w:sz w:val="20"/>
                <w:szCs w:val="20"/>
                <w:lang w:val="fr-CA"/>
              </w:rPr>
              <w:noBreakHyphen/>
              <w:t>Labrador,</w:t>
            </w:r>
          </w:p>
          <w:p w:rsidR="00E25901" w:rsidRPr="00FF00BC" w:rsidRDefault="00E25901" w:rsidP="00902B1D">
            <w:pPr>
              <w:jc w:val="both"/>
              <w:rPr>
                <w:sz w:val="20"/>
                <w:szCs w:val="20"/>
                <w:lang w:val="fr-CA"/>
              </w:rPr>
            </w:pPr>
            <w:r w:rsidRPr="00FF00BC">
              <w:rPr>
                <w:sz w:val="20"/>
                <w:szCs w:val="20"/>
                <w:lang w:val="fr-CA"/>
              </w:rPr>
              <w:t xml:space="preserve">Section de première instance </w:t>
            </w:r>
          </w:p>
          <w:p w:rsidR="00E25901" w:rsidRPr="00FF00BC" w:rsidRDefault="00E25901" w:rsidP="00902B1D">
            <w:pPr>
              <w:jc w:val="both"/>
              <w:rPr>
                <w:sz w:val="20"/>
                <w:szCs w:val="20"/>
                <w:lang w:val="fr-CA"/>
              </w:rPr>
            </w:pPr>
            <w:r w:rsidRPr="00FF00BC">
              <w:rPr>
                <w:sz w:val="20"/>
                <w:szCs w:val="20"/>
                <w:lang w:val="fr-CA"/>
              </w:rPr>
              <w:t>(Juge Dymond)</w:t>
            </w:r>
          </w:p>
          <w:p w:rsidR="00E25901" w:rsidRPr="00FF00BC" w:rsidRDefault="00E25901" w:rsidP="00902B1D">
            <w:pPr>
              <w:jc w:val="both"/>
              <w:rPr>
                <w:sz w:val="20"/>
                <w:szCs w:val="20"/>
                <w:lang w:val="fr-CA"/>
              </w:rPr>
            </w:pPr>
          </w:p>
        </w:tc>
        <w:tc>
          <w:tcPr>
            <w:tcW w:w="243" w:type="pct"/>
          </w:tcPr>
          <w:p w:rsidR="00E25901" w:rsidRPr="00FF00BC" w:rsidRDefault="00E25901" w:rsidP="00902B1D">
            <w:pPr>
              <w:jc w:val="both"/>
              <w:rPr>
                <w:sz w:val="20"/>
                <w:szCs w:val="20"/>
                <w:lang w:val="fr-CA"/>
              </w:rPr>
            </w:pPr>
          </w:p>
        </w:tc>
        <w:tc>
          <w:tcPr>
            <w:tcW w:w="2330" w:type="pct"/>
          </w:tcPr>
          <w:p w:rsidR="00E25901" w:rsidRPr="00FF00BC" w:rsidRDefault="00E25901" w:rsidP="00902B1D">
            <w:pPr>
              <w:jc w:val="both"/>
              <w:rPr>
                <w:sz w:val="20"/>
                <w:szCs w:val="20"/>
                <w:lang w:val="fr-CA"/>
              </w:rPr>
            </w:pPr>
            <w:r w:rsidRPr="00FF00BC">
              <w:rPr>
                <w:sz w:val="20"/>
                <w:szCs w:val="20"/>
                <w:lang w:val="fr-CA"/>
              </w:rPr>
              <w:t>Intimé déclaré coupable sous deux chefs de meurtre au premier degré</w:t>
            </w:r>
          </w:p>
          <w:p w:rsidR="00E25901" w:rsidRPr="00FF00BC" w:rsidRDefault="00E25901" w:rsidP="00902B1D">
            <w:pPr>
              <w:jc w:val="both"/>
              <w:rPr>
                <w:sz w:val="20"/>
                <w:szCs w:val="20"/>
                <w:lang w:val="fr-CA"/>
              </w:rPr>
            </w:pPr>
          </w:p>
        </w:tc>
      </w:tr>
      <w:tr w:rsidR="00E25901" w:rsidRPr="00B07D2C" w:rsidTr="00902B1D">
        <w:tc>
          <w:tcPr>
            <w:tcW w:w="2427" w:type="pct"/>
          </w:tcPr>
          <w:p w:rsidR="00E25901" w:rsidRPr="00FF00BC" w:rsidRDefault="00E25901" w:rsidP="00902B1D">
            <w:pPr>
              <w:jc w:val="both"/>
              <w:rPr>
                <w:sz w:val="20"/>
                <w:szCs w:val="20"/>
                <w:lang w:val="fr-CA"/>
              </w:rPr>
            </w:pPr>
            <w:r w:rsidRPr="00FF00BC">
              <w:rPr>
                <w:sz w:val="20"/>
                <w:szCs w:val="20"/>
                <w:lang w:val="fr-CA"/>
              </w:rPr>
              <w:lastRenderedPageBreak/>
              <w:t>17 septembre 2012</w:t>
            </w:r>
          </w:p>
          <w:p w:rsidR="00E25901" w:rsidRPr="00FF00BC" w:rsidRDefault="00E25901" w:rsidP="00902B1D">
            <w:pPr>
              <w:jc w:val="both"/>
              <w:rPr>
                <w:sz w:val="20"/>
                <w:szCs w:val="20"/>
                <w:lang w:val="fr-CA"/>
              </w:rPr>
            </w:pPr>
            <w:r w:rsidRPr="00FF00BC">
              <w:rPr>
                <w:sz w:val="20"/>
                <w:szCs w:val="20"/>
                <w:lang w:val="fr-CA"/>
              </w:rPr>
              <w:t>Cour suprême de Terre</w:t>
            </w:r>
            <w:r w:rsidRPr="00FF00BC">
              <w:rPr>
                <w:sz w:val="20"/>
                <w:szCs w:val="20"/>
                <w:lang w:val="fr-CA"/>
              </w:rPr>
              <w:noBreakHyphen/>
              <w:t>Neuve</w:t>
            </w:r>
            <w:r w:rsidRPr="00FF00BC">
              <w:rPr>
                <w:sz w:val="20"/>
                <w:szCs w:val="20"/>
                <w:lang w:val="fr-CA"/>
              </w:rPr>
              <w:noBreakHyphen/>
              <w:t>et</w:t>
            </w:r>
            <w:r w:rsidRPr="00FF00BC">
              <w:rPr>
                <w:sz w:val="20"/>
                <w:szCs w:val="20"/>
                <w:lang w:val="fr-CA"/>
              </w:rPr>
              <w:noBreakHyphen/>
            </w:r>
          </w:p>
          <w:p w:rsidR="00E25901" w:rsidRPr="00FF00BC" w:rsidRDefault="00E25901" w:rsidP="00902B1D">
            <w:pPr>
              <w:jc w:val="both"/>
              <w:rPr>
                <w:sz w:val="20"/>
                <w:szCs w:val="20"/>
                <w:lang w:val="fr-CA"/>
              </w:rPr>
            </w:pPr>
            <w:r w:rsidRPr="00FF00BC">
              <w:rPr>
                <w:sz w:val="20"/>
                <w:szCs w:val="20"/>
                <w:lang w:val="fr-CA"/>
              </w:rPr>
              <w:t xml:space="preserve">Labrador </w:t>
            </w:r>
            <w:r w:rsidRPr="00FF00BC">
              <w:rPr>
                <w:sz w:val="20"/>
                <w:szCs w:val="20"/>
                <w:lang w:val="fr-CA"/>
              </w:rPr>
              <w:noBreakHyphen/>
              <w:t xml:space="preserve"> Cour d'appel</w:t>
            </w:r>
          </w:p>
          <w:p w:rsidR="00E25901" w:rsidRPr="00FF00BC" w:rsidRDefault="00E25901" w:rsidP="00902B1D">
            <w:pPr>
              <w:jc w:val="both"/>
              <w:rPr>
                <w:sz w:val="20"/>
                <w:szCs w:val="20"/>
                <w:lang w:val="fr-CA"/>
              </w:rPr>
            </w:pPr>
            <w:r w:rsidRPr="00FF00BC">
              <w:rPr>
                <w:sz w:val="20"/>
                <w:szCs w:val="20"/>
                <w:lang w:val="fr-CA"/>
              </w:rPr>
              <w:t>(Juge en chef Green, juges Harrington et Barry [dissident en partie])</w:t>
            </w:r>
          </w:p>
          <w:p w:rsidR="00E25901" w:rsidRPr="00FF00BC" w:rsidRDefault="00E25901" w:rsidP="00902B1D">
            <w:pPr>
              <w:jc w:val="both"/>
              <w:rPr>
                <w:sz w:val="20"/>
                <w:szCs w:val="20"/>
                <w:lang w:val="fr-CA"/>
              </w:rPr>
            </w:pPr>
            <w:r w:rsidRPr="00FF00BC">
              <w:rPr>
                <w:sz w:val="20"/>
                <w:szCs w:val="20"/>
                <w:lang w:val="fr-CA"/>
              </w:rPr>
              <w:t>2012 NLCA 61</w:t>
            </w:r>
          </w:p>
          <w:p w:rsidR="00E25901" w:rsidRPr="00FF00BC" w:rsidRDefault="00E25901" w:rsidP="00902B1D">
            <w:pPr>
              <w:jc w:val="both"/>
              <w:rPr>
                <w:sz w:val="20"/>
                <w:szCs w:val="20"/>
                <w:lang w:val="fr-CA"/>
              </w:rPr>
            </w:pPr>
          </w:p>
        </w:tc>
        <w:tc>
          <w:tcPr>
            <w:tcW w:w="243" w:type="pct"/>
          </w:tcPr>
          <w:p w:rsidR="00E25901" w:rsidRPr="00FF00BC" w:rsidRDefault="00E25901" w:rsidP="00902B1D">
            <w:pPr>
              <w:jc w:val="both"/>
              <w:rPr>
                <w:sz w:val="20"/>
                <w:szCs w:val="20"/>
                <w:lang w:val="fr-CA"/>
              </w:rPr>
            </w:pPr>
          </w:p>
        </w:tc>
        <w:tc>
          <w:tcPr>
            <w:tcW w:w="2330" w:type="pct"/>
          </w:tcPr>
          <w:p w:rsidR="00E25901" w:rsidRPr="00FF00BC" w:rsidRDefault="00E25901" w:rsidP="00902B1D">
            <w:pPr>
              <w:jc w:val="both"/>
              <w:rPr>
                <w:sz w:val="20"/>
                <w:szCs w:val="20"/>
                <w:lang w:val="fr-CA"/>
              </w:rPr>
            </w:pPr>
            <w:r w:rsidRPr="00FF00BC">
              <w:rPr>
                <w:sz w:val="20"/>
                <w:szCs w:val="20"/>
                <w:lang w:val="fr-CA"/>
              </w:rPr>
              <w:t>Appel accueilli; nouveau procès ordonné</w:t>
            </w:r>
          </w:p>
        </w:tc>
      </w:tr>
      <w:tr w:rsidR="00E25901" w:rsidRPr="00FF00BC" w:rsidTr="00902B1D">
        <w:tc>
          <w:tcPr>
            <w:tcW w:w="2427" w:type="pct"/>
          </w:tcPr>
          <w:p w:rsidR="00E25901" w:rsidRPr="00FF00BC" w:rsidRDefault="00E25901" w:rsidP="00902B1D">
            <w:pPr>
              <w:jc w:val="both"/>
              <w:rPr>
                <w:sz w:val="20"/>
                <w:szCs w:val="20"/>
                <w:lang w:val="fr-CA"/>
              </w:rPr>
            </w:pPr>
            <w:r w:rsidRPr="00FF00BC">
              <w:rPr>
                <w:sz w:val="20"/>
                <w:szCs w:val="20"/>
                <w:lang w:val="fr-CA"/>
              </w:rPr>
              <w:t>25 octobre 2012</w:t>
            </w:r>
          </w:p>
          <w:p w:rsidR="00E25901" w:rsidRPr="00FF00BC" w:rsidRDefault="00E25901" w:rsidP="00902B1D">
            <w:pPr>
              <w:jc w:val="both"/>
              <w:rPr>
                <w:sz w:val="20"/>
                <w:szCs w:val="20"/>
                <w:lang w:val="fr-CA"/>
              </w:rPr>
            </w:pPr>
            <w:r w:rsidRPr="00FF00BC">
              <w:rPr>
                <w:sz w:val="20"/>
                <w:szCs w:val="20"/>
                <w:lang w:val="fr-CA"/>
              </w:rPr>
              <w:t>Cour suprême du Canada</w:t>
            </w:r>
          </w:p>
        </w:tc>
        <w:tc>
          <w:tcPr>
            <w:tcW w:w="243" w:type="pct"/>
          </w:tcPr>
          <w:p w:rsidR="00E25901" w:rsidRPr="00FF00BC" w:rsidRDefault="00E25901" w:rsidP="00902B1D">
            <w:pPr>
              <w:jc w:val="both"/>
              <w:rPr>
                <w:sz w:val="20"/>
                <w:szCs w:val="20"/>
                <w:lang w:val="fr-CA"/>
              </w:rPr>
            </w:pPr>
          </w:p>
        </w:tc>
        <w:tc>
          <w:tcPr>
            <w:tcW w:w="2330" w:type="pct"/>
          </w:tcPr>
          <w:p w:rsidR="00E25901" w:rsidRPr="00FF00BC" w:rsidRDefault="00E25901" w:rsidP="00902B1D">
            <w:pPr>
              <w:jc w:val="both"/>
              <w:rPr>
                <w:sz w:val="20"/>
                <w:szCs w:val="20"/>
                <w:lang w:val="fr-CA"/>
              </w:rPr>
            </w:pPr>
            <w:r w:rsidRPr="00FF00BC">
              <w:rPr>
                <w:sz w:val="20"/>
                <w:szCs w:val="20"/>
                <w:lang w:val="fr-CA"/>
              </w:rPr>
              <w:t>Demande d'autorisation d'appel, déposée</w:t>
            </w:r>
          </w:p>
        </w:tc>
      </w:tr>
    </w:tbl>
    <w:p w:rsidR="00A32A8F" w:rsidRDefault="00A32A8F" w:rsidP="00A32A8F">
      <w:pPr>
        <w:rPr>
          <w:sz w:val="20"/>
          <w:szCs w:val="20"/>
        </w:rPr>
      </w:pPr>
    </w:p>
    <w:p w:rsidR="00A32A8F" w:rsidRDefault="00CB0178" w:rsidP="00A32A8F">
      <w:pPr>
        <w:rPr>
          <w:sz w:val="20"/>
          <w:szCs w:val="20"/>
        </w:rPr>
      </w:pPr>
      <w:r w:rsidRPr="00CB0178">
        <w:rPr>
          <w:sz w:val="20"/>
          <w:szCs w:val="20"/>
          <w:lang w:val="fr-CA"/>
        </w:rPr>
        <w:pict>
          <v:rect id="_x0000_i1044" style="width:2in;height:1pt" o:hrpct="0" o:hralign="center" o:hrstd="t" o:hrnoshade="t" o:hr="t" fillcolor="black [3213]" stroked="f"/>
        </w:pict>
      </w:r>
    </w:p>
    <w:p w:rsidR="00A32A8F" w:rsidRDefault="00A32A8F" w:rsidP="00A32A8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8316E" w:rsidRPr="00104479" w:rsidTr="00D54B9C">
        <w:trPr>
          <w:cantSplit/>
        </w:trPr>
        <w:tc>
          <w:tcPr>
            <w:tcW w:w="1458" w:type="dxa"/>
          </w:tcPr>
          <w:p w:rsidR="0078316E" w:rsidRPr="00104479" w:rsidRDefault="0078316E" w:rsidP="00D54B9C">
            <w:pPr>
              <w:rPr>
                <w:sz w:val="20"/>
                <w:szCs w:val="20"/>
              </w:rPr>
            </w:pPr>
            <w:r w:rsidRPr="00104479">
              <w:rPr>
                <w:rStyle w:val="SCCFileNumberChar"/>
                <w:sz w:val="20"/>
                <w:szCs w:val="20"/>
              </w:rPr>
              <w:t>35060</w:t>
            </w:r>
          </w:p>
          <w:p w:rsidR="0078316E" w:rsidRPr="00104479" w:rsidRDefault="0078316E" w:rsidP="00D54B9C">
            <w:pPr>
              <w:rPr>
                <w:b/>
                <w:sz w:val="20"/>
                <w:szCs w:val="20"/>
                <w:lang w:val="fr-CA"/>
              </w:rPr>
            </w:pPr>
          </w:p>
        </w:tc>
        <w:tc>
          <w:tcPr>
            <w:tcW w:w="8118" w:type="dxa"/>
          </w:tcPr>
          <w:p w:rsidR="0078316E" w:rsidRPr="00104479" w:rsidRDefault="0078316E" w:rsidP="00D54B9C">
            <w:pPr>
              <w:jc w:val="both"/>
              <w:rPr>
                <w:sz w:val="20"/>
                <w:szCs w:val="20"/>
              </w:rPr>
            </w:pPr>
            <w:r w:rsidRPr="00104479">
              <w:rPr>
                <w:rStyle w:val="SCCLsocChar"/>
                <w:sz w:val="20"/>
                <w:szCs w:val="20"/>
                <w:lang w:val="en-CA"/>
              </w:rPr>
              <w:t>Giuliano Scaduto v. Workplace Safety and Insurance Appeals Tribunal</w:t>
            </w:r>
            <w:r w:rsidRPr="00104479">
              <w:rPr>
                <w:sz w:val="20"/>
                <w:szCs w:val="20"/>
              </w:rPr>
              <w:t xml:space="preserve"> (Ont.) (Civil) (By Leave)</w:t>
            </w:r>
          </w:p>
          <w:p w:rsidR="0078316E" w:rsidRPr="00104479" w:rsidRDefault="0078316E" w:rsidP="00D54B9C">
            <w:pPr>
              <w:jc w:val="both"/>
              <w:rPr>
                <w:sz w:val="20"/>
                <w:szCs w:val="20"/>
              </w:rPr>
            </w:pPr>
          </w:p>
        </w:tc>
      </w:tr>
      <w:tr w:rsidR="0078316E" w:rsidRPr="00104479" w:rsidTr="00D54B9C">
        <w:trPr>
          <w:cantSplit/>
        </w:trPr>
        <w:tc>
          <w:tcPr>
            <w:tcW w:w="1458" w:type="dxa"/>
          </w:tcPr>
          <w:p w:rsidR="0078316E" w:rsidRDefault="0078316E" w:rsidP="00D54B9C">
            <w:pPr>
              <w:rPr>
                <w:sz w:val="20"/>
                <w:szCs w:val="20"/>
              </w:rPr>
            </w:pPr>
            <w:r w:rsidRPr="00104479">
              <w:rPr>
                <w:sz w:val="20"/>
                <w:szCs w:val="20"/>
              </w:rPr>
              <w:t>Coram :</w:t>
            </w:r>
          </w:p>
          <w:p w:rsidR="00B07D2C" w:rsidRPr="00104479" w:rsidRDefault="00B07D2C" w:rsidP="00D54B9C">
            <w:pPr>
              <w:rPr>
                <w:sz w:val="20"/>
                <w:szCs w:val="20"/>
              </w:rPr>
            </w:pPr>
          </w:p>
        </w:tc>
        <w:tc>
          <w:tcPr>
            <w:tcW w:w="8118" w:type="dxa"/>
          </w:tcPr>
          <w:p w:rsidR="0078316E" w:rsidRPr="00104479" w:rsidRDefault="0078316E" w:rsidP="00D54B9C">
            <w:pPr>
              <w:rPr>
                <w:sz w:val="20"/>
                <w:szCs w:val="20"/>
              </w:rPr>
            </w:pPr>
            <w:r w:rsidRPr="00104479">
              <w:rPr>
                <w:rStyle w:val="SCCCoramChar"/>
                <w:sz w:val="20"/>
                <w:szCs w:val="20"/>
                <w:lang w:val="en-CA"/>
              </w:rPr>
              <w:t>Fish, Rothstein and Moldaver JJ.</w:t>
            </w:r>
          </w:p>
          <w:p w:rsidR="0078316E" w:rsidRPr="00104479" w:rsidRDefault="0078316E" w:rsidP="00D54B9C">
            <w:pPr>
              <w:rPr>
                <w:sz w:val="20"/>
                <w:szCs w:val="20"/>
                <w:u w:val="single"/>
              </w:rPr>
            </w:pPr>
          </w:p>
        </w:tc>
      </w:tr>
      <w:tr w:rsidR="0078316E" w:rsidRPr="00B07D2C" w:rsidTr="00D54B9C">
        <w:trPr>
          <w:cantSplit/>
        </w:trPr>
        <w:tc>
          <w:tcPr>
            <w:tcW w:w="9576" w:type="dxa"/>
            <w:gridSpan w:val="2"/>
          </w:tcPr>
          <w:p w:rsidR="0078316E" w:rsidRPr="00104479" w:rsidRDefault="0078316E" w:rsidP="00D54B9C">
            <w:pPr>
              <w:pStyle w:val="SCCShortJudgment"/>
              <w:rPr>
                <w:szCs w:val="20"/>
              </w:rPr>
            </w:pPr>
            <w:r w:rsidRPr="00104479">
              <w:rPr>
                <w:szCs w:val="20"/>
              </w:rPr>
              <w:t>The application for leave to appeal from the judgment of the Court of Appeal for Ontario, Number M41573, dated September 26, 2012, is dismissed with costs.</w:t>
            </w:r>
          </w:p>
          <w:p w:rsidR="0078316E" w:rsidRPr="00104479" w:rsidRDefault="0078316E" w:rsidP="00D54B9C">
            <w:pPr>
              <w:pStyle w:val="SCCShortJudgment"/>
              <w:ind w:firstLine="0"/>
              <w:rPr>
                <w:szCs w:val="20"/>
              </w:rPr>
            </w:pPr>
          </w:p>
          <w:p w:rsidR="0078316E" w:rsidRPr="00104479" w:rsidRDefault="0078316E" w:rsidP="00D54B9C">
            <w:pPr>
              <w:pStyle w:val="SCCShortJudgment"/>
              <w:rPr>
                <w:szCs w:val="20"/>
                <w:lang w:val="fr-CA"/>
              </w:rPr>
            </w:pPr>
            <w:r w:rsidRPr="00104479">
              <w:rPr>
                <w:szCs w:val="20"/>
                <w:lang w:val="fr-CA"/>
              </w:rPr>
              <w:t>La demande d’autorisation d’appel de l’arrêt de la Cour d’appel de l’Ontario, numéro M41573, daté du 26 septembre 2012, est rejetée avec dépens.</w:t>
            </w:r>
          </w:p>
        </w:tc>
      </w:tr>
    </w:tbl>
    <w:p w:rsidR="00A32A8F" w:rsidRPr="00A32A8F" w:rsidRDefault="00A32A8F" w:rsidP="00A32A8F">
      <w:pPr>
        <w:rPr>
          <w:sz w:val="20"/>
          <w:szCs w:val="20"/>
          <w:lang w:val="fr-CA"/>
        </w:rPr>
      </w:pPr>
    </w:p>
    <w:p w:rsidR="00A32A8F" w:rsidRDefault="00A32A8F" w:rsidP="00A32A8F">
      <w:pPr>
        <w:rPr>
          <w:sz w:val="20"/>
          <w:szCs w:val="20"/>
          <w:u w:val="single"/>
        </w:rPr>
      </w:pPr>
      <w:r w:rsidRPr="001B157C">
        <w:rPr>
          <w:sz w:val="20"/>
          <w:szCs w:val="20"/>
          <w:u w:val="single"/>
        </w:rPr>
        <w:t>CASE SUMMARY</w:t>
      </w:r>
    </w:p>
    <w:p w:rsidR="00A32A8F" w:rsidRDefault="00A32A8F" w:rsidP="00A32A8F">
      <w:pPr>
        <w:rPr>
          <w:sz w:val="20"/>
          <w:szCs w:val="20"/>
        </w:rPr>
      </w:pPr>
    </w:p>
    <w:tbl>
      <w:tblPr>
        <w:tblW w:w="4952" w:type="pct"/>
        <w:tblLayout w:type="fixed"/>
        <w:tblCellMar>
          <w:left w:w="0" w:type="dxa"/>
          <w:bottom w:w="99" w:type="dxa"/>
          <w:right w:w="0" w:type="dxa"/>
        </w:tblCellMar>
        <w:tblLook w:val="04A0"/>
      </w:tblPr>
      <w:tblGrid>
        <w:gridCol w:w="4625"/>
        <w:gridCol w:w="476"/>
        <w:gridCol w:w="4426"/>
      </w:tblGrid>
      <w:tr w:rsidR="00E25901" w:rsidRPr="00FF00BC" w:rsidTr="00902B1D">
        <w:tc>
          <w:tcPr>
            <w:tcW w:w="5000" w:type="pct"/>
            <w:gridSpan w:val="3"/>
          </w:tcPr>
          <w:p w:rsidR="00E25901" w:rsidRPr="00FF00BC" w:rsidRDefault="00E25901" w:rsidP="00902B1D">
            <w:pPr>
              <w:jc w:val="both"/>
              <w:rPr>
                <w:sz w:val="20"/>
                <w:szCs w:val="20"/>
              </w:rPr>
            </w:pPr>
            <w:r w:rsidRPr="00FF00BC">
              <w:rPr>
                <w:sz w:val="20"/>
                <w:szCs w:val="20"/>
              </w:rPr>
              <w:t>Civil procedure – Time – Administrative law – Judicial review – Workers’ compensation – Applicant’s two claims for compensation denied – Applicant’s appeal to respondent Tribunal dismissed – Requests for reconsideration also denied – Divisional Court dismissing application for judicial review – Motion for order extending time for bringing application for leave to appeal from decision of Divisional Court dismissed – Motion for extension of time to seek review of that dismissal also dismissed – Whether Court of Appeal erred in not allowing substantial justice to prevail over procedural technicalities.</w:t>
            </w:r>
          </w:p>
        </w:tc>
      </w:tr>
      <w:tr w:rsidR="00E25901" w:rsidRPr="00FF00BC" w:rsidTr="00902B1D">
        <w:tc>
          <w:tcPr>
            <w:tcW w:w="5000" w:type="pct"/>
            <w:gridSpan w:val="3"/>
          </w:tcPr>
          <w:p w:rsidR="00E25901" w:rsidRPr="00FF00BC" w:rsidRDefault="00E25901" w:rsidP="00902B1D">
            <w:pPr>
              <w:jc w:val="both"/>
              <w:rPr>
                <w:sz w:val="20"/>
                <w:szCs w:val="20"/>
              </w:rPr>
            </w:pPr>
          </w:p>
        </w:tc>
      </w:tr>
      <w:tr w:rsidR="00E25901" w:rsidRPr="00FF00BC" w:rsidTr="00902B1D">
        <w:tc>
          <w:tcPr>
            <w:tcW w:w="5000" w:type="pct"/>
            <w:gridSpan w:val="3"/>
          </w:tcPr>
          <w:p w:rsidR="00E25901" w:rsidRPr="00FF00BC" w:rsidRDefault="00E25901" w:rsidP="00902B1D">
            <w:pPr>
              <w:jc w:val="both"/>
              <w:rPr>
                <w:sz w:val="20"/>
                <w:szCs w:val="20"/>
              </w:rPr>
            </w:pPr>
            <w:r w:rsidRPr="00FF00BC">
              <w:rPr>
                <w:sz w:val="20"/>
                <w:szCs w:val="20"/>
              </w:rPr>
              <w:t>The applicant’s employment ended in 2004.  Since then he has pursued – unsuccessfully – two claims for compensation:  a disability award for carpal tunnel syndrome to his right hand, and a disability award for psycho-traumatic disorder arising out of a workplace slip and fall.  These claims were initially denied by an appeals resolution officer on the ground that neither was work related.  The officer also noted that under the Board’s policy, psycho-traumatic disability was included under chronic pain disability for which the applicant was compensated.  The applicant appealed the denial of his claims to the respondent Tribunal.  His appeal was dismissed.  He asked the Tribunal to reconsider its original decision on the ground that it had overlooked important pieces of evidence.  His request for reconsideration was denied.  He then brought a second request for reconsideration of his two claims.  The Tribunal also denied the second request.</w:t>
            </w:r>
          </w:p>
          <w:p w:rsidR="00E25901" w:rsidRPr="00FF00BC" w:rsidRDefault="00E25901" w:rsidP="00902B1D">
            <w:pPr>
              <w:jc w:val="both"/>
              <w:rPr>
                <w:sz w:val="20"/>
                <w:szCs w:val="20"/>
              </w:rPr>
            </w:pPr>
          </w:p>
          <w:p w:rsidR="00E25901" w:rsidRPr="00FF00BC" w:rsidRDefault="00E25901" w:rsidP="00902B1D">
            <w:pPr>
              <w:jc w:val="both"/>
              <w:rPr>
                <w:sz w:val="20"/>
                <w:szCs w:val="20"/>
              </w:rPr>
            </w:pPr>
            <w:r w:rsidRPr="00FF00BC">
              <w:rPr>
                <w:sz w:val="20"/>
                <w:szCs w:val="20"/>
              </w:rPr>
              <w:t>The applicant then brought an application for judicial review of the Tribunal’s decisions.  At the outset of the hearing, his counsel abandoned the claim for compensation for psycho-traumatic disability.  The Divisional Court dismissed his application.  Nine months later, the applicant moved for an order extending the time for bringing an application for leave to appeal from the decision of the Divisional Court, but the motion was dismissed.  Fourteen months later, the applicant sought an order extending the time to seek a review of that decision.  His motion for an extension of time was dismissed.  His motion seeking a review of that decision was also dismissed.</w:t>
            </w:r>
          </w:p>
          <w:p w:rsidR="00E25901" w:rsidRPr="00FF00BC" w:rsidRDefault="00E25901" w:rsidP="00902B1D">
            <w:pPr>
              <w:jc w:val="both"/>
              <w:rPr>
                <w:sz w:val="20"/>
                <w:szCs w:val="20"/>
              </w:rPr>
            </w:pPr>
          </w:p>
        </w:tc>
      </w:tr>
      <w:tr w:rsidR="00E25901" w:rsidRPr="00FF00BC" w:rsidTr="0078316E">
        <w:trPr>
          <w:cantSplit/>
        </w:trPr>
        <w:tc>
          <w:tcPr>
            <w:tcW w:w="2427" w:type="pct"/>
          </w:tcPr>
          <w:p w:rsidR="00E25901" w:rsidRPr="00FF00BC" w:rsidRDefault="00E25901" w:rsidP="00902B1D">
            <w:pPr>
              <w:jc w:val="both"/>
              <w:rPr>
                <w:sz w:val="20"/>
                <w:szCs w:val="20"/>
              </w:rPr>
            </w:pPr>
            <w:r w:rsidRPr="00FF00BC">
              <w:rPr>
                <w:sz w:val="20"/>
                <w:szCs w:val="20"/>
              </w:rPr>
              <w:lastRenderedPageBreak/>
              <w:t>July 12, 2012</w:t>
            </w:r>
          </w:p>
          <w:p w:rsidR="00E25901" w:rsidRPr="00FF00BC" w:rsidRDefault="00E25901" w:rsidP="00902B1D">
            <w:pPr>
              <w:jc w:val="both"/>
              <w:rPr>
                <w:sz w:val="20"/>
                <w:szCs w:val="20"/>
              </w:rPr>
            </w:pPr>
            <w:r w:rsidRPr="00FF00BC">
              <w:rPr>
                <w:sz w:val="20"/>
                <w:szCs w:val="20"/>
              </w:rPr>
              <w:t>Court of Appeal for Ontario</w:t>
            </w:r>
          </w:p>
          <w:p w:rsidR="00E25901" w:rsidRPr="00FF00BC" w:rsidRDefault="00E25901" w:rsidP="00902B1D">
            <w:pPr>
              <w:jc w:val="both"/>
              <w:rPr>
                <w:sz w:val="20"/>
                <w:szCs w:val="20"/>
              </w:rPr>
            </w:pPr>
            <w:r w:rsidRPr="00FF00BC">
              <w:rPr>
                <w:sz w:val="20"/>
                <w:szCs w:val="20"/>
              </w:rPr>
              <w:t>(Laskin J.A.)</w:t>
            </w:r>
          </w:p>
          <w:p w:rsidR="00E25901" w:rsidRPr="00FF00BC" w:rsidRDefault="00E25901" w:rsidP="00902B1D">
            <w:pPr>
              <w:jc w:val="both"/>
              <w:rPr>
                <w:sz w:val="20"/>
                <w:szCs w:val="20"/>
              </w:rPr>
            </w:pPr>
          </w:p>
        </w:tc>
        <w:tc>
          <w:tcPr>
            <w:tcW w:w="250" w:type="pct"/>
          </w:tcPr>
          <w:p w:rsidR="00E25901" w:rsidRPr="00FF00BC" w:rsidRDefault="00E25901" w:rsidP="00902B1D">
            <w:pPr>
              <w:jc w:val="both"/>
              <w:rPr>
                <w:sz w:val="20"/>
                <w:szCs w:val="20"/>
              </w:rPr>
            </w:pPr>
          </w:p>
        </w:tc>
        <w:tc>
          <w:tcPr>
            <w:tcW w:w="2323" w:type="pct"/>
          </w:tcPr>
          <w:p w:rsidR="00E25901" w:rsidRPr="00FF00BC" w:rsidRDefault="00E25901" w:rsidP="00902B1D">
            <w:pPr>
              <w:jc w:val="both"/>
              <w:rPr>
                <w:sz w:val="20"/>
                <w:szCs w:val="20"/>
              </w:rPr>
            </w:pPr>
            <w:r w:rsidRPr="00FF00BC">
              <w:rPr>
                <w:sz w:val="20"/>
                <w:szCs w:val="20"/>
              </w:rPr>
              <w:t>Motion seeking order extending time dismissed</w:t>
            </w:r>
          </w:p>
          <w:p w:rsidR="00E25901" w:rsidRPr="00FF00BC" w:rsidRDefault="00E25901" w:rsidP="00902B1D">
            <w:pPr>
              <w:jc w:val="both"/>
              <w:rPr>
                <w:sz w:val="20"/>
                <w:szCs w:val="20"/>
              </w:rPr>
            </w:pPr>
          </w:p>
        </w:tc>
      </w:tr>
      <w:tr w:rsidR="00E25901" w:rsidRPr="00FF00BC" w:rsidTr="0078316E">
        <w:trPr>
          <w:cantSplit/>
        </w:trPr>
        <w:tc>
          <w:tcPr>
            <w:tcW w:w="2427" w:type="pct"/>
          </w:tcPr>
          <w:p w:rsidR="00E25901" w:rsidRPr="00FF00BC" w:rsidRDefault="00E25901" w:rsidP="00902B1D">
            <w:pPr>
              <w:jc w:val="both"/>
              <w:rPr>
                <w:sz w:val="20"/>
                <w:szCs w:val="20"/>
              </w:rPr>
            </w:pPr>
            <w:r w:rsidRPr="00FF00BC">
              <w:rPr>
                <w:sz w:val="20"/>
                <w:szCs w:val="20"/>
              </w:rPr>
              <w:t>September 26, 2012</w:t>
            </w:r>
          </w:p>
          <w:p w:rsidR="00E25901" w:rsidRPr="00FF00BC" w:rsidRDefault="00E25901" w:rsidP="00902B1D">
            <w:pPr>
              <w:jc w:val="both"/>
              <w:rPr>
                <w:sz w:val="20"/>
                <w:szCs w:val="20"/>
              </w:rPr>
            </w:pPr>
            <w:r w:rsidRPr="00FF00BC">
              <w:rPr>
                <w:sz w:val="20"/>
                <w:szCs w:val="20"/>
              </w:rPr>
              <w:t>Court of Appeal for Ontario</w:t>
            </w:r>
          </w:p>
          <w:p w:rsidR="00E25901" w:rsidRPr="00FF00BC" w:rsidRDefault="00E25901" w:rsidP="00902B1D">
            <w:pPr>
              <w:jc w:val="both"/>
              <w:rPr>
                <w:sz w:val="20"/>
                <w:szCs w:val="20"/>
              </w:rPr>
            </w:pPr>
            <w:r w:rsidRPr="00FF00BC">
              <w:rPr>
                <w:sz w:val="20"/>
                <w:szCs w:val="20"/>
              </w:rPr>
              <w:t>(MacPherson, Armstrong and Blair JJ.A.)</w:t>
            </w:r>
          </w:p>
          <w:p w:rsidR="00E25901" w:rsidRPr="00FF00BC" w:rsidRDefault="00E25901" w:rsidP="00902B1D">
            <w:pPr>
              <w:jc w:val="both"/>
              <w:rPr>
                <w:sz w:val="20"/>
                <w:szCs w:val="20"/>
              </w:rPr>
            </w:pPr>
          </w:p>
        </w:tc>
        <w:tc>
          <w:tcPr>
            <w:tcW w:w="250" w:type="pct"/>
          </w:tcPr>
          <w:p w:rsidR="00E25901" w:rsidRPr="00FF00BC" w:rsidRDefault="00E25901" w:rsidP="00902B1D">
            <w:pPr>
              <w:jc w:val="both"/>
              <w:rPr>
                <w:sz w:val="20"/>
                <w:szCs w:val="20"/>
              </w:rPr>
            </w:pPr>
          </w:p>
        </w:tc>
        <w:tc>
          <w:tcPr>
            <w:tcW w:w="2323" w:type="pct"/>
          </w:tcPr>
          <w:p w:rsidR="00E25901" w:rsidRPr="00FF00BC" w:rsidRDefault="00E25901" w:rsidP="00902B1D">
            <w:pPr>
              <w:jc w:val="both"/>
              <w:rPr>
                <w:sz w:val="20"/>
                <w:szCs w:val="20"/>
              </w:rPr>
            </w:pPr>
            <w:r w:rsidRPr="00FF00BC">
              <w:rPr>
                <w:sz w:val="20"/>
                <w:szCs w:val="20"/>
              </w:rPr>
              <w:t>Motion seeking review of decision dismissed</w:t>
            </w:r>
          </w:p>
          <w:p w:rsidR="00E25901" w:rsidRPr="00FF00BC" w:rsidRDefault="00E25901" w:rsidP="00902B1D">
            <w:pPr>
              <w:jc w:val="both"/>
              <w:rPr>
                <w:sz w:val="20"/>
                <w:szCs w:val="20"/>
              </w:rPr>
            </w:pPr>
          </w:p>
        </w:tc>
      </w:tr>
      <w:tr w:rsidR="00E25901" w:rsidRPr="00FF00BC" w:rsidTr="0078316E">
        <w:trPr>
          <w:cantSplit/>
        </w:trPr>
        <w:tc>
          <w:tcPr>
            <w:tcW w:w="2427" w:type="pct"/>
          </w:tcPr>
          <w:p w:rsidR="00E25901" w:rsidRPr="00FF00BC" w:rsidRDefault="00E25901" w:rsidP="00902B1D">
            <w:pPr>
              <w:jc w:val="both"/>
              <w:rPr>
                <w:sz w:val="20"/>
                <w:szCs w:val="20"/>
              </w:rPr>
            </w:pPr>
            <w:r w:rsidRPr="00FF00BC">
              <w:rPr>
                <w:sz w:val="20"/>
                <w:szCs w:val="20"/>
              </w:rPr>
              <w:t>November 2, 2012</w:t>
            </w:r>
          </w:p>
          <w:p w:rsidR="00E25901" w:rsidRPr="00FF00BC" w:rsidRDefault="00E25901" w:rsidP="00902B1D">
            <w:pPr>
              <w:jc w:val="both"/>
              <w:rPr>
                <w:sz w:val="20"/>
                <w:szCs w:val="20"/>
              </w:rPr>
            </w:pPr>
            <w:r w:rsidRPr="00FF00BC">
              <w:rPr>
                <w:sz w:val="20"/>
                <w:szCs w:val="20"/>
              </w:rPr>
              <w:t>Supreme Court of Canada</w:t>
            </w:r>
          </w:p>
        </w:tc>
        <w:tc>
          <w:tcPr>
            <w:tcW w:w="250" w:type="pct"/>
          </w:tcPr>
          <w:p w:rsidR="00E25901" w:rsidRPr="00FF00BC" w:rsidRDefault="00E25901" w:rsidP="00902B1D">
            <w:pPr>
              <w:jc w:val="both"/>
              <w:rPr>
                <w:sz w:val="20"/>
                <w:szCs w:val="20"/>
              </w:rPr>
            </w:pPr>
          </w:p>
        </w:tc>
        <w:tc>
          <w:tcPr>
            <w:tcW w:w="2323" w:type="pct"/>
          </w:tcPr>
          <w:p w:rsidR="00E25901" w:rsidRPr="00FF00BC" w:rsidRDefault="00E25901" w:rsidP="00902B1D">
            <w:pPr>
              <w:jc w:val="both"/>
              <w:rPr>
                <w:sz w:val="20"/>
                <w:szCs w:val="20"/>
              </w:rPr>
            </w:pPr>
            <w:r w:rsidRPr="00FF00BC">
              <w:rPr>
                <w:sz w:val="20"/>
                <w:szCs w:val="20"/>
              </w:rPr>
              <w:t>Application for leave to appeal filed</w:t>
            </w:r>
          </w:p>
        </w:tc>
      </w:tr>
    </w:tbl>
    <w:p w:rsidR="00A32A8F" w:rsidRDefault="00A32A8F" w:rsidP="00A32A8F">
      <w:pPr>
        <w:rPr>
          <w:sz w:val="20"/>
          <w:szCs w:val="20"/>
        </w:rPr>
      </w:pPr>
    </w:p>
    <w:p w:rsidR="00A32A8F" w:rsidRDefault="00CB0178" w:rsidP="00A32A8F">
      <w:pPr>
        <w:rPr>
          <w:sz w:val="20"/>
          <w:szCs w:val="20"/>
        </w:rPr>
      </w:pPr>
      <w:r w:rsidRPr="00CB0178">
        <w:rPr>
          <w:sz w:val="20"/>
          <w:szCs w:val="20"/>
          <w:lang w:val="fr-CA"/>
        </w:rPr>
        <w:pict>
          <v:rect id="_x0000_i1045" style="width:2in;height:1pt" o:hrpct="0" o:hralign="center" o:hrstd="t" o:hrnoshade="t" o:hr="t" fillcolor="black [3213]" stroked="f"/>
        </w:pict>
      </w:r>
    </w:p>
    <w:p w:rsidR="00A32A8F" w:rsidRDefault="00A32A8F" w:rsidP="00A32A8F">
      <w:pPr>
        <w:rPr>
          <w:sz w:val="20"/>
          <w:szCs w:val="20"/>
        </w:rPr>
      </w:pPr>
    </w:p>
    <w:p w:rsidR="00A32A8F" w:rsidRPr="001B157C" w:rsidRDefault="00A32A8F" w:rsidP="00A32A8F">
      <w:pPr>
        <w:rPr>
          <w:sz w:val="20"/>
          <w:szCs w:val="20"/>
          <w:u w:val="single"/>
          <w:lang w:val="fr-CA"/>
        </w:rPr>
      </w:pPr>
      <w:r w:rsidRPr="001B157C">
        <w:rPr>
          <w:sz w:val="20"/>
          <w:szCs w:val="20"/>
          <w:u w:val="single"/>
          <w:lang w:val="fr-CA"/>
        </w:rPr>
        <w:t>RÉSUMÉ DE L’AFFAIRE</w:t>
      </w:r>
    </w:p>
    <w:p w:rsidR="00A32A8F" w:rsidRDefault="00A32A8F" w:rsidP="00A32A8F">
      <w:pPr>
        <w:rPr>
          <w:sz w:val="20"/>
          <w:szCs w:val="20"/>
        </w:rPr>
      </w:pPr>
    </w:p>
    <w:tbl>
      <w:tblPr>
        <w:tblW w:w="4952" w:type="pct"/>
        <w:tblLayout w:type="fixed"/>
        <w:tblCellMar>
          <w:left w:w="0" w:type="dxa"/>
          <w:bottom w:w="99" w:type="dxa"/>
          <w:right w:w="0" w:type="dxa"/>
        </w:tblCellMar>
        <w:tblLook w:val="00A0"/>
      </w:tblPr>
      <w:tblGrid>
        <w:gridCol w:w="4625"/>
        <w:gridCol w:w="476"/>
        <w:gridCol w:w="4426"/>
      </w:tblGrid>
      <w:tr w:rsidR="00E25901" w:rsidRPr="00B07D2C" w:rsidTr="00902B1D">
        <w:tc>
          <w:tcPr>
            <w:tcW w:w="5000" w:type="pct"/>
            <w:gridSpan w:val="3"/>
          </w:tcPr>
          <w:p w:rsidR="00E25901" w:rsidRPr="00FF00BC" w:rsidRDefault="00E25901" w:rsidP="00902B1D">
            <w:pPr>
              <w:jc w:val="both"/>
              <w:rPr>
                <w:sz w:val="20"/>
                <w:szCs w:val="20"/>
                <w:lang w:val="fr-CA"/>
              </w:rPr>
            </w:pPr>
            <w:r w:rsidRPr="00FF00BC">
              <w:rPr>
                <w:sz w:val="20"/>
                <w:szCs w:val="20"/>
                <w:lang w:val="fr-CA"/>
              </w:rPr>
              <w:t>Procédure civile – Délais – Droit administratif – Contrôle judiciaire – Accident du travail – Les deux demandes d'indemnisation présentées par le demandeur ont été rejetées – L'appel du demandeur au tribunal intimé a été rejeté – Les demandes de réexamen ont également été rejetées – La Cour divisionnaire a rejeté la demande de contrôle judiciaire – La motion en prorogation du délai pour présenter la demande d'autorisation d'appel de la décision de la Cour divisionnaire a été rejetée – La motion en prorogation de délai pour demander le contrôle de ce rejet a également été rejetée – La Cour d'appel a</w:t>
            </w:r>
            <w:r w:rsidRPr="00FF00BC">
              <w:rPr>
                <w:sz w:val="20"/>
                <w:szCs w:val="20"/>
                <w:lang w:val="fr-CA"/>
              </w:rPr>
              <w:noBreakHyphen/>
              <w:t>t</w:t>
            </w:r>
            <w:r w:rsidRPr="00FF00BC">
              <w:rPr>
                <w:sz w:val="20"/>
                <w:szCs w:val="20"/>
                <w:lang w:val="fr-CA"/>
              </w:rPr>
              <w:noBreakHyphen/>
              <w:t>elle eu tort de ne pas permettre à la justice fondamentale de l'emporter sur des formalités de procédure?</w:t>
            </w:r>
          </w:p>
        </w:tc>
      </w:tr>
      <w:tr w:rsidR="00E25901" w:rsidRPr="00B07D2C" w:rsidTr="00902B1D">
        <w:tc>
          <w:tcPr>
            <w:tcW w:w="5000" w:type="pct"/>
            <w:gridSpan w:val="3"/>
          </w:tcPr>
          <w:p w:rsidR="00E25901" w:rsidRPr="00FF00BC" w:rsidRDefault="00E25901" w:rsidP="00902B1D">
            <w:pPr>
              <w:jc w:val="both"/>
              <w:rPr>
                <w:sz w:val="20"/>
                <w:szCs w:val="20"/>
                <w:lang w:val="fr-CA"/>
              </w:rPr>
            </w:pPr>
          </w:p>
        </w:tc>
      </w:tr>
      <w:tr w:rsidR="00E25901" w:rsidRPr="00B07D2C" w:rsidTr="00902B1D">
        <w:tc>
          <w:tcPr>
            <w:tcW w:w="5000" w:type="pct"/>
            <w:gridSpan w:val="3"/>
          </w:tcPr>
          <w:p w:rsidR="00E25901" w:rsidRPr="00FF00BC" w:rsidRDefault="00E25901" w:rsidP="00902B1D">
            <w:pPr>
              <w:jc w:val="both"/>
              <w:rPr>
                <w:sz w:val="20"/>
                <w:szCs w:val="20"/>
                <w:lang w:val="fr-CA"/>
              </w:rPr>
            </w:pPr>
            <w:r w:rsidRPr="00FF00BC">
              <w:rPr>
                <w:sz w:val="20"/>
                <w:szCs w:val="20"/>
                <w:lang w:val="fr-CA"/>
              </w:rPr>
              <w:t>L'emploi du demandeur a pris fin en 2004. Depuis, il a présenté sans succès deux demandes d'indemnisation : une pour obtenir une indemnité d'invalidité pour le syndrome du canal carpien à sa main droite et une pour obtenir une indemnité d'invalidité pour un trouble psycho</w:t>
            </w:r>
            <w:r w:rsidRPr="00FF00BC">
              <w:rPr>
                <w:sz w:val="20"/>
                <w:szCs w:val="20"/>
                <w:lang w:val="fr-CA"/>
              </w:rPr>
              <w:noBreakHyphen/>
              <w:t>traumatique qui a découlé d’une chute par glissade au travail. Ces demandes ont été initialement rejetées par un commissaire aux appels au motif que ni l'une ni l'autre des demandes n'était liée au travail.  Le commissaire a également noté qu'en vertu de la politique de la commission, l'invalidité psycho</w:t>
            </w:r>
            <w:r w:rsidRPr="00FF00BC">
              <w:rPr>
                <w:sz w:val="20"/>
                <w:szCs w:val="20"/>
                <w:lang w:val="fr-CA"/>
              </w:rPr>
              <w:noBreakHyphen/>
              <w:t>traumatique était comprise dans l'invalidité de la douleur chronique pour laquelle le demandeur avait été indemnisé.  Le demandeur a interjeté appel du rejet de ses demandes au tribunal intimé. Son appel a été rejeté.  Il a demandé au tribunal de réexaminer sa décision initiale au motif qu'il avait omis de prendre en compte d'importants éléments de preuve.  Sa demande de réexamen a été rejetée. Il a ensuite présenté une deuxième demande de réexamen de ses deux demandes. Le tribunal a également rejeté la deuxième demande.</w:t>
            </w:r>
          </w:p>
          <w:p w:rsidR="00E25901" w:rsidRPr="00FF00BC" w:rsidRDefault="00E25901" w:rsidP="00902B1D">
            <w:pPr>
              <w:jc w:val="both"/>
              <w:rPr>
                <w:sz w:val="20"/>
                <w:szCs w:val="20"/>
                <w:lang w:val="fr-CA"/>
              </w:rPr>
            </w:pPr>
          </w:p>
          <w:p w:rsidR="00E25901" w:rsidRPr="00FF00BC" w:rsidRDefault="00E25901" w:rsidP="00902B1D">
            <w:pPr>
              <w:jc w:val="both"/>
              <w:rPr>
                <w:sz w:val="20"/>
                <w:szCs w:val="20"/>
                <w:lang w:val="fr-CA"/>
              </w:rPr>
            </w:pPr>
            <w:r w:rsidRPr="00FF00BC">
              <w:rPr>
                <w:sz w:val="20"/>
                <w:szCs w:val="20"/>
                <w:lang w:val="fr-CA"/>
              </w:rPr>
              <w:t>Le demandeur a ensuite présenté une demande de contrôle judiciaire des décisions du tribunal. Au début de l'audience, son avocat a abandonné la demande d'indemnisation pour l'invalidité psycho</w:t>
            </w:r>
            <w:r w:rsidRPr="00FF00BC">
              <w:rPr>
                <w:sz w:val="20"/>
                <w:szCs w:val="20"/>
                <w:lang w:val="fr-CA"/>
              </w:rPr>
              <w:noBreakHyphen/>
              <w:t>traumatique.  La Cour divisionnaire a rejeté sa demande.  Neuf mois plus tard, le demandeur a présenté une motion en prorogation du délai de présentation d'une demande d'autorisation d'appel de la décision de la Cour divisionnaire, mais la motion a été rejetée.  Quatorze mois plus tard, le demandeur a sollicité une prorogation du délai pour obtenir la révision de cette décision.  Sa motion en prorogation de délai a été rejetée.  Sa motion en révision de cette décision a également été rejetée.</w:t>
            </w:r>
          </w:p>
          <w:p w:rsidR="00E25901" w:rsidRPr="00FF00BC" w:rsidRDefault="00E25901" w:rsidP="00902B1D">
            <w:pPr>
              <w:jc w:val="both"/>
              <w:rPr>
                <w:sz w:val="20"/>
                <w:szCs w:val="20"/>
                <w:lang w:val="fr-CA"/>
              </w:rPr>
            </w:pPr>
          </w:p>
        </w:tc>
      </w:tr>
      <w:tr w:rsidR="00E25901" w:rsidRPr="00B07D2C" w:rsidTr="00902B1D">
        <w:tc>
          <w:tcPr>
            <w:tcW w:w="2427" w:type="pct"/>
          </w:tcPr>
          <w:p w:rsidR="00E25901" w:rsidRPr="00FF00BC" w:rsidRDefault="00E25901" w:rsidP="00902B1D">
            <w:pPr>
              <w:jc w:val="both"/>
              <w:rPr>
                <w:sz w:val="20"/>
                <w:szCs w:val="20"/>
                <w:lang w:val="fr-CA"/>
              </w:rPr>
            </w:pPr>
            <w:r w:rsidRPr="00FF00BC">
              <w:rPr>
                <w:sz w:val="20"/>
                <w:szCs w:val="20"/>
                <w:lang w:val="fr-CA"/>
              </w:rPr>
              <w:t>12 juillet 2012</w:t>
            </w:r>
          </w:p>
          <w:p w:rsidR="00E25901" w:rsidRPr="00FF00BC" w:rsidRDefault="00E25901" w:rsidP="00902B1D">
            <w:pPr>
              <w:jc w:val="both"/>
              <w:rPr>
                <w:sz w:val="20"/>
                <w:szCs w:val="20"/>
                <w:lang w:val="fr-CA"/>
              </w:rPr>
            </w:pPr>
            <w:r w:rsidRPr="00FF00BC">
              <w:rPr>
                <w:sz w:val="20"/>
                <w:szCs w:val="20"/>
                <w:lang w:val="fr-CA"/>
              </w:rPr>
              <w:t xml:space="preserve">Cour d'appel de l'Ontario </w:t>
            </w:r>
          </w:p>
          <w:p w:rsidR="00E25901" w:rsidRPr="00FF00BC" w:rsidRDefault="00E25901" w:rsidP="00902B1D">
            <w:pPr>
              <w:jc w:val="both"/>
              <w:rPr>
                <w:sz w:val="20"/>
                <w:szCs w:val="20"/>
                <w:lang w:val="fr-CA"/>
              </w:rPr>
            </w:pPr>
            <w:r w:rsidRPr="00FF00BC">
              <w:rPr>
                <w:sz w:val="20"/>
                <w:szCs w:val="20"/>
                <w:lang w:val="fr-CA"/>
              </w:rPr>
              <w:t>(Juge Laskin)</w:t>
            </w:r>
          </w:p>
          <w:p w:rsidR="00E25901" w:rsidRPr="00FF00BC" w:rsidRDefault="00E25901" w:rsidP="00902B1D">
            <w:pPr>
              <w:jc w:val="both"/>
              <w:rPr>
                <w:sz w:val="20"/>
                <w:szCs w:val="20"/>
                <w:lang w:val="fr-CA"/>
              </w:rPr>
            </w:pPr>
          </w:p>
        </w:tc>
        <w:tc>
          <w:tcPr>
            <w:tcW w:w="250" w:type="pct"/>
          </w:tcPr>
          <w:p w:rsidR="00E25901" w:rsidRPr="00FF00BC" w:rsidRDefault="00E25901" w:rsidP="00902B1D">
            <w:pPr>
              <w:jc w:val="both"/>
              <w:rPr>
                <w:sz w:val="20"/>
                <w:szCs w:val="20"/>
                <w:lang w:val="fr-CA"/>
              </w:rPr>
            </w:pPr>
          </w:p>
        </w:tc>
        <w:tc>
          <w:tcPr>
            <w:tcW w:w="2323" w:type="pct"/>
          </w:tcPr>
          <w:p w:rsidR="00E25901" w:rsidRPr="00FF00BC" w:rsidRDefault="00E25901" w:rsidP="00902B1D">
            <w:pPr>
              <w:jc w:val="both"/>
              <w:rPr>
                <w:sz w:val="20"/>
                <w:szCs w:val="20"/>
                <w:lang w:val="fr-CA"/>
              </w:rPr>
            </w:pPr>
            <w:r w:rsidRPr="00FF00BC">
              <w:rPr>
                <w:sz w:val="20"/>
                <w:szCs w:val="20"/>
                <w:lang w:val="fr-CA"/>
              </w:rPr>
              <w:t>Motion en prorogation de délai, rejetée</w:t>
            </w:r>
          </w:p>
          <w:p w:rsidR="00E25901" w:rsidRPr="00FF00BC" w:rsidRDefault="00E25901" w:rsidP="00902B1D">
            <w:pPr>
              <w:jc w:val="both"/>
              <w:rPr>
                <w:sz w:val="20"/>
                <w:szCs w:val="20"/>
                <w:lang w:val="fr-CA"/>
              </w:rPr>
            </w:pPr>
          </w:p>
        </w:tc>
      </w:tr>
      <w:tr w:rsidR="00E25901" w:rsidRPr="00B07D2C" w:rsidTr="00902B1D">
        <w:tc>
          <w:tcPr>
            <w:tcW w:w="2427" w:type="pct"/>
          </w:tcPr>
          <w:p w:rsidR="00E25901" w:rsidRPr="00FF00BC" w:rsidRDefault="00E25901" w:rsidP="00902B1D">
            <w:pPr>
              <w:jc w:val="both"/>
              <w:rPr>
                <w:sz w:val="20"/>
                <w:szCs w:val="20"/>
                <w:lang w:val="fr-CA"/>
              </w:rPr>
            </w:pPr>
            <w:r w:rsidRPr="00FF00BC">
              <w:rPr>
                <w:sz w:val="20"/>
                <w:szCs w:val="20"/>
                <w:lang w:val="fr-CA"/>
              </w:rPr>
              <w:t>26 septembre, 2012</w:t>
            </w:r>
          </w:p>
          <w:p w:rsidR="00E25901" w:rsidRPr="00FF00BC" w:rsidRDefault="00E25901" w:rsidP="00902B1D">
            <w:pPr>
              <w:jc w:val="both"/>
              <w:rPr>
                <w:sz w:val="20"/>
                <w:szCs w:val="20"/>
                <w:lang w:val="fr-CA"/>
              </w:rPr>
            </w:pPr>
            <w:r w:rsidRPr="00FF00BC">
              <w:rPr>
                <w:sz w:val="20"/>
                <w:szCs w:val="20"/>
                <w:lang w:val="fr-CA"/>
              </w:rPr>
              <w:t xml:space="preserve">Cour d'appel de l'Ontario </w:t>
            </w:r>
          </w:p>
          <w:p w:rsidR="00E25901" w:rsidRPr="00FF00BC" w:rsidRDefault="00E25901" w:rsidP="00902B1D">
            <w:pPr>
              <w:jc w:val="both"/>
              <w:rPr>
                <w:sz w:val="20"/>
                <w:szCs w:val="20"/>
                <w:lang w:val="fr-CA"/>
              </w:rPr>
            </w:pPr>
            <w:r w:rsidRPr="00FF00BC">
              <w:rPr>
                <w:sz w:val="20"/>
                <w:szCs w:val="20"/>
                <w:lang w:val="fr-CA"/>
              </w:rPr>
              <w:t>(Juges MacPherson, Armstrong et Blair)</w:t>
            </w:r>
          </w:p>
          <w:p w:rsidR="00E25901" w:rsidRPr="00FF00BC" w:rsidRDefault="00E25901" w:rsidP="00902B1D">
            <w:pPr>
              <w:jc w:val="both"/>
              <w:rPr>
                <w:sz w:val="20"/>
                <w:szCs w:val="20"/>
                <w:lang w:val="fr-CA"/>
              </w:rPr>
            </w:pPr>
          </w:p>
        </w:tc>
        <w:tc>
          <w:tcPr>
            <w:tcW w:w="250" w:type="pct"/>
          </w:tcPr>
          <w:p w:rsidR="00E25901" w:rsidRPr="00FF00BC" w:rsidRDefault="00E25901" w:rsidP="00902B1D">
            <w:pPr>
              <w:jc w:val="both"/>
              <w:rPr>
                <w:sz w:val="20"/>
                <w:szCs w:val="20"/>
                <w:lang w:val="fr-CA"/>
              </w:rPr>
            </w:pPr>
          </w:p>
        </w:tc>
        <w:tc>
          <w:tcPr>
            <w:tcW w:w="2323" w:type="pct"/>
          </w:tcPr>
          <w:p w:rsidR="00E25901" w:rsidRPr="00FF00BC" w:rsidRDefault="00E25901" w:rsidP="00902B1D">
            <w:pPr>
              <w:jc w:val="both"/>
              <w:rPr>
                <w:sz w:val="20"/>
                <w:szCs w:val="20"/>
                <w:lang w:val="fr-CA"/>
              </w:rPr>
            </w:pPr>
            <w:r w:rsidRPr="00FF00BC">
              <w:rPr>
                <w:sz w:val="20"/>
                <w:szCs w:val="20"/>
                <w:lang w:val="fr-CA"/>
              </w:rPr>
              <w:t>Motion en révision de cette décision, rejetée</w:t>
            </w:r>
          </w:p>
          <w:p w:rsidR="00E25901" w:rsidRPr="00FF00BC" w:rsidRDefault="00E25901" w:rsidP="00902B1D">
            <w:pPr>
              <w:jc w:val="both"/>
              <w:rPr>
                <w:sz w:val="20"/>
                <w:szCs w:val="20"/>
                <w:lang w:val="fr-CA"/>
              </w:rPr>
            </w:pPr>
          </w:p>
        </w:tc>
      </w:tr>
      <w:tr w:rsidR="00E25901" w:rsidRPr="00FF00BC" w:rsidTr="0078316E">
        <w:trPr>
          <w:cantSplit/>
        </w:trPr>
        <w:tc>
          <w:tcPr>
            <w:tcW w:w="2427" w:type="pct"/>
          </w:tcPr>
          <w:p w:rsidR="00E25901" w:rsidRPr="00FF00BC" w:rsidRDefault="00E25901" w:rsidP="00902B1D">
            <w:pPr>
              <w:jc w:val="both"/>
              <w:rPr>
                <w:sz w:val="20"/>
                <w:szCs w:val="20"/>
                <w:lang w:val="fr-CA"/>
              </w:rPr>
            </w:pPr>
            <w:r w:rsidRPr="00FF00BC">
              <w:rPr>
                <w:sz w:val="20"/>
                <w:szCs w:val="20"/>
                <w:lang w:val="fr-CA"/>
              </w:rPr>
              <w:lastRenderedPageBreak/>
              <w:t>2 novembre 2012</w:t>
            </w:r>
          </w:p>
          <w:p w:rsidR="00E25901" w:rsidRPr="00FF00BC" w:rsidRDefault="00E25901" w:rsidP="00902B1D">
            <w:pPr>
              <w:jc w:val="both"/>
              <w:rPr>
                <w:sz w:val="20"/>
                <w:szCs w:val="20"/>
                <w:lang w:val="fr-CA"/>
              </w:rPr>
            </w:pPr>
            <w:r w:rsidRPr="00FF00BC">
              <w:rPr>
                <w:sz w:val="20"/>
                <w:szCs w:val="20"/>
                <w:lang w:val="fr-CA"/>
              </w:rPr>
              <w:t>Cour suprême du Canada</w:t>
            </w:r>
          </w:p>
        </w:tc>
        <w:tc>
          <w:tcPr>
            <w:tcW w:w="250" w:type="pct"/>
          </w:tcPr>
          <w:p w:rsidR="00E25901" w:rsidRPr="00FF00BC" w:rsidRDefault="00E25901" w:rsidP="00902B1D">
            <w:pPr>
              <w:jc w:val="both"/>
              <w:rPr>
                <w:sz w:val="20"/>
                <w:szCs w:val="20"/>
                <w:lang w:val="fr-CA"/>
              </w:rPr>
            </w:pPr>
          </w:p>
        </w:tc>
        <w:tc>
          <w:tcPr>
            <w:tcW w:w="2323" w:type="pct"/>
          </w:tcPr>
          <w:p w:rsidR="00E25901" w:rsidRPr="00FF00BC" w:rsidRDefault="00E25901" w:rsidP="00902B1D">
            <w:pPr>
              <w:jc w:val="both"/>
              <w:rPr>
                <w:sz w:val="20"/>
                <w:szCs w:val="20"/>
                <w:lang w:val="fr-CA"/>
              </w:rPr>
            </w:pPr>
            <w:r w:rsidRPr="00FF00BC">
              <w:rPr>
                <w:sz w:val="20"/>
                <w:szCs w:val="20"/>
                <w:lang w:val="fr-CA"/>
              </w:rPr>
              <w:t>Demande d'autorisation d'appel, déposée</w:t>
            </w:r>
          </w:p>
        </w:tc>
      </w:tr>
    </w:tbl>
    <w:p w:rsidR="00A32A8F" w:rsidRDefault="00A32A8F" w:rsidP="00A32A8F">
      <w:pPr>
        <w:rPr>
          <w:sz w:val="20"/>
          <w:szCs w:val="20"/>
        </w:rPr>
      </w:pPr>
    </w:p>
    <w:p w:rsidR="00A32A8F" w:rsidRDefault="00CB0178" w:rsidP="00A32A8F">
      <w:pPr>
        <w:rPr>
          <w:sz w:val="20"/>
          <w:szCs w:val="20"/>
        </w:rPr>
      </w:pPr>
      <w:r w:rsidRPr="00CB0178">
        <w:rPr>
          <w:sz w:val="20"/>
          <w:szCs w:val="20"/>
          <w:lang w:val="fr-CA"/>
        </w:rPr>
        <w:pict>
          <v:rect id="_x0000_i1046" style="width:2in;height:1pt" o:hrpct="0" o:hralign="center" o:hrstd="t" o:hrnoshade="t" o:hr="t" fillcolor="black [3213]" stroked="f"/>
        </w:pict>
      </w:r>
    </w:p>
    <w:p w:rsidR="00A32A8F" w:rsidRDefault="00A32A8F" w:rsidP="00A32A8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8316E" w:rsidRPr="00104479" w:rsidTr="00D54B9C">
        <w:trPr>
          <w:cantSplit/>
        </w:trPr>
        <w:tc>
          <w:tcPr>
            <w:tcW w:w="1458" w:type="dxa"/>
          </w:tcPr>
          <w:p w:rsidR="0078316E" w:rsidRPr="00104479" w:rsidRDefault="0078316E" w:rsidP="00D54B9C">
            <w:pPr>
              <w:rPr>
                <w:sz w:val="20"/>
                <w:szCs w:val="20"/>
              </w:rPr>
            </w:pPr>
            <w:r w:rsidRPr="00104479">
              <w:rPr>
                <w:rStyle w:val="SCCFileNumberChar"/>
                <w:sz w:val="20"/>
                <w:szCs w:val="20"/>
              </w:rPr>
              <w:t>35063</w:t>
            </w:r>
          </w:p>
          <w:p w:rsidR="0078316E" w:rsidRPr="00104479" w:rsidRDefault="0078316E" w:rsidP="00D54B9C">
            <w:pPr>
              <w:rPr>
                <w:b/>
                <w:sz w:val="20"/>
                <w:szCs w:val="20"/>
                <w:lang w:val="fr-CA"/>
              </w:rPr>
            </w:pPr>
          </w:p>
        </w:tc>
        <w:tc>
          <w:tcPr>
            <w:tcW w:w="8118" w:type="dxa"/>
          </w:tcPr>
          <w:p w:rsidR="0078316E" w:rsidRPr="00104479" w:rsidRDefault="0078316E" w:rsidP="00D54B9C">
            <w:pPr>
              <w:rPr>
                <w:sz w:val="20"/>
                <w:szCs w:val="20"/>
              </w:rPr>
            </w:pPr>
            <w:r w:rsidRPr="00104479">
              <w:rPr>
                <w:rStyle w:val="SCCLsocChar"/>
                <w:sz w:val="20"/>
                <w:szCs w:val="20"/>
                <w:lang w:val="en-CA"/>
              </w:rPr>
              <w:t>Ruby Ann Ruffolo v. Her Majesty the Queen</w:t>
            </w:r>
            <w:r w:rsidRPr="00104479">
              <w:rPr>
                <w:sz w:val="20"/>
                <w:szCs w:val="20"/>
              </w:rPr>
              <w:t xml:space="preserve"> (B.C.) (Criminal) (By Leave)</w:t>
            </w:r>
          </w:p>
          <w:p w:rsidR="0078316E" w:rsidRPr="00104479" w:rsidRDefault="0078316E" w:rsidP="00D54B9C">
            <w:pPr>
              <w:rPr>
                <w:sz w:val="20"/>
                <w:szCs w:val="20"/>
              </w:rPr>
            </w:pPr>
          </w:p>
        </w:tc>
      </w:tr>
      <w:tr w:rsidR="0078316E" w:rsidRPr="00104479" w:rsidTr="00D54B9C">
        <w:trPr>
          <w:cantSplit/>
        </w:trPr>
        <w:tc>
          <w:tcPr>
            <w:tcW w:w="1458" w:type="dxa"/>
          </w:tcPr>
          <w:p w:rsidR="0078316E" w:rsidRDefault="0078316E" w:rsidP="00D54B9C">
            <w:pPr>
              <w:rPr>
                <w:sz w:val="20"/>
                <w:szCs w:val="20"/>
              </w:rPr>
            </w:pPr>
            <w:r w:rsidRPr="00104479">
              <w:rPr>
                <w:sz w:val="20"/>
                <w:szCs w:val="20"/>
              </w:rPr>
              <w:t>Coram :</w:t>
            </w:r>
          </w:p>
          <w:p w:rsidR="00B07D2C" w:rsidRPr="00104479" w:rsidRDefault="00B07D2C" w:rsidP="00D54B9C">
            <w:pPr>
              <w:rPr>
                <w:sz w:val="20"/>
                <w:szCs w:val="20"/>
              </w:rPr>
            </w:pPr>
          </w:p>
        </w:tc>
        <w:tc>
          <w:tcPr>
            <w:tcW w:w="8118" w:type="dxa"/>
          </w:tcPr>
          <w:p w:rsidR="0078316E" w:rsidRPr="00104479" w:rsidRDefault="0078316E" w:rsidP="00D54B9C">
            <w:pPr>
              <w:rPr>
                <w:sz w:val="20"/>
                <w:szCs w:val="20"/>
              </w:rPr>
            </w:pPr>
            <w:r w:rsidRPr="00104479">
              <w:rPr>
                <w:rStyle w:val="SCCCoramChar"/>
                <w:sz w:val="20"/>
                <w:szCs w:val="20"/>
                <w:lang w:val="en-CA"/>
              </w:rPr>
              <w:t>LeBel, Karakatsanis and Wagner JJ.</w:t>
            </w:r>
          </w:p>
          <w:p w:rsidR="0078316E" w:rsidRPr="00104479" w:rsidRDefault="0078316E" w:rsidP="00D54B9C">
            <w:pPr>
              <w:rPr>
                <w:sz w:val="20"/>
                <w:szCs w:val="20"/>
                <w:u w:val="single"/>
              </w:rPr>
            </w:pPr>
          </w:p>
        </w:tc>
      </w:tr>
      <w:tr w:rsidR="0078316E" w:rsidRPr="00B07D2C" w:rsidTr="00D54B9C">
        <w:trPr>
          <w:cantSplit/>
        </w:trPr>
        <w:tc>
          <w:tcPr>
            <w:tcW w:w="9576" w:type="dxa"/>
            <w:gridSpan w:val="2"/>
          </w:tcPr>
          <w:p w:rsidR="0078316E" w:rsidRPr="00104479" w:rsidRDefault="0078316E" w:rsidP="00D54B9C">
            <w:pPr>
              <w:pStyle w:val="SCCShortJudgment"/>
              <w:rPr>
                <w:szCs w:val="20"/>
              </w:rPr>
            </w:pPr>
            <w:r w:rsidRPr="00104479">
              <w:rPr>
                <w:szCs w:val="20"/>
              </w:rPr>
              <w:t>The motion for an extension of time to serve and file the application for leave to appeal is granted. The application for leave to appeal from the judgment of the Court of Appeal for British Columbia (Vancouver), Number CA038669, 2012 BCCA 325, dated July 27, 2012, is dismissed without costs.</w:t>
            </w:r>
          </w:p>
          <w:p w:rsidR="0078316E" w:rsidRPr="00104479" w:rsidRDefault="0078316E" w:rsidP="00D54B9C">
            <w:pPr>
              <w:pStyle w:val="SCCShortJudgment"/>
              <w:ind w:firstLine="0"/>
              <w:rPr>
                <w:szCs w:val="20"/>
              </w:rPr>
            </w:pPr>
          </w:p>
          <w:p w:rsidR="0078316E" w:rsidRPr="00104479" w:rsidRDefault="0078316E" w:rsidP="00D54B9C">
            <w:pPr>
              <w:pStyle w:val="SCCShortJudgment"/>
              <w:rPr>
                <w:szCs w:val="20"/>
                <w:lang w:val="fr-CA"/>
              </w:rPr>
            </w:pPr>
            <w:r w:rsidRPr="00104479">
              <w:rPr>
                <w:szCs w:val="20"/>
                <w:lang w:val="fr-CA"/>
              </w:rPr>
              <w:t>La requête en prorogation du délai de signification et de dépôt de la demande d’autorisation d’appel est accueillie. La demande d’autorisation d’appel de l’arrêt de la Cour d’appel de la Colombie-Britannique (Vancouver), numéro CA038669, 2012 BCCA 325, daté du 27 juillet 2012, est rejetée sans dépens.</w:t>
            </w:r>
          </w:p>
        </w:tc>
      </w:tr>
    </w:tbl>
    <w:p w:rsidR="00A32A8F" w:rsidRPr="0078316E" w:rsidRDefault="00A32A8F" w:rsidP="00A32A8F">
      <w:pPr>
        <w:rPr>
          <w:sz w:val="20"/>
          <w:szCs w:val="20"/>
          <w:lang w:val="fr-CA"/>
        </w:rPr>
      </w:pPr>
    </w:p>
    <w:p w:rsidR="00A32A8F" w:rsidRDefault="00A32A8F" w:rsidP="00A32A8F">
      <w:pPr>
        <w:rPr>
          <w:sz w:val="20"/>
          <w:szCs w:val="20"/>
          <w:u w:val="single"/>
        </w:rPr>
      </w:pPr>
      <w:r w:rsidRPr="001B157C">
        <w:rPr>
          <w:sz w:val="20"/>
          <w:szCs w:val="20"/>
          <w:u w:val="single"/>
        </w:rPr>
        <w:t>CASE SUMMARY</w:t>
      </w:r>
    </w:p>
    <w:p w:rsidR="00A32A8F" w:rsidRDefault="00A32A8F" w:rsidP="00A32A8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F618C" w:rsidRPr="00FF00BC" w:rsidTr="00902B1D">
        <w:tc>
          <w:tcPr>
            <w:tcW w:w="5000" w:type="pct"/>
            <w:gridSpan w:val="3"/>
          </w:tcPr>
          <w:p w:rsidR="00BF618C" w:rsidRPr="00FF00BC" w:rsidRDefault="00BF618C" w:rsidP="00902B1D">
            <w:pPr>
              <w:jc w:val="both"/>
              <w:rPr>
                <w:sz w:val="20"/>
                <w:szCs w:val="20"/>
              </w:rPr>
            </w:pPr>
            <w:r w:rsidRPr="00FF00BC">
              <w:rPr>
                <w:sz w:val="20"/>
                <w:szCs w:val="20"/>
              </w:rPr>
              <w:t>(</w:t>
            </w:r>
            <w:r w:rsidRPr="00FF00BC">
              <w:rPr>
                <w:smallCaps/>
                <w:sz w:val="20"/>
                <w:szCs w:val="20"/>
              </w:rPr>
              <w:t>Publication Ban on Party</w:t>
            </w:r>
            <w:r w:rsidRPr="00FF00BC">
              <w:rPr>
                <w:sz w:val="20"/>
                <w:szCs w:val="20"/>
              </w:rPr>
              <w:t>)</w:t>
            </w:r>
          </w:p>
          <w:p w:rsidR="00BF618C" w:rsidRPr="00FF00BC" w:rsidRDefault="00BF618C" w:rsidP="00902B1D">
            <w:pPr>
              <w:jc w:val="both"/>
              <w:rPr>
                <w:sz w:val="20"/>
                <w:szCs w:val="20"/>
              </w:rPr>
            </w:pPr>
          </w:p>
          <w:p w:rsidR="00BF618C" w:rsidRPr="00FF00BC" w:rsidRDefault="00BF618C" w:rsidP="00902B1D">
            <w:pPr>
              <w:jc w:val="both"/>
              <w:rPr>
                <w:sz w:val="20"/>
                <w:szCs w:val="20"/>
              </w:rPr>
            </w:pPr>
            <w:r w:rsidRPr="00FF00BC">
              <w:rPr>
                <w:sz w:val="20"/>
                <w:szCs w:val="20"/>
              </w:rPr>
              <w:t xml:space="preserve">Criminal – Evidence – Fresh Evidence – Admissibility of fresh evidence – Application of the principles outlined in </w:t>
            </w:r>
            <w:r w:rsidRPr="00FF00BC">
              <w:rPr>
                <w:i/>
                <w:sz w:val="20"/>
                <w:szCs w:val="20"/>
              </w:rPr>
              <w:t>R. v. Palmer</w:t>
            </w:r>
            <w:r w:rsidRPr="00FF00BC">
              <w:rPr>
                <w:sz w:val="20"/>
                <w:szCs w:val="20"/>
              </w:rPr>
              <w:t xml:space="preserve">, [1980] 1 S.C.R. 759 – Whether the Court of Appeal erred in assessing the credibility of the fresh evidence – Whether the Court of Appeal erred in its application of the </w:t>
            </w:r>
            <w:r w:rsidRPr="00FF00BC">
              <w:rPr>
                <w:i/>
                <w:sz w:val="20"/>
                <w:szCs w:val="20"/>
              </w:rPr>
              <w:t>Palmer</w:t>
            </w:r>
            <w:r w:rsidRPr="00FF00BC">
              <w:rPr>
                <w:sz w:val="20"/>
                <w:szCs w:val="20"/>
              </w:rPr>
              <w:t xml:space="preserve"> decision – Whether the Court of Appeal erred in dismissing the application to adduce fresh evidence – Whether trial unfairness was not taken into account and its impact on the evidence – Whether there are issues of public importance raised.</w:t>
            </w:r>
          </w:p>
        </w:tc>
      </w:tr>
      <w:tr w:rsidR="00BF618C" w:rsidRPr="00FF00BC" w:rsidTr="00902B1D">
        <w:tc>
          <w:tcPr>
            <w:tcW w:w="5000" w:type="pct"/>
            <w:gridSpan w:val="3"/>
          </w:tcPr>
          <w:p w:rsidR="00BF618C" w:rsidRPr="00FF00BC" w:rsidRDefault="00BF618C" w:rsidP="00902B1D">
            <w:pPr>
              <w:jc w:val="both"/>
              <w:rPr>
                <w:sz w:val="20"/>
                <w:szCs w:val="20"/>
              </w:rPr>
            </w:pPr>
          </w:p>
        </w:tc>
      </w:tr>
      <w:tr w:rsidR="00BF618C" w:rsidRPr="00FF00BC" w:rsidTr="00902B1D">
        <w:tc>
          <w:tcPr>
            <w:tcW w:w="5000" w:type="pct"/>
            <w:gridSpan w:val="3"/>
          </w:tcPr>
          <w:p w:rsidR="00BF618C" w:rsidRPr="00FF00BC" w:rsidRDefault="00BF618C" w:rsidP="00902B1D">
            <w:pPr>
              <w:jc w:val="both"/>
              <w:rPr>
                <w:sz w:val="20"/>
                <w:szCs w:val="20"/>
              </w:rPr>
            </w:pPr>
            <w:r w:rsidRPr="00FF00BC">
              <w:rPr>
                <w:sz w:val="20"/>
                <w:szCs w:val="20"/>
              </w:rPr>
              <w:t xml:space="preserve">The applicant was convicted of first degree murder of her husband.  On appeal, the applicant brought an application to adduce fresh evidence.  The Court of Appeal applied </w:t>
            </w:r>
            <w:r w:rsidRPr="00FF00BC">
              <w:rPr>
                <w:i/>
                <w:sz w:val="20"/>
                <w:szCs w:val="20"/>
              </w:rPr>
              <w:t>R. v. Palmer</w:t>
            </w:r>
            <w:r w:rsidRPr="00FF00BC">
              <w:rPr>
                <w:sz w:val="20"/>
                <w:szCs w:val="20"/>
              </w:rPr>
              <w:t xml:space="preserve">, [1980] 1 S.C.R. 75 and </w:t>
            </w:r>
            <w:r w:rsidRPr="00FF00BC">
              <w:rPr>
                <w:i/>
                <w:sz w:val="20"/>
                <w:szCs w:val="20"/>
              </w:rPr>
              <w:t>R. v. Dunbar</w:t>
            </w:r>
            <w:r w:rsidRPr="00FF00BC">
              <w:rPr>
                <w:sz w:val="20"/>
                <w:szCs w:val="20"/>
              </w:rPr>
              <w:t>, 2003 BCCA 667 and dismissed the application to adduce fresh evidence.  All of the other grounds of appeal were dismissed and the appeal against conviction was also dismissed.</w:t>
            </w:r>
          </w:p>
          <w:p w:rsidR="00BF618C" w:rsidRPr="00FF00BC" w:rsidRDefault="00BF618C" w:rsidP="00902B1D">
            <w:pPr>
              <w:jc w:val="both"/>
              <w:rPr>
                <w:sz w:val="20"/>
                <w:szCs w:val="20"/>
              </w:rPr>
            </w:pPr>
          </w:p>
        </w:tc>
      </w:tr>
      <w:tr w:rsidR="00BF618C" w:rsidRPr="00FF00BC" w:rsidTr="00902B1D">
        <w:tc>
          <w:tcPr>
            <w:tcW w:w="2427" w:type="pct"/>
          </w:tcPr>
          <w:p w:rsidR="00BF618C" w:rsidRPr="00FF00BC" w:rsidRDefault="00BF618C" w:rsidP="00902B1D">
            <w:pPr>
              <w:jc w:val="both"/>
              <w:rPr>
                <w:sz w:val="20"/>
                <w:szCs w:val="20"/>
              </w:rPr>
            </w:pPr>
            <w:r w:rsidRPr="00FF00BC">
              <w:rPr>
                <w:sz w:val="20"/>
                <w:szCs w:val="20"/>
              </w:rPr>
              <w:t>November 18, 2010</w:t>
            </w:r>
          </w:p>
          <w:p w:rsidR="00BF618C" w:rsidRPr="00FF00BC" w:rsidRDefault="00BF618C" w:rsidP="00902B1D">
            <w:pPr>
              <w:jc w:val="both"/>
              <w:rPr>
                <w:sz w:val="20"/>
                <w:szCs w:val="20"/>
              </w:rPr>
            </w:pPr>
            <w:r w:rsidRPr="00FF00BC">
              <w:rPr>
                <w:sz w:val="20"/>
                <w:szCs w:val="20"/>
              </w:rPr>
              <w:t>Supreme Court of British Columbia</w:t>
            </w:r>
          </w:p>
          <w:p w:rsidR="00BF618C" w:rsidRPr="00FF00BC" w:rsidRDefault="00BF618C" w:rsidP="00902B1D">
            <w:pPr>
              <w:jc w:val="both"/>
              <w:rPr>
                <w:sz w:val="20"/>
                <w:szCs w:val="20"/>
              </w:rPr>
            </w:pPr>
            <w:r w:rsidRPr="00FF00BC">
              <w:rPr>
                <w:sz w:val="20"/>
                <w:szCs w:val="20"/>
              </w:rPr>
              <w:t>(Humphries J.)</w:t>
            </w:r>
          </w:p>
          <w:p w:rsidR="00BF618C" w:rsidRPr="00FF00BC" w:rsidRDefault="00BF618C" w:rsidP="00902B1D">
            <w:pPr>
              <w:jc w:val="both"/>
              <w:rPr>
                <w:sz w:val="20"/>
                <w:szCs w:val="20"/>
              </w:rPr>
            </w:pPr>
            <w:r w:rsidRPr="00FF00BC">
              <w:rPr>
                <w:sz w:val="20"/>
                <w:szCs w:val="20"/>
              </w:rPr>
              <w:t>2010 BCSC 1630</w:t>
            </w:r>
          </w:p>
          <w:p w:rsidR="00BF618C" w:rsidRPr="00FF00BC" w:rsidRDefault="00BF618C" w:rsidP="00902B1D">
            <w:pPr>
              <w:jc w:val="both"/>
              <w:rPr>
                <w:sz w:val="20"/>
                <w:szCs w:val="20"/>
              </w:rPr>
            </w:pPr>
          </w:p>
        </w:tc>
        <w:tc>
          <w:tcPr>
            <w:tcW w:w="243" w:type="pct"/>
          </w:tcPr>
          <w:p w:rsidR="00BF618C" w:rsidRPr="00FF00BC" w:rsidRDefault="00BF618C" w:rsidP="00902B1D">
            <w:pPr>
              <w:jc w:val="both"/>
              <w:rPr>
                <w:sz w:val="20"/>
                <w:szCs w:val="20"/>
              </w:rPr>
            </w:pPr>
          </w:p>
        </w:tc>
        <w:tc>
          <w:tcPr>
            <w:tcW w:w="2330" w:type="pct"/>
          </w:tcPr>
          <w:p w:rsidR="00BF618C" w:rsidRPr="00FF00BC" w:rsidRDefault="00BF618C" w:rsidP="00902B1D">
            <w:pPr>
              <w:jc w:val="both"/>
              <w:rPr>
                <w:sz w:val="20"/>
                <w:szCs w:val="20"/>
              </w:rPr>
            </w:pPr>
            <w:r w:rsidRPr="00FF00BC">
              <w:rPr>
                <w:sz w:val="20"/>
                <w:szCs w:val="20"/>
              </w:rPr>
              <w:t>Conviction: first degree murder</w:t>
            </w:r>
          </w:p>
          <w:p w:rsidR="00BF618C" w:rsidRPr="00FF00BC" w:rsidRDefault="00BF618C" w:rsidP="00902B1D">
            <w:pPr>
              <w:jc w:val="both"/>
              <w:rPr>
                <w:sz w:val="20"/>
                <w:szCs w:val="20"/>
              </w:rPr>
            </w:pPr>
          </w:p>
          <w:p w:rsidR="00BF618C" w:rsidRPr="00FF00BC" w:rsidRDefault="00BF618C" w:rsidP="00902B1D">
            <w:pPr>
              <w:jc w:val="both"/>
              <w:rPr>
                <w:sz w:val="20"/>
                <w:szCs w:val="20"/>
              </w:rPr>
            </w:pPr>
          </w:p>
        </w:tc>
      </w:tr>
      <w:tr w:rsidR="00BF618C" w:rsidRPr="00FF00BC" w:rsidTr="00902B1D">
        <w:tc>
          <w:tcPr>
            <w:tcW w:w="2427" w:type="pct"/>
          </w:tcPr>
          <w:p w:rsidR="00BF618C" w:rsidRPr="00FF00BC" w:rsidRDefault="00BF618C" w:rsidP="00902B1D">
            <w:pPr>
              <w:jc w:val="both"/>
              <w:rPr>
                <w:sz w:val="20"/>
                <w:szCs w:val="20"/>
              </w:rPr>
            </w:pPr>
            <w:r w:rsidRPr="00FF00BC">
              <w:rPr>
                <w:sz w:val="20"/>
                <w:szCs w:val="20"/>
              </w:rPr>
              <w:t>July 27, 2012</w:t>
            </w:r>
          </w:p>
          <w:p w:rsidR="00BF618C" w:rsidRPr="00FF00BC" w:rsidRDefault="00BF618C" w:rsidP="00902B1D">
            <w:pPr>
              <w:jc w:val="both"/>
              <w:rPr>
                <w:sz w:val="20"/>
                <w:szCs w:val="20"/>
              </w:rPr>
            </w:pPr>
            <w:r w:rsidRPr="00FF00BC">
              <w:rPr>
                <w:sz w:val="20"/>
                <w:szCs w:val="20"/>
              </w:rPr>
              <w:t xml:space="preserve">Court of Appeal for British Columbia </w:t>
            </w:r>
          </w:p>
          <w:p w:rsidR="00BF618C" w:rsidRPr="00FF00BC" w:rsidRDefault="00BF618C" w:rsidP="00902B1D">
            <w:pPr>
              <w:jc w:val="both"/>
              <w:rPr>
                <w:sz w:val="20"/>
                <w:szCs w:val="20"/>
              </w:rPr>
            </w:pPr>
            <w:r w:rsidRPr="00FF00BC">
              <w:rPr>
                <w:sz w:val="20"/>
                <w:szCs w:val="20"/>
              </w:rPr>
              <w:t>(Vancouver)</w:t>
            </w:r>
          </w:p>
          <w:p w:rsidR="00BF618C" w:rsidRPr="00FF00BC" w:rsidRDefault="00BF618C" w:rsidP="00902B1D">
            <w:pPr>
              <w:jc w:val="both"/>
              <w:rPr>
                <w:sz w:val="20"/>
                <w:szCs w:val="20"/>
              </w:rPr>
            </w:pPr>
            <w:r w:rsidRPr="00FF00BC">
              <w:rPr>
                <w:sz w:val="20"/>
                <w:szCs w:val="20"/>
              </w:rPr>
              <w:t>(Finch C.J. and Ryan and Saunders JJ.A.)</w:t>
            </w:r>
          </w:p>
          <w:p w:rsidR="00BF618C" w:rsidRPr="00FF00BC" w:rsidRDefault="00BF618C" w:rsidP="00902B1D">
            <w:pPr>
              <w:jc w:val="both"/>
              <w:rPr>
                <w:sz w:val="20"/>
                <w:szCs w:val="20"/>
              </w:rPr>
            </w:pPr>
            <w:r w:rsidRPr="00FF00BC">
              <w:rPr>
                <w:sz w:val="20"/>
                <w:szCs w:val="20"/>
              </w:rPr>
              <w:t>2012 BCCA 325</w:t>
            </w:r>
          </w:p>
          <w:p w:rsidR="00BF618C" w:rsidRPr="00FF00BC" w:rsidRDefault="00BF618C" w:rsidP="00902B1D">
            <w:pPr>
              <w:jc w:val="both"/>
              <w:rPr>
                <w:sz w:val="20"/>
                <w:szCs w:val="20"/>
              </w:rPr>
            </w:pPr>
          </w:p>
        </w:tc>
        <w:tc>
          <w:tcPr>
            <w:tcW w:w="243" w:type="pct"/>
          </w:tcPr>
          <w:p w:rsidR="00BF618C" w:rsidRPr="00FF00BC" w:rsidRDefault="00BF618C" w:rsidP="00902B1D">
            <w:pPr>
              <w:jc w:val="both"/>
              <w:rPr>
                <w:sz w:val="20"/>
                <w:szCs w:val="20"/>
              </w:rPr>
            </w:pPr>
          </w:p>
        </w:tc>
        <w:tc>
          <w:tcPr>
            <w:tcW w:w="2330" w:type="pct"/>
          </w:tcPr>
          <w:p w:rsidR="00BF618C" w:rsidRPr="00FF00BC" w:rsidRDefault="00BF618C" w:rsidP="00902B1D">
            <w:pPr>
              <w:jc w:val="both"/>
              <w:rPr>
                <w:sz w:val="20"/>
                <w:szCs w:val="20"/>
              </w:rPr>
            </w:pPr>
            <w:r w:rsidRPr="00FF00BC">
              <w:rPr>
                <w:sz w:val="20"/>
                <w:szCs w:val="20"/>
              </w:rPr>
              <w:t>Application to adduce fresh evidence dismissed; appeal against conviction dismissed</w:t>
            </w:r>
          </w:p>
          <w:p w:rsidR="00BF618C" w:rsidRPr="00FF00BC" w:rsidRDefault="00BF618C" w:rsidP="00902B1D">
            <w:pPr>
              <w:jc w:val="both"/>
              <w:rPr>
                <w:sz w:val="20"/>
                <w:szCs w:val="20"/>
              </w:rPr>
            </w:pPr>
          </w:p>
        </w:tc>
      </w:tr>
      <w:tr w:rsidR="00BF618C" w:rsidRPr="00FF00BC" w:rsidTr="00902B1D">
        <w:tc>
          <w:tcPr>
            <w:tcW w:w="2427" w:type="pct"/>
          </w:tcPr>
          <w:p w:rsidR="00BF618C" w:rsidRPr="00FF00BC" w:rsidRDefault="00BF618C" w:rsidP="00902B1D">
            <w:pPr>
              <w:jc w:val="both"/>
              <w:rPr>
                <w:sz w:val="20"/>
                <w:szCs w:val="20"/>
              </w:rPr>
            </w:pPr>
            <w:r w:rsidRPr="00FF00BC">
              <w:rPr>
                <w:sz w:val="20"/>
                <w:szCs w:val="20"/>
              </w:rPr>
              <w:t>November 5, 2012</w:t>
            </w:r>
          </w:p>
          <w:p w:rsidR="00BF618C" w:rsidRPr="00FF00BC" w:rsidRDefault="00BF618C" w:rsidP="00902B1D">
            <w:pPr>
              <w:jc w:val="both"/>
              <w:rPr>
                <w:sz w:val="20"/>
                <w:szCs w:val="20"/>
              </w:rPr>
            </w:pPr>
            <w:r w:rsidRPr="00FF00BC">
              <w:rPr>
                <w:sz w:val="20"/>
                <w:szCs w:val="20"/>
              </w:rPr>
              <w:t>Supreme Court of Canada</w:t>
            </w:r>
          </w:p>
          <w:p w:rsidR="00BF618C" w:rsidRPr="00FF00BC" w:rsidRDefault="00BF618C" w:rsidP="00902B1D">
            <w:pPr>
              <w:jc w:val="both"/>
              <w:rPr>
                <w:sz w:val="20"/>
                <w:szCs w:val="20"/>
              </w:rPr>
            </w:pPr>
          </w:p>
        </w:tc>
        <w:tc>
          <w:tcPr>
            <w:tcW w:w="243" w:type="pct"/>
          </w:tcPr>
          <w:p w:rsidR="00BF618C" w:rsidRPr="00FF00BC" w:rsidRDefault="00BF618C" w:rsidP="00902B1D">
            <w:pPr>
              <w:jc w:val="both"/>
              <w:rPr>
                <w:sz w:val="20"/>
                <w:szCs w:val="20"/>
              </w:rPr>
            </w:pPr>
          </w:p>
        </w:tc>
        <w:tc>
          <w:tcPr>
            <w:tcW w:w="2330" w:type="pct"/>
          </w:tcPr>
          <w:p w:rsidR="00BF618C" w:rsidRPr="00FF00BC" w:rsidRDefault="00BF618C" w:rsidP="00BF618C">
            <w:pPr>
              <w:jc w:val="both"/>
              <w:rPr>
                <w:sz w:val="20"/>
                <w:szCs w:val="20"/>
              </w:rPr>
            </w:pPr>
            <w:r w:rsidRPr="00FF00BC">
              <w:rPr>
                <w:sz w:val="20"/>
                <w:szCs w:val="20"/>
              </w:rPr>
              <w:t>Motion for an extension of time to serve and file the application for leave to appeal and application for leave to appeal filed</w:t>
            </w:r>
          </w:p>
        </w:tc>
      </w:tr>
    </w:tbl>
    <w:p w:rsidR="00A32A8F" w:rsidRDefault="00A32A8F" w:rsidP="00A32A8F">
      <w:pPr>
        <w:rPr>
          <w:sz w:val="20"/>
          <w:szCs w:val="20"/>
        </w:rPr>
      </w:pPr>
    </w:p>
    <w:p w:rsidR="00A32A8F" w:rsidRDefault="00CB0178" w:rsidP="00A32A8F">
      <w:pPr>
        <w:rPr>
          <w:sz w:val="20"/>
          <w:szCs w:val="20"/>
        </w:rPr>
      </w:pPr>
      <w:r w:rsidRPr="00CB0178">
        <w:rPr>
          <w:sz w:val="20"/>
          <w:szCs w:val="20"/>
          <w:lang w:val="fr-CA"/>
        </w:rPr>
        <w:pict>
          <v:rect id="_x0000_i1047" style="width:2in;height:1pt" o:hrpct="0" o:hralign="center" o:hrstd="t" o:hrnoshade="t" o:hr="t" fillcolor="black [3213]" stroked="f"/>
        </w:pict>
      </w:r>
    </w:p>
    <w:p w:rsidR="00A32A8F" w:rsidRDefault="00A32A8F" w:rsidP="00A32A8F">
      <w:pPr>
        <w:rPr>
          <w:sz w:val="20"/>
          <w:szCs w:val="20"/>
        </w:rPr>
      </w:pPr>
    </w:p>
    <w:p w:rsidR="0078316E" w:rsidRDefault="0078316E">
      <w:pPr>
        <w:rPr>
          <w:sz w:val="20"/>
          <w:szCs w:val="20"/>
          <w:u w:val="single"/>
          <w:lang w:val="fr-CA"/>
        </w:rPr>
      </w:pPr>
      <w:r>
        <w:rPr>
          <w:sz w:val="20"/>
          <w:szCs w:val="20"/>
          <w:u w:val="single"/>
          <w:lang w:val="fr-CA"/>
        </w:rPr>
        <w:br w:type="page"/>
      </w:r>
    </w:p>
    <w:p w:rsidR="00A32A8F" w:rsidRPr="001B157C" w:rsidRDefault="00A32A8F" w:rsidP="00A32A8F">
      <w:pPr>
        <w:rPr>
          <w:sz w:val="20"/>
          <w:szCs w:val="20"/>
          <w:u w:val="single"/>
          <w:lang w:val="fr-CA"/>
        </w:rPr>
      </w:pPr>
      <w:r w:rsidRPr="001B157C">
        <w:rPr>
          <w:sz w:val="20"/>
          <w:szCs w:val="20"/>
          <w:u w:val="single"/>
          <w:lang w:val="fr-CA"/>
        </w:rPr>
        <w:lastRenderedPageBreak/>
        <w:t>RÉSUMÉ DE L’AFFAIRE</w:t>
      </w:r>
    </w:p>
    <w:p w:rsidR="00A32A8F" w:rsidRDefault="00A32A8F" w:rsidP="00A32A8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F618C" w:rsidRPr="00B07D2C" w:rsidTr="00902B1D">
        <w:tc>
          <w:tcPr>
            <w:tcW w:w="5000" w:type="pct"/>
            <w:gridSpan w:val="3"/>
          </w:tcPr>
          <w:p w:rsidR="00BF618C" w:rsidRPr="00FF00BC" w:rsidRDefault="00BF618C" w:rsidP="00902B1D">
            <w:pPr>
              <w:jc w:val="both"/>
              <w:rPr>
                <w:sz w:val="20"/>
                <w:szCs w:val="20"/>
                <w:lang w:val="fr-FR"/>
              </w:rPr>
            </w:pPr>
            <w:r w:rsidRPr="00FF00BC">
              <w:rPr>
                <w:sz w:val="20"/>
                <w:szCs w:val="20"/>
                <w:lang w:val="fr-FR"/>
              </w:rPr>
              <w:t>(</w:t>
            </w:r>
            <w:r w:rsidRPr="00FF00BC">
              <w:rPr>
                <w:smallCaps/>
                <w:sz w:val="20"/>
                <w:szCs w:val="20"/>
                <w:lang w:val="fr-FR"/>
              </w:rPr>
              <w:t>Ordonnance de non-publication visant une partie</w:t>
            </w:r>
            <w:r w:rsidRPr="00FF00BC">
              <w:rPr>
                <w:sz w:val="20"/>
                <w:szCs w:val="20"/>
                <w:lang w:val="fr-FR"/>
              </w:rPr>
              <w:t>)</w:t>
            </w:r>
          </w:p>
          <w:p w:rsidR="00BF618C" w:rsidRPr="00FF00BC" w:rsidRDefault="00BF618C" w:rsidP="00902B1D">
            <w:pPr>
              <w:jc w:val="both"/>
              <w:rPr>
                <w:sz w:val="20"/>
                <w:szCs w:val="20"/>
                <w:lang w:val="fr-FR"/>
              </w:rPr>
            </w:pPr>
          </w:p>
          <w:p w:rsidR="00BF618C" w:rsidRPr="00FF00BC" w:rsidRDefault="00BF618C" w:rsidP="00902B1D">
            <w:pPr>
              <w:jc w:val="both"/>
              <w:rPr>
                <w:sz w:val="20"/>
                <w:szCs w:val="20"/>
                <w:lang w:val="fr-FR"/>
              </w:rPr>
            </w:pPr>
            <w:r w:rsidRPr="00FF00BC">
              <w:rPr>
                <w:sz w:val="20"/>
                <w:szCs w:val="20"/>
                <w:lang w:val="fr-FR"/>
              </w:rPr>
              <w:t xml:space="preserve">Droit criminel – Preuve – Nouvel élément de preuve – Admissibilité d’un nouvel élément de preuve – Application des principes exposés dans </w:t>
            </w:r>
            <w:r w:rsidRPr="00FF00BC">
              <w:rPr>
                <w:i/>
                <w:sz w:val="20"/>
                <w:szCs w:val="20"/>
                <w:lang w:val="fr-FR"/>
              </w:rPr>
              <w:t>R. c. Palmer</w:t>
            </w:r>
            <w:r w:rsidRPr="00FF00BC">
              <w:rPr>
                <w:sz w:val="20"/>
                <w:szCs w:val="20"/>
                <w:lang w:val="fr-FR"/>
              </w:rPr>
              <w:t xml:space="preserve">, [1980] 1 R.C.S. 759 – La Cour d’appel a-t-elle eu tort d’apprécier la crédibilité du nouvel élément de preuve? – La Cour d’appel a-t-elle mal appliqué l’arrêt </w:t>
            </w:r>
            <w:r w:rsidRPr="00FF00BC">
              <w:rPr>
                <w:i/>
                <w:sz w:val="20"/>
                <w:szCs w:val="20"/>
                <w:lang w:val="fr-FR"/>
              </w:rPr>
              <w:t>Palmer</w:t>
            </w:r>
            <w:r w:rsidRPr="00FF00BC">
              <w:rPr>
                <w:sz w:val="20"/>
                <w:szCs w:val="20"/>
                <w:lang w:val="fr-FR"/>
              </w:rPr>
              <w:t xml:space="preserve">? – La Cour d’appel a-t-elle commis une erreur en rejetant la demande en vue de produire un nouvel élément de preuve? – L’iniquité du procès a-t-elle été négligée et, le cas échéant, comment cela a-t-il influé sur la preuve? – L’affaire soulève-t-elle des questions d’importance pour le public? </w:t>
            </w:r>
          </w:p>
        </w:tc>
      </w:tr>
      <w:tr w:rsidR="00BF618C" w:rsidRPr="00B07D2C" w:rsidTr="00902B1D">
        <w:tc>
          <w:tcPr>
            <w:tcW w:w="5000" w:type="pct"/>
            <w:gridSpan w:val="3"/>
          </w:tcPr>
          <w:p w:rsidR="00BF618C" w:rsidRPr="00FF00BC" w:rsidRDefault="00BF618C" w:rsidP="00902B1D">
            <w:pPr>
              <w:jc w:val="both"/>
              <w:rPr>
                <w:sz w:val="20"/>
                <w:szCs w:val="20"/>
                <w:lang w:val="fr-FR"/>
              </w:rPr>
            </w:pPr>
          </w:p>
        </w:tc>
      </w:tr>
      <w:tr w:rsidR="00BF618C" w:rsidRPr="00B07D2C" w:rsidTr="00902B1D">
        <w:tc>
          <w:tcPr>
            <w:tcW w:w="5000" w:type="pct"/>
            <w:gridSpan w:val="3"/>
          </w:tcPr>
          <w:p w:rsidR="00BF618C" w:rsidRPr="00FF00BC" w:rsidRDefault="00BF618C" w:rsidP="00902B1D">
            <w:pPr>
              <w:jc w:val="both"/>
              <w:rPr>
                <w:sz w:val="20"/>
                <w:szCs w:val="20"/>
                <w:lang w:val="fr-FR"/>
              </w:rPr>
            </w:pPr>
            <w:r w:rsidRPr="00FF00BC">
              <w:rPr>
                <w:sz w:val="20"/>
                <w:szCs w:val="20"/>
                <w:lang w:val="fr-FR"/>
              </w:rPr>
              <w:t xml:space="preserve">La demanderesse a été reconnue coupable du meurtre au premier degré de son mari.  En appel, elle a présenté une demande en vue de présenter un nouvel élément de preuve.  Appliquant les arrêts </w:t>
            </w:r>
            <w:r w:rsidRPr="00FF00BC">
              <w:rPr>
                <w:i/>
                <w:sz w:val="20"/>
                <w:szCs w:val="20"/>
                <w:lang w:val="fr-FR"/>
              </w:rPr>
              <w:t>R. c. Palmer</w:t>
            </w:r>
            <w:r w:rsidRPr="00FF00BC">
              <w:rPr>
                <w:sz w:val="20"/>
                <w:szCs w:val="20"/>
                <w:lang w:val="fr-FR"/>
              </w:rPr>
              <w:t xml:space="preserve">, [1980] 1 R.C.S. 75, et </w:t>
            </w:r>
            <w:r w:rsidRPr="00FF00BC">
              <w:rPr>
                <w:i/>
                <w:sz w:val="20"/>
                <w:szCs w:val="20"/>
                <w:lang w:val="fr-FR"/>
              </w:rPr>
              <w:t>R. c. Dunbar</w:t>
            </w:r>
            <w:r w:rsidRPr="00FF00BC">
              <w:rPr>
                <w:sz w:val="20"/>
                <w:szCs w:val="20"/>
                <w:lang w:val="fr-FR"/>
              </w:rPr>
              <w:t>, 2003 BCCA 667, la Cour d’appel a rejeté la demande.  Tous les autres moyens d’appel ont été rejetés, de même que l’appel de la déclaration de culpabilité.</w:t>
            </w:r>
          </w:p>
          <w:p w:rsidR="00BF618C" w:rsidRPr="00FF00BC" w:rsidRDefault="00BF618C" w:rsidP="00902B1D">
            <w:pPr>
              <w:jc w:val="both"/>
              <w:rPr>
                <w:sz w:val="20"/>
                <w:szCs w:val="20"/>
                <w:lang w:val="fr-FR"/>
              </w:rPr>
            </w:pPr>
          </w:p>
        </w:tc>
      </w:tr>
      <w:tr w:rsidR="00BF618C" w:rsidRPr="00B07D2C" w:rsidTr="00902B1D">
        <w:tc>
          <w:tcPr>
            <w:tcW w:w="2427" w:type="pct"/>
          </w:tcPr>
          <w:p w:rsidR="00BF618C" w:rsidRPr="00FF00BC" w:rsidRDefault="00BF618C" w:rsidP="00902B1D">
            <w:pPr>
              <w:jc w:val="both"/>
              <w:rPr>
                <w:sz w:val="20"/>
                <w:szCs w:val="20"/>
                <w:lang w:val="fr-FR"/>
              </w:rPr>
            </w:pPr>
            <w:r w:rsidRPr="00FF00BC">
              <w:rPr>
                <w:sz w:val="20"/>
                <w:szCs w:val="20"/>
                <w:lang w:val="fr-FR"/>
              </w:rPr>
              <w:t>18 novembre 2010</w:t>
            </w:r>
          </w:p>
          <w:p w:rsidR="00BF618C" w:rsidRPr="00FF00BC" w:rsidRDefault="00BF618C" w:rsidP="00902B1D">
            <w:pPr>
              <w:jc w:val="both"/>
              <w:rPr>
                <w:sz w:val="20"/>
                <w:szCs w:val="20"/>
                <w:lang w:val="fr-FR"/>
              </w:rPr>
            </w:pPr>
            <w:r w:rsidRPr="00FF00BC">
              <w:rPr>
                <w:sz w:val="20"/>
                <w:szCs w:val="20"/>
                <w:lang w:val="fr-FR"/>
              </w:rPr>
              <w:t>Cour suprême de la Colombie-Britannique</w:t>
            </w:r>
          </w:p>
          <w:p w:rsidR="00BF618C" w:rsidRPr="00FF00BC" w:rsidRDefault="00BF618C" w:rsidP="00902B1D">
            <w:pPr>
              <w:jc w:val="both"/>
              <w:rPr>
                <w:sz w:val="20"/>
                <w:szCs w:val="20"/>
              </w:rPr>
            </w:pPr>
            <w:r w:rsidRPr="00FF00BC">
              <w:rPr>
                <w:sz w:val="20"/>
                <w:szCs w:val="20"/>
              </w:rPr>
              <w:t>(Juge Humphries)</w:t>
            </w:r>
          </w:p>
          <w:p w:rsidR="00BF618C" w:rsidRPr="00FF00BC" w:rsidRDefault="00BF618C" w:rsidP="00902B1D">
            <w:pPr>
              <w:jc w:val="both"/>
              <w:rPr>
                <w:sz w:val="20"/>
                <w:szCs w:val="20"/>
              </w:rPr>
            </w:pPr>
            <w:r w:rsidRPr="00FF00BC">
              <w:rPr>
                <w:sz w:val="20"/>
                <w:szCs w:val="20"/>
              </w:rPr>
              <w:t>2010 BCSC 1630</w:t>
            </w:r>
          </w:p>
          <w:p w:rsidR="00BF618C" w:rsidRPr="00FF00BC" w:rsidRDefault="00BF618C" w:rsidP="00902B1D">
            <w:pPr>
              <w:jc w:val="both"/>
              <w:rPr>
                <w:sz w:val="20"/>
                <w:szCs w:val="20"/>
              </w:rPr>
            </w:pPr>
          </w:p>
        </w:tc>
        <w:tc>
          <w:tcPr>
            <w:tcW w:w="243" w:type="pct"/>
          </w:tcPr>
          <w:p w:rsidR="00BF618C" w:rsidRPr="00FF00BC" w:rsidRDefault="00BF618C" w:rsidP="00902B1D">
            <w:pPr>
              <w:jc w:val="both"/>
              <w:rPr>
                <w:sz w:val="20"/>
                <w:szCs w:val="20"/>
              </w:rPr>
            </w:pPr>
          </w:p>
        </w:tc>
        <w:tc>
          <w:tcPr>
            <w:tcW w:w="2330" w:type="pct"/>
          </w:tcPr>
          <w:p w:rsidR="00BF618C" w:rsidRPr="00FF00BC" w:rsidRDefault="00BF618C" w:rsidP="00902B1D">
            <w:pPr>
              <w:jc w:val="both"/>
              <w:rPr>
                <w:sz w:val="20"/>
                <w:szCs w:val="20"/>
                <w:lang w:val="fr-FR"/>
              </w:rPr>
            </w:pPr>
            <w:r w:rsidRPr="00FF00BC">
              <w:rPr>
                <w:sz w:val="20"/>
                <w:szCs w:val="20"/>
                <w:lang w:val="fr-FR"/>
              </w:rPr>
              <w:t>Déclaration de culpabilité pour meurtre au premier degré</w:t>
            </w:r>
          </w:p>
          <w:p w:rsidR="00BF618C" w:rsidRPr="00FF00BC" w:rsidRDefault="00BF618C" w:rsidP="00902B1D">
            <w:pPr>
              <w:jc w:val="both"/>
              <w:rPr>
                <w:sz w:val="20"/>
                <w:szCs w:val="20"/>
                <w:lang w:val="fr-FR"/>
              </w:rPr>
            </w:pPr>
          </w:p>
          <w:p w:rsidR="00BF618C" w:rsidRPr="00FF00BC" w:rsidRDefault="00BF618C" w:rsidP="00902B1D">
            <w:pPr>
              <w:jc w:val="both"/>
              <w:rPr>
                <w:sz w:val="20"/>
                <w:szCs w:val="20"/>
                <w:lang w:val="fr-FR"/>
              </w:rPr>
            </w:pPr>
          </w:p>
        </w:tc>
      </w:tr>
      <w:tr w:rsidR="00BF618C" w:rsidRPr="00B07D2C" w:rsidTr="00902B1D">
        <w:tc>
          <w:tcPr>
            <w:tcW w:w="2427" w:type="pct"/>
          </w:tcPr>
          <w:p w:rsidR="00BF618C" w:rsidRPr="00FF00BC" w:rsidRDefault="00BF618C" w:rsidP="00902B1D">
            <w:pPr>
              <w:jc w:val="both"/>
              <w:rPr>
                <w:sz w:val="20"/>
                <w:szCs w:val="20"/>
                <w:lang w:val="fr-FR"/>
              </w:rPr>
            </w:pPr>
            <w:r w:rsidRPr="00FF00BC">
              <w:rPr>
                <w:sz w:val="20"/>
                <w:szCs w:val="20"/>
                <w:lang w:val="fr-FR"/>
              </w:rPr>
              <w:t>27 juillet 2012</w:t>
            </w:r>
          </w:p>
          <w:p w:rsidR="00BF618C" w:rsidRPr="00FF00BC" w:rsidRDefault="00BF618C" w:rsidP="00902B1D">
            <w:pPr>
              <w:jc w:val="both"/>
              <w:rPr>
                <w:sz w:val="20"/>
                <w:szCs w:val="20"/>
                <w:lang w:val="fr-FR"/>
              </w:rPr>
            </w:pPr>
            <w:r w:rsidRPr="00FF00BC">
              <w:rPr>
                <w:sz w:val="20"/>
                <w:szCs w:val="20"/>
                <w:lang w:val="fr-FR"/>
              </w:rPr>
              <w:t xml:space="preserve">Cour d’appel de la Colombie-Britannique </w:t>
            </w:r>
          </w:p>
          <w:p w:rsidR="00BF618C" w:rsidRPr="00FF00BC" w:rsidRDefault="00BF618C" w:rsidP="00902B1D">
            <w:pPr>
              <w:jc w:val="both"/>
              <w:rPr>
                <w:sz w:val="20"/>
                <w:szCs w:val="20"/>
                <w:lang w:val="fr-CA"/>
              </w:rPr>
            </w:pPr>
            <w:r w:rsidRPr="00FF00BC">
              <w:rPr>
                <w:sz w:val="20"/>
                <w:szCs w:val="20"/>
                <w:lang w:val="fr-CA"/>
              </w:rPr>
              <w:t>(Vancouver)</w:t>
            </w:r>
          </w:p>
          <w:p w:rsidR="00BF618C" w:rsidRPr="00FF00BC" w:rsidRDefault="00BF618C" w:rsidP="00902B1D">
            <w:pPr>
              <w:jc w:val="both"/>
              <w:rPr>
                <w:sz w:val="20"/>
                <w:szCs w:val="20"/>
                <w:lang w:val="fr-FR"/>
              </w:rPr>
            </w:pPr>
            <w:r w:rsidRPr="00FF00BC">
              <w:rPr>
                <w:sz w:val="20"/>
                <w:szCs w:val="20"/>
                <w:lang w:val="fr-FR"/>
              </w:rPr>
              <w:t>(Juge en chef Finch et juges Ryan et Saunders)</w:t>
            </w:r>
          </w:p>
          <w:p w:rsidR="00BF618C" w:rsidRPr="00FF00BC" w:rsidRDefault="00BF618C" w:rsidP="00902B1D">
            <w:pPr>
              <w:jc w:val="both"/>
              <w:rPr>
                <w:sz w:val="20"/>
                <w:szCs w:val="20"/>
                <w:lang w:val="fr-FR"/>
              </w:rPr>
            </w:pPr>
            <w:r w:rsidRPr="00FF00BC">
              <w:rPr>
                <w:sz w:val="20"/>
                <w:szCs w:val="20"/>
                <w:lang w:val="fr-FR"/>
              </w:rPr>
              <w:t>2012 BCCA 325</w:t>
            </w:r>
          </w:p>
          <w:p w:rsidR="00BF618C" w:rsidRPr="00FF00BC" w:rsidRDefault="00BF618C" w:rsidP="00902B1D">
            <w:pPr>
              <w:jc w:val="both"/>
              <w:rPr>
                <w:sz w:val="20"/>
                <w:szCs w:val="20"/>
                <w:lang w:val="fr-FR"/>
              </w:rPr>
            </w:pPr>
          </w:p>
        </w:tc>
        <w:tc>
          <w:tcPr>
            <w:tcW w:w="243" w:type="pct"/>
          </w:tcPr>
          <w:p w:rsidR="00BF618C" w:rsidRPr="00FF00BC" w:rsidRDefault="00BF618C" w:rsidP="00902B1D">
            <w:pPr>
              <w:jc w:val="both"/>
              <w:rPr>
                <w:sz w:val="20"/>
                <w:szCs w:val="20"/>
                <w:lang w:val="fr-FR"/>
              </w:rPr>
            </w:pPr>
          </w:p>
        </w:tc>
        <w:tc>
          <w:tcPr>
            <w:tcW w:w="2330" w:type="pct"/>
          </w:tcPr>
          <w:p w:rsidR="00BF618C" w:rsidRPr="00FF00BC" w:rsidRDefault="00BF618C" w:rsidP="00902B1D">
            <w:pPr>
              <w:jc w:val="both"/>
              <w:rPr>
                <w:sz w:val="20"/>
                <w:szCs w:val="20"/>
                <w:lang w:val="fr-FR"/>
              </w:rPr>
            </w:pPr>
            <w:r w:rsidRPr="00FF00BC">
              <w:rPr>
                <w:sz w:val="20"/>
                <w:szCs w:val="20"/>
                <w:lang w:val="fr-FR"/>
              </w:rPr>
              <w:t>Demande en vue de produire un nouvel élément de preuve rejetée; appel de la déclaration de culpabilité rejeté</w:t>
            </w:r>
          </w:p>
          <w:p w:rsidR="00BF618C" w:rsidRPr="00FF00BC" w:rsidRDefault="00BF618C" w:rsidP="00902B1D">
            <w:pPr>
              <w:jc w:val="both"/>
              <w:rPr>
                <w:sz w:val="20"/>
                <w:szCs w:val="20"/>
                <w:lang w:val="fr-FR"/>
              </w:rPr>
            </w:pPr>
          </w:p>
        </w:tc>
      </w:tr>
      <w:tr w:rsidR="00BF618C" w:rsidRPr="00B07D2C" w:rsidTr="00902B1D">
        <w:tc>
          <w:tcPr>
            <w:tcW w:w="2427" w:type="pct"/>
          </w:tcPr>
          <w:p w:rsidR="00BF618C" w:rsidRPr="00FF00BC" w:rsidRDefault="00BF618C" w:rsidP="00902B1D">
            <w:pPr>
              <w:jc w:val="both"/>
              <w:rPr>
                <w:sz w:val="20"/>
                <w:szCs w:val="20"/>
              </w:rPr>
            </w:pPr>
            <w:r w:rsidRPr="00FF00BC">
              <w:rPr>
                <w:sz w:val="20"/>
                <w:szCs w:val="20"/>
              </w:rPr>
              <w:t xml:space="preserve">5 </w:t>
            </w:r>
            <w:proofErr w:type="spellStart"/>
            <w:r w:rsidRPr="00FF00BC">
              <w:rPr>
                <w:sz w:val="20"/>
                <w:szCs w:val="20"/>
              </w:rPr>
              <w:t>novembre</w:t>
            </w:r>
            <w:proofErr w:type="spellEnd"/>
            <w:r w:rsidRPr="00FF00BC">
              <w:rPr>
                <w:sz w:val="20"/>
                <w:szCs w:val="20"/>
              </w:rPr>
              <w:t xml:space="preserve"> 2012</w:t>
            </w:r>
          </w:p>
          <w:p w:rsidR="00BF618C" w:rsidRPr="00FF00BC" w:rsidRDefault="00BF618C" w:rsidP="00902B1D">
            <w:pPr>
              <w:jc w:val="both"/>
              <w:rPr>
                <w:sz w:val="20"/>
                <w:szCs w:val="20"/>
              </w:rPr>
            </w:pPr>
            <w:r w:rsidRPr="00FF00BC">
              <w:rPr>
                <w:sz w:val="20"/>
                <w:szCs w:val="20"/>
              </w:rPr>
              <w:t>Cour suprême du Canada</w:t>
            </w:r>
          </w:p>
          <w:p w:rsidR="00BF618C" w:rsidRPr="00FF00BC" w:rsidRDefault="00BF618C" w:rsidP="00902B1D">
            <w:pPr>
              <w:jc w:val="both"/>
              <w:rPr>
                <w:sz w:val="20"/>
                <w:szCs w:val="20"/>
              </w:rPr>
            </w:pPr>
          </w:p>
        </w:tc>
        <w:tc>
          <w:tcPr>
            <w:tcW w:w="243" w:type="pct"/>
          </w:tcPr>
          <w:p w:rsidR="00BF618C" w:rsidRPr="00FF00BC" w:rsidRDefault="00BF618C" w:rsidP="00902B1D">
            <w:pPr>
              <w:jc w:val="both"/>
              <w:rPr>
                <w:sz w:val="20"/>
                <w:szCs w:val="20"/>
              </w:rPr>
            </w:pPr>
          </w:p>
        </w:tc>
        <w:tc>
          <w:tcPr>
            <w:tcW w:w="2330" w:type="pct"/>
          </w:tcPr>
          <w:p w:rsidR="00BF618C" w:rsidRPr="00FF00BC" w:rsidRDefault="00BF618C" w:rsidP="00902B1D">
            <w:pPr>
              <w:jc w:val="both"/>
              <w:rPr>
                <w:sz w:val="20"/>
                <w:szCs w:val="20"/>
                <w:lang w:val="fr-FR"/>
              </w:rPr>
            </w:pPr>
            <w:r w:rsidRPr="00FF00BC">
              <w:rPr>
                <w:sz w:val="20"/>
                <w:szCs w:val="20"/>
                <w:lang w:val="fr-FR"/>
              </w:rPr>
              <w:t>Requête en prorogation du délai pour signifier et déposer la demande d’autorisation d’appel et demande d’autorisation d’appel déposées</w:t>
            </w:r>
          </w:p>
        </w:tc>
      </w:tr>
    </w:tbl>
    <w:p w:rsidR="00A32A8F" w:rsidRPr="00BF618C" w:rsidRDefault="00A32A8F" w:rsidP="00A32A8F">
      <w:pPr>
        <w:rPr>
          <w:sz w:val="20"/>
          <w:szCs w:val="20"/>
          <w:lang w:val="fr-CA"/>
        </w:rPr>
      </w:pPr>
    </w:p>
    <w:p w:rsidR="00A32A8F" w:rsidRDefault="00CB0178" w:rsidP="00A32A8F">
      <w:pPr>
        <w:rPr>
          <w:sz w:val="20"/>
          <w:szCs w:val="20"/>
        </w:rPr>
      </w:pPr>
      <w:r w:rsidRPr="00CB0178">
        <w:rPr>
          <w:sz w:val="20"/>
          <w:szCs w:val="20"/>
          <w:lang w:val="fr-CA"/>
        </w:rPr>
        <w:pict>
          <v:rect id="_x0000_i1048" style="width:2in;height:1pt" o:hrpct="0" o:hralign="center" o:hrstd="t" o:hrnoshade="t" o:hr="t" fillcolor="black [3213]" stroked="f"/>
        </w:pict>
      </w:r>
    </w:p>
    <w:p w:rsidR="00A32A8F" w:rsidRDefault="00A32A8F" w:rsidP="00A32A8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8316E" w:rsidRPr="00B07D2C" w:rsidTr="00D54B9C">
        <w:trPr>
          <w:cantSplit/>
        </w:trPr>
        <w:tc>
          <w:tcPr>
            <w:tcW w:w="1458" w:type="dxa"/>
          </w:tcPr>
          <w:p w:rsidR="0078316E" w:rsidRPr="00104479" w:rsidRDefault="0078316E" w:rsidP="00D54B9C">
            <w:pPr>
              <w:rPr>
                <w:sz w:val="20"/>
                <w:szCs w:val="20"/>
              </w:rPr>
            </w:pPr>
            <w:r w:rsidRPr="00104479">
              <w:rPr>
                <w:rStyle w:val="SCCFileNumberChar"/>
                <w:sz w:val="20"/>
                <w:szCs w:val="20"/>
              </w:rPr>
              <w:t>35065</w:t>
            </w:r>
          </w:p>
          <w:p w:rsidR="0078316E" w:rsidRPr="00104479" w:rsidRDefault="0078316E" w:rsidP="00D54B9C">
            <w:pPr>
              <w:rPr>
                <w:b/>
                <w:sz w:val="20"/>
                <w:szCs w:val="20"/>
                <w:lang w:val="fr-CA"/>
              </w:rPr>
            </w:pPr>
          </w:p>
        </w:tc>
        <w:tc>
          <w:tcPr>
            <w:tcW w:w="8118" w:type="dxa"/>
          </w:tcPr>
          <w:p w:rsidR="0078316E" w:rsidRPr="00104479" w:rsidRDefault="0078316E" w:rsidP="00D54B9C">
            <w:pPr>
              <w:jc w:val="both"/>
              <w:rPr>
                <w:sz w:val="20"/>
                <w:szCs w:val="20"/>
                <w:lang w:val="fr-CA"/>
              </w:rPr>
            </w:pPr>
            <w:r w:rsidRPr="00104479">
              <w:rPr>
                <w:rStyle w:val="SCCLsocChar"/>
                <w:sz w:val="20"/>
                <w:szCs w:val="20"/>
              </w:rPr>
              <w:t>G.F. c. K.G., en sa qualité de personne autorisée par le Directeur de la protection de la jeunesse du Centre jeunesse des Laurentides</w:t>
            </w:r>
            <w:r w:rsidRPr="00104479">
              <w:rPr>
                <w:sz w:val="20"/>
                <w:szCs w:val="20"/>
                <w:lang w:val="fr-CA"/>
              </w:rPr>
              <w:t xml:space="preserve"> (Qc) (Civile) (Autorisation)</w:t>
            </w:r>
          </w:p>
          <w:p w:rsidR="0078316E" w:rsidRPr="00104479" w:rsidRDefault="0078316E" w:rsidP="00D54B9C">
            <w:pPr>
              <w:jc w:val="both"/>
              <w:rPr>
                <w:sz w:val="20"/>
                <w:szCs w:val="20"/>
                <w:lang w:val="fr-CA"/>
              </w:rPr>
            </w:pPr>
          </w:p>
        </w:tc>
      </w:tr>
      <w:tr w:rsidR="0078316E" w:rsidRPr="00B07D2C" w:rsidTr="00D54B9C">
        <w:trPr>
          <w:cantSplit/>
        </w:trPr>
        <w:tc>
          <w:tcPr>
            <w:tcW w:w="1458" w:type="dxa"/>
          </w:tcPr>
          <w:p w:rsidR="0078316E" w:rsidRDefault="0078316E" w:rsidP="00D54B9C">
            <w:pPr>
              <w:rPr>
                <w:sz w:val="20"/>
                <w:szCs w:val="20"/>
              </w:rPr>
            </w:pPr>
            <w:r w:rsidRPr="00104479">
              <w:rPr>
                <w:sz w:val="20"/>
                <w:szCs w:val="20"/>
              </w:rPr>
              <w:t>Coram :</w:t>
            </w:r>
          </w:p>
          <w:p w:rsidR="00B07D2C" w:rsidRPr="00104479" w:rsidRDefault="00B07D2C" w:rsidP="00D54B9C">
            <w:pPr>
              <w:rPr>
                <w:sz w:val="20"/>
                <w:szCs w:val="20"/>
              </w:rPr>
            </w:pPr>
          </w:p>
        </w:tc>
        <w:tc>
          <w:tcPr>
            <w:tcW w:w="8118" w:type="dxa"/>
          </w:tcPr>
          <w:p w:rsidR="0078316E" w:rsidRPr="00104479" w:rsidRDefault="0078316E" w:rsidP="00D54B9C">
            <w:pPr>
              <w:rPr>
                <w:sz w:val="20"/>
                <w:szCs w:val="20"/>
                <w:lang w:val="fr-CA"/>
              </w:rPr>
            </w:pPr>
            <w:r w:rsidRPr="00104479">
              <w:rPr>
                <w:rStyle w:val="SCCCoramChar"/>
                <w:sz w:val="20"/>
                <w:szCs w:val="20"/>
              </w:rPr>
              <w:t>Les juges LeBel, Karakatsanis et Wagner</w:t>
            </w:r>
          </w:p>
          <w:p w:rsidR="0078316E" w:rsidRPr="00104479" w:rsidRDefault="0078316E" w:rsidP="00D54B9C">
            <w:pPr>
              <w:rPr>
                <w:sz w:val="20"/>
                <w:szCs w:val="20"/>
                <w:u w:val="single"/>
                <w:lang w:val="fr-CA"/>
              </w:rPr>
            </w:pPr>
          </w:p>
        </w:tc>
      </w:tr>
      <w:tr w:rsidR="0078316E" w:rsidRPr="00104479" w:rsidTr="00D54B9C">
        <w:trPr>
          <w:cantSplit/>
        </w:trPr>
        <w:tc>
          <w:tcPr>
            <w:tcW w:w="9576" w:type="dxa"/>
            <w:gridSpan w:val="2"/>
          </w:tcPr>
          <w:p w:rsidR="0078316E" w:rsidRPr="00104479" w:rsidRDefault="0078316E" w:rsidP="00D54B9C">
            <w:pPr>
              <w:pStyle w:val="SCCShortJudgment"/>
              <w:rPr>
                <w:szCs w:val="20"/>
                <w:lang w:val="fr-CA"/>
              </w:rPr>
            </w:pPr>
            <w:r w:rsidRPr="00104479">
              <w:rPr>
                <w:szCs w:val="20"/>
                <w:lang w:val="fr-CA"/>
              </w:rPr>
              <w:t>La demande d’autorisation d’appel de l’arrêt de la Cour d’appel du Québec (Montréal), numéro 500-08-000401-127, 2012 QCCA 1442, daté du 6 juillet 2012, est rejetée avec dépens.</w:t>
            </w:r>
          </w:p>
          <w:p w:rsidR="0078316E" w:rsidRPr="00104479" w:rsidRDefault="0078316E" w:rsidP="00D54B9C">
            <w:pPr>
              <w:pStyle w:val="SCCShortJudgment"/>
              <w:ind w:firstLine="0"/>
              <w:rPr>
                <w:szCs w:val="20"/>
                <w:lang w:val="fr-CA"/>
              </w:rPr>
            </w:pPr>
          </w:p>
          <w:p w:rsidR="0078316E" w:rsidRPr="00104479" w:rsidRDefault="0078316E" w:rsidP="00D54B9C">
            <w:pPr>
              <w:pStyle w:val="SCCShortJudgment"/>
              <w:rPr>
                <w:szCs w:val="20"/>
              </w:rPr>
            </w:pPr>
            <w:r w:rsidRPr="00104479">
              <w:rPr>
                <w:szCs w:val="20"/>
              </w:rPr>
              <w:t>The application for leave to appeal from the judgment of the Court of Appeal of Quebec (Montréal), Number 500-08-000401-127, 2012 QCCA 1442, dated July 6, 2012, is dismissed with costs.</w:t>
            </w:r>
          </w:p>
        </w:tc>
      </w:tr>
    </w:tbl>
    <w:p w:rsidR="00A32A8F" w:rsidRPr="0078316E" w:rsidRDefault="00A32A8F" w:rsidP="00A32A8F">
      <w:pPr>
        <w:rPr>
          <w:sz w:val="20"/>
          <w:szCs w:val="20"/>
        </w:rPr>
      </w:pPr>
    </w:p>
    <w:p w:rsidR="00A32A8F" w:rsidRDefault="00A32A8F" w:rsidP="00A32A8F">
      <w:pPr>
        <w:rPr>
          <w:sz w:val="20"/>
          <w:szCs w:val="20"/>
          <w:u w:val="single"/>
        </w:rPr>
      </w:pPr>
      <w:r w:rsidRPr="001B157C">
        <w:rPr>
          <w:sz w:val="20"/>
          <w:szCs w:val="20"/>
          <w:u w:val="single"/>
        </w:rPr>
        <w:t>CASE SUMMARY</w:t>
      </w:r>
    </w:p>
    <w:p w:rsidR="00A32A8F" w:rsidRDefault="00A32A8F" w:rsidP="00A32A8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F618C" w:rsidRPr="00FF00BC" w:rsidTr="00902B1D">
        <w:tc>
          <w:tcPr>
            <w:tcW w:w="5000" w:type="pct"/>
            <w:gridSpan w:val="3"/>
          </w:tcPr>
          <w:p w:rsidR="00BF618C" w:rsidRPr="00FF00BC" w:rsidRDefault="00BF618C" w:rsidP="00902B1D">
            <w:pPr>
              <w:pStyle w:val="SCCBanSummary"/>
              <w:rPr>
                <w:sz w:val="20"/>
                <w:szCs w:val="20"/>
              </w:rPr>
            </w:pPr>
            <w:r w:rsidRPr="00FF00BC">
              <w:rPr>
                <w:sz w:val="20"/>
                <w:szCs w:val="20"/>
              </w:rPr>
              <w:t xml:space="preserve">(Publication </w:t>
            </w:r>
            <w:r>
              <w:rPr>
                <w:sz w:val="20"/>
                <w:szCs w:val="20"/>
              </w:rPr>
              <w:t>B</w:t>
            </w:r>
            <w:r w:rsidRPr="00FF00BC">
              <w:rPr>
                <w:sz w:val="20"/>
                <w:szCs w:val="20"/>
              </w:rPr>
              <w:t xml:space="preserve">an in </w:t>
            </w:r>
            <w:r>
              <w:rPr>
                <w:sz w:val="20"/>
                <w:szCs w:val="20"/>
              </w:rPr>
              <w:t>C</w:t>
            </w:r>
            <w:r w:rsidRPr="00FF00BC">
              <w:rPr>
                <w:sz w:val="20"/>
                <w:szCs w:val="20"/>
              </w:rPr>
              <w:t xml:space="preserve">ase) (Court </w:t>
            </w:r>
            <w:r>
              <w:rPr>
                <w:sz w:val="20"/>
                <w:szCs w:val="20"/>
              </w:rPr>
              <w:t>F</w:t>
            </w:r>
            <w:r w:rsidRPr="00FF00BC">
              <w:rPr>
                <w:sz w:val="20"/>
                <w:szCs w:val="20"/>
              </w:rPr>
              <w:t xml:space="preserve">ile </w:t>
            </w:r>
            <w:r>
              <w:rPr>
                <w:sz w:val="20"/>
                <w:szCs w:val="20"/>
              </w:rPr>
              <w:t>C</w:t>
            </w:r>
            <w:r w:rsidRPr="00FF00BC">
              <w:rPr>
                <w:sz w:val="20"/>
                <w:szCs w:val="20"/>
              </w:rPr>
              <w:t xml:space="preserve">ontains </w:t>
            </w:r>
            <w:r>
              <w:rPr>
                <w:sz w:val="20"/>
                <w:szCs w:val="20"/>
              </w:rPr>
              <w:t>I</w:t>
            </w:r>
            <w:r w:rsidRPr="00FF00BC">
              <w:rPr>
                <w:sz w:val="20"/>
                <w:szCs w:val="20"/>
              </w:rPr>
              <w:t xml:space="preserve">nformation </w:t>
            </w:r>
            <w:r>
              <w:rPr>
                <w:sz w:val="20"/>
                <w:szCs w:val="20"/>
              </w:rPr>
              <w:t>T</w:t>
            </w:r>
            <w:r w:rsidRPr="00FF00BC">
              <w:rPr>
                <w:sz w:val="20"/>
                <w:szCs w:val="20"/>
              </w:rPr>
              <w:t xml:space="preserve">hat is not </w:t>
            </w:r>
            <w:r>
              <w:rPr>
                <w:sz w:val="20"/>
                <w:szCs w:val="20"/>
              </w:rPr>
              <w:t>A</w:t>
            </w:r>
            <w:r w:rsidRPr="00FF00BC">
              <w:rPr>
                <w:sz w:val="20"/>
                <w:szCs w:val="20"/>
              </w:rPr>
              <w:t xml:space="preserve">vailable for </w:t>
            </w:r>
            <w:r>
              <w:rPr>
                <w:sz w:val="20"/>
                <w:szCs w:val="20"/>
              </w:rPr>
              <w:t>I</w:t>
            </w:r>
            <w:r w:rsidRPr="00FF00BC">
              <w:rPr>
                <w:sz w:val="20"/>
                <w:szCs w:val="20"/>
              </w:rPr>
              <w:t xml:space="preserve">nspection by the </w:t>
            </w:r>
            <w:r>
              <w:rPr>
                <w:sz w:val="20"/>
                <w:szCs w:val="20"/>
              </w:rPr>
              <w:t>P</w:t>
            </w:r>
            <w:r w:rsidRPr="00FF00BC">
              <w:rPr>
                <w:sz w:val="20"/>
                <w:szCs w:val="20"/>
              </w:rPr>
              <w:t>ublic)</w:t>
            </w:r>
          </w:p>
          <w:p w:rsidR="00BF618C" w:rsidRPr="00FF00BC" w:rsidRDefault="00BF618C" w:rsidP="00902B1D">
            <w:pPr>
              <w:jc w:val="both"/>
              <w:rPr>
                <w:sz w:val="20"/>
                <w:szCs w:val="20"/>
              </w:rPr>
            </w:pPr>
          </w:p>
          <w:p w:rsidR="00BF618C" w:rsidRPr="00FF00BC" w:rsidRDefault="00BF618C" w:rsidP="00902B1D">
            <w:pPr>
              <w:jc w:val="both"/>
              <w:rPr>
                <w:sz w:val="20"/>
                <w:szCs w:val="20"/>
              </w:rPr>
            </w:pPr>
            <w:r w:rsidRPr="00FF00BC">
              <w:rPr>
                <w:sz w:val="20"/>
                <w:szCs w:val="20"/>
              </w:rPr>
              <w:t xml:space="preserve">Status of persons — Child protection — Civil procedure — Appeals — Judgments and orders — Revocation of </w:t>
            </w:r>
            <w:r w:rsidRPr="00FF00BC">
              <w:rPr>
                <w:sz w:val="20"/>
                <w:szCs w:val="20"/>
              </w:rPr>
              <w:lastRenderedPageBreak/>
              <w:t xml:space="preserve">interlocutory judgment in youth protection matter refused — Superior Court dismissing appeal on basis that revocation of judgment not permitted — Court of Appeal refusing leave to appeal on basis that it in child’s interest to let proceedings take their course even though failure to serve interlocutory proceedings seemed to contravene </w:t>
            </w:r>
            <w:r w:rsidRPr="00FF00BC">
              <w:rPr>
                <w:i/>
                <w:sz w:val="20"/>
                <w:szCs w:val="20"/>
              </w:rPr>
              <w:t>Youth Protection Act</w:t>
            </w:r>
            <w:r w:rsidRPr="00FF00BC">
              <w:rPr>
                <w:sz w:val="20"/>
                <w:szCs w:val="20"/>
              </w:rPr>
              <w:t>, R.S.Q., c. P</w:t>
            </w:r>
            <w:r w:rsidRPr="00FF00BC">
              <w:rPr>
                <w:sz w:val="20"/>
                <w:szCs w:val="20"/>
              </w:rPr>
              <w:noBreakHyphen/>
              <w:t>34.1.</w:t>
            </w:r>
          </w:p>
        </w:tc>
      </w:tr>
      <w:tr w:rsidR="00BF618C" w:rsidRPr="00FF00BC" w:rsidTr="00902B1D">
        <w:tc>
          <w:tcPr>
            <w:tcW w:w="5000" w:type="pct"/>
            <w:gridSpan w:val="3"/>
          </w:tcPr>
          <w:p w:rsidR="00BF618C" w:rsidRPr="00FF00BC" w:rsidRDefault="00BF618C" w:rsidP="00902B1D">
            <w:pPr>
              <w:jc w:val="both"/>
              <w:rPr>
                <w:sz w:val="20"/>
                <w:szCs w:val="20"/>
              </w:rPr>
            </w:pPr>
          </w:p>
        </w:tc>
      </w:tr>
      <w:tr w:rsidR="00BF618C" w:rsidRPr="00FF00BC" w:rsidTr="00902B1D">
        <w:tc>
          <w:tcPr>
            <w:tcW w:w="5000" w:type="pct"/>
            <w:gridSpan w:val="3"/>
          </w:tcPr>
          <w:p w:rsidR="00BF618C" w:rsidRPr="00FF00BC" w:rsidRDefault="00BF618C" w:rsidP="00902B1D">
            <w:pPr>
              <w:jc w:val="both"/>
              <w:rPr>
                <w:sz w:val="20"/>
                <w:szCs w:val="20"/>
              </w:rPr>
            </w:pPr>
            <w:r w:rsidRPr="00FF00BC">
              <w:rPr>
                <w:sz w:val="20"/>
                <w:szCs w:val="20"/>
              </w:rPr>
              <w:t xml:space="preserve">The applicant is the mother of a child in respect of whom an emergency measure was taken under the </w:t>
            </w:r>
            <w:r w:rsidRPr="00FF00BC">
              <w:rPr>
                <w:i/>
                <w:sz w:val="20"/>
                <w:szCs w:val="20"/>
              </w:rPr>
              <w:t>Youth Protection Act</w:t>
            </w:r>
            <w:r w:rsidRPr="00FF00BC">
              <w:rPr>
                <w:sz w:val="20"/>
                <w:szCs w:val="20"/>
              </w:rPr>
              <w:t>.  The respondent represents the Director of Youth Protection (“DYP”).  The Court of Québec rendered an interlocutory decision in favour of the DYP on a motion for protection and for provisional measures in respect of the child.  The parents were not present at the hearing.  The applicant applied for revocation of the judgment, alleging that she had been denied her right to be heard.  The Court of Québec dismissed her motion and the Superior Court dismissed her appeal.  The Court of Appeal refused leave to appeal.</w:t>
            </w:r>
          </w:p>
          <w:p w:rsidR="00BF618C" w:rsidRPr="00FF00BC" w:rsidRDefault="00BF618C" w:rsidP="00902B1D">
            <w:pPr>
              <w:jc w:val="both"/>
              <w:rPr>
                <w:sz w:val="20"/>
                <w:szCs w:val="20"/>
              </w:rPr>
            </w:pPr>
          </w:p>
        </w:tc>
      </w:tr>
      <w:tr w:rsidR="00BF618C" w:rsidRPr="00FF00BC" w:rsidTr="00902B1D">
        <w:tc>
          <w:tcPr>
            <w:tcW w:w="2427" w:type="pct"/>
          </w:tcPr>
          <w:p w:rsidR="00BF618C" w:rsidRPr="00FF00BC" w:rsidRDefault="00BF618C" w:rsidP="00902B1D">
            <w:pPr>
              <w:jc w:val="both"/>
              <w:rPr>
                <w:sz w:val="20"/>
                <w:szCs w:val="20"/>
              </w:rPr>
            </w:pPr>
            <w:r w:rsidRPr="00FF00BC">
              <w:rPr>
                <w:sz w:val="20"/>
                <w:szCs w:val="20"/>
              </w:rPr>
              <w:t>January 16, 2012</w:t>
            </w:r>
          </w:p>
          <w:p w:rsidR="00BF618C" w:rsidRPr="00FF00BC" w:rsidRDefault="00BF618C" w:rsidP="00902B1D">
            <w:pPr>
              <w:jc w:val="both"/>
              <w:rPr>
                <w:sz w:val="20"/>
                <w:szCs w:val="20"/>
              </w:rPr>
            </w:pPr>
            <w:r w:rsidRPr="00FF00BC">
              <w:rPr>
                <w:sz w:val="20"/>
                <w:szCs w:val="20"/>
              </w:rPr>
              <w:t>Court of Québec</w:t>
            </w:r>
          </w:p>
          <w:p w:rsidR="00BF618C" w:rsidRPr="00FF00BC" w:rsidRDefault="00BF618C" w:rsidP="00902B1D">
            <w:pPr>
              <w:jc w:val="both"/>
              <w:rPr>
                <w:sz w:val="20"/>
                <w:szCs w:val="20"/>
              </w:rPr>
            </w:pPr>
            <w:r w:rsidRPr="00FF00BC">
              <w:rPr>
                <w:sz w:val="20"/>
                <w:szCs w:val="20"/>
              </w:rPr>
              <w:t>(Judge Larue)</w:t>
            </w:r>
          </w:p>
          <w:p w:rsidR="00BF618C" w:rsidRPr="00FF00BC" w:rsidRDefault="00BF618C" w:rsidP="00902B1D">
            <w:pPr>
              <w:jc w:val="both"/>
              <w:rPr>
                <w:sz w:val="20"/>
                <w:szCs w:val="20"/>
              </w:rPr>
            </w:pPr>
          </w:p>
        </w:tc>
        <w:tc>
          <w:tcPr>
            <w:tcW w:w="243" w:type="pct"/>
          </w:tcPr>
          <w:p w:rsidR="00BF618C" w:rsidRPr="00FF00BC" w:rsidRDefault="00BF618C" w:rsidP="00902B1D">
            <w:pPr>
              <w:jc w:val="both"/>
              <w:rPr>
                <w:sz w:val="20"/>
                <w:szCs w:val="20"/>
              </w:rPr>
            </w:pPr>
          </w:p>
        </w:tc>
        <w:tc>
          <w:tcPr>
            <w:tcW w:w="2330" w:type="pct"/>
          </w:tcPr>
          <w:p w:rsidR="00BF618C" w:rsidRPr="00FF00BC" w:rsidRDefault="00BF618C" w:rsidP="00902B1D">
            <w:pPr>
              <w:jc w:val="both"/>
              <w:rPr>
                <w:sz w:val="20"/>
                <w:szCs w:val="20"/>
              </w:rPr>
            </w:pPr>
            <w:r w:rsidRPr="00FF00BC">
              <w:rPr>
                <w:sz w:val="20"/>
                <w:szCs w:val="20"/>
              </w:rPr>
              <w:t>Motion for protection and motion for provisional measures granted</w:t>
            </w:r>
          </w:p>
          <w:p w:rsidR="00BF618C" w:rsidRPr="00FF00BC" w:rsidRDefault="00BF618C" w:rsidP="00902B1D">
            <w:pPr>
              <w:jc w:val="both"/>
              <w:rPr>
                <w:sz w:val="20"/>
                <w:szCs w:val="20"/>
              </w:rPr>
            </w:pPr>
          </w:p>
        </w:tc>
      </w:tr>
      <w:tr w:rsidR="00BF618C" w:rsidRPr="00FF00BC" w:rsidTr="00902B1D">
        <w:tc>
          <w:tcPr>
            <w:tcW w:w="2427" w:type="pct"/>
          </w:tcPr>
          <w:p w:rsidR="00BF618C" w:rsidRPr="00FF00BC" w:rsidRDefault="00BF618C" w:rsidP="00902B1D">
            <w:pPr>
              <w:jc w:val="both"/>
              <w:rPr>
                <w:sz w:val="20"/>
                <w:szCs w:val="20"/>
              </w:rPr>
            </w:pPr>
            <w:r w:rsidRPr="00FF00BC">
              <w:rPr>
                <w:sz w:val="20"/>
                <w:szCs w:val="20"/>
              </w:rPr>
              <w:t>March 12, 2012</w:t>
            </w:r>
          </w:p>
          <w:p w:rsidR="00BF618C" w:rsidRPr="00FF00BC" w:rsidRDefault="00BF618C" w:rsidP="00902B1D">
            <w:pPr>
              <w:jc w:val="both"/>
              <w:rPr>
                <w:sz w:val="20"/>
                <w:szCs w:val="20"/>
              </w:rPr>
            </w:pPr>
            <w:r w:rsidRPr="00FF00BC">
              <w:rPr>
                <w:sz w:val="20"/>
                <w:szCs w:val="20"/>
              </w:rPr>
              <w:t>Court of Québec</w:t>
            </w:r>
          </w:p>
          <w:p w:rsidR="00BF618C" w:rsidRPr="00FF00BC" w:rsidRDefault="00BF618C" w:rsidP="00902B1D">
            <w:pPr>
              <w:jc w:val="both"/>
              <w:rPr>
                <w:sz w:val="20"/>
                <w:szCs w:val="20"/>
              </w:rPr>
            </w:pPr>
            <w:r w:rsidRPr="00FF00BC">
              <w:rPr>
                <w:sz w:val="20"/>
                <w:szCs w:val="20"/>
              </w:rPr>
              <w:t>(Judge Bolduc)</w:t>
            </w:r>
          </w:p>
          <w:p w:rsidR="00BF618C" w:rsidRPr="00FF00BC" w:rsidRDefault="00BF618C" w:rsidP="00902B1D">
            <w:pPr>
              <w:jc w:val="both"/>
              <w:rPr>
                <w:sz w:val="20"/>
                <w:szCs w:val="20"/>
              </w:rPr>
            </w:pPr>
          </w:p>
        </w:tc>
        <w:tc>
          <w:tcPr>
            <w:tcW w:w="243" w:type="pct"/>
          </w:tcPr>
          <w:p w:rsidR="00BF618C" w:rsidRPr="00FF00BC" w:rsidRDefault="00BF618C" w:rsidP="00902B1D">
            <w:pPr>
              <w:jc w:val="both"/>
              <w:rPr>
                <w:sz w:val="20"/>
                <w:szCs w:val="20"/>
              </w:rPr>
            </w:pPr>
          </w:p>
        </w:tc>
        <w:tc>
          <w:tcPr>
            <w:tcW w:w="2330" w:type="pct"/>
          </w:tcPr>
          <w:p w:rsidR="00BF618C" w:rsidRPr="00FF00BC" w:rsidRDefault="00BF618C" w:rsidP="00902B1D">
            <w:pPr>
              <w:jc w:val="both"/>
              <w:rPr>
                <w:sz w:val="20"/>
                <w:szCs w:val="20"/>
              </w:rPr>
            </w:pPr>
            <w:r w:rsidRPr="00FF00BC">
              <w:rPr>
                <w:sz w:val="20"/>
                <w:szCs w:val="20"/>
              </w:rPr>
              <w:t>Motion in revocation of judgment dismissed</w:t>
            </w:r>
          </w:p>
          <w:p w:rsidR="00BF618C" w:rsidRPr="00FF00BC" w:rsidRDefault="00BF618C" w:rsidP="00902B1D">
            <w:pPr>
              <w:jc w:val="both"/>
              <w:rPr>
                <w:sz w:val="20"/>
                <w:szCs w:val="20"/>
              </w:rPr>
            </w:pPr>
          </w:p>
        </w:tc>
      </w:tr>
      <w:tr w:rsidR="00BF618C" w:rsidRPr="00FF00BC" w:rsidTr="00902B1D">
        <w:tc>
          <w:tcPr>
            <w:tcW w:w="2427" w:type="pct"/>
          </w:tcPr>
          <w:p w:rsidR="00BF618C" w:rsidRPr="00FF00BC" w:rsidRDefault="00BF618C" w:rsidP="00902B1D">
            <w:pPr>
              <w:jc w:val="both"/>
              <w:rPr>
                <w:sz w:val="20"/>
                <w:szCs w:val="20"/>
              </w:rPr>
            </w:pPr>
            <w:r w:rsidRPr="00FF00BC">
              <w:rPr>
                <w:sz w:val="20"/>
                <w:szCs w:val="20"/>
              </w:rPr>
              <w:t>June 22, 2012</w:t>
            </w:r>
          </w:p>
          <w:p w:rsidR="00BF618C" w:rsidRPr="00FF00BC" w:rsidRDefault="00BF618C" w:rsidP="00902B1D">
            <w:pPr>
              <w:jc w:val="both"/>
              <w:rPr>
                <w:sz w:val="20"/>
                <w:szCs w:val="20"/>
              </w:rPr>
            </w:pPr>
            <w:r w:rsidRPr="00FF00BC">
              <w:rPr>
                <w:sz w:val="20"/>
                <w:szCs w:val="20"/>
              </w:rPr>
              <w:t>Quebec Superior Court</w:t>
            </w:r>
          </w:p>
          <w:p w:rsidR="00BF618C" w:rsidRPr="00FF00BC" w:rsidRDefault="00BF618C" w:rsidP="00902B1D">
            <w:pPr>
              <w:jc w:val="both"/>
              <w:rPr>
                <w:sz w:val="20"/>
                <w:szCs w:val="20"/>
              </w:rPr>
            </w:pPr>
            <w:r w:rsidRPr="00FF00BC">
              <w:rPr>
                <w:sz w:val="20"/>
                <w:szCs w:val="20"/>
              </w:rPr>
              <w:t>(Beaugé J.)</w:t>
            </w:r>
          </w:p>
          <w:p w:rsidR="00BF618C" w:rsidRPr="00FF00BC" w:rsidRDefault="00BF618C" w:rsidP="00902B1D">
            <w:pPr>
              <w:jc w:val="both"/>
              <w:rPr>
                <w:sz w:val="20"/>
                <w:szCs w:val="20"/>
              </w:rPr>
            </w:pPr>
          </w:p>
        </w:tc>
        <w:tc>
          <w:tcPr>
            <w:tcW w:w="243" w:type="pct"/>
          </w:tcPr>
          <w:p w:rsidR="00BF618C" w:rsidRPr="00FF00BC" w:rsidRDefault="00BF618C" w:rsidP="00902B1D">
            <w:pPr>
              <w:jc w:val="both"/>
              <w:rPr>
                <w:sz w:val="20"/>
                <w:szCs w:val="20"/>
              </w:rPr>
            </w:pPr>
          </w:p>
        </w:tc>
        <w:tc>
          <w:tcPr>
            <w:tcW w:w="2330" w:type="pct"/>
          </w:tcPr>
          <w:p w:rsidR="00BF618C" w:rsidRPr="00FF00BC" w:rsidRDefault="00BF618C" w:rsidP="00902B1D">
            <w:pPr>
              <w:jc w:val="both"/>
              <w:rPr>
                <w:sz w:val="20"/>
                <w:szCs w:val="20"/>
              </w:rPr>
            </w:pPr>
            <w:r w:rsidRPr="00FF00BC">
              <w:rPr>
                <w:sz w:val="20"/>
                <w:szCs w:val="20"/>
              </w:rPr>
              <w:t xml:space="preserve">Respondent’s motion to dismiss granted; applicant’s appeal dismissed </w:t>
            </w:r>
          </w:p>
        </w:tc>
      </w:tr>
      <w:tr w:rsidR="00BF618C" w:rsidRPr="00FF00BC" w:rsidTr="00902B1D">
        <w:tc>
          <w:tcPr>
            <w:tcW w:w="2427" w:type="pct"/>
          </w:tcPr>
          <w:p w:rsidR="00BF618C" w:rsidRPr="00FF00BC" w:rsidRDefault="00BF618C" w:rsidP="00902B1D">
            <w:pPr>
              <w:jc w:val="both"/>
              <w:rPr>
                <w:sz w:val="20"/>
                <w:szCs w:val="20"/>
              </w:rPr>
            </w:pPr>
            <w:r w:rsidRPr="00FF00BC">
              <w:rPr>
                <w:sz w:val="20"/>
                <w:szCs w:val="20"/>
              </w:rPr>
              <w:t>July 6, 2012</w:t>
            </w:r>
          </w:p>
          <w:p w:rsidR="00BF618C" w:rsidRPr="00FF00BC" w:rsidRDefault="00BF618C" w:rsidP="00902B1D">
            <w:pPr>
              <w:jc w:val="both"/>
              <w:rPr>
                <w:sz w:val="20"/>
                <w:szCs w:val="20"/>
              </w:rPr>
            </w:pPr>
            <w:r w:rsidRPr="00FF00BC">
              <w:rPr>
                <w:sz w:val="20"/>
                <w:szCs w:val="20"/>
              </w:rPr>
              <w:t>Quebec Court of Appeal (Montréal)</w:t>
            </w:r>
          </w:p>
          <w:p w:rsidR="00BF618C" w:rsidRPr="00FF00BC" w:rsidRDefault="00BF618C" w:rsidP="00902B1D">
            <w:pPr>
              <w:jc w:val="both"/>
              <w:rPr>
                <w:sz w:val="20"/>
                <w:szCs w:val="20"/>
              </w:rPr>
            </w:pPr>
            <w:r w:rsidRPr="00FF00BC">
              <w:rPr>
                <w:sz w:val="20"/>
                <w:szCs w:val="20"/>
              </w:rPr>
              <w:t>(Bich J.A.)</w:t>
            </w:r>
          </w:p>
          <w:p w:rsidR="00BF618C" w:rsidRPr="00FF00BC" w:rsidRDefault="00BF618C" w:rsidP="00902B1D">
            <w:pPr>
              <w:jc w:val="both"/>
              <w:rPr>
                <w:sz w:val="20"/>
                <w:szCs w:val="20"/>
              </w:rPr>
            </w:pPr>
            <w:r w:rsidRPr="00FF00BC">
              <w:rPr>
                <w:sz w:val="20"/>
                <w:szCs w:val="20"/>
              </w:rPr>
              <w:t>2012 QCCA 1442; 500</w:t>
            </w:r>
            <w:r w:rsidRPr="00FF00BC">
              <w:rPr>
                <w:sz w:val="20"/>
                <w:szCs w:val="20"/>
              </w:rPr>
              <w:noBreakHyphen/>
              <w:t>08</w:t>
            </w:r>
            <w:r w:rsidRPr="00FF00BC">
              <w:rPr>
                <w:sz w:val="20"/>
                <w:szCs w:val="20"/>
              </w:rPr>
              <w:noBreakHyphen/>
              <w:t>000401</w:t>
            </w:r>
            <w:r w:rsidRPr="00FF00BC">
              <w:rPr>
                <w:sz w:val="20"/>
                <w:szCs w:val="20"/>
              </w:rPr>
              <w:noBreakHyphen/>
              <w:t>127</w:t>
            </w:r>
          </w:p>
          <w:p w:rsidR="00BF618C" w:rsidRPr="00FF00BC" w:rsidRDefault="00BF618C" w:rsidP="00902B1D">
            <w:pPr>
              <w:jc w:val="both"/>
              <w:rPr>
                <w:sz w:val="20"/>
                <w:szCs w:val="20"/>
              </w:rPr>
            </w:pPr>
          </w:p>
        </w:tc>
        <w:tc>
          <w:tcPr>
            <w:tcW w:w="243" w:type="pct"/>
          </w:tcPr>
          <w:p w:rsidR="00BF618C" w:rsidRPr="00FF00BC" w:rsidRDefault="00BF618C" w:rsidP="00902B1D">
            <w:pPr>
              <w:jc w:val="both"/>
              <w:rPr>
                <w:sz w:val="20"/>
                <w:szCs w:val="20"/>
              </w:rPr>
            </w:pPr>
          </w:p>
        </w:tc>
        <w:tc>
          <w:tcPr>
            <w:tcW w:w="2330" w:type="pct"/>
          </w:tcPr>
          <w:p w:rsidR="00BF618C" w:rsidRPr="00FF00BC" w:rsidRDefault="00BF618C" w:rsidP="00902B1D">
            <w:pPr>
              <w:jc w:val="both"/>
              <w:rPr>
                <w:sz w:val="20"/>
                <w:szCs w:val="20"/>
              </w:rPr>
            </w:pPr>
            <w:r w:rsidRPr="00FF00BC">
              <w:rPr>
                <w:sz w:val="20"/>
                <w:szCs w:val="20"/>
              </w:rPr>
              <w:t>Motion for leave to appeal dismissed</w:t>
            </w:r>
          </w:p>
          <w:p w:rsidR="00BF618C" w:rsidRPr="00FF00BC" w:rsidRDefault="00BF618C" w:rsidP="00902B1D">
            <w:pPr>
              <w:jc w:val="both"/>
              <w:rPr>
                <w:sz w:val="20"/>
                <w:szCs w:val="20"/>
              </w:rPr>
            </w:pPr>
          </w:p>
        </w:tc>
      </w:tr>
      <w:tr w:rsidR="00BF618C" w:rsidRPr="00FF00BC" w:rsidTr="00902B1D">
        <w:tc>
          <w:tcPr>
            <w:tcW w:w="2427" w:type="pct"/>
          </w:tcPr>
          <w:p w:rsidR="00BF618C" w:rsidRPr="00FF00BC" w:rsidRDefault="00BF618C" w:rsidP="00902B1D">
            <w:pPr>
              <w:jc w:val="both"/>
              <w:rPr>
                <w:sz w:val="20"/>
                <w:szCs w:val="20"/>
              </w:rPr>
            </w:pPr>
            <w:r w:rsidRPr="00FF00BC">
              <w:rPr>
                <w:sz w:val="20"/>
                <w:szCs w:val="20"/>
              </w:rPr>
              <w:t>September 17, 2012</w:t>
            </w:r>
          </w:p>
          <w:p w:rsidR="00BF618C" w:rsidRPr="00FF00BC" w:rsidRDefault="00BF618C" w:rsidP="00902B1D">
            <w:pPr>
              <w:jc w:val="both"/>
              <w:rPr>
                <w:sz w:val="20"/>
                <w:szCs w:val="20"/>
              </w:rPr>
            </w:pPr>
            <w:r w:rsidRPr="00FF00BC">
              <w:rPr>
                <w:sz w:val="20"/>
                <w:szCs w:val="20"/>
              </w:rPr>
              <w:t>Supreme Court of Canada</w:t>
            </w:r>
          </w:p>
        </w:tc>
        <w:tc>
          <w:tcPr>
            <w:tcW w:w="243" w:type="pct"/>
          </w:tcPr>
          <w:p w:rsidR="00BF618C" w:rsidRPr="00FF00BC" w:rsidRDefault="00BF618C" w:rsidP="00902B1D">
            <w:pPr>
              <w:jc w:val="both"/>
              <w:rPr>
                <w:sz w:val="20"/>
                <w:szCs w:val="20"/>
              </w:rPr>
            </w:pPr>
          </w:p>
        </w:tc>
        <w:tc>
          <w:tcPr>
            <w:tcW w:w="2330" w:type="pct"/>
          </w:tcPr>
          <w:p w:rsidR="00BF618C" w:rsidRPr="00FF00BC" w:rsidRDefault="00BF618C" w:rsidP="00902B1D">
            <w:pPr>
              <w:jc w:val="both"/>
              <w:rPr>
                <w:sz w:val="20"/>
                <w:szCs w:val="20"/>
              </w:rPr>
            </w:pPr>
            <w:r w:rsidRPr="00FF00BC">
              <w:rPr>
                <w:sz w:val="20"/>
                <w:szCs w:val="20"/>
              </w:rPr>
              <w:t>Application for leave to appeal filed</w:t>
            </w:r>
          </w:p>
          <w:p w:rsidR="00BF618C" w:rsidRPr="00FF00BC" w:rsidRDefault="00BF618C" w:rsidP="00902B1D">
            <w:pPr>
              <w:jc w:val="both"/>
              <w:rPr>
                <w:sz w:val="20"/>
                <w:szCs w:val="20"/>
              </w:rPr>
            </w:pPr>
          </w:p>
        </w:tc>
      </w:tr>
    </w:tbl>
    <w:p w:rsidR="00A32A8F" w:rsidRDefault="00A32A8F" w:rsidP="00A32A8F">
      <w:pPr>
        <w:rPr>
          <w:sz w:val="20"/>
          <w:szCs w:val="20"/>
        </w:rPr>
      </w:pPr>
    </w:p>
    <w:p w:rsidR="00A32A8F" w:rsidRDefault="00CB0178" w:rsidP="00A32A8F">
      <w:pPr>
        <w:rPr>
          <w:sz w:val="20"/>
          <w:szCs w:val="20"/>
        </w:rPr>
      </w:pPr>
      <w:r w:rsidRPr="00CB0178">
        <w:rPr>
          <w:sz w:val="20"/>
          <w:szCs w:val="20"/>
          <w:lang w:val="fr-CA"/>
        </w:rPr>
        <w:pict>
          <v:rect id="_x0000_i1049" style="width:2in;height:1pt" o:hrpct="0" o:hralign="center" o:hrstd="t" o:hrnoshade="t" o:hr="t" fillcolor="black [3213]" stroked="f"/>
        </w:pict>
      </w:r>
    </w:p>
    <w:p w:rsidR="00A32A8F" w:rsidRDefault="00A32A8F" w:rsidP="00A32A8F">
      <w:pPr>
        <w:rPr>
          <w:sz w:val="20"/>
          <w:szCs w:val="20"/>
        </w:rPr>
      </w:pPr>
    </w:p>
    <w:p w:rsidR="00A32A8F" w:rsidRPr="001B157C" w:rsidRDefault="00A32A8F" w:rsidP="00A32A8F">
      <w:pPr>
        <w:rPr>
          <w:sz w:val="20"/>
          <w:szCs w:val="20"/>
          <w:u w:val="single"/>
          <w:lang w:val="fr-CA"/>
        </w:rPr>
      </w:pPr>
      <w:r w:rsidRPr="001B157C">
        <w:rPr>
          <w:sz w:val="20"/>
          <w:szCs w:val="20"/>
          <w:u w:val="single"/>
          <w:lang w:val="fr-CA"/>
        </w:rPr>
        <w:t>RÉSUMÉ DE L’AFFAIRE</w:t>
      </w:r>
    </w:p>
    <w:p w:rsidR="00A32A8F" w:rsidRDefault="00A32A8F" w:rsidP="00A32A8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F618C" w:rsidRPr="00FF00BC" w:rsidTr="00902B1D">
        <w:tc>
          <w:tcPr>
            <w:tcW w:w="5000" w:type="pct"/>
            <w:gridSpan w:val="3"/>
          </w:tcPr>
          <w:p w:rsidR="00BF618C" w:rsidRPr="00FF00BC" w:rsidRDefault="00BF618C" w:rsidP="00902B1D">
            <w:pPr>
              <w:pStyle w:val="SCCBanSummary"/>
              <w:rPr>
                <w:sz w:val="20"/>
                <w:szCs w:val="20"/>
                <w:lang w:val="fr-CA"/>
              </w:rPr>
            </w:pPr>
            <w:r w:rsidRPr="00FF00BC">
              <w:rPr>
                <w:sz w:val="20"/>
                <w:szCs w:val="20"/>
                <w:lang w:val="fr-CA"/>
              </w:rPr>
              <w:t>(Ordonnance de non</w:t>
            </w:r>
            <w:r w:rsidRPr="00FF00BC">
              <w:rPr>
                <w:sz w:val="20"/>
                <w:szCs w:val="20"/>
                <w:lang w:val="fr-CA"/>
              </w:rPr>
              <w:noBreakHyphen/>
              <w:t>publication dans le dossier) (Le dossier de la Cour renferme des données que le public n'est pas autorisé à consulter)</w:t>
            </w:r>
          </w:p>
          <w:p w:rsidR="00BF618C" w:rsidRPr="00FF00BC" w:rsidRDefault="00BF618C" w:rsidP="00902B1D">
            <w:pPr>
              <w:jc w:val="both"/>
              <w:rPr>
                <w:sz w:val="20"/>
                <w:szCs w:val="20"/>
                <w:lang w:val="fr-CA"/>
              </w:rPr>
            </w:pPr>
          </w:p>
          <w:p w:rsidR="00BF618C" w:rsidRPr="00FF00BC" w:rsidRDefault="00BF618C" w:rsidP="00902B1D">
            <w:pPr>
              <w:jc w:val="both"/>
              <w:rPr>
                <w:sz w:val="20"/>
                <w:szCs w:val="20"/>
              </w:rPr>
            </w:pPr>
            <w:r w:rsidRPr="00FF00BC">
              <w:rPr>
                <w:sz w:val="20"/>
                <w:szCs w:val="20"/>
                <w:lang w:val="fr-CA"/>
              </w:rPr>
              <w:t xml:space="preserve">Droit des personnes — Protection de l’enfance — Procédure civile — Appels — Jugements et ordonnances — Rétractation de jugement interlocutoire en matière de protection de la jeunesse refusée — Cour supérieure rejetant l’appel au motif que la rétractation de jugement n’est pas permise — Cour d’appel refusant la permission d’appeler au motif qu’il est dans l’intérêt de l’enfant de laisser les procédures suivre leur cours, et ce, même si une absence de signification des procédures interlocutoires semblait contrevenir à la </w:t>
            </w:r>
            <w:r w:rsidRPr="00FF00BC">
              <w:rPr>
                <w:i/>
                <w:sz w:val="20"/>
                <w:szCs w:val="20"/>
                <w:lang w:val="fr-CA"/>
              </w:rPr>
              <w:t>Loi sur la protection de la jeunesse</w:t>
            </w:r>
            <w:r w:rsidRPr="00FF00BC">
              <w:rPr>
                <w:sz w:val="20"/>
                <w:szCs w:val="20"/>
                <w:lang w:val="fr-CA"/>
              </w:rPr>
              <w:t>, L.R.Q., ch. </w:t>
            </w:r>
            <w:r w:rsidRPr="00FF00BC">
              <w:rPr>
                <w:sz w:val="20"/>
                <w:szCs w:val="20"/>
              </w:rPr>
              <w:t>P</w:t>
            </w:r>
            <w:r w:rsidRPr="00FF00BC">
              <w:rPr>
                <w:sz w:val="20"/>
                <w:szCs w:val="20"/>
              </w:rPr>
              <w:noBreakHyphen/>
              <w:t>34.1.</w:t>
            </w:r>
          </w:p>
        </w:tc>
      </w:tr>
      <w:tr w:rsidR="00BF618C" w:rsidRPr="00FF00BC" w:rsidTr="00902B1D">
        <w:tc>
          <w:tcPr>
            <w:tcW w:w="5000" w:type="pct"/>
            <w:gridSpan w:val="3"/>
          </w:tcPr>
          <w:p w:rsidR="00BF618C" w:rsidRPr="00FF00BC" w:rsidRDefault="00BF618C" w:rsidP="00902B1D">
            <w:pPr>
              <w:jc w:val="both"/>
              <w:rPr>
                <w:sz w:val="20"/>
                <w:szCs w:val="20"/>
              </w:rPr>
            </w:pPr>
          </w:p>
        </w:tc>
      </w:tr>
      <w:tr w:rsidR="00BF618C" w:rsidRPr="00FF00BC" w:rsidTr="00902B1D">
        <w:tc>
          <w:tcPr>
            <w:tcW w:w="5000" w:type="pct"/>
            <w:gridSpan w:val="3"/>
          </w:tcPr>
          <w:p w:rsidR="00BF618C" w:rsidRPr="00FF00BC" w:rsidRDefault="00BF618C" w:rsidP="00902B1D">
            <w:pPr>
              <w:jc w:val="both"/>
              <w:rPr>
                <w:sz w:val="20"/>
                <w:szCs w:val="20"/>
              </w:rPr>
            </w:pPr>
            <w:r w:rsidRPr="00FF00BC">
              <w:rPr>
                <w:sz w:val="20"/>
                <w:szCs w:val="20"/>
                <w:lang w:val="fr-CA"/>
              </w:rPr>
              <w:t xml:space="preserve">La demanderesse est la mère d’un enfant qui a fait l’objet d’une mesure d’urgence régie par la </w:t>
            </w:r>
            <w:r w:rsidRPr="00FF00BC">
              <w:rPr>
                <w:i/>
                <w:sz w:val="20"/>
                <w:szCs w:val="20"/>
                <w:lang w:val="fr-CA"/>
              </w:rPr>
              <w:t>Loi sur la protection de la jeunesse</w:t>
            </w:r>
            <w:r w:rsidRPr="00FF00BC">
              <w:rPr>
                <w:sz w:val="20"/>
                <w:szCs w:val="20"/>
                <w:lang w:val="fr-CA"/>
              </w:rPr>
              <w:t xml:space="preserve">.  L’intimée représente les intérêts du Directeur de la protection de la jeunesse (« DPJ »).  La Cour du Québec a rendu une décision interlocutoire en faveur du DPJ concernant une requête en protection et pour mesures provisoires concernant l’enfant.  Les parents n’étaient pas présents lors de l’audience. La demanderesse a demandé la </w:t>
            </w:r>
            <w:r w:rsidRPr="00FF00BC">
              <w:rPr>
                <w:sz w:val="20"/>
                <w:szCs w:val="20"/>
                <w:lang w:val="fr-CA"/>
              </w:rPr>
              <w:lastRenderedPageBreak/>
              <w:t xml:space="preserve">rétraction du jugement, alléguant que son droit d’être entendu n’avait pas été respecté.  La Cour du Québec a rejeté la requête et la Cour supérieure, l’appel.  </w:t>
            </w:r>
            <w:r w:rsidRPr="00BF618C">
              <w:rPr>
                <w:sz w:val="20"/>
                <w:szCs w:val="20"/>
                <w:lang w:val="fr-CA"/>
              </w:rPr>
              <w:t>La Cour d’appel a refusé la permission d’appeler</w:t>
            </w:r>
            <w:r w:rsidRPr="00FF00BC">
              <w:rPr>
                <w:sz w:val="20"/>
                <w:szCs w:val="20"/>
              </w:rPr>
              <w:t>.</w:t>
            </w:r>
          </w:p>
          <w:p w:rsidR="00BF618C" w:rsidRPr="00FF00BC" w:rsidRDefault="00BF618C" w:rsidP="00902B1D">
            <w:pPr>
              <w:jc w:val="both"/>
              <w:rPr>
                <w:sz w:val="20"/>
                <w:szCs w:val="20"/>
              </w:rPr>
            </w:pPr>
          </w:p>
        </w:tc>
      </w:tr>
      <w:tr w:rsidR="00BF618C" w:rsidRPr="00B07D2C" w:rsidTr="00902B1D">
        <w:tc>
          <w:tcPr>
            <w:tcW w:w="2427" w:type="pct"/>
          </w:tcPr>
          <w:p w:rsidR="00BF618C" w:rsidRPr="00FF00BC" w:rsidRDefault="00BF618C" w:rsidP="00902B1D">
            <w:pPr>
              <w:jc w:val="both"/>
              <w:rPr>
                <w:sz w:val="20"/>
                <w:szCs w:val="20"/>
                <w:lang w:val="fr-CA"/>
              </w:rPr>
            </w:pPr>
            <w:r w:rsidRPr="00FF00BC">
              <w:rPr>
                <w:sz w:val="20"/>
                <w:szCs w:val="20"/>
                <w:lang w:val="fr-CA"/>
              </w:rPr>
              <w:lastRenderedPageBreak/>
              <w:t>Le 16 janvier 2012</w:t>
            </w:r>
          </w:p>
          <w:p w:rsidR="00BF618C" w:rsidRPr="00FF00BC" w:rsidRDefault="00BF618C" w:rsidP="00902B1D">
            <w:pPr>
              <w:jc w:val="both"/>
              <w:rPr>
                <w:sz w:val="20"/>
                <w:szCs w:val="20"/>
                <w:lang w:val="fr-CA"/>
              </w:rPr>
            </w:pPr>
            <w:r w:rsidRPr="00FF00BC">
              <w:rPr>
                <w:sz w:val="20"/>
                <w:szCs w:val="20"/>
                <w:lang w:val="fr-CA"/>
              </w:rPr>
              <w:t>Cour du Québec</w:t>
            </w:r>
          </w:p>
          <w:p w:rsidR="00BF618C" w:rsidRPr="00FF00BC" w:rsidRDefault="00BF618C" w:rsidP="00902B1D">
            <w:pPr>
              <w:jc w:val="both"/>
              <w:rPr>
                <w:sz w:val="20"/>
                <w:szCs w:val="20"/>
                <w:lang w:val="fr-CA"/>
              </w:rPr>
            </w:pPr>
            <w:r w:rsidRPr="00FF00BC">
              <w:rPr>
                <w:sz w:val="20"/>
                <w:szCs w:val="20"/>
                <w:lang w:val="fr-CA"/>
              </w:rPr>
              <w:t>(Le juge Larue)</w:t>
            </w:r>
          </w:p>
          <w:p w:rsidR="00BF618C" w:rsidRPr="00FF00BC" w:rsidRDefault="00BF618C" w:rsidP="00902B1D">
            <w:pPr>
              <w:jc w:val="both"/>
              <w:rPr>
                <w:sz w:val="20"/>
                <w:szCs w:val="20"/>
                <w:lang w:val="fr-CA"/>
              </w:rPr>
            </w:pPr>
          </w:p>
        </w:tc>
        <w:tc>
          <w:tcPr>
            <w:tcW w:w="243" w:type="pct"/>
          </w:tcPr>
          <w:p w:rsidR="00BF618C" w:rsidRPr="00FF00BC" w:rsidRDefault="00BF618C" w:rsidP="00902B1D">
            <w:pPr>
              <w:jc w:val="both"/>
              <w:rPr>
                <w:sz w:val="20"/>
                <w:szCs w:val="20"/>
                <w:lang w:val="fr-CA"/>
              </w:rPr>
            </w:pPr>
          </w:p>
        </w:tc>
        <w:tc>
          <w:tcPr>
            <w:tcW w:w="2330" w:type="pct"/>
          </w:tcPr>
          <w:p w:rsidR="00BF618C" w:rsidRPr="00FF00BC" w:rsidRDefault="00BF618C" w:rsidP="00902B1D">
            <w:pPr>
              <w:jc w:val="both"/>
              <w:rPr>
                <w:sz w:val="20"/>
                <w:szCs w:val="20"/>
                <w:lang w:val="fr-CA"/>
              </w:rPr>
            </w:pPr>
            <w:r w:rsidRPr="00FF00BC">
              <w:rPr>
                <w:sz w:val="20"/>
                <w:szCs w:val="20"/>
                <w:lang w:val="fr-CA"/>
              </w:rPr>
              <w:t>Requête en protection et requête pour mesures provisoires accueillie</w:t>
            </w:r>
          </w:p>
          <w:p w:rsidR="00BF618C" w:rsidRPr="00FF00BC" w:rsidRDefault="00BF618C" w:rsidP="00902B1D">
            <w:pPr>
              <w:jc w:val="both"/>
              <w:rPr>
                <w:sz w:val="20"/>
                <w:szCs w:val="20"/>
                <w:lang w:val="fr-CA"/>
              </w:rPr>
            </w:pPr>
          </w:p>
        </w:tc>
      </w:tr>
      <w:tr w:rsidR="00BF618C" w:rsidRPr="00B07D2C" w:rsidTr="00902B1D">
        <w:tc>
          <w:tcPr>
            <w:tcW w:w="2427" w:type="pct"/>
          </w:tcPr>
          <w:p w:rsidR="00BF618C" w:rsidRPr="00FF00BC" w:rsidRDefault="00BF618C" w:rsidP="00902B1D">
            <w:pPr>
              <w:jc w:val="both"/>
              <w:rPr>
                <w:sz w:val="20"/>
                <w:szCs w:val="20"/>
                <w:lang w:val="fr-CA"/>
              </w:rPr>
            </w:pPr>
            <w:r w:rsidRPr="00FF00BC">
              <w:rPr>
                <w:sz w:val="20"/>
                <w:szCs w:val="20"/>
                <w:lang w:val="fr-CA"/>
              </w:rPr>
              <w:t>Le 12 mars 2012</w:t>
            </w:r>
          </w:p>
          <w:p w:rsidR="00BF618C" w:rsidRPr="00FF00BC" w:rsidRDefault="00BF618C" w:rsidP="00902B1D">
            <w:pPr>
              <w:jc w:val="both"/>
              <w:rPr>
                <w:sz w:val="20"/>
                <w:szCs w:val="20"/>
                <w:lang w:val="fr-CA"/>
              </w:rPr>
            </w:pPr>
            <w:r w:rsidRPr="00FF00BC">
              <w:rPr>
                <w:sz w:val="20"/>
                <w:szCs w:val="20"/>
                <w:lang w:val="fr-CA"/>
              </w:rPr>
              <w:t>Cour du Québec</w:t>
            </w:r>
          </w:p>
          <w:p w:rsidR="00BF618C" w:rsidRPr="00FF00BC" w:rsidRDefault="00BF618C" w:rsidP="00902B1D">
            <w:pPr>
              <w:jc w:val="both"/>
              <w:rPr>
                <w:sz w:val="20"/>
                <w:szCs w:val="20"/>
                <w:lang w:val="fr-CA"/>
              </w:rPr>
            </w:pPr>
            <w:r w:rsidRPr="00FF00BC">
              <w:rPr>
                <w:sz w:val="20"/>
                <w:szCs w:val="20"/>
                <w:lang w:val="fr-CA"/>
              </w:rPr>
              <w:t>(La juge Bolduc)</w:t>
            </w:r>
          </w:p>
          <w:p w:rsidR="00BF618C" w:rsidRPr="00FF00BC" w:rsidRDefault="00BF618C" w:rsidP="00902B1D">
            <w:pPr>
              <w:jc w:val="both"/>
              <w:rPr>
                <w:sz w:val="20"/>
                <w:szCs w:val="20"/>
                <w:lang w:val="fr-CA"/>
              </w:rPr>
            </w:pPr>
          </w:p>
        </w:tc>
        <w:tc>
          <w:tcPr>
            <w:tcW w:w="243" w:type="pct"/>
          </w:tcPr>
          <w:p w:rsidR="00BF618C" w:rsidRPr="00FF00BC" w:rsidRDefault="00BF618C" w:rsidP="00902B1D">
            <w:pPr>
              <w:jc w:val="both"/>
              <w:rPr>
                <w:sz w:val="20"/>
                <w:szCs w:val="20"/>
                <w:lang w:val="fr-CA"/>
              </w:rPr>
            </w:pPr>
          </w:p>
        </w:tc>
        <w:tc>
          <w:tcPr>
            <w:tcW w:w="2330" w:type="pct"/>
          </w:tcPr>
          <w:p w:rsidR="00BF618C" w:rsidRPr="00FF00BC" w:rsidRDefault="00BF618C" w:rsidP="00902B1D">
            <w:pPr>
              <w:jc w:val="both"/>
              <w:rPr>
                <w:sz w:val="20"/>
                <w:szCs w:val="20"/>
                <w:lang w:val="fr-CA"/>
              </w:rPr>
            </w:pPr>
            <w:r w:rsidRPr="00FF00BC">
              <w:rPr>
                <w:sz w:val="20"/>
                <w:szCs w:val="20"/>
                <w:lang w:val="fr-CA"/>
              </w:rPr>
              <w:t>Requête en rétractation de jugement rejetée</w:t>
            </w:r>
          </w:p>
          <w:p w:rsidR="00BF618C" w:rsidRPr="00FF00BC" w:rsidRDefault="00BF618C" w:rsidP="00902B1D">
            <w:pPr>
              <w:jc w:val="both"/>
              <w:rPr>
                <w:sz w:val="20"/>
                <w:szCs w:val="20"/>
                <w:lang w:val="fr-CA"/>
              </w:rPr>
            </w:pPr>
          </w:p>
        </w:tc>
      </w:tr>
      <w:tr w:rsidR="00BF618C" w:rsidRPr="00B07D2C" w:rsidTr="00902B1D">
        <w:tc>
          <w:tcPr>
            <w:tcW w:w="2427" w:type="pct"/>
          </w:tcPr>
          <w:p w:rsidR="00BF618C" w:rsidRPr="00FF00BC" w:rsidRDefault="00BF618C" w:rsidP="00902B1D">
            <w:pPr>
              <w:jc w:val="both"/>
              <w:rPr>
                <w:sz w:val="20"/>
                <w:szCs w:val="20"/>
                <w:lang w:val="fr-CA"/>
              </w:rPr>
            </w:pPr>
            <w:r w:rsidRPr="00FF00BC">
              <w:rPr>
                <w:sz w:val="20"/>
                <w:szCs w:val="20"/>
                <w:lang w:val="fr-CA"/>
              </w:rPr>
              <w:t>Le 22 juin 2012</w:t>
            </w:r>
          </w:p>
          <w:p w:rsidR="00BF618C" w:rsidRPr="00FF00BC" w:rsidRDefault="00BF618C" w:rsidP="00902B1D">
            <w:pPr>
              <w:jc w:val="both"/>
              <w:rPr>
                <w:sz w:val="20"/>
                <w:szCs w:val="20"/>
                <w:lang w:val="fr-CA"/>
              </w:rPr>
            </w:pPr>
            <w:r w:rsidRPr="00FF00BC">
              <w:rPr>
                <w:sz w:val="20"/>
                <w:szCs w:val="20"/>
                <w:lang w:val="fr-CA"/>
              </w:rPr>
              <w:t>Cour supérieure du Québec</w:t>
            </w:r>
          </w:p>
          <w:p w:rsidR="00BF618C" w:rsidRPr="00FF00BC" w:rsidRDefault="00BF618C" w:rsidP="00902B1D">
            <w:pPr>
              <w:jc w:val="both"/>
              <w:rPr>
                <w:sz w:val="20"/>
                <w:szCs w:val="20"/>
              </w:rPr>
            </w:pPr>
            <w:r w:rsidRPr="00FF00BC">
              <w:rPr>
                <w:sz w:val="20"/>
                <w:szCs w:val="20"/>
              </w:rPr>
              <w:t>(La juge Beaugé)</w:t>
            </w:r>
          </w:p>
          <w:p w:rsidR="00BF618C" w:rsidRPr="00FF00BC" w:rsidRDefault="00BF618C" w:rsidP="00902B1D">
            <w:pPr>
              <w:jc w:val="both"/>
              <w:rPr>
                <w:sz w:val="20"/>
                <w:szCs w:val="20"/>
              </w:rPr>
            </w:pPr>
          </w:p>
        </w:tc>
        <w:tc>
          <w:tcPr>
            <w:tcW w:w="243" w:type="pct"/>
          </w:tcPr>
          <w:p w:rsidR="00BF618C" w:rsidRPr="00FF00BC" w:rsidRDefault="00BF618C" w:rsidP="00902B1D">
            <w:pPr>
              <w:jc w:val="both"/>
              <w:rPr>
                <w:sz w:val="20"/>
                <w:szCs w:val="20"/>
              </w:rPr>
            </w:pPr>
          </w:p>
        </w:tc>
        <w:tc>
          <w:tcPr>
            <w:tcW w:w="2330" w:type="pct"/>
          </w:tcPr>
          <w:p w:rsidR="00BF618C" w:rsidRPr="00FF00BC" w:rsidRDefault="00BF618C" w:rsidP="00902B1D">
            <w:pPr>
              <w:jc w:val="both"/>
              <w:rPr>
                <w:sz w:val="20"/>
                <w:szCs w:val="20"/>
                <w:lang w:val="fr-CA"/>
              </w:rPr>
            </w:pPr>
            <w:r w:rsidRPr="00FF00BC">
              <w:rPr>
                <w:sz w:val="20"/>
                <w:szCs w:val="20"/>
                <w:lang w:val="fr-CA"/>
              </w:rPr>
              <w:t>Requête de l’intimé en irrecevabilité accueillie; appel de la demanderesse rejetée</w:t>
            </w:r>
          </w:p>
          <w:p w:rsidR="00BF618C" w:rsidRPr="00FF00BC" w:rsidRDefault="00BF618C" w:rsidP="00902B1D">
            <w:pPr>
              <w:jc w:val="both"/>
              <w:rPr>
                <w:sz w:val="20"/>
                <w:szCs w:val="20"/>
                <w:lang w:val="fr-CA"/>
              </w:rPr>
            </w:pPr>
          </w:p>
        </w:tc>
      </w:tr>
      <w:tr w:rsidR="00BF618C" w:rsidRPr="00FF00BC" w:rsidTr="00902B1D">
        <w:tc>
          <w:tcPr>
            <w:tcW w:w="2427" w:type="pct"/>
          </w:tcPr>
          <w:p w:rsidR="00BF618C" w:rsidRPr="00FF00BC" w:rsidRDefault="00BF618C" w:rsidP="00902B1D">
            <w:pPr>
              <w:jc w:val="both"/>
              <w:rPr>
                <w:sz w:val="20"/>
                <w:szCs w:val="20"/>
                <w:lang w:val="fr-CA"/>
              </w:rPr>
            </w:pPr>
            <w:r w:rsidRPr="00FF00BC">
              <w:rPr>
                <w:sz w:val="20"/>
                <w:szCs w:val="20"/>
                <w:lang w:val="fr-CA"/>
              </w:rPr>
              <w:t>Le 6 juillet 2012</w:t>
            </w:r>
          </w:p>
          <w:p w:rsidR="00BF618C" w:rsidRPr="00FF00BC" w:rsidRDefault="00BF618C" w:rsidP="00902B1D">
            <w:pPr>
              <w:jc w:val="both"/>
              <w:rPr>
                <w:sz w:val="20"/>
                <w:szCs w:val="20"/>
                <w:lang w:val="fr-CA"/>
              </w:rPr>
            </w:pPr>
            <w:r w:rsidRPr="00FF00BC">
              <w:rPr>
                <w:sz w:val="20"/>
                <w:szCs w:val="20"/>
                <w:lang w:val="fr-CA"/>
              </w:rPr>
              <w:t>Cour d’appel du Québec (Montréal)</w:t>
            </w:r>
          </w:p>
          <w:p w:rsidR="00BF618C" w:rsidRPr="00FF00BC" w:rsidRDefault="00BF618C" w:rsidP="00902B1D">
            <w:pPr>
              <w:jc w:val="both"/>
              <w:rPr>
                <w:sz w:val="20"/>
                <w:szCs w:val="20"/>
              </w:rPr>
            </w:pPr>
            <w:r w:rsidRPr="00FF00BC">
              <w:rPr>
                <w:sz w:val="20"/>
                <w:szCs w:val="20"/>
              </w:rPr>
              <w:t>(La juge Bich)</w:t>
            </w:r>
          </w:p>
          <w:p w:rsidR="00BF618C" w:rsidRPr="00FF00BC" w:rsidRDefault="00BF618C" w:rsidP="00902B1D">
            <w:pPr>
              <w:jc w:val="both"/>
              <w:rPr>
                <w:sz w:val="20"/>
                <w:szCs w:val="20"/>
              </w:rPr>
            </w:pPr>
            <w:r w:rsidRPr="00FF00BC">
              <w:rPr>
                <w:sz w:val="20"/>
                <w:szCs w:val="20"/>
              </w:rPr>
              <w:t>2012 QCCA 1442; 500</w:t>
            </w:r>
            <w:r w:rsidRPr="00FF00BC">
              <w:rPr>
                <w:sz w:val="20"/>
                <w:szCs w:val="20"/>
              </w:rPr>
              <w:noBreakHyphen/>
              <w:t>08</w:t>
            </w:r>
            <w:r w:rsidRPr="00FF00BC">
              <w:rPr>
                <w:sz w:val="20"/>
                <w:szCs w:val="20"/>
              </w:rPr>
              <w:noBreakHyphen/>
              <w:t>000401</w:t>
            </w:r>
            <w:r w:rsidRPr="00FF00BC">
              <w:rPr>
                <w:sz w:val="20"/>
                <w:szCs w:val="20"/>
              </w:rPr>
              <w:noBreakHyphen/>
              <w:t>127</w:t>
            </w:r>
          </w:p>
          <w:p w:rsidR="00BF618C" w:rsidRPr="00FF00BC" w:rsidRDefault="00BF618C" w:rsidP="00902B1D">
            <w:pPr>
              <w:jc w:val="both"/>
              <w:rPr>
                <w:sz w:val="20"/>
                <w:szCs w:val="20"/>
              </w:rPr>
            </w:pPr>
          </w:p>
        </w:tc>
        <w:tc>
          <w:tcPr>
            <w:tcW w:w="243" w:type="pct"/>
          </w:tcPr>
          <w:p w:rsidR="00BF618C" w:rsidRPr="00FF00BC" w:rsidRDefault="00BF618C" w:rsidP="00902B1D">
            <w:pPr>
              <w:jc w:val="both"/>
              <w:rPr>
                <w:sz w:val="20"/>
                <w:szCs w:val="20"/>
              </w:rPr>
            </w:pPr>
          </w:p>
        </w:tc>
        <w:tc>
          <w:tcPr>
            <w:tcW w:w="2330" w:type="pct"/>
          </w:tcPr>
          <w:p w:rsidR="00BF618C" w:rsidRPr="00BF618C" w:rsidRDefault="00BF618C" w:rsidP="00902B1D">
            <w:pPr>
              <w:jc w:val="both"/>
              <w:rPr>
                <w:sz w:val="20"/>
                <w:szCs w:val="20"/>
                <w:lang w:val="fr-CA"/>
              </w:rPr>
            </w:pPr>
            <w:r w:rsidRPr="00BF618C">
              <w:rPr>
                <w:sz w:val="20"/>
                <w:szCs w:val="20"/>
                <w:lang w:val="fr-CA"/>
              </w:rPr>
              <w:t>Requête pour permission d’appeler rejetée</w:t>
            </w:r>
          </w:p>
          <w:p w:rsidR="00BF618C" w:rsidRPr="00FF00BC" w:rsidRDefault="00BF618C" w:rsidP="00902B1D">
            <w:pPr>
              <w:jc w:val="both"/>
              <w:rPr>
                <w:sz w:val="20"/>
                <w:szCs w:val="20"/>
              </w:rPr>
            </w:pPr>
          </w:p>
        </w:tc>
      </w:tr>
      <w:tr w:rsidR="00BF618C" w:rsidRPr="00FF00BC" w:rsidTr="00902B1D">
        <w:tc>
          <w:tcPr>
            <w:tcW w:w="2427" w:type="pct"/>
          </w:tcPr>
          <w:p w:rsidR="00BF618C" w:rsidRPr="00FF00BC" w:rsidRDefault="00BF618C" w:rsidP="00902B1D">
            <w:pPr>
              <w:jc w:val="both"/>
              <w:rPr>
                <w:sz w:val="20"/>
                <w:szCs w:val="20"/>
                <w:lang w:val="fr-CA"/>
              </w:rPr>
            </w:pPr>
            <w:r w:rsidRPr="00FF00BC">
              <w:rPr>
                <w:sz w:val="20"/>
                <w:szCs w:val="20"/>
                <w:lang w:val="fr-CA"/>
              </w:rPr>
              <w:t>Le 17 septembre 2012</w:t>
            </w:r>
          </w:p>
          <w:p w:rsidR="00BF618C" w:rsidRPr="00FF00BC" w:rsidRDefault="00BF618C" w:rsidP="00902B1D">
            <w:pPr>
              <w:jc w:val="both"/>
              <w:rPr>
                <w:sz w:val="20"/>
                <w:szCs w:val="20"/>
                <w:lang w:val="fr-CA"/>
              </w:rPr>
            </w:pPr>
            <w:r w:rsidRPr="00FF00BC">
              <w:rPr>
                <w:sz w:val="20"/>
                <w:szCs w:val="20"/>
                <w:lang w:val="fr-CA"/>
              </w:rPr>
              <w:t>Cour suprême du Canada</w:t>
            </w:r>
          </w:p>
        </w:tc>
        <w:tc>
          <w:tcPr>
            <w:tcW w:w="243" w:type="pct"/>
          </w:tcPr>
          <w:p w:rsidR="00BF618C" w:rsidRPr="00FF00BC" w:rsidRDefault="00BF618C" w:rsidP="00902B1D">
            <w:pPr>
              <w:jc w:val="both"/>
              <w:rPr>
                <w:sz w:val="20"/>
                <w:szCs w:val="20"/>
                <w:lang w:val="fr-CA"/>
              </w:rPr>
            </w:pPr>
          </w:p>
        </w:tc>
        <w:tc>
          <w:tcPr>
            <w:tcW w:w="2330" w:type="pct"/>
          </w:tcPr>
          <w:p w:rsidR="00BF618C" w:rsidRPr="00BF618C" w:rsidRDefault="00BF618C" w:rsidP="00902B1D">
            <w:pPr>
              <w:jc w:val="both"/>
              <w:rPr>
                <w:sz w:val="20"/>
                <w:szCs w:val="20"/>
                <w:lang w:val="fr-CA"/>
              </w:rPr>
            </w:pPr>
            <w:r w:rsidRPr="00BF618C">
              <w:rPr>
                <w:sz w:val="20"/>
                <w:szCs w:val="20"/>
                <w:lang w:val="fr-CA"/>
              </w:rPr>
              <w:t>Demande d'autorisation d'appel déposée</w:t>
            </w:r>
          </w:p>
          <w:p w:rsidR="00BF618C" w:rsidRPr="00FF00BC" w:rsidRDefault="00BF618C" w:rsidP="00902B1D">
            <w:pPr>
              <w:jc w:val="both"/>
              <w:rPr>
                <w:sz w:val="20"/>
                <w:szCs w:val="20"/>
              </w:rPr>
            </w:pPr>
          </w:p>
        </w:tc>
      </w:tr>
    </w:tbl>
    <w:p w:rsidR="00A32A8F" w:rsidRDefault="00A32A8F" w:rsidP="00A32A8F">
      <w:pPr>
        <w:rPr>
          <w:sz w:val="20"/>
          <w:szCs w:val="20"/>
        </w:rPr>
      </w:pPr>
    </w:p>
    <w:p w:rsidR="00A32A8F" w:rsidRDefault="00CB0178" w:rsidP="00A32A8F">
      <w:pPr>
        <w:rPr>
          <w:sz w:val="20"/>
          <w:szCs w:val="20"/>
        </w:rPr>
      </w:pPr>
      <w:r w:rsidRPr="00CB0178">
        <w:rPr>
          <w:sz w:val="20"/>
          <w:szCs w:val="20"/>
          <w:lang w:val="fr-CA"/>
        </w:rPr>
        <w:pict>
          <v:rect id="_x0000_i1050" style="width:2in;height:1pt" o:hrpct="0" o:hralign="center" o:hrstd="t" o:hrnoshade="t" o:hr="t" fillcolor="black [3213]" stroked="f"/>
        </w:pict>
      </w:r>
    </w:p>
    <w:p w:rsidR="00A32A8F" w:rsidRDefault="00A32A8F" w:rsidP="00A32A8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8316E" w:rsidRPr="00104479" w:rsidTr="00D54B9C">
        <w:trPr>
          <w:cantSplit/>
        </w:trPr>
        <w:tc>
          <w:tcPr>
            <w:tcW w:w="1458" w:type="dxa"/>
          </w:tcPr>
          <w:p w:rsidR="0078316E" w:rsidRPr="00104479" w:rsidRDefault="0078316E" w:rsidP="00D54B9C">
            <w:pPr>
              <w:rPr>
                <w:sz w:val="20"/>
                <w:szCs w:val="20"/>
              </w:rPr>
            </w:pPr>
            <w:r w:rsidRPr="00104479">
              <w:rPr>
                <w:rStyle w:val="SCCFileNumberChar"/>
                <w:sz w:val="20"/>
                <w:szCs w:val="20"/>
              </w:rPr>
              <w:t>35075</w:t>
            </w:r>
          </w:p>
          <w:p w:rsidR="0078316E" w:rsidRPr="00104479" w:rsidRDefault="0078316E" w:rsidP="00D54B9C">
            <w:pPr>
              <w:rPr>
                <w:b/>
                <w:sz w:val="20"/>
                <w:szCs w:val="20"/>
                <w:lang w:val="fr-CA"/>
              </w:rPr>
            </w:pPr>
          </w:p>
        </w:tc>
        <w:tc>
          <w:tcPr>
            <w:tcW w:w="8118" w:type="dxa"/>
          </w:tcPr>
          <w:p w:rsidR="0078316E" w:rsidRPr="00104479" w:rsidRDefault="0078316E" w:rsidP="00D54B9C">
            <w:pPr>
              <w:rPr>
                <w:sz w:val="20"/>
                <w:szCs w:val="20"/>
              </w:rPr>
            </w:pPr>
            <w:r w:rsidRPr="00104479">
              <w:rPr>
                <w:rStyle w:val="SCCLsocChar"/>
                <w:sz w:val="20"/>
                <w:szCs w:val="20"/>
                <w:lang w:val="en-CA"/>
              </w:rPr>
              <w:t>Mirza Nammo v. Law Enforcement Review Board</w:t>
            </w:r>
            <w:r w:rsidRPr="00104479">
              <w:rPr>
                <w:sz w:val="20"/>
                <w:szCs w:val="20"/>
              </w:rPr>
              <w:t xml:space="preserve"> (Alta.) (Civil) (By Leave)</w:t>
            </w:r>
          </w:p>
          <w:p w:rsidR="0078316E" w:rsidRPr="00104479" w:rsidRDefault="0078316E" w:rsidP="00D54B9C">
            <w:pPr>
              <w:rPr>
                <w:sz w:val="20"/>
                <w:szCs w:val="20"/>
              </w:rPr>
            </w:pPr>
          </w:p>
        </w:tc>
      </w:tr>
      <w:tr w:rsidR="0078316E" w:rsidRPr="00104479" w:rsidTr="00D54B9C">
        <w:trPr>
          <w:cantSplit/>
        </w:trPr>
        <w:tc>
          <w:tcPr>
            <w:tcW w:w="1458" w:type="dxa"/>
          </w:tcPr>
          <w:p w:rsidR="0078316E" w:rsidRDefault="0078316E" w:rsidP="00D54B9C">
            <w:pPr>
              <w:rPr>
                <w:sz w:val="20"/>
                <w:szCs w:val="20"/>
              </w:rPr>
            </w:pPr>
            <w:r w:rsidRPr="00104479">
              <w:rPr>
                <w:sz w:val="20"/>
                <w:szCs w:val="20"/>
              </w:rPr>
              <w:t>Coram :</w:t>
            </w:r>
          </w:p>
          <w:p w:rsidR="00B07D2C" w:rsidRPr="00104479" w:rsidRDefault="00B07D2C" w:rsidP="00D54B9C">
            <w:pPr>
              <w:rPr>
                <w:sz w:val="20"/>
                <w:szCs w:val="20"/>
              </w:rPr>
            </w:pPr>
          </w:p>
        </w:tc>
        <w:tc>
          <w:tcPr>
            <w:tcW w:w="8118" w:type="dxa"/>
          </w:tcPr>
          <w:p w:rsidR="0078316E" w:rsidRPr="00104479" w:rsidRDefault="0078316E" w:rsidP="00D54B9C">
            <w:pPr>
              <w:rPr>
                <w:sz w:val="20"/>
                <w:szCs w:val="20"/>
              </w:rPr>
            </w:pPr>
            <w:r w:rsidRPr="00104479">
              <w:rPr>
                <w:rStyle w:val="SCCCoramChar"/>
                <w:sz w:val="20"/>
                <w:szCs w:val="20"/>
                <w:lang w:val="en-CA"/>
              </w:rPr>
              <w:t>Fish, Rothstein and Moldaver JJ.</w:t>
            </w:r>
          </w:p>
          <w:p w:rsidR="0078316E" w:rsidRPr="00104479" w:rsidRDefault="0078316E" w:rsidP="00D54B9C">
            <w:pPr>
              <w:rPr>
                <w:sz w:val="20"/>
                <w:szCs w:val="20"/>
                <w:u w:val="single"/>
              </w:rPr>
            </w:pPr>
          </w:p>
        </w:tc>
      </w:tr>
      <w:tr w:rsidR="0078316E" w:rsidRPr="00B07D2C" w:rsidTr="00D54B9C">
        <w:trPr>
          <w:cantSplit/>
        </w:trPr>
        <w:tc>
          <w:tcPr>
            <w:tcW w:w="9576" w:type="dxa"/>
            <w:gridSpan w:val="2"/>
          </w:tcPr>
          <w:p w:rsidR="0078316E" w:rsidRPr="00104479" w:rsidRDefault="0078316E" w:rsidP="00D54B9C">
            <w:pPr>
              <w:pStyle w:val="SCCShortJudgment"/>
              <w:rPr>
                <w:szCs w:val="20"/>
              </w:rPr>
            </w:pPr>
            <w:r w:rsidRPr="00104479">
              <w:rPr>
                <w:szCs w:val="20"/>
              </w:rPr>
              <w:t>The application for leave to appeal from the judgment of the Court of Appeal of Alberta (Calgary), Number 1201-0164-AC, 2012 ABCA 291, dated October 3, 2012, is dismissed with costs.</w:t>
            </w:r>
          </w:p>
          <w:p w:rsidR="0078316E" w:rsidRPr="00104479" w:rsidRDefault="0078316E" w:rsidP="00D54B9C">
            <w:pPr>
              <w:pStyle w:val="SCCShortJudgment"/>
              <w:ind w:firstLine="0"/>
              <w:rPr>
                <w:szCs w:val="20"/>
              </w:rPr>
            </w:pPr>
          </w:p>
          <w:p w:rsidR="0078316E" w:rsidRPr="00104479" w:rsidRDefault="0078316E" w:rsidP="00D54B9C">
            <w:pPr>
              <w:pStyle w:val="SCCShortJudgment"/>
              <w:rPr>
                <w:szCs w:val="20"/>
                <w:lang w:val="fr-CA"/>
              </w:rPr>
            </w:pPr>
            <w:r w:rsidRPr="00104479">
              <w:rPr>
                <w:szCs w:val="20"/>
                <w:lang w:val="fr-CA"/>
              </w:rPr>
              <w:t>La demande d’autorisation d’appel de l’arrêt de la Cour d'appel de l’Alberta (Calgary), numéro 1201-0164-AC, 2012 ABCA 291, daté du 3 octobre 2012, est rejetée avec dépens.</w:t>
            </w:r>
          </w:p>
        </w:tc>
      </w:tr>
    </w:tbl>
    <w:p w:rsidR="00A32A8F" w:rsidRPr="00A32A8F" w:rsidRDefault="00A32A8F" w:rsidP="00A32A8F">
      <w:pPr>
        <w:rPr>
          <w:sz w:val="20"/>
          <w:szCs w:val="20"/>
          <w:lang w:val="fr-CA"/>
        </w:rPr>
      </w:pPr>
    </w:p>
    <w:p w:rsidR="00A32A8F" w:rsidRDefault="00A32A8F" w:rsidP="00A32A8F">
      <w:pPr>
        <w:rPr>
          <w:sz w:val="20"/>
          <w:szCs w:val="20"/>
          <w:u w:val="single"/>
        </w:rPr>
      </w:pPr>
      <w:r w:rsidRPr="001B157C">
        <w:rPr>
          <w:sz w:val="20"/>
          <w:szCs w:val="20"/>
          <w:u w:val="single"/>
        </w:rPr>
        <w:t>CASE SUMMARY</w:t>
      </w:r>
    </w:p>
    <w:p w:rsidR="00A32A8F" w:rsidRDefault="00A32A8F" w:rsidP="00A32A8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F618C" w:rsidRPr="00FF00BC" w:rsidTr="00902B1D">
        <w:tc>
          <w:tcPr>
            <w:tcW w:w="5000" w:type="pct"/>
            <w:gridSpan w:val="3"/>
          </w:tcPr>
          <w:p w:rsidR="00BF618C" w:rsidRPr="00FF00BC" w:rsidRDefault="00BF618C" w:rsidP="00902B1D">
            <w:pPr>
              <w:pStyle w:val="SCCBanSummary"/>
              <w:rPr>
                <w:smallCaps w:val="0"/>
                <w:sz w:val="20"/>
                <w:szCs w:val="20"/>
              </w:rPr>
            </w:pPr>
            <w:r w:rsidRPr="00FF00BC">
              <w:rPr>
                <w:smallCaps w:val="0"/>
                <w:sz w:val="20"/>
                <w:szCs w:val="20"/>
              </w:rPr>
              <w:t>Administrative Law – Boards and tribunals – Law Enforcement Review Board – Applicant seeking leave to appeal decision of Board dismissing appeal of decision of Calgary Police Commission dismissing complaint filed by him – Court of Appeal dismissing application for leave to appeal – Whether the Court of Appeal erred in dismissing application for leave to appeal on grounds that issues raised were without merit</w:t>
            </w:r>
          </w:p>
        </w:tc>
      </w:tr>
      <w:tr w:rsidR="00BF618C" w:rsidRPr="00FF00BC" w:rsidTr="00902B1D">
        <w:tc>
          <w:tcPr>
            <w:tcW w:w="5000" w:type="pct"/>
            <w:gridSpan w:val="3"/>
          </w:tcPr>
          <w:p w:rsidR="00BF618C" w:rsidRPr="00FF00BC" w:rsidRDefault="00BF618C" w:rsidP="00902B1D">
            <w:pPr>
              <w:jc w:val="both"/>
              <w:rPr>
                <w:sz w:val="20"/>
                <w:szCs w:val="20"/>
              </w:rPr>
            </w:pPr>
          </w:p>
        </w:tc>
      </w:tr>
      <w:tr w:rsidR="00BF618C" w:rsidRPr="00FF00BC" w:rsidTr="00902B1D">
        <w:tc>
          <w:tcPr>
            <w:tcW w:w="5000" w:type="pct"/>
            <w:gridSpan w:val="3"/>
          </w:tcPr>
          <w:p w:rsidR="00BF618C" w:rsidRPr="00FF00BC" w:rsidRDefault="00BF618C" w:rsidP="00902B1D">
            <w:pPr>
              <w:jc w:val="both"/>
              <w:rPr>
                <w:sz w:val="20"/>
                <w:szCs w:val="20"/>
              </w:rPr>
            </w:pPr>
            <w:r w:rsidRPr="00FF00BC">
              <w:rPr>
                <w:sz w:val="20"/>
                <w:szCs w:val="20"/>
              </w:rPr>
              <w:t xml:space="preserve">In 2006, Mr. Nammo was involved in a motor vehicle accident involving another car.  He launched a civil action seeking to obtain damages from the other party to the accident.  His action was dismissed.  Mr. Nammo subsequently sent a written request to the Calgary Police Service that criminal charges be laid against the opposing insurance company, its lawyers and the judges involved in his civil case. An officer with the Police Service advised Mr. Nammo that the Police Service would not be laying charges.  Mr. Nammo then filed complaints against that officer and the Police Service under the </w:t>
            </w:r>
            <w:r w:rsidRPr="00FF00BC">
              <w:rPr>
                <w:i/>
                <w:sz w:val="20"/>
                <w:szCs w:val="20"/>
              </w:rPr>
              <w:t xml:space="preserve">Police Act. </w:t>
            </w:r>
            <w:r w:rsidRPr="00FF00BC">
              <w:rPr>
                <w:sz w:val="20"/>
                <w:szCs w:val="20"/>
              </w:rPr>
              <w:t xml:space="preserve">Those complaints were dismissed by the Chief of Police.  Mr. Nammo appealed the Chief’s decision to the Law Enforcement Review Board and to the Calgary Police Commission. Those appeals </w:t>
            </w:r>
            <w:r w:rsidRPr="00FF00BC">
              <w:rPr>
                <w:sz w:val="20"/>
                <w:szCs w:val="20"/>
              </w:rPr>
              <w:lastRenderedPageBreak/>
              <w:t xml:space="preserve">were dismissed. </w:t>
            </w:r>
          </w:p>
          <w:p w:rsidR="00BF618C" w:rsidRPr="00FF00BC" w:rsidRDefault="00BF618C" w:rsidP="00902B1D">
            <w:pPr>
              <w:jc w:val="both"/>
              <w:rPr>
                <w:sz w:val="20"/>
                <w:szCs w:val="20"/>
              </w:rPr>
            </w:pPr>
          </w:p>
          <w:p w:rsidR="00BF618C" w:rsidRPr="00FF00BC" w:rsidRDefault="00BF618C" w:rsidP="00902B1D">
            <w:pPr>
              <w:jc w:val="both"/>
              <w:rPr>
                <w:sz w:val="20"/>
                <w:szCs w:val="20"/>
              </w:rPr>
            </w:pPr>
            <w:r w:rsidRPr="00FF00BC">
              <w:rPr>
                <w:sz w:val="20"/>
                <w:szCs w:val="20"/>
              </w:rPr>
              <w:t xml:space="preserve">Mr. Nammo then filed a fresh complaint with the Calgary Police Commission under the </w:t>
            </w:r>
            <w:r w:rsidRPr="00FF00BC">
              <w:rPr>
                <w:i/>
                <w:sz w:val="20"/>
                <w:szCs w:val="20"/>
              </w:rPr>
              <w:t xml:space="preserve">Police Act </w:t>
            </w:r>
            <w:r w:rsidRPr="00FF00BC">
              <w:rPr>
                <w:sz w:val="20"/>
                <w:szCs w:val="20"/>
              </w:rPr>
              <w:t xml:space="preserve">against the Chief of Police for having dismissed his first complaint.  The Commission dismissed this second complaint.  Mr. Nammo appealed that dismissal to the Law Enforcement Review Board.  </w:t>
            </w:r>
          </w:p>
          <w:p w:rsidR="00BF618C" w:rsidRPr="00FF00BC" w:rsidRDefault="00BF618C" w:rsidP="00902B1D">
            <w:pPr>
              <w:jc w:val="both"/>
              <w:rPr>
                <w:sz w:val="20"/>
                <w:szCs w:val="20"/>
              </w:rPr>
            </w:pPr>
          </w:p>
        </w:tc>
      </w:tr>
      <w:tr w:rsidR="00BF618C" w:rsidRPr="00FF00BC" w:rsidTr="00902B1D">
        <w:tc>
          <w:tcPr>
            <w:tcW w:w="2427" w:type="pct"/>
          </w:tcPr>
          <w:p w:rsidR="00BF618C" w:rsidRPr="00FF00BC" w:rsidRDefault="00BF618C" w:rsidP="00902B1D">
            <w:pPr>
              <w:jc w:val="both"/>
              <w:rPr>
                <w:sz w:val="20"/>
                <w:szCs w:val="20"/>
              </w:rPr>
            </w:pPr>
            <w:r w:rsidRPr="00FF00BC">
              <w:rPr>
                <w:sz w:val="20"/>
                <w:szCs w:val="20"/>
              </w:rPr>
              <w:lastRenderedPageBreak/>
              <w:t>June 13, 2012</w:t>
            </w:r>
          </w:p>
          <w:p w:rsidR="00BF618C" w:rsidRPr="00FF00BC" w:rsidRDefault="00BF618C" w:rsidP="00902B1D">
            <w:pPr>
              <w:jc w:val="both"/>
              <w:rPr>
                <w:sz w:val="20"/>
                <w:szCs w:val="20"/>
              </w:rPr>
            </w:pPr>
            <w:r w:rsidRPr="00FF00BC">
              <w:rPr>
                <w:sz w:val="20"/>
                <w:szCs w:val="20"/>
              </w:rPr>
              <w:t>Law Enforcement Review Board (Alberta)</w:t>
            </w:r>
          </w:p>
          <w:p w:rsidR="00BF618C" w:rsidRPr="00FF00BC" w:rsidRDefault="00BF618C" w:rsidP="00902B1D">
            <w:pPr>
              <w:jc w:val="both"/>
              <w:rPr>
                <w:sz w:val="20"/>
                <w:szCs w:val="20"/>
              </w:rPr>
            </w:pPr>
            <w:r w:rsidRPr="00FF00BC">
              <w:rPr>
                <w:sz w:val="20"/>
                <w:szCs w:val="20"/>
              </w:rPr>
              <w:t>(J. Phillips, Chair)</w:t>
            </w:r>
          </w:p>
          <w:p w:rsidR="00BF618C" w:rsidRPr="00FF00BC" w:rsidRDefault="00BF618C" w:rsidP="00902B1D">
            <w:pPr>
              <w:jc w:val="both"/>
              <w:rPr>
                <w:sz w:val="20"/>
                <w:szCs w:val="20"/>
              </w:rPr>
            </w:pPr>
          </w:p>
        </w:tc>
        <w:tc>
          <w:tcPr>
            <w:tcW w:w="243" w:type="pct"/>
          </w:tcPr>
          <w:p w:rsidR="00BF618C" w:rsidRPr="00FF00BC" w:rsidRDefault="00BF618C" w:rsidP="00902B1D">
            <w:pPr>
              <w:jc w:val="both"/>
              <w:rPr>
                <w:sz w:val="20"/>
                <w:szCs w:val="20"/>
              </w:rPr>
            </w:pPr>
          </w:p>
        </w:tc>
        <w:tc>
          <w:tcPr>
            <w:tcW w:w="2330" w:type="pct"/>
          </w:tcPr>
          <w:p w:rsidR="00BF618C" w:rsidRPr="00FF00BC" w:rsidRDefault="00BF618C" w:rsidP="00902B1D">
            <w:pPr>
              <w:jc w:val="both"/>
              <w:rPr>
                <w:sz w:val="20"/>
                <w:szCs w:val="20"/>
              </w:rPr>
            </w:pPr>
            <w:r w:rsidRPr="00FF00BC">
              <w:rPr>
                <w:sz w:val="20"/>
                <w:szCs w:val="20"/>
              </w:rPr>
              <w:t>Appeal from a decision of the Calgary Police Commission, dismissed.</w:t>
            </w:r>
          </w:p>
        </w:tc>
      </w:tr>
      <w:tr w:rsidR="00BF618C" w:rsidRPr="00FF00BC" w:rsidTr="00902B1D">
        <w:tc>
          <w:tcPr>
            <w:tcW w:w="2427" w:type="pct"/>
          </w:tcPr>
          <w:p w:rsidR="00BF618C" w:rsidRPr="00FF00BC" w:rsidRDefault="00BF618C" w:rsidP="00902B1D">
            <w:pPr>
              <w:jc w:val="both"/>
              <w:rPr>
                <w:sz w:val="20"/>
                <w:szCs w:val="20"/>
              </w:rPr>
            </w:pPr>
            <w:r w:rsidRPr="00FF00BC">
              <w:rPr>
                <w:sz w:val="20"/>
                <w:szCs w:val="20"/>
              </w:rPr>
              <w:t>October 3, 2012</w:t>
            </w:r>
          </w:p>
          <w:p w:rsidR="00BF618C" w:rsidRPr="00FF00BC" w:rsidRDefault="00BF618C" w:rsidP="00902B1D">
            <w:pPr>
              <w:jc w:val="both"/>
              <w:rPr>
                <w:sz w:val="20"/>
                <w:szCs w:val="20"/>
              </w:rPr>
            </w:pPr>
            <w:r w:rsidRPr="00FF00BC">
              <w:rPr>
                <w:sz w:val="20"/>
                <w:szCs w:val="20"/>
              </w:rPr>
              <w:t>Court of Appeal of Alberta (Calgary)</w:t>
            </w:r>
          </w:p>
          <w:p w:rsidR="00BF618C" w:rsidRPr="00FF00BC" w:rsidRDefault="00BF618C" w:rsidP="00902B1D">
            <w:pPr>
              <w:jc w:val="both"/>
              <w:rPr>
                <w:sz w:val="20"/>
                <w:szCs w:val="20"/>
              </w:rPr>
            </w:pPr>
            <w:r w:rsidRPr="00FF00BC">
              <w:rPr>
                <w:sz w:val="20"/>
                <w:szCs w:val="20"/>
              </w:rPr>
              <w:t>(McDonald J.A.)</w:t>
            </w:r>
          </w:p>
          <w:p w:rsidR="00BF618C" w:rsidRPr="00FF00BC" w:rsidRDefault="00BF618C" w:rsidP="00902B1D">
            <w:pPr>
              <w:jc w:val="both"/>
              <w:rPr>
                <w:sz w:val="20"/>
                <w:szCs w:val="20"/>
              </w:rPr>
            </w:pPr>
            <w:r w:rsidRPr="00FF00BC">
              <w:rPr>
                <w:sz w:val="20"/>
                <w:szCs w:val="20"/>
              </w:rPr>
              <w:t>2012 ABCA 291</w:t>
            </w:r>
          </w:p>
          <w:p w:rsidR="00BF618C" w:rsidRPr="00FF00BC" w:rsidRDefault="00BF618C" w:rsidP="00902B1D">
            <w:pPr>
              <w:jc w:val="both"/>
              <w:rPr>
                <w:sz w:val="20"/>
                <w:szCs w:val="20"/>
              </w:rPr>
            </w:pPr>
          </w:p>
        </w:tc>
        <w:tc>
          <w:tcPr>
            <w:tcW w:w="243" w:type="pct"/>
          </w:tcPr>
          <w:p w:rsidR="00BF618C" w:rsidRPr="00FF00BC" w:rsidRDefault="00BF618C" w:rsidP="00902B1D">
            <w:pPr>
              <w:jc w:val="both"/>
              <w:rPr>
                <w:sz w:val="20"/>
                <w:szCs w:val="20"/>
              </w:rPr>
            </w:pPr>
          </w:p>
        </w:tc>
        <w:tc>
          <w:tcPr>
            <w:tcW w:w="2330" w:type="pct"/>
          </w:tcPr>
          <w:p w:rsidR="00BF618C" w:rsidRPr="00FF00BC" w:rsidRDefault="00BF618C" w:rsidP="00902B1D">
            <w:pPr>
              <w:jc w:val="both"/>
              <w:rPr>
                <w:sz w:val="20"/>
                <w:szCs w:val="20"/>
              </w:rPr>
            </w:pPr>
            <w:r w:rsidRPr="00FF00BC">
              <w:rPr>
                <w:sz w:val="20"/>
                <w:szCs w:val="20"/>
              </w:rPr>
              <w:t>Application for leave to appeal dismissed.</w:t>
            </w:r>
          </w:p>
          <w:p w:rsidR="00BF618C" w:rsidRPr="00FF00BC" w:rsidRDefault="00BF618C" w:rsidP="00902B1D">
            <w:pPr>
              <w:jc w:val="both"/>
              <w:rPr>
                <w:sz w:val="20"/>
                <w:szCs w:val="20"/>
              </w:rPr>
            </w:pPr>
          </w:p>
        </w:tc>
      </w:tr>
      <w:tr w:rsidR="00BF618C" w:rsidRPr="00FF00BC" w:rsidTr="00902B1D">
        <w:tc>
          <w:tcPr>
            <w:tcW w:w="2427" w:type="pct"/>
          </w:tcPr>
          <w:p w:rsidR="00BF618C" w:rsidRPr="00FF00BC" w:rsidRDefault="00BF618C" w:rsidP="00902B1D">
            <w:pPr>
              <w:jc w:val="both"/>
              <w:rPr>
                <w:sz w:val="20"/>
                <w:szCs w:val="20"/>
              </w:rPr>
            </w:pPr>
            <w:r w:rsidRPr="00FF00BC">
              <w:rPr>
                <w:sz w:val="20"/>
                <w:szCs w:val="20"/>
              </w:rPr>
              <w:t>November 14, 2012</w:t>
            </w:r>
          </w:p>
          <w:p w:rsidR="00BF618C" w:rsidRPr="00FF00BC" w:rsidRDefault="00BF618C" w:rsidP="00902B1D">
            <w:pPr>
              <w:jc w:val="both"/>
              <w:rPr>
                <w:sz w:val="20"/>
                <w:szCs w:val="20"/>
              </w:rPr>
            </w:pPr>
            <w:r w:rsidRPr="00FF00BC">
              <w:rPr>
                <w:sz w:val="20"/>
                <w:szCs w:val="20"/>
              </w:rPr>
              <w:t>Supreme Court of Canada</w:t>
            </w:r>
          </w:p>
        </w:tc>
        <w:tc>
          <w:tcPr>
            <w:tcW w:w="243" w:type="pct"/>
          </w:tcPr>
          <w:p w:rsidR="00BF618C" w:rsidRPr="00FF00BC" w:rsidRDefault="00BF618C" w:rsidP="00902B1D">
            <w:pPr>
              <w:jc w:val="both"/>
              <w:rPr>
                <w:sz w:val="20"/>
                <w:szCs w:val="20"/>
              </w:rPr>
            </w:pPr>
          </w:p>
        </w:tc>
        <w:tc>
          <w:tcPr>
            <w:tcW w:w="2330" w:type="pct"/>
          </w:tcPr>
          <w:p w:rsidR="00BF618C" w:rsidRPr="00FF00BC" w:rsidRDefault="00BF618C" w:rsidP="00902B1D">
            <w:pPr>
              <w:jc w:val="both"/>
              <w:rPr>
                <w:sz w:val="20"/>
                <w:szCs w:val="20"/>
              </w:rPr>
            </w:pPr>
            <w:r w:rsidRPr="00FF00BC">
              <w:rPr>
                <w:sz w:val="20"/>
                <w:szCs w:val="20"/>
              </w:rPr>
              <w:t>Application for leave to appeal filed.</w:t>
            </w:r>
          </w:p>
          <w:p w:rsidR="00BF618C" w:rsidRPr="00FF00BC" w:rsidRDefault="00BF618C" w:rsidP="00902B1D">
            <w:pPr>
              <w:jc w:val="both"/>
              <w:rPr>
                <w:sz w:val="20"/>
                <w:szCs w:val="20"/>
              </w:rPr>
            </w:pPr>
          </w:p>
        </w:tc>
      </w:tr>
    </w:tbl>
    <w:p w:rsidR="00A32A8F" w:rsidRDefault="00A32A8F" w:rsidP="00A32A8F">
      <w:pPr>
        <w:rPr>
          <w:sz w:val="20"/>
          <w:szCs w:val="20"/>
        </w:rPr>
      </w:pPr>
    </w:p>
    <w:p w:rsidR="00A32A8F" w:rsidRDefault="00CB0178" w:rsidP="00A32A8F">
      <w:pPr>
        <w:rPr>
          <w:sz w:val="20"/>
          <w:szCs w:val="20"/>
        </w:rPr>
      </w:pPr>
      <w:r w:rsidRPr="00CB0178">
        <w:rPr>
          <w:sz w:val="20"/>
          <w:szCs w:val="20"/>
          <w:lang w:val="fr-CA"/>
        </w:rPr>
        <w:pict>
          <v:rect id="_x0000_i1051" style="width:2in;height:1pt" o:hrpct="0" o:hralign="center" o:hrstd="t" o:hrnoshade="t" o:hr="t" fillcolor="black [3213]" stroked="f"/>
        </w:pict>
      </w:r>
    </w:p>
    <w:p w:rsidR="00A32A8F" w:rsidRDefault="00A32A8F" w:rsidP="00A32A8F">
      <w:pPr>
        <w:rPr>
          <w:sz w:val="20"/>
          <w:szCs w:val="20"/>
        </w:rPr>
      </w:pPr>
    </w:p>
    <w:p w:rsidR="00A32A8F" w:rsidRPr="001B157C" w:rsidRDefault="00A32A8F" w:rsidP="00A32A8F">
      <w:pPr>
        <w:rPr>
          <w:sz w:val="20"/>
          <w:szCs w:val="20"/>
          <w:u w:val="single"/>
          <w:lang w:val="fr-CA"/>
        </w:rPr>
      </w:pPr>
      <w:r w:rsidRPr="001B157C">
        <w:rPr>
          <w:sz w:val="20"/>
          <w:szCs w:val="20"/>
          <w:u w:val="single"/>
          <w:lang w:val="fr-CA"/>
        </w:rPr>
        <w:t>RÉSUMÉ DE L’AFFAIRE</w:t>
      </w:r>
    </w:p>
    <w:p w:rsidR="00A32A8F" w:rsidRDefault="00A32A8F" w:rsidP="00A32A8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F618C" w:rsidRPr="00B07D2C" w:rsidTr="00902B1D">
        <w:tc>
          <w:tcPr>
            <w:tcW w:w="5000" w:type="pct"/>
            <w:gridSpan w:val="3"/>
          </w:tcPr>
          <w:p w:rsidR="00BF618C" w:rsidRPr="00BF618C" w:rsidRDefault="00BF618C" w:rsidP="00902B1D">
            <w:pPr>
              <w:pStyle w:val="SCCBanSummary"/>
              <w:rPr>
                <w:smallCaps w:val="0"/>
                <w:sz w:val="20"/>
                <w:szCs w:val="20"/>
                <w:lang w:val="fr-CA"/>
              </w:rPr>
            </w:pPr>
            <w:r w:rsidRPr="00BF618C">
              <w:rPr>
                <w:smallCaps w:val="0"/>
                <w:sz w:val="20"/>
                <w:szCs w:val="20"/>
                <w:lang w:val="fr-CA"/>
              </w:rPr>
              <w:t xml:space="preserve">Droit administratif – Organismes et tribunaux administratifs – Law Enforcement Review Board (Bureau) – Autorisation d’appel sollicitée par le demandeur à l’encontre de la décision du Bureau de rejeter l’appel de la décision par laquelle la Calgary Police Commission a rejeté sa plainte – Demande d’autorisation d’appel rejetée par la Cour d’appel – La Cour d’appel a-t-elle commis une erreur en rejetant la demande d’autorisation d’appel au motif que les questions soulevées étaient sans fondement? </w:t>
            </w:r>
          </w:p>
        </w:tc>
      </w:tr>
      <w:tr w:rsidR="00BF618C" w:rsidRPr="00B07D2C" w:rsidTr="00902B1D">
        <w:tc>
          <w:tcPr>
            <w:tcW w:w="5000" w:type="pct"/>
            <w:gridSpan w:val="3"/>
          </w:tcPr>
          <w:p w:rsidR="00BF618C" w:rsidRPr="00BF618C" w:rsidRDefault="00BF618C" w:rsidP="00902B1D">
            <w:pPr>
              <w:jc w:val="both"/>
              <w:rPr>
                <w:sz w:val="20"/>
                <w:szCs w:val="20"/>
                <w:lang w:val="fr-CA"/>
              </w:rPr>
            </w:pPr>
          </w:p>
        </w:tc>
      </w:tr>
      <w:tr w:rsidR="00BF618C" w:rsidRPr="00B07D2C" w:rsidTr="00902B1D">
        <w:tc>
          <w:tcPr>
            <w:tcW w:w="5000" w:type="pct"/>
            <w:gridSpan w:val="3"/>
          </w:tcPr>
          <w:p w:rsidR="00BF618C" w:rsidRPr="00BF618C" w:rsidRDefault="00BF618C" w:rsidP="00902B1D">
            <w:pPr>
              <w:jc w:val="both"/>
              <w:rPr>
                <w:sz w:val="20"/>
                <w:szCs w:val="20"/>
                <w:lang w:val="fr-CA"/>
              </w:rPr>
            </w:pPr>
            <w:r w:rsidRPr="00BF618C">
              <w:rPr>
                <w:sz w:val="20"/>
                <w:szCs w:val="20"/>
                <w:lang w:val="fr-CA"/>
              </w:rPr>
              <w:t xml:space="preserve">M. Nammo a eu un accident d’automobile impliquant une autre voiture en 2006.  Il a intenté une action au civil en dommages-intérêts contre l’autre partie à l’accident.  Son action a été rejetée.  M. Nammo a ensuite demandé par écrit au Service de police de Calgary de porter des accusations criminelles contre la compagnie d’assurance de la partie adverse, ses avocats et les juges mêlés à son action au civil.  Un agent du Service de police a avisé M. Nammo que le Service de police ne porterait aucune accusation.  M. Nammo a alors déposé des plaintes contre  cet agent et le Service de police en vertu de la </w:t>
            </w:r>
            <w:r w:rsidRPr="00BF618C">
              <w:rPr>
                <w:i/>
                <w:sz w:val="20"/>
                <w:szCs w:val="20"/>
                <w:lang w:val="fr-CA"/>
              </w:rPr>
              <w:t>Police Act</w:t>
            </w:r>
            <w:r w:rsidRPr="00BF618C">
              <w:rPr>
                <w:sz w:val="20"/>
                <w:szCs w:val="20"/>
                <w:lang w:val="fr-CA"/>
              </w:rPr>
              <w:t>, plaintes qui ont été rejetées par le chef de police.</w:t>
            </w:r>
            <w:r w:rsidRPr="00BF618C">
              <w:rPr>
                <w:i/>
                <w:sz w:val="20"/>
                <w:szCs w:val="20"/>
                <w:lang w:val="fr-CA"/>
              </w:rPr>
              <w:t xml:space="preserve"> </w:t>
            </w:r>
            <w:r w:rsidRPr="00BF618C">
              <w:rPr>
                <w:sz w:val="20"/>
                <w:szCs w:val="20"/>
                <w:lang w:val="fr-CA"/>
              </w:rPr>
              <w:t xml:space="preserve"> M. Nammo a interjeté appel de la décision du chef de police au Law Enforcement Review Board et à la Calgary Police Commission.  Ces appels ont été rejetés. </w:t>
            </w:r>
          </w:p>
          <w:p w:rsidR="00BF618C" w:rsidRPr="00BF618C" w:rsidRDefault="00BF618C" w:rsidP="00902B1D">
            <w:pPr>
              <w:jc w:val="both"/>
              <w:rPr>
                <w:sz w:val="20"/>
                <w:szCs w:val="20"/>
                <w:lang w:val="fr-CA"/>
              </w:rPr>
            </w:pPr>
          </w:p>
          <w:p w:rsidR="00BF618C" w:rsidRPr="00BF618C" w:rsidRDefault="00BF618C" w:rsidP="00902B1D">
            <w:pPr>
              <w:jc w:val="both"/>
              <w:rPr>
                <w:sz w:val="20"/>
                <w:szCs w:val="20"/>
                <w:lang w:val="fr-CA"/>
              </w:rPr>
            </w:pPr>
            <w:r w:rsidRPr="00BF618C">
              <w:rPr>
                <w:sz w:val="20"/>
                <w:szCs w:val="20"/>
                <w:lang w:val="fr-CA"/>
              </w:rPr>
              <w:t xml:space="preserve">M. Nammo a alors déposé, en vertu de la </w:t>
            </w:r>
            <w:r w:rsidRPr="00BF618C">
              <w:rPr>
                <w:i/>
                <w:sz w:val="20"/>
                <w:szCs w:val="20"/>
                <w:lang w:val="fr-CA"/>
              </w:rPr>
              <w:t>Police Act</w:t>
            </w:r>
            <w:r w:rsidRPr="00BF618C">
              <w:rPr>
                <w:sz w:val="20"/>
                <w:szCs w:val="20"/>
                <w:lang w:val="fr-CA"/>
              </w:rPr>
              <w:t>, une nouvelle plainte à la Calgary Police Commission contre le chef de police pour avoir rejeté sa première plainte.  La Commission a rejeté cette deuxième plainte.  M. Nammo a fait appel du rejet de cette plainte au Law Enforcement Review Board.</w:t>
            </w:r>
          </w:p>
          <w:p w:rsidR="00BF618C" w:rsidRPr="00BF618C" w:rsidRDefault="00BF618C" w:rsidP="00902B1D">
            <w:pPr>
              <w:jc w:val="both"/>
              <w:rPr>
                <w:sz w:val="20"/>
                <w:szCs w:val="20"/>
                <w:lang w:val="fr-CA"/>
              </w:rPr>
            </w:pPr>
          </w:p>
        </w:tc>
      </w:tr>
      <w:tr w:rsidR="00BF618C" w:rsidRPr="00B07D2C" w:rsidTr="00902B1D">
        <w:tc>
          <w:tcPr>
            <w:tcW w:w="2427" w:type="pct"/>
          </w:tcPr>
          <w:p w:rsidR="00BF618C" w:rsidRPr="006E16A0" w:rsidRDefault="00BF618C" w:rsidP="00902B1D">
            <w:pPr>
              <w:jc w:val="both"/>
              <w:rPr>
                <w:sz w:val="20"/>
                <w:szCs w:val="20"/>
              </w:rPr>
            </w:pPr>
            <w:r w:rsidRPr="006E16A0">
              <w:rPr>
                <w:sz w:val="20"/>
                <w:szCs w:val="20"/>
              </w:rPr>
              <w:t xml:space="preserve">13 </w:t>
            </w:r>
            <w:proofErr w:type="spellStart"/>
            <w:r w:rsidRPr="006E16A0">
              <w:rPr>
                <w:sz w:val="20"/>
                <w:szCs w:val="20"/>
              </w:rPr>
              <w:t>juin</w:t>
            </w:r>
            <w:proofErr w:type="spellEnd"/>
            <w:r w:rsidRPr="006E16A0">
              <w:rPr>
                <w:sz w:val="20"/>
                <w:szCs w:val="20"/>
              </w:rPr>
              <w:t xml:space="preserve"> 2012</w:t>
            </w:r>
          </w:p>
          <w:p w:rsidR="00BF618C" w:rsidRPr="006E16A0" w:rsidRDefault="00BF618C" w:rsidP="00902B1D">
            <w:pPr>
              <w:jc w:val="both"/>
              <w:rPr>
                <w:sz w:val="20"/>
                <w:szCs w:val="20"/>
              </w:rPr>
            </w:pPr>
            <w:r w:rsidRPr="006E16A0">
              <w:rPr>
                <w:sz w:val="20"/>
                <w:szCs w:val="20"/>
              </w:rPr>
              <w:t>Law Enforcement Review Board (Alberta)</w:t>
            </w:r>
          </w:p>
          <w:p w:rsidR="00BF618C" w:rsidRPr="00BF618C" w:rsidRDefault="00BF618C" w:rsidP="00902B1D">
            <w:pPr>
              <w:jc w:val="both"/>
              <w:rPr>
                <w:sz w:val="20"/>
                <w:szCs w:val="20"/>
                <w:lang w:val="fr-CA"/>
              </w:rPr>
            </w:pPr>
            <w:r w:rsidRPr="00BF618C">
              <w:rPr>
                <w:sz w:val="20"/>
                <w:szCs w:val="20"/>
                <w:lang w:val="fr-CA"/>
              </w:rPr>
              <w:t>(J. Phillips, président)</w:t>
            </w:r>
          </w:p>
          <w:p w:rsidR="00BF618C" w:rsidRPr="00FF00BC" w:rsidRDefault="00BF618C" w:rsidP="00902B1D">
            <w:pPr>
              <w:jc w:val="both"/>
              <w:rPr>
                <w:sz w:val="20"/>
                <w:szCs w:val="20"/>
              </w:rPr>
            </w:pPr>
          </w:p>
        </w:tc>
        <w:tc>
          <w:tcPr>
            <w:tcW w:w="243" w:type="pct"/>
          </w:tcPr>
          <w:p w:rsidR="00BF618C" w:rsidRPr="00FF00BC" w:rsidRDefault="00BF618C" w:rsidP="00902B1D">
            <w:pPr>
              <w:jc w:val="both"/>
              <w:rPr>
                <w:sz w:val="20"/>
                <w:szCs w:val="20"/>
              </w:rPr>
            </w:pPr>
          </w:p>
        </w:tc>
        <w:tc>
          <w:tcPr>
            <w:tcW w:w="2330" w:type="pct"/>
          </w:tcPr>
          <w:p w:rsidR="00BF618C" w:rsidRPr="00BF618C" w:rsidRDefault="00BF618C" w:rsidP="00902B1D">
            <w:pPr>
              <w:jc w:val="both"/>
              <w:rPr>
                <w:sz w:val="20"/>
                <w:szCs w:val="20"/>
                <w:lang w:val="fr-CA"/>
              </w:rPr>
            </w:pPr>
            <w:r w:rsidRPr="00BF618C">
              <w:rPr>
                <w:sz w:val="20"/>
                <w:szCs w:val="20"/>
                <w:lang w:val="fr-CA"/>
              </w:rPr>
              <w:t>Appel d’une décision de la Calgary Police Commission rejeté.</w:t>
            </w:r>
          </w:p>
        </w:tc>
      </w:tr>
      <w:tr w:rsidR="00BF618C" w:rsidRPr="00FF00BC" w:rsidTr="00902B1D">
        <w:tc>
          <w:tcPr>
            <w:tcW w:w="2427" w:type="pct"/>
          </w:tcPr>
          <w:p w:rsidR="00BF618C" w:rsidRPr="00BF618C" w:rsidRDefault="00BF618C" w:rsidP="00902B1D">
            <w:pPr>
              <w:jc w:val="both"/>
              <w:rPr>
                <w:sz w:val="20"/>
                <w:szCs w:val="20"/>
                <w:lang w:val="fr-CA"/>
              </w:rPr>
            </w:pPr>
            <w:r w:rsidRPr="00BF618C">
              <w:rPr>
                <w:sz w:val="20"/>
                <w:szCs w:val="20"/>
                <w:lang w:val="fr-CA"/>
              </w:rPr>
              <w:t>3 octobre 2012</w:t>
            </w:r>
          </w:p>
          <w:p w:rsidR="00BF618C" w:rsidRPr="00BF618C" w:rsidRDefault="00BF618C" w:rsidP="00902B1D">
            <w:pPr>
              <w:jc w:val="both"/>
              <w:rPr>
                <w:sz w:val="20"/>
                <w:szCs w:val="20"/>
                <w:lang w:val="fr-CA"/>
              </w:rPr>
            </w:pPr>
            <w:r w:rsidRPr="00BF618C">
              <w:rPr>
                <w:sz w:val="20"/>
                <w:szCs w:val="20"/>
                <w:lang w:val="fr-CA"/>
              </w:rPr>
              <w:t>Cour d’appel de l’Alberta (Calgary)</w:t>
            </w:r>
          </w:p>
          <w:p w:rsidR="00BF618C" w:rsidRPr="00BF618C" w:rsidRDefault="00BF618C" w:rsidP="00902B1D">
            <w:pPr>
              <w:jc w:val="both"/>
              <w:rPr>
                <w:sz w:val="20"/>
                <w:szCs w:val="20"/>
                <w:lang w:val="fr-CA"/>
              </w:rPr>
            </w:pPr>
            <w:r w:rsidRPr="00BF618C">
              <w:rPr>
                <w:sz w:val="20"/>
                <w:szCs w:val="20"/>
                <w:lang w:val="fr-CA"/>
              </w:rPr>
              <w:t>(Juge McDonald)</w:t>
            </w:r>
          </w:p>
          <w:p w:rsidR="00BF618C" w:rsidRPr="00BF618C" w:rsidRDefault="00BF618C" w:rsidP="00902B1D">
            <w:pPr>
              <w:jc w:val="both"/>
              <w:rPr>
                <w:sz w:val="20"/>
                <w:szCs w:val="20"/>
                <w:lang w:val="fr-CA"/>
              </w:rPr>
            </w:pPr>
            <w:r w:rsidRPr="00BF618C">
              <w:rPr>
                <w:sz w:val="20"/>
                <w:szCs w:val="20"/>
                <w:lang w:val="fr-CA"/>
              </w:rPr>
              <w:t>2012 ABCA 291</w:t>
            </w:r>
          </w:p>
          <w:p w:rsidR="00BF618C" w:rsidRPr="00FF00BC" w:rsidRDefault="00BF618C" w:rsidP="00902B1D">
            <w:pPr>
              <w:jc w:val="both"/>
              <w:rPr>
                <w:sz w:val="20"/>
                <w:szCs w:val="20"/>
              </w:rPr>
            </w:pPr>
          </w:p>
        </w:tc>
        <w:tc>
          <w:tcPr>
            <w:tcW w:w="243" w:type="pct"/>
          </w:tcPr>
          <w:p w:rsidR="00BF618C" w:rsidRPr="00FF00BC" w:rsidRDefault="00BF618C" w:rsidP="00902B1D">
            <w:pPr>
              <w:jc w:val="both"/>
              <w:rPr>
                <w:sz w:val="20"/>
                <w:szCs w:val="20"/>
              </w:rPr>
            </w:pPr>
          </w:p>
        </w:tc>
        <w:tc>
          <w:tcPr>
            <w:tcW w:w="2330" w:type="pct"/>
          </w:tcPr>
          <w:p w:rsidR="00BF618C" w:rsidRPr="00BF618C" w:rsidRDefault="00BF618C" w:rsidP="00902B1D">
            <w:pPr>
              <w:jc w:val="both"/>
              <w:rPr>
                <w:sz w:val="20"/>
                <w:szCs w:val="20"/>
                <w:lang w:val="fr-CA"/>
              </w:rPr>
            </w:pPr>
            <w:r w:rsidRPr="00BF618C">
              <w:rPr>
                <w:sz w:val="20"/>
                <w:szCs w:val="20"/>
                <w:lang w:val="fr-CA"/>
              </w:rPr>
              <w:t>Demande d’autorisation d’appel rejetée.</w:t>
            </w:r>
          </w:p>
          <w:p w:rsidR="00BF618C" w:rsidRPr="00FF00BC" w:rsidRDefault="00BF618C" w:rsidP="00902B1D">
            <w:pPr>
              <w:jc w:val="both"/>
              <w:rPr>
                <w:sz w:val="20"/>
                <w:szCs w:val="20"/>
              </w:rPr>
            </w:pPr>
          </w:p>
        </w:tc>
      </w:tr>
      <w:tr w:rsidR="00BF618C" w:rsidRPr="00FF00BC" w:rsidTr="00902B1D">
        <w:tc>
          <w:tcPr>
            <w:tcW w:w="2427" w:type="pct"/>
          </w:tcPr>
          <w:p w:rsidR="00BF618C" w:rsidRPr="006638B0" w:rsidRDefault="00BF618C" w:rsidP="00902B1D">
            <w:pPr>
              <w:jc w:val="both"/>
              <w:rPr>
                <w:sz w:val="20"/>
                <w:szCs w:val="20"/>
                <w:lang w:val="fr-CA"/>
              </w:rPr>
            </w:pPr>
            <w:r w:rsidRPr="006638B0">
              <w:rPr>
                <w:sz w:val="20"/>
                <w:szCs w:val="20"/>
                <w:lang w:val="fr-CA"/>
              </w:rPr>
              <w:lastRenderedPageBreak/>
              <w:t>14 novembre 2012</w:t>
            </w:r>
          </w:p>
          <w:p w:rsidR="00BF618C" w:rsidRPr="006638B0" w:rsidRDefault="00BF618C" w:rsidP="00902B1D">
            <w:pPr>
              <w:jc w:val="both"/>
              <w:rPr>
                <w:sz w:val="20"/>
                <w:szCs w:val="20"/>
                <w:lang w:val="fr-CA"/>
              </w:rPr>
            </w:pPr>
            <w:r w:rsidRPr="006638B0">
              <w:rPr>
                <w:sz w:val="20"/>
                <w:szCs w:val="20"/>
                <w:lang w:val="fr-CA"/>
              </w:rPr>
              <w:t>Cour suprême du Canada</w:t>
            </w:r>
          </w:p>
        </w:tc>
        <w:tc>
          <w:tcPr>
            <w:tcW w:w="243" w:type="pct"/>
          </w:tcPr>
          <w:p w:rsidR="00BF618C" w:rsidRPr="006638B0" w:rsidRDefault="00BF618C" w:rsidP="00902B1D">
            <w:pPr>
              <w:jc w:val="both"/>
              <w:rPr>
                <w:sz w:val="20"/>
                <w:szCs w:val="20"/>
                <w:lang w:val="fr-CA"/>
              </w:rPr>
            </w:pPr>
          </w:p>
        </w:tc>
        <w:tc>
          <w:tcPr>
            <w:tcW w:w="2330" w:type="pct"/>
          </w:tcPr>
          <w:p w:rsidR="00BF618C" w:rsidRPr="00BF618C" w:rsidRDefault="00BF618C" w:rsidP="00902B1D">
            <w:pPr>
              <w:jc w:val="both"/>
              <w:rPr>
                <w:sz w:val="20"/>
                <w:szCs w:val="20"/>
                <w:lang w:val="fr-CA"/>
              </w:rPr>
            </w:pPr>
            <w:r w:rsidRPr="00BF618C">
              <w:rPr>
                <w:sz w:val="20"/>
                <w:szCs w:val="20"/>
                <w:lang w:val="fr-CA"/>
              </w:rPr>
              <w:t>Demande d’autorisation d’appel déposée.</w:t>
            </w:r>
          </w:p>
          <w:p w:rsidR="00BF618C" w:rsidRPr="00FF00BC" w:rsidRDefault="00BF618C" w:rsidP="00902B1D">
            <w:pPr>
              <w:jc w:val="both"/>
              <w:rPr>
                <w:sz w:val="20"/>
                <w:szCs w:val="20"/>
              </w:rPr>
            </w:pPr>
          </w:p>
        </w:tc>
      </w:tr>
    </w:tbl>
    <w:p w:rsidR="00A32A8F" w:rsidRDefault="00A32A8F" w:rsidP="00A32A8F">
      <w:pPr>
        <w:rPr>
          <w:sz w:val="20"/>
          <w:szCs w:val="20"/>
        </w:rPr>
      </w:pPr>
    </w:p>
    <w:p w:rsidR="00A32A8F" w:rsidRDefault="00CB0178" w:rsidP="00A32A8F">
      <w:pPr>
        <w:rPr>
          <w:sz w:val="20"/>
          <w:szCs w:val="20"/>
        </w:rPr>
      </w:pPr>
      <w:r w:rsidRPr="00CB0178">
        <w:rPr>
          <w:sz w:val="20"/>
          <w:szCs w:val="20"/>
          <w:lang w:val="fr-CA"/>
        </w:rPr>
        <w:pict>
          <v:rect id="_x0000_i1052" style="width:2in;height:1pt" o:hrpct="0" o:hralign="center" o:hrstd="t" o:hrnoshade="t" o:hr="t" fillcolor="black [3213]" stroked="f"/>
        </w:pict>
      </w:r>
    </w:p>
    <w:p w:rsidR="00A32A8F" w:rsidRDefault="00A32A8F" w:rsidP="00A32A8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8316E" w:rsidRPr="00104479" w:rsidTr="00D54B9C">
        <w:trPr>
          <w:cantSplit/>
        </w:trPr>
        <w:tc>
          <w:tcPr>
            <w:tcW w:w="1458" w:type="dxa"/>
          </w:tcPr>
          <w:p w:rsidR="0078316E" w:rsidRPr="00104479" w:rsidRDefault="0078316E" w:rsidP="00D54B9C">
            <w:pPr>
              <w:rPr>
                <w:sz w:val="20"/>
                <w:szCs w:val="20"/>
              </w:rPr>
            </w:pPr>
            <w:r w:rsidRPr="00104479">
              <w:rPr>
                <w:rStyle w:val="SCCFileNumberChar"/>
                <w:sz w:val="20"/>
                <w:szCs w:val="20"/>
              </w:rPr>
              <w:t>35112</w:t>
            </w:r>
          </w:p>
          <w:p w:rsidR="0078316E" w:rsidRPr="00104479" w:rsidRDefault="0078316E" w:rsidP="00D54B9C">
            <w:pPr>
              <w:rPr>
                <w:b/>
                <w:sz w:val="20"/>
                <w:szCs w:val="20"/>
                <w:lang w:val="fr-CA"/>
              </w:rPr>
            </w:pPr>
          </w:p>
        </w:tc>
        <w:tc>
          <w:tcPr>
            <w:tcW w:w="8118" w:type="dxa"/>
          </w:tcPr>
          <w:p w:rsidR="0078316E" w:rsidRPr="00104479" w:rsidRDefault="0078316E" w:rsidP="00D54B9C">
            <w:pPr>
              <w:jc w:val="both"/>
              <w:rPr>
                <w:sz w:val="20"/>
                <w:szCs w:val="20"/>
              </w:rPr>
            </w:pPr>
            <w:r w:rsidRPr="00104479">
              <w:rPr>
                <w:rStyle w:val="SCCLsocChar"/>
                <w:sz w:val="20"/>
                <w:szCs w:val="20"/>
                <w:lang w:val="en-CA"/>
              </w:rPr>
              <w:t>Melanie Anne Lay</w:t>
            </w:r>
            <w:r w:rsidR="001145AA">
              <w:rPr>
                <w:rStyle w:val="SCCLsocChar"/>
                <w:sz w:val="20"/>
                <w:szCs w:val="20"/>
                <w:lang w:val="en-CA"/>
              </w:rPr>
              <w:t xml:space="preserve"> and</w:t>
            </w:r>
            <w:r w:rsidRPr="00104479">
              <w:rPr>
                <w:rStyle w:val="SCCLsocChar"/>
                <w:sz w:val="20"/>
                <w:szCs w:val="20"/>
                <w:lang w:val="en-CA"/>
              </w:rPr>
              <w:t xml:space="preserve"> Terry Holmes Lay v. Bradley Lay, Marlene Lay</w:t>
            </w:r>
            <w:r w:rsidR="001145AA">
              <w:rPr>
                <w:rStyle w:val="SCCLsocChar"/>
                <w:sz w:val="20"/>
                <w:szCs w:val="20"/>
                <w:lang w:val="en-CA"/>
              </w:rPr>
              <w:t xml:space="preserve"> and</w:t>
            </w:r>
            <w:r w:rsidRPr="00104479">
              <w:rPr>
                <w:rStyle w:val="SCCLsocChar"/>
                <w:sz w:val="20"/>
                <w:szCs w:val="20"/>
                <w:lang w:val="en-CA"/>
              </w:rPr>
              <w:t xml:space="preserve"> 228916 Alberta Ltd. (formerly known as Steep Rock Construction Materials Ltd.)</w:t>
            </w:r>
            <w:r w:rsidRPr="00104479">
              <w:rPr>
                <w:sz w:val="20"/>
                <w:szCs w:val="20"/>
              </w:rPr>
              <w:t xml:space="preserve"> (Alta.) (Civil) (By Leave)</w:t>
            </w:r>
          </w:p>
          <w:p w:rsidR="0078316E" w:rsidRPr="00104479" w:rsidRDefault="0078316E" w:rsidP="00D54B9C">
            <w:pPr>
              <w:jc w:val="both"/>
              <w:rPr>
                <w:sz w:val="20"/>
                <w:szCs w:val="20"/>
              </w:rPr>
            </w:pPr>
          </w:p>
        </w:tc>
      </w:tr>
      <w:tr w:rsidR="0078316E" w:rsidRPr="00104479" w:rsidTr="00D54B9C">
        <w:trPr>
          <w:cantSplit/>
        </w:trPr>
        <w:tc>
          <w:tcPr>
            <w:tcW w:w="1458" w:type="dxa"/>
          </w:tcPr>
          <w:p w:rsidR="0078316E" w:rsidRDefault="0078316E" w:rsidP="00D54B9C">
            <w:pPr>
              <w:rPr>
                <w:sz w:val="20"/>
                <w:szCs w:val="20"/>
              </w:rPr>
            </w:pPr>
            <w:r w:rsidRPr="00104479">
              <w:rPr>
                <w:sz w:val="20"/>
                <w:szCs w:val="20"/>
              </w:rPr>
              <w:t>Coram :</w:t>
            </w:r>
          </w:p>
          <w:p w:rsidR="00B07D2C" w:rsidRPr="00104479" w:rsidRDefault="00B07D2C" w:rsidP="00D54B9C">
            <w:pPr>
              <w:rPr>
                <w:sz w:val="20"/>
                <w:szCs w:val="20"/>
              </w:rPr>
            </w:pPr>
          </w:p>
        </w:tc>
        <w:tc>
          <w:tcPr>
            <w:tcW w:w="8118" w:type="dxa"/>
          </w:tcPr>
          <w:p w:rsidR="0078316E" w:rsidRPr="00104479" w:rsidRDefault="0078316E" w:rsidP="00D54B9C">
            <w:pPr>
              <w:rPr>
                <w:sz w:val="20"/>
                <w:szCs w:val="20"/>
              </w:rPr>
            </w:pPr>
            <w:r w:rsidRPr="00104479">
              <w:rPr>
                <w:rStyle w:val="SCCCoramChar"/>
                <w:sz w:val="20"/>
                <w:szCs w:val="20"/>
                <w:lang w:val="en-CA"/>
              </w:rPr>
              <w:t>LeBel, Karakatsanis and Wagner JJ.</w:t>
            </w:r>
          </w:p>
          <w:p w:rsidR="0078316E" w:rsidRPr="00104479" w:rsidRDefault="0078316E" w:rsidP="00D54B9C">
            <w:pPr>
              <w:rPr>
                <w:sz w:val="20"/>
                <w:szCs w:val="20"/>
                <w:u w:val="single"/>
              </w:rPr>
            </w:pPr>
          </w:p>
        </w:tc>
      </w:tr>
      <w:tr w:rsidR="0078316E" w:rsidRPr="00B07D2C" w:rsidTr="00D54B9C">
        <w:trPr>
          <w:cantSplit/>
        </w:trPr>
        <w:tc>
          <w:tcPr>
            <w:tcW w:w="9576" w:type="dxa"/>
            <w:gridSpan w:val="2"/>
          </w:tcPr>
          <w:p w:rsidR="0078316E" w:rsidRPr="00104479" w:rsidRDefault="0078316E" w:rsidP="00D54B9C">
            <w:pPr>
              <w:pStyle w:val="SCCShortJudgment"/>
              <w:rPr>
                <w:szCs w:val="20"/>
              </w:rPr>
            </w:pPr>
            <w:r w:rsidRPr="00104479">
              <w:rPr>
                <w:szCs w:val="20"/>
              </w:rPr>
              <w:t>The application for leave to appeal from the judgment of the Court of Appeal of Alberta (Calgary), Number 1201-0115-AC, 2012 ABCA 303, dated October 19, 2012, is dismissed with costs.</w:t>
            </w:r>
          </w:p>
          <w:p w:rsidR="0078316E" w:rsidRPr="00104479" w:rsidRDefault="0078316E" w:rsidP="00D54B9C">
            <w:pPr>
              <w:pStyle w:val="SCCShortJudgment"/>
              <w:ind w:firstLine="0"/>
              <w:rPr>
                <w:szCs w:val="20"/>
              </w:rPr>
            </w:pPr>
          </w:p>
          <w:p w:rsidR="0078316E" w:rsidRPr="00104479" w:rsidRDefault="0078316E" w:rsidP="00D54B9C">
            <w:pPr>
              <w:pStyle w:val="SCCShortJudgment"/>
              <w:rPr>
                <w:szCs w:val="20"/>
                <w:lang w:val="fr-CA"/>
              </w:rPr>
            </w:pPr>
            <w:r w:rsidRPr="00104479">
              <w:rPr>
                <w:szCs w:val="20"/>
                <w:lang w:val="fr-CA"/>
              </w:rPr>
              <w:t>La demande d’autorisation d’appel de l’arrêt de la Cour d'appel de l’Alberta (Calgary), numéro 1201-0115-AC, 2012 ABCA 303, daté du 19 octobre 2012, est rejetée avec dépens.</w:t>
            </w:r>
          </w:p>
        </w:tc>
      </w:tr>
    </w:tbl>
    <w:p w:rsidR="00A32A8F" w:rsidRPr="0078316E" w:rsidRDefault="00A32A8F" w:rsidP="00A32A8F">
      <w:pPr>
        <w:rPr>
          <w:sz w:val="20"/>
          <w:szCs w:val="20"/>
          <w:lang w:val="fr-CA"/>
        </w:rPr>
      </w:pPr>
    </w:p>
    <w:p w:rsidR="00A32A8F" w:rsidRDefault="00A32A8F" w:rsidP="00A32A8F">
      <w:pPr>
        <w:rPr>
          <w:sz w:val="20"/>
          <w:szCs w:val="20"/>
          <w:u w:val="single"/>
        </w:rPr>
      </w:pPr>
      <w:r w:rsidRPr="001B157C">
        <w:rPr>
          <w:sz w:val="20"/>
          <w:szCs w:val="20"/>
          <w:u w:val="single"/>
        </w:rPr>
        <w:t>CASE SUMMARY</w:t>
      </w:r>
    </w:p>
    <w:p w:rsidR="00A32A8F" w:rsidRDefault="00A32A8F" w:rsidP="00A32A8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F618C" w:rsidRPr="00FF00BC" w:rsidTr="00902B1D">
        <w:tc>
          <w:tcPr>
            <w:tcW w:w="5000" w:type="pct"/>
            <w:gridSpan w:val="3"/>
          </w:tcPr>
          <w:p w:rsidR="00BF618C" w:rsidRPr="00FF00BC" w:rsidRDefault="00BF618C" w:rsidP="00902B1D">
            <w:pPr>
              <w:jc w:val="both"/>
              <w:rPr>
                <w:sz w:val="20"/>
                <w:szCs w:val="20"/>
              </w:rPr>
            </w:pPr>
            <w:r w:rsidRPr="00FF00BC">
              <w:rPr>
                <w:sz w:val="20"/>
                <w:szCs w:val="20"/>
              </w:rPr>
              <w:t xml:space="preserve">Civil procedure – Case management – Document disclosure – Case management judge refusing to order further production of documents and further particulars – How should courts of first instance identify the real issues? – How should Alberta courts apply the defined term “records”? – How is the test for “relevant and material” to be applied under Alberta’s new Rules? – </w:t>
            </w:r>
            <w:r w:rsidRPr="00FF00BC">
              <w:rPr>
                <w:i/>
                <w:sz w:val="20"/>
                <w:szCs w:val="20"/>
              </w:rPr>
              <w:t>Alberta Rules of Court</w:t>
            </w:r>
            <w:r w:rsidRPr="00FF00BC">
              <w:rPr>
                <w:sz w:val="20"/>
                <w:szCs w:val="20"/>
              </w:rPr>
              <w:t>, Alta. Reg. 124/2010, Rules 1.2, 5.1, 5.2.</w:t>
            </w:r>
          </w:p>
        </w:tc>
      </w:tr>
      <w:tr w:rsidR="00BF618C" w:rsidRPr="00FF00BC" w:rsidTr="00902B1D">
        <w:tc>
          <w:tcPr>
            <w:tcW w:w="5000" w:type="pct"/>
            <w:gridSpan w:val="3"/>
          </w:tcPr>
          <w:p w:rsidR="00BF618C" w:rsidRPr="00FF00BC" w:rsidRDefault="00BF618C" w:rsidP="00902B1D">
            <w:pPr>
              <w:jc w:val="both"/>
              <w:rPr>
                <w:sz w:val="20"/>
                <w:szCs w:val="20"/>
              </w:rPr>
            </w:pPr>
          </w:p>
        </w:tc>
      </w:tr>
      <w:tr w:rsidR="00BF618C" w:rsidRPr="00FF00BC" w:rsidTr="00902B1D">
        <w:tc>
          <w:tcPr>
            <w:tcW w:w="5000" w:type="pct"/>
            <w:gridSpan w:val="3"/>
          </w:tcPr>
          <w:p w:rsidR="00BF618C" w:rsidRPr="00FF00BC" w:rsidRDefault="00BF618C" w:rsidP="00902B1D">
            <w:pPr>
              <w:jc w:val="both"/>
              <w:rPr>
                <w:sz w:val="20"/>
                <w:szCs w:val="20"/>
              </w:rPr>
            </w:pPr>
            <w:r w:rsidRPr="00FF00BC">
              <w:rPr>
                <w:sz w:val="20"/>
                <w:szCs w:val="20"/>
              </w:rPr>
              <w:t>The applicants allege that various misrepresentations or failures to disclose resulted in deficient consideration to Melanie Lay when she sold her shares of the corporate respondent (Steep Rock) to the individual respondents, Bradley and Marlene Lay, in 2003.  They also seek an oppression remedy.  In 2007, the assets and shares of Steep Rock were sold to Doug Bauman.  The applicants allege that the amount of the 2007 sale was considerably more than the amount paid to Melanie Lay in 2003, and that evidence surrounding this sale is evidence which supports their allegations of misrepresentation.</w:t>
            </w:r>
          </w:p>
          <w:p w:rsidR="00BF618C" w:rsidRPr="00FF00BC" w:rsidRDefault="00BF618C" w:rsidP="00902B1D">
            <w:pPr>
              <w:jc w:val="both"/>
              <w:rPr>
                <w:sz w:val="20"/>
                <w:szCs w:val="20"/>
              </w:rPr>
            </w:pPr>
          </w:p>
          <w:p w:rsidR="00BF618C" w:rsidRPr="00FF00BC" w:rsidRDefault="00BF618C" w:rsidP="00902B1D">
            <w:pPr>
              <w:jc w:val="both"/>
              <w:rPr>
                <w:sz w:val="20"/>
                <w:szCs w:val="20"/>
              </w:rPr>
            </w:pPr>
            <w:r w:rsidRPr="00FF00BC">
              <w:rPr>
                <w:sz w:val="20"/>
                <w:szCs w:val="20"/>
              </w:rPr>
              <w:t>The applicants brought an application seeking disclosure of the 2007 sale information and the records of Steep Rock in Bauman's possession for the period 2003-2007.  The consent order directed that Bauman and Steep Rock produce certain records regarding Steep Rock for the years 2003 and 2004.  The application was later amended to seek additional records in the possession of Bauman and records related to a previous offer to buy in 2003, as well as additional records of Steep Rock both before and after 2007.  The case management judge refused to order further production of documents and further particulars.  The Court of Appeal dismissed the applicants’ appeal.</w:t>
            </w:r>
          </w:p>
          <w:p w:rsidR="00BF618C" w:rsidRPr="00FF00BC" w:rsidRDefault="00BF618C" w:rsidP="00902B1D">
            <w:pPr>
              <w:jc w:val="both"/>
              <w:rPr>
                <w:sz w:val="20"/>
                <w:szCs w:val="20"/>
              </w:rPr>
            </w:pPr>
          </w:p>
        </w:tc>
      </w:tr>
      <w:tr w:rsidR="00BF618C" w:rsidRPr="00FF00BC" w:rsidTr="00902B1D">
        <w:tc>
          <w:tcPr>
            <w:tcW w:w="2427" w:type="pct"/>
          </w:tcPr>
          <w:p w:rsidR="00BF618C" w:rsidRPr="00FF00BC" w:rsidRDefault="00BF618C" w:rsidP="00902B1D">
            <w:pPr>
              <w:jc w:val="both"/>
              <w:rPr>
                <w:sz w:val="20"/>
                <w:szCs w:val="20"/>
              </w:rPr>
            </w:pPr>
            <w:r w:rsidRPr="00FF00BC">
              <w:rPr>
                <w:sz w:val="20"/>
                <w:szCs w:val="20"/>
              </w:rPr>
              <w:t>April 11, 2012</w:t>
            </w:r>
          </w:p>
          <w:p w:rsidR="00BF618C" w:rsidRPr="00FF00BC" w:rsidRDefault="00BF618C" w:rsidP="00902B1D">
            <w:pPr>
              <w:jc w:val="both"/>
              <w:rPr>
                <w:sz w:val="20"/>
                <w:szCs w:val="20"/>
              </w:rPr>
            </w:pPr>
            <w:r w:rsidRPr="00FF00BC">
              <w:rPr>
                <w:sz w:val="20"/>
                <w:szCs w:val="20"/>
              </w:rPr>
              <w:t>Court of Queen’s Bench of Alberta</w:t>
            </w:r>
          </w:p>
          <w:p w:rsidR="00BF618C" w:rsidRPr="00FF00BC" w:rsidRDefault="00BF618C" w:rsidP="00902B1D">
            <w:pPr>
              <w:jc w:val="both"/>
              <w:rPr>
                <w:sz w:val="20"/>
                <w:szCs w:val="20"/>
              </w:rPr>
            </w:pPr>
            <w:r w:rsidRPr="00FF00BC">
              <w:rPr>
                <w:sz w:val="20"/>
                <w:szCs w:val="20"/>
              </w:rPr>
              <w:t>(Romaine J.)</w:t>
            </w:r>
          </w:p>
          <w:p w:rsidR="00BF618C" w:rsidRPr="00FF00BC" w:rsidRDefault="00BF618C" w:rsidP="00902B1D">
            <w:pPr>
              <w:jc w:val="both"/>
              <w:rPr>
                <w:sz w:val="20"/>
                <w:szCs w:val="20"/>
              </w:rPr>
            </w:pPr>
          </w:p>
        </w:tc>
        <w:tc>
          <w:tcPr>
            <w:tcW w:w="243" w:type="pct"/>
          </w:tcPr>
          <w:p w:rsidR="00BF618C" w:rsidRPr="00FF00BC" w:rsidRDefault="00BF618C" w:rsidP="00902B1D">
            <w:pPr>
              <w:jc w:val="both"/>
              <w:rPr>
                <w:sz w:val="20"/>
                <w:szCs w:val="20"/>
              </w:rPr>
            </w:pPr>
          </w:p>
        </w:tc>
        <w:tc>
          <w:tcPr>
            <w:tcW w:w="2330" w:type="pct"/>
          </w:tcPr>
          <w:p w:rsidR="00BF618C" w:rsidRPr="00FF00BC" w:rsidRDefault="00BF618C" w:rsidP="00902B1D">
            <w:pPr>
              <w:jc w:val="both"/>
              <w:rPr>
                <w:sz w:val="20"/>
                <w:szCs w:val="20"/>
              </w:rPr>
            </w:pPr>
            <w:r w:rsidRPr="00FF00BC">
              <w:rPr>
                <w:sz w:val="20"/>
                <w:szCs w:val="20"/>
              </w:rPr>
              <w:t>Application for particulars and further document disclosure denied</w:t>
            </w:r>
          </w:p>
          <w:p w:rsidR="00BF618C" w:rsidRPr="00FF00BC" w:rsidRDefault="00BF618C" w:rsidP="00902B1D">
            <w:pPr>
              <w:jc w:val="both"/>
              <w:rPr>
                <w:sz w:val="20"/>
                <w:szCs w:val="20"/>
              </w:rPr>
            </w:pPr>
          </w:p>
        </w:tc>
      </w:tr>
      <w:tr w:rsidR="00BF618C" w:rsidRPr="00FF00BC" w:rsidTr="00902B1D">
        <w:tc>
          <w:tcPr>
            <w:tcW w:w="2427" w:type="pct"/>
          </w:tcPr>
          <w:p w:rsidR="00BF618C" w:rsidRPr="00FF00BC" w:rsidRDefault="00BF618C" w:rsidP="00902B1D">
            <w:pPr>
              <w:jc w:val="both"/>
              <w:rPr>
                <w:sz w:val="20"/>
                <w:szCs w:val="20"/>
              </w:rPr>
            </w:pPr>
            <w:r w:rsidRPr="00FF00BC">
              <w:rPr>
                <w:sz w:val="20"/>
                <w:szCs w:val="20"/>
              </w:rPr>
              <w:t>October 19, 2012</w:t>
            </w:r>
          </w:p>
          <w:p w:rsidR="00BF618C" w:rsidRPr="00FF00BC" w:rsidRDefault="00BF618C" w:rsidP="00902B1D">
            <w:pPr>
              <w:jc w:val="both"/>
              <w:rPr>
                <w:sz w:val="20"/>
                <w:szCs w:val="20"/>
              </w:rPr>
            </w:pPr>
            <w:r w:rsidRPr="00FF00BC">
              <w:rPr>
                <w:sz w:val="20"/>
                <w:szCs w:val="20"/>
              </w:rPr>
              <w:t>Court of Appeal of Alberta</w:t>
            </w:r>
          </w:p>
          <w:p w:rsidR="00BF618C" w:rsidRPr="00FF00BC" w:rsidRDefault="00BF618C" w:rsidP="00902B1D">
            <w:pPr>
              <w:jc w:val="both"/>
              <w:rPr>
                <w:sz w:val="20"/>
                <w:szCs w:val="20"/>
              </w:rPr>
            </w:pPr>
            <w:r w:rsidRPr="00FF00BC">
              <w:rPr>
                <w:sz w:val="20"/>
                <w:szCs w:val="20"/>
              </w:rPr>
              <w:t>(Rowbotham, O'Ferrall JJ.A. and Brooker J. (ad hoc))</w:t>
            </w:r>
          </w:p>
          <w:p w:rsidR="00BF618C" w:rsidRPr="00FF00BC" w:rsidRDefault="00BF618C" w:rsidP="00902B1D">
            <w:pPr>
              <w:jc w:val="both"/>
              <w:rPr>
                <w:sz w:val="20"/>
                <w:szCs w:val="20"/>
              </w:rPr>
            </w:pPr>
            <w:r w:rsidRPr="00FF00BC">
              <w:rPr>
                <w:sz w:val="20"/>
                <w:szCs w:val="20"/>
              </w:rPr>
              <w:t>2012 ABCA 303</w:t>
            </w:r>
          </w:p>
          <w:p w:rsidR="00BF618C" w:rsidRPr="00FF00BC" w:rsidRDefault="00BF618C" w:rsidP="00902B1D">
            <w:pPr>
              <w:jc w:val="both"/>
              <w:rPr>
                <w:sz w:val="20"/>
                <w:szCs w:val="20"/>
              </w:rPr>
            </w:pPr>
          </w:p>
        </w:tc>
        <w:tc>
          <w:tcPr>
            <w:tcW w:w="243" w:type="pct"/>
          </w:tcPr>
          <w:p w:rsidR="00BF618C" w:rsidRPr="00FF00BC" w:rsidRDefault="00BF618C" w:rsidP="00902B1D">
            <w:pPr>
              <w:jc w:val="both"/>
              <w:rPr>
                <w:sz w:val="20"/>
                <w:szCs w:val="20"/>
              </w:rPr>
            </w:pPr>
          </w:p>
        </w:tc>
        <w:tc>
          <w:tcPr>
            <w:tcW w:w="2330" w:type="pct"/>
          </w:tcPr>
          <w:p w:rsidR="00BF618C" w:rsidRPr="00FF00BC" w:rsidRDefault="00BF618C" w:rsidP="00902B1D">
            <w:pPr>
              <w:jc w:val="both"/>
              <w:rPr>
                <w:sz w:val="20"/>
                <w:szCs w:val="20"/>
              </w:rPr>
            </w:pPr>
            <w:r w:rsidRPr="00FF00BC">
              <w:rPr>
                <w:sz w:val="20"/>
                <w:szCs w:val="20"/>
              </w:rPr>
              <w:t>Appeal dismissed</w:t>
            </w:r>
          </w:p>
          <w:p w:rsidR="00BF618C" w:rsidRPr="00FF00BC" w:rsidRDefault="00BF618C" w:rsidP="00902B1D">
            <w:pPr>
              <w:jc w:val="both"/>
              <w:rPr>
                <w:sz w:val="20"/>
                <w:szCs w:val="20"/>
              </w:rPr>
            </w:pPr>
          </w:p>
        </w:tc>
      </w:tr>
      <w:tr w:rsidR="00BF618C" w:rsidRPr="00FF00BC" w:rsidTr="00902B1D">
        <w:tc>
          <w:tcPr>
            <w:tcW w:w="2427" w:type="pct"/>
          </w:tcPr>
          <w:p w:rsidR="00BF618C" w:rsidRPr="00FF00BC" w:rsidRDefault="00BF618C" w:rsidP="00902B1D">
            <w:pPr>
              <w:jc w:val="both"/>
              <w:rPr>
                <w:sz w:val="20"/>
                <w:szCs w:val="20"/>
              </w:rPr>
            </w:pPr>
            <w:r w:rsidRPr="00FF00BC">
              <w:rPr>
                <w:sz w:val="20"/>
                <w:szCs w:val="20"/>
              </w:rPr>
              <w:t>November 29, 2012</w:t>
            </w:r>
          </w:p>
          <w:p w:rsidR="00BF618C" w:rsidRPr="00FF00BC" w:rsidRDefault="00BF618C" w:rsidP="00902B1D">
            <w:pPr>
              <w:jc w:val="both"/>
              <w:rPr>
                <w:sz w:val="20"/>
                <w:szCs w:val="20"/>
              </w:rPr>
            </w:pPr>
            <w:r w:rsidRPr="00FF00BC">
              <w:rPr>
                <w:sz w:val="20"/>
                <w:szCs w:val="20"/>
              </w:rPr>
              <w:t>Supreme Court of Canada</w:t>
            </w:r>
          </w:p>
        </w:tc>
        <w:tc>
          <w:tcPr>
            <w:tcW w:w="243" w:type="pct"/>
          </w:tcPr>
          <w:p w:rsidR="00BF618C" w:rsidRPr="00FF00BC" w:rsidRDefault="00BF618C" w:rsidP="00902B1D">
            <w:pPr>
              <w:jc w:val="both"/>
              <w:rPr>
                <w:sz w:val="20"/>
                <w:szCs w:val="20"/>
              </w:rPr>
            </w:pPr>
          </w:p>
        </w:tc>
        <w:tc>
          <w:tcPr>
            <w:tcW w:w="2330" w:type="pct"/>
          </w:tcPr>
          <w:p w:rsidR="00BF618C" w:rsidRPr="00FF00BC" w:rsidRDefault="00BF618C" w:rsidP="00902B1D">
            <w:pPr>
              <w:jc w:val="both"/>
              <w:rPr>
                <w:sz w:val="20"/>
                <w:szCs w:val="20"/>
              </w:rPr>
            </w:pPr>
            <w:r w:rsidRPr="00FF00BC">
              <w:rPr>
                <w:sz w:val="20"/>
                <w:szCs w:val="20"/>
              </w:rPr>
              <w:t>Application for leave to appeal filed</w:t>
            </w:r>
          </w:p>
          <w:p w:rsidR="00BF618C" w:rsidRPr="00FF00BC" w:rsidRDefault="00BF618C" w:rsidP="00902B1D">
            <w:pPr>
              <w:jc w:val="both"/>
              <w:rPr>
                <w:sz w:val="20"/>
                <w:szCs w:val="20"/>
              </w:rPr>
            </w:pPr>
          </w:p>
        </w:tc>
      </w:tr>
    </w:tbl>
    <w:p w:rsidR="00A32A8F" w:rsidRDefault="00A32A8F" w:rsidP="00A32A8F">
      <w:pPr>
        <w:rPr>
          <w:sz w:val="20"/>
          <w:szCs w:val="20"/>
        </w:rPr>
      </w:pPr>
    </w:p>
    <w:p w:rsidR="00A32A8F" w:rsidRDefault="00CB0178" w:rsidP="00A32A8F">
      <w:pPr>
        <w:rPr>
          <w:sz w:val="20"/>
          <w:szCs w:val="20"/>
        </w:rPr>
      </w:pPr>
      <w:r w:rsidRPr="00CB0178">
        <w:rPr>
          <w:sz w:val="20"/>
          <w:szCs w:val="20"/>
          <w:lang w:val="fr-CA"/>
        </w:rPr>
        <w:pict>
          <v:rect id="_x0000_i1053" style="width:2in;height:1pt" o:hrpct="0" o:hralign="center" o:hrstd="t" o:hrnoshade="t" o:hr="t" fillcolor="black [3213]" stroked="f"/>
        </w:pict>
      </w:r>
    </w:p>
    <w:p w:rsidR="00A32A8F" w:rsidRDefault="00A32A8F" w:rsidP="00A32A8F">
      <w:pPr>
        <w:rPr>
          <w:sz w:val="20"/>
          <w:szCs w:val="20"/>
        </w:rPr>
      </w:pPr>
    </w:p>
    <w:p w:rsidR="00A32A8F" w:rsidRPr="001B157C" w:rsidRDefault="00A32A8F" w:rsidP="00A32A8F">
      <w:pPr>
        <w:rPr>
          <w:sz w:val="20"/>
          <w:szCs w:val="20"/>
          <w:u w:val="single"/>
          <w:lang w:val="fr-CA"/>
        </w:rPr>
      </w:pPr>
      <w:r w:rsidRPr="001B157C">
        <w:rPr>
          <w:sz w:val="20"/>
          <w:szCs w:val="20"/>
          <w:u w:val="single"/>
          <w:lang w:val="fr-CA"/>
        </w:rPr>
        <w:t>RÉSUMÉ DE L’AFFAIRE</w:t>
      </w:r>
    </w:p>
    <w:p w:rsidR="00A32A8F" w:rsidRDefault="00A32A8F" w:rsidP="00A32A8F">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BF618C" w:rsidRPr="00B07D2C" w:rsidTr="00902B1D">
        <w:tc>
          <w:tcPr>
            <w:tcW w:w="5000" w:type="pct"/>
            <w:gridSpan w:val="3"/>
          </w:tcPr>
          <w:p w:rsidR="00BF618C" w:rsidRPr="00FF00BC" w:rsidRDefault="00BF618C" w:rsidP="00902B1D">
            <w:pPr>
              <w:jc w:val="both"/>
              <w:rPr>
                <w:sz w:val="20"/>
                <w:szCs w:val="20"/>
                <w:lang w:val="fr-CA"/>
              </w:rPr>
            </w:pPr>
            <w:r w:rsidRPr="00FF00BC">
              <w:rPr>
                <w:sz w:val="20"/>
                <w:szCs w:val="20"/>
                <w:lang w:val="fr-CA"/>
              </w:rPr>
              <w:t>Procédure civile – Gestion de l'instance – Communication de documents – Le juge chargé de la gestion de l'instance a refusé d'ordonner la production de documents et de précisions complémentaires – Comment les tribunaux de première instance devraient</w:t>
            </w:r>
            <w:r w:rsidRPr="00FF00BC">
              <w:rPr>
                <w:sz w:val="20"/>
                <w:szCs w:val="20"/>
                <w:lang w:val="fr-CA"/>
              </w:rPr>
              <w:noBreakHyphen/>
              <w:t>ils identifier les véritables questions en litige? – Comment les tribunaux de l'Alberta devraient</w:t>
            </w:r>
            <w:r w:rsidRPr="00FF00BC">
              <w:rPr>
                <w:sz w:val="20"/>
                <w:szCs w:val="20"/>
                <w:lang w:val="fr-CA"/>
              </w:rPr>
              <w:noBreakHyphen/>
              <w:t>ils appliquer le terme défini « </w:t>
            </w:r>
            <w:r w:rsidRPr="00FF00BC">
              <w:rPr>
                <w:i/>
                <w:sz w:val="20"/>
                <w:szCs w:val="20"/>
                <w:lang w:val="fr-CA"/>
              </w:rPr>
              <w:t>records</w:t>
            </w:r>
            <w:r w:rsidRPr="00FF00BC">
              <w:rPr>
                <w:sz w:val="20"/>
                <w:szCs w:val="20"/>
                <w:lang w:val="fr-CA"/>
              </w:rPr>
              <w:t> »? – Comment le critère « de la pertinence et de l'importance » devrait</w:t>
            </w:r>
            <w:r w:rsidRPr="00FF00BC">
              <w:rPr>
                <w:sz w:val="20"/>
                <w:szCs w:val="20"/>
                <w:lang w:val="fr-CA"/>
              </w:rPr>
              <w:noBreakHyphen/>
              <w:t xml:space="preserve">il être appliqué aux termes des nouvelles règles de l'Alberta? – </w:t>
            </w:r>
            <w:r w:rsidRPr="00FF00BC">
              <w:rPr>
                <w:i/>
                <w:sz w:val="20"/>
                <w:szCs w:val="20"/>
                <w:lang w:val="fr-CA"/>
              </w:rPr>
              <w:t>Alberta Rules of Court</w:t>
            </w:r>
            <w:r w:rsidRPr="00FF00BC">
              <w:rPr>
                <w:sz w:val="20"/>
                <w:szCs w:val="20"/>
                <w:lang w:val="fr-CA"/>
              </w:rPr>
              <w:t>, Alb. Reg. 124/2010, règles 1.2, 5.1, 5.2.</w:t>
            </w:r>
          </w:p>
        </w:tc>
      </w:tr>
      <w:tr w:rsidR="00BF618C" w:rsidRPr="00B07D2C" w:rsidTr="00902B1D">
        <w:tc>
          <w:tcPr>
            <w:tcW w:w="5000" w:type="pct"/>
            <w:gridSpan w:val="3"/>
          </w:tcPr>
          <w:p w:rsidR="00BF618C" w:rsidRPr="00FF00BC" w:rsidRDefault="00BF618C" w:rsidP="00902B1D">
            <w:pPr>
              <w:jc w:val="both"/>
              <w:rPr>
                <w:sz w:val="20"/>
                <w:szCs w:val="20"/>
                <w:lang w:val="fr-CA"/>
              </w:rPr>
            </w:pPr>
          </w:p>
        </w:tc>
      </w:tr>
      <w:tr w:rsidR="00BF618C" w:rsidRPr="00FF00BC" w:rsidTr="00902B1D">
        <w:tc>
          <w:tcPr>
            <w:tcW w:w="5000" w:type="pct"/>
            <w:gridSpan w:val="3"/>
          </w:tcPr>
          <w:p w:rsidR="00BF618C" w:rsidRPr="00FF00BC" w:rsidRDefault="00BF618C" w:rsidP="00902B1D">
            <w:pPr>
              <w:jc w:val="both"/>
              <w:rPr>
                <w:sz w:val="20"/>
                <w:szCs w:val="20"/>
                <w:lang w:val="fr-CA"/>
              </w:rPr>
            </w:pPr>
            <w:r w:rsidRPr="00FF00BC">
              <w:rPr>
                <w:sz w:val="20"/>
                <w:szCs w:val="20"/>
                <w:lang w:val="fr-CA"/>
              </w:rPr>
              <w:t>Les demandeurs allèguent qu’en raison de divers assertions inexactes ou défauts de renseignements, Melanie Lay a obtenu une contrepartie insuffisante lorsqu'elle a vendu ses actions dans la société intimée (Steep Rock) aux particuliers intimés, Bradley et Marlene Lay, en 2003.  Ils sollicitent également un redressement pour abus.  En 2007, les biens et les actions de Steep Rock ont été vendus à Doug Bauman.  Les demandeurs allèguent que le montant de la vente de 2007 était considérablement plus élevé que le montant payé à Melanie Lay en 2003, et que la preuve entourant cette vente constitue une preuve à l'appui de leurs allégations d'assertion inexacte.</w:t>
            </w:r>
          </w:p>
          <w:p w:rsidR="00BF618C" w:rsidRPr="00FF00BC" w:rsidRDefault="00BF618C" w:rsidP="00902B1D">
            <w:pPr>
              <w:jc w:val="both"/>
              <w:rPr>
                <w:sz w:val="20"/>
                <w:szCs w:val="20"/>
                <w:lang w:val="fr-CA"/>
              </w:rPr>
            </w:pPr>
          </w:p>
          <w:p w:rsidR="00BF618C" w:rsidRPr="00FF00BC" w:rsidRDefault="00BF618C" w:rsidP="00902B1D">
            <w:pPr>
              <w:jc w:val="both"/>
              <w:rPr>
                <w:sz w:val="20"/>
                <w:szCs w:val="20"/>
                <w:lang w:val="fr-CA"/>
              </w:rPr>
            </w:pPr>
            <w:r w:rsidRPr="00FF00BC">
              <w:rPr>
                <w:sz w:val="20"/>
                <w:szCs w:val="20"/>
                <w:lang w:val="fr-CA"/>
              </w:rPr>
              <w:t>Les demandeurs ont présenté une demande de communication de l'information sur la vente de 2007 et les documents de Steep Rock en la possession de Bauman pendant la période 2003</w:t>
            </w:r>
            <w:r w:rsidRPr="00FF00BC">
              <w:rPr>
                <w:sz w:val="20"/>
                <w:szCs w:val="20"/>
                <w:lang w:val="fr-CA"/>
              </w:rPr>
              <w:noBreakHyphen/>
              <w:t>2007.  Aux termes de l'ordonnance sur consentement, Bauman et Steep Rock devaient produire certains documents relatifs à Steep Rock pour les années 2003 et 2004.  La demande a été modifiée par la suite pour obtenir des documents supplémentaires en la possession de Bauman et des documents relatifs à une offre d'achat antérieure en 2003, ainsi que des documents supplémentaires de Steep Rock antérieurs et postérieurs à 2007.  Le juge chargé de la gestion de l'instance a refusé d'ordonner la production de documents et de précisions complémentaires.  La Cour d'appel a rejeté l'appel des demandeurs.</w:t>
            </w:r>
          </w:p>
          <w:p w:rsidR="00BF618C" w:rsidRPr="00FF00BC" w:rsidRDefault="00BF618C" w:rsidP="00902B1D">
            <w:pPr>
              <w:jc w:val="both"/>
              <w:rPr>
                <w:sz w:val="20"/>
                <w:szCs w:val="20"/>
                <w:lang w:val="fr-CA"/>
              </w:rPr>
            </w:pPr>
          </w:p>
        </w:tc>
      </w:tr>
      <w:tr w:rsidR="00BF618C" w:rsidRPr="00B07D2C" w:rsidTr="00902B1D">
        <w:tc>
          <w:tcPr>
            <w:tcW w:w="2427" w:type="pct"/>
          </w:tcPr>
          <w:p w:rsidR="00BF618C" w:rsidRPr="00FF00BC" w:rsidRDefault="00BF618C" w:rsidP="00902B1D">
            <w:pPr>
              <w:jc w:val="both"/>
              <w:rPr>
                <w:sz w:val="20"/>
                <w:szCs w:val="20"/>
                <w:lang w:val="fr-CA"/>
              </w:rPr>
            </w:pPr>
            <w:r w:rsidRPr="00FF00BC">
              <w:rPr>
                <w:sz w:val="20"/>
                <w:szCs w:val="20"/>
                <w:lang w:val="fr-CA"/>
              </w:rPr>
              <w:t>11 avril 2012</w:t>
            </w:r>
          </w:p>
          <w:p w:rsidR="00BF618C" w:rsidRPr="00FF00BC" w:rsidRDefault="00BF618C" w:rsidP="00902B1D">
            <w:pPr>
              <w:jc w:val="both"/>
              <w:rPr>
                <w:sz w:val="20"/>
                <w:szCs w:val="20"/>
                <w:lang w:val="fr-CA"/>
              </w:rPr>
            </w:pPr>
            <w:r w:rsidRPr="00FF00BC">
              <w:rPr>
                <w:sz w:val="20"/>
                <w:szCs w:val="20"/>
                <w:lang w:val="fr-CA"/>
              </w:rPr>
              <w:t xml:space="preserve">Cours du Banc de la Reine de l'Alberta </w:t>
            </w:r>
          </w:p>
          <w:p w:rsidR="00BF618C" w:rsidRPr="00FF00BC" w:rsidRDefault="00BF618C" w:rsidP="00902B1D">
            <w:pPr>
              <w:jc w:val="both"/>
              <w:rPr>
                <w:sz w:val="20"/>
                <w:szCs w:val="20"/>
                <w:lang w:val="fr-CA"/>
              </w:rPr>
            </w:pPr>
            <w:r w:rsidRPr="00FF00BC">
              <w:rPr>
                <w:sz w:val="20"/>
                <w:szCs w:val="20"/>
                <w:lang w:val="fr-CA"/>
              </w:rPr>
              <w:t>(Juge Romaine)</w:t>
            </w:r>
          </w:p>
          <w:p w:rsidR="00BF618C" w:rsidRPr="00FF00BC" w:rsidRDefault="00BF618C" w:rsidP="00902B1D">
            <w:pPr>
              <w:jc w:val="both"/>
              <w:rPr>
                <w:sz w:val="20"/>
                <w:szCs w:val="20"/>
                <w:lang w:val="fr-CA"/>
              </w:rPr>
            </w:pPr>
          </w:p>
        </w:tc>
        <w:tc>
          <w:tcPr>
            <w:tcW w:w="243" w:type="pct"/>
          </w:tcPr>
          <w:p w:rsidR="00BF618C" w:rsidRPr="00FF00BC" w:rsidRDefault="00BF618C" w:rsidP="00902B1D">
            <w:pPr>
              <w:jc w:val="both"/>
              <w:rPr>
                <w:sz w:val="20"/>
                <w:szCs w:val="20"/>
                <w:lang w:val="fr-CA"/>
              </w:rPr>
            </w:pPr>
          </w:p>
        </w:tc>
        <w:tc>
          <w:tcPr>
            <w:tcW w:w="2330" w:type="pct"/>
          </w:tcPr>
          <w:p w:rsidR="00BF618C" w:rsidRPr="00FF00BC" w:rsidRDefault="00BF618C" w:rsidP="00902B1D">
            <w:pPr>
              <w:jc w:val="both"/>
              <w:rPr>
                <w:sz w:val="20"/>
                <w:szCs w:val="20"/>
                <w:lang w:val="fr-CA"/>
              </w:rPr>
            </w:pPr>
            <w:r w:rsidRPr="00FF00BC">
              <w:rPr>
                <w:sz w:val="20"/>
                <w:szCs w:val="20"/>
                <w:lang w:val="fr-CA"/>
              </w:rPr>
              <w:t>Demande de communication de précisions et de documents complémentaires, rejetée</w:t>
            </w:r>
          </w:p>
          <w:p w:rsidR="00BF618C" w:rsidRPr="00FF00BC" w:rsidRDefault="00BF618C" w:rsidP="00902B1D">
            <w:pPr>
              <w:jc w:val="both"/>
              <w:rPr>
                <w:sz w:val="20"/>
                <w:szCs w:val="20"/>
                <w:lang w:val="fr-CA"/>
              </w:rPr>
            </w:pPr>
          </w:p>
        </w:tc>
      </w:tr>
      <w:tr w:rsidR="00BF618C" w:rsidRPr="00FF00BC" w:rsidTr="00902B1D">
        <w:tc>
          <w:tcPr>
            <w:tcW w:w="2427" w:type="pct"/>
          </w:tcPr>
          <w:p w:rsidR="00BF618C" w:rsidRPr="00FF00BC" w:rsidRDefault="00BF618C" w:rsidP="00902B1D">
            <w:pPr>
              <w:jc w:val="both"/>
              <w:rPr>
                <w:sz w:val="20"/>
                <w:szCs w:val="20"/>
                <w:lang w:val="fr-CA"/>
              </w:rPr>
            </w:pPr>
            <w:r w:rsidRPr="00FF00BC">
              <w:rPr>
                <w:sz w:val="20"/>
                <w:szCs w:val="20"/>
                <w:lang w:val="fr-CA"/>
              </w:rPr>
              <w:t>19 octobre 2012</w:t>
            </w:r>
          </w:p>
          <w:p w:rsidR="00BF618C" w:rsidRPr="00FF00BC" w:rsidRDefault="00BF618C" w:rsidP="00902B1D">
            <w:pPr>
              <w:jc w:val="both"/>
              <w:rPr>
                <w:sz w:val="20"/>
                <w:szCs w:val="20"/>
                <w:lang w:val="fr-CA"/>
              </w:rPr>
            </w:pPr>
            <w:r w:rsidRPr="00FF00BC">
              <w:rPr>
                <w:sz w:val="20"/>
                <w:szCs w:val="20"/>
                <w:lang w:val="fr-CA"/>
              </w:rPr>
              <w:t xml:space="preserve">Cour d'appel de l'Alberta </w:t>
            </w:r>
          </w:p>
          <w:p w:rsidR="00BF618C" w:rsidRPr="00FF00BC" w:rsidRDefault="00BF618C" w:rsidP="00902B1D">
            <w:pPr>
              <w:jc w:val="both"/>
              <w:rPr>
                <w:sz w:val="20"/>
                <w:szCs w:val="20"/>
                <w:lang w:val="fr-CA"/>
              </w:rPr>
            </w:pPr>
            <w:r w:rsidRPr="00FF00BC">
              <w:rPr>
                <w:sz w:val="20"/>
                <w:szCs w:val="20"/>
                <w:lang w:val="fr-CA"/>
              </w:rPr>
              <w:t>(Juges Rowbotham, O'Ferrall et Brooker (ad hoc))</w:t>
            </w:r>
          </w:p>
          <w:p w:rsidR="00BF618C" w:rsidRPr="00FF00BC" w:rsidRDefault="00BF618C" w:rsidP="00902B1D">
            <w:pPr>
              <w:jc w:val="both"/>
              <w:rPr>
                <w:sz w:val="20"/>
                <w:szCs w:val="20"/>
                <w:lang w:val="fr-CA"/>
              </w:rPr>
            </w:pPr>
            <w:r w:rsidRPr="00FF00BC">
              <w:rPr>
                <w:sz w:val="20"/>
                <w:szCs w:val="20"/>
                <w:lang w:val="fr-CA"/>
              </w:rPr>
              <w:t>2012 ABCA 303</w:t>
            </w:r>
          </w:p>
          <w:p w:rsidR="00BF618C" w:rsidRPr="00FF00BC" w:rsidRDefault="00BF618C" w:rsidP="00902B1D">
            <w:pPr>
              <w:jc w:val="both"/>
              <w:rPr>
                <w:sz w:val="20"/>
                <w:szCs w:val="20"/>
                <w:lang w:val="fr-CA"/>
              </w:rPr>
            </w:pPr>
          </w:p>
        </w:tc>
        <w:tc>
          <w:tcPr>
            <w:tcW w:w="243" w:type="pct"/>
          </w:tcPr>
          <w:p w:rsidR="00BF618C" w:rsidRPr="00FF00BC" w:rsidRDefault="00BF618C" w:rsidP="00902B1D">
            <w:pPr>
              <w:jc w:val="both"/>
              <w:rPr>
                <w:sz w:val="20"/>
                <w:szCs w:val="20"/>
                <w:lang w:val="fr-CA"/>
              </w:rPr>
            </w:pPr>
          </w:p>
        </w:tc>
        <w:tc>
          <w:tcPr>
            <w:tcW w:w="2330" w:type="pct"/>
          </w:tcPr>
          <w:p w:rsidR="00BF618C" w:rsidRPr="00FF00BC" w:rsidRDefault="00BF618C" w:rsidP="00902B1D">
            <w:pPr>
              <w:jc w:val="both"/>
              <w:rPr>
                <w:sz w:val="20"/>
                <w:szCs w:val="20"/>
                <w:lang w:val="fr-CA"/>
              </w:rPr>
            </w:pPr>
            <w:r w:rsidRPr="00FF00BC">
              <w:rPr>
                <w:sz w:val="20"/>
                <w:szCs w:val="20"/>
                <w:lang w:val="fr-CA"/>
              </w:rPr>
              <w:t>Appel rejeté</w:t>
            </w:r>
          </w:p>
          <w:p w:rsidR="00BF618C" w:rsidRPr="00FF00BC" w:rsidRDefault="00BF618C" w:rsidP="00902B1D">
            <w:pPr>
              <w:jc w:val="both"/>
              <w:rPr>
                <w:sz w:val="20"/>
                <w:szCs w:val="20"/>
                <w:lang w:val="fr-CA"/>
              </w:rPr>
            </w:pPr>
          </w:p>
        </w:tc>
      </w:tr>
      <w:tr w:rsidR="00BF618C" w:rsidRPr="00FF00BC" w:rsidTr="00902B1D">
        <w:tc>
          <w:tcPr>
            <w:tcW w:w="2427" w:type="pct"/>
          </w:tcPr>
          <w:p w:rsidR="00BF618C" w:rsidRPr="00FF00BC" w:rsidRDefault="00BF618C" w:rsidP="00902B1D">
            <w:pPr>
              <w:jc w:val="both"/>
              <w:rPr>
                <w:sz w:val="20"/>
                <w:szCs w:val="20"/>
                <w:lang w:val="fr-CA"/>
              </w:rPr>
            </w:pPr>
            <w:r w:rsidRPr="00FF00BC">
              <w:rPr>
                <w:sz w:val="20"/>
                <w:szCs w:val="20"/>
                <w:lang w:val="fr-CA"/>
              </w:rPr>
              <w:t>29 novembre 2012</w:t>
            </w:r>
          </w:p>
          <w:p w:rsidR="00BF618C" w:rsidRPr="00FF00BC" w:rsidRDefault="00BF618C" w:rsidP="00902B1D">
            <w:pPr>
              <w:jc w:val="both"/>
              <w:rPr>
                <w:sz w:val="20"/>
                <w:szCs w:val="20"/>
                <w:lang w:val="fr-CA"/>
              </w:rPr>
            </w:pPr>
            <w:r w:rsidRPr="00FF00BC">
              <w:rPr>
                <w:sz w:val="20"/>
                <w:szCs w:val="20"/>
                <w:lang w:val="fr-CA"/>
              </w:rPr>
              <w:t>Cour suprême du Canada</w:t>
            </w:r>
          </w:p>
        </w:tc>
        <w:tc>
          <w:tcPr>
            <w:tcW w:w="243" w:type="pct"/>
          </w:tcPr>
          <w:p w:rsidR="00BF618C" w:rsidRPr="00FF00BC" w:rsidRDefault="00BF618C" w:rsidP="00902B1D">
            <w:pPr>
              <w:jc w:val="both"/>
              <w:rPr>
                <w:sz w:val="20"/>
                <w:szCs w:val="20"/>
                <w:lang w:val="fr-CA"/>
              </w:rPr>
            </w:pPr>
          </w:p>
        </w:tc>
        <w:tc>
          <w:tcPr>
            <w:tcW w:w="2330" w:type="pct"/>
          </w:tcPr>
          <w:p w:rsidR="00BF618C" w:rsidRPr="00FF00BC" w:rsidRDefault="00BF618C" w:rsidP="00902B1D">
            <w:pPr>
              <w:jc w:val="both"/>
              <w:rPr>
                <w:sz w:val="20"/>
                <w:szCs w:val="20"/>
                <w:lang w:val="fr-CA"/>
              </w:rPr>
            </w:pPr>
            <w:r w:rsidRPr="00FF00BC">
              <w:rPr>
                <w:sz w:val="20"/>
                <w:szCs w:val="20"/>
                <w:lang w:val="fr-CA"/>
              </w:rPr>
              <w:t>Demande d'autorisation d'appel, déposée</w:t>
            </w:r>
          </w:p>
        </w:tc>
      </w:tr>
    </w:tbl>
    <w:p w:rsidR="00A32A8F" w:rsidRDefault="00A32A8F" w:rsidP="00A32A8F">
      <w:pPr>
        <w:rPr>
          <w:sz w:val="20"/>
          <w:szCs w:val="20"/>
        </w:rPr>
      </w:pPr>
    </w:p>
    <w:p w:rsidR="00A32A8F" w:rsidRDefault="00CB0178" w:rsidP="00A32A8F">
      <w:pPr>
        <w:rPr>
          <w:sz w:val="20"/>
          <w:szCs w:val="20"/>
        </w:rPr>
      </w:pPr>
      <w:r w:rsidRPr="00CB0178">
        <w:rPr>
          <w:sz w:val="20"/>
          <w:szCs w:val="20"/>
          <w:lang w:val="fr-CA"/>
        </w:rPr>
        <w:pict>
          <v:rect id="_x0000_i1054" style="width:2in;height:1pt" o:hrpct="0" o:hralign="center" o:hrstd="t" o:hrnoshade="t" o:hr="t" fillcolor="black [3213]" stroked="f"/>
        </w:pict>
      </w:r>
    </w:p>
    <w:p w:rsidR="00A32A8F" w:rsidRDefault="00A32A8F" w:rsidP="00A32A8F">
      <w:pPr>
        <w:rPr>
          <w:sz w:val="20"/>
          <w:szCs w:val="20"/>
        </w:rPr>
      </w:pPr>
    </w:p>
    <w:p w:rsidR="00A32A8F" w:rsidRDefault="00A32A8F" w:rsidP="008D292F">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CF1417" w:rsidRPr="00CF1417" w:rsidRDefault="00CF1417" w:rsidP="00CF1417">
      <w:pPr>
        <w:tabs>
          <w:tab w:val="left" w:pos="-1440"/>
          <w:tab w:val="left" w:pos="-720"/>
        </w:tabs>
        <w:jc w:val="both"/>
        <w:rPr>
          <w:rFonts w:eastAsia="Times New Roman" w:cs="Times New Roman"/>
          <w:sz w:val="20"/>
          <w:szCs w:val="20"/>
          <w:lang w:eastAsia="en-CA"/>
        </w:rPr>
      </w:pPr>
      <w:r w:rsidRPr="00CF1417">
        <w:rPr>
          <w:rFonts w:eastAsia="Times New Roman" w:cs="Times New Roman"/>
          <w:sz w:val="20"/>
          <w:szCs w:val="20"/>
          <w:lang w:eastAsia="en-CA"/>
        </w:rPr>
        <w:t>15.02.2013</w:t>
      </w:r>
    </w:p>
    <w:p w:rsidR="00CF1417" w:rsidRPr="00CF1417" w:rsidRDefault="00CF1417" w:rsidP="00CF1417">
      <w:pPr>
        <w:tabs>
          <w:tab w:val="left" w:pos="-1440"/>
          <w:tab w:val="left" w:pos="-720"/>
        </w:tabs>
        <w:jc w:val="both"/>
        <w:rPr>
          <w:rFonts w:eastAsia="Times New Roman" w:cs="Times New Roman"/>
          <w:sz w:val="20"/>
          <w:szCs w:val="20"/>
          <w:lang w:eastAsia="en-CA"/>
        </w:rPr>
      </w:pPr>
    </w:p>
    <w:p w:rsidR="00CF1417" w:rsidRPr="00CF1417" w:rsidRDefault="00CF1417" w:rsidP="00CF1417">
      <w:pPr>
        <w:tabs>
          <w:tab w:val="left" w:pos="-1440"/>
          <w:tab w:val="left" w:pos="-720"/>
        </w:tabs>
        <w:jc w:val="both"/>
        <w:rPr>
          <w:rFonts w:eastAsia="Times New Roman" w:cs="Times New Roman"/>
          <w:sz w:val="20"/>
          <w:szCs w:val="20"/>
          <w:lang w:eastAsia="en-CA"/>
        </w:rPr>
      </w:pPr>
      <w:r w:rsidRPr="00CF1417">
        <w:rPr>
          <w:rFonts w:eastAsia="Times New Roman" w:cs="Times New Roman"/>
          <w:sz w:val="20"/>
          <w:szCs w:val="20"/>
          <w:lang w:eastAsia="en-CA"/>
        </w:rPr>
        <w:t>Before / Devant :   THE REGISTRAR / LE REGISTRAIRE</w:t>
      </w:r>
    </w:p>
    <w:p w:rsidR="00CF1417" w:rsidRPr="00CF1417" w:rsidRDefault="00CF1417" w:rsidP="00CF1417">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CF1417" w:rsidRPr="00B07D2C" w:rsidTr="001233FB">
        <w:tc>
          <w:tcPr>
            <w:tcW w:w="4338" w:type="dxa"/>
          </w:tcPr>
          <w:p w:rsidR="00CF1417" w:rsidRPr="00CF1417" w:rsidRDefault="00CB0178" w:rsidP="00CF1417">
            <w:pPr>
              <w:tabs>
                <w:tab w:val="left" w:pos="-1440"/>
                <w:tab w:val="left" w:pos="-720"/>
              </w:tabs>
              <w:jc w:val="both"/>
              <w:rPr>
                <w:b/>
              </w:rPr>
            </w:pPr>
            <w:r w:rsidRPr="00CF1417">
              <w:rPr>
                <w:lang w:val="en-US"/>
              </w:rPr>
              <w:fldChar w:fldCharType="begin"/>
            </w:r>
            <w:r w:rsidR="00CF1417" w:rsidRPr="00CF1417">
              <w:rPr>
                <w:lang w:val="en-US"/>
              </w:rPr>
              <w:instrText xml:space="preserve"> SEQ CHAPTER \h \r 1</w:instrText>
            </w:r>
            <w:r w:rsidRPr="00CF1417">
              <w:rPr>
                <w:lang w:val="en-US"/>
              </w:rPr>
              <w:fldChar w:fldCharType="end"/>
            </w:r>
            <w:r w:rsidR="00CF1417" w:rsidRPr="00CF1417">
              <w:rPr>
                <w:b/>
                <w:bCs/>
                <w:lang w:val="en-US"/>
              </w:rPr>
              <w:t xml:space="preserve">Motion to allow the applicant to file a single joint application for leave to appeal from two judgments of the Federal Court of Appeal file numbers A-219-11 and A-331-11 </w:t>
            </w:r>
          </w:p>
        </w:tc>
        <w:tc>
          <w:tcPr>
            <w:tcW w:w="1170" w:type="dxa"/>
          </w:tcPr>
          <w:p w:rsidR="00CF1417" w:rsidRPr="00CF1417" w:rsidRDefault="00CF1417" w:rsidP="00CF1417">
            <w:pPr>
              <w:tabs>
                <w:tab w:val="left" w:pos="-1440"/>
                <w:tab w:val="left" w:pos="-720"/>
              </w:tabs>
              <w:jc w:val="both"/>
            </w:pPr>
          </w:p>
          <w:p w:rsidR="00CF1417" w:rsidRPr="00CF1417" w:rsidRDefault="00CF1417" w:rsidP="00CF1417">
            <w:pPr>
              <w:tabs>
                <w:tab w:val="left" w:pos="-1440"/>
                <w:tab w:val="left" w:pos="-720"/>
              </w:tabs>
              <w:jc w:val="both"/>
            </w:pPr>
          </w:p>
          <w:p w:rsidR="00CF1417" w:rsidRPr="00CF1417" w:rsidRDefault="00CF1417" w:rsidP="00CF1417">
            <w:pPr>
              <w:tabs>
                <w:tab w:val="left" w:pos="-1440"/>
                <w:tab w:val="left" w:pos="-720"/>
              </w:tabs>
              <w:jc w:val="both"/>
            </w:pPr>
          </w:p>
          <w:p w:rsidR="00CF1417" w:rsidRPr="00CF1417" w:rsidRDefault="00CF1417" w:rsidP="00CF1417">
            <w:pPr>
              <w:tabs>
                <w:tab w:val="left" w:pos="-1440"/>
                <w:tab w:val="left" w:pos="-720"/>
              </w:tabs>
              <w:jc w:val="both"/>
            </w:pPr>
          </w:p>
          <w:p w:rsidR="00CF1417" w:rsidRPr="00CF1417" w:rsidRDefault="00CF1417" w:rsidP="00CF1417">
            <w:pPr>
              <w:tabs>
                <w:tab w:val="left" w:pos="-1440"/>
                <w:tab w:val="left" w:pos="-720"/>
              </w:tabs>
              <w:jc w:val="both"/>
            </w:pPr>
          </w:p>
        </w:tc>
        <w:tc>
          <w:tcPr>
            <w:tcW w:w="4327" w:type="dxa"/>
          </w:tcPr>
          <w:p w:rsidR="00CF1417" w:rsidRPr="00CF1417" w:rsidRDefault="00CB0178" w:rsidP="00CF1417">
            <w:pPr>
              <w:tabs>
                <w:tab w:val="left" w:pos="-1440"/>
                <w:tab w:val="left" w:pos="-720"/>
              </w:tabs>
              <w:jc w:val="both"/>
              <w:rPr>
                <w:lang w:val="fr-CA"/>
              </w:rPr>
            </w:pPr>
            <w:r w:rsidRPr="00CF1417">
              <w:rPr>
                <w:lang w:val="en-US"/>
              </w:rPr>
              <w:fldChar w:fldCharType="begin"/>
            </w:r>
            <w:r w:rsidR="00CF1417" w:rsidRPr="00CF1417">
              <w:rPr>
                <w:lang w:val="fr-CA"/>
              </w:rPr>
              <w:instrText xml:space="preserve"> SEQ CHAPTER \h \r 1</w:instrText>
            </w:r>
            <w:r w:rsidRPr="00CF1417">
              <w:rPr>
                <w:lang w:val="en-US"/>
              </w:rPr>
              <w:fldChar w:fldCharType="end"/>
            </w:r>
            <w:r w:rsidR="00CF1417" w:rsidRPr="00CF1417">
              <w:rPr>
                <w:b/>
                <w:bCs/>
                <w:lang w:val="fr-CA"/>
              </w:rPr>
              <w:t>Requête du demandeur en vue de déposer une seule demande d'autorisation conjointe à l'égard de deux jugements de la Cour d'appel fédérale numéros A-219-11 et A-331-11</w:t>
            </w:r>
            <w:r w:rsidRPr="00CF1417">
              <w:rPr>
                <w:lang w:val="en-US"/>
              </w:rPr>
              <w:fldChar w:fldCharType="begin"/>
            </w:r>
            <w:r w:rsidR="00CF1417" w:rsidRPr="00CF1417">
              <w:rPr>
                <w:lang w:val="fr-CA"/>
              </w:rPr>
              <w:instrText xml:space="preserve"> SEQ CHAPTER \h \r 1</w:instrText>
            </w:r>
            <w:r w:rsidRPr="00CF1417">
              <w:rPr>
                <w:lang w:val="en-US"/>
              </w:rPr>
              <w:fldChar w:fldCharType="end"/>
            </w:r>
            <w:r w:rsidRPr="00CF1417">
              <w:rPr>
                <w:lang w:val="en-US"/>
              </w:rPr>
              <w:fldChar w:fldCharType="begin"/>
            </w:r>
            <w:r w:rsidR="00CF1417" w:rsidRPr="00CF1417">
              <w:rPr>
                <w:lang w:val="fr-CA"/>
              </w:rPr>
              <w:instrText xml:space="preserve"> SEQ CHAPTER \h \r 1</w:instrText>
            </w:r>
            <w:r w:rsidRPr="00CF1417">
              <w:rPr>
                <w:lang w:val="en-US"/>
              </w:rPr>
              <w:fldChar w:fldCharType="end"/>
            </w:r>
          </w:p>
        </w:tc>
      </w:tr>
      <w:tr w:rsidR="00CF1417" w:rsidRPr="00CF1417" w:rsidTr="001233FB">
        <w:tc>
          <w:tcPr>
            <w:tcW w:w="4338" w:type="dxa"/>
          </w:tcPr>
          <w:p w:rsidR="00CF1417" w:rsidRPr="00CF1417" w:rsidRDefault="00CF1417" w:rsidP="00CF1417">
            <w:pPr>
              <w:tabs>
                <w:tab w:val="left" w:pos="-1440"/>
                <w:tab w:val="left" w:pos="-720"/>
              </w:tabs>
              <w:jc w:val="both"/>
              <w:rPr>
                <w:lang w:val="fr-CA"/>
              </w:rPr>
            </w:pPr>
            <w:r w:rsidRPr="00CF1417">
              <w:rPr>
                <w:lang w:val="fr-CA"/>
              </w:rPr>
              <w:t xml:space="preserve">Pluri Vox Media </w:t>
            </w:r>
            <w:proofErr w:type="spellStart"/>
            <w:r w:rsidRPr="00CF1417">
              <w:rPr>
                <w:lang w:val="fr-CA"/>
              </w:rPr>
              <w:t>Corp</w:t>
            </w:r>
            <w:proofErr w:type="spellEnd"/>
            <w:r w:rsidRPr="00CF1417">
              <w:rPr>
                <w:lang w:val="fr-CA"/>
              </w:rPr>
              <w:t xml:space="preserve"> et al.</w:t>
            </w:r>
          </w:p>
          <w:p w:rsidR="00CF1417" w:rsidRPr="00CF1417" w:rsidRDefault="00CF1417" w:rsidP="00CF1417">
            <w:pPr>
              <w:tabs>
                <w:tab w:val="left" w:pos="-1440"/>
                <w:tab w:val="left" w:pos="-720"/>
              </w:tabs>
              <w:jc w:val="both"/>
              <w:rPr>
                <w:lang w:val="fr-CA"/>
              </w:rPr>
            </w:pPr>
          </w:p>
          <w:p w:rsidR="00CF1417" w:rsidRPr="00CF1417" w:rsidRDefault="00CF1417" w:rsidP="00CF1417">
            <w:pPr>
              <w:tabs>
                <w:tab w:val="left" w:pos="-1440"/>
                <w:tab w:val="left" w:pos="-720"/>
              </w:tabs>
              <w:jc w:val="both"/>
            </w:pPr>
            <w:r w:rsidRPr="00CF1417">
              <w:rPr>
                <w:lang w:val="fr-CA"/>
              </w:rPr>
              <w:tab/>
            </w:r>
            <w:r w:rsidRPr="00CF1417">
              <w:t>v. (35174)</w:t>
            </w:r>
          </w:p>
          <w:p w:rsidR="00CF1417" w:rsidRPr="00CF1417" w:rsidRDefault="00CF1417" w:rsidP="00CF1417">
            <w:pPr>
              <w:tabs>
                <w:tab w:val="left" w:pos="-1440"/>
                <w:tab w:val="left" w:pos="-720"/>
              </w:tabs>
              <w:jc w:val="both"/>
            </w:pPr>
          </w:p>
          <w:p w:rsidR="00CF1417" w:rsidRPr="00CF1417" w:rsidRDefault="00CF1417" w:rsidP="00CF1417">
            <w:pPr>
              <w:tabs>
                <w:tab w:val="left" w:pos="-1440"/>
                <w:tab w:val="left" w:pos="-720"/>
              </w:tabs>
              <w:jc w:val="both"/>
              <w:rPr>
                <w:lang w:val="fr-CA"/>
              </w:rPr>
            </w:pPr>
            <w:r w:rsidRPr="00CF1417">
              <w:t xml:space="preserve">Her Majesty the Queen et al. </w:t>
            </w:r>
            <w:r w:rsidRPr="00CF1417">
              <w:rPr>
                <w:lang w:val="fr-CA"/>
              </w:rPr>
              <w:t>(F.C.)</w:t>
            </w:r>
          </w:p>
        </w:tc>
        <w:tc>
          <w:tcPr>
            <w:tcW w:w="1170" w:type="dxa"/>
          </w:tcPr>
          <w:p w:rsidR="00CF1417" w:rsidRPr="00CF1417" w:rsidRDefault="00CF1417" w:rsidP="00CF1417">
            <w:pPr>
              <w:tabs>
                <w:tab w:val="left" w:pos="-1440"/>
                <w:tab w:val="left" w:pos="-720"/>
              </w:tabs>
              <w:jc w:val="both"/>
              <w:rPr>
                <w:lang w:val="fr-CA"/>
              </w:rPr>
            </w:pPr>
          </w:p>
        </w:tc>
        <w:tc>
          <w:tcPr>
            <w:tcW w:w="4327" w:type="dxa"/>
          </w:tcPr>
          <w:p w:rsidR="00CF1417" w:rsidRPr="00CF1417" w:rsidRDefault="00CF1417" w:rsidP="00CF1417">
            <w:pPr>
              <w:tabs>
                <w:tab w:val="left" w:pos="-1440"/>
                <w:tab w:val="left" w:pos="-720"/>
              </w:tabs>
              <w:jc w:val="both"/>
              <w:rPr>
                <w:lang w:val="fr-CA"/>
              </w:rPr>
            </w:pPr>
          </w:p>
        </w:tc>
      </w:tr>
    </w:tbl>
    <w:p w:rsidR="00CF1417" w:rsidRPr="00CF1417" w:rsidRDefault="00CF1417" w:rsidP="00CF1417">
      <w:pPr>
        <w:tabs>
          <w:tab w:val="left" w:pos="-1440"/>
          <w:tab w:val="left" w:pos="-720"/>
        </w:tabs>
        <w:jc w:val="both"/>
        <w:rPr>
          <w:rFonts w:eastAsia="Times New Roman" w:cs="Times New Roman"/>
          <w:sz w:val="20"/>
          <w:szCs w:val="20"/>
          <w:lang w:val="fr-CA" w:eastAsia="en-CA"/>
        </w:rPr>
      </w:pPr>
    </w:p>
    <w:p w:rsidR="00CF1417" w:rsidRPr="00CF1417" w:rsidRDefault="00CF1417" w:rsidP="00CF1417">
      <w:pPr>
        <w:tabs>
          <w:tab w:val="left" w:pos="-1440"/>
          <w:tab w:val="left" w:pos="-720"/>
        </w:tabs>
        <w:jc w:val="both"/>
        <w:rPr>
          <w:rFonts w:eastAsia="Times New Roman" w:cs="Times New Roman"/>
          <w:b/>
          <w:sz w:val="20"/>
          <w:szCs w:val="20"/>
          <w:lang w:val="fr-CA" w:eastAsia="en-CA"/>
        </w:rPr>
      </w:pPr>
      <w:r w:rsidRPr="00CF1417">
        <w:rPr>
          <w:rFonts w:eastAsia="Times New Roman" w:cs="Times New Roman"/>
          <w:b/>
          <w:sz w:val="20"/>
          <w:szCs w:val="20"/>
          <w:lang w:val="fr-CA" w:eastAsia="en-CA"/>
        </w:rPr>
        <w:t>GRANTED / ACCORDÉE</w:t>
      </w:r>
    </w:p>
    <w:p w:rsidR="00CF1417" w:rsidRPr="00CF1417" w:rsidRDefault="00CF1417" w:rsidP="00CF1417">
      <w:pPr>
        <w:tabs>
          <w:tab w:val="left" w:pos="-1440"/>
          <w:tab w:val="left" w:pos="-720"/>
        </w:tabs>
        <w:jc w:val="both"/>
        <w:rPr>
          <w:rFonts w:eastAsia="Times New Roman" w:cs="Times New Roman"/>
          <w:sz w:val="20"/>
          <w:szCs w:val="20"/>
          <w:lang w:val="fr-CA" w:eastAsia="en-CA"/>
        </w:rPr>
      </w:pPr>
    </w:p>
    <w:p w:rsidR="00CF1417" w:rsidRPr="00CF1417" w:rsidRDefault="00CB0178" w:rsidP="00CF1417">
      <w:pPr>
        <w:tabs>
          <w:tab w:val="left" w:pos="-1440"/>
          <w:tab w:val="left" w:pos="-720"/>
        </w:tabs>
        <w:jc w:val="both"/>
        <w:rPr>
          <w:rFonts w:eastAsia="Times New Roman" w:cs="Times New Roman"/>
          <w:sz w:val="20"/>
          <w:szCs w:val="20"/>
          <w:lang w:val="fr-CA" w:eastAsia="en-CA"/>
        </w:rPr>
      </w:pPr>
      <w:r w:rsidRPr="00CB0178">
        <w:rPr>
          <w:rFonts w:eastAsia="Times New Roman" w:cs="Times New Roman"/>
          <w:sz w:val="20"/>
          <w:szCs w:val="20"/>
          <w:lang w:val="fr-CA" w:eastAsia="en-CA"/>
        </w:rPr>
        <w:pict>
          <v:rect id="_x0000_i1057" style="width:2in;height:1pt" o:hrpct="0" o:hralign="center" o:hrstd="t" o:hrnoshade="t" o:hr="t" fillcolor="black [3213]" stroked="f"/>
        </w:pict>
      </w:r>
    </w:p>
    <w:p w:rsidR="00CF1417" w:rsidRPr="00CF1417" w:rsidRDefault="00CF1417" w:rsidP="00CF1417">
      <w:pPr>
        <w:tabs>
          <w:tab w:val="left" w:pos="-1440"/>
          <w:tab w:val="left" w:pos="-720"/>
        </w:tabs>
        <w:jc w:val="both"/>
        <w:rPr>
          <w:rFonts w:eastAsia="Times New Roman" w:cs="Times New Roman"/>
          <w:sz w:val="20"/>
          <w:szCs w:val="20"/>
          <w:lang w:val="fr-CA" w:eastAsia="en-CA"/>
        </w:rPr>
      </w:pPr>
    </w:p>
    <w:p w:rsidR="00CF1417" w:rsidRPr="00CF1417" w:rsidRDefault="00CF1417" w:rsidP="00CF1417">
      <w:pPr>
        <w:tabs>
          <w:tab w:val="left" w:pos="-1440"/>
          <w:tab w:val="left" w:pos="-720"/>
        </w:tabs>
        <w:jc w:val="both"/>
        <w:rPr>
          <w:rFonts w:eastAsia="Times New Roman" w:cs="Times New Roman"/>
          <w:sz w:val="20"/>
          <w:szCs w:val="20"/>
          <w:lang w:val="fr-CA" w:eastAsia="en-CA"/>
        </w:rPr>
      </w:pPr>
      <w:r w:rsidRPr="00CF1417">
        <w:rPr>
          <w:rFonts w:eastAsia="Times New Roman" w:cs="Times New Roman"/>
          <w:sz w:val="20"/>
          <w:szCs w:val="20"/>
          <w:lang w:val="fr-CA" w:eastAsia="en-CA"/>
        </w:rPr>
        <w:t>18.02.2013</w:t>
      </w:r>
    </w:p>
    <w:p w:rsidR="00CF1417" w:rsidRPr="00CF1417" w:rsidRDefault="00CF1417" w:rsidP="00CF1417">
      <w:pPr>
        <w:tabs>
          <w:tab w:val="left" w:pos="-1440"/>
          <w:tab w:val="left" w:pos="-720"/>
        </w:tabs>
        <w:jc w:val="both"/>
        <w:rPr>
          <w:rFonts w:eastAsia="Times New Roman" w:cs="Times New Roman"/>
          <w:sz w:val="20"/>
          <w:szCs w:val="20"/>
          <w:lang w:val="fr-CA" w:eastAsia="en-CA"/>
        </w:rPr>
      </w:pPr>
    </w:p>
    <w:p w:rsidR="00CF1417" w:rsidRPr="00CF1417" w:rsidRDefault="00CF1417" w:rsidP="00CF1417">
      <w:pPr>
        <w:tabs>
          <w:tab w:val="left" w:pos="-1440"/>
          <w:tab w:val="left" w:pos="-720"/>
        </w:tabs>
        <w:jc w:val="both"/>
        <w:rPr>
          <w:rFonts w:eastAsia="Times New Roman" w:cs="Times New Roman"/>
          <w:sz w:val="20"/>
          <w:szCs w:val="20"/>
          <w:lang w:val="fr-CA" w:eastAsia="en-CA"/>
        </w:rPr>
      </w:pPr>
      <w:r w:rsidRPr="00CF1417">
        <w:rPr>
          <w:rFonts w:eastAsia="Times New Roman" w:cs="Times New Roman"/>
          <w:sz w:val="20"/>
          <w:szCs w:val="20"/>
          <w:lang w:val="fr-CA" w:eastAsia="en-CA"/>
        </w:rPr>
        <w:t>Before / Devant :   ROTHSTEIN J. / LE JUGE ROTHSTEIN</w:t>
      </w:r>
    </w:p>
    <w:p w:rsidR="00CF1417" w:rsidRPr="00CF1417" w:rsidRDefault="00CF1417" w:rsidP="00CF1417">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CF1417" w:rsidRPr="00CF1417" w:rsidTr="001233FB">
        <w:tc>
          <w:tcPr>
            <w:tcW w:w="4338" w:type="dxa"/>
            <w:gridSpan w:val="2"/>
          </w:tcPr>
          <w:p w:rsidR="00CF1417" w:rsidRPr="00CF1417" w:rsidRDefault="00CF1417" w:rsidP="00CF1417">
            <w:pPr>
              <w:rPr>
                <w:b/>
              </w:rPr>
            </w:pPr>
            <w:r w:rsidRPr="00CF1417">
              <w:rPr>
                <w:b/>
              </w:rPr>
              <w:t>Motion for leave to intervene</w:t>
            </w:r>
            <w:r w:rsidRPr="00CF1417">
              <w:t xml:space="preserve"> </w:t>
            </w:r>
            <w:r w:rsidR="00CB0178" w:rsidRPr="00CF1417">
              <w:rPr>
                <w:lang w:val="en-US"/>
              </w:rPr>
              <w:fldChar w:fldCharType="begin"/>
            </w:r>
            <w:r w:rsidRPr="00CF1417">
              <w:instrText xml:space="preserve"> SEQ CHAPTER \h \r 1</w:instrText>
            </w:r>
            <w:r w:rsidR="00CB0178" w:rsidRPr="00CF1417">
              <w:rPr>
                <w:lang w:val="en-US"/>
              </w:rPr>
              <w:fldChar w:fldCharType="end"/>
            </w:r>
          </w:p>
        </w:tc>
        <w:tc>
          <w:tcPr>
            <w:tcW w:w="1170" w:type="dxa"/>
          </w:tcPr>
          <w:p w:rsidR="00CF1417" w:rsidRPr="00CF1417" w:rsidRDefault="00CF1417" w:rsidP="00CF1417"/>
          <w:p w:rsidR="00CF1417" w:rsidRPr="00CF1417" w:rsidRDefault="00CF1417" w:rsidP="00CF1417"/>
        </w:tc>
        <w:tc>
          <w:tcPr>
            <w:tcW w:w="4327" w:type="dxa"/>
          </w:tcPr>
          <w:p w:rsidR="00CF1417" w:rsidRPr="00CF1417" w:rsidRDefault="00CF1417" w:rsidP="00CF1417">
            <w:pPr>
              <w:rPr>
                <w:b/>
              </w:rPr>
            </w:pPr>
            <w:r w:rsidRPr="00CF1417">
              <w:rPr>
                <w:b/>
                <w:bCs/>
                <w:lang w:val="fr-CA"/>
              </w:rPr>
              <w:t>Requête en autorisation d’intervenir</w:t>
            </w:r>
            <w:r w:rsidRPr="00CF1417">
              <w:rPr>
                <w:lang w:val="en-US"/>
              </w:rPr>
              <w:t xml:space="preserve"> </w:t>
            </w:r>
            <w:r w:rsidR="00CB0178" w:rsidRPr="00CF1417">
              <w:rPr>
                <w:lang w:val="en-US"/>
              </w:rPr>
              <w:fldChar w:fldCharType="begin"/>
            </w:r>
            <w:r w:rsidRPr="00CF1417">
              <w:instrText xml:space="preserve"> SEQ CHAPTER \h \r 1</w:instrText>
            </w:r>
            <w:r w:rsidR="00CB0178" w:rsidRPr="00CF1417">
              <w:rPr>
                <w:lang w:val="en-US"/>
              </w:rPr>
              <w:fldChar w:fldCharType="end"/>
            </w:r>
          </w:p>
        </w:tc>
      </w:tr>
      <w:tr w:rsidR="00CF1417" w:rsidRPr="00CF1417" w:rsidTr="001233FB">
        <w:tc>
          <w:tcPr>
            <w:tcW w:w="1368" w:type="dxa"/>
          </w:tcPr>
          <w:p w:rsidR="00CF1417" w:rsidRPr="00CF1417" w:rsidRDefault="00CF1417" w:rsidP="00CF1417">
            <w:r w:rsidRPr="00CF1417">
              <w:t>BY / PAR</w:t>
            </w:r>
          </w:p>
        </w:tc>
        <w:tc>
          <w:tcPr>
            <w:tcW w:w="2970" w:type="dxa"/>
          </w:tcPr>
          <w:p w:rsidR="00CF1417" w:rsidRPr="00CF1417" w:rsidRDefault="00CF1417" w:rsidP="00CF1417">
            <w:r w:rsidRPr="00CF1417">
              <w:rPr>
                <w:lang w:val="en-US"/>
              </w:rPr>
              <w:t>Attorney General of Ontario</w:t>
            </w:r>
          </w:p>
        </w:tc>
        <w:tc>
          <w:tcPr>
            <w:tcW w:w="1170" w:type="dxa"/>
          </w:tcPr>
          <w:p w:rsidR="00CF1417" w:rsidRPr="00CF1417" w:rsidRDefault="00CF1417" w:rsidP="00CF1417"/>
        </w:tc>
        <w:tc>
          <w:tcPr>
            <w:tcW w:w="4327" w:type="dxa"/>
          </w:tcPr>
          <w:p w:rsidR="00CF1417" w:rsidRPr="00CF1417" w:rsidRDefault="00CF1417" w:rsidP="00CF1417"/>
        </w:tc>
      </w:tr>
      <w:tr w:rsidR="00CF1417" w:rsidRPr="00CF1417" w:rsidTr="001233FB">
        <w:tc>
          <w:tcPr>
            <w:tcW w:w="1368" w:type="dxa"/>
          </w:tcPr>
          <w:p w:rsidR="00CF1417" w:rsidRPr="00CF1417" w:rsidRDefault="00CF1417" w:rsidP="00CF1417"/>
        </w:tc>
        <w:tc>
          <w:tcPr>
            <w:tcW w:w="2970" w:type="dxa"/>
          </w:tcPr>
          <w:p w:rsidR="00CF1417" w:rsidRPr="00CF1417" w:rsidRDefault="00CF1417" w:rsidP="00CF1417">
            <w:pPr>
              <w:rPr>
                <w:lang w:val="en-US"/>
              </w:rPr>
            </w:pPr>
          </w:p>
        </w:tc>
        <w:tc>
          <w:tcPr>
            <w:tcW w:w="1170" w:type="dxa"/>
          </w:tcPr>
          <w:p w:rsidR="00CF1417" w:rsidRPr="00CF1417" w:rsidRDefault="00CF1417" w:rsidP="00CF1417"/>
        </w:tc>
        <w:tc>
          <w:tcPr>
            <w:tcW w:w="4327" w:type="dxa"/>
          </w:tcPr>
          <w:p w:rsidR="00CF1417" w:rsidRPr="00CF1417" w:rsidRDefault="00CF1417" w:rsidP="00CF1417"/>
        </w:tc>
      </w:tr>
      <w:tr w:rsidR="00CF1417" w:rsidRPr="00CF1417" w:rsidTr="001233FB">
        <w:tc>
          <w:tcPr>
            <w:tcW w:w="1368" w:type="dxa"/>
          </w:tcPr>
          <w:p w:rsidR="00CF1417" w:rsidRPr="00CF1417" w:rsidRDefault="00CF1417" w:rsidP="00CF1417">
            <w:r w:rsidRPr="00CF1417">
              <w:t>IN / DANS :</w:t>
            </w:r>
          </w:p>
        </w:tc>
        <w:tc>
          <w:tcPr>
            <w:tcW w:w="2970" w:type="dxa"/>
          </w:tcPr>
          <w:p w:rsidR="00CF1417" w:rsidRPr="00CF1417" w:rsidRDefault="00CF1417" w:rsidP="00CF1417">
            <w:r w:rsidRPr="00CF1417">
              <w:t xml:space="preserve">Erin Lee MacDonald et al. </w:t>
            </w:r>
          </w:p>
          <w:p w:rsidR="00CF1417" w:rsidRPr="00CF1417" w:rsidRDefault="00CF1417" w:rsidP="00CF1417"/>
          <w:p w:rsidR="00CF1417" w:rsidRPr="00CF1417" w:rsidRDefault="00CF1417" w:rsidP="00CF1417">
            <w:r w:rsidRPr="00CF1417">
              <w:tab/>
              <w:t>v. (34914)</w:t>
            </w:r>
          </w:p>
          <w:p w:rsidR="00CF1417" w:rsidRPr="00CF1417" w:rsidRDefault="00CF1417" w:rsidP="00CF1417"/>
          <w:p w:rsidR="00CF1417" w:rsidRPr="00CF1417" w:rsidRDefault="00CF1417" w:rsidP="00CF1417">
            <w:r w:rsidRPr="00CF1417">
              <w:t>Her Majesty the Queen et al. (Crim.) (N.S.)</w:t>
            </w:r>
          </w:p>
        </w:tc>
        <w:tc>
          <w:tcPr>
            <w:tcW w:w="1170" w:type="dxa"/>
          </w:tcPr>
          <w:p w:rsidR="00CF1417" w:rsidRPr="00CF1417" w:rsidRDefault="00CF1417" w:rsidP="00CF1417"/>
        </w:tc>
        <w:tc>
          <w:tcPr>
            <w:tcW w:w="4327" w:type="dxa"/>
          </w:tcPr>
          <w:p w:rsidR="00CF1417" w:rsidRPr="00CF1417" w:rsidRDefault="00CF1417" w:rsidP="00CF1417"/>
        </w:tc>
      </w:tr>
    </w:tbl>
    <w:p w:rsidR="00CF1417" w:rsidRPr="00CF1417" w:rsidRDefault="00CF1417" w:rsidP="00CF1417">
      <w:pPr>
        <w:tabs>
          <w:tab w:val="left" w:pos="-1440"/>
          <w:tab w:val="left" w:pos="-720"/>
        </w:tabs>
        <w:jc w:val="both"/>
        <w:rPr>
          <w:rFonts w:eastAsia="Times New Roman" w:cs="Times New Roman"/>
          <w:sz w:val="20"/>
          <w:szCs w:val="20"/>
          <w:lang w:eastAsia="en-CA"/>
        </w:rPr>
      </w:pPr>
    </w:p>
    <w:p w:rsidR="00CF1417" w:rsidRPr="00CF1417" w:rsidRDefault="00CF1417" w:rsidP="00CF1417">
      <w:pPr>
        <w:tabs>
          <w:tab w:val="left" w:pos="-1440"/>
          <w:tab w:val="left" w:pos="-720"/>
        </w:tabs>
        <w:jc w:val="both"/>
        <w:rPr>
          <w:rFonts w:eastAsia="Times New Roman" w:cs="Times New Roman"/>
          <w:sz w:val="20"/>
          <w:szCs w:val="20"/>
          <w:lang w:eastAsia="en-CA"/>
        </w:rPr>
      </w:pPr>
      <w:r w:rsidRPr="00CF1417">
        <w:rPr>
          <w:rFonts w:eastAsia="Times New Roman" w:cs="Times New Roman"/>
          <w:b/>
          <w:sz w:val="20"/>
          <w:szCs w:val="20"/>
          <w:lang w:eastAsia="en-CA"/>
        </w:rPr>
        <w:t>GRANTED / ACCORDÉE</w:t>
      </w:r>
    </w:p>
    <w:p w:rsidR="00CF1417" w:rsidRPr="00CF1417" w:rsidRDefault="00CF1417" w:rsidP="00CF1417">
      <w:pPr>
        <w:tabs>
          <w:tab w:val="left" w:pos="-1440"/>
          <w:tab w:val="left" w:pos="-720"/>
        </w:tabs>
        <w:jc w:val="both"/>
        <w:rPr>
          <w:rFonts w:eastAsia="Times New Roman" w:cs="Times New Roman"/>
          <w:sz w:val="20"/>
          <w:szCs w:val="20"/>
          <w:lang w:eastAsia="en-CA"/>
        </w:rPr>
      </w:pPr>
    </w:p>
    <w:p w:rsidR="00CF1417" w:rsidRPr="00CF1417" w:rsidRDefault="00CF1417" w:rsidP="00CF1417">
      <w:pPr>
        <w:spacing w:line="233" w:lineRule="auto"/>
        <w:jc w:val="both"/>
        <w:rPr>
          <w:rFonts w:eastAsia="Times New Roman" w:cs="Times New Roman"/>
          <w:sz w:val="20"/>
          <w:szCs w:val="20"/>
          <w:lang w:val="en-US" w:eastAsia="en-CA"/>
        </w:rPr>
      </w:pPr>
      <w:r w:rsidRPr="00CF1417">
        <w:rPr>
          <w:rFonts w:eastAsia="Times New Roman" w:cs="Times New Roman"/>
          <w:b/>
          <w:bCs/>
          <w:sz w:val="20"/>
          <w:szCs w:val="20"/>
          <w:lang w:val="en-US" w:eastAsia="en-CA"/>
        </w:rPr>
        <w:t xml:space="preserve">UPON APPLICATION </w:t>
      </w:r>
      <w:r w:rsidRPr="00CF1417">
        <w:rPr>
          <w:rFonts w:eastAsia="Times New Roman" w:cs="Times New Roman"/>
          <w:sz w:val="20"/>
          <w:szCs w:val="20"/>
          <w:lang w:val="en-US" w:eastAsia="en-CA"/>
        </w:rPr>
        <w:t xml:space="preserve">by </w:t>
      </w:r>
      <w:r w:rsidRPr="00CF1417">
        <w:rPr>
          <w:rFonts w:eastAsia="Times New Roman" w:cs="Times New Roman"/>
          <w:sz w:val="20"/>
          <w:szCs w:val="20"/>
          <w:lang w:eastAsia="en-CA"/>
        </w:rPr>
        <w:t>the</w:t>
      </w:r>
      <w:r w:rsidRPr="00CF1417">
        <w:rPr>
          <w:rFonts w:eastAsia="Times New Roman" w:cs="Times New Roman"/>
          <w:sz w:val="20"/>
          <w:szCs w:val="20"/>
          <w:lang w:val="en-US" w:eastAsia="en-CA"/>
        </w:rPr>
        <w:t xml:space="preserve"> Attorney General of Ontario for leave to intervene in the above appeal;</w:t>
      </w:r>
    </w:p>
    <w:p w:rsidR="00CF1417" w:rsidRPr="00CF1417" w:rsidRDefault="00CF1417" w:rsidP="00CF1417">
      <w:pPr>
        <w:spacing w:line="233" w:lineRule="auto"/>
        <w:jc w:val="both"/>
        <w:rPr>
          <w:rFonts w:eastAsia="Times New Roman" w:cs="Times New Roman"/>
          <w:sz w:val="20"/>
          <w:szCs w:val="20"/>
          <w:lang w:val="en-US" w:eastAsia="en-CA"/>
        </w:rPr>
      </w:pPr>
    </w:p>
    <w:p w:rsidR="00CF1417" w:rsidRPr="00CF1417" w:rsidRDefault="00CF1417" w:rsidP="00CF1417">
      <w:pPr>
        <w:spacing w:line="233" w:lineRule="auto"/>
        <w:jc w:val="both"/>
        <w:rPr>
          <w:rFonts w:eastAsia="Times New Roman" w:cs="Times New Roman"/>
          <w:sz w:val="20"/>
          <w:szCs w:val="20"/>
          <w:lang w:val="en-US" w:eastAsia="en-CA"/>
        </w:rPr>
      </w:pPr>
      <w:r w:rsidRPr="00CF1417">
        <w:rPr>
          <w:rFonts w:eastAsia="Times New Roman" w:cs="Times New Roman"/>
          <w:b/>
          <w:bCs/>
          <w:sz w:val="20"/>
          <w:szCs w:val="20"/>
          <w:lang w:val="en-US" w:eastAsia="en-CA"/>
        </w:rPr>
        <w:t>AND THE MATERIAL FILED</w:t>
      </w:r>
      <w:r w:rsidRPr="00CF1417">
        <w:rPr>
          <w:rFonts w:eastAsia="Times New Roman" w:cs="Times New Roman"/>
          <w:sz w:val="20"/>
          <w:szCs w:val="20"/>
          <w:lang w:val="en-US" w:eastAsia="en-CA"/>
        </w:rPr>
        <w:t xml:space="preserve"> having been read;</w:t>
      </w:r>
    </w:p>
    <w:p w:rsidR="00CF1417" w:rsidRPr="00CF1417" w:rsidRDefault="00CF1417" w:rsidP="00CF1417">
      <w:pPr>
        <w:spacing w:line="233" w:lineRule="auto"/>
        <w:jc w:val="both"/>
        <w:rPr>
          <w:rFonts w:eastAsia="Times New Roman" w:cs="Times New Roman"/>
          <w:sz w:val="20"/>
          <w:szCs w:val="20"/>
          <w:lang w:val="en-US" w:eastAsia="en-CA"/>
        </w:rPr>
      </w:pPr>
    </w:p>
    <w:p w:rsidR="00CF1417" w:rsidRPr="00CF1417" w:rsidRDefault="00CF1417" w:rsidP="00CF1417">
      <w:pPr>
        <w:spacing w:line="233" w:lineRule="auto"/>
        <w:jc w:val="both"/>
        <w:rPr>
          <w:rFonts w:eastAsia="Times New Roman" w:cs="Times New Roman"/>
          <w:sz w:val="20"/>
          <w:szCs w:val="20"/>
          <w:lang w:val="en-US" w:eastAsia="en-CA"/>
        </w:rPr>
      </w:pPr>
      <w:r w:rsidRPr="00CF1417">
        <w:rPr>
          <w:rFonts w:eastAsia="Times New Roman" w:cs="Times New Roman"/>
          <w:b/>
          <w:bCs/>
          <w:sz w:val="20"/>
          <w:szCs w:val="20"/>
          <w:lang w:val="en-US" w:eastAsia="en-CA"/>
        </w:rPr>
        <w:t>IT IS HEREBY ORDERED THAT:</w:t>
      </w:r>
    </w:p>
    <w:p w:rsidR="00CF1417" w:rsidRPr="00CF1417" w:rsidRDefault="00CF1417" w:rsidP="00CF1417">
      <w:pPr>
        <w:spacing w:line="233" w:lineRule="auto"/>
        <w:jc w:val="both"/>
        <w:rPr>
          <w:rFonts w:eastAsia="Times New Roman" w:cs="Times New Roman"/>
          <w:sz w:val="20"/>
          <w:szCs w:val="20"/>
          <w:lang w:val="en-US" w:eastAsia="en-CA"/>
        </w:rPr>
      </w:pPr>
    </w:p>
    <w:p w:rsidR="00CF1417" w:rsidRPr="00CF1417" w:rsidRDefault="00CF1417" w:rsidP="00CF1417">
      <w:pPr>
        <w:spacing w:line="233" w:lineRule="auto"/>
        <w:jc w:val="both"/>
        <w:rPr>
          <w:rFonts w:eastAsia="Times New Roman" w:cs="Times New Roman"/>
          <w:sz w:val="20"/>
          <w:szCs w:val="20"/>
          <w:lang w:val="en-US" w:eastAsia="en-CA"/>
        </w:rPr>
      </w:pPr>
      <w:r w:rsidRPr="00CF1417">
        <w:rPr>
          <w:rFonts w:eastAsia="Times New Roman" w:cs="Times New Roman"/>
          <w:sz w:val="20"/>
          <w:szCs w:val="20"/>
          <w:lang w:val="en-US" w:eastAsia="en-CA"/>
        </w:rPr>
        <w:t xml:space="preserve">The motion for leave to intervene of </w:t>
      </w:r>
      <w:r w:rsidRPr="00CF1417">
        <w:rPr>
          <w:rFonts w:eastAsia="Times New Roman" w:cs="Times New Roman"/>
          <w:sz w:val="20"/>
          <w:szCs w:val="20"/>
          <w:lang w:eastAsia="en-CA"/>
        </w:rPr>
        <w:t xml:space="preserve">the </w:t>
      </w:r>
      <w:r w:rsidRPr="00CF1417">
        <w:rPr>
          <w:rFonts w:eastAsia="Times New Roman" w:cs="Times New Roman"/>
          <w:sz w:val="20"/>
          <w:szCs w:val="20"/>
          <w:lang w:val="en-US" w:eastAsia="en-CA"/>
        </w:rPr>
        <w:t>Attorney General of Ontario</w:t>
      </w:r>
      <w:r w:rsidRPr="00CF1417">
        <w:rPr>
          <w:rFonts w:eastAsia="Times New Roman" w:cs="Times New Roman"/>
          <w:sz w:val="20"/>
          <w:szCs w:val="20"/>
          <w:lang w:eastAsia="en-CA"/>
        </w:rPr>
        <w:t xml:space="preserve"> is </w:t>
      </w:r>
      <w:r w:rsidRPr="00CF1417">
        <w:rPr>
          <w:rFonts w:eastAsia="Times New Roman" w:cs="Times New Roman"/>
          <w:sz w:val="20"/>
          <w:szCs w:val="20"/>
          <w:lang w:val="en-US" w:eastAsia="en-CA"/>
        </w:rPr>
        <w:t>granted and the said intervener shall be entitled to serve and file a factum not to exceed 10 pages in length on or before April 15, 2013.</w:t>
      </w:r>
    </w:p>
    <w:p w:rsidR="00CF1417" w:rsidRPr="00CF1417" w:rsidRDefault="00CF1417" w:rsidP="00CF1417">
      <w:pPr>
        <w:spacing w:line="233" w:lineRule="auto"/>
        <w:jc w:val="both"/>
        <w:rPr>
          <w:rFonts w:eastAsia="Times New Roman" w:cs="Times New Roman"/>
          <w:sz w:val="20"/>
          <w:szCs w:val="20"/>
          <w:lang w:val="en-US" w:eastAsia="en-CA"/>
        </w:rPr>
      </w:pPr>
    </w:p>
    <w:p w:rsidR="00CF1417" w:rsidRPr="00CF1417" w:rsidRDefault="00CF1417" w:rsidP="00CF1417">
      <w:pPr>
        <w:spacing w:line="233" w:lineRule="auto"/>
        <w:jc w:val="both"/>
        <w:rPr>
          <w:rFonts w:eastAsia="Times New Roman" w:cs="Times New Roman"/>
          <w:sz w:val="20"/>
          <w:szCs w:val="20"/>
          <w:lang w:val="en-US" w:eastAsia="en-CA"/>
        </w:rPr>
      </w:pPr>
      <w:r w:rsidRPr="00CF1417">
        <w:rPr>
          <w:rFonts w:eastAsia="Times New Roman" w:cs="Times New Roman"/>
          <w:sz w:val="20"/>
          <w:szCs w:val="20"/>
          <w:lang w:val="en-US" w:eastAsia="en-CA"/>
        </w:rPr>
        <w:t>The request to present oral argument is deferred to a date following receipt and consideration of the written arguments of the parties and the intervener.</w:t>
      </w:r>
    </w:p>
    <w:p w:rsidR="00CF1417" w:rsidRPr="00CF1417" w:rsidRDefault="00CF1417" w:rsidP="00CF1417">
      <w:pPr>
        <w:spacing w:line="233" w:lineRule="auto"/>
        <w:jc w:val="both"/>
        <w:rPr>
          <w:rFonts w:eastAsia="Times New Roman" w:cs="Times New Roman"/>
          <w:sz w:val="20"/>
          <w:szCs w:val="20"/>
          <w:lang w:val="en-US" w:eastAsia="en-CA"/>
        </w:rPr>
      </w:pPr>
    </w:p>
    <w:p w:rsidR="00CF1417" w:rsidRPr="00CF1417" w:rsidRDefault="00CF1417" w:rsidP="00CF1417">
      <w:pPr>
        <w:spacing w:line="233" w:lineRule="auto"/>
        <w:jc w:val="both"/>
        <w:rPr>
          <w:rFonts w:eastAsia="Times New Roman" w:cs="Times New Roman"/>
          <w:sz w:val="20"/>
          <w:szCs w:val="20"/>
          <w:lang w:val="en-US" w:eastAsia="en-CA"/>
        </w:rPr>
      </w:pPr>
      <w:r w:rsidRPr="00CF1417">
        <w:rPr>
          <w:rFonts w:eastAsia="Times New Roman" w:cs="Times New Roman"/>
          <w:sz w:val="20"/>
          <w:szCs w:val="20"/>
          <w:lang w:val="en-US" w:eastAsia="en-CA"/>
        </w:rPr>
        <w:t>The intervener is not entitled to raise new issues or to adduce further evidence or otherwise to supplement the record of the parties.</w:t>
      </w:r>
    </w:p>
    <w:p w:rsidR="00CF1417" w:rsidRPr="00CF1417" w:rsidRDefault="00CF1417" w:rsidP="00CF1417">
      <w:pPr>
        <w:spacing w:line="233" w:lineRule="auto"/>
        <w:jc w:val="both"/>
        <w:rPr>
          <w:rFonts w:eastAsia="Times New Roman" w:cs="Times New Roman"/>
          <w:sz w:val="20"/>
          <w:szCs w:val="20"/>
          <w:lang w:val="en-US" w:eastAsia="en-CA"/>
        </w:rPr>
      </w:pPr>
    </w:p>
    <w:p w:rsidR="00CF1417" w:rsidRDefault="00CF1417">
      <w:pPr>
        <w:rPr>
          <w:rFonts w:eastAsia="Times New Roman" w:cs="Times New Roman"/>
          <w:sz w:val="20"/>
          <w:szCs w:val="20"/>
          <w:lang w:val="en-US" w:eastAsia="en-CA"/>
        </w:rPr>
      </w:pPr>
      <w:r>
        <w:rPr>
          <w:rFonts w:eastAsia="Times New Roman" w:cs="Times New Roman"/>
          <w:sz w:val="20"/>
          <w:szCs w:val="20"/>
          <w:lang w:val="en-US" w:eastAsia="en-CA"/>
        </w:rPr>
        <w:br w:type="page"/>
      </w:r>
    </w:p>
    <w:p w:rsidR="00CF1417" w:rsidRPr="00CF1417" w:rsidRDefault="00CF1417" w:rsidP="00CF1417">
      <w:pPr>
        <w:spacing w:line="233" w:lineRule="auto"/>
        <w:jc w:val="both"/>
        <w:rPr>
          <w:rFonts w:eastAsia="Times New Roman" w:cs="Times New Roman"/>
          <w:sz w:val="20"/>
          <w:szCs w:val="20"/>
          <w:lang w:val="en-US" w:eastAsia="en-CA"/>
        </w:rPr>
      </w:pPr>
      <w:r w:rsidRPr="00CF1417">
        <w:rPr>
          <w:rFonts w:eastAsia="Times New Roman" w:cs="Times New Roman"/>
          <w:sz w:val="20"/>
          <w:szCs w:val="20"/>
          <w:lang w:val="en-US" w:eastAsia="en-CA"/>
        </w:rPr>
        <w:lastRenderedPageBreak/>
        <w:t>Pursuant to Rule 59(1)(</w:t>
      </w:r>
      <w:r w:rsidRPr="00CF1417">
        <w:rPr>
          <w:rFonts w:eastAsia="Times New Roman" w:cs="Times New Roman"/>
          <w:i/>
          <w:iCs/>
          <w:sz w:val="20"/>
          <w:szCs w:val="20"/>
          <w:lang w:val="en-US" w:eastAsia="en-CA"/>
        </w:rPr>
        <w:t>a</w:t>
      </w:r>
      <w:r w:rsidRPr="00CF1417">
        <w:rPr>
          <w:rFonts w:eastAsia="Times New Roman" w:cs="Times New Roman"/>
          <w:sz w:val="20"/>
          <w:szCs w:val="20"/>
          <w:lang w:val="en-US" w:eastAsia="en-CA"/>
        </w:rPr>
        <w:t xml:space="preserve">) of the </w:t>
      </w:r>
      <w:r w:rsidRPr="00CF1417">
        <w:rPr>
          <w:rFonts w:eastAsia="Times New Roman" w:cs="Times New Roman"/>
          <w:i/>
          <w:iCs/>
          <w:sz w:val="20"/>
          <w:szCs w:val="20"/>
          <w:lang w:val="en-US" w:eastAsia="en-CA"/>
        </w:rPr>
        <w:t>Rules of the Supreme Court of Canada</w:t>
      </w:r>
      <w:r w:rsidRPr="00CF1417">
        <w:rPr>
          <w:rFonts w:eastAsia="Times New Roman" w:cs="Times New Roman"/>
          <w:sz w:val="20"/>
          <w:szCs w:val="20"/>
          <w:lang w:val="en-US" w:eastAsia="en-CA"/>
        </w:rPr>
        <w:t xml:space="preserve">, the intervener shall pay to the appellants and respondents any additional disbursements occasioned to the appellants and respondents by its intervention. </w:t>
      </w:r>
    </w:p>
    <w:p w:rsidR="00CF1417" w:rsidRPr="00CF1417" w:rsidRDefault="00CF1417" w:rsidP="00CF1417">
      <w:pPr>
        <w:spacing w:line="233" w:lineRule="auto"/>
        <w:jc w:val="both"/>
        <w:rPr>
          <w:rFonts w:eastAsia="Times New Roman" w:cs="Times New Roman"/>
          <w:sz w:val="20"/>
          <w:szCs w:val="20"/>
          <w:lang w:val="en-US" w:eastAsia="en-CA"/>
        </w:rPr>
      </w:pPr>
    </w:p>
    <w:p w:rsidR="00CF1417" w:rsidRPr="00CF1417" w:rsidRDefault="00CF1417" w:rsidP="00CF1417">
      <w:pPr>
        <w:spacing w:line="233" w:lineRule="auto"/>
        <w:jc w:val="both"/>
        <w:rPr>
          <w:rFonts w:eastAsia="Times New Roman" w:cs="Times New Roman"/>
          <w:sz w:val="20"/>
          <w:szCs w:val="20"/>
          <w:lang w:val="en-US" w:eastAsia="en-CA"/>
        </w:rPr>
      </w:pPr>
    </w:p>
    <w:p w:rsidR="00CF1417" w:rsidRPr="00CF1417" w:rsidRDefault="00CF1417" w:rsidP="00CF1417">
      <w:pPr>
        <w:spacing w:line="233" w:lineRule="auto"/>
        <w:jc w:val="both"/>
        <w:rPr>
          <w:rFonts w:eastAsia="Times New Roman" w:cs="Times New Roman"/>
          <w:sz w:val="20"/>
          <w:szCs w:val="20"/>
          <w:lang w:val="en-US" w:eastAsia="en-CA"/>
        </w:rPr>
      </w:pPr>
    </w:p>
    <w:p w:rsidR="00CF1417" w:rsidRPr="00CF1417" w:rsidRDefault="00CF1417" w:rsidP="00CF1417">
      <w:pPr>
        <w:spacing w:line="233" w:lineRule="auto"/>
        <w:jc w:val="both"/>
        <w:rPr>
          <w:rFonts w:eastAsia="Times New Roman" w:cs="Times New Roman"/>
          <w:sz w:val="20"/>
          <w:szCs w:val="20"/>
          <w:lang w:val="fr-CA" w:eastAsia="en-CA"/>
        </w:rPr>
      </w:pPr>
      <w:r w:rsidRPr="00CF1417">
        <w:rPr>
          <w:rFonts w:eastAsia="Times New Roman" w:cs="Times New Roman"/>
          <w:b/>
          <w:sz w:val="20"/>
          <w:szCs w:val="20"/>
          <w:lang w:val="fr-CA" w:eastAsia="en-CA"/>
        </w:rPr>
        <w:t>À LA SUITE DE LA DEMANDE</w:t>
      </w:r>
      <w:r w:rsidRPr="00CF1417">
        <w:rPr>
          <w:rFonts w:eastAsia="Times New Roman" w:cs="Times New Roman"/>
          <w:sz w:val="20"/>
          <w:szCs w:val="20"/>
          <w:lang w:val="fr-CA" w:eastAsia="en-CA"/>
        </w:rPr>
        <w:t xml:space="preserve"> présentée par le procureur général de l’Ontario en autorisation d'intervenir dans l'appel;</w:t>
      </w:r>
    </w:p>
    <w:p w:rsidR="00CF1417" w:rsidRPr="00CF1417" w:rsidRDefault="00CF1417" w:rsidP="00CF1417">
      <w:pPr>
        <w:spacing w:line="233" w:lineRule="auto"/>
        <w:jc w:val="both"/>
        <w:rPr>
          <w:rFonts w:eastAsia="Times New Roman" w:cs="Times New Roman"/>
          <w:sz w:val="20"/>
          <w:szCs w:val="20"/>
          <w:lang w:val="fr-CA" w:eastAsia="en-CA"/>
        </w:rPr>
      </w:pPr>
    </w:p>
    <w:p w:rsidR="00CF1417" w:rsidRPr="00CF1417" w:rsidRDefault="00CF1417" w:rsidP="00CF1417">
      <w:pPr>
        <w:spacing w:line="233" w:lineRule="auto"/>
        <w:jc w:val="both"/>
        <w:rPr>
          <w:rFonts w:eastAsia="Times New Roman" w:cs="Times New Roman"/>
          <w:sz w:val="20"/>
          <w:szCs w:val="20"/>
          <w:lang w:val="fr-CA" w:eastAsia="en-CA"/>
        </w:rPr>
      </w:pPr>
      <w:r w:rsidRPr="00CF1417">
        <w:rPr>
          <w:rFonts w:eastAsia="Times New Roman" w:cs="Times New Roman"/>
          <w:b/>
          <w:sz w:val="20"/>
          <w:szCs w:val="20"/>
          <w:lang w:val="fr-CA" w:eastAsia="en-CA"/>
        </w:rPr>
        <w:t>ET APRÈS EXAMEN</w:t>
      </w:r>
      <w:r w:rsidRPr="00CF1417">
        <w:rPr>
          <w:rFonts w:eastAsia="Times New Roman" w:cs="Times New Roman"/>
          <w:sz w:val="20"/>
          <w:szCs w:val="20"/>
          <w:lang w:val="fr-CA" w:eastAsia="en-CA"/>
        </w:rPr>
        <w:t xml:space="preserve"> des documents déposés; </w:t>
      </w:r>
    </w:p>
    <w:p w:rsidR="00CF1417" w:rsidRPr="00CF1417" w:rsidRDefault="00CF1417" w:rsidP="00CF1417">
      <w:pPr>
        <w:spacing w:line="233" w:lineRule="auto"/>
        <w:jc w:val="both"/>
        <w:rPr>
          <w:rFonts w:eastAsia="Times New Roman" w:cs="Times New Roman"/>
          <w:sz w:val="20"/>
          <w:szCs w:val="20"/>
          <w:lang w:val="fr-CA" w:eastAsia="en-CA"/>
        </w:rPr>
      </w:pPr>
    </w:p>
    <w:p w:rsidR="00CF1417" w:rsidRPr="00CF1417" w:rsidRDefault="00CF1417" w:rsidP="00CF1417">
      <w:pPr>
        <w:spacing w:line="233" w:lineRule="auto"/>
        <w:jc w:val="both"/>
        <w:rPr>
          <w:rFonts w:eastAsia="Times New Roman" w:cs="Times New Roman"/>
          <w:b/>
          <w:sz w:val="20"/>
          <w:szCs w:val="20"/>
          <w:lang w:val="fr-CA" w:eastAsia="en-CA"/>
        </w:rPr>
      </w:pPr>
      <w:r w:rsidRPr="00CF1417">
        <w:rPr>
          <w:rFonts w:eastAsia="Times New Roman" w:cs="Times New Roman"/>
          <w:b/>
          <w:sz w:val="20"/>
          <w:szCs w:val="20"/>
          <w:lang w:val="fr-CA" w:eastAsia="en-CA"/>
        </w:rPr>
        <w:t xml:space="preserve">IL EST ORDONNÉ CE QUI SUIT : </w:t>
      </w:r>
    </w:p>
    <w:p w:rsidR="00CF1417" w:rsidRPr="00CF1417" w:rsidRDefault="00CF1417" w:rsidP="00CF1417">
      <w:pPr>
        <w:spacing w:line="233" w:lineRule="auto"/>
        <w:jc w:val="both"/>
        <w:rPr>
          <w:rFonts w:eastAsia="Times New Roman" w:cs="Times New Roman"/>
          <w:b/>
          <w:sz w:val="20"/>
          <w:szCs w:val="20"/>
          <w:lang w:val="fr-CA" w:eastAsia="en-CA"/>
        </w:rPr>
      </w:pPr>
    </w:p>
    <w:p w:rsidR="00CF1417" w:rsidRPr="00CF1417" w:rsidRDefault="00CF1417" w:rsidP="00CF1417">
      <w:pPr>
        <w:spacing w:line="233" w:lineRule="auto"/>
        <w:jc w:val="both"/>
        <w:rPr>
          <w:rFonts w:eastAsia="Times New Roman" w:cs="Times New Roman"/>
          <w:sz w:val="20"/>
          <w:szCs w:val="20"/>
          <w:lang w:val="fr-CA" w:eastAsia="en-CA"/>
        </w:rPr>
      </w:pPr>
      <w:r w:rsidRPr="00CF1417">
        <w:rPr>
          <w:rFonts w:eastAsia="Times New Roman" w:cs="Times New Roman"/>
          <w:sz w:val="20"/>
          <w:szCs w:val="20"/>
          <w:lang w:val="fr-CA" w:eastAsia="en-CA"/>
        </w:rPr>
        <w:t xml:space="preserve">La requête en autorisation d'intervenir présentée le procureur général de l’Ontario est accordée et le requérant pourra signifier et déposer un mémoire d'au plus dix (10) pages au plus tard le 15 avril 2013. </w:t>
      </w:r>
    </w:p>
    <w:p w:rsidR="00CF1417" w:rsidRPr="00CF1417" w:rsidRDefault="00CF1417" w:rsidP="00CF1417">
      <w:pPr>
        <w:spacing w:line="233" w:lineRule="auto"/>
        <w:jc w:val="both"/>
        <w:rPr>
          <w:rFonts w:eastAsia="Times New Roman" w:cs="Times New Roman"/>
          <w:sz w:val="20"/>
          <w:szCs w:val="20"/>
          <w:lang w:val="fr-CA" w:eastAsia="en-CA"/>
        </w:rPr>
      </w:pPr>
    </w:p>
    <w:p w:rsidR="00CF1417" w:rsidRPr="00CF1417" w:rsidRDefault="00CF1417" w:rsidP="00CF1417">
      <w:pPr>
        <w:spacing w:line="233" w:lineRule="auto"/>
        <w:jc w:val="both"/>
        <w:rPr>
          <w:rFonts w:eastAsia="Times New Roman" w:cs="Times New Roman"/>
          <w:sz w:val="20"/>
          <w:szCs w:val="20"/>
          <w:lang w:val="fr-CA" w:eastAsia="en-CA"/>
        </w:rPr>
      </w:pPr>
      <w:r w:rsidRPr="00CF1417">
        <w:rPr>
          <w:rFonts w:eastAsia="Times New Roman" w:cs="Times New Roman"/>
          <w:sz w:val="20"/>
          <w:szCs w:val="20"/>
          <w:lang w:val="fr-CA" w:eastAsia="en-CA"/>
        </w:rPr>
        <w:t xml:space="preserve">La décision sur la demande en vue de présenter une plaidoirie orale sera rendue après réception et examen des arguments écrits des parties et de l'intervenant. </w:t>
      </w:r>
    </w:p>
    <w:p w:rsidR="00CF1417" w:rsidRPr="00CF1417" w:rsidRDefault="00CF1417" w:rsidP="00CF1417">
      <w:pPr>
        <w:spacing w:line="233" w:lineRule="auto"/>
        <w:jc w:val="both"/>
        <w:rPr>
          <w:rFonts w:eastAsia="Times New Roman" w:cs="Times New Roman"/>
          <w:sz w:val="20"/>
          <w:szCs w:val="20"/>
          <w:lang w:val="fr-CA" w:eastAsia="en-CA"/>
        </w:rPr>
      </w:pPr>
    </w:p>
    <w:p w:rsidR="00CF1417" w:rsidRPr="00CF1417" w:rsidRDefault="00CF1417" w:rsidP="00CF1417">
      <w:pPr>
        <w:spacing w:line="233" w:lineRule="auto"/>
        <w:jc w:val="both"/>
        <w:rPr>
          <w:rFonts w:eastAsia="Times New Roman" w:cs="Times New Roman"/>
          <w:sz w:val="20"/>
          <w:szCs w:val="20"/>
          <w:lang w:val="fr-CA" w:eastAsia="en-CA"/>
        </w:rPr>
      </w:pPr>
      <w:r w:rsidRPr="00CF1417">
        <w:rPr>
          <w:rFonts w:eastAsia="Times New Roman" w:cs="Times New Roman"/>
          <w:sz w:val="20"/>
          <w:szCs w:val="20"/>
          <w:lang w:val="fr-CA" w:eastAsia="en-CA"/>
        </w:rPr>
        <w:t>L'intervenant n'a pas le droit de soulever de nouvelles questions, de produire d'autres éléments de preuve ni de compléter de quelque autre façon le dossier des parties.</w:t>
      </w:r>
    </w:p>
    <w:p w:rsidR="00CF1417" w:rsidRPr="00CF1417" w:rsidRDefault="00CF1417" w:rsidP="00CF1417">
      <w:pPr>
        <w:spacing w:line="233" w:lineRule="auto"/>
        <w:jc w:val="both"/>
        <w:rPr>
          <w:rFonts w:eastAsia="Times New Roman" w:cs="Times New Roman"/>
          <w:sz w:val="20"/>
          <w:szCs w:val="20"/>
          <w:lang w:val="fr-CA" w:eastAsia="en-CA"/>
        </w:rPr>
      </w:pPr>
    </w:p>
    <w:p w:rsidR="00CF1417" w:rsidRPr="00CF1417" w:rsidRDefault="00CF1417" w:rsidP="00CF1417">
      <w:pPr>
        <w:spacing w:line="233" w:lineRule="auto"/>
        <w:jc w:val="both"/>
        <w:rPr>
          <w:rFonts w:eastAsia="Times New Roman" w:cs="Times New Roman"/>
          <w:sz w:val="20"/>
          <w:szCs w:val="20"/>
          <w:lang w:val="fr-CA" w:eastAsia="en-CA"/>
        </w:rPr>
      </w:pPr>
      <w:r w:rsidRPr="00CF1417">
        <w:rPr>
          <w:rFonts w:eastAsia="Times New Roman" w:cs="Times New Roman"/>
          <w:sz w:val="20"/>
          <w:szCs w:val="20"/>
          <w:lang w:val="fr-CA" w:eastAsia="en-CA"/>
        </w:rPr>
        <w:t>Conformément à l'alinéa 59(1)</w:t>
      </w:r>
      <w:r w:rsidRPr="00CF1417">
        <w:rPr>
          <w:rFonts w:eastAsia="Times New Roman" w:cs="Times New Roman"/>
          <w:i/>
          <w:sz w:val="20"/>
          <w:szCs w:val="20"/>
          <w:lang w:val="fr-CA" w:eastAsia="en-CA"/>
        </w:rPr>
        <w:t>a</w:t>
      </w:r>
      <w:r w:rsidRPr="00CF1417">
        <w:rPr>
          <w:rFonts w:eastAsia="Times New Roman" w:cs="Times New Roman"/>
          <w:sz w:val="20"/>
          <w:szCs w:val="20"/>
          <w:lang w:val="fr-CA" w:eastAsia="en-CA"/>
        </w:rPr>
        <w:t xml:space="preserve">) des </w:t>
      </w:r>
      <w:r w:rsidRPr="00CF1417">
        <w:rPr>
          <w:rFonts w:eastAsia="Times New Roman" w:cs="Times New Roman"/>
          <w:i/>
          <w:sz w:val="20"/>
          <w:szCs w:val="20"/>
          <w:lang w:val="fr-CA" w:eastAsia="en-CA"/>
        </w:rPr>
        <w:t>Règles de la Cour suprême du Canada</w:t>
      </w:r>
      <w:r w:rsidRPr="00CF1417">
        <w:rPr>
          <w:rFonts w:eastAsia="Times New Roman" w:cs="Times New Roman"/>
          <w:sz w:val="20"/>
          <w:szCs w:val="20"/>
          <w:lang w:val="fr-CA" w:eastAsia="en-CA"/>
        </w:rPr>
        <w:t>, l'intervenant paiera à l’appelante et à l'intimée tous débours supplémentaires résultant de son intervention.</w:t>
      </w:r>
    </w:p>
    <w:p w:rsidR="00CF1417" w:rsidRPr="00CF1417" w:rsidRDefault="00CF1417" w:rsidP="00CF1417">
      <w:pPr>
        <w:tabs>
          <w:tab w:val="left" w:pos="-1440"/>
          <w:tab w:val="left" w:pos="-720"/>
        </w:tabs>
        <w:jc w:val="both"/>
        <w:rPr>
          <w:rFonts w:eastAsia="Times New Roman" w:cs="Times New Roman"/>
          <w:sz w:val="20"/>
          <w:szCs w:val="20"/>
          <w:lang w:val="fr-CA" w:eastAsia="en-CA"/>
        </w:rPr>
      </w:pPr>
    </w:p>
    <w:p w:rsidR="00CF1417" w:rsidRPr="00CF1417" w:rsidRDefault="00CB0178" w:rsidP="00CF1417">
      <w:pPr>
        <w:tabs>
          <w:tab w:val="left" w:pos="-1440"/>
          <w:tab w:val="left" w:pos="-720"/>
        </w:tabs>
        <w:jc w:val="both"/>
        <w:rPr>
          <w:rFonts w:eastAsia="Times New Roman" w:cs="Times New Roman"/>
          <w:sz w:val="20"/>
          <w:szCs w:val="20"/>
          <w:lang w:val="fr-CA" w:eastAsia="en-CA"/>
        </w:rPr>
      </w:pPr>
      <w:r w:rsidRPr="00CB0178">
        <w:rPr>
          <w:rFonts w:eastAsia="Times New Roman" w:cs="Times New Roman"/>
          <w:sz w:val="20"/>
          <w:szCs w:val="20"/>
          <w:lang w:val="fr-CA" w:eastAsia="en-CA"/>
        </w:rPr>
        <w:pict>
          <v:rect id="_x0000_i1058" style="width:2in;height:1pt" o:hrpct="0" o:hralign="center" o:hrstd="t" o:hrnoshade="t" o:hr="t" fillcolor="black [3213]" stroked="f"/>
        </w:pict>
      </w:r>
    </w:p>
    <w:p w:rsidR="00CF1417" w:rsidRPr="00CF1417" w:rsidRDefault="00CF1417" w:rsidP="00CF1417">
      <w:pPr>
        <w:tabs>
          <w:tab w:val="left" w:pos="-1440"/>
          <w:tab w:val="left" w:pos="-720"/>
        </w:tabs>
        <w:jc w:val="both"/>
        <w:rPr>
          <w:rFonts w:eastAsia="Times New Roman" w:cs="Times New Roman"/>
          <w:sz w:val="20"/>
          <w:szCs w:val="20"/>
          <w:lang w:val="fr-CA" w:eastAsia="en-CA"/>
        </w:rPr>
      </w:pPr>
    </w:p>
    <w:p w:rsidR="00CF1417" w:rsidRPr="00CF1417" w:rsidRDefault="00CF1417" w:rsidP="00CF1417">
      <w:pPr>
        <w:tabs>
          <w:tab w:val="left" w:pos="-1440"/>
          <w:tab w:val="left" w:pos="-720"/>
        </w:tabs>
        <w:jc w:val="both"/>
        <w:rPr>
          <w:rFonts w:eastAsia="Times New Roman" w:cs="Times New Roman"/>
          <w:sz w:val="20"/>
          <w:szCs w:val="20"/>
          <w:lang w:val="fr-CA" w:eastAsia="en-CA"/>
        </w:rPr>
      </w:pPr>
      <w:r w:rsidRPr="00CF1417">
        <w:rPr>
          <w:rFonts w:eastAsia="Times New Roman" w:cs="Times New Roman"/>
          <w:sz w:val="20"/>
          <w:szCs w:val="20"/>
          <w:lang w:val="fr-CA" w:eastAsia="en-CA"/>
        </w:rPr>
        <w:t>20.02.2013</w:t>
      </w:r>
    </w:p>
    <w:p w:rsidR="00CF1417" w:rsidRPr="00CF1417" w:rsidRDefault="00CF1417" w:rsidP="00CF1417">
      <w:pPr>
        <w:tabs>
          <w:tab w:val="left" w:pos="-1440"/>
          <w:tab w:val="left" w:pos="-720"/>
        </w:tabs>
        <w:jc w:val="both"/>
        <w:rPr>
          <w:rFonts w:eastAsia="Times New Roman" w:cs="Times New Roman"/>
          <w:sz w:val="20"/>
          <w:szCs w:val="20"/>
          <w:lang w:val="fr-CA" w:eastAsia="en-CA"/>
        </w:rPr>
      </w:pPr>
    </w:p>
    <w:p w:rsidR="00CF1417" w:rsidRPr="00CF1417" w:rsidRDefault="00CF1417" w:rsidP="00CF1417">
      <w:pPr>
        <w:tabs>
          <w:tab w:val="left" w:pos="-1440"/>
          <w:tab w:val="left" w:pos="-720"/>
        </w:tabs>
        <w:jc w:val="both"/>
        <w:rPr>
          <w:rFonts w:eastAsia="Times New Roman" w:cs="Times New Roman"/>
          <w:sz w:val="20"/>
          <w:szCs w:val="20"/>
          <w:lang w:val="fr-CA" w:eastAsia="en-CA"/>
        </w:rPr>
      </w:pPr>
      <w:r w:rsidRPr="00CF1417">
        <w:rPr>
          <w:rFonts w:eastAsia="Times New Roman" w:cs="Times New Roman"/>
          <w:sz w:val="20"/>
          <w:szCs w:val="20"/>
          <w:lang w:val="fr-CA" w:eastAsia="en-CA"/>
        </w:rPr>
        <w:t>Before / Devant :   THE CHIEF JUSTICE / LA JUGE EN CHEF</w:t>
      </w:r>
    </w:p>
    <w:p w:rsidR="00CF1417" w:rsidRPr="00CF1417" w:rsidRDefault="00CF1417" w:rsidP="00CF1417">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CF1417" w:rsidRPr="00B07D2C" w:rsidTr="001233FB">
        <w:tc>
          <w:tcPr>
            <w:tcW w:w="4338" w:type="dxa"/>
          </w:tcPr>
          <w:p w:rsidR="00CF1417" w:rsidRPr="00CF1417" w:rsidRDefault="00CB0178" w:rsidP="00CF1417">
            <w:pPr>
              <w:tabs>
                <w:tab w:val="left" w:pos="-1440"/>
                <w:tab w:val="left" w:pos="-720"/>
              </w:tabs>
              <w:jc w:val="both"/>
              <w:rPr>
                <w:b/>
              </w:rPr>
            </w:pPr>
            <w:r w:rsidRPr="00CF1417">
              <w:rPr>
                <w:lang w:val="en-US"/>
              </w:rPr>
              <w:fldChar w:fldCharType="begin"/>
            </w:r>
            <w:r w:rsidR="00CF1417" w:rsidRPr="00CF1417">
              <w:rPr>
                <w:lang w:val="en-US"/>
              </w:rPr>
              <w:instrText xml:space="preserve"> SEQ CHAPTER \h \r 1</w:instrText>
            </w:r>
            <w:r w:rsidRPr="00CF1417">
              <w:rPr>
                <w:lang w:val="en-US"/>
              </w:rPr>
              <w:fldChar w:fldCharType="end"/>
            </w:r>
            <w:r w:rsidR="00CF1417" w:rsidRPr="00CF1417">
              <w:rPr>
                <w:b/>
                <w:bCs/>
                <w:lang w:val="en-US"/>
              </w:rPr>
              <w:t>Motion to state constitutional questions</w:t>
            </w:r>
          </w:p>
        </w:tc>
        <w:tc>
          <w:tcPr>
            <w:tcW w:w="1170" w:type="dxa"/>
          </w:tcPr>
          <w:p w:rsidR="00CF1417" w:rsidRPr="00CF1417" w:rsidRDefault="00CF1417" w:rsidP="00CF1417">
            <w:pPr>
              <w:tabs>
                <w:tab w:val="left" w:pos="-1440"/>
                <w:tab w:val="left" w:pos="-720"/>
              </w:tabs>
              <w:jc w:val="both"/>
            </w:pPr>
          </w:p>
          <w:p w:rsidR="00CF1417" w:rsidRPr="00CF1417" w:rsidRDefault="00CF1417" w:rsidP="00CF1417">
            <w:pPr>
              <w:tabs>
                <w:tab w:val="left" w:pos="-1440"/>
                <w:tab w:val="left" w:pos="-720"/>
              </w:tabs>
              <w:jc w:val="both"/>
            </w:pPr>
          </w:p>
          <w:p w:rsidR="00CF1417" w:rsidRPr="00CF1417" w:rsidRDefault="00CF1417" w:rsidP="00CF1417">
            <w:pPr>
              <w:tabs>
                <w:tab w:val="left" w:pos="-1440"/>
                <w:tab w:val="left" w:pos="-720"/>
              </w:tabs>
              <w:jc w:val="both"/>
            </w:pPr>
          </w:p>
        </w:tc>
        <w:tc>
          <w:tcPr>
            <w:tcW w:w="4327" w:type="dxa"/>
          </w:tcPr>
          <w:p w:rsidR="00CF1417" w:rsidRPr="00CF1417" w:rsidRDefault="00CB0178" w:rsidP="00CF1417">
            <w:pPr>
              <w:tabs>
                <w:tab w:val="left" w:pos="-1440"/>
                <w:tab w:val="left" w:pos="-720"/>
              </w:tabs>
              <w:jc w:val="both"/>
              <w:rPr>
                <w:lang w:val="fr-CA"/>
              </w:rPr>
            </w:pPr>
            <w:r w:rsidRPr="00CF1417">
              <w:rPr>
                <w:lang w:val="en-US"/>
              </w:rPr>
              <w:fldChar w:fldCharType="begin"/>
            </w:r>
            <w:r w:rsidR="00CF1417" w:rsidRPr="00CF1417">
              <w:rPr>
                <w:lang w:val="fr-CA"/>
              </w:rPr>
              <w:instrText xml:space="preserve"> SEQ CHAPTER \h \r 1</w:instrText>
            </w:r>
            <w:r w:rsidRPr="00CF1417">
              <w:rPr>
                <w:lang w:val="en-US"/>
              </w:rPr>
              <w:fldChar w:fldCharType="end"/>
            </w:r>
            <w:r w:rsidR="00CF1417" w:rsidRPr="00CF1417">
              <w:rPr>
                <w:b/>
                <w:bCs/>
                <w:lang w:val="fr-CA"/>
              </w:rPr>
              <w:t>Requête en formulation de questions constitutionnelles</w:t>
            </w:r>
            <w:r w:rsidRPr="00CF1417">
              <w:rPr>
                <w:lang w:val="en-US"/>
              </w:rPr>
              <w:fldChar w:fldCharType="begin"/>
            </w:r>
            <w:r w:rsidR="00CF1417" w:rsidRPr="00CF1417">
              <w:rPr>
                <w:lang w:val="fr-CA"/>
              </w:rPr>
              <w:instrText xml:space="preserve"> SEQ CHAPTER \h \r 1</w:instrText>
            </w:r>
            <w:r w:rsidRPr="00CF1417">
              <w:rPr>
                <w:lang w:val="en-US"/>
              </w:rPr>
              <w:fldChar w:fldCharType="end"/>
            </w:r>
            <w:r w:rsidRPr="00CF1417">
              <w:rPr>
                <w:lang w:val="en-US"/>
              </w:rPr>
              <w:fldChar w:fldCharType="begin"/>
            </w:r>
            <w:r w:rsidR="00CF1417" w:rsidRPr="00CF1417">
              <w:rPr>
                <w:lang w:val="fr-CA"/>
              </w:rPr>
              <w:instrText xml:space="preserve"> SEQ CHAPTER \h \r 1</w:instrText>
            </w:r>
            <w:r w:rsidRPr="00CF1417">
              <w:rPr>
                <w:lang w:val="en-US"/>
              </w:rPr>
              <w:fldChar w:fldCharType="end"/>
            </w:r>
            <w:r w:rsidRPr="00CF1417">
              <w:rPr>
                <w:lang w:val="en-US"/>
              </w:rPr>
              <w:fldChar w:fldCharType="begin"/>
            </w:r>
            <w:r w:rsidR="00CF1417" w:rsidRPr="00CF1417">
              <w:rPr>
                <w:lang w:val="fr-CA"/>
              </w:rPr>
              <w:instrText xml:space="preserve"> SEQ CHAPTER \h \r 1</w:instrText>
            </w:r>
            <w:r w:rsidRPr="00CF1417">
              <w:rPr>
                <w:lang w:val="en-US"/>
              </w:rPr>
              <w:fldChar w:fldCharType="end"/>
            </w:r>
          </w:p>
        </w:tc>
      </w:tr>
      <w:tr w:rsidR="00CF1417" w:rsidRPr="00CF1417" w:rsidTr="001233FB">
        <w:tc>
          <w:tcPr>
            <w:tcW w:w="4338" w:type="dxa"/>
          </w:tcPr>
          <w:p w:rsidR="00CF1417" w:rsidRPr="00CF1417" w:rsidRDefault="00CF1417" w:rsidP="00CF1417">
            <w:pPr>
              <w:tabs>
                <w:tab w:val="left" w:pos="-1440"/>
                <w:tab w:val="left" w:pos="-720"/>
              </w:tabs>
              <w:jc w:val="both"/>
              <w:rPr>
                <w:lang w:val="fr-CA"/>
              </w:rPr>
            </w:pPr>
            <w:proofErr w:type="spellStart"/>
            <w:r w:rsidRPr="00CF1417">
              <w:rPr>
                <w:lang w:val="fr-CA"/>
              </w:rPr>
              <w:t>Mounted</w:t>
            </w:r>
            <w:proofErr w:type="spellEnd"/>
            <w:r w:rsidRPr="00CF1417">
              <w:rPr>
                <w:lang w:val="fr-CA"/>
              </w:rPr>
              <w:t xml:space="preserve"> Police Association of Ontario / Association de la Police Montée de l’Ontario et al.</w:t>
            </w:r>
          </w:p>
          <w:p w:rsidR="00CF1417" w:rsidRPr="00CF1417" w:rsidRDefault="00CF1417" w:rsidP="00CF1417">
            <w:pPr>
              <w:tabs>
                <w:tab w:val="left" w:pos="-1440"/>
                <w:tab w:val="left" w:pos="-720"/>
              </w:tabs>
              <w:jc w:val="both"/>
              <w:rPr>
                <w:lang w:val="fr-CA"/>
              </w:rPr>
            </w:pPr>
          </w:p>
          <w:p w:rsidR="00CF1417" w:rsidRPr="00CF1417" w:rsidRDefault="00CF1417" w:rsidP="00CF1417">
            <w:pPr>
              <w:tabs>
                <w:tab w:val="left" w:pos="-1440"/>
                <w:tab w:val="left" w:pos="-720"/>
              </w:tabs>
              <w:jc w:val="both"/>
            </w:pPr>
            <w:r w:rsidRPr="00CF1417">
              <w:rPr>
                <w:lang w:val="fr-CA"/>
              </w:rPr>
              <w:tab/>
            </w:r>
            <w:r w:rsidRPr="00CF1417">
              <w:t>v. (34948)</w:t>
            </w:r>
          </w:p>
          <w:p w:rsidR="00CF1417" w:rsidRPr="00CF1417" w:rsidRDefault="00CF1417" w:rsidP="00CF1417">
            <w:pPr>
              <w:tabs>
                <w:tab w:val="left" w:pos="-1440"/>
                <w:tab w:val="left" w:pos="-720"/>
              </w:tabs>
              <w:jc w:val="both"/>
            </w:pPr>
          </w:p>
          <w:p w:rsidR="00CF1417" w:rsidRPr="00CF1417" w:rsidRDefault="00CF1417" w:rsidP="00CF1417">
            <w:pPr>
              <w:tabs>
                <w:tab w:val="left" w:pos="-1440"/>
                <w:tab w:val="left" w:pos="-720"/>
              </w:tabs>
              <w:jc w:val="both"/>
            </w:pPr>
            <w:r w:rsidRPr="00CF1417">
              <w:t>Attorney General of Canada (Ont.)</w:t>
            </w:r>
          </w:p>
        </w:tc>
        <w:tc>
          <w:tcPr>
            <w:tcW w:w="1170" w:type="dxa"/>
          </w:tcPr>
          <w:p w:rsidR="00CF1417" w:rsidRPr="00CF1417" w:rsidRDefault="00CF1417" w:rsidP="00CF1417">
            <w:pPr>
              <w:tabs>
                <w:tab w:val="left" w:pos="-1440"/>
                <w:tab w:val="left" w:pos="-720"/>
              </w:tabs>
              <w:jc w:val="both"/>
            </w:pPr>
          </w:p>
        </w:tc>
        <w:tc>
          <w:tcPr>
            <w:tcW w:w="4327" w:type="dxa"/>
          </w:tcPr>
          <w:p w:rsidR="00CF1417" w:rsidRPr="00CF1417" w:rsidRDefault="00CF1417" w:rsidP="00CF1417">
            <w:pPr>
              <w:tabs>
                <w:tab w:val="left" w:pos="-1440"/>
                <w:tab w:val="left" w:pos="-720"/>
              </w:tabs>
              <w:jc w:val="both"/>
            </w:pPr>
          </w:p>
        </w:tc>
      </w:tr>
    </w:tbl>
    <w:p w:rsidR="00CF1417" w:rsidRPr="00CF1417" w:rsidRDefault="00CF1417" w:rsidP="00CF1417">
      <w:pPr>
        <w:tabs>
          <w:tab w:val="left" w:pos="-1440"/>
          <w:tab w:val="left" w:pos="-720"/>
        </w:tabs>
        <w:jc w:val="both"/>
        <w:rPr>
          <w:rFonts w:eastAsia="Times New Roman" w:cs="Times New Roman"/>
          <w:sz w:val="20"/>
          <w:szCs w:val="20"/>
          <w:lang w:eastAsia="en-CA"/>
        </w:rPr>
      </w:pPr>
    </w:p>
    <w:p w:rsidR="00CF1417" w:rsidRPr="00CF1417" w:rsidRDefault="00CF1417" w:rsidP="00CF1417">
      <w:pPr>
        <w:tabs>
          <w:tab w:val="left" w:pos="-1440"/>
          <w:tab w:val="left" w:pos="-720"/>
        </w:tabs>
        <w:jc w:val="both"/>
        <w:rPr>
          <w:rFonts w:eastAsia="Times New Roman" w:cs="Times New Roman"/>
          <w:sz w:val="20"/>
          <w:szCs w:val="20"/>
          <w:lang w:eastAsia="en-CA"/>
        </w:rPr>
      </w:pPr>
      <w:r w:rsidRPr="00CF1417">
        <w:rPr>
          <w:rFonts w:eastAsia="Times New Roman" w:cs="Times New Roman"/>
          <w:b/>
          <w:sz w:val="20"/>
          <w:szCs w:val="20"/>
          <w:lang w:eastAsia="en-CA"/>
        </w:rPr>
        <w:t>GRANTED / ACCORDÉE</w:t>
      </w:r>
    </w:p>
    <w:p w:rsidR="00CF1417" w:rsidRPr="00CF1417" w:rsidRDefault="00CF1417" w:rsidP="00CF1417">
      <w:pPr>
        <w:tabs>
          <w:tab w:val="left" w:pos="-1440"/>
          <w:tab w:val="left" w:pos="-720"/>
        </w:tabs>
        <w:jc w:val="both"/>
        <w:rPr>
          <w:rFonts w:eastAsia="Times New Roman" w:cs="Times New Roman"/>
          <w:sz w:val="20"/>
          <w:szCs w:val="20"/>
          <w:lang w:eastAsia="en-CA"/>
        </w:rPr>
      </w:pPr>
    </w:p>
    <w:p w:rsidR="00CF1417" w:rsidRPr="00CF1417" w:rsidRDefault="00CF1417" w:rsidP="00CF1417">
      <w:pPr>
        <w:jc w:val="both"/>
        <w:rPr>
          <w:rFonts w:eastAsia="Times New Roman" w:cs="Times New Roman"/>
          <w:sz w:val="20"/>
          <w:szCs w:val="20"/>
          <w:lang w:val="en-US" w:eastAsia="en-CA"/>
        </w:rPr>
      </w:pPr>
      <w:r w:rsidRPr="00CF1417">
        <w:rPr>
          <w:rFonts w:eastAsia="Times New Roman" w:cs="Times New Roman"/>
          <w:b/>
          <w:bCs/>
          <w:sz w:val="20"/>
          <w:szCs w:val="20"/>
          <w:lang w:val="en-US" w:eastAsia="en-CA"/>
        </w:rPr>
        <w:t>UPON APPLICATION</w:t>
      </w:r>
      <w:r w:rsidRPr="00CF1417">
        <w:rPr>
          <w:rFonts w:eastAsia="Times New Roman" w:cs="Times New Roman"/>
          <w:sz w:val="20"/>
          <w:szCs w:val="20"/>
          <w:lang w:val="en-US" w:eastAsia="en-CA"/>
        </w:rPr>
        <w:t xml:space="preserve"> by the appellants </w:t>
      </w:r>
      <w:r w:rsidR="00CB0178" w:rsidRPr="00CF1417">
        <w:rPr>
          <w:rFonts w:eastAsia="Times New Roman" w:cs="Times New Roman"/>
          <w:sz w:val="20"/>
          <w:szCs w:val="20"/>
          <w:lang w:eastAsia="en-CA"/>
        </w:rPr>
        <w:fldChar w:fldCharType="begin"/>
      </w:r>
      <w:r w:rsidRPr="00CF1417">
        <w:rPr>
          <w:rFonts w:eastAsia="Times New Roman" w:cs="Times New Roman"/>
          <w:sz w:val="20"/>
          <w:szCs w:val="20"/>
          <w:lang w:eastAsia="en-CA"/>
        </w:rPr>
        <w:instrText xml:space="preserve"> SEQ CHAPTER \h \r 1</w:instrText>
      </w:r>
      <w:r w:rsidR="00CB0178" w:rsidRPr="00CF1417">
        <w:rPr>
          <w:rFonts w:eastAsia="Times New Roman" w:cs="Times New Roman"/>
          <w:sz w:val="20"/>
          <w:szCs w:val="20"/>
          <w:lang w:eastAsia="en-CA"/>
        </w:rPr>
        <w:fldChar w:fldCharType="end"/>
      </w:r>
      <w:r w:rsidRPr="00CF1417">
        <w:rPr>
          <w:rFonts w:eastAsia="Times New Roman" w:cs="Times New Roman"/>
          <w:sz w:val="20"/>
          <w:szCs w:val="20"/>
          <w:lang w:eastAsia="en-CA"/>
        </w:rPr>
        <w:t xml:space="preserve">for an order stating constitutional questions </w:t>
      </w:r>
      <w:r w:rsidRPr="00CF1417">
        <w:rPr>
          <w:rFonts w:eastAsia="Times New Roman" w:cs="Times New Roman"/>
          <w:sz w:val="20"/>
          <w:szCs w:val="20"/>
          <w:lang w:val="en-US" w:eastAsia="en-CA"/>
        </w:rPr>
        <w:t>in the above appeal;</w:t>
      </w:r>
    </w:p>
    <w:p w:rsidR="00CF1417" w:rsidRPr="00CF1417" w:rsidRDefault="00CF1417" w:rsidP="00CF1417">
      <w:pPr>
        <w:jc w:val="both"/>
        <w:rPr>
          <w:rFonts w:eastAsia="Times New Roman" w:cs="Times New Roman"/>
          <w:sz w:val="20"/>
          <w:szCs w:val="20"/>
          <w:lang w:val="en-US" w:eastAsia="en-CA"/>
        </w:rPr>
      </w:pPr>
    </w:p>
    <w:p w:rsidR="00CF1417" w:rsidRPr="00CF1417" w:rsidRDefault="00CF1417" w:rsidP="00CF1417">
      <w:pPr>
        <w:jc w:val="both"/>
        <w:rPr>
          <w:rFonts w:eastAsia="Times New Roman" w:cs="Times New Roman"/>
          <w:sz w:val="20"/>
          <w:szCs w:val="20"/>
          <w:lang w:val="en-US" w:eastAsia="en-CA"/>
        </w:rPr>
      </w:pPr>
      <w:r w:rsidRPr="00CF1417">
        <w:rPr>
          <w:rFonts w:eastAsia="Times New Roman" w:cs="Times New Roman"/>
          <w:b/>
          <w:bCs/>
          <w:sz w:val="20"/>
          <w:szCs w:val="20"/>
          <w:lang w:val="en-US" w:eastAsia="en-CA"/>
        </w:rPr>
        <w:t>AND THE MATERIAL FILED</w:t>
      </w:r>
      <w:r w:rsidRPr="00CF1417">
        <w:rPr>
          <w:rFonts w:eastAsia="Times New Roman" w:cs="Times New Roman"/>
          <w:sz w:val="20"/>
          <w:szCs w:val="20"/>
          <w:lang w:val="en-US" w:eastAsia="en-CA"/>
        </w:rPr>
        <w:t xml:space="preserve"> having been read;</w:t>
      </w:r>
    </w:p>
    <w:p w:rsidR="00CF1417" w:rsidRPr="00CF1417" w:rsidRDefault="00CF1417" w:rsidP="00CF1417">
      <w:pPr>
        <w:jc w:val="both"/>
        <w:rPr>
          <w:rFonts w:eastAsia="Times New Roman" w:cs="Times New Roman"/>
          <w:sz w:val="20"/>
          <w:szCs w:val="20"/>
          <w:lang w:val="en-US" w:eastAsia="en-CA"/>
        </w:rPr>
      </w:pPr>
    </w:p>
    <w:p w:rsidR="00CF1417" w:rsidRPr="00CF1417" w:rsidRDefault="00CF1417" w:rsidP="00CF1417">
      <w:pPr>
        <w:jc w:val="both"/>
        <w:rPr>
          <w:rFonts w:eastAsia="Times New Roman" w:cs="Times New Roman"/>
          <w:b/>
          <w:bCs/>
          <w:sz w:val="20"/>
          <w:szCs w:val="20"/>
          <w:lang w:val="en-US" w:eastAsia="en-CA"/>
        </w:rPr>
      </w:pPr>
      <w:r w:rsidRPr="00CF1417">
        <w:rPr>
          <w:rFonts w:eastAsia="Times New Roman" w:cs="Times New Roman"/>
          <w:b/>
          <w:bCs/>
          <w:sz w:val="20"/>
          <w:szCs w:val="20"/>
          <w:lang w:val="en-US" w:eastAsia="en-CA"/>
        </w:rPr>
        <w:t>IT IS HEREBY ORDERED THAT THE CONSTITUTIONAL QUESTIONS BE STATED AS FOLLOW:</w:t>
      </w:r>
    </w:p>
    <w:p w:rsidR="00CF1417" w:rsidRPr="00CF1417" w:rsidRDefault="00CF1417" w:rsidP="00CF1417">
      <w:pPr>
        <w:jc w:val="both"/>
        <w:rPr>
          <w:rFonts w:eastAsia="Times New Roman" w:cs="Times New Roman"/>
          <w:sz w:val="20"/>
          <w:szCs w:val="20"/>
          <w:lang w:val="en-US" w:eastAsia="en-CA"/>
        </w:rPr>
      </w:pPr>
    </w:p>
    <w:p w:rsidR="00CF1417" w:rsidRPr="00CF1417" w:rsidRDefault="00CF1417" w:rsidP="00CF1417">
      <w:pPr>
        <w:numPr>
          <w:ilvl w:val="0"/>
          <w:numId w:val="2"/>
        </w:numPr>
        <w:jc w:val="both"/>
        <w:rPr>
          <w:rFonts w:cs="Times New Roman"/>
          <w:sz w:val="20"/>
          <w:szCs w:val="20"/>
        </w:rPr>
      </w:pPr>
      <w:r w:rsidRPr="00CF1417">
        <w:rPr>
          <w:rFonts w:cs="Times New Roman"/>
          <w:sz w:val="20"/>
          <w:szCs w:val="20"/>
        </w:rPr>
        <w:t xml:space="preserve">Does s. 96 of the </w:t>
      </w:r>
      <w:r w:rsidRPr="00CF1417">
        <w:rPr>
          <w:rFonts w:cs="Times New Roman"/>
          <w:i/>
          <w:iCs/>
          <w:sz w:val="20"/>
          <w:szCs w:val="20"/>
        </w:rPr>
        <w:t>Royal Canadian Mounted Police Regulations</w:t>
      </w:r>
      <w:r w:rsidRPr="00CF1417">
        <w:rPr>
          <w:rFonts w:cs="Times New Roman"/>
          <w:sz w:val="20"/>
          <w:szCs w:val="20"/>
        </w:rPr>
        <w:t>, 1988, SOR/88-361, infringe s. 2(</w:t>
      </w:r>
      <w:r w:rsidRPr="00CF1417">
        <w:rPr>
          <w:rFonts w:cs="Times New Roman"/>
          <w:i/>
          <w:iCs/>
          <w:sz w:val="20"/>
          <w:szCs w:val="20"/>
        </w:rPr>
        <w:t>d</w:t>
      </w:r>
      <w:r w:rsidRPr="00CF1417">
        <w:rPr>
          <w:rFonts w:cs="Times New Roman"/>
          <w:sz w:val="20"/>
          <w:szCs w:val="20"/>
        </w:rPr>
        <w:t xml:space="preserve">) of the </w:t>
      </w:r>
      <w:r w:rsidRPr="00CF1417">
        <w:rPr>
          <w:rFonts w:cs="Times New Roman"/>
          <w:i/>
          <w:iCs/>
          <w:sz w:val="20"/>
          <w:szCs w:val="20"/>
        </w:rPr>
        <w:t>Canadian Charter of Rights and Freedoms</w:t>
      </w:r>
      <w:r w:rsidRPr="00CF1417">
        <w:rPr>
          <w:rFonts w:cs="Times New Roman"/>
          <w:sz w:val="20"/>
          <w:szCs w:val="20"/>
        </w:rPr>
        <w:t xml:space="preserve">? </w:t>
      </w:r>
    </w:p>
    <w:p w:rsidR="00CF1417" w:rsidRPr="00CF1417" w:rsidRDefault="00CF1417" w:rsidP="00CF1417">
      <w:pPr>
        <w:ind w:left="720"/>
        <w:contextualSpacing/>
        <w:jc w:val="both"/>
        <w:rPr>
          <w:rFonts w:cs="Times New Roman"/>
          <w:sz w:val="20"/>
          <w:szCs w:val="20"/>
        </w:rPr>
      </w:pPr>
    </w:p>
    <w:p w:rsidR="00CF1417" w:rsidRPr="00CF1417" w:rsidRDefault="00CF1417" w:rsidP="00CF1417">
      <w:pPr>
        <w:numPr>
          <w:ilvl w:val="0"/>
          <w:numId w:val="2"/>
        </w:numPr>
        <w:jc w:val="both"/>
        <w:rPr>
          <w:rFonts w:cs="Times New Roman"/>
          <w:sz w:val="20"/>
          <w:szCs w:val="20"/>
        </w:rPr>
      </w:pPr>
      <w:r w:rsidRPr="00CF1417">
        <w:rPr>
          <w:rFonts w:cs="Times New Roman"/>
          <w:sz w:val="20"/>
          <w:szCs w:val="20"/>
        </w:rPr>
        <w:t xml:space="preserve">If so, is the infringement a reasonable limit prescribed by law as can be demonstrably justified in a free and democratic society under s. 1 of the </w:t>
      </w:r>
      <w:r w:rsidRPr="00CF1417">
        <w:rPr>
          <w:rFonts w:cs="Times New Roman"/>
          <w:i/>
          <w:iCs/>
          <w:sz w:val="20"/>
          <w:szCs w:val="20"/>
        </w:rPr>
        <w:t>Canadian Charter of Rights and Freedoms</w:t>
      </w:r>
      <w:r w:rsidRPr="00CF1417">
        <w:rPr>
          <w:rFonts w:cs="Times New Roman"/>
          <w:sz w:val="20"/>
          <w:szCs w:val="20"/>
        </w:rPr>
        <w:t>?</w:t>
      </w:r>
    </w:p>
    <w:p w:rsidR="00CF1417" w:rsidRPr="00CF1417" w:rsidRDefault="00CF1417" w:rsidP="00CF1417">
      <w:pPr>
        <w:jc w:val="both"/>
        <w:rPr>
          <w:rFonts w:eastAsia="Times New Roman" w:cs="Times New Roman"/>
          <w:sz w:val="20"/>
          <w:szCs w:val="20"/>
          <w:lang w:val="en-US" w:eastAsia="en-CA"/>
        </w:rPr>
      </w:pPr>
    </w:p>
    <w:p w:rsidR="00CF1417" w:rsidRPr="00CF1417" w:rsidRDefault="00CF1417" w:rsidP="00CF1417">
      <w:pPr>
        <w:numPr>
          <w:ilvl w:val="0"/>
          <w:numId w:val="2"/>
        </w:numPr>
        <w:jc w:val="both"/>
        <w:rPr>
          <w:rFonts w:cs="Times New Roman"/>
          <w:sz w:val="20"/>
          <w:szCs w:val="20"/>
        </w:rPr>
      </w:pPr>
      <w:r w:rsidRPr="00CF1417">
        <w:rPr>
          <w:rFonts w:cs="Times New Roman"/>
          <w:sz w:val="20"/>
          <w:szCs w:val="20"/>
        </w:rPr>
        <w:t xml:space="preserve">Does paragraph (d) of the definition of “employee” at s. 2(1) of </w:t>
      </w:r>
      <w:r w:rsidRPr="00CF1417">
        <w:rPr>
          <w:rFonts w:cs="Times New Roman"/>
          <w:i/>
          <w:iCs/>
          <w:sz w:val="20"/>
          <w:szCs w:val="20"/>
        </w:rPr>
        <w:t>Public Service Labour Relations Act</w:t>
      </w:r>
      <w:r w:rsidRPr="00CF1417">
        <w:rPr>
          <w:rFonts w:cs="Times New Roman"/>
          <w:sz w:val="20"/>
          <w:szCs w:val="20"/>
        </w:rPr>
        <w:t>, S.C. 2003, c. 22, infringe s. 2(</w:t>
      </w:r>
      <w:r w:rsidRPr="00CF1417">
        <w:rPr>
          <w:rFonts w:cs="Times New Roman"/>
          <w:i/>
          <w:iCs/>
          <w:sz w:val="20"/>
          <w:szCs w:val="20"/>
        </w:rPr>
        <w:t>d</w:t>
      </w:r>
      <w:r w:rsidRPr="00CF1417">
        <w:rPr>
          <w:rFonts w:cs="Times New Roman"/>
          <w:sz w:val="20"/>
          <w:szCs w:val="20"/>
        </w:rPr>
        <w:t xml:space="preserve">) of the </w:t>
      </w:r>
      <w:r w:rsidRPr="00CF1417">
        <w:rPr>
          <w:rFonts w:cs="Times New Roman"/>
          <w:i/>
          <w:iCs/>
          <w:sz w:val="20"/>
          <w:szCs w:val="20"/>
        </w:rPr>
        <w:t>Canadian Charter of Rights and Freedoms</w:t>
      </w:r>
      <w:r w:rsidRPr="00CF1417">
        <w:rPr>
          <w:rFonts w:cs="Times New Roman"/>
          <w:sz w:val="20"/>
          <w:szCs w:val="20"/>
        </w:rPr>
        <w:t>?</w:t>
      </w:r>
    </w:p>
    <w:p w:rsidR="00CF1417" w:rsidRPr="00CF1417" w:rsidRDefault="00CF1417" w:rsidP="00CF1417">
      <w:pPr>
        <w:jc w:val="both"/>
        <w:rPr>
          <w:rFonts w:eastAsia="Times New Roman" w:cs="Times New Roman"/>
          <w:sz w:val="20"/>
          <w:szCs w:val="20"/>
          <w:lang w:val="en-US" w:eastAsia="en-CA"/>
        </w:rPr>
      </w:pPr>
    </w:p>
    <w:p w:rsidR="00CF1417" w:rsidRPr="00CF1417" w:rsidRDefault="00CF1417" w:rsidP="00CF1417">
      <w:pPr>
        <w:numPr>
          <w:ilvl w:val="0"/>
          <w:numId w:val="2"/>
        </w:numPr>
        <w:jc w:val="both"/>
        <w:rPr>
          <w:rFonts w:cs="Times New Roman"/>
          <w:sz w:val="20"/>
          <w:szCs w:val="20"/>
        </w:rPr>
      </w:pPr>
      <w:r w:rsidRPr="00CF1417">
        <w:rPr>
          <w:rFonts w:cs="Times New Roman"/>
          <w:sz w:val="20"/>
          <w:szCs w:val="20"/>
        </w:rPr>
        <w:t xml:space="preserve">If so, is the infringement a reasonable limit prescribed by law as can be demonstrably justified in a free and democratic society under s. 1 of the </w:t>
      </w:r>
      <w:r w:rsidRPr="00CF1417">
        <w:rPr>
          <w:rFonts w:cs="Times New Roman"/>
          <w:i/>
          <w:iCs/>
          <w:sz w:val="20"/>
          <w:szCs w:val="20"/>
        </w:rPr>
        <w:t>Canadian Charter of Rights and Freedoms</w:t>
      </w:r>
      <w:r w:rsidRPr="00CF1417">
        <w:rPr>
          <w:rFonts w:cs="Times New Roman"/>
          <w:sz w:val="20"/>
          <w:szCs w:val="20"/>
        </w:rPr>
        <w:t>?</w:t>
      </w:r>
    </w:p>
    <w:p w:rsidR="00CF1417" w:rsidRPr="00CF1417" w:rsidRDefault="00CF1417" w:rsidP="00CF1417">
      <w:pPr>
        <w:jc w:val="both"/>
        <w:rPr>
          <w:rFonts w:eastAsia="Times New Roman" w:cs="Times New Roman"/>
          <w:color w:val="1F497D"/>
          <w:sz w:val="20"/>
          <w:szCs w:val="20"/>
          <w:lang w:val="en-US" w:eastAsia="en-CA"/>
        </w:rPr>
      </w:pPr>
    </w:p>
    <w:p w:rsidR="00CF1417" w:rsidRPr="00CF1417" w:rsidRDefault="00CF1417" w:rsidP="00CF1417">
      <w:pPr>
        <w:jc w:val="both"/>
        <w:rPr>
          <w:rFonts w:eastAsia="Times New Roman" w:cs="Times New Roman"/>
          <w:b/>
          <w:bCs/>
          <w:sz w:val="20"/>
          <w:szCs w:val="20"/>
          <w:lang w:val="en-US" w:eastAsia="en-CA"/>
        </w:rPr>
      </w:pPr>
    </w:p>
    <w:p w:rsidR="00CF1417" w:rsidRPr="00CF1417" w:rsidRDefault="00CF1417" w:rsidP="00CF1417">
      <w:pPr>
        <w:jc w:val="both"/>
        <w:rPr>
          <w:rFonts w:eastAsia="Times New Roman" w:cs="Times New Roman"/>
          <w:b/>
          <w:bCs/>
          <w:sz w:val="20"/>
          <w:szCs w:val="20"/>
          <w:lang w:val="en-US" w:eastAsia="en-CA"/>
        </w:rPr>
      </w:pPr>
    </w:p>
    <w:p w:rsidR="00CF1417" w:rsidRPr="00CF1417" w:rsidRDefault="00CF1417" w:rsidP="00CF1417">
      <w:pPr>
        <w:jc w:val="both"/>
        <w:rPr>
          <w:rFonts w:eastAsia="Times New Roman" w:cs="Times New Roman"/>
          <w:sz w:val="20"/>
          <w:szCs w:val="20"/>
          <w:lang w:val="fr-CA" w:eastAsia="en-CA"/>
        </w:rPr>
      </w:pPr>
      <w:r w:rsidRPr="00CF1417">
        <w:rPr>
          <w:rFonts w:eastAsia="Times New Roman" w:cs="Times New Roman"/>
          <w:b/>
          <w:bCs/>
          <w:sz w:val="20"/>
          <w:szCs w:val="20"/>
          <w:lang w:val="fr-CA" w:eastAsia="en-CA"/>
        </w:rPr>
        <w:t>À LA SUITE DE LA DEMANDE</w:t>
      </w:r>
      <w:r w:rsidRPr="00CF1417">
        <w:rPr>
          <w:rFonts w:eastAsia="Times New Roman" w:cs="Times New Roman"/>
          <w:sz w:val="20"/>
          <w:szCs w:val="20"/>
          <w:lang w:val="fr-CA" w:eastAsia="en-CA"/>
        </w:rPr>
        <w:t xml:space="preserve"> des appelantes visant à obtenir la formulation de questions constitutionnelles dans l'appel susmentionné;</w:t>
      </w:r>
    </w:p>
    <w:p w:rsidR="00CF1417" w:rsidRPr="00CF1417" w:rsidRDefault="00CF1417" w:rsidP="00CF1417">
      <w:pPr>
        <w:jc w:val="both"/>
        <w:rPr>
          <w:rFonts w:eastAsia="Times New Roman" w:cs="Times New Roman"/>
          <w:sz w:val="20"/>
          <w:szCs w:val="20"/>
          <w:lang w:val="fr-CA" w:eastAsia="en-CA"/>
        </w:rPr>
      </w:pPr>
    </w:p>
    <w:p w:rsidR="00CF1417" w:rsidRPr="00CF1417" w:rsidRDefault="00CF1417" w:rsidP="00CF1417">
      <w:pPr>
        <w:jc w:val="both"/>
        <w:rPr>
          <w:rFonts w:eastAsia="Times New Roman" w:cs="Times New Roman"/>
          <w:sz w:val="20"/>
          <w:szCs w:val="20"/>
          <w:lang w:val="fr-CA" w:eastAsia="en-CA"/>
        </w:rPr>
      </w:pPr>
      <w:r w:rsidRPr="00CF1417">
        <w:rPr>
          <w:rFonts w:eastAsia="Times New Roman" w:cs="Times New Roman"/>
          <w:b/>
          <w:bCs/>
          <w:sz w:val="20"/>
          <w:szCs w:val="20"/>
          <w:lang w:val="fr-CA" w:eastAsia="en-CA"/>
        </w:rPr>
        <w:t>ET APRÈS AVOIR LU</w:t>
      </w:r>
      <w:r w:rsidRPr="00CF1417">
        <w:rPr>
          <w:rFonts w:eastAsia="Times New Roman" w:cs="Times New Roman"/>
          <w:sz w:val="20"/>
          <w:szCs w:val="20"/>
          <w:lang w:val="fr-CA" w:eastAsia="en-CA"/>
        </w:rPr>
        <w:t xml:space="preserve"> la documentation déposée;</w:t>
      </w:r>
    </w:p>
    <w:p w:rsidR="00CF1417" w:rsidRPr="00CF1417" w:rsidRDefault="00CF1417" w:rsidP="00CF1417">
      <w:pPr>
        <w:jc w:val="both"/>
        <w:rPr>
          <w:rFonts w:eastAsia="Times New Roman" w:cs="Times New Roman"/>
          <w:sz w:val="20"/>
          <w:szCs w:val="20"/>
          <w:lang w:val="fr-CA" w:eastAsia="en-CA"/>
        </w:rPr>
      </w:pPr>
    </w:p>
    <w:p w:rsidR="00CF1417" w:rsidRPr="00CF1417" w:rsidRDefault="00CF1417" w:rsidP="00CF1417">
      <w:pPr>
        <w:jc w:val="both"/>
        <w:rPr>
          <w:rFonts w:eastAsia="Times New Roman" w:cs="Times New Roman"/>
          <w:sz w:val="20"/>
          <w:szCs w:val="20"/>
          <w:lang w:val="fr-CA" w:eastAsia="en-CA"/>
        </w:rPr>
      </w:pPr>
      <w:r w:rsidRPr="00CF1417">
        <w:rPr>
          <w:rFonts w:eastAsia="Times New Roman" w:cs="Times New Roman"/>
          <w:b/>
          <w:bCs/>
          <w:sz w:val="20"/>
          <w:szCs w:val="20"/>
          <w:lang w:val="fr-CA" w:eastAsia="en-CA"/>
        </w:rPr>
        <w:t>LES QUESTIONS CONSTITUTIONNELLES SUIVANTES SONT FORMULÉES :</w:t>
      </w:r>
    </w:p>
    <w:p w:rsidR="00CF1417" w:rsidRPr="00CF1417" w:rsidRDefault="00CF1417" w:rsidP="00CF1417">
      <w:pPr>
        <w:jc w:val="both"/>
        <w:rPr>
          <w:rFonts w:eastAsia="Times New Roman" w:cs="Times New Roman"/>
          <w:sz w:val="20"/>
          <w:szCs w:val="20"/>
          <w:lang w:val="fr-FR" w:eastAsia="en-CA"/>
        </w:rPr>
      </w:pPr>
    </w:p>
    <w:p w:rsidR="00CF1417" w:rsidRPr="00CF1417" w:rsidRDefault="00CF1417" w:rsidP="00CF1417">
      <w:pPr>
        <w:numPr>
          <w:ilvl w:val="0"/>
          <w:numId w:val="3"/>
        </w:numPr>
        <w:jc w:val="both"/>
        <w:rPr>
          <w:rFonts w:cs="Times New Roman"/>
          <w:sz w:val="20"/>
          <w:szCs w:val="20"/>
          <w:lang w:val="fr-CA"/>
        </w:rPr>
      </w:pPr>
      <w:r w:rsidRPr="00CF1417">
        <w:rPr>
          <w:rFonts w:cs="Times New Roman"/>
          <w:sz w:val="20"/>
          <w:szCs w:val="20"/>
          <w:lang w:val="fr-CA"/>
        </w:rPr>
        <w:t xml:space="preserve">L’article 96 du </w:t>
      </w:r>
      <w:r w:rsidRPr="00CF1417">
        <w:rPr>
          <w:rFonts w:cs="Times New Roman"/>
          <w:i/>
          <w:iCs/>
          <w:sz w:val="20"/>
          <w:szCs w:val="20"/>
          <w:lang w:val="fr-CA"/>
        </w:rPr>
        <w:t>Règlement de la Gendarmerie royale du Canada</w:t>
      </w:r>
      <w:r w:rsidRPr="00CF1417">
        <w:rPr>
          <w:rFonts w:cs="Times New Roman"/>
          <w:sz w:val="20"/>
          <w:szCs w:val="20"/>
          <w:lang w:val="fr-CA"/>
        </w:rPr>
        <w:t>, (1988), DORS/88-361, viole-t-il l’al. 2</w:t>
      </w:r>
      <w:r w:rsidRPr="00CF1417">
        <w:rPr>
          <w:rFonts w:cs="Times New Roman"/>
          <w:i/>
          <w:iCs/>
          <w:sz w:val="20"/>
          <w:szCs w:val="20"/>
          <w:lang w:val="fr-CA"/>
        </w:rPr>
        <w:t>d</w:t>
      </w:r>
      <w:r w:rsidRPr="00CF1417">
        <w:rPr>
          <w:rFonts w:cs="Times New Roman"/>
          <w:sz w:val="20"/>
          <w:szCs w:val="20"/>
          <w:lang w:val="fr-CA"/>
        </w:rPr>
        <w:t xml:space="preserve">) de la </w:t>
      </w:r>
      <w:r w:rsidRPr="00CF1417">
        <w:rPr>
          <w:rFonts w:cs="Times New Roman"/>
          <w:i/>
          <w:iCs/>
          <w:sz w:val="20"/>
          <w:szCs w:val="20"/>
          <w:lang w:val="fr-CA"/>
        </w:rPr>
        <w:t>Charte canadienne des droits et libertés</w:t>
      </w:r>
      <w:r w:rsidRPr="00CF1417">
        <w:rPr>
          <w:rFonts w:cs="Times New Roman"/>
          <w:sz w:val="20"/>
          <w:szCs w:val="20"/>
          <w:lang w:val="fr-CA"/>
        </w:rPr>
        <w:t xml:space="preserve"> ?</w:t>
      </w:r>
    </w:p>
    <w:p w:rsidR="00CF1417" w:rsidRPr="00CF1417" w:rsidRDefault="00CF1417" w:rsidP="00CF1417">
      <w:pPr>
        <w:ind w:left="720"/>
        <w:contextualSpacing/>
        <w:jc w:val="both"/>
        <w:rPr>
          <w:rFonts w:cs="Times New Roman"/>
          <w:sz w:val="20"/>
          <w:szCs w:val="20"/>
          <w:lang w:val="fr-CA"/>
        </w:rPr>
      </w:pPr>
    </w:p>
    <w:p w:rsidR="00CF1417" w:rsidRPr="00CF1417" w:rsidRDefault="00CF1417" w:rsidP="00CF1417">
      <w:pPr>
        <w:numPr>
          <w:ilvl w:val="0"/>
          <w:numId w:val="3"/>
        </w:numPr>
        <w:jc w:val="both"/>
        <w:rPr>
          <w:rFonts w:cs="Times New Roman"/>
          <w:sz w:val="20"/>
          <w:szCs w:val="20"/>
          <w:lang w:val="fr-CA"/>
        </w:rPr>
      </w:pPr>
      <w:r w:rsidRPr="00CF1417">
        <w:rPr>
          <w:rFonts w:cs="Times New Roman"/>
          <w:sz w:val="20"/>
          <w:szCs w:val="20"/>
          <w:lang w:val="fr-CA"/>
        </w:rPr>
        <w:t xml:space="preserve">Dans l’affirmative, s’agit-il d’une violation constituant une limite raisonnable, établie par une règle de droit et dont la justification peut se démontrer dans le cadre d’une société libre et démocratique conformément à l’article premier de la </w:t>
      </w:r>
      <w:r w:rsidRPr="00CF1417">
        <w:rPr>
          <w:rFonts w:cs="Times New Roman"/>
          <w:i/>
          <w:iCs/>
          <w:sz w:val="20"/>
          <w:szCs w:val="20"/>
          <w:lang w:val="fr-CA"/>
        </w:rPr>
        <w:t>Charte canadienne des droits et libertés</w:t>
      </w:r>
      <w:r w:rsidRPr="00CF1417">
        <w:rPr>
          <w:rFonts w:cs="Times New Roman"/>
          <w:sz w:val="20"/>
          <w:szCs w:val="20"/>
          <w:lang w:val="fr-CA"/>
        </w:rPr>
        <w:t xml:space="preserve"> ?</w:t>
      </w:r>
    </w:p>
    <w:p w:rsidR="00CF1417" w:rsidRPr="00CF1417" w:rsidRDefault="00CF1417" w:rsidP="00CF1417">
      <w:pPr>
        <w:ind w:left="720"/>
        <w:contextualSpacing/>
        <w:jc w:val="both"/>
        <w:rPr>
          <w:rFonts w:cs="Times New Roman"/>
          <w:sz w:val="20"/>
          <w:szCs w:val="20"/>
          <w:lang w:val="fr-CA"/>
        </w:rPr>
      </w:pPr>
    </w:p>
    <w:p w:rsidR="00CF1417" w:rsidRPr="00CF1417" w:rsidRDefault="00CF1417" w:rsidP="00CF1417">
      <w:pPr>
        <w:numPr>
          <w:ilvl w:val="0"/>
          <w:numId w:val="3"/>
        </w:numPr>
        <w:jc w:val="both"/>
        <w:rPr>
          <w:rFonts w:cs="Times New Roman"/>
          <w:sz w:val="20"/>
          <w:szCs w:val="20"/>
          <w:lang w:val="fr-CA"/>
        </w:rPr>
      </w:pPr>
      <w:r w:rsidRPr="00CF1417">
        <w:rPr>
          <w:rFonts w:cs="Times New Roman"/>
          <w:sz w:val="20"/>
          <w:szCs w:val="20"/>
          <w:lang w:val="fr-CA"/>
        </w:rPr>
        <w:t xml:space="preserve">L’al. </w:t>
      </w:r>
      <w:r w:rsidRPr="00CF1417">
        <w:rPr>
          <w:rFonts w:cs="Times New Roman"/>
          <w:i/>
          <w:iCs/>
          <w:sz w:val="20"/>
          <w:szCs w:val="20"/>
          <w:lang w:val="fr-CA"/>
        </w:rPr>
        <w:t>d</w:t>
      </w:r>
      <w:r w:rsidRPr="00CF1417">
        <w:rPr>
          <w:rFonts w:cs="Times New Roman"/>
          <w:sz w:val="20"/>
          <w:szCs w:val="20"/>
          <w:lang w:val="fr-CA"/>
        </w:rPr>
        <w:t xml:space="preserve">) de la définition de « fonctionnaire » au par. 2(1) de la </w:t>
      </w:r>
      <w:r w:rsidRPr="00CF1417">
        <w:rPr>
          <w:rFonts w:cs="Times New Roman"/>
          <w:i/>
          <w:iCs/>
          <w:sz w:val="20"/>
          <w:szCs w:val="20"/>
          <w:lang w:val="fr-CA"/>
        </w:rPr>
        <w:t>Loi sur les relations de travail dans la fonction publique</w:t>
      </w:r>
      <w:r w:rsidRPr="00CF1417">
        <w:rPr>
          <w:rFonts w:cs="Times New Roman"/>
          <w:sz w:val="20"/>
          <w:szCs w:val="20"/>
          <w:lang w:val="fr-CA"/>
        </w:rPr>
        <w:t>, LC 2003, c 22 viole-t-il l’al. 2</w:t>
      </w:r>
      <w:r w:rsidRPr="00CF1417">
        <w:rPr>
          <w:rFonts w:cs="Times New Roman"/>
          <w:i/>
          <w:iCs/>
          <w:sz w:val="20"/>
          <w:szCs w:val="20"/>
          <w:lang w:val="fr-CA"/>
        </w:rPr>
        <w:t>d</w:t>
      </w:r>
      <w:r w:rsidRPr="00CF1417">
        <w:rPr>
          <w:rFonts w:cs="Times New Roman"/>
          <w:sz w:val="20"/>
          <w:szCs w:val="20"/>
          <w:lang w:val="fr-CA"/>
        </w:rPr>
        <w:t xml:space="preserve">) de la </w:t>
      </w:r>
      <w:r w:rsidRPr="00CF1417">
        <w:rPr>
          <w:rFonts w:cs="Times New Roman"/>
          <w:i/>
          <w:iCs/>
          <w:sz w:val="20"/>
          <w:szCs w:val="20"/>
          <w:lang w:val="fr-CA"/>
        </w:rPr>
        <w:t>Charte canadienne des droits et libertés</w:t>
      </w:r>
      <w:r w:rsidRPr="00CF1417">
        <w:rPr>
          <w:rFonts w:cs="Times New Roman"/>
          <w:sz w:val="20"/>
          <w:szCs w:val="20"/>
          <w:lang w:val="fr-CA"/>
        </w:rPr>
        <w:t xml:space="preserve"> ?</w:t>
      </w:r>
    </w:p>
    <w:p w:rsidR="00CF1417" w:rsidRPr="00CF1417" w:rsidRDefault="00CF1417" w:rsidP="00CF1417">
      <w:pPr>
        <w:ind w:left="720"/>
        <w:contextualSpacing/>
        <w:jc w:val="both"/>
        <w:rPr>
          <w:rFonts w:cs="Times New Roman"/>
          <w:sz w:val="20"/>
          <w:szCs w:val="20"/>
          <w:lang w:val="fr-CA"/>
        </w:rPr>
      </w:pPr>
    </w:p>
    <w:p w:rsidR="00CF1417" w:rsidRPr="00CF1417" w:rsidRDefault="00CF1417" w:rsidP="00CF1417">
      <w:pPr>
        <w:numPr>
          <w:ilvl w:val="0"/>
          <w:numId w:val="3"/>
        </w:numPr>
        <w:jc w:val="both"/>
        <w:rPr>
          <w:rFonts w:cs="Times New Roman"/>
          <w:sz w:val="20"/>
          <w:szCs w:val="20"/>
          <w:lang w:val="fr-CA"/>
        </w:rPr>
      </w:pPr>
      <w:r w:rsidRPr="00CF1417">
        <w:rPr>
          <w:rFonts w:cs="Times New Roman"/>
          <w:sz w:val="20"/>
          <w:szCs w:val="20"/>
          <w:lang w:val="fr-CA"/>
        </w:rPr>
        <w:t xml:space="preserve">Dans l’affirmative, s’agit-il d’une violation constituant une limite raisonnable, établie par une règle de droit et dont la justification peut se démontrer dans le cadre d’une société libre et démocratique conformément à l’article premier de la </w:t>
      </w:r>
      <w:r w:rsidRPr="00CF1417">
        <w:rPr>
          <w:rFonts w:cs="Times New Roman"/>
          <w:i/>
          <w:iCs/>
          <w:sz w:val="20"/>
          <w:szCs w:val="20"/>
          <w:lang w:val="fr-CA"/>
        </w:rPr>
        <w:t>Charte canadienne des droits et libertés</w:t>
      </w:r>
      <w:r w:rsidRPr="00CF1417">
        <w:rPr>
          <w:rFonts w:cs="Times New Roman"/>
          <w:sz w:val="20"/>
          <w:szCs w:val="20"/>
          <w:lang w:val="fr-CA"/>
        </w:rPr>
        <w:t xml:space="preserve"> ?</w:t>
      </w:r>
    </w:p>
    <w:p w:rsidR="00CF1417" w:rsidRPr="00CF1417" w:rsidRDefault="00CF1417" w:rsidP="0010587F">
      <w:pPr>
        <w:tabs>
          <w:tab w:val="left" w:pos="-1440"/>
          <w:tab w:val="left" w:pos="-720"/>
        </w:tabs>
        <w:jc w:val="both"/>
        <w:rPr>
          <w:sz w:val="20"/>
          <w:szCs w:val="20"/>
          <w:lang w:val="fr-CA"/>
        </w:rPr>
      </w:pPr>
    </w:p>
    <w:p w:rsidR="0010587F" w:rsidRPr="003B3977" w:rsidRDefault="0010587F" w:rsidP="0010587F">
      <w:pPr>
        <w:tabs>
          <w:tab w:val="left" w:pos="-1440"/>
          <w:tab w:val="left" w:pos="-720"/>
        </w:tabs>
        <w:jc w:val="both"/>
        <w:rPr>
          <w:sz w:val="20"/>
          <w:szCs w:val="20"/>
          <w:lang w:val="fr-CA"/>
        </w:rPr>
      </w:pPr>
    </w:p>
    <w:p w:rsidR="0010587F" w:rsidRPr="003B3977" w:rsidRDefault="0010587F"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B07D2C"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6A746C" w:rsidP="003B3977">
            <w:pPr>
              <w:rPr>
                <w:sz w:val="20"/>
                <w:szCs w:val="20"/>
              </w:rPr>
            </w:pPr>
            <w:r>
              <w:rPr>
                <w:sz w:val="20"/>
                <w:szCs w:val="20"/>
              </w:rPr>
              <w:t>22</w:t>
            </w:r>
            <w:r w:rsidR="0010587F" w:rsidRPr="003B3977">
              <w:rPr>
                <w:sz w:val="20"/>
                <w:szCs w:val="20"/>
              </w:rPr>
              <w:t>.0</w:t>
            </w:r>
            <w:r>
              <w:rPr>
                <w:sz w:val="20"/>
                <w:szCs w:val="20"/>
              </w:rPr>
              <w:t>2</w:t>
            </w:r>
            <w:r w:rsidR="0010587F" w:rsidRPr="003B3977">
              <w:rPr>
                <w:sz w:val="20"/>
                <w:szCs w:val="20"/>
              </w:rPr>
              <w:t>.201</w:t>
            </w:r>
            <w:r>
              <w:rPr>
                <w:sz w:val="20"/>
                <w:szCs w:val="20"/>
              </w:rPr>
              <w:t>3</w:t>
            </w:r>
          </w:p>
          <w:p w:rsidR="0010587F" w:rsidRPr="003B3977" w:rsidRDefault="0010587F" w:rsidP="003B3977">
            <w:pPr>
              <w:rPr>
                <w:sz w:val="20"/>
                <w:szCs w:val="20"/>
              </w:rPr>
            </w:pPr>
          </w:p>
          <w:p w:rsidR="0010587F" w:rsidRPr="003B3977" w:rsidRDefault="006A746C" w:rsidP="003B3977">
            <w:pPr>
              <w:rPr>
                <w:b/>
                <w:sz w:val="20"/>
                <w:szCs w:val="20"/>
              </w:rPr>
            </w:pPr>
            <w:r>
              <w:rPr>
                <w:b/>
                <w:sz w:val="20"/>
                <w:szCs w:val="20"/>
              </w:rPr>
              <w:t>Matth</w:t>
            </w:r>
            <w:r w:rsidR="0010587F" w:rsidRPr="003B3977">
              <w:rPr>
                <w:b/>
                <w:sz w:val="20"/>
                <w:szCs w:val="20"/>
              </w:rPr>
              <w:t>ew</w:t>
            </w:r>
            <w:r>
              <w:rPr>
                <w:b/>
                <w:sz w:val="20"/>
                <w:szCs w:val="20"/>
              </w:rPr>
              <w:t xml:space="preserve"> David Sp</w:t>
            </w:r>
            <w:r w:rsidR="0010587F" w:rsidRPr="003B3977">
              <w:rPr>
                <w:b/>
                <w:sz w:val="20"/>
                <w:szCs w:val="20"/>
              </w:rPr>
              <w:t>en</w:t>
            </w:r>
            <w:r>
              <w:rPr>
                <w:b/>
                <w:sz w:val="20"/>
                <w:szCs w:val="20"/>
              </w:rPr>
              <w:t>cer</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(34</w:t>
            </w:r>
            <w:r w:rsidR="006A746C">
              <w:rPr>
                <w:b/>
                <w:sz w:val="20"/>
                <w:szCs w:val="20"/>
              </w:rPr>
              <w:t>644</w:t>
            </w:r>
            <w:r w:rsidRPr="003B3977">
              <w:rPr>
                <w:b/>
                <w:sz w:val="20"/>
                <w:szCs w:val="20"/>
              </w:rPr>
              <w:t>)</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Her Majesty the Queen (</w:t>
            </w:r>
            <w:r w:rsidR="006A746C">
              <w:rPr>
                <w:b/>
                <w:sz w:val="20"/>
                <w:szCs w:val="20"/>
              </w:rPr>
              <w:t>Sask</w:t>
            </w:r>
            <w:r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6A746C">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CB0178" w:rsidP="003B3977">
            <w:pPr>
              <w:rPr>
                <w:sz w:val="20"/>
                <w:szCs w:val="20"/>
                <w:lang w:val="fr-CA"/>
              </w:rPr>
            </w:pPr>
            <w:r w:rsidRPr="00CB0178">
              <w:rPr>
                <w:sz w:val="20"/>
                <w:szCs w:val="20"/>
                <w:lang w:val="fr-CA"/>
              </w:rPr>
              <w:pict>
                <v:rect id="_x0000_i1061"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E25901" w:rsidRDefault="006A746C" w:rsidP="003B3977">
            <w:pPr>
              <w:rPr>
                <w:sz w:val="20"/>
                <w:szCs w:val="20"/>
                <w:lang w:val="fr-CA"/>
              </w:rPr>
            </w:pPr>
            <w:r w:rsidRPr="00E25901">
              <w:rPr>
                <w:sz w:val="20"/>
                <w:szCs w:val="20"/>
                <w:lang w:val="fr-CA"/>
              </w:rPr>
              <w:t>22</w:t>
            </w:r>
            <w:r w:rsidR="0010587F" w:rsidRPr="00E25901">
              <w:rPr>
                <w:sz w:val="20"/>
                <w:szCs w:val="20"/>
                <w:lang w:val="fr-CA"/>
              </w:rPr>
              <w:t>.0</w:t>
            </w:r>
            <w:r w:rsidRPr="00E25901">
              <w:rPr>
                <w:sz w:val="20"/>
                <w:szCs w:val="20"/>
                <w:lang w:val="fr-CA"/>
              </w:rPr>
              <w:t>2</w:t>
            </w:r>
            <w:r w:rsidR="0010587F" w:rsidRPr="00E25901">
              <w:rPr>
                <w:sz w:val="20"/>
                <w:szCs w:val="20"/>
                <w:lang w:val="fr-CA"/>
              </w:rPr>
              <w:t>.201</w:t>
            </w:r>
            <w:r w:rsidRPr="00E25901">
              <w:rPr>
                <w:sz w:val="20"/>
                <w:szCs w:val="20"/>
                <w:lang w:val="fr-CA"/>
              </w:rPr>
              <w:t>3</w:t>
            </w:r>
          </w:p>
          <w:p w:rsidR="0010587F" w:rsidRPr="00E25901" w:rsidRDefault="0010587F" w:rsidP="003B3977">
            <w:pPr>
              <w:rPr>
                <w:sz w:val="20"/>
                <w:szCs w:val="20"/>
                <w:lang w:val="fr-CA"/>
              </w:rPr>
            </w:pPr>
          </w:p>
          <w:p w:rsidR="0010587F" w:rsidRPr="00E25901" w:rsidRDefault="006A746C" w:rsidP="003B3977">
            <w:pPr>
              <w:rPr>
                <w:b/>
                <w:sz w:val="20"/>
                <w:szCs w:val="20"/>
                <w:lang w:val="fr-CA"/>
              </w:rPr>
            </w:pPr>
            <w:r w:rsidRPr="00E25901">
              <w:rPr>
                <w:b/>
                <w:sz w:val="20"/>
                <w:szCs w:val="20"/>
                <w:lang w:val="fr-CA"/>
              </w:rPr>
              <w:t>P</w:t>
            </w:r>
            <w:r w:rsidR="0010587F" w:rsidRPr="00E25901">
              <w:rPr>
                <w:b/>
                <w:sz w:val="20"/>
                <w:szCs w:val="20"/>
                <w:lang w:val="fr-CA"/>
              </w:rPr>
              <w:t>era</w:t>
            </w:r>
            <w:r w:rsidRPr="00E25901">
              <w:rPr>
                <w:b/>
                <w:sz w:val="20"/>
                <w:szCs w:val="20"/>
                <w:lang w:val="fr-CA"/>
              </w:rPr>
              <w:t>como I</w:t>
            </w:r>
            <w:r w:rsidR="0010587F" w:rsidRPr="00E25901">
              <w:rPr>
                <w:b/>
                <w:sz w:val="20"/>
                <w:szCs w:val="20"/>
                <w:lang w:val="fr-CA"/>
              </w:rPr>
              <w:t>n</w:t>
            </w:r>
            <w:r w:rsidRPr="00E25901">
              <w:rPr>
                <w:b/>
                <w:sz w:val="20"/>
                <w:szCs w:val="20"/>
                <w:lang w:val="fr-CA"/>
              </w:rPr>
              <w:t>c. et al.</w:t>
            </w:r>
          </w:p>
          <w:p w:rsidR="0010587F" w:rsidRPr="00E25901" w:rsidRDefault="0010587F" w:rsidP="003B3977">
            <w:pPr>
              <w:rPr>
                <w:b/>
                <w:sz w:val="20"/>
                <w:szCs w:val="20"/>
                <w:lang w:val="fr-CA"/>
              </w:rPr>
            </w:pPr>
          </w:p>
          <w:p w:rsidR="0010587F" w:rsidRPr="00E25901" w:rsidRDefault="0010587F" w:rsidP="003B3977">
            <w:pPr>
              <w:rPr>
                <w:b/>
                <w:sz w:val="20"/>
                <w:szCs w:val="20"/>
                <w:lang w:val="fr-CA"/>
              </w:rPr>
            </w:pPr>
            <w:r w:rsidRPr="00E25901">
              <w:rPr>
                <w:b/>
                <w:sz w:val="20"/>
                <w:szCs w:val="20"/>
                <w:lang w:val="fr-CA"/>
              </w:rPr>
              <w:tab/>
              <w:t>v. (3</w:t>
            </w:r>
            <w:r w:rsidR="006A746C" w:rsidRPr="00E25901">
              <w:rPr>
                <w:b/>
                <w:sz w:val="20"/>
                <w:szCs w:val="20"/>
                <w:lang w:val="fr-CA"/>
              </w:rPr>
              <w:t>49</w:t>
            </w:r>
            <w:r w:rsidRPr="00E25901">
              <w:rPr>
                <w:b/>
                <w:sz w:val="20"/>
                <w:szCs w:val="20"/>
                <w:lang w:val="fr-CA"/>
              </w:rPr>
              <w:t>91)</w:t>
            </w:r>
          </w:p>
          <w:p w:rsidR="0010587F" w:rsidRPr="00E25901" w:rsidRDefault="0010587F" w:rsidP="003B3977">
            <w:pPr>
              <w:rPr>
                <w:b/>
                <w:sz w:val="20"/>
                <w:szCs w:val="20"/>
                <w:lang w:val="fr-CA"/>
              </w:rPr>
            </w:pPr>
          </w:p>
          <w:p w:rsidR="0010587F" w:rsidRPr="006A746C" w:rsidRDefault="006A746C" w:rsidP="003B3977">
            <w:pPr>
              <w:rPr>
                <w:b/>
                <w:sz w:val="20"/>
                <w:szCs w:val="20"/>
              </w:rPr>
            </w:pPr>
            <w:r w:rsidRPr="006A746C">
              <w:rPr>
                <w:b/>
                <w:sz w:val="20"/>
                <w:szCs w:val="20"/>
                <w:lang w:val="fr-CA"/>
              </w:rPr>
              <w:t>S</w:t>
            </w:r>
            <w:r w:rsidR="0010587F" w:rsidRPr="006A746C">
              <w:rPr>
                <w:b/>
                <w:sz w:val="20"/>
                <w:szCs w:val="20"/>
                <w:lang w:val="fr-CA"/>
              </w:rPr>
              <w:t>o</w:t>
            </w:r>
            <w:r w:rsidRPr="006A746C">
              <w:rPr>
                <w:b/>
                <w:sz w:val="20"/>
                <w:szCs w:val="20"/>
                <w:lang w:val="fr-CA"/>
              </w:rPr>
              <w:t>cié</w:t>
            </w:r>
            <w:r w:rsidR="0010587F" w:rsidRPr="006A746C">
              <w:rPr>
                <w:b/>
                <w:sz w:val="20"/>
                <w:szCs w:val="20"/>
                <w:lang w:val="fr-CA"/>
              </w:rPr>
              <w:t>t</w:t>
            </w:r>
            <w:r w:rsidRPr="006A746C">
              <w:rPr>
                <w:b/>
                <w:sz w:val="20"/>
                <w:szCs w:val="20"/>
                <w:lang w:val="fr-CA"/>
              </w:rPr>
              <w:t>é Telus Commu</w:t>
            </w:r>
            <w:r w:rsidR="0010587F" w:rsidRPr="006A746C">
              <w:rPr>
                <w:b/>
                <w:sz w:val="20"/>
                <w:szCs w:val="20"/>
                <w:lang w:val="fr-CA"/>
              </w:rPr>
              <w:t>n</w:t>
            </w:r>
            <w:r w:rsidRPr="006A746C">
              <w:rPr>
                <w:b/>
                <w:sz w:val="20"/>
                <w:szCs w:val="20"/>
                <w:lang w:val="fr-CA"/>
              </w:rPr>
              <w:t>ications</w:t>
            </w:r>
            <w:r w:rsidR="0010587F" w:rsidRPr="006A746C">
              <w:rPr>
                <w:b/>
                <w:sz w:val="20"/>
                <w:szCs w:val="20"/>
                <w:lang w:val="fr-CA"/>
              </w:rPr>
              <w:t xml:space="preserve"> et al. </w:t>
            </w:r>
            <w:r w:rsidR="0010587F" w:rsidRPr="006A746C">
              <w:rPr>
                <w:b/>
                <w:sz w:val="20"/>
                <w:szCs w:val="20"/>
              </w:rPr>
              <w:t>(</w:t>
            </w:r>
            <w:r>
              <w:rPr>
                <w:b/>
                <w:sz w:val="20"/>
                <w:szCs w:val="20"/>
              </w:rPr>
              <w:t>F.C</w:t>
            </w:r>
            <w:r w:rsidR="0010587F" w:rsidRPr="006A746C">
              <w:rPr>
                <w:b/>
                <w:sz w:val="20"/>
                <w:szCs w:val="20"/>
              </w:rPr>
              <w:t>.)</w:t>
            </w:r>
          </w:p>
          <w:p w:rsidR="0010587F" w:rsidRPr="006A746C" w:rsidRDefault="0010587F" w:rsidP="003B3977">
            <w:pPr>
              <w:rPr>
                <w:sz w:val="20"/>
                <w:szCs w:val="20"/>
              </w:rPr>
            </w:pPr>
          </w:p>
          <w:p w:rsidR="0010587F" w:rsidRPr="003B3977" w:rsidRDefault="0010587F" w:rsidP="003B3977">
            <w:pPr>
              <w:rPr>
                <w:sz w:val="20"/>
                <w:szCs w:val="20"/>
              </w:rPr>
            </w:pPr>
            <w:r w:rsidRPr="003B3977">
              <w:rPr>
                <w:sz w:val="20"/>
                <w:szCs w:val="20"/>
              </w:rPr>
              <w:t>(</w:t>
            </w:r>
            <w:r w:rsidR="006A746C">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CB0178" w:rsidP="003B3977">
            <w:pPr>
              <w:rPr>
                <w:sz w:val="20"/>
                <w:szCs w:val="20"/>
              </w:rPr>
            </w:pPr>
            <w:r w:rsidRPr="00CB0178">
              <w:rPr>
                <w:sz w:val="20"/>
                <w:szCs w:val="20"/>
                <w:lang w:val="fr-CA"/>
              </w:rPr>
              <w:pict>
                <v:rect id="_x0000_i1062" style="width:106.1pt;height:1pt" o:hrpct="500" o:hralign="center" o:hrstd="t" o:hrnoshade="t" o:hr="t" fillcolor="black [3213]" stroked="f"/>
              </w:pict>
            </w: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B07D2C"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2A27D1" w:rsidRDefault="007F6E57" w:rsidP="002A27D1">
      <w:pPr>
        <w:widowControl w:val="0"/>
        <w:rPr>
          <w:sz w:val="20"/>
          <w:szCs w:val="20"/>
        </w:rPr>
      </w:pPr>
      <w:r>
        <w:rPr>
          <w:sz w:val="20"/>
          <w:szCs w:val="20"/>
        </w:rPr>
        <w:t>22</w:t>
      </w:r>
      <w:r w:rsidR="002A27D1">
        <w:rPr>
          <w:sz w:val="20"/>
          <w:szCs w:val="20"/>
        </w:rPr>
        <w:t>.</w:t>
      </w:r>
      <w:r>
        <w:rPr>
          <w:sz w:val="20"/>
          <w:szCs w:val="20"/>
        </w:rPr>
        <w:t>02</w:t>
      </w:r>
      <w:r w:rsidR="002A27D1">
        <w:rPr>
          <w:sz w:val="20"/>
          <w:szCs w:val="20"/>
        </w:rPr>
        <w:t>.201</w:t>
      </w:r>
      <w:r>
        <w:rPr>
          <w:sz w:val="20"/>
          <w:szCs w:val="20"/>
        </w:rPr>
        <w:t>3</w:t>
      </w:r>
    </w:p>
    <w:p w:rsidR="002A27D1" w:rsidRDefault="002A27D1" w:rsidP="002A27D1">
      <w:pPr>
        <w:widowControl w:val="0"/>
        <w:rPr>
          <w:sz w:val="20"/>
          <w:szCs w:val="20"/>
        </w:rPr>
      </w:pPr>
    </w:p>
    <w:p w:rsidR="007F6E57" w:rsidRPr="005147F9" w:rsidRDefault="007F6E57" w:rsidP="007F6E57">
      <w:pPr>
        <w:widowControl w:val="0"/>
        <w:ind w:left="720" w:hanging="720"/>
        <w:rPr>
          <w:rFonts w:eastAsia="Calibri" w:cs="Times New Roman"/>
          <w:sz w:val="20"/>
          <w:szCs w:val="20"/>
          <w:u w:val="single"/>
        </w:rPr>
      </w:pPr>
      <w:r w:rsidRPr="005147F9">
        <w:rPr>
          <w:rFonts w:eastAsia="Calibri" w:cs="Times New Roman"/>
          <w:sz w:val="20"/>
          <w:szCs w:val="20"/>
        </w:rPr>
        <w:t xml:space="preserve">Coram: </w:t>
      </w:r>
      <w:r w:rsidRPr="005147F9">
        <w:rPr>
          <w:rFonts w:eastAsia="Calibri" w:cs="Times New Roman"/>
          <w:sz w:val="20"/>
          <w:szCs w:val="20"/>
        </w:rPr>
        <w:tab/>
      </w:r>
      <w:r w:rsidRPr="005147F9">
        <w:rPr>
          <w:rFonts w:eastAsia="Calibri" w:cs="Times New Roman"/>
          <w:sz w:val="20"/>
          <w:szCs w:val="20"/>
          <w:u w:val="single"/>
        </w:rPr>
        <w:t>Fish, Abella, Rothstein, Cromwell and Moldaver JJ.</w:t>
      </w:r>
    </w:p>
    <w:p w:rsidR="002A27D1" w:rsidRDefault="002A27D1" w:rsidP="002A27D1">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2A27D1" w:rsidRPr="00C50A5C" w:rsidTr="002A4AFA">
        <w:tc>
          <w:tcPr>
            <w:tcW w:w="4380" w:type="dxa"/>
            <w:tcMar>
              <w:left w:w="0" w:type="dxa"/>
              <w:right w:w="0" w:type="dxa"/>
            </w:tcMar>
          </w:tcPr>
          <w:p w:rsidR="002A27D1" w:rsidRDefault="002A27D1" w:rsidP="002A4AFA">
            <w:pPr>
              <w:widowControl w:val="0"/>
              <w:jc w:val="both"/>
              <w:rPr>
                <w:b/>
                <w:sz w:val="20"/>
                <w:szCs w:val="20"/>
              </w:rPr>
            </w:pPr>
            <w:r>
              <w:rPr>
                <w:b/>
                <w:sz w:val="20"/>
                <w:szCs w:val="20"/>
              </w:rPr>
              <w:t>Her Majesty the Queen</w:t>
            </w:r>
          </w:p>
          <w:p w:rsidR="002A27D1" w:rsidRPr="00C50A5C" w:rsidRDefault="002A27D1" w:rsidP="002A4AFA">
            <w:pPr>
              <w:widowControl w:val="0"/>
              <w:jc w:val="both"/>
              <w:rPr>
                <w:b/>
                <w:sz w:val="20"/>
                <w:szCs w:val="20"/>
              </w:rPr>
            </w:pPr>
          </w:p>
          <w:p w:rsidR="002A27D1" w:rsidRPr="00C50A5C" w:rsidRDefault="002A27D1" w:rsidP="002A4AFA">
            <w:pPr>
              <w:widowControl w:val="0"/>
              <w:tabs>
                <w:tab w:val="left" w:pos="736"/>
              </w:tabs>
              <w:jc w:val="both"/>
              <w:rPr>
                <w:b/>
                <w:sz w:val="20"/>
                <w:szCs w:val="20"/>
              </w:rPr>
            </w:pPr>
            <w:r w:rsidRPr="00C50A5C">
              <w:rPr>
                <w:b/>
                <w:sz w:val="20"/>
                <w:szCs w:val="20"/>
              </w:rPr>
              <w:tab/>
              <w:t>v. (3</w:t>
            </w:r>
            <w:r>
              <w:rPr>
                <w:b/>
                <w:sz w:val="20"/>
                <w:szCs w:val="20"/>
              </w:rPr>
              <w:t>4</w:t>
            </w:r>
            <w:r w:rsidR="007F6E57">
              <w:rPr>
                <w:b/>
                <w:sz w:val="20"/>
                <w:szCs w:val="20"/>
              </w:rPr>
              <w:t>93</w:t>
            </w:r>
            <w:r>
              <w:rPr>
                <w:b/>
                <w:sz w:val="20"/>
                <w:szCs w:val="20"/>
              </w:rPr>
              <w:t>4</w:t>
            </w:r>
            <w:r w:rsidRPr="00C50A5C">
              <w:rPr>
                <w:b/>
                <w:sz w:val="20"/>
                <w:szCs w:val="20"/>
              </w:rPr>
              <w:t>)</w:t>
            </w:r>
          </w:p>
          <w:p w:rsidR="002A27D1" w:rsidRDefault="002A27D1" w:rsidP="002A4AFA">
            <w:pPr>
              <w:widowControl w:val="0"/>
              <w:jc w:val="both"/>
              <w:rPr>
                <w:b/>
                <w:sz w:val="20"/>
                <w:szCs w:val="20"/>
              </w:rPr>
            </w:pPr>
          </w:p>
          <w:p w:rsidR="002A27D1" w:rsidRPr="0093057E" w:rsidRDefault="007F6E57" w:rsidP="007F6E57">
            <w:pPr>
              <w:widowControl w:val="0"/>
              <w:jc w:val="both"/>
              <w:rPr>
                <w:sz w:val="20"/>
                <w:szCs w:val="20"/>
              </w:rPr>
            </w:pPr>
            <w:r w:rsidRPr="005147F9">
              <w:rPr>
                <w:rFonts w:eastAsia="Calibri" w:cs="Times New Roman"/>
                <w:b/>
                <w:sz w:val="20"/>
                <w:szCs w:val="20"/>
              </w:rPr>
              <w:t>Peter Garfield Taylor (N.L.) (Criminal) (As of Right)</w:t>
            </w:r>
          </w:p>
        </w:tc>
        <w:tc>
          <w:tcPr>
            <w:tcW w:w="720" w:type="dxa"/>
            <w:tcMar>
              <w:left w:w="0" w:type="dxa"/>
              <w:right w:w="0" w:type="dxa"/>
            </w:tcMar>
          </w:tcPr>
          <w:p w:rsidR="002A27D1" w:rsidRPr="0093057E" w:rsidRDefault="002A27D1" w:rsidP="002A4AFA">
            <w:pPr>
              <w:widowControl w:val="0"/>
              <w:jc w:val="center"/>
              <w:rPr>
                <w:sz w:val="20"/>
                <w:szCs w:val="20"/>
              </w:rPr>
            </w:pPr>
          </w:p>
        </w:tc>
        <w:tc>
          <w:tcPr>
            <w:tcW w:w="4380" w:type="dxa"/>
            <w:tcMar>
              <w:left w:w="0" w:type="dxa"/>
              <w:right w:w="0" w:type="dxa"/>
            </w:tcMar>
          </w:tcPr>
          <w:p w:rsidR="00AE1683" w:rsidRPr="00747A5D" w:rsidRDefault="00AE1683" w:rsidP="00AE1683">
            <w:pPr>
              <w:jc w:val="both"/>
              <w:rPr>
                <w:sz w:val="20"/>
                <w:szCs w:val="20"/>
              </w:rPr>
            </w:pPr>
            <w:r w:rsidRPr="00747A5D">
              <w:rPr>
                <w:sz w:val="20"/>
                <w:szCs w:val="20"/>
              </w:rPr>
              <w:t>Vikas Khaladkar</w:t>
            </w:r>
            <w:r>
              <w:rPr>
                <w:sz w:val="20"/>
                <w:szCs w:val="20"/>
              </w:rPr>
              <w:t xml:space="preserve"> f</w:t>
            </w:r>
            <w:r w:rsidRPr="00747A5D">
              <w:rPr>
                <w:sz w:val="20"/>
                <w:szCs w:val="20"/>
              </w:rPr>
              <w:t xml:space="preserve">or the </w:t>
            </w:r>
            <w:r>
              <w:rPr>
                <w:sz w:val="20"/>
                <w:szCs w:val="20"/>
              </w:rPr>
              <w:t>a</w:t>
            </w:r>
            <w:r w:rsidRPr="00747A5D">
              <w:rPr>
                <w:sz w:val="20"/>
                <w:szCs w:val="20"/>
              </w:rPr>
              <w:t>ppellant.</w:t>
            </w:r>
          </w:p>
          <w:p w:rsidR="00AE1683" w:rsidRPr="00747A5D" w:rsidRDefault="00AE1683" w:rsidP="00AE1683">
            <w:pPr>
              <w:jc w:val="both"/>
              <w:rPr>
                <w:sz w:val="20"/>
                <w:szCs w:val="20"/>
              </w:rPr>
            </w:pPr>
          </w:p>
          <w:p w:rsidR="00AE1683" w:rsidRPr="00747A5D" w:rsidRDefault="00AE1683" w:rsidP="00AE1683">
            <w:pPr>
              <w:jc w:val="both"/>
              <w:rPr>
                <w:sz w:val="20"/>
                <w:szCs w:val="20"/>
              </w:rPr>
            </w:pPr>
            <w:r w:rsidRPr="00747A5D">
              <w:rPr>
                <w:sz w:val="20"/>
                <w:szCs w:val="20"/>
              </w:rPr>
              <w:t>Derek J. Hogan</w:t>
            </w:r>
            <w:r>
              <w:rPr>
                <w:sz w:val="20"/>
                <w:szCs w:val="20"/>
              </w:rPr>
              <w:t xml:space="preserve"> f</w:t>
            </w:r>
            <w:r w:rsidRPr="00747A5D">
              <w:rPr>
                <w:sz w:val="20"/>
                <w:szCs w:val="20"/>
              </w:rPr>
              <w:t xml:space="preserve">or the </w:t>
            </w:r>
            <w:r>
              <w:rPr>
                <w:sz w:val="20"/>
                <w:szCs w:val="20"/>
              </w:rPr>
              <w:t>r</w:t>
            </w:r>
            <w:r w:rsidRPr="00747A5D">
              <w:rPr>
                <w:sz w:val="20"/>
                <w:szCs w:val="20"/>
              </w:rPr>
              <w:t>espondent.</w:t>
            </w:r>
          </w:p>
          <w:p w:rsidR="002A27D1" w:rsidRPr="00C50A5C" w:rsidRDefault="002A27D1" w:rsidP="002A4AFA">
            <w:pPr>
              <w:widowControl w:val="0"/>
              <w:jc w:val="both"/>
              <w:rPr>
                <w:sz w:val="20"/>
                <w:szCs w:val="20"/>
              </w:rPr>
            </w:pPr>
          </w:p>
        </w:tc>
      </w:tr>
    </w:tbl>
    <w:p w:rsidR="002A27D1" w:rsidRDefault="002A27D1" w:rsidP="002A27D1">
      <w:pPr>
        <w:widowControl w:val="0"/>
        <w:rPr>
          <w:sz w:val="20"/>
          <w:szCs w:val="20"/>
        </w:rPr>
      </w:pPr>
    </w:p>
    <w:p w:rsidR="002A27D1" w:rsidRPr="00E829A1" w:rsidRDefault="002A27D1" w:rsidP="002A27D1">
      <w:pPr>
        <w:rPr>
          <w:rFonts w:eastAsia="Calibri" w:cs="Times New Roman"/>
          <w:b/>
          <w:bCs/>
          <w:sz w:val="20"/>
          <w:szCs w:val="20"/>
          <w:lang w:val="fr-CA"/>
        </w:rPr>
      </w:pPr>
      <w:r w:rsidRPr="00E829A1">
        <w:rPr>
          <w:rFonts w:eastAsia="Calibri" w:cs="Times New Roman"/>
          <w:b/>
          <w:bCs/>
          <w:sz w:val="20"/>
          <w:szCs w:val="20"/>
          <w:lang w:val="fr-CA"/>
        </w:rPr>
        <w:t>201</w:t>
      </w:r>
      <w:r w:rsidR="007F6E57">
        <w:rPr>
          <w:rFonts w:eastAsia="Calibri" w:cs="Times New Roman"/>
          <w:b/>
          <w:bCs/>
          <w:sz w:val="20"/>
          <w:szCs w:val="20"/>
          <w:lang w:val="fr-CA"/>
        </w:rPr>
        <w:t>3</w:t>
      </w:r>
      <w:r w:rsidRPr="00E829A1">
        <w:rPr>
          <w:rFonts w:eastAsia="Calibri" w:cs="Times New Roman"/>
          <w:b/>
          <w:bCs/>
          <w:sz w:val="20"/>
          <w:szCs w:val="20"/>
          <w:lang w:val="fr-CA"/>
        </w:rPr>
        <w:t xml:space="preserve"> </w:t>
      </w:r>
      <w:r w:rsidRPr="00E829A1">
        <w:rPr>
          <w:rFonts w:eastAsia="Calibri" w:cs="Times New Roman"/>
          <w:b/>
          <w:bCs/>
          <w:sz w:val="20"/>
          <w:szCs w:val="20"/>
        </w:rPr>
        <w:t xml:space="preserve">SCC </w:t>
      </w:r>
      <w:r w:rsidR="007F6E57">
        <w:rPr>
          <w:rFonts w:eastAsia="Calibri" w:cs="Times New Roman"/>
          <w:b/>
          <w:bCs/>
          <w:sz w:val="20"/>
          <w:szCs w:val="20"/>
        </w:rPr>
        <w:t>10</w:t>
      </w:r>
      <w:r w:rsidRPr="00E829A1">
        <w:rPr>
          <w:rFonts w:eastAsia="Calibri" w:cs="Times New Roman"/>
          <w:b/>
          <w:bCs/>
          <w:sz w:val="20"/>
          <w:szCs w:val="20"/>
          <w:lang w:val="fr-CA"/>
        </w:rPr>
        <w:t xml:space="preserve"> / 201</w:t>
      </w:r>
      <w:r w:rsidR="007F6E57">
        <w:rPr>
          <w:rFonts w:eastAsia="Calibri" w:cs="Times New Roman"/>
          <w:b/>
          <w:bCs/>
          <w:sz w:val="20"/>
          <w:szCs w:val="20"/>
          <w:lang w:val="fr-CA"/>
        </w:rPr>
        <w:t>3</w:t>
      </w:r>
      <w:r w:rsidRPr="00E829A1">
        <w:rPr>
          <w:rFonts w:eastAsia="Calibri" w:cs="Times New Roman"/>
          <w:b/>
          <w:bCs/>
          <w:sz w:val="20"/>
          <w:szCs w:val="20"/>
          <w:lang w:val="fr-CA"/>
        </w:rPr>
        <w:t xml:space="preserve"> CSC </w:t>
      </w:r>
      <w:r w:rsidR="007F6E57">
        <w:rPr>
          <w:rFonts w:eastAsia="Calibri" w:cs="Times New Roman"/>
          <w:b/>
          <w:bCs/>
          <w:sz w:val="20"/>
          <w:szCs w:val="20"/>
          <w:lang w:val="fr-CA"/>
        </w:rPr>
        <w:t>10</w:t>
      </w:r>
    </w:p>
    <w:p w:rsidR="002A27D1" w:rsidRDefault="002A27D1" w:rsidP="002A27D1">
      <w:pPr>
        <w:widowControl w:val="0"/>
        <w:rPr>
          <w:sz w:val="20"/>
          <w:szCs w:val="20"/>
        </w:rPr>
      </w:pPr>
    </w:p>
    <w:p w:rsidR="002A27D1" w:rsidRPr="0085476B" w:rsidRDefault="002A27D1" w:rsidP="002A27D1">
      <w:pPr>
        <w:widowControl w:val="0"/>
        <w:rPr>
          <w:sz w:val="20"/>
          <w:szCs w:val="20"/>
        </w:rPr>
      </w:pPr>
      <w:r>
        <w:rPr>
          <w:b/>
          <w:sz w:val="20"/>
          <w:szCs w:val="20"/>
        </w:rPr>
        <w:t>ALLOW</w:t>
      </w:r>
      <w:r w:rsidRPr="0085476B">
        <w:rPr>
          <w:b/>
          <w:sz w:val="20"/>
          <w:szCs w:val="20"/>
        </w:rPr>
        <w:t xml:space="preserve">ED / </w:t>
      </w:r>
      <w:r>
        <w:rPr>
          <w:b/>
          <w:sz w:val="20"/>
          <w:szCs w:val="20"/>
        </w:rPr>
        <w:t>ACCU</w:t>
      </w:r>
      <w:r w:rsidRPr="0085476B">
        <w:rPr>
          <w:b/>
          <w:sz w:val="20"/>
          <w:szCs w:val="20"/>
          <w:lang w:val="fr-CA"/>
        </w:rPr>
        <w:t>EI</w:t>
      </w:r>
      <w:r>
        <w:rPr>
          <w:b/>
          <w:sz w:val="20"/>
          <w:szCs w:val="20"/>
          <w:lang w:val="fr-CA"/>
        </w:rPr>
        <w:t>LLI</w:t>
      </w:r>
    </w:p>
    <w:p w:rsidR="002A27D1" w:rsidRDefault="002A27D1" w:rsidP="002A27D1"/>
    <w:tbl>
      <w:tblPr>
        <w:tblW w:w="0" w:type="auto"/>
        <w:tblLayout w:type="fixed"/>
        <w:tblCellMar>
          <w:left w:w="0" w:type="dxa"/>
          <w:right w:w="0" w:type="dxa"/>
        </w:tblCellMar>
        <w:tblLook w:val="0000"/>
      </w:tblPr>
      <w:tblGrid>
        <w:gridCol w:w="4380"/>
        <w:gridCol w:w="720"/>
        <w:gridCol w:w="4380"/>
      </w:tblGrid>
      <w:tr w:rsidR="002A27D1" w:rsidRPr="00B07D2C" w:rsidTr="002A4AFA">
        <w:tc>
          <w:tcPr>
            <w:tcW w:w="4380" w:type="dxa"/>
            <w:tcMar>
              <w:left w:w="0" w:type="dxa"/>
              <w:right w:w="0" w:type="dxa"/>
            </w:tcMar>
          </w:tcPr>
          <w:p w:rsidR="002A27D1" w:rsidRPr="00CC4D84" w:rsidRDefault="002A27D1" w:rsidP="002A4AFA">
            <w:pPr>
              <w:widowControl w:val="0"/>
              <w:jc w:val="both"/>
              <w:rPr>
                <w:b/>
                <w:sz w:val="20"/>
                <w:szCs w:val="20"/>
                <w:u w:val="single"/>
              </w:rPr>
            </w:pPr>
            <w:r>
              <w:rPr>
                <w:b/>
                <w:sz w:val="20"/>
                <w:szCs w:val="20"/>
                <w:u w:val="single"/>
              </w:rPr>
              <w:t>JUDGMENT</w:t>
            </w:r>
            <w:r w:rsidRPr="00CC4D84">
              <w:rPr>
                <w:b/>
                <w:sz w:val="20"/>
                <w:szCs w:val="20"/>
                <w:u w:val="single"/>
              </w:rPr>
              <w:t>:</w:t>
            </w:r>
          </w:p>
          <w:p w:rsidR="002A27D1" w:rsidRPr="001A663B" w:rsidRDefault="002A27D1" w:rsidP="002A4AFA">
            <w:pPr>
              <w:widowControl w:val="0"/>
              <w:jc w:val="both"/>
              <w:rPr>
                <w:b/>
                <w:sz w:val="20"/>
                <w:szCs w:val="20"/>
              </w:rPr>
            </w:pPr>
          </w:p>
          <w:p w:rsidR="007F6E57" w:rsidRPr="00E210E2" w:rsidRDefault="007F6E57" w:rsidP="007F6E57">
            <w:pPr>
              <w:jc w:val="both"/>
              <w:rPr>
                <w:sz w:val="20"/>
                <w:szCs w:val="20"/>
              </w:rPr>
            </w:pPr>
            <w:r w:rsidRPr="00E210E2">
              <w:rPr>
                <w:sz w:val="20"/>
                <w:szCs w:val="20"/>
              </w:rPr>
              <w:t>The appeal from the judgment of the Court of Appeal for Newfoundland and Labrador, Number 11/56, 2012 NLCA 33, dated June 13, 2012, was heard on February 22, 2013, and the Court on that day delivered the following judgment orally:</w:t>
            </w:r>
          </w:p>
          <w:p w:rsidR="007F6E57" w:rsidRPr="00E210E2" w:rsidRDefault="007F6E57" w:rsidP="007F6E57">
            <w:pPr>
              <w:jc w:val="both"/>
              <w:rPr>
                <w:sz w:val="20"/>
                <w:szCs w:val="20"/>
              </w:rPr>
            </w:pPr>
          </w:p>
          <w:p w:rsidR="007F6E57" w:rsidRPr="00E210E2" w:rsidRDefault="007F6E57" w:rsidP="007F6E57">
            <w:pPr>
              <w:jc w:val="both"/>
              <w:rPr>
                <w:smallCaps/>
                <w:sz w:val="20"/>
                <w:szCs w:val="20"/>
              </w:rPr>
            </w:pPr>
          </w:p>
          <w:p w:rsidR="002A27D1" w:rsidRPr="00C1697B" w:rsidRDefault="007F6E57" w:rsidP="007F6E57">
            <w:pPr>
              <w:jc w:val="both"/>
              <w:rPr>
                <w:b/>
                <w:sz w:val="20"/>
                <w:szCs w:val="20"/>
              </w:rPr>
            </w:pPr>
            <w:r w:rsidRPr="00E210E2">
              <w:rPr>
                <w:smallCaps/>
                <w:sz w:val="20"/>
                <w:szCs w:val="20"/>
              </w:rPr>
              <w:t xml:space="preserve">Fish J. </w:t>
            </w:r>
            <w:r w:rsidRPr="00E210E2">
              <w:rPr>
                <w:sz w:val="20"/>
                <w:szCs w:val="20"/>
              </w:rPr>
              <w:t>— The appeal is allowed for the reasons given by Hoegg J.A. in the Court of Appeal and the conviction entered by the trial judge is restored.  Fish and Cromwell JJ., dissenting, would have affirmed the judgment of the Court of Appeal ordering a new trial.</w:t>
            </w:r>
          </w:p>
        </w:tc>
        <w:tc>
          <w:tcPr>
            <w:tcW w:w="720" w:type="dxa"/>
            <w:tcMar>
              <w:left w:w="0" w:type="dxa"/>
              <w:right w:w="0" w:type="dxa"/>
            </w:tcMar>
          </w:tcPr>
          <w:p w:rsidR="002A27D1" w:rsidRPr="00C1697B" w:rsidRDefault="002A27D1" w:rsidP="002A4AFA">
            <w:pPr>
              <w:widowControl w:val="0"/>
              <w:jc w:val="center"/>
              <w:rPr>
                <w:sz w:val="20"/>
                <w:szCs w:val="20"/>
              </w:rPr>
            </w:pPr>
          </w:p>
        </w:tc>
        <w:tc>
          <w:tcPr>
            <w:tcW w:w="4380" w:type="dxa"/>
            <w:tcMar>
              <w:left w:w="0" w:type="dxa"/>
              <w:right w:w="0" w:type="dxa"/>
            </w:tcMar>
          </w:tcPr>
          <w:p w:rsidR="002A27D1" w:rsidRPr="00CC4D84" w:rsidRDefault="002A27D1" w:rsidP="002A4AFA">
            <w:pPr>
              <w:widowControl w:val="0"/>
              <w:jc w:val="both"/>
              <w:rPr>
                <w:b/>
                <w:sz w:val="20"/>
                <w:szCs w:val="20"/>
                <w:u w:val="single"/>
                <w:lang w:val="fr-CA"/>
              </w:rPr>
            </w:pPr>
            <w:r>
              <w:rPr>
                <w:b/>
                <w:sz w:val="20"/>
                <w:szCs w:val="20"/>
                <w:u w:val="single"/>
                <w:lang w:val="fr-CA"/>
              </w:rPr>
              <w:t>JUGEMENT</w:t>
            </w:r>
            <w:r w:rsidRPr="00CC4D84">
              <w:rPr>
                <w:b/>
                <w:sz w:val="20"/>
                <w:szCs w:val="20"/>
                <w:u w:val="single"/>
                <w:lang w:val="fr-CA"/>
              </w:rPr>
              <w:t xml:space="preserve"> :</w:t>
            </w:r>
          </w:p>
          <w:p w:rsidR="002A27D1" w:rsidRPr="00C1697B" w:rsidRDefault="002A27D1" w:rsidP="002A4AFA">
            <w:pPr>
              <w:widowControl w:val="0"/>
              <w:jc w:val="both"/>
              <w:rPr>
                <w:sz w:val="20"/>
                <w:szCs w:val="20"/>
                <w:lang w:val="fr-CA"/>
              </w:rPr>
            </w:pPr>
          </w:p>
          <w:p w:rsidR="007F6E57" w:rsidRPr="00E210E2" w:rsidRDefault="007F6E57" w:rsidP="007F6E57">
            <w:pPr>
              <w:jc w:val="both"/>
              <w:rPr>
                <w:sz w:val="20"/>
                <w:szCs w:val="20"/>
                <w:lang w:val="fr-CA"/>
              </w:rPr>
            </w:pPr>
            <w:r w:rsidRPr="00E210E2">
              <w:rPr>
                <w:sz w:val="20"/>
                <w:szCs w:val="20"/>
                <w:lang w:val="fr-CA"/>
              </w:rPr>
              <w:t>L’appel interjeté contre l’arrêt de la Cour d’appel de Terre-Neuve-et-Labrador, numéro 11/56, 2012 NLCA 33, en date du 13 juin 2012, a été entendu le 22 février 2013, et la Cour a prononcé oralement le même jour le jugement suivant :</w:t>
            </w:r>
          </w:p>
          <w:p w:rsidR="007F6E57" w:rsidRPr="00E210E2" w:rsidRDefault="007F6E57" w:rsidP="007F6E57">
            <w:pPr>
              <w:jc w:val="both"/>
              <w:rPr>
                <w:sz w:val="20"/>
                <w:szCs w:val="20"/>
                <w:lang w:val="fr-CA"/>
              </w:rPr>
            </w:pPr>
          </w:p>
          <w:p w:rsidR="007F6E57" w:rsidRPr="00E210E2" w:rsidRDefault="007F6E57" w:rsidP="007F6E57">
            <w:pPr>
              <w:jc w:val="both"/>
              <w:rPr>
                <w:rFonts w:asciiTheme="minorBidi" w:hAnsiTheme="minorBidi"/>
                <w:sz w:val="20"/>
                <w:szCs w:val="20"/>
                <w:lang w:val="fr-CA"/>
              </w:rPr>
            </w:pPr>
            <w:r w:rsidRPr="00E210E2">
              <w:rPr>
                <w:rFonts w:cs="Times New Roman"/>
                <w:sz w:val="20"/>
                <w:szCs w:val="20"/>
                <w:lang w:val="fr-CA"/>
              </w:rPr>
              <w:t>[TRADUCTION</w:t>
            </w:r>
            <w:r w:rsidRPr="00E210E2">
              <w:rPr>
                <w:rFonts w:asciiTheme="minorBidi" w:hAnsiTheme="minorBidi"/>
                <w:sz w:val="20"/>
                <w:szCs w:val="20"/>
                <w:lang w:val="fr-CA"/>
              </w:rPr>
              <w:t>]</w:t>
            </w:r>
          </w:p>
          <w:p w:rsidR="002A27D1" w:rsidRPr="00C1697B" w:rsidRDefault="007F6E57" w:rsidP="007F6E57">
            <w:pPr>
              <w:jc w:val="both"/>
              <w:rPr>
                <w:sz w:val="20"/>
                <w:szCs w:val="20"/>
                <w:lang w:val="fr-CA"/>
              </w:rPr>
            </w:pPr>
            <w:r w:rsidRPr="00E210E2">
              <w:rPr>
                <w:rFonts w:asciiTheme="minorBidi" w:hAnsiTheme="minorBidi"/>
                <w:smallCaps/>
                <w:sz w:val="20"/>
                <w:szCs w:val="20"/>
                <w:lang w:val="fr-CA"/>
              </w:rPr>
              <w:t>Le Juge Fish</w:t>
            </w:r>
            <w:r w:rsidRPr="00E210E2">
              <w:rPr>
                <w:rFonts w:asciiTheme="minorBidi" w:hAnsiTheme="minorBidi"/>
                <w:sz w:val="20"/>
                <w:szCs w:val="20"/>
                <w:lang w:val="fr-CA"/>
              </w:rPr>
              <w:t xml:space="preserve"> — Le pourvoi est accueilli, pour les motifs exposés par la juge Hoegg de la Cour d’appel, et la déclaration de culpabilité prononcée par le juge du procès est rétablie. Les juges Fish et Cromwell, dissidents, auraient confirmé l’arrêt de la Cour d’appel ordonnant la tenue d’un nouveau procès.</w:t>
            </w:r>
          </w:p>
        </w:tc>
      </w:tr>
    </w:tbl>
    <w:p w:rsidR="002A27D1" w:rsidRPr="00DE1CAD" w:rsidRDefault="002A27D1" w:rsidP="002A27D1">
      <w:pPr>
        <w:rPr>
          <w:lang w:val="fr-CA"/>
        </w:rPr>
      </w:pPr>
    </w:p>
    <w:tbl>
      <w:tblPr>
        <w:tblW w:w="0" w:type="auto"/>
        <w:tblLayout w:type="fixed"/>
        <w:tblCellMar>
          <w:left w:w="0" w:type="dxa"/>
          <w:right w:w="0" w:type="dxa"/>
        </w:tblCellMar>
        <w:tblLook w:val="0000"/>
      </w:tblPr>
      <w:tblGrid>
        <w:gridCol w:w="4380"/>
        <w:gridCol w:w="720"/>
        <w:gridCol w:w="4380"/>
      </w:tblGrid>
      <w:tr w:rsidR="002A27D1" w:rsidRPr="00B07D2C" w:rsidTr="002A4AFA">
        <w:tc>
          <w:tcPr>
            <w:tcW w:w="4380" w:type="dxa"/>
            <w:tcMar>
              <w:left w:w="0" w:type="dxa"/>
              <w:right w:w="0" w:type="dxa"/>
            </w:tcMar>
          </w:tcPr>
          <w:p w:rsidR="002A27D1" w:rsidRPr="00CC4D84" w:rsidRDefault="002A27D1" w:rsidP="002A4AFA">
            <w:pPr>
              <w:widowControl w:val="0"/>
              <w:jc w:val="both"/>
              <w:rPr>
                <w:b/>
                <w:sz w:val="20"/>
                <w:szCs w:val="20"/>
                <w:u w:val="single"/>
              </w:rPr>
            </w:pPr>
            <w:r w:rsidRPr="00CC4D84">
              <w:rPr>
                <w:b/>
                <w:sz w:val="20"/>
                <w:szCs w:val="20"/>
                <w:u w:val="single"/>
              </w:rPr>
              <w:t>Nature of the case:</w:t>
            </w:r>
          </w:p>
          <w:p w:rsidR="002A27D1" w:rsidRPr="001A663B" w:rsidRDefault="002A27D1" w:rsidP="002A4AFA">
            <w:pPr>
              <w:widowControl w:val="0"/>
              <w:jc w:val="both"/>
              <w:rPr>
                <w:b/>
                <w:sz w:val="20"/>
                <w:szCs w:val="20"/>
              </w:rPr>
            </w:pPr>
          </w:p>
          <w:p w:rsidR="00D762AB" w:rsidRPr="00F34FFA" w:rsidRDefault="00D762AB" w:rsidP="00D762AB">
            <w:pPr>
              <w:widowControl w:val="0"/>
              <w:jc w:val="both"/>
              <w:rPr>
                <w:smallCaps/>
                <w:sz w:val="20"/>
                <w:szCs w:val="20"/>
              </w:rPr>
            </w:pPr>
            <w:r w:rsidRPr="00F34FFA">
              <w:rPr>
                <w:smallCaps/>
                <w:sz w:val="20"/>
                <w:szCs w:val="20"/>
              </w:rPr>
              <w:t xml:space="preserve">(Publication </w:t>
            </w:r>
            <w:r>
              <w:rPr>
                <w:smallCaps/>
                <w:sz w:val="20"/>
                <w:szCs w:val="20"/>
              </w:rPr>
              <w:t>B</w:t>
            </w:r>
            <w:r w:rsidRPr="00F34FFA">
              <w:rPr>
                <w:smallCaps/>
                <w:sz w:val="20"/>
                <w:szCs w:val="20"/>
              </w:rPr>
              <w:t xml:space="preserve">an in </w:t>
            </w:r>
            <w:r>
              <w:rPr>
                <w:smallCaps/>
                <w:sz w:val="20"/>
                <w:szCs w:val="20"/>
              </w:rPr>
              <w:t>C</w:t>
            </w:r>
            <w:r w:rsidRPr="00F34FFA">
              <w:rPr>
                <w:smallCaps/>
                <w:sz w:val="20"/>
                <w:szCs w:val="20"/>
              </w:rPr>
              <w:t xml:space="preserve">ase) </w:t>
            </w:r>
          </w:p>
          <w:p w:rsidR="00D762AB" w:rsidRPr="00F34FFA" w:rsidRDefault="00D762AB" w:rsidP="00D762AB">
            <w:pPr>
              <w:widowControl w:val="0"/>
              <w:jc w:val="both"/>
              <w:rPr>
                <w:smallCaps/>
                <w:sz w:val="20"/>
                <w:szCs w:val="20"/>
              </w:rPr>
            </w:pPr>
          </w:p>
          <w:p w:rsidR="00D762AB" w:rsidRDefault="00D762AB" w:rsidP="00D762AB">
            <w:pPr>
              <w:widowControl w:val="0"/>
              <w:jc w:val="both"/>
              <w:rPr>
                <w:sz w:val="20"/>
                <w:szCs w:val="20"/>
              </w:rPr>
            </w:pPr>
          </w:p>
          <w:p w:rsidR="002A27D1" w:rsidRPr="00C1697B" w:rsidRDefault="00D762AB" w:rsidP="00D762AB">
            <w:pPr>
              <w:widowControl w:val="0"/>
              <w:jc w:val="both"/>
              <w:rPr>
                <w:b/>
                <w:sz w:val="20"/>
                <w:szCs w:val="20"/>
              </w:rPr>
            </w:pPr>
            <w:r w:rsidRPr="00F34FFA">
              <w:rPr>
                <w:sz w:val="20"/>
                <w:szCs w:val="20"/>
              </w:rPr>
              <w:t xml:space="preserve">Criminal law </w:t>
            </w:r>
            <w:r w:rsidRPr="00F34FFA">
              <w:rPr>
                <w:sz w:val="20"/>
                <w:szCs w:val="20"/>
              </w:rPr>
              <w:noBreakHyphen/>
              <w:t xml:space="preserve"> Evidence </w:t>
            </w:r>
            <w:r w:rsidRPr="00F34FFA">
              <w:rPr>
                <w:sz w:val="20"/>
                <w:szCs w:val="20"/>
              </w:rPr>
              <w:noBreakHyphen/>
              <w:t xml:space="preserve"> Assessment </w:t>
            </w:r>
            <w:r w:rsidRPr="00F34FFA">
              <w:rPr>
                <w:sz w:val="20"/>
                <w:szCs w:val="20"/>
              </w:rPr>
              <w:noBreakHyphen/>
              <w:t xml:space="preserve"> Accused convicted of sexual assault and unlawful confinement </w:t>
            </w:r>
            <w:r w:rsidRPr="00F34FFA">
              <w:rPr>
                <w:sz w:val="20"/>
                <w:szCs w:val="20"/>
              </w:rPr>
              <w:noBreakHyphen/>
              <w:t xml:space="preserve"> Trial judge rejecting evidence of witness as being fabrication </w:t>
            </w:r>
            <w:r w:rsidRPr="00F34FFA">
              <w:rPr>
                <w:sz w:val="20"/>
                <w:szCs w:val="20"/>
              </w:rPr>
              <w:noBreakHyphen/>
              <w:t xml:space="preserve"> Whether trial judge erred in his assessment of the evidence of the witness </w:t>
            </w:r>
            <w:r w:rsidRPr="00F34FFA">
              <w:rPr>
                <w:sz w:val="20"/>
                <w:szCs w:val="20"/>
              </w:rPr>
              <w:noBreakHyphen/>
              <w:t xml:space="preserve"> Whether trial judge misapprehended the trial evidence as a whole.</w:t>
            </w:r>
          </w:p>
        </w:tc>
        <w:tc>
          <w:tcPr>
            <w:tcW w:w="720" w:type="dxa"/>
            <w:tcMar>
              <w:left w:w="0" w:type="dxa"/>
              <w:right w:w="0" w:type="dxa"/>
            </w:tcMar>
          </w:tcPr>
          <w:p w:rsidR="002A27D1" w:rsidRPr="00C1697B" w:rsidRDefault="002A27D1" w:rsidP="002A4AFA">
            <w:pPr>
              <w:widowControl w:val="0"/>
              <w:jc w:val="center"/>
              <w:rPr>
                <w:sz w:val="20"/>
                <w:szCs w:val="20"/>
              </w:rPr>
            </w:pPr>
          </w:p>
        </w:tc>
        <w:tc>
          <w:tcPr>
            <w:tcW w:w="4380" w:type="dxa"/>
            <w:tcMar>
              <w:left w:w="0" w:type="dxa"/>
              <w:right w:w="0" w:type="dxa"/>
            </w:tcMar>
          </w:tcPr>
          <w:p w:rsidR="002A27D1" w:rsidRPr="00CC4D84" w:rsidRDefault="002A27D1" w:rsidP="002A4AFA">
            <w:pPr>
              <w:widowControl w:val="0"/>
              <w:jc w:val="both"/>
              <w:rPr>
                <w:b/>
                <w:sz w:val="20"/>
                <w:szCs w:val="20"/>
                <w:u w:val="single"/>
                <w:lang w:val="fr-CA"/>
              </w:rPr>
            </w:pPr>
            <w:r w:rsidRPr="00CC4D84">
              <w:rPr>
                <w:b/>
                <w:sz w:val="20"/>
                <w:szCs w:val="20"/>
                <w:u w:val="single"/>
                <w:lang w:val="fr-CA"/>
              </w:rPr>
              <w:t>Nature de la cause :</w:t>
            </w:r>
          </w:p>
          <w:p w:rsidR="002A27D1" w:rsidRPr="00C1697B" w:rsidRDefault="002A27D1" w:rsidP="002A4AFA">
            <w:pPr>
              <w:widowControl w:val="0"/>
              <w:jc w:val="both"/>
              <w:rPr>
                <w:sz w:val="20"/>
                <w:szCs w:val="20"/>
                <w:lang w:val="fr-CA"/>
              </w:rPr>
            </w:pPr>
          </w:p>
          <w:p w:rsidR="00D762AB" w:rsidRPr="00C713B4" w:rsidRDefault="00D762AB" w:rsidP="00D762AB">
            <w:pPr>
              <w:widowControl w:val="0"/>
              <w:jc w:val="both"/>
              <w:rPr>
                <w:smallCaps/>
                <w:sz w:val="20"/>
                <w:szCs w:val="20"/>
                <w:lang w:val="fr-CA"/>
              </w:rPr>
            </w:pPr>
            <w:r w:rsidRPr="00C713B4">
              <w:rPr>
                <w:smallCaps/>
                <w:sz w:val="20"/>
                <w:szCs w:val="20"/>
                <w:lang w:val="fr-CA"/>
              </w:rPr>
              <w:t xml:space="preserve">(Ordonnance de non-publication dans le dossier) </w:t>
            </w:r>
          </w:p>
          <w:p w:rsidR="00D762AB" w:rsidRPr="00C713B4" w:rsidRDefault="00D762AB" w:rsidP="00D762AB">
            <w:pPr>
              <w:widowControl w:val="0"/>
              <w:jc w:val="both"/>
              <w:rPr>
                <w:smallCaps/>
                <w:sz w:val="20"/>
                <w:szCs w:val="20"/>
                <w:lang w:val="fr-CA"/>
              </w:rPr>
            </w:pPr>
          </w:p>
          <w:p w:rsidR="002A27D1" w:rsidRPr="00C1697B" w:rsidRDefault="00D762AB" w:rsidP="00D762AB">
            <w:pPr>
              <w:widowControl w:val="0"/>
              <w:jc w:val="both"/>
              <w:rPr>
                <w:sz w:val="20"/>
                <w:szCs w:val="20"/>
                <w:lang w:val="fr-CA"/>
              </w:rPr>
            </w:pPr>
            <w:r w:rsidRPr="00C713B4">
              <w:rPr>
                <w:sz w:val="20"/>
                <w:szCs w:val="20"/>
                <w:lang w:val="fr-CA"/>
              </w:rPr>
              <w:t>Droit criminel - Preuve - Appréciation - L’accusé a été déclaré coupable d’agression sexuelle et de séquestration - Le juge du procès a rejeté un témoignage comme étant une fabrication - Le juge du procès s’est-il trompé dans son appréciation du témoignage? - Le juge du procès a-t-il mal interprété la preuve au procès dans son ensemble?</w:t>
            </w:r>
          </w:p>
        </w:tc>
      </w:tr>
    </w:tbl>
    <w:p w:rsidR="002A27D1" w:rsidRDefault="002A27D1" w:rsidP="002A27D1">
      <w:pPr>
        <w:widowControl w:val="0"/>
        <w:rPr>
          <w:sz w:val="20"/>
          <w:szCs w:val="20"/>
          <w:lang w:val="fr-CA"/>
        </w:rPr>
      </w:pPr>
    </w:p>
    <w:p w:rsidR="00E940EB" w:rsidRPr="00C1697B" w:rsidRDefault="00CB0178" w:rsidP="00732DB7">
      <w:pPr>
        <w:widowControl w:val="0"/>
        <w:rPr>
          <w:sz w:val="20"/>
          <w:szCs w:val="20"/>
          <w:lang w:val="fr-CA"/>
        </w:rPr>
      </w:pPr>
      <w:r w:rsidRPr="00CB0178">
        <w:rPr>
          <w:sz w:val="20"/>
          <w:szCs w:val="20"/>
          <w:lang w:val="fr-CA"/>
        </w:rPr>
        <w:pict>
          <v:rect id="_x0000_i1065" style="width:2in;height:1pt" o:hrpct="0" o:hralign="center" o:hrstd="t" o:hrnoshade="t" o:hr="t" fillcolor="black [3213]" stroked="f"/>
        </w:pict>
      </w: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B07D2C"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A91120" w:rsidP="00AF1715">
      <w:pPr>
        <w:rPr>
          <w:b/>
          <w:sz w:val="20"/>
          <w:szCs w:val="20"/>
        </w:rPr>
      </w:pPr>
      <w:r>
        <w:rPr>
          <w:b/>
          <w:sz w:val="20"/>
          <w:szCs w:val="20"/>
        </w:rPr>
        <w:t xml:space="preserve">FEBRUARY </w:t>
      </w:r>
      <w:r w:rsidR="004E1E0A">
        <w:rPr>
          <w:b/>
          <w:sz w:val="20"/>
          <w:szCs w:val="20"/>
        </w:rPr>
        <w:t>2</w:t>
      </w:r>
      <w:r>
        <w:rPr>
          <w:b/>
          <w:sz w:val="20"/>
          <w:szCs w:val="20"/>
        </w:rPr>
        <w:t>7</w:t>
      </w:r>
      <w:r w:rsidR="00AF1715" w:rsidRPr="003B3977">
        <w:rPr>
          <w:b/>
          <w:sz w:val="20"/>
          <w:szCs w:val="20"/>
        </w:rPr>
        <w:t>, 201</w:t>
      </w:r>
      <w:r>
        <w:rPr>
          <w:b/>
          <w:sz w:val="20"/>
          <w:szCs w:val="20"/>
        </w:rPr>
        <w:t>3</w:t>
      </w:r>
      <w:r w:rsidR="00AF1715" w:rsidRPr="003B3977">
        <w:rPr>
          <w:b/>
          <w:sz w:val="20"/>
          <w:szCs w:val="20"/>
        </w:rPr>
        <w:t xml:space="preserve"> / LE </w:t>
      </w:r>
      <w:r w:rsidR="004E1E0A">
        <w:rPr>
          <w:b/>
          <w:sz w:val="20"/>
          <w:szCs w:val="20"/>
        </w:rPr>
        <w:t>2</w:t>
      </w:r>
      <w:r>
        <w:rPr>
          <w:b/>
          <w:sz w:val="20"/>
          <w:szCs w:val="20"/>
        </w:rPr>
        <w:t>7</w:t>
      </w:r>
      <w:r w:rsidR="00AF1715" w:rsidRPr="003B3977">
        <w:rPr>
          <w:b/>
          <w:sz w:val="20"/>
          <w:szCs w:val="20"/>
        </w:rPr>
        <w:t xml:space="preserve"> </w:t>
      </w:r>
      <w:r>
        <w:rPr>
          <w:b/>
          <w:sz w:val="20"/>
          <w:szCs w:val="20"/>
        </w:rPr>
        <w:t>FÉV</w:t>
      </w:r>
      <w:r w:rsidR="00AF1715" w:rsidRPr="003B3977">
        <w:rPr>
          <w:b/>
          <w:sz w:val="20"/>
          <w:szCs w:val="20"/>
        </w:rPr>
        <w:t>R</w:t>
      </w:r>
      <w:r>
        <w:rPr>
          <w:b/>
          <w:sz w:val="20"/>
          <w:szCs w:val="20"/>
        </w:rPr>
        <w:t>I</w:t>
      </w:r>
      <w:r w:rsidR="00AF1715" w:rsidRPr="003B3977">
        <w:rPr>
          <w:b/>
          <w:sz w:val="20"/>
          <w:szCs w:val="20"/>
        </w:rPr>
        <w:t>E</w:t>
      </w:r>
      <w:r>
        <w:rPr>
          <w:b/>
          <w:sz w:val="20"/>
          <w:szCs w:val="20"/>
        </w:rPr>
        <w:t>R</w:t>
      </w:r>
      <w:r w:rsidR="00AF1715" w:rsidRPr="003B3977">
        <w:rPr>
          <w:b/>
          <w:sz w:val="20"/>
          <w:szCs w:val="20"/>
        </w:rPr>
        <w:t xml:space="preserve"> 201</w:t>
      </w:r>
      <w:r>
        <w:rPr>
          <w:b/>
          <w:sz w:val="20"/>
          <w:szCs w:val="20"/>
        </w:rPr>
        <w:t>3</w:t>
      </w:r>
    </w:p>
    <w:p w:rsidR="00AF1715" w:rsidRDefault="00AF1715" w:rsidP="00AF1715">
      <w:pPr>
        <w:rPr>
          <w:sz w:val="20"/>
          <w:szCs w:val="20"/>
        </w:rPr>
      </w:pPr>
    </w:p>
    <w:p w:rsidR="00902B1D" w:rsidRPr="009B02D0" w:rsidRDefault="00902B1D" w:rsidP="00902B1D">
      <w:pPr>
        <w:ind w:left="1440" w:hanging="1440"/>
        <w:jc w:val="both"/>
        <w:rPr>
          <w:sz w:val="20"/>
        </w:rPr>
      </w:pPr>
      <w:r w:rsidRPr="009B02D0">
        <w:rPr>
          <w:b/>
          <w:sz w:val="20"/>
        </w:rPr>
        <w:t>3</w:t>
      </w:r>
      <w:r>
        <w:rPr>
          <w:b/>
          <w:sz w:val="20"/>
        </w:rPr>
        <w:t>3676</w:t>
      </w:r>
      <w:r>
        <w:rPr>
          <w:b/>
          <w:sz w:val="20"/>
        </w:rPr>
        <w:tab/>
      </w:r>
      <w:r w:rsidRPr="009B02D0">
        <w:rPr>
          <w:b/>
          <w:sz w:val="20"/>
          <w:u w:val="single"/>
        </w:rPr>
        <w:t>Saskatchewan Human Rights Commission v. William Whatcott – and – Attorney General for Saskatchewan, Attorney General of Alberta, Canadian Constitution Foundation, Canadian Civil Liberties Association, Canadian Human Rights Commission, Alberta Human Rights Commission, Egale Canada Inc., Ontario Human Rights Commission, Canadian Jewish Congress, Unitarian Congregation of Saskatoon, Canadian Unitarian Council, Women’s Legal Education and Action Fund, Canadian Journalists for Free Expression, Canadian Bar Association, Northwest Territories Human Rights Commission, Yukon Human Rights Commission, Christian Legal Fellowship, League for Human Rights of B’nai Brith Canada, Evangelical Fellowship of Canada, United Church of Canada, Assembly of First Nations, Federation of Saskatchewan Indian Nations, Métis Nation-Saskatchewan, Catholic Civil Rights League, Faith and Freedom Alliance and African Canadian Legal Clinic</w:t>
      </w:r>
      <w:r w:rsidR="00D54B9C">
        <w:rPr>
          <w:sz w:val="20"/>
        </w:rPr>
        <w:t xml:space="preserve"> </w:t>
      </w:r>
      <w:r w:rsidRPr="009B02D0">
        <w:rPr>
          <w:sz w:val="20"/>
        </w:rPr>
        <w:t>(</w:t>
      </w:r>
      <w:r w:rsidR="002F0AF9">
        <w:rPr>
          <w:sz w:val="20"/>
        </w:rPr>
        <w:t>Sask.</w:t>
      </w:r>
      <w:r w:rsidRPr="009B02D0">
        <w:rPr>
          <w:sz w:val="20"/>
        </w:rPr>
        <w:t>)</w:t>
      </w:r>
    </w:p>
    <w:p w:rsidR="00902B1D" w:rsidRPr="009B02D0" w:rsidRDefault="00902B1D" w:rsidP="00902B1D">
      <w:pPr>
        <w:ind w:left="1440"/>
        <w:jc w:val="both"/>
        <w:rPr>
          <w:sz w:val="20"/>
        </w:rPr>
      </w:pPr>
      <w:r w:rsidRPr="009B02D0">
        <w:rPr>
          <w:b/>
          <w:sz w:val="20"/>
        </w:rPr>
        <w:t xml:space="preserve">2013 SCC </w:t>
      </w:r>
      <w:r>
        <w:rPr>
          <w:b/>
          <w:sz w:val="20"/>
        </w:rPr>
        <w:t>11</w:t>
      </w:r>
      <w:r w:rsidRPr="009B02D0">
        <w:rPr>
          <w:b/>
          <w:sz w:val="20"/>
        </w:rPr>
        <w:t xml:space="preserve"> / 2013 CSC </w:t>
      </w:r>
      <w:r>
        <w:rPr>
          <w:b/>
          <w:sz w:val="20"/>
        </w:rPr>
        <w:t>11</w:t>
      </w:r>
    </w:p>
    <w:p w:rsidR="00902B1D" w:rsidRPr="009B02D0" w:rsidRDefault="00902B1D" w:rsidP="00902B1D">
      <w:pPr>
        <w:ind w:left="1440" w:hanging="1440"/>
        <w:jc w:val="both"/>
        <w:rPr>
          <w:b/>
          <w:sz w:val="20"/>
        </w:rPr>
      </w:pPr>
    </w:p>
    <w:p w:rsidR="00902B1D" w:rsidRPr="009B02D0" w:rsidRDefault="00902B1D" w:rsidP="00902B1D">
      <w:pPr>
        <w:ind w:left="1440" w:hanging="1440"/>
        <w:jc w:val="both"/>
        <w:rPr>
          <w:sz w:val="20"/>
        </w:rPr>
      </w:pPr>
      <w:r w:rsidRPr="009B02D0">
        <w:rPr>
          <w:sz w:val="20"/>
        </w:rPr>
        <w:t>Coram:</w:t>
      </w:r>
      <w:r w:rsidRPr="009B02D0">
        <w:rPr>
          <w:sz w:val="20"/>
        </w:rPr>
        <w:tab/>
      </w:r>
      <w:r w:rsidRPr="009B02D0">
        <w:rPr>
          <w:sz w:val="20"/>
          <w:u w:val="single"/>
        </w:rPr>
        <w:t>Coram:  McLachlin C.J. and LeBel, Deschamps</w:t>
      </w:r>
      <w:r>
        <w:rPr>
          <w:sz w:val="20"/>
          <w:u w:val="single"/>
        </w:rPr>
        <w:t>,</w:t>
      </w:r>
      <w:r w:rsidRPr="009B02D0">
        <w:rPr>
          <w:sz w:val="20"/>
          <w:u w:val="single"/>
          <w:vertAlign w:val="superscript"/>
        </w:rPr>
        <w:t>*</w:t>
      </w:r>
      <w:r w:rsidRPr="009B02D0">
        <w:rPr>
          <w:sz w:val="20"/>
          <w:u w:val="single"/>
        </w:rPr>
        <w:t xml:space="preserve"> Fish, Abella, Rothstein and Cromwell JJ.</w:t>
      </w:r>
    </w:p>
    <w:p w:rsidR="00902B1D" w:rsidRPr="009B02D0" w:rsidRDefault="00902B1D" w:rsidP="00902B1D">
      <w:pPr>
        <w:jc w:val="both"/>
        <w:rPr>
          <w:sz w:val="20"/>
        </w:rPr>
      </w:pPr>
    </w:p>
    <w:p w:rsidR="00902B1D" w:rsidRPr="009B02D0" w:rsidRDefault="00902B1D" w:rsidP="00902B1D">
      <w:pPr>
        <w:jc w:val="both"/>
        <w:rPr>
          <w:sz w:val="20"/>
          <w:lang w:val="fr-CA"/>
        </w:rPr>
      </w:pPr>
      <w:r w:rsidRPr="009B02D0">
        <w:rPr>
          <w:sz w:val="20"/>
          <w:lang w:val="fr-CA"/>
        </w:rPr>
        <w:t>(</w:t>
      </w:r>
      <w:r w:rsidRPr="009B02D0">
        <w:rPr>
          <w:sz w:val="20"/>
          <w:vertAlign w:val="superscript"/>
          <w:lang w:val="fr-CA"/>
        </w:rPr>
        <w:t>*</w:t>
      </w:r>
      <w:r w:rsidRPr="009B02D0">
        <w:rPr>
          <w:sz w:val="20"/>
          <w:lang w:val="fr-CA"/>
        </w:rPr>
        <w:t xml:space="preserve">Deschamps J. took no part in the judgment. / </w:t>
      </w:r>
      <w:r w:rsidRPr="009B02D0">
        <w:rPr>
          <w:sz w:val="20"/>
          <w:vertAlign w:val="superscript"/>
          <w:lang w:val="fr-CA"/>
        </w:rPr>
        <w:t>*</w:t>
      </w:r>
      <w:r w:rsidRPr="009F27EB">
        <w:rPr>
          <w:sz w:val="20"/>
          <w:lang w:val="fr-CA"/>
        </w:rPr>
        <w:t>La juge Deschamps n’a pas participé au jugement</w:t>
      </w:r>
      <w:r>
        <w:rPr>
          <w:sz w:val="20"/>
          <w:lang w:val="fr-CA"/>
        </w:rPr>
        <w:t>.</w:t>
      </w:r>
      <w:r w:rsidRPr="009B02D0">
        <w:rPr>
          <w:sz w:val="20"/>
          <w:lang w:val="fr-CA"/>
        </w:rPr>
        <w:t>)</w:t>
      </w:r>
    </w:p>
    <w:p w:rsidR="00902B1D" w:rsidRPr="009B02D0" w:rsidRDefault="00902B1D" w:rsidP="00902B1D">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902B1D" w:rsidRPr="009B02D0" w:rsidRDefault="00902B1D" w:rsidP="00902B1D">
      <w:pPr>
        <w:jc w:val="both"/>
        <w:rPr>
          <w:sz w:val="20"/>
        </w:rPr>
      </w:pPr>
      <w:r w:rsidRPr="009B02D0">
        <w:rPr>
          <w:sz w:val="20"/>
        </w:rPr>
        <w:t>The appeal from the judgment of the Court of Appeal for Saskatchewan, Number 1566, 2010 SKCA 26, dated February 25, 2010, heard on October 12, 2011, is allowed in part. The decision of the Tribunal is reinstated with respect to Flyers D and E. The Commission is awarded costs throughout, including costs of the application for leave to appeal in this Court.</w:t>
      </w:r>
    </w:p>
    <w:p w:rsidR="00902B1D" w:rsidRPr="009B02D0" w:rsidRDefault="00902B1D" w:rsidP="00902B1D">
      <w:pPr>
        <w:jc w:val="both"/>
        <w:rPr>
          <w:sz w:val="20"/>
        </w:rPr>
      </w:pPr>
    </w:p>
    <w:p w:rsidR="00902B1D" w:rsidRPr="009B02D0" w:rsidRDefault="00902B1D" w:rsidP="00902B1D">
      <w:pPr>
        <w:jc w:val="both"/>
        <w:rPr>
          <w:sz w:val="20"/>
        </w:rPr>
      </w:pPr>
      <w:r w:rsidRPr="009B02D0">
        <w:rPr>
          <w:sz w:val="20"/>
        </w:rPr>
        <w:t>The constitutional questions are answered as follows:</w:t>
      </w:r>
    </w:p>
    <w:p w:rsidR="00902B1D" w:rsidRPr="009B02D0" w:rsidRDefault="00902B1D" w:rsidP="00902B1D">
      <w:pPr>
        <w:jc w:val="both"/>
        <w:rPr>
          <w:sz w:val="20"/>
        </w:rPr>
      </w:pPr>
    </w:p>
    <w:p w:rsidR="00902B1D" w:rsidRPr="009B02D0" w:rsidRDefault="00902B1D" w:rsidP="00902B1D">
      <w:pPr>
        <w:ind w:left="720" w:hanging="720"/>
        <w:jc w:val="both"/>
        <w:rPr>
          <w:sz w:val="20"/>
        </w:rPr>
      </w:pPr>
      <w:r w:rsidRPr="009B02D0">
        <w:rPr>
          <w:sz w:val="20"/>
        </w:rPr>
        <w:t>1.</w:t>
      </w:r>
      <w:r w:rsidRPr="009B02D0">
        <w:rPr>
          <w:sz w:val="20"/>
        </w:rPr>
        <w:tab/>
        <w:t>Does s. 14(1)(</w:t>
      </w:r>
      <w:r w:rsidRPr="009B02D0">
        <w:rPr>
          <w:i/>
          <w:sz w:val="20"/>
        </w:rPr>
        <w:t>b</w:t>
      </w:r>
      <w:r w:rsidRPr="009B02D0">
        <w:rPr>
          <w:sz w:val="20"/>
        </w:rPr>
        <w:t xml:space="preserve">) of </w:t>
      </w:r>
      <w:r w:rsidRPr="009B02D0">
        <w:rPr>
          <w:i/>
          <w:sz w:val="20"/>
        </w:rPr>
        <w:t>The Saskatchewan Human Rights Code</w:t>
      </w:r>
      <w:r w:rsidRPr="009B02D0">
        <w:rPr>
          <w:sz w:val="20"/>
        </w:rPr>
        <w:t>, S.S. 1979, c. S-24.1, infringe s. 2(</w:t>
      </w:r>
      <w:r w:rsidRPr="009B02D0">
        <w:rPr>
          <w:i/>
          <w:sz w:val="20"/>
        </w:rPr>
        <w:t>a</w:t>
      </w:r>
      <w:r w:rsidRPr="009B02D0">
        <w:rPr>
          <w:sz w:val="20"/>
        </w:rPr>
        <w:t xml:space="preserve">) of the </w:t>
      </w:r>
      <w:r w:rsidRPr="009B02D0">
        <w:rPr>
          <w:i/>
          <w:sz w:val="20"/>
        </w:rPr>
        <w:t>Canadian Charter of Rights and Freedoms</w:t>
      </w:r>
      <w:r w:rsidRPr="009B02D0">
        <w:rPr>
          <w:sz w:val="20"/>
        </w:rPr>
        <w:t xml:space="preserve">? </w:t>
      </w:r>
    </w:p>
    <w:p w:rsidR="00902B1D" w:rsidRPr="009B02D0" w:rsidRDefault="00902B1D" w:rsidP="00902B1D">
      <w:pPr>
        <w:jc w:val="both"/>
        <w:rPr>
          <w:sz w:val="20"/>
        </w:rPr>
      </w:pPr>
    </w:p>
    <w:p w:rsidR="00902B1D" w:rsidRPr="009B02D0" w:rsidRDefault="00902B1D" w:rsidP="00902B1D">
      <w:pPr>
        <w:jc w:val="both"/>
        <w:rPr>
          <w:sz w:val="20"/>
        </w:rPr>
      </w:pPr>
      <w:r w:rsidRPr="009B02D0">
        <w:rPr>
          <w:sz w:val="20"/>
        </w:rPr>
        <w:t>Answer: Yes</w:t>
      </w:r>
    </w:p>
    <w:p w:rsidR="00902B1D" w:rsidRPr="009B02D0" w:rsidRDefault="00902B1D" w:rsidP="00902B1D">
      <w:pPr>
        <w:jc w:val="both"/>
        <w:rPr>
          <w:sz w:val="20"/>
        </w:rPr>
      </w:pPr>
    </w:p>
    <w:p w:rsidR="00902B1D" w:rsidRPr="009B02D0" w:rsidRDefault="00902B1D" w:rsidP="00902B1D">
      <w:pPr>
        <w:ind w:left="720" w:hanging="720"/>
        <w:jc w:val="both"/>
        <w:rPr>
          <w:sz w:val="20"/>
        </w:rPr>
      </w:pPr>
      <w:r w:rsidRPr="009B02D0">
        <w:rPr>
          <w:sz w:val="20"/>
        </w:rPr>
        <w:t>2.</w:t>
      </w:r>
      <w:r w:rsidRPr="009B02D0">
        <w:rPr>
          <w:sz w:val="20"/>
        </w:rPr>
        <w:tab/>
        <w:t xml:space="preserve">If so, is the infringement a reasonable limit prescribed by law as can be demonstrably justified in a free and democratic society under s. 1 of the </w:t>
      </w:r>
      <w:r w:rsidRPr="009B02D0">
        <w:rPr>
          <w:i/>
          <w:sz w:val="20"/>
        </w:rPr>
        <w:t>Canadian Charter of Rights and Freedoms</w:t>
      </w:r>
      <w:r w:rsidRPr="009B02D0">
        <w:rPr>
          <w:sz w:val="20"/>
        </w:rPr>
        <w:t>?</w:t>
      </w:r>
    </w:p>
    <w:p w:rsidR="00902B1D" w:rsidRPr="009B02D0" w:rsidRDefault="00902B1D" w:rsidP="00902B1D">
      <w:pPr>
        <w:ind w:left="540" w:hanging="540"/>
        <w:jc w:val="both"/>
        <w:rPr>
          <w:sz w:val="20"/>
        </w:rPr>
      </w:pPr>
    </w:p>
    <w:p w:rsidR="00902B1D" w:rsidRPr="009B02D0" w:rsidRDefault="00902B1D" w:rsidP="00902B1D">
      <w:pPr>
        <w:jc w:val="both"/>
        <w:rPr>
          <w:sz w:val="20"/>
        </w:rPr>
      </w:pPr>
      <w:r w:rsidRPr="009B02D0">
        <w:rPr>
          <w:sz w:val="20"/>
        </w:rPr>
        <w:t>Answer: A prohibition of any representation that “ridicules, belittles or otherwise affronts the dignity of” any person or class of persons on the basis of a prohibited ground is not a reasonable limit on freedom of religion.  Those words are constitutionally invalid and are severed from the statutory provision.  The remaining prohibition of any representation “that exposes or tends to expose to hatred” any person or class of persons on the basis of a prohibited ground is a reasonable limit and demonstrably justified in a free and democratic society.</w:t>
      </w:r>
    </w:p>
    <w:p w:rsidR="00902B1D" w:rsidRPr="009B02D0" w:rsidRDefault="00902B1D" w:rsidP="00902B1D">
      <w:pPr>
        <w:jc w:val="both"/>
        <w:rPr>
          <w:sz w:val="20"/>
        </w:rPr>
      </w:pPr>
    </w:p>
    <w:p w:rsidR="00902B1D" w:rsidRPr="009B02D0" w:rsidRDefault="00902B1D" w:rsidP="00902B1D">
      <w:pPr>
        <w:ind w:left="720" w:hanging="720"/>
        <w:jc w:val="both"/>
        <w:rPr>
          <w:sz w:val="20"/>
        </w:rPr>
      </w:pPr>
      <w:r w:rsidRPr="009B02D0">
        <w:rPr>
          <w:sz w:val="20"/>
        </w:rPr>
        <w:t>3.</w:t>
      </w:r>
      <w:r w:rsidRPr="009B02D0">
        <w:rPr>
          <w:sz w:val="20"/>
        </w:rPr>
        <w:tab/>
        <w:t>Does s. 14(1)(</w:t>
      </w:r>
      <w:r w:rsidRPr="009B02D0">
        <w:rPr>
          <w:i/>
          <w:sz w:val="20"/>
        </w:rPr>
        <w:t>b</w:t>
      </w:r>
      <w:r w:rsidRPr="009B02D0">
        <w:rPr>
          <w:sz w:val="20"/>
        </w:rPr>
        <w:t xml:space="preserve">) of </w:t>
      </w:r>
      <w:r w:rsidRPr="009B02D0">
        <w:rPr>
          <w:i/>
          <w:sz w:val="20"/>
        </w:rPr>
        <w:t>The Saskatchewan Human Rights Code</w:t>
      </w:r>
      <w:r w:rsidRPr="009B02D0">
        <w:rPr>
          <w:sz w:val="20"/>
        </w:rPr>
        <w:t>, S.S. 1979, c. S-24.1, infringe s. 2(</w:t>
      </w:r>
      <w:r w:rsidRPr="009B02D0">
        <w:rPr>
          <w:i/>
          <w:sz w:val="20"/>
        </w:rPr>
        <w:t>b</w:t>
      </w:r>
      <w:r w:rsidRPr="009B02D0">
        <w:rPr>
          <w:sz w:val="20"/>
        </w:rPr>
        <w:t xml:space="preserve">) of the </w:t>
      </w:r>
      <w:r w:rsidRPr="009B02D0">
        <w:rPr>
          <w:i/>
          <w:sz w:val="20"/>
        </w:rPr>
        <w:t>Canadian Charter of Rights and Freedoms</w:t>
      </w:r>
      <w:r w:rsidRPr="009B02D0">
        <w:rPr>
          <w:sz w:val="20"/>
        </w:rPr>
        <w:t xml:space="preserve">? </w:t>
      </w:r>
    </w:p>
    <w:p w:rsidR="00902B1D" w:rsidRPr="009B02D0" w:rsidRDefault="00902B1D" w:rsidP="00902B1D">
      <w:pPr>
        <w:ind w:left="540" w:hanging="540"/>
        <w:jc w:val="both"/>
        <w:rPr>
          <w:sz w:val="20"/>
        </w:rPr>
      </w:pPr>
    </w:p>
    <w:p w:rsidR="00902B1D" w:rsidRPr="009B02D0" w:rsidRDefault="00902B1D" w:rsidP="00902B1D">
      <w:pPr>
        <w:jc w:val="both"/>
        <w:rPr>
          <w:sz w:val="20"/>
        </w:rPr>
      </w:pPr>
      <w:r w:rsidRPr="009B02D0">
        <w:rPr>
          <w:sz w:val="20"/>
        </w:rPr>
        <w:t>Answer: Yes</w:t>
      </w:r>
    </w:p>
    <w:p w:rsidR="00902B1D" w:rsidRPr="009B02D0" w:rsidRDefault="00902B1D" w:rsidP="00902B1D">
      <w:pPr>
        <w:jc w:val="both"/>
        <w:rPr>
          <w:sz w:val="20"/>
        </w:rPr>
      </w:pPr>
    </w:p>
    <w:p w:rsidR="00902B1D" w:rsidRPr="009B02D0" w:rsidRDefault="00902B1D" w:rsidP="00902B1D">
      <w:pPr>
        <w:ind w:left="720" w:hanging="720"/>
        <w:jc w:val="both"/>
        <w:rPr>
          <w:sz w:val="20"/>
        </w:rPr>
      </w:pPr>
      <w:r w:rsidRPr="009B02D0">
        <w:rPr>
          <w:sz w:val="20"/>
        </w:rPr>
        <w:t>4.</w:t>
      </w:r>
      <w:r w:rsidRPr="009B02D0">
        <w:rPr>
          <w:sz w:val="20"/>
        </w:rPr>
        <w:tab/>
        <w:t xml:space="preserve">If so, is the infringement a reasonable limit prescribed by law as can be demonstrably justified in a free and democratic society under s. 1 of the </w:t>
      </w:r>
      <w:r w:rsidRPr="009B02D0">
        <w:rPr>
          <w:i/>
          <w:sz w:val="20"/>
        </w:rPr>
        <w:t>Canadian Charter of Rights and Freedoms</w:t>
      </w:r>
      <w:r w:rsidRPr="009B02D0">
        <w:rPr>
          <w:sz w:val="20"/>
        </w:rPr>
        <w:t xml:space="preserve">? </w:t>
      </w:r>
    </w:p>
    <w:p w:rsidR="00902B1D" w:rsidRPr="009B02D0" w:rsidRDefault="00902B1D" w:rsidP="00902B1D">
      <w:pPr>
        <w:ind w:left="540" w:hanging="540"/>
        <w:jc w:val="both"/>
        <w:rPr>
          <w:sz w:val="20"/>
        </w:rPr>
      </w:pPr>
    </w:p>
    <w:p w:rsidR="00902B1D" w:rsidRPr="009B02D0" w:rsidRDefault="00902B1D" w:rsidP="00902B1D">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r w:rsidRPr="009B02D0">
        <w:rPr>
          <w:sz w:val="20"/>
        </w:rPr>
        <w:t xml:space="preserve">Answer: A prohibition of any representation that “ridicules, belittles or otherwise affronts the dignity of” any person or class of persons on the basis of a prohibited ground is not a reasonable limit on freedom of expression. Those words are </w:t>
      </w:r>
      <w:r w:rsidRPr="009B02D0">
        <w:rPr>
          <w:sz w:val="20"/>
        </w:rPr>
        <w:lastRenderedPageBreak/>
        <w:t>constitutionally invalid and are severed from the statutory provision.  The remaining prohibition of any representation “that exposes or tends to expose to hatred” any person or class of persons on the basis of a prohibited ground is a reasonable limit and demonstrably justified in a free and democratic society.</w:t>
      </w:r>
    </w:p>
    <w:p w:rsidR="00902B1D" w:rsidRDefault="00902B1D" w:rsidP="00902B1D">
      <w:pPr>
        <w:jc w:val="both"/>
        <w:rPr>
          <w:sz w:val="20"/>
        </w:rPr>
      </w:pPr>
    </w:p>
    <w:p w:rsidR="00902B1D" w:rsidRDefault="00902B1D" w:rsidP="00902B1D">
      <w:pPr>
        <w:jc w:val="both"/>
        <w:rPr>
          <w:sz w:val="20"/>
        </w:rPr>
      </w:pPr>
    </w:p>
    <w:p w:rsidR="00902B1D" w:rsidRPr="009B02D0" w:rsidRDefault="00902B1D" w:rsidP="00902B1D">
      <w:pPr>
        <w:jc w:val="both"/>
        <w:rPr>
          <w:sz w:val="20"/>
        </w:rPr>
      </w:pPr>
    </w:p>
    <w:p w:rsidR="00902B1D" w:rsidRPr="009B02D0" w:rsidRDefault="00902B1D" w:rsidP="00902B1D">
      <w:pPr>
        <w:jc w:val="both"/>
        <w:rPr>
          <w:sz w:val="20"/>
          <w:lang w:val="fr-CA"/>
        </w:rPr>
      </w:pPr>
      <w:r w:rsidRPr="009B02D0">
        <w:rPr>
          <w:sz w:val="20"/>
          <w:lang w:val="fr-CA"/>
        </w:rPr>
        <w:t>L’appel interjeté contre l’arrêt de la Cour d’appel de la Saskatchewan, numéro 1566, 2010 SKCA 26, en date du 25 février 2010, entendu le 12 octobre 2011, est accueilli en partie.  La décision du Tribunal relative aux tracts D et E est rétablie. La Commission a droit à ses dépens devant toutes les cours, y compris ceux afférents à la demande d’autorisation d’appel devant notre Cour.</w:t>
      </w:r>
    </w:p>
    <w:p w:rsidR="00902B1D" w:rsidRPr="009B02D0" w:rsidRDefault="00902B1D" w:rsidP="00902B1D">
      <w:pPr>
        <w:jc w:val="both"/>
        <w:rPr>
          <w:sz w:val="20"/>
          <w:lang w:val="fr-CA"/>
        </w:rPr>
      </w:pPr>
    </w:p>
    <w:p w:rsidR="00902B1D" w:rsidRPr="009B02D0" w:rsidRDefault="00902B1D" w:rsidP="00902B1D">
      <w:pPr>
        <w:jc w:val="both"/>
        <w:rPr>
          <w:sz w:val="20"/>
          <w:lang w:val="fr-CA"/>
        </w:rPr>
      </w:pPr>
      <w:r w:rsidRPr="009B02D0">
        <w:rPr>
          <w:sz w:val="20"/>
          <w:lang w:val="fr-CA"/>
        </w:rPr>
        <w:t>Les questions constitutionnelles reçoivent les réponses suivantes :</w:t>
      </w:r>
    </w:p>
    <w:p w:rsidR="00902B1D" w:rsidRPr="009B02D0" w:rsidRDefault="00902B1D" w:rsidP="00902B1D">
      <w:pPr>
        <w:jc w:val="both"/>
        <w:rPr>
          <w:sz w:val="20"/>
          <w:lang w:val="fr-CA"/>
        </w:rPr>
      </w:pPr>
    </w:p>
    <w:p w:rsidR="00902B1D" w:rsidRPr="009B02D0" w:rsidRDefault="00902B1D" w:rsidP="00902B1D">
      <w:pPr>
        <w:ind w:left="720" w:hanging="720"/>
        <w:jc w:val="both"/>
        <w:rPr>
          <w:sz w:val="20"/>
          <w:lang w:val="fr-CA"/>
        </w:rPr>
      </w:pPr>
      <w:r w:rsidRPr="009B02D0">
        <w:rPr>
          <w:sz w:val="20"/>
        </w:rPr>
        <w:t>1.</w:t>
      </w:r>
      <w:r w:rsidRPr="009B02D0">
        <w:rPr>
          <w:sz w:val="20"/>
        </w:rPr>
        <w:tab/>
        <w:t>L’alinéa 14(1)(</w:t>
      </w:r>
      <w:r w:rsidRPr="009B02D0">
        <w:rPr>
          <w:i/>
          <w:sz w:val="20"/>
        </w:rPr>
        <w:t>b</w:t>
      </w:r>
      <w:r w:rsidRPr="009B02D0">
        <w:rPr>
          <w:sz w:val="20"/>
        </w:rPr>
        <w:t xml:space="preserve">) du </w:t>
      </w:r>
      <w:r w:rsidRPr="009B02D0">
        <w:rPr>
          <w:i/>
          <w:sz w:val="20"/>
        </w:rPr>
        <w:t>Saskatchewan Human Rights Code</w:t>
      </w:r>
      <w:r w:rsidRPr="009B02D0">
        <w:rPr>
          <w:sz w:val="20"/>
        </w:rPr>
        <w:t xml:space="preserve">, S.S. 1979, ch. </w:t>
      </w:r>
      <w:r w:rsidRPr="009B02D0">
        <w:rPr>
          <w:sz w:val="20"/>
          <w:lang w:val="fr-CA"/>
        </w:rPr>
        <w:t>S- 24.1, viole-t-il l’al. 2</w:t>
      </w:r>
      <w:r w:rsidRPr="009B02D0">
        <w:rPr>
          <w:i/>
          <w:sz w:val="20"/>
          <w:lang w:val="fr-CA"/>
        </w:rPr>
        <w:t>a</w:t>
      </w:r>
      <w:r w:rsidRPr="009B02D0">
        <w:rPr>
          <w:sz w:val="20"/>
          <w:lang w:val="fr-CA"/>
        </w:rPr>
        <w:t xml:space="preserve">) de la </w:t>
      </w:r>
      <w:r w:rsidRPr="009B02D0">
        <w:rPr>
          <w:i/>
          <w:sz w:val="20"/>
          <w:lang w:val="fr-CA"/>
        </w:rPr>
        <w:t>Charte canadienne des droits et libertés</w:t>
      </w:r>
      <w:r w:rsidRPr="009B02D0">
        <w:rPr>
          <w:sz w:val="20"/>
          <w:lang w:val="fr-CA"/>
        </w:rPr>
        <w:t>?</w:t>
      </w:r>
    </w:p>
    <w:p w:rsidR="00902B1D" w:rsidRPr="009B02D0" w:rsidRDefault="00902B1D" w:rsidP="00902B1D">
      <w:pPr>
        <w:ind w:left="619" w:hanging="619"/>
        <w:jc w:val="both"/>
        <w:rPr>
          <w:sz w:val="20"/>
          <w:lang w:val="fr-CA"/>
        </w:rPr>
      </w:pPr>
    </w:p>
    <w:p w:rsidR="00902B1D" w:rsidRPr="009B02D0" w:rsidRDefault="00902B1D" w:rsidP="00902B1D">
      <w:pPr>
        <w:jc w:val="both"/>
        <w:rPr>
          <w:sz w:val="20"/>
          <w:lang w:val="fr-CA"/>
        </w:rPr>
      </w:pPr>
      <w:r w:rsidRPr="009B02D0">
        <w:rPr>
          <w:sz w:val="20"/>
          <w:lang w:val="fr-CA"/>
        </w:rPr>
        <w:t>Réponse : Oui</w:t>
      </w:r>
    </w:p>
    <w:p w:rsidR="00902B1D" w:rsidRPr="009B02D0" w:rsidRDefault="00902B1D" w:rsidP="00902B1D">
      <w:pPr>
        <w:jc w:val="both"/>
        <w:rPr>
          <w:sz w:val="20"/>
          <w:lang w:val="fr-CA"/>
        </w:rPr>
      </w:pPr>
    </w:p>
    <w:p w:rsidR="00902B1D" w:rsidRPr="009B02D0" w:rsidRDefault="00902B1D" w:rsidP="00902B1D">
      <w:pPr>
        <w:ind w:left="706" w:hanging="720"/>
        <w:jc w:val="both"/>
        <w:rPr>
          <w:sz w:val="20"/>
          <w:lang w:val="fr-CA"/>
        </w:rPr>
      </w:pPr>
      <w:r w:rsidRPr="009B02D0">
        <w:rPr>
          <w:sz w:val="20"/>
          <w:lang w:val="fr-CA"/>
        </w:rPr>
        <w:t>2.</w:t>
      </w:r>
      <w:r w:rsidRPr="009B02D0">
        <w:rPr>
          <w:sz w:val="20"/>
          <w:lang w:val="fr-CA"/>
        </w:rPr>
        <w:tab/>
        <w:t xml:space="preserve">Dans l’affirmative, cette violation constitue-t-elle une limite raisonnable prescrite par une règle de droit et dont la justification peut se démontrer dans le cadre d’une société libre et démocratique, au sens de l’article premier de la </w:t>
      </w:r>
      <w:r w:rsidRPr="009B02D0">
        <w:rPr>
          <w:i/>
          <w:sz w:val="20"/>
          <w:lang w:val="fr-CA"/>
        </w:rPr>
        <w:t>Charte canadienne des droits et libertés</w:t>
      </w:r>
      <w:r w:rsidRPr="009B02D0">
        <w:rPr>
          <w:sz w:val="20"/>
          <w:lang w:val="fr-CA"/>
        </w:rPr>
        <w:t>?</w:t>
      </w:r>
    </w:p>
    <w:p w:rsidR="00902B1D" w:rsidRPr="009B02D0" w:rsidRDefault="00902B1D" w:rsidP="00902B1D">
      <w:pPr>
        <w:ind w:left="529" w:hanging="540"/>
        <w:jc w:val="both"/>
        <w:rPr>
          <w:sz w:val="20"/>
          <w:lang w:val="fr-CA"/>
        </w:rPr>
      </w:pPr>
    </w:p>
    <w:p w:rsidR="00902B1D" w:rsidRPr="009B02D0" w:rsidRDefault="00902B1D" w:rsidP="00902B1D">
      <w:pPr>
        <w:jc w:val="both"/>
        <w:rPr>
          <w:sz w:val="20"/>
          <w:lang w:val="fr-CA"/>
        </w:rPr>
      </w:pPr>
      <w:r w:rsidRPr="009B02D0">
        <w:rPr>
          <w:sz w:val="20"/>
          <w:lang w:val="fr-CA"/>
        </w:rPr>
        <w:t>Réponse : L’interdiction de toute représentation qui, pour un motif de distinction illicite, « les [une personne ou une catégorie de personnes] ridiculise, les rabaisse ou porte par ailleurs atteinte à leur dignité » ne constitue pas une limite raisonnable à la liberté de religion.  Ces mots sont constitutionnellement invalides et sont retranchés de la disposition législative.  Le reste de la disposition qui interdit toute représentation « qui expose ou tend à exposer [. .</w:t>
      </w:r>
      <w:r>
        <w:rPr>
          <w:sz w:val="20"/>
          <w:lang w:val="fr-CA"/>
        </w:rPr>
        <w:t xml:space="preserve"> </w:t>
      </w:r>
      <w:r w:rsidRPr="009B02D0">
        <w:rPr>
          <w:sz w:val="20"/>
          <w:lang w:val="fr-CA"/>
        </w:rPr>
        <w:t>.] à la haine » une personne ou une catégorie de personnes pour un motif de distinction illicite constitue une limite raisonnable dont la justification est démontrée dans le cadre d’une société libre et démocratique.</w:t>
      </w:r>
    </w:p>
    <w:p w:rsidR="00902B1D" w:rsidRPr="009B02D0" w:rsidRDefault="00902B1D" w:rsidP="00902B1D">
      <w:pPr>
        <w:jc w:val="both"/>
        <w:rPr>
          <w:sz w:val="20"/>
          <w:lang w:val="fr-CA"/>
        </w:rPr>
      </w:pPr>
    </w:p>
    <w:p w:rsidR="00902B1D" w:rsidRPr="009B02D0" w:rsidRDefault="00902B1D" w:rsidP="00902B1D">
      <w:pPr>
        <w:ind w:left="720" w:hanging="720"/>
        <w:jc w:val="both"/>
        <w:rPr>
          <w:sz w:val="20"/>
          <w:lang w:val="fr-CA"/>
        </w:rPr>
      </w:pPr>
      <w:r w:rsidRPr="009B02D0">
        <w:rPr>
          <w:sz w:val="20"/>
        </w:rPr>
        <w:t>3.</w:t>
      </w:r>
      <w:r w:rsidRPr="009B02D0">
        <w:rPr>
          <w:sz w:val="20"/>
        </w:rPr>
        <w:tab/>
        <w:t>L’alinéa 14(1)(</w:t>
      </w:r>
      <w:r w:rsidRPr="009B02D0">
        <w:rPr>
          <w:i/>
          <w:sz w:val="20"/>
        </w:rPr>
        <w:t>b</w:t>
      </w:r>
      <w:r w:rsidRPr="009B02D0">
        <w:rPr>
          <w:sz w:val="20"/>
        </w:rPr>
        <w:t xml:space="preserve">) du </w:t>
      </w:r>
      <w:r w:rsidRPr="009B02D0">
        <w:rPr>
          <w:i/>
          <w:sz w:val="20"/>
        </w:rPr>
        <w:t>Saskatchewan Human Rights Code</w:t>
      </w:r>
      <w:r w:rsidRPr="009B02D0">
        <w:rPr>
          <w:sz w:val="20"/>
        </w:rPr>
        <w:t xml:space="preserve">, S.S. 1979, ch. </w:t>
      </w:r>
      <w:r w:rsidRPr="009B02D0">
        <w:rPr>
          <w:sz w:val="20"/>
          <w:lang w:val="fr-CA"/>
        </w:rPr>
        <w:t>S- 24.1, viole-t-il l’al. 2</w:t>
      </w:r>
      <w:r w:rsidRPr="009B02D0">
        <w:rPr>
          <w:i/>
          <w:sz w:val="20"/>
          <w:lang w:val="fr-CA"/>
        </w:rPr>
        <w:t>b</w:t>
      </w:r>
      <w:r w:rsidRPr="009B02D0">
        <w:rPr>
          <w:sz w:val="20"/>
          <w:lang w:val="fr-CA"/>
        </w:rPr>
        <w:t xml:space="preserve">) de la </w:t>
      </w:r>
      <w:r w:rsidRPr="009B02D0">
        <w:rPr>
          <w:i/>
          <w:sz w:val="20"/>
          <w:lang w:val="fr-CA"/>
        </w:rPr>
        <w:t>Charte canadienne des droits et libertés</w:t>
      </w:r>
      <w:r w:rsidRPr="009B02D0">
        <w:rPr>
          <w:sz w:val="20"/>
          <w:lang w:val="fr-CA"/>
        </w:rPr>
        <w:t xml:space="preserve">? </w:t>
      </w:r>
    </w:p>
    <w:p w:rsidR="00902B1D" w:rsidRPr="009B02D0" w:rsidRDefault="00902B1D" w:rsidP="00902B1D">
      <w:pPr>
        <w:jc w:val="both"/>
        <w:rPr>
          <w:sz w:val="20"/>
          <w:lang w:val="fr-CA"/>
        </w:rPr>
      </w:pPr>
    </w:p>
    <w:p w:rsidR="00902B1D" w:rsidRPr="009B02D0" w:rsidRDefault="00902B1D" w:rsidP="00902B1D">
      <w:pPr>
        <w:jc w:val="both"/>
        <w:rPr>
          <w:sz w:val="20"/>
          <w:lang w:val="fr-CA"/>
        </w:rPr>
      </w:pPr>
      <w:r w:rsidRPr="009B02D0">
        <w:rPr>
          <w:sz w:val="20"/>
          <w:lang w:val="fr-CA"/>
        </w:rPr>
        <w:t>Réponse : Oui</w:t>
      </w:r>
    </w:p>
    <w:p w:rsidR="00902B1D" w:rsidRPr="009B02D0" w:rsidRDefault="00902B1D" w:rsidP="00902B1D">
      <w:pPr>
        <w:jc w:val="both"/>
        <w:rPr>
          <w:sz w:val="20"/>
          <w:lang w:val="fr-CA"/>
        </w:rPr>
      </w:pPr>
    </w:p>
    <w:p w:rsidR="00902B1D" w:rsidRPr="009B02D0" w:rsidRDefault="00902B1D" w:rsidP="00902B1D">
      <w:pPr>
        <w:ind w:left="720" w:hanging="720"/>
        <w:jc w:val="both"/>
        <w:rPr>
          <w:sz w:val="20"/>
          <w:lang w:val="fr-CA"/>
        </w:rPr>
      </w:pPr>
      <w:r w:rsidRPr="009B02D0">
        <w:rPr>
          <w:sz w:val="20"/>
          <w:lang w:val="fr-CA"/>
        </w:rPr>
        <w:t>4.</w:t>
      </w:r>
      <w:r w:rsidRPr="009B02D0">
        <w:rPr>
          <w:sz w:val="20"/>
          <w:lang w:val="fr-CA"/>
        </w:rPr>
        <w:tab/>
        <w:t xml:space="preserve">Dans l’affirmative, cette violation constitue-t-elle une limite raisonnable prescrite par une règle de droit et dont la justification peut se démontrer dans le cadre d’une société libre et démocratique, au sens de l’article premier de la </w:t>
      </w:r>
      <w:r w:rsidRPr="009B02D0">
        <w:rPr>
          <w:i/>
          <w:sz w:val="20"/>
          <w:lang w:val="fr-CA"/>
        </w:rPr>
        <w:t>Charte canadienne des droits et libertés</w:t>
      </w:r>
      <w:r w:rsidRPr="009B02D0">
        <w:rPr>
          <w:sz w:val="20"/>
          <w:lang w:val="fr-CA"/>
        </w:rPr>
        <w:t xml:space="preserve">? </w:t>
      </w:r>
    </w:p>
    <w:p w:rsidR="00902B1D" w:rsidRPr="009B02D0" w:rsidRDefault="00902B1D" w:rsidP="00902B1D">
      <w:pPr>
        <w:ind w:left="529" w:hanging="529"/>
        <w:jc w:val="both"/>
        <w:rPr>
          <w:sz w:val="20"/>
          <w:lang w:val="fr-CA"/>
        </w:rPr>
      </w:pPr>
    </w:p>
    <w:p w:rsidR="00902B1D" w:rsidRPr="009B02D0" w:rsidRDefault="00902B1D" w:rsidP="00902B1D">
      <w:pPr>
        <w:jc w:val="both"/>
        <w:rPr>
          <w:sz w:val="20"/>
          <w:lang w:val="fr-CA"/>
        </w:rPr>
      </w:pPr>
      <w:r w:rsidRPr="009B02D0">
        <w:rPr>
          <w:sz w:val="20"/>
          <w:lang w:val="fr-CA"/>
        </w:rPr>
        <w:t>Réponse : L’interdiction de toute représentation qui, pour un motif de distinction illicite, « les [une personne ou une catégorie de personnes] ridiculise, les rabaisse ou porte par ailleurs atteinte à leur dignité » ne constitue pas une limite raisonnable à la liberté d’expression.  Ces mots sont constitutionnellement invalides et sont retranchés de la disposition législative.  Le reste de la disposition qui interdit toute représentation « qui expose ou tend à exposer [. . .] à la haine » une personne ou une catégorie de personnes pour un motif de distinction illicite constitue une limite raisonnable dont la justification est démontrée dans le cadre d’une société libre et démocratique.</w:t>
      </w:r>
    </w:p>
    <w:p w:rsidR="00A91120" w:rsidRPr="00902B1D" w:rsidRDefault="00A91120" w:rsidP="00AF1715">
      <w:pPr>
        <w:rPr>
          <w:sz w:val="20"/>
          <w:szCs w:val="20"/>
          <w:lang w:val="fr-CA"/>
        </w:rPr>
      </w:pPr>
    </w:p>
    <w:p w:rsidR="00AF1715" w:rsidRPr="003B3977" w:rsidRDefault="00CB0178" w:rsidP="00AF1715">
      <w:pPr>
        <w:spacing w:line="0" w:lineRule="atLeast"/>
        <w:rPr>
          <w:sz w:val="20"/>
          <w:szCs w:val="20"/>
        </w:rPr>
      </w:pPr>
      <w:r w:rsidRPr="00CB0178">
        <w:rPr>
          <w:b/>
          <w:sz w:val="20"/>
          <w:szCs w:val="20"/>
        </w:rPr>
        <w:pict>
          <v:rect id="_x0000_i1068"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4E1E0A" w:rsidRPr="003B3977" w:rsidRDefault="00A91120" w:rsidP="004E1E0A">
      <w:pPr>
        <w:rPr>
          <w:b/>
          <w:sz w:val="20"/>
          <w:szCs w:val="20"/>
        </w:rPr>
      </w:pPr>
      <w:r>
        <w:rPr>
          <w:b/>
          <w:sz w:val="20"/>
          <w:szCs w:val="20"/>
        </w:rPr>
        <w:t>MA</w:t>
      </w:r>
      <w:r w:rsidR="004E1E0A" w:rsidRPr="003B3977">
        <w:rPr>
          <w:b/>
          <w:sz w:val="20"/>
          <w:szCs w:val="20"/>
        </w:rPr>
        <w:t>R</w:t>
      </w:r>
      <w:r>
        <w:rPr>
          <w:b/>
          <w:sz w:val="20"/>
          <w:szCs w:val="20"/>
        </w:rPr>
        <w:t>CH</w:t>
      </w:r>
      <w:r w:rsidR="004E1E0A" w:rsidRPr="003B3977">
        <w:rPr>
          <w:b/>
          <w:sz w:val="20"/>
          <w:szCs w:val="20"/>
        </w:rPr>
        <w:t xml:space="preserve"> </w:t>
      </w:r>
      <w:r>
        <w:rPr>
          <w:b/>
          <w:sz w:val="20"/>
          <w:szCs w:val="20"/>
        </w:rPr>
        <w:t>1</w:t>
      </w:r>
      <w:r w:rsidR="004E1E0A" w:rsidRPr="003B3977">
        <w:rPr>
          <w:b/>
          <w:sz w:val="20"/>
          <w:szCs w:val="20"/>
        </w:rPr>
        <w:t>, 201</w:t>
      </w:r>
      <w:r>
        <w:rPr>
          <w:b/>
          <w:sz w:val="20"/>
          <w:szCs w:val="20"/>
        </w:rPr>
        <w:t>3</w:t>
      </w:r>
      <w:r w:rsidR="004E1E0A" w:rsidRPr="003B3977">
        <w:rPr>
          <w:b/>
          <w:sz w:val="20"/>
          <w:szCs w:val="20"/>
        </w:rPr>
        <w:t xml:space="preserve"> / LE </w:t>
      </w:r>
      <w:r>
        <w:rPr>
          <w:b/>
          <w:sz w:val="20"/>
          <w:szCs w:val="20"/>
        </w:rPr>
        <w:t>1</w:t>
      </w:r>
      <w:r w:rsidRPr="00A91120">
        <w:rPr>
          <w:b/>
          <w:sz w:val="20"/>
          <w:szCs w:val="20"/>
          <w:vertAlign w:val="superscript"/>
        </w:rPr>
        <w:t>er</w:t>
      </w:r>
      <w:r>
        <w:rPr>
          <w:b/>
          <w:sz w:val="20"/>
          <w:szCs w:val="20"/>
        </w:rPr>
        <w:t xml:space="preserve"> MA</w:t>
      </w:r>
      <w:r w:rsidR="004E1E0A" w:rsidRPr="003B3977">
        <w:rPr>
          <w:b/>
          <w:sz w:val="20"/>
          <w:szCs w:val="20"/>
        </w:rPr>
        <w:t>R</w:t>
      </w:r>
      <w:r>
        <w:rPr>
          <w:b/>
          <w:sz w:val="20"/>
          <w:szCs w:val="20"/>
        </w:rPr>
        <w:t>S</w:t>
      </w:r>
      <w:r w:rsidR="004E1E0A" w:rsidRPr="003B3977">
        <w:rPr>
          <w:b/>
          <w:sz w:val="20"/>
          <w:szCs w:val="20"/>
        </w:rPr>
        <w:t xml:space="preserve"> 201</w:t>
      </w:r>
      <w:r>
        <w:rPr>
          <w:b/>
          <w:sz w:val="20"/>
          <w:szCs w:val="20"/>
        </w:rPr>
        <w:t>3</w:t>
      </w:r>
    </w:p>
    <w:p w:rsidR="00AF1715" w:rsidRDefault="00AF1715" w:rsidP="00AF1715">
      <w:pPr>
        <w:spacing w:line="0" w:lineRule="atLeast"/>
        <w:rPr>
          <w:rFonts w:cs="Times New Roman"/>
          <w:sz w:val="20"/>
          <w:szCs w:val="20"/>
        </w:rPr>
      </w:pPr>
    </w:p>
    <w:p w:rsidR="00A503E2" w:rsidRPr="00912F07" w:rsidRDefault="00A503E2" w:rsidP="00A503E2">
      <w:pPr>
        <w:ind w:left="1440" w:hanging="1440"/>
        <w:jc w:val="both"/>
        <w:rPr>
          <w:sz w:val="20"/>
          <w:szCs w:val="20"/>
        </w:rPr>
      </w:pPr>
      <w:r w:rsidRPr="00912F07">
        <w:rPr>
          <w:b/>
          <w:sz w:val="20"/>
          <w:szCs w:val="20"/>
        </w:rPr>
        <w:t>34284</w:t>
      </w:r>
      <w:r w:rsidRPr="00912F07">
        <w:rPr>
          <w:b/>
          <w:sz w:val="20"/>
          <w:szCs w:val="20"/>
        </w:rPr>
        <w:tab/>
      </w:r>
      <w:r w:rsidRPr="00912F07">
        <w:rPr>
          <w:b/>
          <w:sz w:val="20"/>
          <w:szCs w:val="20"/>
          <w:u w:val="single"/>
        </w:rPr>
        <w:t>J.F. v. Her Majesty the Queen – and – British Columbia Civil Liberties Association</w:t>
      </w:r>
      <w:r w:rsidRPr="00912F07">
        <w:rPr>
          <w:b/>
          <w:sz w:val="20"/>
          <w:szCs w:val="20"/>
        </w:rPr>
        <w:t xml:space="preserve"> </w:t>
      </w:r>
      <w:r w:rsidRPr="00912F07">
        <w:rPr>
          <w:sz w:val="20"/>
          <w:szCs w:val="20"/>
        </w:rPr>
        <w:t>(Ont.)</w:t>
      </w:r>
    </w:p>
    <w:p w:rsidR="00A503E2" w:rsidRPr="00912F07" w:rsidRDefault="00A503E2" w:rsidP="00A503E2">
      <w:pPr>
        <w:ind w:left="1440"/>
        <w:jc w:val="both"/>
        <w:rPr>
          <w:sz w:val="20"/>
          <w:szCs w:val="20"/>
        </w:rPr>
      </w:pPr>
      <w:r w:rsidRPr="00912F07">
        <w:rPr>
          <w:b/>
          <w:sz w:val="20"/>
          <w:szCs w:val="20"/>
        </w:rPr>
        <w:t>2013 SCC 12 / 2013 CSC 12</w:t>
      </w:r>
    </w:p>
    <w:p w:rsidR="00A503E2" w:rsidRPr="00912F07" w:rsidRDefault="00A503E2" w:rsidP="00A503E2">
      <w:pPr>
        <w:ind w:left="1440" w:hanging="1440"/>
        <w:jc w:val="both"/>
        <w:rPr>
          <w:b/>
          <w:sz w:val="20"/>
          <w:szCs w:val="20"/>
        </w:rPr>
      </w:pPr>
    </w:p>
    <w:p w:rsidR="00A503E2" w:rsidRPr="00912F07" w:rsidRDefault="00A503E2" w:rsidP="00A503E2">
      <w:pPr>
        <w:ind w:left="1440" w:hanging="1440"/>
        <w:jc w:val="both"/>
        <w:rPr>
          <w:sz w:val="20"/>
          <w:szCs w:val="20"/>
          <w:u w:val="single"/>
        </w:rPr>
      </w:pPr>
      <w:r w:rsidRPr="00912F07">
        <w:rPr>
          <w:sz w:val="20"/>
          <w:szCs w:val="20"/>
        </w:rPr>
        <w:t>Coram:</w:t>
      </w:r>
      <w:r w:rsidRPr="00912F07">
        <w:rPr>
          <w:sz w:val="20"/>
          <w:szCs w:val="20"/>
        </w:rPr>
        <w:tab/>
      </w:r>
      <w:r w:rsidRPr="00912F07">
        <w:rPr>
          <w:sz w:val="20"/>
          <w:szCs w:val="20"/>
          <w:u w:val="single"/>
        </w:rPr>
        <w:t>Coram:  McLachlin C.J. and LeBel, Fish, Rothstein, Cromwell, Moldaver and Karakatsanis JJ.</w:t>
      </w:r>
    </w:p>
    <w:p w:rsidR="00A503E2" w:rsidRPr="00912F07" w:rsidRDefault="00A503E2" w:rsidP="00A503E2">
      <w:pPr>
        <w:ind w:left="1440" w:hanging="1440"/>
        <w:jc w:val="both"/>
        <w:rPr>
          <w:sz w:val="20"/>
          <w:szCs w:val="20"/>
        </w:rPr>
      </w:pPr>
    </w:p>
    <w:p w:rsidR="00A503E2" w:rsidRPr="00912F07" w:rsidRDefault="00A503E2" w:rsidP="00A503E2">
      <w:pPr>
        <w:jc w:val="both"/>
        <w:rPr>
          <w:sz w:val="20"/>
          <w:szCs w:val="20"/>
        </w:rPr>
      </w:pPr>
      <w:r w:rsidRPr="00912F07">
        <w:rPr>
          <w:sz w:val="20"/>
          <w:szCs w:val="20"/>
        </w:rPr>
        <w:lastRenderedPageBreak/>
        <w:t xml:space="preserve">The appeal from the judgment </w:t>
      </w:r>
      <w:bookmarkStart w:id="1" w:name="BM_1_"/>
      <w:bookmarkEnd w:id="1"/>
      <w:r w:rsidRPr="00912F07">
        <w:rPr>
          <w:sz w:val="20"/>
          <w:szCs w:val="20"/>
        </w:rPr>
        <w:t>of the Court of Appeal for Ontario, Number C46571, 2011 ONCA 220, dated April 6, 2011, heard on October 12, 2012, is dismissed.</w:t>
      </w:r>
    </w:p>
    <w:p w:rsidR="00A503E2" w:rsidRPr="00912F07" w:rsidRDefault="00A503E2" w:rsidP="00A503E2">
      <w:pPr>
        <w:jc w:val="both"/>
        <w:rPr>
          <w:sz w:val="20"/>
          <w:szCs w:val="20"/>
        </w:rPr>
      </w:pPr>
    </w:p>
    <w:p w:rsidR="00A503E2" w:rsidRPr="00912F07" w:rsidRDefault="00A503E2" w:rsidP="00A503E2">
      <w:pPr>
        <w:jc w:val="both"/>
        <w:rPr>
          <w:sz w:val="20"/>
          <w:szCs w:val="20"/>
          <w:lang w:val="fr-CA"/>
        </w:rPr>
      </w:pPr>
      <w:r w:rsidRPr="00912F07">
        <w:rPr>
          <w:sz w:val="20"/>
          <w:szCs w:val="20"/>
          <w:lang w:val="fr-CA"/>
        </w:rPr>
        <w:t>L’appel interjeté contre l’arrêt de la Cour d’appel de l’Ontario, numéro C46571, 2011 ONCA 220, en date du 6 avril 2011, entendu le 12 octobre 2012, est rejeté.</w:t>
      </w:r>
    </w:p>
    <w:p w:rsidR="00A503E2" w:rsidRPr="00A503E2" w:rsidRDefault="00A503E2" w:rsidP="00AF1715">
      <w:pPr>
        <w:spacing w:line="0" w:lineRule="atLeast"/>
        <w:rPr>
          <w:rFonts w:cs="Times New Roman"/>
          <w:sz w:val="20"/>
          <w:szCs w:val="20"/>
          <w:lang w:val="fr-CA"/>
        </w:rPr>
      </w:pPr>
    </w:p>
    <w:p w:rsidR="00AF1715" w:rsidRPr="006C5F7A" w:rsidRDefault="00CB0178" w:rsidP="00AF1715">
      <w:pPr>
        <w:spacing w:line="0" w:lineRule="atLeast"/>
        <w:rPr>
          <w:rFonts w:cs="Times New Roman"/>
          <w:b/>
          <w:sz w:val="20"/>
          <w:szCs w:val="20"/>
        </w:rPr>
      </w:pPr>
      <w:r w:rsidRPr="00CB0178">
        <w:rPr>
          <w:rFonts w:cs="Times New Roman"/>
          <w:b/>
          <w:sz w:val="20"/>
          <w:szCs w:val="20"/>
        </w:rPr>
        <w:pict>
          <v:rect id="_x0000_i1069" style="width:144.3pt;height:1pt" o:hrpct="300" o:hralign="center" o:hrstd="t" o:hrnoshade="t" o:hr="t" fillcolor="black [3213]" stroked="f"/>
        </w:pict>
      </w:r>
    </w:p>
    <w:p w:rsidR="00AF1715" w:rsidRPr="006C5F7A" w:rsidRDefault="00AF1715" w:rsidP="00A91120">
      <w:pPr>
        <w:ind w:left="1440" w:hanging="1440"/>
        <w:jc w:val="both"/>
        <w:rPr>
          <w:rFonts w:cs="Times New Roman"/>
          <w:sz w:val="20"/>
          <w:szCs w:val="20"/>
        </w:rPr>
      </w:pPr>
    </w:p>
    <w:p w:rsidR="00AF1715" w:rsidRPr="006C5F7A" w:rsidRDefault="00AF1715" w:rsidP="00A91120">
      <w:pPr>
        <w:jc w:val="both"/>
        <w:rPr>
          <w:rFonts w:cs="Times New Roman"/>
          <w:sz w:val="20"/>
          <w:szCs w:val="20"/>
          <w:lang w:val="fr-CA"/>
        </w:rPr>
      </w:pPr>
    </w:p>
    <w:p w:rsidR="00AF1715" w:rsidRPr="006C5F7A" w:rsidRDefault="00AF1715" w:rsidP="00A91120">
      <w:pPr>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A91120">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720" w:footer="965"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6E16A0" w:rsidRPr="00830B85" w:rsidRDefault="006E16A0" w:rsidP="006E16A0">
      <w:pPr>
        <w:ind w:left="720" w:hanging="720"/>
        <w:rPr>
          <w:rFonts w:eastAsia="Calibri" w:cs="Times New Roman"/>
          <w:sz w:val="20"/>
          <w:szCs w:val="20"/>
        </w:rPr>
      </w:pPr>
      <w:r w:rsidRPr="00830B85">
        <w:rPr>
          <w:rFonts w:eastAsia="Calibri" w:cs="Times New Roman"/>
          <w:i/>
          <w:sz w:val="20"/>
          <w:szCs w:val="20"/>
        </w:rPr>
        <w:t>Saskatchewan Human Rights Commission v. William Whatcott</w:t>
      </w:r>
      <w:r w:rsidRPr="00830B85">
        <w:rPr>
          <w:rFonts w:eastAsia="Calibri" w:cs="Times New Roman"/>
          <w:sz w:val="20"/>
          <w:szCs w:val="20"/>
        </w:rPr>
        <w:t xml:space="preserve"> (Sask.) (33676)</w:t>
      </w:r>
    </w:p>
    <w:p w:rsidR="0098059B" w:rsidRPr="00966AB6" w:rsidRDefault="0098059B" w:rsidP="0098059B">
      <w:pPr>
        <w:jc w:val="both"/>
        <w:rPr>
          <w:b/>
          <w:sz w:val="20"/>
          <w:szCs w:val="20"/>
        </w:rPr>
      </w:pPr>
      <w:r w:rsidRPr="00966AB6">
        <w:rPr>
          <w:b/>
          <w:sz w:val="20"/>
          <w:szCs w:val="20"/>
        </w:rPr>
        <w:t xml:space="preserve">Indexed as:  Saskatchewan (Human Rights Commission) </w:t>
      </w:r>
      <w:r w:rsidRPr="00966AB6">
        <w:rPr>
          <w:b/>
          <w:i/>
          <w:sz w:val="20"/>
          <w:szCs w:val="20"/>
        </w:rPr>
        <w:t>v.</w:t>
      </w:r>
      <w:r w:rsidRPr="00966AB6">
        <w:rPr>
          <w:b/>
          <w:sz w:val="20"/>
          <w:szCs w:val="20"/>
        </w:rPr>
        <w:t xml:space="preserve"> Whatcott</w:t>
      </w:r>
      <w:r>
        <w:rPr>
          <w:b/>
          <w:sz w:val="20"/>
          <w:szCs w:val="20"/>
        </w:rPr>
        <w:t xml:space="preserve"> /</w:t>
      </w:r>
    </w:p>
    <w:p w:rsidR="006E16A0" w:rsidRDefault="00DB11F4" w:rsidP="005C6840">
      <w:pPr>
        <w:jc w:val="both"/>
        <w:rPr>
          <w:rFonts w:cs="Times New Roman"/>
          <w:b/>
          <w:sz w:val="20"/>
          <w:szCs w:val="20"/>
        </w:rPr>
      </w:pPr>
      <w:r w:rsidRPr="002847F7">
        <w:rPr>
          <w:b/>
          <w:sz w:val="20"/>
          <w:lang w:val="en-US"/>
        </w:rPr>
        <w:t xml:space="preserve">Répertorié : Saskatchewan (Human Rights Commission) </w:t>
      </w:r>
      <w:r w:rsidRPr="002847F7">
        <w:rPr>
          <w:b/>
          <w:i/>
          <w:sz w:val="20"/>
          <w:lang w:val="en-US"/>
        </w:rPr>
        <w:t>c.</w:t>
      </w:r>
      <w:r w:rsidRPr="002847F7">
        <w:rPr>
          <w:b/>
          <w:sz w:val="20"/>
          <w:lang w:val="en-US"/>
        </w:rPr>
        <w:t xml:space="preserve"> Whatcott</w:t>
      </w:r>
    </w:p>
    <w:p w:rsidR="005C6840" w:rsidRPr="0078316E" w:rsidRDefault="005C6840" w:rsidP="005C6840">
      <w:pPr>
        <w:pStyle w:val="SCCSystemYear"/>
        <w:jc w:val="both"/>
        <w:rPr>
          <w:sz w:val="20"/>
        </w:rPr>
      </w:pPr>
      <w:r w:rsidRPr="0078316E">
        <w:rPr>
          <w:sz w:val="20"/>
        </w:rPr>
        <w:t>Neutral citation:  201</w:t>
      </w:r>
      <w:r w:rsidR="00F761A3" w:rsidRPr="0078316E">
        <w:rPr>
          <w:sz w:val="20"/>
        </w:rPr>
        <w:t>3</w:t>
      </w:r>
      <w:r w:rsidRPr="0078316E">
        <w:rPr>
          <w:sz w:val="20"/>
        </w:rPr>
        <w:t xml:space="preserve"> SCC </w:t>
      </w:r>
      <w:r w:rsidR="007F387B" w:rsidRPr="0078316E">
        <w:rPr>
          <w:sz w:val="20"/>
        </w:rPr>
        <w:t>1</w:t>
      </w:r>
      <w:r w:rsidR="006E16A0" w:rsidRPr="0078316E">
        <w:rPr>
          <w:sz w:val="20"/>
        </w:rPr>
        <w:t>1</w:t>
      </w:r>
      <w:r w:rsidRPr="0078316E">
        <w:rPr>
          <w:sz w:val="20"/>
        </w:rPr>
        <w:t xml:space="preserve"> / Référence neutre : 201</w:t>
      </w:r>
      <w:r w:rsidR="00F761A3" w:rsidRPr="0078316E">
        <w:rPr>
          <w:sz w:val="20"/>
        </w:rPr>
        <w:t>3</w:t>
      </w:r>
      <w:r w:rsidRPr="0078316E">
        <w:rPr>
          <w:sz w:val="20"/>
        </w:rPr>
        <w:t xml:space="preserve"> CSC </w:t>
      </w:r>
      <w:r w:rsidR="007F387B" w:rsidRPr="0078316E">
        <w:rPr>
          <w:sz w:val="20"/>
        </w:rPr>
        <w:t>1</w:t>
      </w:r>
      <w:r w:rsidR="006E16A0" w:rsidRPr="0078316E">
        <w:rPr>
          <w:sz w:val="20"/>
        </w:rPr>
        <w:t>1</w:t>
      </w:r>
    </w:p>
    <w:p w:rsidR="005C6840" w:rsidRPr="0078316E" w:rsidRDefault="005C6840" w:rsidP="005C6840">
      <w:pPr>
        <w:rPr>
          <w:rFonts w:cs="Times New Roman"/>
          <w:sz w:val="20"/>
          <w:szCs w:val="20"/>
          <w:lang w:val="fr-CA"/>
        </w:rPr>
      </w:pPr>
      <w:r w:rsidRPr="0078316E">
        <w:rPr>
          <w:rFonts w:cs="Times New Roman"/>
          <w:sz w:val="20"/>
          <w:szCs w:val="20"/>
          <w:lang w:val="fr-CA"/>
        </w:rPr>
        <w:t xml:space="preserve">Hearing:  October </w:t>
      </w:r>
      <w:r w:rsidR="006E16A0" w:rsidRPr="0078316E">
        <w:rPr>
          <w:rFonts w:cs="Times New Roman"/>
          <w:sz w:val="20"/>
          <w:szCs w:val="20"/>
          <w:lang w:val="fr-CA"/>
        </w:rPr>
        <w:t>12</w:t>
      </w:r>
      <w:r w:rsidRPr="0078316E">
        <w:rPr>
          <w:rFonts w:cs="Times New Roman"/>
          <w:sz w:val="20"/>
          <w:szCs w:val="20"/>
          <w:lang w:val="fr-CA"/>
        </w:rPr>
        <w:t>, 201</w:t>
      </w:r>
      <w:r w:rsidR="006E16A0" w:rsidRPr="0078316E">
        <w:rPr>
          <w:rFonts w:cs="Times New Roman"/>
          <w:sz w:val="20"/>
          <w:szCs w:val="20"/>
          <w:lang w:val="fr-CA"/>
        </w:rPr>
        <w:t>1</w:t>
      </w:r>
      <w:r w:rsidRPr="0078316E">
        <w:rPr>
          <w:rFonts w:cs="Times New Roman"/>
          <w:sz w:val="20"/>
          <w:szCs w:val="20"/>
          <w:lang w:val="fr-CA"/>
        </w:rPr>
        <w:t xml:space="preserve"> / Judgment:  </w:t>
      </w:r>
      <w:r w:rsidR="006E16A0" w:rsidRPr="0078316E">
        <w:rPr>
          <w:rFonts w:cs="Times New Roman"/>
          <w:sz w:val="20"/>
          <w:szCs w:val="20"/>
          <w:lang w:val="fr-CA"/>
        </w:rPr>
        <w:t>Feb</w:t>
      </w:r>
      <w:r w:rsidRPr="0078316E">
        <w:rPr>
          <w:rFonts w:cs="Times New Roman"/>
          <w:sz w:val="20"/>
          <w:szCs w:val="20"/>
          <w:lang w:val="fr-CA"/>
        </w:rPr>
        <w:t>r</w:t>
      </w:r>
      <w:r w:rsidR="006E16A0" w:rsidRPr="0078316E">
        <w:rPr>
          <w:rFonts w:cs="Times New Roman"/>
          <w:sz w:val="20"/>
          <w:szCs w:val="20"/>
          <w:lang w:val="fr-CA"/>
        </w:rPr>
        <w:t>uary</w:t>
      </w:r>
      <w:r w:rsidRPr="0078316E">
        <w:rPr>
          <w:rFonts w:cs="Times New Roman"/>
          <w:sz w:val="20"/>
          <w:szCs w:val="20"/>
          <w:lang w:val="fr-CA"/>
        </w:rPr>
        <w:t xml:space="preserve"> 27, 201</w:t>
      </w:r>
      <w:r w:rsidR="006E16A0" w:rsidRPr="0078316E">
        <w:rPr>
          <w:rFonts w:cs="Times New Roman"/>
          <w:sz w:val="20"/>
          <w:szCs w:val="20"/>
          <w:lang w:val="fr-CA"/>
        </w:rPr>
        <w:t>3</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6E16A0">
        <w:rPr>
          <w:rFonts w:cs="Times New Roman"/>
          <w:sz w:val="20"/>
          <w:szCs w:val="20"/>
          <w:lang w:val="fr-CA"/>
        </w:rPr>
        <w:t>12</w:t>
      </w:r>
      <w:r w:rsidRPr="003B3977">
        <w:rPr>
          <w:rFonts w:cs="Times New Roman"/>
          <w:sz w:val="20"/>
          <w:szCs w:val="20"/>
          <w:lang w:val="fr-CA"/>
        </w:rPr>
        <w:t xml:space="preserve"> octobre 201</w:t>
      </w:r>
      <w:r w:rsidR="006E16A0">
        <w:rPr>
          <w:rFonts w:cs="Times New Roman"/>
          <w:sz w:val="20"/>
          <w:szCs w:val="20"/>
          <w:lang w:val="fr-CA"/>
        </w:rPr>
        <w:t>1</w:t>
      </w:r>
      <w:r w:rsidRPr="003B3977">
        <w:rPr>
          <w:rFonts w:cs="Times New Roman"/>
          <w:sz w:val="20"/>
          <w:szCs w:val="20"/>
          <w:lang w:val="fr-CA"/>
        </w:rPr>
        <w:t xml:space="preserve"> / Jugement : Le 27 </w:t>
      </w:r>
      <w:r w:rsidR="006E16A0">
        <w:rPr>
          <w:rFonts w:cs="Times New Roman"/>
          <w:sz w:val="20"/>
          <w:szCs w:val="20"/>
          <w:lang w:val="fr-CA"/>
        </w:rPr>
        <w:t>février</w:t>
      </w:r>
      <w:r w:rsidRPr="003B3977">
        <w:rPr>
          <w:rFonts w:cs="Times New Roman"/>
          <w:sz w:val="20"/>
          <w:szCs w:val="20"/>
          <w:lang w:val="fr-CA"/>
        </w:rPr>
        <w:t xml:space="preserve"> 201</w:t>
      </w:r>
      <w:r w:rsidR="006E16A0">
        <w:rPr>
          <w:rFonts w:cs="Times New Roman"/>
          <w:sz w:val="20"/>
          <w:szCs w:val="20"/>
          <w:lang w:val="fr-CA"/>
        </w:rPr>
        <w:t>3</w:t>
      </w:r>
    </w:p>
    <w:p w:rsidR="005C6840" w:rsidRPr="003B3977" w:rsidRDefault="00CB0178" w:rsidP="005C6840">
      <w:pPr>
        <w:rPr>
          <w:rFonts w:cs="Times New Roman"/>
          <w:sz w:val="20"/>
          <w:szCs w:val="20"/>
          <w:lang w:val="fr-CA"/>
        </w:rPr>
      </w:pPr>
      <w:r w:rsidRPr="00CB0178">
        <w:rPr>
          <w:rFonts w:cs="Times New Roman"/>
          <w:i/>
          <w:sz w:val="20"/>
          <w:szCs w:val="20"/>
        </w:rPr>
        <w:pict>
          <v:rect id="_x0000_i1072"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6D5C50" w:rsidRPr="00966AB6" w:rsidRDefault="006D5C50" w:rsidP="006D5C50">
      <w:pPr>
        <w:jc w:val="both"/>
        <w:rPr>
          <w:sz w:val="20"/>
          <w:szCs w:val="20"/>
        </w:rPr>
      </w:pPr>
      <w:r w:rsidRPr="00966AB6">
        <w:rPr>
          <w:sz w:val="20"/>
          <w:szCs w:val="20"/>
        </w:rPr>
        <w:t>Present:  McLachlin C.J. and LeBel, Deschamps,</w:t>
      </w:r>
      <w:r w:rsidRPr="00966AB6">
        <w:rPr>
          <w:rStyle w:val="FootnoteReference"/>
          <w:sz w:val="20"/>
          <w:szCs w:val="20"/>
        </w:rPr>
        <w:footnoteReference w:customMarkFollows="1" w:id="1"/>
        <w:sym w:font="Symbol" w:char="F02A"/>
      </w:r>
      <w:r w:rsidRPr="00966AB6">
        <w:rPr>
          <w:sz w:val="20"/>
          <w:szCs w:val="20"/>
        </w:rPr>
        <w:t xml:space="preserve"> Fish, Abella, Rothstein and Cromwell JJ.</w:t>
      </w:r>
    </w:p>
    <w:p w:rsidR="006D5C50" w:rsidRPr="006D5C50" w:rsidRDefault="006D5C50" w:rsidP="006D5C50">
      <w:pPr>
        <w:pStyle w:val="SCCNormalDoubleSpacing"/>
        <w:spacing w:line="240" w:lineRule="auto"/>
        <w:rPr>
          <w:sz w:val="20"/>
          <w:lang w:val="en-US"/>
        </w:rPr>
      </w:pPr>
    </w:p>
    <w:p w:rsidR="006D5C50" w:rsidRPr="00966AB6" w:rsidRDefault="006D5C50" w:rsidP="006D5C50">
      <w:pPr>
        <w:pStyle w:val="SCCNormalDoubleSpacing"/>
        <w:spacing w:line="240" w:lineRule="auto"/>
        <w:rPr>
          <w:i/>
          <w:sz w:val="20"/>
        </w:rPr>
      </w:pPr>
      <w:r w:rsidRPr="00966AB6">
        <w:rPr>
          <w:sz w:val="20"/>
        </w:rPr>
        <w:tab/>
      </w:r>
      <w:r w:rsidRPr="00966AB6">
        <w:rPr>
          <w:i/>
          <w:sz w:val="20"/>
        </w:rPr>
        <w:t>Constitutional law — Charter of Rights — Freedom of religion — Hate publications — Whether provincial human rights legislation prohibiting publications that expose or tend to expose to hatred, ridicule, belittle or otherwise affront dignity of persons on basis of prohibited ground infringes guaranteed freedom of religion — If so, whether infringement justified — Saskatchewan Human Rights Code, S.S. 1979, c. S</w:t>
      </w:r>
      <w:r w:rsidRPr="00966AB6">
        <w:rPr>
          <w:i/>
          <w:sz w:val="20"/>
        </w:rPr>
        <w:noBreakHyphen/>
        <w:t>24.1, s. 14(1)(b) — Canadian Charter of Rights and Freedoms, ss. 1, 2(a).</w:t>
      </w:r>
    </w:p>
    <w:p w:rsidR="006D5C50" w:rsidRDefault="006D5C50" w:rsidP="006D5C50">
      <w:pPr>
        <w:pStyle w:val="SCCNormalDoubleSpacing"/>
        <w:spacing w:line="240" w:lineRule="auto"/>
        <w:rPr>
          <w:i/>
          <w:sz w:val="20"/>
        </w:rPr>
      </w:pPr>
    </w:p>
    <w:p w:rsidR="006E16A0" w:rsidRDefault="006D5C50" w:rsidP="006D5C50">
      <w:pPr>
        <w:rPr>
          <w:rFonts w:cs="Times New Roman"/>
          <w:sz w:val="20"/>
          <w:szCs w:val="20"/>
        </w:rPr>
      </w:pPr>
      <w:r w:rsidRPr="00966AB6">
        <w:rPr>
          <w:i/>
          <w:sz w:val="20"/>
          <w:szCs w:val="20"/>
        </w:rPr>
        <w:tab/>
        <w:t>Constitutional law — Charter of Rights — Freedom of expression — Hate publications — Whether provincial human rights legislation prohibiting publications that expose or tend to expose to hatred, ridicule, belittle or otherwise affront dignity of persons on basis of prohibited ground infringes guaranteed freedom of expression — If so, whether infringement justified — Saskatchewan Human Rights Code, S.S. 1979, c. S</w:t>
      </w:r>
      <w:r w:rsidRPr="00966AB6">
        <w:rPr>
          <w:i/>
          <w:sz w:val="20"/>
          <w:szCs w:val="20"/>
        </w:rPr>
        <w:noBreakHyphen/>
        <w:t>24.1, s. 14(1)(b) — Canadian Charter of Rights and Freedoms, ss. 1, 2(b).</w:t>
      </w:r>
    </w:p>
    <w:p w:rsidR="006E16A0" w:rsidRDefault="006E16A0" w:rsidP="005C6840">
      <w:pPr>
        <w:rPr>
          <w:rFonts w:cs="Times New Roman"/>
          <w:sz w:val="20"/>
          <w:szCs w:val="20"/>
        </w:rPr>
      </w:pPr>
    </w:p>
    <w:p w:rsidR="006D5C50" w:rsidRDefault="006D5C50" w:rsidP="006D5C50">
      <w:pPr>
        <w:pStyle w:val="SCCNormalDoubleSpacing"/>
        <w:spacing w:line="240" w:lineRule="auto"/>
        <w:rPr>
          <w:i/>
          <w:sz w:val="20"/>
        </w:rPr>
      </w:pPr>
      <w:r w:rsidRPr="00966AB6">
        <w:rPr>
          <w:i/>
          <w:sz w:val="20"/>
        </w:rPr>
        <w:tab/>
        <w:t xml:space="preserve">Administrative law — Appeals — Standard of review — Human rights tribunal finding that hate publications infringe provincial human rights legislation and that provincial human rights legislation prohibiting hate publications is constitutional — Whether decision reviewable on standard of correctness or reasonableness — Whether tribunal made reviewable error. </w:t>
      </w:r>
    </w:p>
    <w:p w:rsidR="006E16A0" w:rsidRDefault="006E16A0" w:rsidP="005C6840">
      <w:pPr>
        <w:rPr>
          <w:rFonts w:cs="Times New Roman"/>
          <w:sz w:val="20"/>
          <w:szCs w:val="20"/>
        </w:rPr>
      </w:pPr>
    </w:p>
    <w:p w:rsidR="006D5C50" w:rsidRPr="00966AB6" w:rsidRDefault="006D5C50" w:rsidP="006D5C50">
      <w:pPr>
        <w:pStyle w:val="SCCNormalDoubleSpacing"/>
        <w:spacing w:line="240" w:lineRule="auto"/>
        <w:rPr>
          <w:sz w:val="20"/>
        </w:rPr>
      </w:pPr>
      <w:r w:rsidRPr="00966AB6">
        <w:rPr>
          <w:i/>
          <w:sz w:val="20"/>
        </w:rPr>
        <w:tab/>
      </w:r>
      <w:r w:rsidRPr="00966AB6">
        <w:rPr>
          <w:sz w:val="20"/>
        </w:rPr>
        <w:t xml:space="preserve">Four complaints were filed with the Saskatchewan Human Rights Commission concerning four flyers published and distributed by W.  The complainants alleged that the flyers promoted hatred against individuals on the basis of their sexual orientation.  The first two flyers were entitled “Keep Homosexuality out of Saskatoon’s Public Schools!” and “Sodomites in our Public Schools”.  The other two flyers were identical to one another and were a reprint of a page of classified advertisements to which handwritten comments were added.  A tribunal was appointed to hear the complaints.  It held that the flyers constituted publications that contravened s. 14 of </w:t>
      </w:r>
      <w:r w:rsidRPr="00966AB6">
        <w:rPr>
          <w:i/>
          <w:sz w:val="20"/>
        </w:rPr>
        <w:t>The Saskatchewan Human Rights Code</w:t>
      </w:r>
      <w:r w:rsidRPr="00966AB6">
        <w:rPr>
          <w:sz w:val="20"/>
        </w:rPr>
        <w:t xml:space="preserve"> because they exposed persons to hatred and ridicule on the basis of their sexual orientation, and concluded that s. 14 of the </w:t>
      </w:r>
      <w:r w:rsidRPr="00966AB6">
        <w:rPr>
          <w:i/>
          <w:sz w:val="20"/>
        </w:rPr>
        <w:t>Code</w:t>
      </w:r>
      <w:r w:rsidRPr="00966AB6">
        <w:rPr>
          <w:sz w:val="20"/>
        </w:rPr>
        <w:t xml:space="preserve"> was a reasonable restriction on W’s rights to freedom of religion and expression guaranteed by ss. 2(</w:t>
      </w:r>
      <w:r w:rsidRPr="00966AB6">
        <w:rPr>
          <w:i/>
          <w:sz w:val="20"/>
        </w:rPr>
        <w:t>a</w:t>
      </w:r>
      <w:r w:rsidRPr="00966AB6">
        <w:rPr>
          <w:sz w:val="20"/>
        </w:rPr>
        <w:t>) and (</w:t>
      </w:r>
      <w:r w:rsidRPr="00966AB6">
        <w:rPr>
          <w:i/>
          <w:sz w:val="20"/>
        </w:rPr>
        <w:t>b</w:t>
      </w:r>
      <w:r w:rsidRPr="00966AB6">
        <w:rPr>
          <w:sz w:val="20"/>
        </w:rPr>
        <w:t xml:space="preserve">) of the </w:t>
      </w:r>
      <w:r w:rsidRPr="00966AB6">
        <w:rPr>
          <w:i/>
          <w:sz w:val="20"/>
        </w:rPr>
        <w:t>Charter</w:t>
      </w:r>
      <w:r w:rsidRPr="00966AB6">
        <w:rPr>
          <w:sz w:val="20"/>
        </w:rPr>
        <w:t>.  The Court of Queen’s Bench upheld the tribunal’s decision.  The Court of Appeal accepted that the provision was constitutional but held that the flyers did not contravene it.</w:t>
      </w:r>
    </w:p>
    <w:p w:rsidR="006D5C50" w:rsidRDefault="006D5C50" w:rsidP="006D5C50">
      <w:pPr>
        <w:pStyle w:val="SCCNormalDoubleSpacing"/>
        <w:spacing w:line="240" w:lineRule="auto"/>
        <w:rPr>
          <w:sz w:val="20"/>
        </w:rPr>
      </w:pPr>
    </w:p>
    <w:p w:rsidR="006D5C50" w:rsidRPr="00966AB6" w:rsidRDefault="006D5C50" w:rsidP="006D5C50">
      <w:pPr>
        <w:pStyle w:val="SCCNormalDoubleSpacing"/>
        <w:spacing w:line="240" w:lineRule="auto"/>
        <w:rPr>
          <w:sz w:val="20"/>
        </w:rPr>
      </w:pPr>
      <w:r w:rsidRPr="00966AB6">
        <w:rPr>
          <w:sz w:val="20"/>
        </w:rPr>
        <w:tab/>
      </w:r>
      <w:r w:rsidRPr="00966AB6">
        <w:rPr>
          <w:i/>
          <w:sz w:val="20"/>
        </w:rPr>
        <w:t>Held:</w:t>
      </w:r>
      <w:r w:rsidRPr="00966AB6">
        <w:rPr>
          <w:sz w:val="20"/>
        </w:rPr>
        <w:t xml:space="preserve">  The appeal should be allowed in part.</w:t>
      </w:r>
    </w:p>
    <w:p w:rsidR="006D5C50" w:rsidRDefault="006D5C50" w:rsidP="006D5C50">
      <w:pPr>
        <w:pStyle w:val="SCCNormalDoubleSpacing"/>
        <w:spacing w:line="240" w:lineRule="auto"/>
        <w:rPr>
          <w:sz w:val="20"/>
        </w:rPr>
      </w:pPr>
    </w:p>
    <w:p w:rsidR="006D5C50" w:rsidRPr="00966AB6" w:rsidRDefault="006D5C50" w:rsidP="006D5C50">
      <w:pPr>
        <w:pStyle w:val="SCCNormalDoubleSpacing"/>
        <w:spacing w:line="240" w:lineRule="auto"/>
        <w:rPr>
          <w:sz w:val="20"/>
        </w:rPr>
      </w:pPr>
      <w:r w:rsidRPr="00966AB6">
        <w:rPr>
          <w:sz w:val="20"/>
        </w:rPr>
        <w:tab/>
        <w:t xml:space="preserve">The definition of “hatred” set out in </w:t>
      </w:r>
      <w:r w:rsidRPr="00966AB6">
        <w:rPr>
          <w:i/>
          <w:sz w:val="20"/>
        </w:rPr>
        <w:t>Canada (Human Rights Commission) v. Taylor</w:t>
      </w:r>
      <w:r w:rsidRPr="00966AB6">
        <w:rPr>
          <w:sz w:val="20"/>
        </w:rPr>
        <w:t xml:space="preserve">, [1990] 3 S.C.R. 892, with some modifications, provides a workable approach to interpreting the word “hatred” as it is used in legislative provisions prohibiting hate speech.  Three main prescriptions must be followed.  First, courts must apply the hate speech prohibitions objectively.  The question courts must ask is whether a reasonable person, aware of the context and circumstances, would view the expression as exposing the protected group to hatred.  Second, the legislative term “hatred” or “hatred and contempt” must be interpreted as being restricted to those extreme manifestations of the emotion described by the words “detestation” and “vilification”.  This filters out expression which, while repugnant and offensive, does not incite the level of abhorrence, delegitimization and rejection that risks causing discrimination or other harmful effects.  Third, tribunals must focus their analysis on the effect of the expression at issue, namely whether it is likely to expose the targeted person or group to hatred by others.  The repugnancy of the ideas being expressed is not sufficient to justify restricting the expression, and whether or not the author of the expression intended to incite </w:t>
      </w:r>
      <w:r w:rsidRPr="00966AB6">
        <w:rPr>
          <w:sz w:val="20"/>
        </w:rPr>
        <w:lastRenderedPageBreak/>
        <w:t>hatred or discriminatory treatment is irrelevant.  The key is to determine the likely effect of the expression on its audience, keeping in mind the legislative objectives to reduce or eliminate discrimination.  In light of these three directives, the term “hatred” contained in a legislative hate speech prohibition should be applied objectively to determine whether a reasonable person, aware of the context and circumstances, would view the expression as likely to expose a person or persons to detestation and vilification on the basis of a prohibited ground of discrimination.</w:t>
      </w:r>
    </w:p>
    <w:p w:rsidR="006D5C50" w:rsidRDefault="006D5C50" w:rsidP="006D5C50">
      <w:pPr>
        <w:pStyle w:val="SCCNormalDoubleSpacing"/>
        <w:spacing w:line="240" w:lineRule="auto"/>
        <w:rPr>
          <w:sz w:val="20"/>
        </w:rPr>
      </w:pPr>
    </w:p>
    <w:p w:rsidR="006D5C50" w:rsidRPr="00966AB6" w:rsidRDefault="006D5C50" w:rsidP="006D5C50">
      <w:pPr>
        <w:pStyle w:val="SCCNormalDoubleSpacing"/>
        <w:spacing w:line="240" w:lineRule="auto"/>
        <w:rPr>
          <w:sz w:val="20"/>
        </w:rPr>
      </w:pPr>
      <w:r w:rsidRPr="00966AB6">
        <w:rPr>
          <w:sz w:val="20"/>
        </w:rPr>
        <w:tab/>
        <w:t>The statutory prohibition against hate speech at s. 14(1)(</w:t>
      </w:r>
      <w:r w:rsidRPr="00966AB6">
        <w:rPr>
          <w:i/>
          <w:sz w:val="20"/>
        </w:rPr>
        <w:t>b</w:t>
      </w:r>
      <w:r w:rsidRPr="00966AB6">
        <w:rPr>
          <w:sz w:val="20"/>
        </w:rPr>
        <w:t xml:space="preserve">) of the </w:t>
      </w:r>
      <w:r w:rsidRPr="00966AB6">
        <w:rPr>
          <w:i/>
          <w:sz w:val="20"/>
        </w:rPr>
        <w:t>Code</w:t>
      </w:r>
      <w:r w:rsidRPr="00966AB6">
        <w:rPr>
          <w:sz w:val="20"/>
        </w:rPr>
        <w:t xml:space="preserve"> infringes the freedom of expression guaranteed under s. 2(</w:t>
      </w:r>
      <w:r w:rsidRPr="00966AB6">
        <w:rPr>
          <w:i/>
          <w:sz w:val="20"/>
        </w:rPr>
        <w:t>b</w:t>
      </w:r>
      <w:r w:rsidRPr="00966AB6">
        <w:rPr>
          <w:sz w:val="20"/>
        </w:rPr>
        <w:t xml:space="preserve">) of the </w:t>
      </w:r>
      <w:r w:rsidRPr="00966AB6">
        <w:rPr>
          <w:i/>
          <w:sz w:val="20"/>
        </w:rPr>
        <w:t>Charter</w:t>
      </w:r>
      <w:r w:rsidRPr="00966AB6">
        <w:rPr>
          <w:sz w:val="20"/>
        </w:rPr>
        <w:t>.  The activity described in s. 14(1)(</w:t>
      </w:r>
      <w:r w:rsidRPr="00966AB6">
        <w:rPr>
          <w:i/>
          <w:sz w:val="20"/>
        </w:rPr>
        <w:t>b</w:t>
      </w:r>
      <w:r w:rsidRPr="00966AB6">
        <w:rPr>
          <w:sz w:val="20"/>
        </w:rPr>
        <w:t>) has expressive content and falls within the scope of s. 2(</w:t>
      </w:r>
      <w:r w:rsidRPr="00966AB6">
        <w:rPr>
          <w:i/>
          <w:sz w:val="20"/>
        </w:rPr>
        <w:t>b</w:t>
      </w:r>
      <w:r w:rsidRPr="00966AB6">
        <w:rPr>
          <w:sz w:val="20"/>
        </w:rPr>
        <w:t>) protection.  The purpose of s. 14(1)(</w:t>
      </w:r>
      <w:r w:rsidRPr="00966AB6">
        <w:rPr>
          <w:i/>
          <w:sz w:val="20"/>
        </w:rPr>
        <w:t>b</w:t>
      </w:r>
      <w:r w:rsidRPr="00966AB6">
        <w:rPr>
          <w:sz w:val="20"/>
        </w:rPr>
        <w:t>) is to prevent discrimination by curtailing certain types of public expression.</w:t>
      </w:r>
    </w:p>
    <w:p w:rsidR="006D5C50" w:rsidRDefault="006D5C50" w:rsidP="006D5C50">
      <w:pPr>
        <w:pStyle w:val="SCCNormalDoubleSpacing"/>
        <w:spacing w:line="240" w:lineRule="auto"/>
        <w:rPr>
          <w:sz w:val="20"/>
        </w:rPr>
      </w:pPr>
    </w:p>
    <w:p w:rsidR="006D5C50" w:rsidRPr="00966AB6" w:rsidRDefault="006D5C50" w:rsidP="006D5C50">
      <w:pPr>
        <w:pStyle w:val="SCCNormalDoubleSpacing"/>
        <w:spacing w:line="240" w:lineRule="auto"/>
        <w:rPr>
          <w:sz w:val="20"/>
        </w:rPr>
      </w:pPr>
      <w:r w:rsidRPr="00966AB6">
        <w:rPr>
          <w:sz w:val="20"/>
        </w:rPr>
        <w:tab/>
        <w:t>The limitation imposed on freedom of expression by the prohibition in s. 14(1)(</w:t>
      </w:r>
      <w:r w:rsidRPr="00966AB6">
        <w:rPr>
          <w:i/>
          <w:sz w:val="20"/>
        </w:rPr>
        <w:t>b</w:t>
      </w:r>
      <w:r w:rsidRPr="00966AB6">
        <w:rPr>
          <w:sz w:val="20"/>
        </w:rPr>
        <w:t xml:space="preserve">) of the </w:t>
      </w:r>
      <w:r w:rsidRPr="00966AB6">
        <w:rPr>
          <w:i/>
          <w:sz w:val="20"/>
        </w:rPr>
        <w:t>Code</w:t>
      </w:r>
      <w:r w:rsidRPr="00966AB6">
        <w:rPr>
          <w:sz w:val="20"/>
        </w:rPr>
        <w:t xml:space="preserve"> is a limitation prescribed by law within the meaning of s. 1 of the </w:t>
      </w:r>
      <w:r w:rsidRPr="00966AB6">
        <w:rPr>
          <w:i/>
          <w:sz w:val="20"/>
        </w:rPr>
        <w:t>Charter</w:t>
      </w:r>
      <w:r w:rsidRPr="00966AB6">
        <w:rPr>
          <w:sz w:val="20"/>
        </w:rPr>
        <w:t xml:space="preserve"> and is demonstrably justified in a free and democratic society.  It appropriately balances the fundamental values underlying freedom of expression with competing </w:t>
      </w:r>
      <w:r w:rsidRPr="00966AB6">
        <w:rPr>
          <w:i/>
          <w:sz w:val="20"/>
        </w:rPr>
        <w:t>Charter</w:t>
      </w:r>
      <w:r w:rsidRPr="00966AB6">
        <w:rPr>
          <w:sz w:val="20"/>
        </w:rPr>
        <w:t xml:space="preserve"> rights and other values essential to a free and democratic society, in this case a commitment to equality and respect for group identity and the inherent dignity owed to all human beings.</w:t>
      </w:r>
    </w:p>
    <w:p w:rsidR="006D5C50" w:rsidRDefault="006D5C50" w:rsidP="006D5C50">
      <w:pPr>
        <w:pStyle w:val="SCCNormalDoubleSpacing"/>
        <w:spacing w:line="240" w:lineRule="auto"/>
        <w:rPr>
          <w:sz w:val="20"/>
        </w:rPr>
      </w:pPr>
    </w:p>
    <w:p w:rsidR="006D5C50" w:rsidRPr="00966AB6" w:rsidRDefault="006D5C50" w:rsidP="006D5C50">
      <w:pPr>
        <w:pStyle w:val="SCCNormalDoubleSpacing"/>
        <w:spacing w:line="240" w:lineRule="auto"/>
        <w:rPr>
          <w:sz w:val="20"/>
        </w:rPr>
      </w:pPr>
      <w:r w:rsidRPr="00966AB6">
        <w:rPr>
          <w:sz w:val="20"/>
        </w:rPr>
        <w:tab/>
        <w:t>The objective for which the limit is imposed, namely tackling causes of discriminatory activity to reduce the harmful effects and social costs of discrimination, is pressing and substantial.  Hate speech is an effort to marginalize individuals based on their membership in a group.  Using expression that exposes the group to hatred, hate speech seeks to delegitimize group members in the eyes of the majority, reducing their social standing and acceptance within society.  Hate speech, therefore, rises beyond causing distress to individual group members.  It can have a societal impact.  Hate speech lays the groundwork for later, broad attacks on vulnerable groups that can range from discrimination, to ostracism, segregation, deportation, violence and, in the most extreme cases, to genocide.  Hate speech also impacts on a protected group’s ability to respond to the substantive ideas under debate, thereby placing a serious barrier to their full participation in our democracy.</w:t>
      </w:r>
    </w:p>
    <w:p w:rsidR="006D5C50" w:rsidRDefault="006D5C50" w:rsidP="006D5C50">
      <w:pPr>
        <w:pStyle w:val="SCCNormalDoubleSpacing"/>
        <w:spacing w:line="240" w:lineRule="auto"/>
        <w:rPr>
          <w:sz w:val="20"/>
        </w:rPr>
      </w:pPr>
    </w:p>
    <w:p w:rsidR="006D5C50" w:rsidRPr="00966AB6" w:rsidRDefault="006D5C50" w:rsidP="006D5C50">
      <w:pPr>
        <w:pStyle w:val="SCCNormalDoubleSpacing"/>
        <w:spacing w:line="240" w:lineRule="auto"/>
        <w:rPr>
          <w:sz w:val="20"/>
        </w:rPr>
      </w:pPr>
      <w:r w:rsidRPr="00966AB6">
        <w:rPr>
          <w:sz w:val="20"/>
        </w:rPr>
        <w:tab/>
        <w:t>Section 14(1)(</w:t>
      </w:r>
      <w:r w:rsidRPr="00966AB6">
        <w:rPr>
          <w:i/>
          <w:sz w:val="20"/>
        </w:rPr>
        <w:t>b</w:t>
      </w:r>
      <w:r w:rsidRPr="00966AB6">
        <w:rPr>
          <w:sz w:val="20"/>
        </w:rPr>
        <w:t xml:space="preserve">) of the </w:t>
      </w:r>
      <w:r w:rsidRPr="00966AB6">
        <w:rPr>
          <w:i/>
          <w:sz w:val="20"/>
        </w:rPr>
        <w:t>Code</w:t>
      </w:r>
      <w:r w:rsidRPr="00966AB6">
        <w:rPr>
          <w:sz w:val="20"/>
        </w:rPr>
        <w:t xml:space="preserve"> is proportionate to its objective.  Prohibiting representations that are objectively seen to expose protected groups to hatred is rationally connected to the objective of eliminating discrimination and the other harmful effects of hatred.  To satisfy the rational connection requirement, the expression captured under legislation restricting hate speech must rise to a level beyond merely impugning individuals: it must seek to marginalize the group by affecting their social status and acceptance in the eyes of the majority.  The societal harm flowing from hate speech must be assessed as objectively as possible and the focus must be on the likely effect of the hate speech on how individuals external to the group might reconsider the social standing of the group.  Section 14(1)(</w:t>
      </w:r>
      <w:r w:rsidRPr="00966AB6">
        <w:rPr>
          <w:i/>
          <w:sz w:val="20"/>
        </w:rPr>
        <w:t>b</w:t>
      </w:r>
      <w:r w:rsidRPr="00966AB6">
        <w:rPr>
          <w:sz w:val="20"/>
        </w:rPr>
        <w:t xml:space="preserve">) of the </w:t>
      </w:r>
      <w:r w:rsidRPr="00966AB6">
        <w:rPr>
          <w:i/>
          <w:sz w:val="20"/>
        </w:rPr>
        <w:t>Code</w:t>
      </w:r>
      <w:r w:rsidRPr="00966AB6">
        <w:rPr>
          <w:sz w:val="20"/>
        </w:rPr>
        <w:t xml:space="preserve"> reflects this approach.  The prohibition only prohibits public communication of hate speech; it does not restrict hateful expression in private communications between individuals.  Similarly, the prohibition does not preclude hate speech against an individual on the basis of his or her uniquely personal characteristics, but only on the basis of characteristics that are shared by others and have been legislatively recognized as a prohibited ground of discrimination.  However, expression that “ridicules, belittles or otherwise affronts the dignity of” does not rise to the level of ardent and extreme feelings constituting hatred required to uphold the constitutionality of a prohibition of expression in human rights legislation.  Accordingly, those words in s. 14(1)(</w:t>
      </w:r>
      <w:r w:rsidRPr="00966AB6">
        <w:rPr>
          <w:i/>
          <w:sz w:val="20"/>
        </w:rPr>
        <w:t>b</w:t>
      </w:r>
      <w:r w:rsidRPr="00966AB6">
        <w:rPr>
          <w:sz w:val="20"/>
        </w:rPr>
        <w:t xml:space="preserve">) of the </w:t>
      </w:r>
      <w:r w:rsidRPr="00966AB6">
        <w:rPr>
          <w:i/>
          <w:sz w:val="20"/>
        </w:rPr>
        <w:t>Code</w:t>
      </w:r>
      <w:r w:rsidRPr="00966AB6">
        <w:rPr>
          <w:sz w:val="20"/>
        </w:rPr>
        <w:t xml:space="preserve"> are not rationally connected to the legislative purpose of addressing systemic discrimination of protected groups and they unjustifiably infringe freedom of expression.  Consequently, they are constitutionally invalid and must be struck from s. 14(1)(</w:t>
      </w:r>
      <w:r w:rsidRPr="00966AB6">
        <w:rPr>
          <w:i/>
          <w:sz w:val="20"/>
        </w:rPr>
        <w:t>b</w:t>
      </w:r>
      <w:r w:rsidRPr="00966AB6">
        <w:rPr>
          <w:sz w:val="20"/>
        </w:rPr>
        <w:t xml:space="preserve">). </w:t>
      </w:r>
    </w:p>
    <w:p w:rsidR="006D5C50" w:rsidRDefault="006D5C50" w:rsidP="006D5C50">
      <w:pPr>
        <w:pStyle w:val="SCCNormalDoubleSpacing"/>
        <w:spacing w:line="240" w:lineRule="auto"/>
        <w:rPr>
          <w:sz w:val="20"/>
        </w:rPr>
      </w:pPr>
    </w:p>
    <w:p w:rsidR="006D5C50" w:rsidRPr="00966AB6" w:rsidRDefault="006D5C50" w:rsidP="006D5C50">
      <w:pPr>
        <w:pStyle w:val="SCCNormalDoubleSpacing"/>
        <w:spacing w:line="240" w:lineRule="auto"/>
        <w:rPr>
          <w:sz w:val="20"/>
        </w:rPr>
      </w:pPr>
      <w:r w:rsidRPr="00966AB6">
        <w:rPr>
          <w:sz w:val="20"/>
        </w:rPr>
        <w:tab/>
        <w:t>Section 14(1)(</w:t>
      </w:r>
      <w:r w:rsidRPr="00966AB6">
        <w:rPr>
          <w:i/>
          <w:sz w:val="20"/>
        </w:rPr>
        <w:t>b</w:t>
      </w:r>
      <w:r w:rsidRPr="00966AB6">
        <w:rPr>
          <w:sz w:val="20"/>
        </w:rPr>
        <w:t xml:space="preserve">) of the </w:t>
      </w:r>
      <w:r w:rsidRPr="00966AB6">
        <w:rPr>
          <w:i/>
          <w:sz w:val="20"/>
        </w:rPr>
        <w:t>Code</w:t>
      </w:r>
      <w:r w:rsidRPr="00966AB6">
        <w:rPr>
          <w:sz w:val="20"/>
        </w:rPr>
        <w:t xml:space="preserve"> meets the minimal impairment requirement.  Alternatives proposed were to allow the marketplace of ideas to arrive at the appropriate balance of competing rights or to leave the prosecution of hate speech to the criminal law.  However, the prohibition in s. 14(1)(</w:t>
      </w:r>
      <w:r w:rsidRPr="00966AB6">
        <w:rPr>
          <w:i/>
          <w:sz w:val="20"/>
        </w:rPr>
        <w:t>b</w:t>
      </w:r>
      <w:r w:rsidRPr="00966AB6">
        <w:rPr>
          <w:sz w:val="20"/>
        </w:rPr>
        <w:t>) is one of the reasonable alternatives that could have been selected by the legislature. The words “ridicules, belittles or otherwise affronts the dignity of” in s. 14(1)(</w:t>
      </w:r>
      <w:r w:rsidRPr="00966AB6">
        <w:rPr>
          <w:i/>
          <w:sz w:val="20"/>
        </w:rPr>
        <w:t>b</w:t>
      </w:r>
      <w:r w:rsidRPr="00966AB6">
        <w:rPr>
          <w:sz w:val="20"/>
        </w:rPr>
        <w:t>) are also constitutionally invalid because they do not minimally impair freedom of expression.  Once those words are severed from s. 14(1)(</w:t>
      </w:r>
      <w:r w:rsidRPr="00966AB6">
        <w:rPr>
          <w:i/>
          <w:sz w:val="20"/>
        </w:rPr>
        <w:t>b</w:t>
      </w:r>
      <w:r w:rsidRPr="00966AB6">
        <w:rPr>
          <w:sz w:val="20"/>
        </w:rPr>
        <w:t xml:space="preserve">), the remaining prohibition is not overbroad, but rather tailored to impair freedom of expression as little as possible.  The modified provision will not capture all harmful expression, but it is intended to capture expression which, by inspiring hatred, has the potential to cause the type of harm that the legislation is trying to prevent. </w:t>
      </w:r>
    </w:p>
    <w:p w:rsidR="006D5C50" w:rsidRDefault="006D5C50" w:rsidP="006D5C50">
      <w:pPr>
        <w:pStyle w:val="SCCNormalDoubleSpacing"/>
        <w:spacing w:line="240" w:lineRule="auto"/>
        <w:rPr>
          <w:sz w:val="20"/>
        </w:rPr>
      </w:pPr>
    </w:p>
    <w:p w:rsidR="006D5C50" w:rsidRPr="00966AB6" w:rsidRDefault="006D5C50" w:rsidP="006D5C50">
      <w:pPr>
        <w:pStyle w:val="SCCNormalDoubleSpacing"/>
        <w:spacing w:line="240" w:lineRule="auto"/>
        <w:rPr>
          <w:sz w:val="20"/>
        </w:rPr>
      </w:pPr>
      <w:r w:rsidRPr="00966AB6">
        <w:rPr>
          <w:sz w:val="20"/>
        </w:rPr>
        <w:lastRenderedPageBreak/>
        <w:tab/>
        <w:t>Not all expression will be treated equally in determining an appropriate balancing of competing values under a s. 1 analysis, since different types of expression will be relatively closer to or further from the core values behind the freedom, depending on the nature of the expression.  Hate speech is at some distance from the spirit of s. 2(</w:t>
      </w:r>
      <w:r w:rsidRPr="00966AB6">
        <w:rPr>
          <w:i/>
          <w:sz w:val="20"/>
        </w:rPr>
        <w:t>b</w:t>
      </w:r>
      <w:r w:rsidRPr="00966AB6">
        <w:rPr>
          <w:sz w:val="20"/>
        </w:rPr>
        <w:t xml:space="preserve">) because it does little to promote, and can in fact impede, the values underlying freedom of expression.  Hate speech can also distort or limit the robust and free exchange of ideas by its tendency to silence the voice of its target group.  These are important considerations in balancing hate speech with competing </w:t>
      </w:r>
      <w:r w:rsidRPr="00966AB6">
        <w:rPr>
          <w:i/>
          <w:sz w:val="20"/>
        </w:rPr>
        <w:t>Charter</w:t>
      </w:r>
      <w:r w:rsidRPr="00966AB6">
        <w:rPr>
          <w:sz w:val="20"/>
        </w:rPr>
        <w:t xml:space="preserve"> rights and in assessing the constitutionality of the prohibition in s. 14(1)(</w:t>
      </w:r>
      <w:r w:rsidRPr="00966AB6">
        <w:rPr>
          <w:i/>
          <w:sz w:val="20"/>
        </w:rPr>
        <w:t>b</w:t>
      </w:r>
      <w:r w:rsidRPr="00966AB6">
        <w:rPr>
          <w:sz w:val="20"/>
        </w:rPr>
        <w:t xml:space="preserve">) of the </w:t>
      </w:r>
      <w:r w:rsidRPr="00966AB6">
        <w:rPr>
          <w:i/>
          <w:sz w:val="20"/>
        </w:rPr>
        <w:t>Code</w:t>
      </w:r>
      <w:r w:rsidRPr="00966AB6">
        <w:rPr>
          <w:sz w:val="20"/>
        </w:rPr>
        <w:t>.</w:t>
      </w:r>
    </w:p>
    <w:p w:rsidR="006D5C50" w:rsidRDefault="006D5C50" w:rsidP="006D5C50">
      <w:pPr>
        <w:pStyle w:val="SCCNormalDoubleSpacing"/>
        <w:spacing w:line="240" w:lineRule="auto"/>
        <w:rPr>
          <w:sz w:val="20"/>
        </w:rPr>
      </w:pPr>
    </w:p>
    <w:p w:rsidR="006D5C50" w:rsidRPr="00966AB6" w:rsidRDefault="006D5C50" w:rsidP="006D5C50">
      <w:pPr>
        <w:pStyle w:val="SCCNormalDoubleSpacing"/>
        <w:spacing w:line="240" w:lineRule="auto"/>
        <w:rPr>
          <w:sz w:val="20"/>
        </w:rPr>
      </w:pPr>
      <w:r w:rsidRPr="00966AB6">
        <w:rPr>
          <w:sz w:val="20"/>
        </w:rPr>
        <w:tab/>
        <w:t xml:space="preserve">Framing speech as arising in a moral context or within a public policy debate does not cleanse it of its harmful effect.  Finding that certain expression falls within political speech does not close off the enquiry into whether the expression constitutes hate speech.  Hate speech may often arise as a part of a larger public discourse but it is speech of a restrictive and exclusionary kind.  Political expression contributes to our democracy by encouraging the exchange of opposing views.  Hate speech is antithetical to this objective in that it shuts down dialogue by making it difficult or impossible for members of the vulnerable group to respond, thereby stifling discourse.  Speech that has the effect of shutting down public debate cannot dodge prohibition on the basis that it promotes debate.  Section 14 of the </w:t>
      </w:r>
      <w:r w:rsidRPr="00966AB6">
        <w:rPr>
          <w:i/>
          <w:sz w:val="20"/>
        </w:rPr>
        <w:t>Code</w:t>
      </w:r>
      <w:r w:rsidRPr="00966AB6">
        <w:rPr>
          <w:sz w:val="20"/>
        </w:rPr>
        <w:t xml:space="preserve"> provides an appropriate means by which to protect almost the entirety of political discourse as a vital part of freedom of expression.  It extricates only an extreme and marginal type of expression which contributes little to the values underlying freedom of expression and whose restriction is therefore easier to justify. </w:t>
      </w:r>
    </w:p>
    <w:p w:rsidR="006D5C50" w:rsidRDefault="006D5C50" w:rsidP="006D5C50">
      <w:pPr>
        <w:pStyle w:val="SCCNormalDoubleSpacing"/>
        <w:spacing w:line="240" w:lineRule="auto"/>
        <w:rPr>
          <w:sz w:val="20"/>
        </w:rPr>
      </w:pPr>
    </w:p>
    <w:p w:rsidR="006D5C50" w:rsidRPr="00966AB6" w:rsidRDefault="006D5C50" w:rsidP="006D5C50">
      <w:pPr>
        <w:pStyle w:val="SCCNormalDoubleSpacing"/>
        <w:spacing w:line="240" w:lineRule="auto"/>
        <w:rPr>
          <w:sz w:val="20"/>
        </w:rPr>
      </w:pPr>
      <w:r w:rsidRPr="00966AB6">
        <w:rPr>
          <w:sz w:val="20"/>
        </w:rPr>
        <w:tab/>
        <w:t>A prohibition is not overbroad for capturing expression targeting sexual behaviour.  Courts have recognized a strong connection between sexual orientation and sexual conduct and where the conduct targeted by speech is a crucial aspect of the identity of a vulnerable group, attacks on this conduct stand as proxy for attacks on the group itself.  If expression targeting certain sexual behaviour is framed in such a way as to expose persons of an identifiable sexual orientation to what is objectively viewed as detestation and vilification, it cannot be said that such speech only targets the behaviour.  It quite clearly targets the vulnerable group. </w:t>
      </w:r>
    </w:p>
    <w:p w:rsidR="006D5C50" w:rsidRDefault="006D5C50" w:rsidP="006D5C50">
      <w:pPr>
        <w:pStyle w:val="SCCNormalDoubleSpacing"/>
        <w:spacing w:line="240" w:lineRule="auto"/>
        <w:rPr>
          <w:sz w:val="20"/>
        </w:rPr>
      </w:pPr>
    </w:p>
    <w:p w:rsidR="006D5C50" w:rsidRPr="00966AB6" w:rsidRDefault="006D5C50" w:rsidP="006D5C50">
      <w:pPr>
        <w:pStyle w:val="SCCNormalDoubleSpacing"/>
        <w:spacing w:line="240" w:lineRule="auto"/>
        <w:rPr>
          <w:sz w:val="20"/>
        </w:rPr>
      </w:pPr>
      <w:r w:rsidRPr="00966AB6">
        <w:rPr>
          <w:sz w:val="20"/>
        </w:rPr>
        <w:tab/>
        <w:t>The fact that s. 14(1)(</w:t>
      </w:r>
      <w:r w:rsidRPr="00966AB6">
        <w:rPr>
          <w:i/>
          <w:sz w:val="20"/>
        </w:rPr>
        <w:t>b</w:t>
      </w:r>
      <w:r w:rsidRPr="00966AB6">
        <w:rPr>
          <w:sz w:val="20"/>
        </w:rPr>
        <w:t xml:space="preserve">) of the </w:t>
      </w:r>
      <w:r w:rsidRPr="00966AB6">
        <w:rPr>
          <w:i/>
          <w:sz w:val="20"/>
        </w:rPr>
        <w:t>Code</w:t>
      </w:r>
      <w:r w:rsidRPr="00966AB6">
        <w:rPr>
          <w:sz w:val="20"/>
        </w:rPr>
        <w:t xml:space="preserve"> does not require intent by the publisher or proof of harm, or provide for any defences does not make it overbroad.  Systemic discrimination is more widespread than intentional discrimination and the preventive measures found in human rights legislation reasonably centre on effects, rather than intent.  The difficulty of establishing causality and the seriousness of the harm to vulnerable groups justifies the imposition of preventive measures that do not require proof of actual harm.  The discriminatory effects of hate speech are part of the everyday knowledge and experience of Canadians.  As such, the legislature is entitled to a reasonable apprehension of societal harm as a result of hate speech.  The lack of defences is not fatal to the constitutionality of the provision.  Truthful statements can be presented in a manner that would meet the definition of hate speech, and not all truthful statements must be free from restriction.  Allowing the dissemination of hate speech to be excused by a sincerely held belief would provide an absolute defence and would gut the prohibition of effectiveness.</w:t>
      </w:r>
    </w:p>
    <w:p w:rsidR="006D5C50" w:rsidRDefault="006D5C50" w:rsidP="006D5C50">
      <w:pPr>
        <w:pStyle w:val="SCCNormalDoubleSpacing"/>
        <w:spacing w:line="240" w:lineRule="auto"/>
        <w:rPr>
          <w:sz w:val="20"/>
        </w:rPr>
      </w:pPr>
    </w:p>
    <w:p w:rsidR="006D5C50" w:rsidRPr="00966AB6" w:rsidRDefault="006D5C50" w:rsidP="006D5C50">
      <w:pPr>
        <w:pStyle w:val="SCCNormalDoubleSpacing"/>
        <w:spacing w:line="240" w:lineRule="auto"/>
        <w:rPr>
          <w:sz w:val="20"/>
        </w:rPr>
      </w:pPr>
      <w:r w:rsidRPr="00966AB6">
        <w:rPr>
          <w:sz w:val="20"/>
        </w:rPr>
        <w:tab/>
        <w:t>The benefits of the suppression of hate speech and its harmful effects outweigh the detrimental effect of restricting expression which, by its nature, does little to promote the values underlying freedom of expression.  Section 14(1)(</w:t>
      </w:r>
      <w:r w:rsidRPr="00966AB6">
        <w:rPr>
          <w:i/>
          <w:sz w:val="20"/>
        </w:rPr>
        <w:t>b</w:t>
      </w:r>
      <w:r w:rsidRPr="00966AB6">
        <w:rPr>
          <w:sz w:val="20"/>
        </w:rPr>
        <w:t xml:space="preserve">) of the </w:t>
      </w:r>
      <w:r w:rsidRPr="00966AB6">
        <w:rPr>
          <w:i/>
          <w:sz w:val="20"/>
        </w:rPr>
        <w:t>Code</w:t>
      </w:r>
      <w:r w:rsidRPr="00966AB6">
        <w:rPr>
          <w:sz w:val="20"/>
        </w:rPr>
        <w:t xml:space="preserve"> represents a choice by the legislature to discourage hate speech in a manner that is conciliatory and remedial.  The protection of vulnerable groups from the harmful effect emanating from hate speech is of such importance as to justify the minimal infringement of expression.</w:t>
      </w:r>
    </w:p>
    <w:p w:rsidR="006D5C50" w:rsidRDefault="006D5C50" w:rsidP="006D5C50">
      <w:pPr>
        <w:pStyle w:val="SCCNormalDoubleSpacing"/>
        <w:spacing w:line="240" w:lineRule="auto"/>
        <w:rPr>
          <w:sz w:val="20"/>
        </w:rPr>
      </w:pPr>
    </w:p>
    <w:p w:rsidR="006D5C50" w:rsidRPr="00966AB6" w:rsidRDefault="006D5C50" w:rsidP="006D5C50">
      <w:pPr>
        <w:pStyle w:val="SCCNormalDoubleSpacing"/>
        <w:spacing w:line="240" w:lineRule="auto"/>
        <w:rPr>
          <w:sz w:val="20"/>
        </w:rPr>
      </w:pPr>
      <w:r w:rsidRPr="00966AB6">
        <w:rPr>
          <w:sz w:val="20"/>
        </w:rPr>
        <w:tab/>
        <w:t>Section 14(1)(</w:t>
      </w:r>
      <w:r w:rsidRPr="00966AB6">
        <w:rPr>
          <w:i/>
          <w:sz w:val="20"/>
        </w:rPr>
        <w:t>b</w:t>
      </w:r>
      <w:r w:rsidRPr="00966AB6">
        <w:rPr>
          <w:sz w:val="20"/>
        </w:rPr>
        <w:t xml:space="preserve">) of the </w:t>
      </w:r>
      <w:r w:rsidRPr="00966AB6">
        <w:rPr>
          <w:i/>
          <w:sz w:val="20"/>
        </w:rPr>
        <w:t>Code</w:t>
      </w:r>
      <w:r w:rsidRPr="00966AB6">
        <w:rPr>
          <w:sz w:val="20"/>
        </w:rPr>
        <w:t xml:space="preserve"> also infringes freedom of conscience and religion as guaranteed under s. 2(</w:t>
      </w:r>
      <w:r w:rsidRPr="00966AB6">
        <w:rPr>
          <w:i/>
          <w:sz w:val="20"/>
        </w:rPr>
        <w:t>a</w:t>
      </w:r>
      <w:r w:rsidRPr="00966AB6">
        <w:rPr>
          <w:sz w:val="20"/>
        </w:rPr>
        <w:t xml:space="preserve">) of the </w:t>
      </w:r>
      <w:r w:rsidRPr="00966AB6">
        <w:rPr>
          <w:i/>
          <w:sz w:val="20"/>
        </w:rPr>
        <w:t>Charter</w:t>
      </w:r>
      <w:r w:rsidRPr="00966AB6">
        <w:rPr>
          <w:sz w:val="20"/>
        </w:rPr>
        <w:t>.  An infringement of s. 2(</w:t>
      </w:r>
      <w:r w:rsidRPr="00966AB6">
        <w:rPr>
          <w:i/>
          <w:sz w:val="20"/>
        </w:rPr>
        <w:t>a</w:t>
      </w:r>
      <w:r w:rsidRPr="00966AB6">
        <w:rPr>
          <w:sz w:val="20"/>
        </w:rPr>
        <w:t>) will be established where:  (1) the claimant sincerely holds a belief or practice that has a nexus with religion; and (2) the provision at issue interferes with the claimant’s ability to act in accordance with his or her religious beliefs.  To the extent that an individual’s choice of expression is caught by the definition of “hatred” in s. 14(1)(</w:t>
      </w:r>
      <w:r w:rsidRPr="00966AB6">
        <w:rPr>
          <w:i/>
          <w:sz w:val="20"/>
        </w:rPr>
        <w:t>b</w:t>
      </w:r>
      <w:r w:rsidRPr="00966AB6">
        <w:rPr>
          <w:sz w:val="20"/>
        </w:rPr>
        <w:t xml:space="preserve">), the prohibition will substantially interfere with that individual’s ability to disseminate his or her belief by display or publication of those representations. </w:t>
      </w:r>
    </w:p>
    <w:p w:rsidR="006D5C50" w:rsidRDefault="006D5C50" w:rsidP="006D5C50">
      <w:pPr>
        <w:pStyle w:val="SCCNormalDoubleSpacing"/>
        <w:spacing w:line="240" w:lineRule="auto"/>
        <w:rPr>
          <w:sz w:val="20"/>
        </w:rPr>
      </w:pPr>
    </w:p>
    <w:p w:rsidR="006D5C50" w:rsidRPr="00966AB6" w:rsidRDefault="006D5C50" w:rsidP="006D5C50">
      <w:pPr>
        <w:pStyle w:val="SCCNormalDoubleSpacing"/>
        <w:spacing w:line="240" w:lineRule="auto"/>
        <w:rPr>
          <w:sz w:val="20"/>
        </w:rPr>
      </w:pPr>
      <w:r w:rsidRPr="00966AB6">
        <w:rPr>
          <w:sz w:val="20"/>
        </w:rPr>
        <w:tab/>
        <w:t xml:space="preserve">For the same reasons set out in the s. 1 analysis in the case of freedom of expression, the words “ridicules, belittles or otherwise affronts the dignity of” are not rationally connected to the legislative purpose of addressing systemic discrimination of protected groups, nor tailored to minimally impair freedom of religion.  The remaining prohibition of any representation “that exposes or tends to expose to hatred” any person or class of persons on the basis </w:t>
      </w:r>
      <w:r w:rsidRPr="00966AB6">
        <w:rPr>
          <w:sz w:val="20"/>
        </w:rPr>
        <w:lastRenderedPageBreak/>
        <w:t xml:space="preserve">of a prohibited ground is a reasonable limit on freedom of religion and is demonstrably justified in a free and democratic society. </w:t>
      </w:r>
    </w:p>
    <w:p w:rsidR="006D5C50" w:rsidRDefault="006D5C50" w:rsidP="006D5C50">
      <w:pPr>
        <w:pStyle w:val="SCCNormalDoubleSpacing"/>
        <w:spacing w:line="240" w:lineRule="auto"/>
        <w:rPr>
          <w:sz w:val="20"/>
        </w:rPr>
      </w:pPr>
    </w:p>
    <w:p w:rsidR="006D5C50" w:rsidRPr="00966AB6" w:rsidRDefault="006D5C50" w:rsidP="006D5C50">
      <w:pPr>
        <w:pStyle w:val="SCCNormalDoubleSpacing"/>
        <w:spacing w:line="240" w:lineRule="auto"/>
        <w:rPr>
          <w:sz w:val="20"/>
        </w:rPr>
      </w:pPr>
      <w:r w:rsidRPr="00966AB6">
        <w:rPr>
          <w:sz w:val="20"/>
        </w:rPr>
        <w:tab/>
        <w:t xml:space="preserve">While the standard of review of the tribunal’s decision on the constitutionality of s. 14 of the </w:t>
      </w:r>
      <w:r w:rsidRPr="00966AB6">
        <w:rPr>
          <w:i/>
          <w:sz w:val="20"/>
        </w:rPr>
        <w:t>Code</w:t>
      </w:r>
      <w:r w:rsidRPr="00966AB6">
        <w:rPr>
          <w:sz w:val="20"/>
        </w:rPr>
        <w:t xml:space="preserve"> is correctness, the standard of review of the tribunal’s decision that the flyers contravene that provision must be reasonableness.  The tribunal did not unreasonably fail to give proper weight to the importance of protecting expression that is part of an ongoing debate on sexual morality and public policy.  Nor was it unreasonable in isolating certain excerpts from the flyers for examination, or in finding that the flyers criticize sexual orientation and not simply sexual behaviour.  That the rights of a vulnerable group are a matter of ongoing discussion does not justify greater exposure by that group to hatred and its effects.  The only expression which should be caught by s. 14(1)(</w:t>
      </w:r>
      <w:r w:rsidRPr="00966AB6">
        <w:rPr>
          <w:i/>
          <w:sz w:val="20"/>
        </w:rPr>
        <w:t>b</w:t>
      </w:r>
      <w:r w:rsidRPr="00966AB6">
        <w:rPr>
          <w:sz w:val="20"/>
        </w:rPr>
        <w:t xml:space="preserve">) of the </w:t>
      </w:r>
      <w:r w:rsidRPr="00966AB6">
        <w:rPr>
          <w:i/>
          <w:sz w:val="20"/>
        </w:rPr>
        <w:t>Code</w:t>
      </w:r>
      <w:r w:rsidRPr="00966AB6">
        <w:rPr>
          <w:sz w:val="20"/>
        </w:rPr>
        <w:t xml:space="preserve"> is hate</w:t>
      </w:r>
      <w:r w:rsidRPr="00966AB6">
        <w:rPr>
          <w:sz w:val="20"/>
        </w:rPr>
        <w:noBreakHyphen/>
        <w:t>inspiring expression that adds little value to the political discourse or to the quest for truth, self</w:t>
      </w:r>
      <w:r w:rsidRPr="00966AB6">
        <w:rPr>
          <w:sz w:val="20"/>
        </w:rPr>
        <w:noBreakHyphen/>
        <w:t>fulfillment, and an embracing marketplace of ideas.  The words and phrases in a publication cannot properly be assessed out of context, and the expression must be considered as a whole, to determine the overall impact or effect of the publication.  However, it is also legitimate to proceed with a closer scrutiny of those parts of the expression which draw nearer to the purview of s. 14(1)(</w:t>
      </w:r>
      <w:r w:rsidRPr="00966AB6">
        <w:rPr>
          <w:i/>
          <w:sz w:val="20"/>
        </w:rPr>
        <w:t>b</w:t>
      </w:r>
      <w:r w:rsidRPr="00966AB6">
        <w:rPr>
          <w:sz w:val="20"/>
        </w:rPr>
        <w:t xml:space="preserve">) of the </w:t>
      </w:r>
      <w:r w:rsidRPr="00966AB6">
        <w:rPr>
          <w:i/>
          <w:sz w:val="20"/>
        </w:rPr>
        <w:t>Code</w:t>
      </w:r>
      <w:r w:rsidRPr="00966AB6">
        <w:rPr>
          <w:sz w:val="20"/>
        </w:rPr>
        <w:t xml:space="preserve">.  If, despite the context of the entire publication, even one phrase or sentence is found to bring the publication, as a whole, in contravention of the </w:t>
      </w:r>
      <w:r w:rsidRPr="00966AB6">
        <w:rPr>
          <w:i/>
          <w:sz w:val="20"/>
        </w:rPr>
        <w:t>Code</w:t>
      </w:r>
      <w:r w:rsidRPr="00966AB6">
        <w:rPr>
          <w:sz w:val="20"/>
        </w:rPr>
        <w:t xml:space="preserve">, this precludes its publication in its current form. </w:t>
      </w:r>
    </w:p>
    <w:p w:rsidR="006D5C50" w:rsidRDefault="006D5C50" w:rsidP="006D5C50">
      <w:pPr>
        <w:pStyle w:val="SCCNormalDoubleSpacing"/>
        <w:spacing w:line="240" w:lineRule="auto"/>
        <w:rPr>
          <w:sz w:val="20"/>
        </w:rPr>
      </w:pPr>
    </w:p>
    <w:p w:rsidR="006D5C50" w:rsidRPr="00966AB6" w:rsidRDefault="006D5C50" w:rsidP="006D5C50">
      <w:pPr>
        <w:pStyle w:val="SCCNormalDoubleSpacing"/>
        <w:spacing w:line="240" w:lineRule="auto"/>
        <w:rPr>
          <w:sz w:val="20"/>
        </w:rPr>
      </w:pPr>
      <w:r w:rsidRPr="00966AB6">
        <w:rPr>
          <w:sz w:val="20"/>
        </w:rPr>
        <w:tab/>
        <w:t>The tribunal’s conclusions with respect to the first two flyers were reasonable.  Passages of these flyers combine many of the hallmarks of hatred identified in the case law.  The expression portrays the targeted group as a menace that threatens the safety and well</w:t>
      </w:r>
      <w:r w:rsidRPr="00966AB6">
        <w:rPr>
          <w:sz w:val="20"/>
        </w:rPr>
        <w:noBreakHyphen/>
        <w:t>being of others, makes reference to respected sources in an effort to lend credibility to the negative generalizations, and uses vilifying and derogatory representations to create a tone of hatred.  The flyers also expressly call for discriminatory treatment of those of same</w:t>
      </w:r>
      <w:r w:rsidRPr="00966AB6">
        <w:rPr>
          <w:sz w:val="20"/>
        </w:rPr>
        <w:noBreakHyphen/>
        <w:t xml:space="preserve">sex orientation.  It was not unreasonable for the tribunal to conclude that this expression was more likely than not to expose homosexuals to hatred. </w:t>
      </w:r>
    </w:p>
    <w:p w:rsidR="006D5C50" w:rsidRDefault="006D5C50" w:rsidP="006D5C50">
      <w:pPr>
        <w:pStyle w:val="SCCNormalDoubleSpacing"/>
        <w:spacing w:line="240" w:lineRule="auto"/>
        <w:rPr>
          <w:sz w:val="20"/>
        </w:rPr>
      </w:pPr>
    </w:p>
    <w:p w:rsidR="006D5C50" w:rsidRDefault="006D5C50" w:rsidP="006D5C50">
      <w:pPr>
        <w:pStyle w:val="SCCNormalDoubleSpacing"/>
        <w:spacing w:line="240" w:lineRule="auto"/>
        <w:rPr>
          <w:sz w:val="20"/>
        </w:rPr>
      </w:pPr>
      <w:r w:rsidRPr="00966AB6">
        <w:rPr>
          <w:sz w:val="20"/>
        </w:rPr>
        <w:tab/>
        <w:t>The tribunal’s decision with respect to the other two flyers was unreasonable and cannot be upheld.  The tribunal erred by failing to apply s. 14(1)(</w:t>
      </w:r>
      <w:r w:rsidRPr="00966AB6">
        <w:rPr>
          <w:i/>
          <w:sz w:val="20"/>
        </w:rPr>
        <w:t>b</w:t>
      </w:r>
      <w:r w:rsidRPr="00966AB6">
        <w:rPr>
          <w:sz w:val="20"/>
        </w:rPr>
        <w:t>) to the facts before it in accordance with the proper legal test.  It cannot reasonably be found that those flyers contain expression that a reasonable person, aware of the relevant context and circumstances, would find as exposing or likely to expose persons of same</w:t>
      </w:r>
      <w:r w:rsidRPr="00966AB6">
        <w:rPr>
          <w:sz w:val="20"/>
        </w:rPr>
        <w:noBreakHyphen/>
        <w:t>sex orientation to detestation and vilification.  The expression, while offensive, does not demonstrate the hatred required by the prohibition.</w:t>
      </w:r>
    </w:p>
    <w:p w:rsidR="006D5C50" w:rsidRDefault="006D5C50" w:rsidP="005C6840">
      <w:pPr>
        <w:rPr>
          <w:rFonts w:cs="Times New Roman"/>
          <w:sz w:val="20"/>
          <w:szCs w:val="20"/>
        </w:rPr>
      </w:pPr>
    </w:p>
    <w:p w:rsidR="006D5C50" w:rsidRDefault="006D5C50" w:rsidP="006D5C50">
      <w:pPr>
        <w:pStyle w:val="SCCNormalDoubleSpacing"/>
        <w:spacing w:line="240" w:lineRule="auto"/>
        <w:rPr>
          <w:sz w:val="20"/>
        </w:rPr>
      </w:pPr>
      <w:r w:rsidRPr="00966AB6">
        <w:rPr>
          <w:sz w:val="20"/>
        </w:rPr>
        <w:tab/>
        <w:t>APPEAL from a judgment of the Saskatchewan Court of Appeal (Sherstobitoff, Smith and Hunter JJ.A.), 2010 SKCA 26, 346 Sask. R. 210, 477 W.A.C. 210, 317 D.L.R. (4th) 69, 218 C.R.R. (2d) 145, [2010] 4 W.W.R. 403, [2010] S.J. No. 108 (QL), 2010 CarswellSask 109, allowing an appeal from a decision of Kovach J., 2007 SKQB 450, 306 Sask. R. 186, 61 C.H.H.R. D/401, [2007] S.J. No. 672 (QL), 2007 CarswellSask 836, upholding a decision of the Saskatchewan Human Rights Tribunal (2005), 52 C.H.R.R. D/264, 2005 CarswellSask 480.  Appeal allowed in part.</w:t>
      </w:r>
    </w:p>
    <w:p w:rsidR="006D5C50" w:rsidRPr="00966AB6" w:rsidRDefault="006D5C50" w:rsidP="006D5C50">
      <w:pPr>
        <w:pStyle w:val="SCCNormalDoubleSpacing"/>
        <w:spacing w:line="240" w:lineRule="auto"/>
        <w:rPr>
          <w:sz w:val="20"/>
        </w:rPr>
      </w:pPr>
    </w:p>
    <w:p w:rsidR="006D5C50" w:rsidRPr="00966AB6" w:rsidRDefault="006D5C50" w:rsidP="006D5C50">
      <w:pPr>
        <w:pStyle w:val="SCCNormalDoubleSpacing"/>
        <w:spacing w:line="240" w:lineRule="auto"/>
        <w:rPr>
          <w:sz w:val="20"/>
        </w:rPr>
      </w:pPr>
      <w:r w:rsidRPr="00966AB6">
        <w:rPr>
          <w:i/>
          <w:sz w:val="20"/>
        </w:rPr>
        <w:tab/>
        <w:t>Grant J. Scharfstein, Q.C.,</w:t>
      </w:r>
      <w:r w:rsidRPr="00966AB6">
        <w:rPr>
          <w:sz w:val="20"/>
        </w:rPr>
        <w:t xml:space="preserve"> and </w:t>
      </w:r>
      <w:r w:rsidRPr="00966AB6">
        <w:rPr>
          <w:i/>
          <w:sz w:val="20"/>
        </w:rPr>
        <w:t>Deidre L. Aldcorn</w:t>
      </w:r>
      <w:r w:rsidRPr="00966AB6">
        <w:rPr>
          <w:sz w:val="20"/>
        </w:rPr>
        <w:t xml:space="preserve">, for the appellant. </w:t>
      </w:r>
    </w:p>
    <w:p w:rsidR="006D5C50" w:rsidRDefault="006D5C50" w:rsidP="006D5C50">
      <w:pPr>
        <w:pStyle w:val="SCCNormalDoubleSpacing"/>
        <w:spacing w:line="240" w:lineRule="auto"/>
        <w:rPr>
          <w:i/>
          <w:sz w:val="20"/>
        </w:rPr>
      </w:pPr>
    </w:p>
    <w:p w:rsidR="006D5C50" w:rsidRPr="00966AB6" w:rsidRDefault="006D5C50" w:rsidP="006D5C50">
      <w:pPr>
        <w:pStyle w:val="SCCNormalDoubleSpacing"/>
        <w:spacing w:line="240" w:lineRule="auto"/>
        <w:rPr>
          <w:sz w:val="20"/>
        </w:rPr>
      </w:pPr>
      <w:r w:rsidRPr="00966AB6">
        <w:rPr>
          <w:i/>
          <w:sz w:val="20"/>
        </w:rPr>
        <w:tab/>
        <w:t>Thomas A. Schuck</w:t>
      </w:r>
      <w:r w:rsidRPr="00966AB6">
        <w:rPr>
          <w:sz w:val="20"/>
        </w:rPr>
        <w:t xml:space="preserve">, </w:t>
      </w:r>
      <w:r w:rsidRPr="00966AB6">
        <w:rPr>
          <w:i/>
          <w:sz w:val="20"/>
        </w:rPr>
        <w:t xml:space="preserve">Iain Benson, John Carpay </w:t>
      </w:r>
      <w:r w:rsidRPr="00966AB6">
        <w:rPr>
          <w:sz w:val="20"/>
        </w:rPr>
        <w:t xml:space="preserve">and </w:t>
      </w:r>
      <w:r w:rsidRPr="00966AB6">
        <w:rPr>
          <w:i/>
          <w:sz w:val="20"/>
        </w:rPr>
        <w:t>Daniel Mol</w:t>
      </w:r>
      <w:r w:rsidRPr="00966AB6">
        <w:rPr>
          <w:sz w:val="20"/>
        </w:rPr>
        <w:t xml:space="preserve">, for the respondent. </w:t>
      </w:r>
    </w:p>
    <w:p w:rsidR="006D5C50" w:rsidRDefault="006D5C50" w:rsidP="006D5C50">
      <w:pPr>
        <w:pStyle w:val="SCCNormalDoubleSpacing"/>
        <w:spacing w:line="240" w:lineRule="auto"/>
        <w:rPr>
          <w:i/>
          <w:sz w:val="20"/>
        </w:rPr>
      </w:pPr>
    </w:p>
    <w:p w:rsidR="006D5C50" w:rsidRPr="00966AB6" w:rsidRDefault="006D5C50" w:rsidP="006D5C50">
      <w:pPr>
        <w:pStyle w:val="SCCNormalDoubleSpacing"/>
        <w:spacing w:line="240" w:lineRule="auto"/>
        <w:rPr>
          <w:sz w:val="20"/>
        </w:rPr>
      </w:pPr>
      <w:r w:rsidRPr="00966AB6">
        <w:rPr>
          <w:i/>
          <w:sz w:val="20"/>
        </w:rPr>
        <w:tab/>
        <w:t>Thomson Irvine</w:t>
      </w:r>
      <w:r w:rsidRPr="00966AB6">
        <w:rPr>
          <w:sz w:val="20"/>
        </w:rPr>
        <w:t>, for the intervener the Attorney General for Saskatchewan.</w:t>
      </w:r>
    </w:p>
    <w:p w:rsidR="006D5C50" w:rsidRDefault="006D5C50" w:rsidP="006D5C50">
      <w:pPr>
        <w:pStyle w:val="SCCNormalDoubleSpacing"/>
        <w:spacing w:line="240" w:lineRule="auto"/>
        <w:rPr>
          <w:i/>
          <w:sz w:val="20"/>
        </w:rPr>
      </w:pPr>
    </w:p>
    <w:p w:rsidR="006D5C50" w:rsidRPr="00966AB6" w:rsidRDefault="006D5C50" w:rsidP="006D5C50">
      <w:pPr>
        <w:pStyle w:val="SCCNormalDoubleSpacing"/>
        <w:spacing w:line="240" w:lineRule="auto"/>
        <w:rPr>
          <w:sz w:val="20"/>
        </w:rPr>
      </w:pPr>
      <w:r w:rsidRPr="00966AB6">
        <w:rPr>
          <w:i/>
          <w:sz w:val="20"/>
        </w:rPr>
        <w:tab/>
        <w:t>David N. Kamal</w:t>
      </w:r>
      <w:r w:rsidRPr="00966AB6">
        <w:rPr>
          <w:sz w:val="20"/>
        </w:rPr>
        <w:t>, for the intervener the Attorney General of Alberta.</w:t>
      </w:r>
    </w:p>
    <w:p w:rsidR="006D5C50" w:rsidRDefault="006D5C50" w:rsidP="006D5C50">
      <w:pPr>
        <w:pStyle w:val="SCCNormalDoubleSpacing"/>
        <w:spacing w:line="240" w:lineRule="auto"/>
        <w:rPr>
          <w:i/>
          <w:sz w:val="20"/>
        </w:rPr>
      </w:pPr>
    </w:p>
    <w:p w:rsidR="006D5C50" w:rsidRPr="00966AB6" w:rsidRDefault="006D5C50" w:rsidP="006D5C50">
      <w:pPr>
        <w:pStyle w:val="SCCNormalDoubleSpacing"/>
        <w:spacing w:line="240" w:lineRule="auto"/>
        <w:rPr>
          <w:sz w:val="20"/>
        </w:rPr>
      </w:pPr>
      <w:r w:rsidRPr="00966AB6">
        <w:rPr>
          <w:i/>
          <w:sz w:val="20"/>
        </w:rPr>
        <w:tab/>
        <w:t>Mark A. Gelowitz</w:t>
      </w:r>
      <w:r w:rsidRPr="00966AB6">
        <w:rPr>
          <w:sz w:val="20"/>
        </w:rPr>
        <w:t xml:space="preserve"> and </w:t>
      </w:r>
      <w:r w:rsidRPr="00966AB6">
        <w:rPr>
          <w:i/>
          <w:sz w:val="20"/>
        </w:rPr>
        <w:t>Jason MacLean</w:t>
      </w:r>
      <w:r w:rsidRPr="00966AB6">
        <w:rPr>
          <w:sz w:val="20"/>
        </w:rPr>
        <w:t>, for the intervener the Canadian Constitution Foundation.</w:t>
      </w:r>
    </w:p>
    <w:p w:rsidR="006D5C50" w:rsidRDefault="006D5C50" w:rsidP="006D5C50">
      <w:pPr>
        <w:pStyle w:val="SCCNormalDoubleSpacing"/>
        <w:spacing w:line="240" w:lineRule="auto"/>
        <w:rPr>
          <w:i/>
          <w:sz w:val="20"/>
        </w:rPr>
      </w:pPr>
    </w:p>
    <w:p w:rsidR="006D5C50" w:rsidRPr="00966AB6" w:rsidRDefault="006D5C50" w:rsidP="006D5C50">
      <w:pPr>
        <w:pStyle w:val="SCCNormalDoubleSpacing"/>
        <w:spacing w:line="240" w:lineRule="auto"/>
        <w:rPr>
          <w:sz w:val="20"/>
        </w:rPr>
      </w:pPr>
      <w:r w:rsidRPr="00966AB6">
        <w:rPr>
          <w:i/>
          <w:sz w:val="20"/>
        </w:rPr>
        <w:tab/>
        <w:t>Andrew K. Lokan</w:t>
      </w:r>
      <w:r w:rsidRPr="00966AB6">
        <w:rPr>
          <w:sz w:val="20"/>
        </w:rPr>
        <w:t xml:space="preserve"> and </w:t>
      </w:r>
      <w:r w:rsidRPr="00966AB6">
        <w:rPr>
          <w:i/>
          <w:sz w:val="20"/>
        </w:rPr>
        <w:t>Jodi Martin</w:t>
      </w:r>
      <w:r w:rsidRPr="00966AB6">
        <w:rPr>
          <w:sz w:val="20"/>
        </w:rPr>
        <w:t>, for the intervener the Canadian Civil Liberties Association.</w:t>
      </w:r>
    </w:p>
    <w:p w:rsidR="006D5C50" w:rsidRDefault="006D5C50" w:rsidP="006D5C50">
      <w:pPr>
        <w:pStyle w:val="SCCNormalDoubleSpacing"/>
        <w:spacing w:line="240" w:lineRule="auto"/>
        <w:rPr>
          <w:i/>
          <w:sz w:val="20"/>
        </w:rPr>
      </w:pPr>
    </w:p>
    <w:p w:rsidR="006D5C50" w:rsidRPr="00966AB6" w:rsidRDefault="006D5C50" w:rsidP="006D5C50">
      <w:pPr>
        <w:pStyle w:val="SCCNormalDoubleSpacing"/>
        <w:spacing w:line="240" w:lineRule="auto"/>
        <w:rPr>
          <w:sz w:val="20"/>
        </w:rPr>
      </w:pPr>
      <w:r w:rsidRPr="00966AB6">
        <w:rPr>
          <w:i/>
          <w:sz w:val="20"/>
        </w:rPr>
        <w:tab/>
        <w:t>Philippe Dufresne</w:t>
      </w:r>
      <w:r w:rsidRPr="00966AB6">
        <w:rPr>
          <w:sz w:val="20"/>
        </w:rPr>
        <w:t xml:space="preserve"> and </w:t>
      </w:r>
      <w:r w:rsidRPr="00966AB6">
        <w:rPr>
          <w:i/>
          <w:sz w:val="20"/>
        </w:rPr>
        <w:t>Brian Smith</w:t>
      </w:r>
      <w:r w:rsidRPr="00966AB6">
        <w:rPr>
          <w:sz w:val="20"/>
        </w:rPr>
        <w:t>, for the intervener the Canadian Human Rights Commission.</w:t>
      </w:r>
    </w:p>
    <w:p w:rsidR="006D5C50" w:rsidRDefault="006D5C50" w:rsidP="006D5C50">
      <w:pPr>
        <w:pStyle w:val="SCCNormalDoubleSpacing"/>
        <w:spacing w:line="240" w:lineRule="auto"/>
        <w:rPr>
          <w:i/>
          <w:sz w:val="20"/>
        </w:rPr>
      </w:pPr>
    </w:p>
    <w:p w:rsidR="006D5C50" w:rsidRPr="00966AB6" w:rsidRDefault="006D5C50" w:rsidP="006D5C50">
      <w:pPr>
        <w:pStyle w:val="SCCNormalDoubleSpacing"/>
        <w:spacing w:line="240" w:lineRule="auto"/>
        <w:rPr>
          <w:sz w:val="20"/>
        </w:rPr>
      </w:pPr>
      <w:r w:rsidRPr="00966AB6">
        <w:rPr>
          <w:i/>
          <w:sz w:val="20"/>
        </w:rPr>
        <w:tab/>
        <w:t>Audrey Dean and Henry S. Brown, Q.C.</w:t>
      </w:r>
      <w:r w:rsidRPr="00966AB6">
        <w:rPr>
          <w:sz w:val="20"/>
        </w:rPr>
        <w:t>, for the intervener the Alberta Human Rights Commission.</w:t>
      </w:r>
    </w:p>
    <w:p w:rsidR="006D5C50" w:rsidRDefault="006D5C50" w:rsidP="006D5C50">
      <w:pPr>
        <w:pStyle w:val="SCCNormalDoubleSpacing"/>
        <w:spacing w:line="240" w:lineRule="auto"/>
        <w:rPr>
          <w:i/>
          <w:sz w:val="20"/>
        </w:rPr>
      </w:pPr>
    </w:p>
    <w:p w:rsidR="006D5C50" w:rsidRPr="00966AB6" w:rsidRDefault="006D5C50" w:rsidP="006D5C50">
      <w:pPr>
        <w:pStyle w:val="SCCNormalDoubleSpacing"/>
        <w:spacing w:line="240" w:lineRule="auto"/>
        <w:rPr>
          <w:sz w:val="20"/>
        </w:rPr>
      </w:pPr>
      <w:r w:rsidRPr="00966AB6">
        <w:rPr>
          <w:i/>
          <w:sz w:val="20"/>
        </w:rPr>
        <w:tab/>
        <w:t>Cynthia Petersen and Christine Davies</w:t>
      </w:r>
      <w:r w:rsidRPr="00966AB6">
        <w:rPr>
          <w:sz w:val="20"/>
        </w:rPr>
        <w:t>, for the intervener Egale Canada Inc.</w:t>
      </w:r>
    </w:p>
    <w:p w:rsidR="006D5C50" w:rsidRDefault="006D5C50" w:rsidP="006D5C50">
      <w:pPr>
        <w:pStyle w:val="SCCNormalDoubleSpacing"/>
        <w:spacing w:line="240" w:lineRule="auto"/>
        <w:rPr>
          <w:i/>
          <w:sz w:val="20"/>
        </w:rPr>
      </w:pPr>
    </w:p>
    <w:p w:rsidR="006D5C50" w:rsidRPr="00966AB6" w:rsidRDefault="006D5C50" w:rsidP="006D5C50">
      <w:pPr>
        <w:pStyle w:val="SCCNormalDoubleSpacing"/>
        <w:spacing w:line="240" w:lineRule="auto"/>
        <w:rPr>
          <w:sz w:val="20"/>
        </w:rPr>
      </w:pPr>
      <w:r w:rsidRPr="00966AB6">
        <w:rPr>
          <w:i/>
          <w:sz w:val="20"/>
        </w:rPr>
        <w:lastRenderedPageBreak/>
        <w:tab/>
        <w:t>Anthony D. Griffin</w:t>
      </w:r>
      <w:r w:rsidRPr="00966AB6">
        <w:rPr>
          <w:sz w:val="20"/>
        </w:rPr>
        <w:t xml:space="preserve">, for the intervener the Ontario Human Rights Commission. </w:t>
      </w:r>
    </w:p>
    <w:p w:rsidR="006D5C50" w:rsidRDefault="006D5C50" w:rsidP="006D5C50">
      <w:pPr>
        <w:pStyle w:val="SCCNormalDoubleSpacing"/>
        <w:spacing w:line="240" w:lineRule="auto"/>
        <w:rPr>
          <w:i/>
          <w:sz w:val="20"/>
        </w:rPr>
      </w:pPr>
    </w:p>
    <w:p w:rsidR="006D5C50" w:rsidRPr="00966AB6" w:rsidRDefault="006D5C50" w:rsidP="006D5C50">
      <w:pPr>
        <w:pStyle w:val="SCCNormalDoubleSpacing"/>
        <w:spacing w:line="240" w:lineRule="auto"/>
        <w:rPr>
          <w:sz w:val="20"/>
        </w:rPr>
      </w:pPr>
      <w:r w:rsidRPr="00966AB6">
        <w:rPr>
          <w:i/>
          <w:sz w:val="20"/>
        </w:rPr>
        <w:tab/>
        <w:t>Mark J. Freiman</w:t>
      </w:r>
      <w:r w:rsidRPr="00966AB6">
        <w:rPr>
          <w:sz w:val="20"/>
        </w:rPr>
        <w:t>, for the intervener the Canadian Jewish Congress. </w:t>
      </w:r>
    </w:p>
    <w:p w:rsidR="006D5C50" w:rsidRDefault="006D5C50" w:rsidP="006D5C50">
      <w:pPr>
        <w:pStyle w:val="SCCNormalDoubleSpacing"/>
        <w:spacing w:line="240" w:lineRule="auto"/>
        <w:rPr>
          <w:i/>
          <w:sz w:val="20"/>
        </w:rPr>
      </w:pPr>
    </w:p>
    <w:p w:rsidR="006D5C50" w:rsidRPr="00966AB6" w:rsidRDefault="006D5C50" w:rsidP="006D5C50">
      <w:pPr>
        <w:pStyle w:val="SCCNormalDoubleSpacing"/>
        <w:spacing w:line="240" w:lineRule="auto"/>
        <w:rPr>
          <w:sz w:val="20"/>
        </w:rPr>
      </w:pPr>
      <w:r w:rsidRPr="00966AB6">
        <w:rPr>
          <w:i/>
          <w:sz w:val="20"/>
        </w:rPr>
        <w:tab/>
        <w:t>Arif Chowdhury</w:t>
      </w:r>
      <w:r w:rsidRPr="00966AB6">
        <w:rPr>
          <w:sz w:val="20"/>
        </w:rPr>
        <w:t xml:space="preserve">, for the interveners the Unitarian Congregation of Saskatoon and the Canadian Unitarian Council. </w:t>
      </w:r>
    </w:p>
    <w:p w:rsidR="006D5C50" w:rsidRDefault="006D5C50" w:rsidP="006D5C50">
      <w:pPr>
        <w:pStyle w:val="SCCNormalDoubleSpacing"/>
        <w:spacing w:line="240" w:lineRule="auto"/>
        <w:rPr>
          <w:i/>
          <w:sz w:val="20"/>
        </w:rPr>
      </w:pPr>
    </w:p>
    <w:p w:rsidR="006D5C50" w:rsidRPr="00966AB6" w:rsidRDefault="006D5C50" w:rsidP="006D5C50">
      <w:pPr>
        <w:pStyle w:val="SCCNormalDoubleSpacing"/>
        <w:spacing w:line="240" w:lineRule="auto"/>
        <w:rPr>
          <w:sz w:val="20"/>
        </w:rPr>
      </w:pPr>
      <w:r w:rsidRPr="00966AB6">
        <w:rPr>
          <w:i/>
          <w:sz w:val="20"/>
        </w:rPr>
        <w:tab/>
        <w:t>Kathleen E. Mahoney</w:t>
      </w:r>
      <w:r w:rsidRPr="00966AB6">
        <w:rPr>
          <w:sz w:val="20"/>
        </w:rPr>
        <w:t xml:space="preserve"> and </w:t>
      </w:r>
      <w:r w:rsidRPr="00966AB6">
        <w:rPr>
          <w:i/>
          <w:sz w:val="20"/>
        </w:rPr>
        <w:t>Jo</w:t>
      </w:r>
      <w:r w:rsidRPr="00966AB6">
        <w:rPr>
          <w:i/>
          <w:sz w:val="20"/>
        </w:rPr>
        <w:noBreakHyphen/>
        <w:t>Ann R. Kolmes,</w:t>
      </w:r>
      <w:r w:rsidRPr="00966AB6">
        <w:rPr>
          <w:sz w:val="20"/>
        </w:rPr>
        <w:t xml:space="preserve"> for the intervener the Women’s Legal Education and Action Fund. </w:t>
      </w:r>
    </w:p>
    <w:p w:rsidR="006D5C50" w:rsidRDefault="006D5C50" w:rsidP="006D5C50">
      <w:pPr>
        <w:pStyle w:val="SCCNormalDoubleSpacing"/>
        <w:spacing w:line="240" w:lineRule="auto"/>
        <w:rPr>
          <w:i/>
          <w:sz w:val="20"/>
        </w:rPr>
      </w:pPr>
    </w:p>
    <w:p w:rsidR="006D5C50" w:rsidRPr="00966AB6" w:rsidRDefault="006D5C50" w:rsidP="006D5C50">
      <w:pPr>
        <w:pStyle w:val="SCCNormalDoubleSpacing"/>
        <w:spacing w:line="240" w:lineRule="auto"/>
        <w:rPr>
          <w:sz w:val="20"/>
        </w:rPr>
      </w:pPr>
      <w:r w:rsidRPr="00966AB6">
        <w:rPr>
          <w:i/>
          <w:sz w:val="20"/>
        </w:rPr>
        <w:tab/>
        <w:t>M. Philip Tunley and Paul J. Saguil</w:t>
      </w:r>
      <w:r w:rsidRPr="00966AB6">
        <w:rPr>
          <w:sz w:val="20"/>
        </w:rPr>
        <w:t>, for the intervener the Canadian Journalists for Free Expression.</w:t>
      </w:r>
    </w:p>
    <w:p w:rsidR="006D5C50" w:rsidRDefault="006D5C50" w:rsidP="006D5C50">
      <w:pPr>
        <w:pStyle w:val="SCCNormalDoubleSpacing"/>
        <w:spacing w:line="240" w:lineRule="auto"/>
        <w:rPr>
          <w:i/>
          <w:sz w:val="20"/>
        </w:rPr>
      </w:pPr>
    </w:p>
    <w:p w:rsidR="006D5C50" w:rsidRPr="00966AB6" w:rsidRDefault="006D5C50" w:rsidP="006D5C50">
      <w:pPr>
        <w:pStyle w:val="SCCNormalDoubleSpacing"/>
        <w:spacing w:line="240" w:lineRule="auto"/>
        <w:rPr>
          <w:sz w:val="20"/>
        </w:rPr>
      </w:pPr>
      <w:r w:rsidRPr="00966AB6">
        <w:rPr>
          <w:i/>
          <w:sz w:val="20"/>
        </w:rPr>
        <w:tab/>
        <w:t>David Matas</w:t>
      </w:r>
      <w:r w:rsidRPr="00966AB6">
        <w:rPr>
          <w:sz w:val="20"/>
        </w:rPr>
        <w:t>, for the intervener the Canadian Bar Association.</w:t>
      </w:r>
    </w:p>
    <w:p w:rsidR="006D5C50" w:rsidRDefault="006D5C50" w:rsidP="006D5C50">
      <w:pPr>
        <w:pStyle w:val="SCCNormalDoubleSpacing"/>
        <w:spacing w:line="240" w:lineRule="auto"/>
        <w:rPr>
          <w:i/>
          <w:sz w:val="20"/>
        </w:rPr>
      </w:pPr>
    </w:p>
    <w:p w:rsidR="006D5C50" w:rsidRPr="00966AB6" w:rsidRDefault="006D5C50" w:rsidP="006D5C50">
      <w:pPr>
        <w:pStyle w:val="SCCNormalDoubleSpacing"/>
        <w:spacing w:line="240" w:lineRule="auto"/>
        <w:rPr>
          <w:sz w:val="20"/>
        </w:rPr>
      </w:pPr>
      <w:r w:rsidRPr="00966AB6">
        <w:rPr>
          <w:i/>
          <w:sz w:val="20"/>
        </w:rPr>
        <w:tab/>
        <w:t>Written submissions only by Shaunt Parthev, Q.C.,</w:t>
      </w:r>
      <w:r w:rsidRPr="00966AB6">
        <w:rPr>
          <w:sz w:val="20"/>
        </w:rPr>
        <w:t xml:space="preserve"> and </w:t>
      </w:r>
      <w:r w:rsidRPr="00966AB6">
        <w:rPr>
          <w:i/>
          <w:sz w:val="20"/>
        </w:rPr>
        <w:t>Ashley M. Smith,</w:t>
      </w:r>
      <w:r w:rsidRPr="00966AB6">
        <w:rPr>
          <w:sz w:val="20"/>
        </w:rPr>
        <w:t xml:space="preserve"> for the interveners the Northwest Territories Human Rights Commission and the Yukon Human Rights Commission.</w:t>
      </w:r>
    </w:p>
    <w:p w:rsidR="006D5C50" w:rsidRDefault="006D5C50" w:rsidP="006D5C50">
      <w:pPr>
        <w:pStyle w:val="SCCNormalDoubleSpacing"/>
        <w:spacing w:line="240" w:lineRule="auto"/>
        <w:rPr>
          <w:i/>
          <w:sz w:val="20"/>
        </w:rPr>
      </w:pPr>
    </w:p>
    <w:p w:rsidR="006D5C50" w:rsidRPr="00966AB6" w:rsidRDefault="006D5C50" w:rsidP="006D5C50">
      <w:pPr>
        <w:pStyle w:val="SCCNormalDoubleSpacing"/>
        <w:spacing w:line="240" w:lineRule="auto"/>
        <w:rPr>
          <w:sz w:val="20"/>
        </w:rPr>
      </w:pPr>
      <w:r w:rsidRPr="00966AB6">
        <w:rPr>
          <w:i/>
          <w:sz w:val="20"/>
        </w:rPr>
        <w:tab/>
        <w:t>Derek J. Bell,</w:t>
      </w:r>
      <w:r w:rsidRPr="00966AB6">
        <w:rPr>
          <w:sz w:val="20"/>
        </w:rPr>
        <w:t xml:space="preserve"> </w:t>
      </w:r>
      <w:r w:rsidRPr="00966AB6">
        <w:rPr>
          <w:i/>
          <w:sz w:val="20"/>
        </w:rPr>
        <w:t>Ranjan K. Agarwal and Ruth A. M. Ross</w:t>
      </w:r>
      <w:r w:rsidRPr="00966AB6">
        <w:rPr>
          <w:sz w:val="20"/>
        </w:rPr>
        <w:t>, for the intervener the Christian Legal Fellowship.</w:t>
      </w:r>
    </w:p>
    <w:p w:rsidR="006D5C50" w:rsidRDefault="006D5C50" w:rsidP="006D5C50">
      <w:pPr>
        <w:pStyle w:val="SCCNormalDoubleSpacing"/>
        <w:spacing w:line="240" w:lineRule="auto"/>
        <w:rPr>
          <w:i/>
          <w:sz w:val="20"/>
        </w:rPr>
      </w:pPr>
    </w:p>
    <w:p w:rsidR="006D5C50" w:rsidRPr="00966AB6" w:rsidRDefault="006D5C50" w:rsidP="006D5C50">
      <w:pPr>
        <w:pStyle w:val="SCCNormalDoubleSpacing"/>
        <w:spacing w:line="240" w:lineRule="auto"/>
        <w:rPr>
          <w:sz w:val="20"/>
        </w:rPr>
      </w:pPr>
      <w:r w:rsidRPr="00966AB6">
        <w:rPr>
          <w:i/>
          <w:sz w:val="20"/>
        </w:rPr>
        <w:tab/>
        <w:t>Marvin Kurz</w:t>
      </w:r>
      <w:r w:rsidRPr="00966AB6">
        <w:rPr>
          <w:sz w:val="20"/>
        </w:rPr>
        <w:t>, for the intervener the League for Human Rights of B’nai Brith Canada.</w:t>
      </w:r>
    </w:p>
    <w:p w:rsidR="006D5C50" w:rsidRDefault="006D5C50" w:rsidP="006D5C50">
      <w:pPr>
        <w:pStyle w:val="SCCNormalDoubleSpacing"/>
        <w:spacing w:line="240" w:lineRule="auto"/>
        <w:rPr>
          <w:i/>
          <w:sz w:val="20"/>
        </w:rPr>
      </w:pPr>
    </w:p>
    <w:p w:rsidR="006D5C50" w:rsidRPr="00966AB6" w:rsidRDefault="006D5C50" w:rsidP="006D5C50">
      <w:pPr>
        <w:pStyle w:val="SCCNormalDoubleSpacing"/>
        <w:spacing w:line="240" w:lineRule="auto"/>
        <w:rPr>
          <w:sz w:val="20"/>
        </w:rPr>
      </w:pPr>
      <w:r w:rsidRPr="00966AB6">
        <w:rPr>
          <w:i/>
          <w:sz w:val="20"/>
        </w:rPr>
        <w:tab/>
        <w:t>Donald E. L. Hutchinson and André Schutten</w:t>
      </w:r>
      <w:r w:rsidRPr="00966AB6">
        <w:rPr>
          <w:sz w:val="20"/>
        </w:rPr>
        <w:t>, for the intervener the Evangelical Fellowship of Canada.</w:t>
      </w:r>
    </w:p>
    <w:p w:rsidR="006D5C50" w:rsidRDefault="006D5C50" w:rsidP="006D5C50">
      <w:pPr>
        <w:pStyle w:val="SCCNormalDoubleSpacing"/>
        <w:spacing w:line="240" w:lineRule="auto"/>
        <w:rPr>
          <w:i/>
          <w:sz w:val="20"/>
        </w:rPr>
      </w:pPr>
    </w:p>
    <w:p w:rsidR="006D5C50" w:rsidRPr="00966AB6" w:rsidRDefault="006D5C50" w:rsidP="006D5C50">
      <w:pPr>
        <w:pStyle w:val="SCCNormalDoubleSpacing"/>
        <w:spacing w:line="240" w:lineRule="auto"/>
        <w:rPr>
          <w:sz w:val="20"/>
        </w:rPr>
      </w:pPr>
      <w:r w:rsidRPr="00966AB6">
        <w:rPr>
          <w:i/>
          <w:sz w:val="20"/>
        </w:rPr>
        <w:tab/>
        <w:t>Ben Millard</w:t>
      </w:r>
      <w:r w:rsidRPr="00966AB6">
        <w:rPr>
          <w:sz w:val="20"/>
        </w:rPr>
        <w:t>, for the intervener the United Church of Canada.</w:t>
      </w:r>
    </w:p>
    <w:p w:rsidR="006D5C50" w:rsidRDefault="006D5C50" w:rsidP="006D5C50">
      <w:pPr>
        <w:pStyle w:val="SCCNormalDoubleSpacing"/>
        <w:spacing w:line="240" w:lineRule="auto"/>
        <w:rPr>
          <w:i/>
          <w:sz w:val="20"/>
        </w:rPr>
      </w:pPr>
    </w:p>
    <w:p w:rsidR="006D5C50" w:rsidRPr="00966AB6" w:rsidRDefault="006D5C50" w:rsidP="006D5C50">
      <w:pPr>
        <w:pStyle w:val="SCCNormalDoubleSpacing"/>
        <w:spacing w:line="240" w:lineRule="auto"/>
        <w:rPr>
          <w:sz w:val="20"/>
        </w:rPr>
      </w:pPr>
      <w:r w:rsidRPr="00966AB6">
        <w:rPr>
          <w:i/>
          <w:sz w:val="20"/>
        </w:rPr>
        <w:tab/>
        <w:t>Written submissions only by David M. A. Stack</w:t>
      </w:r>
      <w:r w:rsidRPr="00966AB6">
        <w:rPr>
          <w:sz w:val="20"/>
        </w:rPr>
        <w:t>, for the interveners the Assembly of First Nations, the Federation of Saskatchewan Indian Nations and the Métis Nation</w:t>
      </w:r>
      <w:r w:rsidRPr="00966AB6">
        <w:rPr>
          <w:sz w:val="20"/>
        </w:rPr>
        <w:noBreakHyphen/>
        <w:t xml:space="preserve">Saskatchewan. </w:t>
      </w:r>
    </w:p>
    <w:p w:rsidR="006D5C50" w:rsidRDefault="006D5C50" w:rsidP="006D5C50">
      <w:pPr>
        <w:pStyle w:val="SCCNormalDoubleSpacing"/>
        <w:spacing w:line="240" w:lineRule="auto"/>
        <w:rPr>
          <w:i/>
          <w:sz w:val="20"/>
        </w:rPr>
      </w:pPr>
    </w:p>
    <w:p w:rsidR="006D5C50" w:rsidRPr="00966AB6" w:rsidRDefault="006D5C50" w:rsidP="006D5C50">
      <w:pPr>
        <w:pStyle w:val="SCCNormalDoubleSpacing"/>
        <w:spacing w:line="240" w:lineRule="auto"/>
        <w:rPr>
          <w:sz w:val="20"/>
        </w:rPr>
      </w:pPr>
      <w:r w:rsidRPr="00966AB6">
        <w:rPr>
          <w:i/>
          <w:sz w:val="20"/>
        </w:rPr>
        <w:tab/>
        <w:t>Ryan D. W. Dalziel</w:t>
      </w:r>
      <w:r w:rsidRPr="00966AB6">
        <w:rPr>
          <w:sz w:val="20"/>
        </w:rPr>
        <w:t xml:space="preserve"> and </w:t>
      </w:r>
      <w:r w:rsidRPr="00966AB6">
        <w:rPr>
          <w:i/>
          <w:sz w:val="20"/>
        </w:rPr>
        <w:t>Micah B. Rankin</w:t>
      </w:r>
      <w:r w:rsidRPr="00966AB6">
        <w:rPr>
          <w:sz w:val="20"/>
        </w:rPr>
        <w:t xml:space="preserve">, for the interveners the Catholic Civil Rights League and the Faith and Freedom Alliance. </w:t>
      </w:r>
    </w:p>
    <w:p w:rsidR="006D5C50" w:rsidRDefault="006D5C50" w:rsidP="006D5C50">
      <w:pPr>
        <w:pStyle w:val="SCCNormalDoubleSpacing"/>
        <w:spacing w:line="240" w:lineRule="auto"/>
        <w:rPr>
          <w:i/>
          <w:sz w:val="20"/>
        </w:rPr>
      </w:pPr>
    </w:p>
    <w:p w:rsidR="006D5C50" w:rsidRPr="00966AB6" w:rsidRDefault="006D5C50" w:rsidP="006D5C50">
      <w:pPr>
        <w:pStyle w:val="SCCNormalDoubleSpacing"/>
        <w:spacing w:line="240" w:lineRule="auto"/>
        <w:rPr>
          <w:sz w:val="20"/>
        </w:rPr>
      </w:pPr>
      <w:r w:rsidRPr="00966AB6">
        <w:rPr>
          <w:i/>
          <w:sz w:val="20"/>
        </w:rPr>
        <w:tab/>
        <w:t>Sunil Gurmukh,</w:t>
      </w:r>
      <w:r w:rsidRPr="00966AB6">
        <w:rPr>
          <w:sz w:val="20"/>
        </w:rPr>
        <w:t xml:space="preserve"> </w:t>
      </w:r>
      <w:r w:rsidRPr="00966AB6">
        <w:rPr>
          <w:i/>
          <w:sz w:val="20"/>
        </w:rPr>
        <w:t>Moya Teklu and Ed Morgan</w:t>
      </w:r>
      <w:r w:rsidRPr="00966AB6">
        <w:rPr>
          <w:sz w:val="20"/>
        </w:rPr>
        <w:t xml:space="preserve">, for the intervener the African Canadian Legal Clinic. </w:t>
      </w:r>
    </w:p>
    <w:p w:rsidR="006D5C50" w:rsidRDefault="006D5C50" w:rsidP="006D5C50">
      <w:pPr>
        <w:pStyle w:val="SCCLawFirm"/>
        <w:spacing w:line="240" w:lineRule="auto"/>
        <w:rPr>
          <w:sz w:val="20"/>
        </w:rPr>
      </w:pPr>
    </w:p>
    <w:p w:rsidR="006D5C50" w:rsidRPr="00966AB6" w:rsidRDefault="006D5C50" w:rsidP="006D5C50">
      <w:pPr>
        <w:pStyle w:val="SCCLawFirm"/>
        <w:spacing w:line="240" w:lineRule="auto"/>
        <w:rPr>
          <w:sz w:val="20"/>
        </w:rPr>
      </w:pPr>
      <w:r w:rsidRPr="00966AB6">
        <w:rPr>
          <w:sz w:val="20"/>
        </w:rPr>
        <w:tab/>
        <w:t>Solicitors for the appellant:  Scharfstein Gibbings Walen Fisher, Saskatoon; Saskatchewan Human Rights Commission, Saskatoon.</w:t>
      </w:r>
    </w:p>
    <w:p w:rsidR="006D5C50" w:rsidRDefault="006D5C50" w:rsidP="006D5C50">
      <w:pPr>
        <w:pStyle w:val="SCCLawFirm"/>
        <w:spacing w:line="240" w:lineRule="auto"/>
        <w:rPr>
          <w:sz w:val="20"/>
        </w:rPr>
      </w:pPr>
    </w:p>
    <w:p w:rsidR="006D5C50" w:rsidRPr="00966AB6" w:rsidRDefault="006D5C50" w:rsidP="006D5C50">
      <w:pPr>
        <w:pStyle w:val="SCCLawFirm"/>
        <w:spacing w:line="240" w:lineRule="auto"/>
        <w:rPr>
          <w:sz w:val="20"/>
        </w:rPr>
      </w:pPr>
      <w:r w:rsidRPr="00966AB6">
        <w:rPr>
          <w:sz w:val="20"/>
        </w:rPr>
        <w:tab/>
        <w:t>Solicitors for the respondent:  Nimegeers, Schuck, Wormsbecker &amp; Bobbitt, Weyburn, Saskatchewan; Iain Benson, Toronto; John Carpay, Calgary; Mol Advocates, Edmonton.</w:t>
      </w:r>
    </w:p>
    <w:p w:rsidR="006D5C50" w:rsidRDefault="006D5C50" w:rsidP="006D5C50">
      <w:pPr>
        <w:pStyle w:val="SCCLawFirm"/>
        <w:spacing w:line="240" w:lineRule="auto"/>
        <w:rPr>
          <w:sz w:val="20"/>
        </w:rPr>
      </w:pPr>
    </w:p>
    <w:p w:rsidR="006D5C50" w:rsidRPr="00966AB6" w:rsidRDefault="006D5C50" w:rsidP="006D5C50">
      <w:pPr>
        <w:pStyle w:val="SCCLawFirm"/>
        <w:spacing w:line="240" w:lineRule="auto"/>
        <w:rPr>
          <w:sz w:val="20"/>
        </w:rPr>
      </w:pPr>
      <w:r w:rsidRPr="00966AB6">
        <w:rPr>
          <w:sz w:val="20"/>
        </w:rPr>
        <w:tab/>
        <w:t>Solicitor for the intervener the Attorney General for Saskatchewan: Attorney General for Saskatchewan, Regina.</w:t>
      </w:r>
    </w:p>
    <w:p w:rsidR="006D5C50" w:rsidRDefault="006D5C50" w:rsidP="006D5C50">
      <w:pPr>
        <w:pStyle w:val="SCCLawFirm"/>
        <w:spacing w:line="240" w:lineRule="auto"/>
        <w:rPr>
          <w:sz w:val="20"/>
        </w:rPr>
      </w:pPr>
    </w:p>
    <w:p w:rsidR="006D5C50" w:rsidRPr="00966AB6" w:rsidRDefault="006D5C50" w:rsidP="006D5C50">
      <w:pPr>
        <w:pStyle w:val="SCCLawFirm"/>
        <w:spacing w:line="240" w:lineRule="auto"/>
        <w:rPr>
          <w:sz w:val="20"/>
        </w:rPr>
      </w:pPr>
      <w:r w:rsidRPr="00966AB6">
        <w:rPr>
          <w:sz w:val="20"/>
        </w:rPr>
        <w:tab/>
        <w:t>Solicitor for the intervener the Attorney General of Alberta:  Attorney General of Alberta, Edmonton.</w:t>
      </w:r>
    </w:p>
    <w:p w:rsidR="006D5C50" w:rsidRDefault="006D5C50" w:rsidP="006D5C50">
      <w:pPr>
        <w:pStyle w:val="SCCLawFirm"/>
        <w:spacing w:line="240" w:lineRule="auto"/>
        <w:rPr>
          <w:sz w:val="20"/>
        </w:rPr>
      </w:pPr>
    </w:p>
    <w:p w:rsidR="006D5C50" w:rsidRPr="00966AB6" w:rsidRDefault="006D5C50" w:rsidP="006D5C50">
      <w:pPr>
        <w:pStyle w:val="SCCLawFirm"/>
        <w:spacing w:line="240" w:lineRule="auto"/>
        <w:rPr>
          <w:sz w:val="20"/>
        </w:rPr>
      </w:pPr>
      <w:r w:rsidRPr="00966AB6">
        <w:rPr>
          <w:sz w:val="20"/>
        </w:rPr>
        <w:tab/>
        <w:t>Solicitors for the intervener the Canadian Constitution Foundation:  Osler, Hoskin &amp; Harcourt, Toronto.</w:t>
      </w:r>
    </w:p>
    <w:p w:rsidR="006D5C50" w:rsidRDefault="006D5C50" w:rsidP="006D5C50">
      <w:pPr>
        <w:pStyle w:val="SCCLawFirm"/>
        <w:spacing w:line="240" w:lineRule="auto"/>
        <w:rPr>
          <w:sz w:val="20"/>
        </w:rPr>
      </w:pPr>
    </w:p>
    <w:p w:rsidR="006D5C50" w:rsidRPr="00966AB6" w:rsidRDefault="006D5C50" w:rsidP="006D5C50">
      <w:pPr>
        <w:pStyle w:val="SCCLawFirm"/>
        <w:spacing w:line="240" w:lineRule="auto"/>
        <w:rPr>
          <w:sz w:val="20"/>
        </w:rPr>
      </w:pPr>
      <w:r w:rsidRPr="00966AB6">
        <w:rPr>
          <w:sz w:val="20"/>
        </w:rPr>
        <w:tab/>
        <w:t>Solicitors for the intervener the Canadian Civil Liberties Association:  Paliare Roland Rosenberg Rothstein, Toronto.</w:t>
      </w:r>
    </w:p>
    <w:p w:rsidR="006D5C50" w:rsidRDefault="006D5C50" w:rsidP="006D5C50">
      <w:pPr>
        <w:pStyle w:val="SCCLawFirm"/>
        <w:spacing w:line="240" w:lineRule="auto"/>
        <w:rPr>
          <w:sz w:val="20"/>
        </w:rPr>
      </w:pPr>
    </w:p>
    <w:p w:rsidR="006D5C50" w:rsidRPr="00966AB6" w:rsidRDefault="006D5C50" w:rsidP="006D5C50">
      <w:pPr>
        <w:pStyle w:val="SCCLawFirm"/>
        <w:spacing w:line="240" w:lineRule="auto"/>
        <w:rPr>
          <w:sz w:val="20"/>
        </w:rPr>
      </w:pPr>
      <w:r w:rsidRPr="00966AB6">
        <w:rPr>
          <w:sz w:val="20"/>
        </w:rPr>
        <w:tab/>
        <w:t xml:space="preserve">Solicitor for the intervener the Canadian Human Rights Commission:  Canadian Human Rights Commission, Ottawa. </w:t>
      </w:r>
    </w:p>
    <w:p w:rsidR="006D5C50" w:rsidRDefault="006D5C50" w:rsidP="006D5C50">
      <w:pPr>
        <w:pStyle w:val="SCCLawFirm"/>
        <w:spacing w:line="240" w:lineRule="auto"/>
        <w:rPr>
          <w:sz w:val="20"/>
        </w:rPr>
      </w:pPr>
    </w:p>
    <w:p w:rsidR="006D5C50" w:rsidRPr="00966AB6" w:rsidRDefault="006D5C50" w:rsidP="006D5C50">
      <w:pPr>
        <w:pStyle w:val="SCCLawFirm"/>
        <w:spacing w:line="240" w:lineRule="auto"/>
        <w:rPr>
          <w:sz w:val="20"/>
        </w:rPr>
      </w:pPr>
      <w:r w:rsidRPr="00966AB6">
        <w:rPr>
          <w:sz w:val="20"/>
        </w:rPr>
        <w:tab/>
        <w:t>Solicitor for the intervener the Alberta Human Rights Commission:  Alberta Human Rights Commission, Edmonton.</w:t>
      </w:r>
    </w:p>
    <w:p w:rsidR="006D5C50" w:rsidRDefault="006D5C50" w:rsidP="006D5C50">
      <w:pPr>
        <w:pStyle w:val="SCCLawFirm"/>
        <w:spacing w:line="240" w:lineRule="auto"/>
        <w:rPr>
          <w:sz w:val="20"/>
        </w:rPr>
      </w:pPr>
    </w:p>
    <w:p w:rsidR="006D5C50" w:rsidRPr="00966AB6" w:rsidRDefault="006D5C50" w:rsidP="006D5C50">
      <w:pPr>
        <w:pStyle w:val="SCCLawFirm"/>
        <w:spacing w:line="240" w:lineRule="auto"/>
        <w:rPr>
          <w:sz w:val="20"/>
        </w:rPr>
      </w:pPr>
      <w:r w:rsidRPr="00966AB6">
        <w:rPr>
          <w:sz w:val="20"/>
        </w:rPr>
        <w:lastRenderedPageBreak/>
        <w:tab/>
        <w:t>Solicitors for the intervener Egale Canada Inc.:  Sack Goldblatt Mitchell, Toronto.</w:t>
      </w:r>
    </w:p>
    <w:p w:rsidR="006D5C50" w:rsidRDefault="006D5C50" w:rsidP="006D5C50">
      <w:pPr>
        <w:pStyle w:val="SCCLawFirm"/>
        <w:spacing w:line="240" w:lineRule="auto"/>
        <w:rPr>
          <w:sz w:val="20"/>
        </w:rPr>
      </w:pPr>
    </w:p>
    <w:p w:rsidR="006D5C50" w:rsidRPr="00966AB6" w:rsidRDefault="006D5C50" w:rsidP="006D5C50">
      <w:pPr>
        <w:pStyle w:val="SCCLawFirm"/>
        <w:spacing w:line="240" w:lineRule="auto"/>
        <w:rPr>
          <w:sz w:val="20"/>
        </w:rPr>
      </w:pPr>
      <w:r w:rsidRPr="00966AB6">
        <w:rPr>
          <w:sz w:val="20"/>
        </w:rPr>
        <w:tab/>
        <w:t>Solicitor for the intervener the Ontario Human Rights Commission:  Ontario Human Rights Commission, Toronto.</w:t>
      </w:r>
    </w:p>
    <w:p w:rsidR="006D5C50" w:rsidRDefault="006D5C50" w:rsidP="006D5C50">
      <w:pPr>
        <w:pStyle w:val="SCCLawFirm"/>
        <w:spacing w:line="240" w:lineRule="auto"/>
        <w:rPr>
          <w:sz w:val="20"/>
        </w:rPr>
      </w:pPr>
    </w:p>
    <w:p w:rsidR="006D5C50" w:rsidRPr="00966AB6" w:rsidRDefault="006D5C50" w:rsidP="006D5C50">
      <w:pPr>
        <w:pStyle w:val="SCCLawFirm"/>
        <w:spacing w:line="240" w:lineRule="auto"/>
        <w:rPr>
          <w:sz w:val="20"/>
        </w:rPr>
      </w:pPr>
      <w:r w:rsidRPr="00966AB6">
        <w:rPr>
          <w:sz w:val="20"/>
        </w:rPr>
        <w:tab/>
        <w:t>Solicitors for the intervener the Canadian Jewish Congress:  Lerners, Toronto.</w:t>
      </w:r>
    </w:p>
    <w:p w:rsidR="006D5C50" w:rsidRDefault="006D5C50" w:rsidP="006D5C50">
      <w:pPr>
        <w:pStyle w:val="SCCLawFirm"/>
        <w:spacing w:line="240" w:lineRule="auto"/>
        <w:rPr>
          <w:sz w:val="20"/>
        </w:rPr>
      </w:pPr>
    </w:p>
    <w:p w:rsidR="006D5C50" w:rsidRPr="00966AB6" w:rsidRDefault="006D5C50" w:rsidP="006D5C50">
      <w:pPr>
        <w:pStyle w:val="SCCLawFirm"/>
        <w:spacing w:line="240" w:lineRule="auto"/>
        <w:rPr>
          <w:sz w:val="20"/>
        </w:rPr>
      </w:pPr>
      <w:r w:rsidRPr="00966AB6">
        <w:rPr>
          <w:sz w:val="20"/>
        </w:rPr>
        <w:tab/>
        <w:t>Solicitors for the intervener the Unitarian Congregation of Saskatoon and the Canadian Unitarian Council:  Fasken Martineau DuMoulin, Calgary.</w:t>
      </w:r>
    </w:p>
    <w:p w:rsidR="006D5C50" w:rsidRDefault="006D5C50" w:rsidP="006D5C50">
      <w:pPr>
        <w:pStyle w:val="SCCLawFirm"/>
        <w:spacing w:line="240" w:lineRule="auto"/>
        <w:rPr>
          <w:sz w:val="20"/>
        </w:rPr>
      </w:pPr>
    </w:p>
    <w:p w:rsidR="006D5C50" w:rsidRPr="00966AB6" w:rsidRDefault="006D5C50" w:rsidP="006D5C50">
      <w:pPr>
        <w:pStyle w:val="SCCLawFirm"/>
        <w:spacing w:line="240" w:lineRule="auto"/>
        <w:rPr>
          <w:sz w:val="20"/>
        </w:rPr>
      </w:pPr>
      <w:r w:rsidRPr="00966AB6">
        <w:rPr>
          <w:sz w:val="20"/>
        </w:rPr>
        <w:tab/>
        <w:t>Solicitors for the intervener Women’s Legal Education and Action Fund:  Jo</w:t>
      </w:r>
      <w:r w:rsidRPr="00966AB6">
        <w:rPr>
          <w:sz w:val="20"/>
        </w:rPr>
        <w:noBreakHyphen/>
        <w:t>Ann R. Kolmes, Edmonton; University of Calgary, Calgary.</w:t>
      </w:r>
    </w:p>
    <w:p w:rsidR="006D5C50" w:rsidRDefault="006D5C50" w:rsidP="006D5C50">
      <w:pPr>
        <w:pStyle w:val="SCCLawFirm"/>
        <w:spacing w:line="240" w:lineRule="auto"/>
        <w:rPr>
          <w:sz w:val="20"/>
        </w:rPr>
      </w:pPr>
    </w:p>
    <w:p w:rsidR="006D5C50" w:rsidRPr="00966AB6" w:rsidRDefault="006D5C50" w:rsidP="006D5C50">
      <w:pPr>
        <w:pStyle w:val="SCCLawFirm"/>
        <w:spacing w:line="240" w:lineRule="auto"/>
        <w:rPr>
          <w:sz w:val="20"/>
        </w:rPr>
      </w:pPr>
      <w:r w:rsidRPr="00966AB6">
        <w:rPr>
          <w:sz w:val="20"/>
        </w:rPr>
        <w:tab/>
        <w:t>Solicitor for the intervener the Canadian Journalists for Free Expression:  Stockwoods, Toronto.</w:t>
      </w:r>
    </w:p>
    <w:p w:rsidR="006D5C50" w:rsidRDefault="006D5C50" w:rsidP="006D5C50">
      <w:pPr>
        <w:pStyle w:val="SCCLawFirm"/>
        <w:spacing w:line="240" w:lineRule="auto"/>
        <w:rPr>
          <w:sz w:val="20"/>
        </w:rPr>
      </w:pPr>
    </w:p>
    <w:p w:rsidR="006D5C50" w:rsidRPr="00966AB6" w:rsidRDefault="006D5C50" w:rsidP="006D5C50">
      <w:pPr>
        <w:pStyle w:val="SCCLawFirm"/>
        <w:spacing w:line="240" w:lineRule="auto"/>
        <w:rPr>
          <w:sz w:val="20"/>
        </w:rPr>
      </w:pPr>
      <w:r w:rsidRPr="00966AB6">
        <w:rPr>
          <w:sz w:val="20"/>
        </w:rPr>
        <w:tab/>
        <w:t>Solicitors for the intervener the Canadian Bar Association:  David Matas, Winnipeg.</w:t>
      </w:r>
    </w:p>
    <w:p w:rsidR="006D5C50" w:rsidRDefault="006D5C50" w:rsidP="006D5C50">
      <w:pPr>
        <w:pStyle w:val="SCCLawFirm"/>
        <w:spacing w:line="240" w:lineRule="auto"/>
        <w:rPr>
          <w:sz w:val="20"/>
        </w:rPr>
      </w:pPr>
    </w:p>
    <w:p w:rsidR="006D5C50" w:rsidRPr="00966AB6" w:rsidRDefault="006D5C50" w:rsidP="006D5C50">
      <w:pPr>
        <w:pStyle w:val="SCCLawFirm"/>
        <w:spacing w:line="240" w:lineRule="auto"/>
        <w:rPr>
          <w:sz w:val="20"/>
        </w:rPr>
      </w:pPr>
      <w:r w:rsidRPr="00966AB6">
        <w:rPr>
          <w:sz w:val="20"/>
        </w:rPr>
        <w:tab/>
        <w:t>Solicitors for the interveners the Northwest Territories Human Rights Commission and the Yukon Human Rights Commission:  MacPherson Leslie &amp; Tyerman, Saskatoon.</w:t>
      </w:r>
    </w:p>
    <w:p w:rsidR="006D5C50" w:rsidRDefault="006D5C50" w:rsidP="006D5C50">
      <w:pPr>
        <w:pStyle w:val="SCCLawFirm"/>
        <w:spacing w:line="240" w:lineRule="auto"/>
        <w:rPr>
          <w:sz w:val="20"/>
        </w:rPr>
      </w:pPr>
    </w:p>
    <w:p w:rsidR="006D5C50" w:rsidRPr="00966AB6" w:rsidRDefault="006D5C50" w:rsidP="006D5C50">
      <w:pPr>
        <w:pStyle w:val="SCCLawFirm"/>
        <w:spacing w:line="240" w:lineRule="auto"/>
        <w:rPr>
          <w:sz w:val="20"/>
        </w:rPr>
      </w:pPr>
      <w:r w:rsidRPr="00966AB6">
        <w:rPr>
          <w:sz w:val="20"/>
        </w:rPr>
        <w:tab/>
        <w:t>Solicitors for the intervener the Christian Legal Fellowship:  Bennett Jones, Toronto.</w:t>
      </w:r>
    </w:p>
    <w:p w:rsidR="006D5C50" w:rsidRDefault="006D5C50" w:rsidP="006D5C50">
      <w:pPr>
        <w:pStyle w:val="SCCLawFirm"/>
        <w:spacing w:line="240" w:lineRule="auto"/>
        <w:rPr>
          <w:sz w:val="20"/>
        </w:rPr>
      </w:pPr>
    </w:p>
    <w:p w:rsidR="006D5C50" w:rsidRPr="00966AB6" w:rsidRDefault="006D5C50" w:rsidP="006D5C50">
      <w:pPr>
        <w:pStyle w:val="SCCLawFirm"/>
        <w:spacing w:line="240" w:lineRule="auto"/>
        <w:rPr>
          <w:sz w:val="20"/>
        </w:rPr>
      </w:pPr>
      <w:r w:rsidRPr="00966AB6">
        <w:rPr>
          <w:sz w:val="20"/>
        </w:rPr>
        <w:tab/>
        <w:t>Solicitors for the intervener the League for Human Rights of B’nai Brith Canada:  Dale, Streiman &amp; Kurz, Brampton.</w:t>
      </w:r>
    </w:p>
    <w:p w:rsidR="006D5C50" w:rsidRDefault="006D5C50" w:rsidP="006D5C50">
      <w:pPr>
        <w:pStyle w:val="SCCLawFirm"/>
        <w:spacing w:line="240" w:lineRule="auto"/>
        <w:rPr>
          <w:sz w:val="20"/>
        </w:rPr>
      </w:pPr>
    </w:p>
    <w:p w:rsidR="006D5C50" w:rsidRPr="00966AB6" w:rsidRDefault="006D5C50" w:rsidP="006D5C50">
      <w:pPr>
        <w:pStyle w:val="SCCLawFirm"/>
        <w:spacing w:line="240" w:lineRule="auto"/>
        <w:rPr>
          <w:sz w:val="20"/>
        </w:rPr>
      </w:pPr>
      <w:r w:rsidRPr="00966AB6">
        <w:rPr>
          <w:sz w:val="20"/>
        </w:rPr>
        <w:tab/>
        <w:t>Solicitor for the intervener the Evangelical Fellowship of Canada:  Evangelical Fellowship of Canada, Ottawa.</w:t>
      </w:r>
    </w:p>
    <w:p w:rsidR="006D5C50" w:rsidRDefault="006D5C50" w:rsidP="006D5C50">
      <w:pPr>
        <w:pStyle w:val="SCCLawFirm"/>
        <w:spacing w:line="240" w:lineRule="auto"/>
        <w:rPr>
          <w:sz w:val="20"/>
        </w:rPr>
      </w:pPr>
    </w:p>
    <w:p w:rsidR="006D5C50" w:rsidRPr="00966AB6" w:rsidRDefault="006D5C50" w:rsidP="006D5C50">
      <w:pPr>
        <w:pStyle w:val="SCCLawFirm"/>
        <w:spacing w:line="240" w:lineRule="auto"/>
        <w:rPr>
          <w:sz w:val="20"/>
        </w:rPr>
      </w:pPr>
      <w:r w:rsidRPr="00966AB6">
        <w:rPr>
          <w:sz w:val="20"/>
        </w:rPr>
        <w:tab/>
        <w:t>Solicitors for the intervener the United Church of Canada:  Symes &amp; Street, Toronto.</w:t>
      </w:r>
    </w:p>
    <w:p w:rsidR="006D5C50" w:rsidRDefault="006D5C50" w:rsidP="006D5C50">
      <w:pPr>
        <w:pStyle w:val="SCCLawFirm"/>
        <w:spacing w:line="240" w:lineRule="auto"/>
        <w:rPr>
          <w:sz w:val="20"/>
        </w:rPr>
      </w:pPr>
    </w:p>
    <w:p w:rsidR="006D5C50" w:rsidRPr="00966AB6" w:rsidRDefault="006D5C50" w:rsidP="006D5C50">
      <w:pPr>
        <w:pStyle w:val="SCCLawFirm"/>
        <w:spacing w:line="240" w:lineRule="auto"/>
        <w:rPr>
          <w:sz w:val="20"/>
        </w:rPr>
      </w:pPr>
      <w:r w:rsidRPr="00966AB6">
        <w:rPr>
          <w:sz w:val="20"/>
        </w:rPr>
        <w:tab/>
        <w:t>Solicitors for the interveners the Assembly of First Nations, the Federation of Saskatchewan Indian Nations and the Métis Nation</w:t>
      </w:r>
      <w:r w:rsidRPr="00966AB6">
        <w:rPr>
          <w:sz w:val="20"/>
        </w:rPr>
        <w:noBreakHyphen/>
        <w:t>Saskatchewan:  McKercher, Saskatoon.</w:t>
      </w:r>
    </w:p>
    <w:p w:rsidR="006D5C50" w:rsidRDefault="006D5C50" w:rsidP="006D5C50">
      <w:pPr>
        <w:pStyle w:val="SCCLawFirm"/>
        <w:spacing w:line="240" w:lineRule="auto"/>
        <w:rPr>
          <w:sz w:val="20"/>
        </w:rPr>
      </w:pPr>
    </w:p>
    <w:p w:rsidR="006D5C50" w:rsidRPr="00966AB6" w:rsidRDefault="006D5C50" w:rsidP="006D5C50">
      <w:pPr>
        <w:pStyle w:val="SCCLawFirm"/>
        <w:spacing w:line="240" w:lineRule="auto"/>
        <w:rPr>
          <w:sz w:val="20"/>
        </w:rPr>
      </w:pPr>
      <w:r w:rsidRPr="00966AB6">
        <w:rPr>
          <w:sz w:val="20"/>
        </w:rPr>
        <w:tab/>
        <w:t>Solicitors for the intervener the Catholic Civil Rights League and the Faith and Freedom Alliance:  Bull, Housser &amp; Tupper, Vancouver.</w:t>
      </w:r>
    </w:p>
    <w:p w:rsidR="006D5C50" w:rsidRDefault="006D5C50" w:rsidP="006D5C50">
      <w:pPr>
        <w:pStyle w:val="SCCLawFirm"/>
        <w:spacing w:line="240" w:lineRule="auto"/>
        <w:rPr>
          <w:sz w:val="20"/>
        </w:rPr>
      </w:pPr>
    </w:p>
    <w:p w:rsidR="006D5C50" w:rsidRDefault="006D5C50" w:rsidP="006D5C50">
      <w:pPr>
        <w:pStyle w:val="SCCLawFirm"/>
        <w:spacing w:line="240" w:lineRule="auto"/>
        <w:rPr>
          <w:sz w:val="20"/>
        </w:rPr>
      </w:pPr>
      <w:r w:rsidRPr="00966AB6">
        <w:rPr>
          <w:sz w:val="20"/>
        </w:rPr>
        <w:tab/>
        <w:t>Solicitors for the intervener the African Canadian Legal Clinic:  African Canadian Legal Clinic, Toronto; University of Toronto, Toronto.</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DB11F4" w:rsidRPr="00DB11F4" w:rsidRDefault="00DB11F4" w:rsidP="00DB11F4">
      <w:pPr>
        <w:jc w:val="both"/>
        <w:rPr>
          <w:sz w:val="20"/>
          <w:lang w:val="fr-CA"/>
        </w:rPr>
      </w:pPr>
      <w:r w:rsidRPr="00DB11F4">
        <w:rPr>
          <w:sz w:val="20"/>
          <w:lang w:val="fr-CA"/>
        </w:rPr>
        <w:t>Présents : La juge en chef McLachlin et les juges LeBel, Deschamps</w:t>
      </w:r>
      <w:r w:rsidRPr="002847F7">
        <w:rPr>
          <w:rStyle w:val="FootnoteReference"/>
          <w:sz w:val="20"/>
        </w:rPr>
        <w:footnoteReference w:customMarkFollows="1" w:id="2"/>
        <w:sym w:font="Symbol" w:char="F02A"/>
      </w:r>
      <w:r w:rsidRPr="00DB11F4">
        <w:rPr>
          <w:sz w:val="20"/>
          <w:lang w:val="fr-CA"/>
        </w:rPr>
        <w:t>, Fish, Abella, Rothstein et Cromwell.</w:t>
      </w:r>
    </w:p>
    <w:p w:rsidR="00DB11F4" w:rsidRPr="00DB11F4" w:rsidRDefault="00DB11F4" w:rsidP="00DB11F4">
      <w:pPr>
        <w:pStyle w:val="SCCLowerCourtNameLowercase"/>
        <w:spacing w:line="240" w:lineRule="auto"/>
        <w:rPr>
          <w:sz w:val="20"/>
          <w:lang w:val="fr-CA"/>
        </w:rPr>
      </w:pPr>
    </w:p>
    <w:p w:rsidR="00DB11F4" w:rsidRDefault="00DB11F4" w:rsidP="00DB11F4">
      <w:pPr>
        <w:pStyle w:val="SCCNormalDoubleSpacing"/>
        <w:spacing w:line="240" w:lineRule="auto"/>
        <w:rPr>
          <w:i/>
          <w:sz w:val="20"/>
          <w:lang w:val="fr-FR"/>
        </w:rPr>
      </w:pPr>
      <w:r w:rsidRPr="00DB11F4">
        <w:rPr>
          <w:sz w:val="20"/>
          <w:lang w:val="fr-CA"/>
        </w:rPr>
        <w:tab/>
      </w:r>
      <w:r w:rsidRPr="002847F7">
        <w:rPr>
          <w:i/>
          <w:sz w:val="20"/>
          <w:lang w:val="fr-FR"/>
        </w:rPr>
        <w:t xml:space="preserve">Droit constitutionnel — Charte des droits — Liberté de religion — Publications haineuses — Une loi provinciale sur les droits de la personne interdisant toute publication qui, pour un motif illicite, </w:t>
      </w:r>
      <w:r w:rsidRPr="00DB11F4">
        <w:rPr>
          <w:i/>
          <w:sz w:val="20"/>
          <w:lang w:val="fr-CA"/>
        </w:rPr>
        <w:t>expose ou tend à exposer des personnes à la haine, les ridiculise, les rabaisse ou porte par ailleurs atteinte à leur dignité enfreint</w:t>
      </w:r>
      <w:r w:rsidRPr="00DB11F4">
        <w:rPr>
          <w:i/>
          <w:sz w:val="20"/>
          <w:lang w:val="fr-CA"/>
        </w:rPr>
        <w:noBreakHyphen/>
        <w:t>elle la liberté de religion garantie par la Charte?</w:t>
      </w:r>
      <w:r w:rsidRPr="002847F7">
        <w:rPr>
          <w:i/>
          <w:sz w:val="20"/>
          <w:lang w:val="fr-FR"/>
        </w:rPr>
        <w:t xml:space="preserve"> — Dans l’affirmative, cette atteinte est</w:t>
      </w:r>
      <w:r w:rsidRPr="002847F7">
        <w:rPr>
          <w:i/>
          <w:sz w:val="20"/>
          <w:lang w:val="fr-FR"/>
        </w:rPr>
        <w:noBreakHyphen/>
        <w:t>elle justifiée? — Saskatchewan Human Rights Code, S.S. 1979, ch. S</w:t>
      </w:r>
      <w:r w:rsidRPr="002847F7">
        <w:rPr>
          <w:i/>
          <w:sz w:val="20"/>
          <w:lang w:val="fr-FR"/>
        </w:rPr>
        <w:noBreakHyphen/>
        <w:t>24.1, art. 14(1)(b) — Charte canadienne des droits et libertés, art. 1, 2a).</w:t>
      </w:r>
    </w:p>
    <w:p w:rsidR="00DB11F4" w:rsidRPr="002847F7" w:rsidRDefault="00DB11F4" w:rsidP="00DB11F4">
      <w:pPr>
        <w:pStyle w:val="SCCNormalDoubleSpacing"/>
        <w:spacing w:line="240" w:lineRule="auto"/>
        <w:rPr>
          <w:i/>
          <w:sz w:val="20"/>
          <w:lang w:val="fr-FR"/>
        </w:rPr>
      </w:pPr>
    </w:p>
    <w:p w:rsidR="00DB11F4" w:rsidRDefault="00DB11F4" w:rsidP="00DB11F4">
      <w:pPr>
        <w:pStyle w:val="SCCNormalDoubleSpacing"/>
        <w:spacing w:line="240" w:lineRule="auto"/>
        <w:rPr>
          <w:i/>
          <w:sz w:val="20"/>
          <w:lang w:val="fr-FR"/>
        </w:rPr>
      </w:pPr>
      <w:r w:rsidRPr="002847F7">
        <w:rPr>
          <w:i/>
          <w:sz w:val="20"/>
          <w:lang w:val="fr-FR"/>
        </w:rPr>
        <w:tab/>
        <w:t xml:space="preserve">Droit constitutionnel — Charte des droits — Liberté d’expression — Publications haineuses — Une loi provinciale sur les droits de la personne interdisant toute publication qui, pour un motif illicite, </w:t>
      </w:r>
      <w:r w:rsidRPr="00DB11F4">
        <w:rPr>
          <w:i/>
          <w:sz w:val="20"/>
          <w:lang w:val="fr-CA"/>
        </w:rPr>
        <w:t>expose ou tend à exposer des personnes à la haine, les ridiculise, les rabaisse ou porte par ailleurs atteinte à leur dignité enfreint</w:t>
      </w:r>
      <w:r w:rsidRPr="00DB11F4">
        <w:rPr>
          <w:i/>
          <w:sz w:val="20"/>
          <w:lang w:val="fr-CA"/>
        </w:rPr>
        <w:noBreakHyphen/>
        <w:t xml:space="preserve">elle la liberté d’expression garantie par la Charte? </w:t>
      </w:r>
      <w:r w:rsidRPr="002847F7">
        <w:rPr>
          <w:i/>
          <w:sz w:val="20"/>
          <w:lang w:val="fr-FR"/>
        </w:rPr>
        <w:t>— Dans l’affirmative, cette atteinte est</w:t>
      </w:r>
      <w:r w:rsidRPr="002847F7">
        <w:rPr>
          <w:i/>
          <w:sz w:val="20"/>
          <w:lang w:val="fr-FR"/>
        </w:rPr>
        <w:noBreakHyphen/>
        <w:t>elle justifiée? — Saskatchewan Human Rights Code, S.S. 1979, ch. S</w:t>
      </w:r>
      <w:r w:rsidRPr="002847F7">
        <w:rPr>
          <w:i/>
          <w:sz w:val="20"/>
          <w:lang w:val="fr-FR"/>
        </w:rPr>
        <w:noBreakHyphen/>
        <w:t>24.1, art. 14(1)(b) — Charte canadienne des droits et libertés, art. 1, 2b).</w:t>
      </w:r>
    </w:p>
    <w:p w:rsidR="00DB11F4" w:rsidRPr="002847F7" w:rsidRDefault="00DB11F4" w:rsidP="00DB11F4">
      <w:pPr>
        <w:pStyle w:val="SCCNormalDoubleSpacing"/>
        <w:spacing w:line="240" w:lineRule="auto"/>
        <w:rPr>
          <w:i/>
          <w:sz w:val="20"/>
          <w:lang w:val="fr-FR"/>
        </w:rPr>
      </w:pPr>
    </w:p>
    <w:p w:rsidR="00DB11F4" w:rsidRPr="00DB11F4" w:rsidRDefault="00DB11F4" w:rsidP="00DB11F4">
      <w:pPr>
        <w:pStyle w:val="SCCNormalDoubleSpacing"/>
        <w:spacing w:line="240" w:lineRule="auto"/>
        <w:rPr>
          <w:sz w:val="20"/>
          <w:lang w:val="fr-CA"/>
        </w:rPr>
      </w:pPr>
      <w:r w:rsidRPr="002847F7">
        <w:rPr>
          <w:i/>
          <w:sz w:val="20"/>
          <w:lang w:val="fr-FR"/>
        </w:rPr>
        <w:tab/>
        <w:t>Droit administratif — Appels — Norme de contrôle — Conclusion d’un tribunal des droits de la personne que les publications haineuses enfreignent la loi provinciale sur les droits de la personne et que cette loi, qui interdit les publications haineuses, est constitutionnelle — La décision est</w:t>
      </w:r>
      <w:r w:rsidRPr="002847F7">
        <w:rPr>
          <w:i/>
          <w:sz w:val="20"/>
          <w:lang w:val="fr-FR"/>
        </w:rPr>
        <w:noBreakHyphen/>
        <w:t>elle susceptible de révision selon la norme de la décision correcte ou celle de la décision raisonnable? — Le tribunal a</w:t>
      </w:r>
      <w:r w:rsidRPr="002847F7">
        <w:rPr>
          <w:i/>
          <w:sz w:val="20"/>
          <w:lang w:val="fr-FR"/>
        </w:rPr>
        <w:noBreakHyphen/>
        <w:t>t</w:t>
      </w:r>
      <w:r w:rsidRPr="002847F7">
        <w:rPr>
          <w:i/>
          <w:sz w:val="20"/>
          <w:lang w:val="fr-FR"/>
        </w:rPr>
        <w:noBreakHyphen/>
        <w:t>il commis une erreur susceptible de révision?</w:t>
      </w:r>
    </w:p>
    <w:p w:rsidR="00DB11F4" w:rsidRPr="00DB11F4" w:rsidRDefault="00DB11F4" w:rsidP="00DB11F4">
      <w:pPr>
        <w:pStyle w:val="SCCNormalDoubleSpacing"/>
        <w:spacing w:line="240" w:lineRule="auto"/>
        <w:rPr>
          <w:sz w:val="20"/>
          <w:lang w:val="fr-CA"/>
        </w:rPr>
      </w:pPr>
    </w:p>
    <w:p w:rsidR="00DB11F4" w:rsidRPr="00DB11F4" w:rsidRDefault="00DB11F4" w:rsidP="00DB11F4">
      <w:pPr>
        <w:pStyle w:val="SCCNormalDoubleSpacing"/>
        <w:spacing w:line="240" w:lineRule="auto"/>
        <w:rPr>
          <w:sz w:val="20"/>
          <w:lang w:val="fr-CA"/>
        </w:rPr>
      </w:pPr>
      <w:r w:rsidRPr="00DB11F4">
        <w:rPr>
          <w:sz w:val="20"/>
          <w:lang w:val="fr-CA"/>
        </w:rPr>
        <w:tab/>
      </w:r>
      <w:r w:rsidRPr="002847F7">
        <w:rPr>
          <w:sz w:val="20"/>
          <w:lang w:val="fr-FR"/>
        </w:rPr>
        <w:t xml:space="preserve">La Saskatchewan Human Rights Commission a été saisie de quatre plaintes relatives à quatre tracts publiés et distribués par W.  Les plaignants ont allégué que les tracts </w:t>
      </w:r>
      <w:r w:rsidRPr="00DB11F4">
        <w:rPr>
          <w:sz w:val="20"/>
          <w:lang w:val="fr-CA"/>
        </w:rPr>
        <w:t>fomentaient la haine contre des personnes en raison de leur orientation sexuelle</w:t>
      </w:r>
      <w:r w:rsidRPr="002847F7">
        <w:rPr>
          <w:sz w:val="20"/>
          <w:lang w:val="fr-FR"/>
        </w:rPr>
        <w:t xml:space="preserve">.  Les deux premiers tracts </w:t>
      </w:r>
      <w:r w:rsidRPr="00DB11F4">
        <w:rPr>
          <w:sz w:val="20"/>
          <w:lang w:val="fr-CA"/>
        </w:rPr>
        <w:t>étaient intitulés respectivement « Gardons l’homosexualité en dehors des écoles publiques de Saskatoon! » et « Des sodomites dans nos écoles publiques »</w:t>
      </w:r>
      <w:r w:rsidRPr="002847F7">
        <w:rPr>
          <w:sz w:val="20"/>
          <w:lang w:val="fr-FR"/>
        </w:rPr>
        <w:t xml:space="preserve">.  </w:t>
      </w:r>
      <w:r w:rsidRPr="00DB11F4">
        <w:rPr>
          <w:sz w:val="20"/>
          <w:lang w:val="fr-CA"/>
        </w:rPr>
        <w:t xml:space="preserve">Les deux autres tracts étaient identiques; il s’agissait d’une reproduction d’une page de petites annonces à laquelle des notes manuscrites avaient été ajoutées.  </w:t>
      </w:r>
      <w:r w:rsidRPr="002847F7">
        <w:rPr>
          <w:sz w:val="20"/>
          <w:lang w:val="fr-FR"/>
        </w:rPr>
        <w:t xml:space="preserve">Un tribunal a été constitué pour examiner les plaintes.  Il a jugé que les tracts constituaient des publications interdites par l’article 14 du </w:t>
      </w:r>
      <w:r w:rsidRPr="002847F7">
        <w:rPr>
          <w:i/>
          <w:sz w:val="20"/>
          <w:lang w:val="fr-FR"/>
        </w:rPr>
        <w:t>Saskatchewan Human Rights</w:t>
      </w:r>
      <w:r w:rsidRPr="002847F7">
        <w:rPr>
          <w:i/>
          <w:iCs/>
          <w:sz w:val="20"/>
          <w:lang w:val="fr-FR"/>
        </w:rPr>
        <w:t xml:space="preserve"> Code </w:t>
      </w:r>
      <w:r w:rsidRPr="002847F7">
        <w:rPr>
          <w:iCs/>
          <w:sz w:val="20"/>
          <w:lang w:val="fr-FR"/>
        </w:rPr>
        <w:t xml:space="preserve">au motif </w:t>
      </w:r>
      <w:r w:rsidRPr="002847F7">
        <w:rPr>
          <w:sz w:val="20"/>
          <w:lang w:val="fr-FR"/>
        </w:rPr>
        <w:t xml:space="preserve">qu’ils exposaient des personnes à la haine et les ridiculisaient en raison de leur orientation sexuelle, et il </w:t>
      </w:r>
      <w:r w:rsidRPr="00DB11F4">
        <w:rPr>
          <w:sz w:val="20"/>
          <w:lang w:val="fr-CA"/>
        </w:rPr>
        <w:t>a estimé que l’article </w:t>
      </w:r>
      <w:r w:rsidRPr="00DB11F4">
        <w:rPr>
          <w:iCs/>
          <w:sz w:val="20"/>
          <w:lang w:val="fr-CA"/>
        </w:rPr>
        <w:t xml:space="preserve">14 du </w:t>
      </w:r>
      <w:r w:rsidRPr="00DB11F4">
        <w:rPr>
          <w:i/>
          <w:iCs/>
          <w:sz w:val="20"/>
          <w:lang w:val="fr-CA"/>
        </w:rPr>
        <w:t>Code</w:t>
      </w:r>
      <w:r w:rsidRPr="00DB11F4">
        <w:rPr>
          <w:iCs/>
          <w:sz w:val="20"/>
          <w:lang w:val="fr-CA"/>
        </w:rPr>
        <w:t xml:space="preserve"> constituait une limite raisonnable à la liberté de religion et à la liberté d’expression que garantissent à W les al. 2</w:t>
      </w:r>
      <w:r w:rsidRPr="00DB11F4">
        <w:rPr>
          <w:i/>
          <w:iCs/>
          <w:sz w:val="20"/>
          <w:lang w:val="fr-CA"/>
        </w:rPr>
        <w:t>a</w:t>
      </w:r>
      <w:r w:rsidRPr="00DB11F4">
        <w:rPr>
          <w:sz w:val="20"/>
          <w:lang w:val="fr-CA"/>
        </w:rPr>
        <w:t xml:space="preserve">) et </w:t>
      </w:r>
      <w:r w:rsidRPr="00DB11F4">
        <w:rPr>
          <w:i/>
          <w:iCs/>
          <w:sz w:val="20"/>
          <w:lang w:val="fr-CA"/>
        </w:rPr>
        <w:t>b</w:t>
      </w:r>
      <w:r w:rsidRPr="00DB11F4">
        <w:rPr>
          <w:sz w:val="20"/>
          <w:lang w:val="fr-CA"/>
        </w:rPr>
        <w:t xml:space="preserve">) de la </w:t>
      </w:r>
      <w:r w:rsidRPr="00DB11F4">
        <w:rPr>
          <w:i/>
          <w:iCs/>
          <w:sz w:val="20"/>
          <w:lang w:val="fr-CA"/>
        </w:rPr>
        <w:t>Charte</w:t>
      </w:r>
      <w:r w:rsidRPr="002847F7">
        <w:rPr>
          <w:sz w:val="20"/>
          <w:lang w:val="fr-FR"/>
        </w:rPr>
        <w:t xml:space="preserve">.  La Cour du Banc de la Reine a confirmé la décision du tribunal.  La Cour d’appel </w:t>
      </w:r>
      <w:r w:rsidRPr="00DB11F4">
        <w:rPr>
          <w:sz w:val="20"/>
          <w:lang w:val="fr-CA"/>
        </w:rPr>
        <w:t xml:space="preserve">a </w:t>
      </w:r>
      <w:r w:rsidRPr="00DB11F4">
        <w:rPr>
          <w:iCs/>
          <w:sz w:val="20"/>
          <w:lang w:val="fr-CA"/>
        </w:rPr>
        <w:t>confirmé la constitutionnalité de la disposition</w:t>
      </w:r>
      <w:r w:rsidRPr="00DB11F4">
        <w:rPr>
          <w:sz w:val="20"/>
          <w:lang w:val="fr-CA"/>
        </w:rPr>
        <w:t xml:space="preserve"> mais a jugé que les tracts ne contrevenaient pas à celle</w:t>
      </w:r>
      <w:r w:rsidRPr="00DB11F4">
        <w:rPr>
          <w:sz w:val="20"/>
          <w:lang w:val="fr-CA"/>
        </w:rPr>
        <w:noBreakHyphen/>
        <w:t>ci</w:t>
      </w:r>
      <w:r w:rsidRPr="002847F7">
        <w:rPr>
          <w:sz w:val="20"/>
          <w:lang w:val="fr-FR"/>
        </w:rPr>
        <w:t>.</w:t>
      </w:r>
    </w:p>
    <w:p w:rsidR="00DB11F4" w:rsidRDefault="00DB11F4" w:rsidP="005C6840">
      <w:pPr>
        <w:jc w:val="both"/>
        <w:rPr>
          <w:rFonts w:cs="Times New Roman"/>
          <w:sz w:val="20"/>
          <w:szCs w:val="20"/>
          <w:lang w:val="fr-CA"/>
        </w:rPr>
      </w:pPr>
    </w:p>
    <w:p w:rsidR="00DB11F4" w:rsidRPr="00DB11F4" w:rsidRDefault="00DB11F4" w:rsidP="00DB11F4">
      <w:pPr>
        <w:pStyle w:val="SCCNormalDoubleSpacing"/>
        <w:spacing w:line="240" w:lineRule="auto"/>
        <w:rPr>
          <w:sz w:val="20"/>
          <w:lang w:val="fr-CA"/>
        </w:rPr>
      </w:pPr>
      <w:r w:rsidRPr="0078316E">
        <w:rPr>
          <w:sz w:val="20"/>
          <w:lang w:val="fr-CA"/>
        </w:rPr>
        <w:tab/>
      </w:r>
      <w:r w:rsidRPr="00DB11F4">
        <w:rPr>
          <w:i/>
          <w:sz w:val="20"/>
          <w:lang w:val="fr-CA"/>
        </w:rPr>
        <w:t>Arrêt :</w:t>
      </w:r>
      <w:r w:rsidRPr="00DB11F4">
        <w:rPr>
          <w:sz w:val="20"/>
          <w:lang w:val="fr-CA"/>
        </w:rPr>
        <w:t xml:space="preserve"> Le pourvoi est </w:t>
      </w:r>
      <w:r w:rsidRPr="002847F7">
        <w:rPr>
          <w:sz w:val="20"/>
          <w:lang w:val="fr-FR"/>
        </w:rPr>
        <w:t>accueilli en partie.</w:t>
      </w:r>
    </w:p>
    <w:p w:rsidR="00DB11F4" w:rsidRPr="00DB11F4" w:rsidRDefault="00DB11F4" w:rsidP="00DB11F4">
      <w:pPr>
        <w:pStyle w:val="SCCNormalDoubleSpacing"/>
        <w:spacing w:line="240" w:lineRule="auto"/>
        <w:rPr>
          <w:sz w:val="20"/>
          <w:lang w:val="fr-CA"/>
        </w:rPr>
      </w:pPr>
    </w:p>
    <w:p w:rsidR="00DB11F4" w:rsidRPr="002847F7" w:rsidRDefault="00DB11F4" w:rsidP="00DB11F4">
      <w:pPr>
        <w:pStyle w:val="SCCNormalDoubleSpacing"/>
        <w:spacing w:line="240" w:lineRule="auto"/>
        <w:rPr>
          <w:sz w:val="20"/>
          <w:lang w:val="fr-FR"/>
        </w:rPr>
      </w:pPr>
      <w:r w:rsidRPr="00DB11F4">
        <w:rPr>
          <w:sz w:val="20"/>
          <w:lang w:val="fr-CA"/>
        </w:rPr>
        <w:tab/>
      </w:r>
      <w:r w:rsidRPr="002847F7">
        <w:rPr>
          <w:sz w:val="20"/>
          <w:lang w:val="fr-FR"/>
        </w:rPr>
        <w:t xml:space="preserve">La définition du mot « haine » </w:t>
      </w:r>
      <w:r w:rsidRPr="00DB11F4">
        <w:rPr>
          <w:sz w:val="20"/>
          <w:lang w:val="fr-CA"/>
        </w:rPr>
        <w:t xml:space="preserve">proposée dans </w:t>
      </w:r>
      <w:r w:rsidRPr="00DB11F4">
        <w:rPr>
          <w:i/>
          <w:sz w:val="20"/>
          <w:lang w:val="fr-CA"/>
        </w:rPr>
        <w:t>Canada (Commission des droits de la personne) c. Taylor</w:t>
      </w:r>
      <w:r w:rsidRPr="00DB11F4">
        <w:rPr>
          <w:sz w:val="20"/>
          <w:lang w:val="fr-CA"/>
        </w:rPr>
        <w:t xml:space="preserve">, </w:t>
      </w:r>
      <w:r w:rsidRPr="002847F7">
        <w:rPr>
          <w:sz w:val="20"/>
          <w:lang w:val="fr-FR"/>
        </w:rPr>
        <w:t xml:space="preserve">[1990] 3 R.C.S. 892, </w:t>
      </w:r>
      <w:r w:rsidRPr="00DB11F4">
        <w:rPr>
          <w:sz w:val="20"/>
          <w:lang w:val="fr-CA"/>
        </w:rPr>
        <w:t>à quelques modifications près, offre une méthode pratique pour interpréter le mot « haine » pour l’application des dispositions législatives interdisant les propos haineux</w:t>
      </w:r>
      <w:r w:rsidRPr="002847F7">
        <w:rPr>
          <w:sz w:val="20"/>
          <w:lang w:val="fr-FR"/>
        </w:rPr>
        <w:t xml:space="preserve">.  Trois </w:t>
      </w:r>
      <w:r w:rsidRPr="00DB11F4">
        <w:rPr>
          <w:sz w:val="20"/>
          <w:lang w:val="fr-CA"/>
        </w:rPr>
        <w:t>lignes directrices principales doivent être suivies</w:t>
      </w:r>
      <w:r w:rsidRPr="002847F7">
        <w:rPr>
          <w:sz w:val="20"/>
          <w:lang w:val="fr-FR"/>
        </w:rPr>
        <w:t xml:space="preserve">.  </w:t>
      </w:r>
      <w:r w:rsidRPr="00DB11F4">
        <w:rPr>
          <w:sz w:val="20"/>
          <w:lang w:val="fr-CA"/>
        </w:rPr>
        <w:t xml:space="preserve">Premièrement, les tribunaux judiciaires doivent appliquer de manière objective les dispositions interdisant les propos haineux. </w:t>
      </w:r>
      <w:r w:rsidRPr="002847F7">
        <w:rPr>
          <w:sz w:val="20"/>
          <w:lang w:val="fr-FR"/>
        </w:rPr>
        <w:t xml:space="preserve"> Ils doivent se demander </w:t>
      </w:r>
      <w:r w:rsidRPr="00DB11F4">
        <w:rPr>
          <w:sz w:val="20"/>
          <w:lang w:val="fr-CA"/>
        </w:rPr>
        <w:t>si une personne raisonnable, informée du contexte et des circonstances, estimerait que les propos exposent le groupe protégé à la haine.</w:t>
      </w:r>
      <w:r w:rsidRPr="002847F7">
        <w:rPr>
          <w:sz w:val="20"/>
          <w:lang w:val="fr-FR"/>
        </w:rPr>
        <w:t xml:space="preserve">  </w:t>
      </w:r>
      <w:r w:rsidRPr="00DB11F4">
        <w:rPr>
          <w:sz w:val="20"/>
          <w:lang w:val="fr-CA"/>
        </w:rPr>
        <w:t xml:space="preserve">Deuxièmement, les termes « haine » et « mépris » qui figurent dans la disposition ne s’entendent que des manifestations extrêmes de l’émotion à laquelle renvoient les termes « détestation » et « diffamation ». </w:t>
      </w:r>
      <w:r w:rsidRPr="002847F7">
        <w:rPr>
          <w:sz w:val="20"/>
          <w:lang w:val="fr-FR"/>
        </w:rPr>
        <w:t xml:space="preserve"> </w:t>
      </w:r>
      <w:r w:rsidRPr="00DB11F4">
        <w:rPr>
          <w:sz w:val="20"/>
          <w:lang w:val="fr-CA"/>
        </w:rPr>
        <w:t xml:space="preserve">Ainsi sont écartés les propos qui, bien que répugnants et offensants, n’incitent pas à l’exécration, au dénigrement et au rejet qui risquent d’emporter la discrimination et d’autres effets préjudiciables. </w:t>
      </w:r>
      <w:r w:rsidRPr="002847F7">
        <w:rPr>
          <w:sz w:val="20"/>
          <w:lang w:val="fr-FR"/>
        </w:rPr>
        <w:t xml:space="preserve"> </w:t>
      </w:r>
      <w:r w:rsidRPr="00DB11F4">
        <w:rPr>
          <w:sz w:val="20"/>
          <w:lang w:val="fr-CA"/>
        </w:rPr>
        <w:t xml:space="preserve">Troisièmement, les tribunaux administratifs doivent axer l’analyse sur les effets des propos en cause, à savoir s’ils sont susceptibles d’exposer la personne ou le groupe ciblé à la haine d’autres personnes.  Le caractère répugnant des idées exprimées ne suffit pas pour justifier d’en restreindre l’expression, et il n’est pas pertinent de se demander si l’auteur des propos avait l’intention d’inciter à la haine ou à la discrimination.  Ce qu’il faut déterminer, ce sont les effets qu’auront probablement les propos sur l’audience, compte tenu des objectifs législatifs visant à réduire ou à éliminer la discrimination.  </w:t>
      </w:r>
      <w:r w:rsidRPr="002847F7">
        <w:rPr>
          <w:sz w:val="20"/>
          <w:lang w:val="fr-FR"/>
        </w:rPr>
        <w:t xml:space="preserve">À la lumière de ces trois lignes directrices, </w:t>
      </w:r>
      <w:r w:rsidRPr="00DB11F4">
        <w:rPr>
          <w:sz w:val="20"/>
          <w:lang w:val="fr-CA"/>
        </w:rPr>
        <w:t>le mot « haine » employé dans une disposition interdisant les propos haineux doit être appliqué de façon objective pour déterminer si une personne raisonnable, informée du contexte et des circonstances, estimerait que les propos sont susceptibles d’exposer autrui à la détestation et à la diffamation pour un motif de discrimination illicite</w:t>
      </w:r>
      <w:r w:rsidRPr="002847F7">
        <w:rPr>
          <w:sz w:val="20"/>
          <w:lang w:val="fr-FR"/>
        </w:rPr>
        <w:t>.</w:t>
      </w:r>
    </w:p>
    <w:p w:rsidR="00DB11F4" w:rsidRDefault="00DB11F4" w:rsidP="00DB11F4">
      <w:pPr>
        <w:pStyle w:val="SCCNormalDoubleSpacing"/>
        <w:spacing w:line="240" w:lineRule="auto"/>
        <w:rPr>
          <w:sz w:val="20"/>
          <w:lang w:val="fr-FR"/>
        </w:rPr>
      </w:pPr>
    </w:p>
    <w:p w:rsidR="00DB11F4" w:rsidRPr="00DB11F4" w:rsidRDefault="00DB11F4" w:rsidP="00DB11F4">
      <w:pPr>
        <w:pStyle w:val="SCCNormalDoubleSpacing"/>
        <w:spacing w:line="240" w:lineRule="auto"/>
        <w:rPr>
          <w:sz w:val="20"/>
          <w:lang w:val="fr-CA"/>
        </w:rPr>
      </w:pPr>
      <w:r w:rsidRPr="002847F7">
        <w:rPr>
          <w:sz w:val="20"/>
          <w:lang w:val="fr-FR"/>
        </w:rPr>
        <w:tab/>
        <w:t>L</w:t>
      </w:r>
      <w:r w:rsidRPr="00DB11F4">
        <w:rPr>
          <w:sz w:val="20"/>
          <w:lang w:val="fr-CA"/>
        </w:rPr>
        <w:t>’interdiction des propos haineux prévue à l’al. 14(1)(</w:t>
      </w:r>
      <w:r w:rsidRPr="00DB11F4">
        <w:rPr>
          <w:i/>
          <w:sz w:val="20"/>
          <w:lang w:val="fr-CA"/>
        </w:rPr>
        <w:t>b</w:t>
      </w:r>
      <w:r w:rsidRPr="00DB11F4">
        <w:rPr>
          <w:sz w:val="20"/>
          <w:lang w:val="fr-CA"/>
        </w:rPr>
        <w:t xml:space="preserve">) du </w:t>
      </w:r>
      <w:r w:rsidRPr="00DB11F4">
        <w:rPr>
          <w:i/>
          <w:sz w:val="20"/>
          <w:lang w:val="fr-CA"/>
        </w:rPr>
        <w:t>Code</w:t>
      </w:r>
      <w:r w:rsidRPr="00DB11F4">
        <w:rPr>
          <w:sz w:val="20"/>
          <w:lang w:val="fr-CA"/>
        </w:rPr>
        <w:t xml:space="preserve"> porte atteinte à la liberté d’expression garantie par l’al. 2</w:t>
      </w:r>
      <w:r w:rsidRPr="00DB11F4">
        <w:rPr>
          <w:i/>
          <w:sz w:val="20"/>
          <w:lang w:val="fr-CA"/>
        </w:rPr>
        <w:t>b</w:t>
      </w:r>
      <w:r w:rsidRPr="00DB11F4">
        <w:rPr>
          <w:sz w:val="20"/>
          <w:lang w:val="fr-CA"/>
        </w:rPr>
        <w:t xml:space="preserve">) de la </w:t>
      </w:r>
      <w:r w:rsidRPr="00DB11F4">
        <w:rPr>
          <w:i/>
          <w:sz w:val="20"/>
          <w:lang w:val="fr-CA"/>
        </w:rPr>
        <w:t>Charte</w:t>
      </w:r>
      <w:r w:rsidRPr="00DB11F4">
        <w:rPr>
          <w:sz w:val="20"/>
          <w:lang w:val="fr-CA"/>
        </w:rPr>
        <w:t xml:space="preserve">. </w:t>
      </w:r>
      <w:r w:rsidRPr="002847F7">
        <w:rPr>
          <w:sz w:val="20"/>
          <w:lang w:val="fr-FR"/>
        </w:rPr>
        <w:t xml:space="preserve"> </w:t>
      </w:r>
      <w:r w:rsidRPr="00DB11F4">
        <w:rPr>
          <w:sz w:val="20"/>
          <w:lang w:val="fr-CA"/>
        </w:rPr>
        <w:t>Les activités visées à l’al. 14(1)(</w:t>
      </w:r>
      <w:r w:rsidRPr="00DB11F4">
        <w:rPr>
          <w:i/>
          <w:sz w:val="20"/>
          <w:lang w:val="fr-CA"/>
        </w:rPr>
        <w:t>b</w:t>
      </w:r>
      <w:r w:rsidRPr="00DB11F4">
        <w:rPr>
          <w:sz w:val="20"/>
          <w:lang w:val="fr-CA"/>
        </w:rPr>
        <w:t>) comportent un contenu expressif et entrent dans le champ d’application de la protection offerte par l’al. 2</w:t>
      </w:r>
      <w:r w:rsidRPr="00DB11F4">
        <w:rPr>
          <w:i/>
          <w:sz w:val="20"/>
          <w:lang w:val="fr-CA"/>
        </w:rPr>
        <w:t>b</w:t>
      </w:r>
      <w:r w:rsidRPr="00DB11F4">
        <w:rPr>
          <w:sz w:val="20"/>
          <w:lang w:val="fr-CA"/>
        </w:rPr>
        <w:t>).  L’alinéa 14(1)(</w:t>
      </w:r>
      <w:r w:rsidRPr="00DB11F4">
        <w:rPr>
          <w:i/>
          <w:sz w:val="20"/>
          <w:lang w:val="fr-CA"/>
        </w:rPr>
        <w:t>b</w:t>
      </w:r>
      <w:r w:rsidRPr="00DB11F4">
        <w:rPr>
          <w:sz w:val="20"/>
          <w:lang w:val="fr-CA"/>
        </w:rPr>
        <w:t>) vise à empêcher la discrimination en limitant certaines formes de communications publiques.</w:t>
      </w:r>
    </w:p>
    <w:p w:rsidR="00DB11F4" w:rsidRPr="00DB11F4" w:rsidRDefault="00DB11F4" w:rsidP="00DB11F4">
      <w:pPr>
        <w:pStyle w:val="SCCNormalDoubleSpacing"/>
        <w:spacing w:line="240" w:lineRule="auto"/>
        <w:rPr>
          <w:sz w:val="20"/>
          <w:lang w:val="fr-CA"/>
        </w:rPr>
      </w:pPr>
    </w:p>
    <w:p w:rsidR="00DB11F4" w:rsidRPr="002847F7" w:rsidRDefault="00DB11F4" w:rsidP="00DB11F4">
      <w:pPr>
        <w:pStyle w:val="SCCNormalDoubleSpacing"/>
        <w:spacing w:line="240" w:lineRule="auto"/>
        <w:rPr>
          <w:sz w:val="20"/>
          <w:lang w:val="fr-FR"/>
        </w:rPr>
      </w:pPr>
      <w:r w:rsidRPr="00DB11F4">
        <w:rPr>
          <w:sz w:val="20"/>
          <w:lang w:val="fr-CA"/>
        </w:rPr>
        <w:tab/>
      </w:r>
      <w:r w:rsidRPr="002847F7">
        <w:rPr>
          <w:sz w:val="20"/>
          <w:lang w:val="fr-FR"/>
        </w:rPr>
        <w:t>La limite que l’interdiction énoncée à l’al. 14(1)(</w:t>
      </w:r>
      <w:r w:rsidRPr="002847F7">
        <w:rPr>
          <w:i/>
          <w:iCs/>
          <w:sz w:val="20"/>
          <w:lang w:val="fr-FR"/>
        </w:rPr>
        <w:t>b</w:t>
      </w:r>
      <w:r w:rsidRPr="002847F7">
        <w:rPr>
          <w:sz w:val="20"/>
          <w:lang w:val="fr-FR"/>
        </w:rPr>
        <w:t xml:space="preserve">) du </w:t>
      </w:r>
      <w:r w:rsidRPr="002847F7">
        <w:rPr>
          <w:i/>
          <w:sz w:val="20"/>
          <w:lang w:val="fr-FR"/>
        </w:rPr>
        <w:t>Code</w:t>
      </w:r>
      <w:r w:rsidRPr="002847F7">
        <w:rPr>
          <w:sz w:val="20"/>
          <w:lang w:val="fr-FR"/>
        </w:rPr>
        <w:t xml:space="preserve"> apporte à la liberté d’expression est </w:t>
      </w:r>
      <w:r w:rsidRPr="00DB11F4">
        <w:rPr>
          <w:sz w:val="20"/>
          <w:lang w:val="fr-CA"/>
        </w:rPr>
        <w:t xml:space="preserve">une restriction prescrite par une règle de droit au sens de l’article premier de la </w:t>
      </w:r>
      <w:r w:rsidRPr="00DB11F4">
        <w:rPr>
          <w:i/>
          <w:iCs/>
          <w:sz w:val="20"/>
          <w:lang w:val="fr-CA"/>
        </w:rPr>
        <w:t>Charte</w:t>
      </w:r>
      <w:r w:rsidRPr="00DB11F4">
        <w:rPr>
          <w:iCs/>
          <w:sz w:val="20"/>
          <w:lang w:val="fr-CA"/>
        </w:rPr>
        <w:t xml:space="preserve"> </w:t>
      </w:r>
      <w:r w:rsidRPr="002847F7">
        <w:rPr>
          <w:sz w:val="20"/>
          <w:lang w:val="fr-FR"/>
        </w:rPr>
        <w:t>et sa justification est démontrée dans le cadre d’une société libre et démocratique.  Elle atteint un juste équilibre entre</w:t>
      </w:r>
      <w:r w:rsidRPr="00DB11F4">
        <w:rPr>
          <w:sz w:val="20"/>
          <w:lang w:val="fr-CA"/>
        </w:rPr>
        <w:t>, d’une part, les valeurs fondamentales sous</w:t>
      </w:r>
      <w:r w:rsidRPr="00DB11F4">
        <w:rPr>
          <w:sz w:val="20"/>
          <w:lang w:val="fr-CA"/>
        </w:rPr>
        <w:noBreakHyphen/>
        <w:t xml:space="preserve">jacentes à la liberté d’expression et, d’autre part, d’autres droits garantis par la </w:t>
      </w:r>
      <w:r w:rsidRPr="00DB11F4">
        <w:rPr>
          <w:i/>
          <w:sz w:val="20"/>
          <w:lang w:val="fr-CA"/>
        </w:rPr>
        <w:t>Charte</w:t>
      </w:r>
      <w:r w:rsidRPr="00DB11F4">
        <w:rPr>
          <w:sz w:val="20"/>
          <w:lang w:val="fr-CA"/>
        </w:rPr>
        <w:t xml:space="preserve"> et valeurs essentielles dans le cadre d’une société libre et démocratique, en l’occurrence la promotion de l’égalité et du respect de chaque groupe et de la dignité inhérente à tout être humain</w:t>
      </w:r>
      <w:r w:rsidRPr="002847F7">
        <w:rPr>
          <w:sz w:val="20"/>
          <w:lang w:val="fr-FR"/>
        </w:rPr>
        <w:t>.</w:t>
      </w:r>
    </w:p>
    <w:p w:rsidR="00DB11F4" w:rsidRDefault="00DB11F4" w:rsidP="00DB11F4">
      <w:pPr>
        <w:pStyle w:val="SCCNormalDoubleSpacing"/>
        <w:spacing w:line="240" w:lineRule="auto"/>
        <w:rPr>
          <w:sz w:val="20"/>
          <w:lang w:val="fr-FR"/>
        </w:rPr>
      </w:pPr>
    </w:p>
    <w:p w:rsidR="00DB11F4" w:rsidRPr="002847F7" w:rsidRDefault="00DB11F4" w:rsidP="00DB11F4">
      <w:pPr>
        <w:pStyle w:val="SCCNormalDoubleSpacing"/>
        <w:spacing w:line="240" w:lineRule="auto"/>
        <w:rPr>
          <w:sz w:val="20"/>
          <w:lang w:val="fr-FR"/>
        </w:rPr>
      </w:pPr>
      <w:r w:rsidRPr="002847F7">
        <w:rPr>
          <w:sz w:val="20"/>
          <w:lang w:val="fr-FR"/>
        </w:rPr>
        <w:tab/>
        <w:t xml:space="preserve">L’objectif de la limite — à savoir s’attaquer aux causes de la discrimination pour en atténuer les effets préjudiciables et les coûts sociaux — est urgent et réel.  </w:t>
      </w:r>
      <w:r w:rsidRPr="00DB11F4">
        <w:rPr>
          <w:sz w:val="20"/>
          <w:lang w:val="fr-CA"/>
        </w:rPr>
        <w:t xml:space="preserve">Les propos haineux constituent une façon de tenter de marginaliser des personnes en raison de leur appartenance à un </w:t>
      </w:r>
      <w:r w:rsidRPr="002847F7">
        <w:rPr>
          <w:sz w:val="20"/>
          <w:lang w:val="fr-FR"/>
        </w:rPr>
        <w:t xml:space="preserve">groupe.  </w:t>
      </w:r>
      <w:r w:rsidRPr="00DB11F4">
        <w:rPr>
          <w:sz w:val="20"/>
          <w:lang w:val="fr-CA"/>
        </w:rPr>
        <w:t xml:space="preserve">Au moyen de messages qui exposent à la haine le groupe visé, le propos haineux cherche à dénigrer les membres du groupe aux yeux de la majorité en attaquant leur </w:t>
      </w:r>
      <w:r w:rsidRPr="00DB11F4">
        <w:rPr>
          <w:sz w:val="20"/>
          <w:lang w:val="fr-CA"/>
        </w:rPr>
        <w:lastRenderedPageBreak/>
        <w:t>statut social et en compromettant leur acceptation au sein de la société</w:t>
      </w:r>
      <w:r w:rsidRPr="002847F7">
        <w:rPr>
          <w:sz w:val="20"/>
          <w:lang w:val="fr-FR"/>
        </w:rPr>
        <w:t xml:space="preserve">.  </w:t>
      </w:r>
      <w:r w:rsidRPr="00DB11F4">
        <w:rPr>
          <w:sz w:val="20"/>
          <w:lang w:val="fr-CA"/>
        </w:rPr>
        <w:t>Ainsi, les propos haineux causent des troubles psychologiques aux membres individuels du groupe et leur effet ne s’arrête pas là</w:t>
      </w:r>
      <w:r w:rsidRPr="002847F7">
        <w:rPr>
          <w:sz w:val="20"/>
          <w:lang w:val="fr-FR"/>
        </w:rPr>
        <w:t xml:space="preserve">.  </w:t>
      </w:r>
      <w:r w:rsidRPr="00DB11F4">
        <w:rPr>
          <w:sz w:val="20"/>
          <w:lang w:val="fr-CA"/>
        </w:rPr>
        <w:t>Ils peuvent avoir des incidences sur l’ensemble de la société.  Les propos haineux préparent le terrain en vue de porter des attaques plus virulentes contre les groupes vulnérables, attaques qui peuvent prendre la forme de mesures discriminatoires, d’ostracisme, de ségrégation, d’expulsion, de violences et, dans les cas les plus extrêmes, de génocide.  Ils ont également pour effet de nuire à la capacité des membres d’un groupe protégé de réagir à des idées de fond au centre du débat, ce qui constitue un obstacle majeur les empêchant de participer pleinement à la démocratie</w:t>
      </w:r>
      <w:r w:rsidRPr="002847F7">
        <w:rPr>
          <w:sz w:val="20"/>
          <w:lang w:val="fr-FR"/>
        </w:rPr>
        <w:t>.</w:t>
      </w:r>
    </w:p>
    <w:p w:rsidR="00DB11F4" w:rsidRDefault="00DB11F4" w:rsidP="00DB11F4">
      <w:pPr>
        <w:pStyle w:val="SCCNormalDoubleSpacing"/>
        <w:spacing w:line="240" w:lineRule="auto"/>
        <w:rPr>
          <w:sz w:val="20"/>
          <w:lang w:val="fr-FR"/>
        </w:rPr>
      </w:pPr>
    </w:p>
    <w:p w:rsidR="00DB11F4" w:rsidRPr="002847F7" w:rsidRDefault="00DB11F4" w:rsidP="00DB11F4">
      <w:pPr>
        <w:pStyle w:val="SCCNormalDoubleSpacing"/>
        <w:spacing w:line="240" w:lineRule="auto"/>
        <w:rPr>
          <w:sz w:val="20"/>
          <w:lang w:val="fr-FR"/>
        </w:rPr>
      </w:pPr>
      <w:r w:rsidRPr="002847F7">
        <w:rPr>
          <w:sz w:val="20"/>
          <w:lang w:val="fr-FR"/>
        </w:rPr>
        <w:tab/>
        <w:t>L’alinéa 14(1)(</w:t>
      </w:r>
      <w:r w:rsidRPr="002847F7">
        <w:rPr>
          <w:i/>
          <w:sz w:val="20"/>
          <w:lang w:val="fr-FR"/>
        </w:rPr>
        <w:t>b</w:t>
      </w:r>
      <w:r w:rsidRPr="002847F7">
        <w:rPr>
          <w:sz w:val="20"/>
          <w:lang w:val="fr-FR"/>
        </w:rPr>
        <w:t xml:space="preserve">) du </w:t>
      </w:r>
      <w:r w:rsidRPr="002847F7">
        <w:rPr>
          <w:i/>
          <w:sz w:val="20"/>
          <w:lang w:val="fr-FR"/>
        </w:rPr>
        <w:t>Code</w:t>
      </w:r>
      <w:r w:rsidRPr="002847F7">
        <w:rPr>
          <w:sz w:val="20"/>
          <w:lang w:val="fr-FR"/>
        </w:rPr>
        <w:t xml:space="preserve"> est proportionné à l’objectif recherché.  L</w:t>
      </w:r>
      <w:r w:rsidRPr="00DB11F4">
        <w:rPr>
          <w:sz w:val="20"/>
          <w:lang w:val="fr-CA"/>
        </w:rPr>
        <w:t xml:space="preserve">’interdiction des représentations qui sont objectivement perçues comme exposant un groupe protégé à la haine a un lien rationnel avec l’objectif d’éliminer la discrimination ainsi que les autres effets préjudiciables de la haine. </w:t>
      </w:r>
      <w:r w:rsidRPr="002847F7">
        <w:rPr>
          <w:sz w:val="20"/>
          <w:lang w:val="fr-FR"/>
        </w:rPr>
        <w:t xml:space="preserve"> </w:t>
      </w:r>
      <w:r w:rsidRPr="00DB11F4">
        <w:rPr>
          <w:sz w:val="20"/>
          <w:lang w:val="fr-CA"/>
        </w:rPr>
        <w:t xml:space="preserve">Pour pouvoir satisfaire au critère du lien rationnel, la communication visée par la disposition législative limitant les discours haineux doit être d’une ampleur telle qu’elle ne nuit pas seulement à des individus, mais qu’elle tente de marginaliser le groupe dont ils font partie en attaquant son statut social et en compromettant son acceptation aux yeux de la majorité.  Le préjudice que des propos haineux causent à la société doit être évalué de façon aussi objective que possible et l’accent doit porter sur l’effet que peuvent avoir les propos haineux sur la façon dont les personnes qui ne font pas partie du groupe vont percevoir le statut social de ce groupe. </w:t>
      </w:r>
      <w:r w:rsidRPr="002847F7">
        <w:rPr>
          <w:sz w:val="20"/>
          <w:lang w:val="fr-FR"/>
        </w:rPr>
        <w:t xml:space="preserve"> </w:t>
      </w:r>
      <w:r w:rsidRPr="00DB11F4">
        <w:rPr>
          <w:sz w:val="20"/>
          <w:lang w:val="fr-CA"/>
        </w:rPr>
        <w:t>L’alinéa 14(1)(</w:t>
      </w:r>
      <w:r w:rsidRPr="00DB11F4">
        <w:rPr>
          <w:i/>
          <w:iCs/>
          <w:sz w:val="20"/>
          <w:lang w:val="fr-CA"/>
        </w:rPr>
        <w:t>b</w:t>
      </w:r>
      <w:r w:rsidRPr="00DB11F4">
        <w:rPr>
          <w:sz w:val="20"/>
          <w:lang w:val="fr-CA"/>
        </w:rPr>
        <w:t xml:space="preserve">) du </w:t>
      </w:r>
      <w:r w:rsidRPr="00DB11F4">
        <w:rPr>
          <w:i/>
          <w:sz w:val="20"/>
          <w:lang w:val="fr-CA"/>
        </w:rPr>
        <w:t>Code</w:t>
      </w:r>
      <w:r w:rsidRPr="00DB11F4">
        <w:rPr>
          <w:sz w:val="20"/>
          <w:lang w:val="fr-CA"/>
        </w:rPr>
        <w:t xml:space="preserve"> témoigne de cette volonté du législateur</w:t>
      </w:r>
      <w:r w:rsidRPr="002847F7">
        <w:rPr>
          <w:sz w:val="20"/>
          <w:lang w:val="fr-FR"/>
        </w:rPr>
        <w:t>.  L’interdiction n</w:t>
      </w:r>
      <w:r w:rsidRPr="00DB11F4">
        <w:rPr>
          <w:sz w:val="20"/>
          <w:lang w:val="fr-CA"/>
        </w:rPr>
        <w:t>e vise que la communication publique de propos haineux</w:t>
      </w:r>
      <w:r w:rsidRPr="002847F7">
        <w:rPr>
          <w:sz w:val="20"/>
          <w:lang w:val="fr-FR"/>
        </w:rPr>
        <w:t xml:space="preserve">; elle </w:t>
      </w:r>
      <w:r w:rsidRPr="00DB11F4">
        <w:rPr>
          <w:sz w:val="20"/>
          <w:lang w:val="fr-CA"/>
        </w:rPr>
        <w:t>ne limite pas l’expression de propos haineux dans les communications privées échangées entre personnes</w:t>
      </w:r>
      <w:r w:rsidRPr="002847F7">
        <w:rPr>
          <w:sz w:val="20"/>
          <w:lang w:val="fr-FR"/>
        </w:rPr>
        <w:t xml:space="preserve">.  </w:t>
      </w:r>
      <w:r w:rsidRPr="00DB11F4">
        <w:rPr>
          <w:sz w:val="20"/>
          <w:lang w:val="fr-CA"/>
        </w:rPr>
        <w:t xml:space="preserve">De même, l’interdiction n’empêche pas de tenir des propos haineux contre une personne sur le fondement de ses caractéristiques personnelles uniques; elle ne vise que les propos haineux fondés sur des caractéristiques communes à un groupe de personnes et qui ont été reconnues comme motifs de distinction illicite aux termes d’une loi. </w:t>
      </w:r>
      <w:r w:rsidRPr="002847F7">
        <w:rPr>
          <w:sz w:val="20"/>
          <w:lang w:val="fr-FR"/>
        </w:rPr>
        <w:t xml:space="preserve"> Cependant, </w:t>
      </w:r>
      <w:r w:rsidRPr="00DB11F4">
        <w:rPr>
          <w:sz w:val="20"/>
          <w:lang w:val="fr-CA"/>
        </w:rPr>
        <w:t xml:space="preserve">une forme d’expression qui « ridiculise, rabaisse ou porte par ailleurs atteinte à [la] dignité » ne saurait exprimer les sentiments violents et extrêmes inspirant la haine qui ont été jugés essentiels à la constitutionnalité </w:t>
      </w:r>
      <w:r w:rsidRPr="002847F7">
        <w:rPr>
          <w:sz w:val="20"/>
          <w:lang w:val="fr-FR"/>
        </w:rPr>
        <w:t>d’une loi sur les droits de la personne interdisant certains propos.  Ainsi, il n’existe pas de lien rationnel entre ces mots figurant à l’al. 14(1)(</w:t>
      </w:r>
      <w:r w:rsidRPr="002847F7">
        <w:rPr>
          <w:i/>
          <w:sz w:val="20"/>
          <w:lang w:val="fr-FR"/>
        </w:rPr>
        <w:t>b</w:t>
      </w:r>
      <w:r w:rsidRPr="002847F7">
        <w:rPr>
          <w:sz w:val="20"/>
          <w:lang w:val="fr-FR"/>
        </w:rPr>
        <w:t xml:space="preserve">) du </w:t>
      </w:r>
      <w:r w:rsidRPr="002847F7">
        <w:rPr>
          <w:i/>
          <w:sz w:val="20"/>
          <w:lang w:val="fr-FR"/>
        </w:rPr>
        <w:t>Code</w:t>
      </w:r>
      <w:r w:rsidRPr="002847F7">
        <w:rPr>
          <w:sz w:val="20"/>
          <w:lang w:val="fr-FR"/>
        </w:rPr>
        <w:t xml:space="preserve"> et </w:t>
      </w:r>
      <w:r w:rsidRPr="00DB11F4">
        <w:rPr>
          <w:sz w:val="20"/>
          <w:lang w:val="fr-CA"/>
        </w:rPr>
        <w:t>l’objectif visé par le législateur</w:t>
      </w:r>
      <w:r w:rsidRPr="002847F7">
        <w:rPr>
          <w:sz w:val="20"/>
          <w:lang w:val="fr-FR"/>
        </w:rPr>
        <w:t xml:space="preserve">, </w:t>
      </w:r>
      <w:r w:rsidRPr="00DB11F4">
        <w:rPr>
          <w:sz w:val="20"/>
          <w:lang w:val="fr-CA"/>
        </w:rPr>
        <w:t>à savoir lutter contre la discrimination systémique dirigée contre des groupes protégés,</w:t>
      </w:r>
      <w:r w:rsidRPr="002847F7">
        <w:rPr>
          <w:sz w:val="20"/>
          <w:lang w:val="fr-FR"/>
        </w:rPr>
        <w:t xml:space="preserve"> et ces mots portent atteinte de façon injustifiée à la liberté d’expression.  I</w:t>
      </w:r>
      <w:r w:rsidRPr="00DB11F4">
        <w:rPr>
          <w:sz w:val="20"/>
          <w:lang w:val="fr-CA"/>
        </w:rPr>
        <w:t>ls sont par conséquent inconstitutionnels</w:t>
      </w:r>
      <w:r w:rsidRPr="002847F7">
        <w:rPr>
          <w:sz w:val="20"/>
          <w:lang w:val="fr-FR"/>
        </w:rPr>
        <w:t xml:space="preserve"> et doivent être retranchés de l’al. 14(1)(</w:t>
      </w:r>
      <w:r w:rsidRPr="002847F7">
        <w:rPr>
          <w:i/>
          <w:sz w:val="20"/>
          <w:lang w:val="fr-FR"/>
        </w:rPr>
        <w:t>b</w:t>
      </w:r>
      <w:r w:rsidRPr="002847F7">
        <w:rPr>
          <w:sz w:val="20"/>
          <w:lang w:val="fr-FR"/>
        </w:rPr>
        <w:t xml:space="preserve">). </w:t>
      </w:r>
    </w:p>
    <w:p w:rsidR="00DB11F4" w:rsidRDefault="00DB11F4" w:rsidP="00DB11F4">
      <w:pPr>
        <w:pStyle w:val="SCCNormalDoubleSpacing"/>
        <w:spacing w:line="240" w:lineRule="auto"/>
        <w:rPr>
          <w:sz w:val="20"/>
          <w:lang w:val="fr-FR"/>
        </w:rPr>
      </w:pPr>
    </w:p>
    <w:p w:rsidR="00DB11F4" w:rsidRPr="00DB11F4" w:rsidRDefault="00DB11F4" w:rsidP="00DB11F4">
      <w:pPr>
        <w:pStyle w:val="SCCNormalDoubleSpacing"/>
        <w:spacing w:line="240" w:lineRule="auto"/>
        <w:rPr>
          <w:sz w:val="20"/>
          <w:lang w:val="fr-CA"/>
        </w:rPr>
      </w:pPr>
      <w:r w:rsidRPr="002847F7">
        <w:rPr>
          <w:sz w:val="20"/>
          <w:lang w:val="fr-FR"/>
        </w:rPr>
        <w:tab/>
        <w:t>L</w:t>
      </w:r>
      <w:r w:rsidRPr="00DB11F4">
        <w:rPr>
          <w:sz w:val="20"/>
          <w:lang w:val="fr-CA"/>
        </w:rPr>
        <w:t>’al. 14(1)(</w:t>
      </w:r>
      <w:r w:rsidRPr="00DB11F4">
        <w:rPr>
          <w:i/>
          <w:iCs/>
          <w:sz w:val="20"/>
          <w:lang w:val="fr-CA"/>
        </w:rPr>
        <w:t>b</w:t>
      </w:r>
      <w:r w:rsidRPr="00DB11F4">
        <w:rPr>
          <w:sz w:val="20"/>
          <w:lang w:val="fr-CA"/>
        </w:rPr>
        <w:t xml:space="preserve">) du </w:t>
      </w:r>
      <w:r w:rsidRPr="00DB11F4">
        <w:rPr>
          <w:i/>
          <w:sz w:val="20"/>
          <w:lang w:val="fr-CA"/>
        </w:rPr>
        <w:t>Code</w:t>
      </w:r>
      <w:r w:rsidRPr="00DB11F4">
        <w:rPr>
          <w:sz w:val="20"/>
          <w:lang w:val="fr-CA"/>
        </w:rPr>
        <w:t xml:space="preserve"> satisfait à l’exigence relative à l’atteinte minimale.  Les solutions de rechange proposées consistaient à faire confiance au libre échange des idées pour en arriver à un juste équilibre entre les droits contradictoires ou à laisser au droit criminel le soin d’assurer la poursuite des auteurs de propos haineux.  L’interdiction prévue à l’al. 14(1)(</w:t>
      </w:r>
      <w:r w:rsidRPr="00DB11F4">
        <w:rPr>
          <w:i/>
          <w:sz w:val="20"/>
          <w:lang w:val="fr-CA"/>
        </w:rPr>
        <w:t>b</w:t>
      </w:r>
      <w:r w:rsidRPr="00DB11F4">
        <w:rPr>
          <w:sz w:val="20"/>
          <w:lang w:val="fr-CA"/>
        </w:rPr>
        <w:t>) fait toutefois partie des solutions de rechange raisonnables qui s’offraient au législateur.  Par contre, l’expression « les ridiculise, les rabaisse ou porte par ailleurs atteinte à leur dignité » à l’al. 14(1)(</w:t>
      </w:r>
      <w:r w:rsidRPr="00DB11F4">
        <w:rPr>
          <w:i/>
          <w:sz w:val="20"/>
          <w:lang w:val="fr-CA"/>
        </w:rPr>
        <w:t>b</w:t>
      </w:r>
      <w:r w:rsidRPr="00DB11F4">
        <w:rPr>
          <w:sz w:val="20"/>
          <w:lang w:val="fr-CA"/>
        </w:rPr>
        <w:t>) est aussi inconstitutionnelle parce qu’elle ne constitue pas une atteinte minimale à la liberté d’expression.  Dès lors que ces mots de l’al. 14(1)(</w:t>
      </w:r>
      <w:r w:rsidRPr="00DB11F4">
        <w:rPr>
          <w:i/>
          <w:sz w:val="20"/>
          <w:lang w:val="fr-CA"/>
        </w:rPr>
        <w:t>b</w:t>
      </w:r>
      <w:r w:rsidRPr="00DB11F4">
        <w:rPr>
          <w:sz w:val="20"/>
          <w:lang w:val="fr-CA"/>
        </w:rPr>
        <w:t>)</w:t>
      </w:r>
      <w:r w:rsidRPr="00DB11F4">
        <w:rPr>
          <w:i/>
          <w:sz w:val="20"/>
          <w:lang w:val="fr-CA"/>
        </w:rPr>
        <w:t xml:space="preserve"> </w:t>
      </w:r>
      <w:r w:rsidRPr="00DB11F4">
        <w:rPr>
          <w:sz w:val="20"/>
          <w:lang w:val="fr-CA"/>
        </w:rPr>
        <w:t xml:space="preserve">sont retranchés, cette disposition n’a pas une portée excessive; elle est plutôt conçue de manière à porter le moins possible atteinte à la liberté d’expression.  La disposition modifiée n’englobera pas tous les discours préjudiciables, mais elle est censée viser les formes d’expression qui, en inspirant la haine, sont susceptibles de causer le type de préjudice que la loi tente de prévenir.  </w:t>
      </w:r>
    </w:p>
    <w:p w:rsidR="00DB11F4" w:rsidRPr="00DB11F4" w:rsidRDefault="00DB11F4" w:rsidP="00DB11F4">
      <w:pPr>
        <w:pStyle w:val="SCCNormalDoubleSpacing"/>
        <w:spacing w:line="240" w:lineRule="auto"/>
        <w:rPr>
          <w:sz w:val="20"/>
          <w:lang w:val="fr-CA"/>
        </w:rPr>
      </w:pPr>
    </w:p>
    <w:p w:rsidR="00DB11F4" w:rsidRPr="002847F7" w:rsidRDefault="00DB11F4" w:rsidP="00DB11F4">
      <w:pPr>
        <w:pStyle w:val="SCCNormalDoubleSpacing"/>
        <w:spacing w:line="240" w:lineRule="auto"/>
        <w:rPr>
          <w:sz w:val="20"/>
          <w:lang w:val="fr-FR"/>
        </w:rPr>
      </w:pPr>
      <w:r w:rsidRPr="00DB11F4">
        <w:rPr>
          <w:sz w:val="20"/>
          <w:lang w:val="fr-CA"/>
        </w:rPr>
        <w:tab/>
        <w:t xml:space="preserve">Les écrits et les discours ne seront pas traités sur un pied d’égalité lorsqu’il s’agit de trouver un juste équilibre entre des valeurs concurrentes dans le cadre d’une analyse fondée sur l’article premier parce que, selon leur nature, les divers types d’écrits et de discours se rapprochent ou s’éloignent relativement des valeurs fondamentales à la base de la liberté. </w:t>
      </w:r>
      <w:r w:rsidRPr="002847F7">
        <w:rPr>
          <w:sz w:val="20"/>
          <w:lang w:val="fr-FR"/>
        </w:rPr>
        <w:t xml:space="preserve"> </w:t>
      </w:r>
      <w:r w:rsidRPr="00DB11F4">
        <w:rPr>
          <w:sz w:val="20"/>
          <w:lang w:val="fr-CA"/>
        </w:rPr>
        <w:t>Le propos haineux est quelque peu éloigné de l’esprit de l’al. 2</w:t>
      </w:r>
      <w:r w:rsidRPr="00DB11F4">
        <w:rPr>
          <w:i/>
          <w:iCs/>
          <w:sz w:val="20"/>
          <w:lang w:val="fr-CA"/>
        </w:rPr>
        <w:t>b</w:t>
      </w:r>
      <w:r w:rsidRPr="00DB11F4">
        <w:rPr>
          <w:sz w:val="20"/>
          <w:lang w:val="fr-CA"/>
        </w:rPr>
        <w:t>) parce qu’il contribue peu à promouvoir les valeurs sous</w:t>
      </w:r>
      <w:r w:rsidRPr="00DB11F4">
        <w:rPr>
          <w:sz w:val="20"/>
          <w:lang w:val="fr-CA"/>
        </w:rPr>
        <w:noBreakHyphen/>
        <w:t xml:space="preserve">jacentes à la liberté d’expression et qu’il peut en fait les entraver.  Le propos haineux peut également fausser ou restreindre l’échange sain et libre d’idées en raison de sa tendance à réduire au silence les membres du groupe visé. </w:t>
      </w:r>
      <w:r w:rsidRPr="002847F7">
        <w:rPr>
          <w:sz w:val="20"/>
          <w:lang w:val="fr-FR"/>
        </w:rPr>
        <w:t xml:space="preserve"> </w:t>
      </w:r>
      <w:r w:rsidRPr="00DB11F4">
        <w:rPr>
          <w:sz w:val="20"/>
          <w:lang w:val="fr-CA"/>
        </w:rPr>
        <w:t xml:space="preserve">Il s’agit là de considérations importantes lorsqu’on recherche l’équilibre entre le discours haineux et les droits opposés garantis par la </w:t>
      </w:r>
      <w:r w:rsidRPr="00DB11F4">
        <w:rPr>
          <w:i/>
          <w:iCs/>
          <w:sz w:val="20"/>
          <w:lang w:val="fr-CA"/>
        </w:rPr>
        <w:t>Charte</w:t>
      </w:r>
      <w:r w:rsidRPr="00DB11F4">
        <w:rPr>
          <w:sz w:val="20"/>
          <w:lang w:val="fr-CA"/>
        </w:rPr>
        <w:t xml:space="preserve"> et lorsqu’il s’agit de se prononcer sur la constitutionnalité de l’interdiction prévue à l’al. 14(1)(</w:t>
      </w:r>
      <w:r w:rsidRPr="00DB11F4">
        <w:rPr>
          <w:i/>
          <w:iCs/>
          <w:sz w:val="20"/>
          <w:lang w:val="fr-CA"/>
        </w:rPr>
        <w:t>b</w:t>
      </w:r>
      <w:r w:rsidRPr="00DB11F4">
        <w:rPr>
          <w:sz w:val="20"/>
          <w:lang w:val="fr-CA"/>
        </w:rPr>
        <w:t xml:space="preserve">) du </w:t>
      </w:r>
      <w:r w:rsidRPr="00DB11F4">
        <w:rPr>
          <w:i/>
          <w:sz w:val="20"/>
          <w:lang w:val="fr-CA"/>
        </w:rPr>
        <w:t>Code</w:t>
      </w:r>
      <w:r w:rsidRPr="00DB11F4">
        <w:rPr>
          <w:sz w:val="20"/>
          <w:lang w:val="fr-CA"/>
        </w:rPr>
        <w:t xml:space="preserve">. </w:t>
      </w:r>
    </w:p>
    <w:p w:rsidR="00DB11F4" w:rsidRDefault="00DB11F4" w:rsidP="00DB11F4">
      <w:pPr>
        <w:pStyle w:val="SCCNormalDoubleSpacing"/>
        <w:spacing w:line="240" w:lineRule="auto"/>
        <w:rPr>
          <w:sz w:val="20"/>
          <w:lang w:val="fr-FR"/>
        </w:rPr>
      </w:pPr>
    </w:p>
    <w:p w:rsidR="00DB11F4" w:rsidRPr="002847F7" w:rsidRDefault="00DB11F4" w:rsidP="00DB11F4">
      <w:pPr>
        <w:pStyle w:val="SCCNormalDoubleSpacing"/>
        <w:spacing w:line="240" w:lineRule="auto"/>
        <w:rPr>
          <w:sz w:val="20"/>
          <w:lang w:val="fr-FR"/>
        </w:rPr>
      </w:pPr>
      <w:r w:rsidRPr="002847F7">
        <w:rPr>
          <w:sz w:val="20"/>
          <w:lang w:val="fr-FR"/>
        </w:rPr>
        <w:tab/>
      </w:r>
      <w:r w:rsidRPr="00DB11F4">
        <w:rPr>
          <w:sz w:val="20"/>
          <w:lang w:val="fr-CA"/>
        </w:rPr>
        <w:t xml:space="preserve">Formuler des propos dans un contexte moral ou dans le cadre d’un débat d’intérêt public n’a pas pour effet de neutraliser leurs conséquences préjudiciables. </w:t>
      </w:r>
      <w:r w:rsidRPr="002847F7">
        <w:rPr>
          <w:sz w:val="20"/>
          <w:lang w:val="fr-FR"/>
        </w:rPr>
        <w:t xml:space="preserve"> </w:t>
      </w:r>
      <w:r w:rsidRPr="00DB11F4">
        <w:rPr>
          <w:sz w:val="20"/>
          <w:lang w:val="fr-CA"/>
        </w:rPr>
        <w:t>Le fait de conclure qu’un discours ou un écrit relève du discours politique ne nous empêche pas de nous demander s’il constitue ou non un discours haineux</w:t>
      </w:r>
      <w:r w:rsidRPr="002847F7">
        <w:rPr>
          <w:sz w:val="20"/>
          <w:lang w:val="fr-FR"/>
        </w:rPr>
        <w:t xml:space="preserve">.  </w:t>
      </w:r>
      <w:r w:rsidRPr="00DB11F4">
        <w:rPr>
          <w:sz w:val="20"/>
          <w:lang w:val="fr-CA"/>
        </w:rPr>
        <w:t xml:space="preserve">Il arrive souvent que des propos haineux s’inscrivent dans le cadre d’un débat public plus large, mais il s’agit d’un discours restrictif qui a tendance à exclure.  L’expression d’opinions politiques contribue à la démocratie en encourageant l’échange d’opinions opposées. </w:t>
      </w:r>
      <w:r w:rsidRPr="002847F7">
        <w:rPr>
          <w:sz w:val="20"/>
          <w:lang w:val="fr-FR"/>
        </w:rPr>
        <w:t xml:space="preserve"> </w:t>
      </w:r>
      <w:r w:rsidRPr="00DB11F4">
        <w:rPr>
          <w:sz w:val="20"/>
          <w:lang w:val="fr-CA"/>
        </w:rPr>
        <w:t xml:space="preserve">Les propos haineux vont directement à l’encontre de cet objectif du fait qu’ils empêchent tout dialogue, en </w:t>
      </w:r>
      <w:r w:rsidRPr="00DB11F4">
        <w:rPr>
          <w:sz w:val="20"/>
          <w:lang w:val="fr-CA"/>
        </w:rPr>
        <w:lastRenderedPageBreak/>
        <w:t xml:space="preserve">rendant difficile, voire impossible, pour les membres du groupe vulnérable de réagir, entravant ainsi l’échange d’idées. </w:t>
      </w:r>
      <w:r w:rsidRPr="002847F7">
        <w:rPr>
          <w:sz w:val="20"/>
          <w:lang w:val="fr-FR"/>
        </w:rPr>
        <w:t xml:space="preserve"> </w:t>
      </w:r>
      <w:r w:rsidRPr="00DB11F4">
        <w:rPr>
          <w:sz w:val="20"/>
          <w:lang w:val="fr-CA"/>
        </w:rPr>
        <w:t>Un discours qui a pour effet d’empêcher la tenue d’un débat public ne peut échapper à l’interdiction prévue par la loi pour la raison qu’il favorise le débat.</w:t>
      </w:r>
      <w:r w:rsidRPr="002847F7">
        <w:rPr>
          <w:sz w:val="20"/>
          <w:lang w:val="fr-FR"/>
        </w:rPr>
        <w:t xml:space="preserve">  </w:t>
      </w:r>
      <w:r w:rsidRPr="00DB11F4">
        <w:rPr>
          <w:sz w:val="20"/>
          <w:lang w:val="fr-CA"/>
        </w:rPr>
        <w:t xml:space="preserve">L’article 14 du </w:t>
      </w:r>
      <w:r w:rsidRPr="00DB11F4">
        <w:rPr>
          <w:i/>
          <w:sz w:val="20"/>
          <w:lang w:val="fr-CA"/>
        </w:rPr>
        <w:t>Code</w:t>
      </w:r>
      <w:r w:rsidRPr="00DB11F4">
        <w:rPr>
          <w:sz w:val="20"/>
          <w:lang w:val="fr-CA"/>
        </w:rPr>
        <w:t xml:space="preserve"> constitue un moyen approprié de protéger la presque totalité du discours politique en tant qu’aspect crucial de la liberté d’expression</w:t>
      </w:r>
      <w:r w:rsidRPr="002847F7">
        <w:rPr>
          <w:sz w:val="20"/>
          <w:lang w:val="fr-FR"/>
        </w:rPr>
        <w:t xml:space="preserve">.  </w:t>
      </w:r>
      <w:r w:rsidRPr="00DB11F4">
        <w:rPr>
          <w:sz w:val="20"/>
          <w:lang w:val="fr-CA"/>
        </w:rPr>
        <w:t>Il n’exclut qu’un type d’expression extrême et marginale qui ne contribue guère à défendre les valeurs sous</w:t>
      </w:r>
      <w:r w:rsidRPr="00DB11F4">
        <w:rPr>
          <w:sz w:val="20"/>
          <w:lang w:val="fr-CA"/>
        </w:rPr>
        <w:noBreakHyphen/>
        <w:t xml:space="preserve">jacentes à la liberté d’expression et dont la restriction est par conséquent plus facile à justifier. </w:t>
      </w:r>
      <w:r w:rsidRPr="002847F7">
        <w:rPr>
          <w:sz w:val="20"/>
          <w:lang w:val="fr-FR"/>
        </w:rPr>
        <w:t xml:space="preserve"> </w:t>
      </w:r>
    </w:p>
    <w:p w:rsidR="00DB11F4" w:rsidRDefault="00DB11F4" w:rsidP="00DB11F4">
      <w:pPr>
        <w:pStyle w:val="SCCNormalDoubleSpacing"/>
        <w:spacing w:line="240" w:lineRule="auto"/>
        <w:rPr>
          <w:sz w:val="20"/>
          <w:lang w:val="fr-FR"/>
        </w:rPr>
      </w:pPr>
    </w:p>
    <w:p w:rsidR="00DB11F4" w:rsidRPr="002847F7" w:rsidRDefault="00DB11F4" w:rsidP="00DB11F4">
      <w:pPr>
        <w:pStyle w:val="SCCNormalDoubleSpacing"/>
        <w:spacing w:line="240" w:lineRule="auto"/>
        <w:rPr>
          <w:sz w:val="20"/>
          <w:lang w:val="fr-FR"/>
        </w:rPr>
      </w:pPr>
      <w:r w:rsidRPr="002847F7">
        <w:rPr>
          <w:sz w:val="20"/>
          <w:lang w:val="fr-FR"/>
        </w:rPr>
        <w:tab/>
        <w:t>U</w:t>
      </w:r>
      <w:r w:rsidRPr="00DB11F4">
        <w:rPr>
          <w:sz w:val="20"/>
          <w:lang w:val="fr-CA"/>
        </w:rPr>
        <w:t>ne interdiction qui englobe des propos ciblant un comportement sexuel n’a pas une portée excessive</w:t>
      </w:r>
      <w:r w:rsidRPr="002847F7">
        <w:rPr>
          <w:sz w:val="20"/>
          <w:lang w:val="fr-FR"/>
        </w:rPr>
        <w:t>.  Les tribunaux ont reconnu l’existence d’un lien solide entre l’orientation sexuelle et la conduite sexuelle et, l</w:t>
      </w:r>
      <w:r w:rsidRPr="00DB11F4">
        <w:rPr>
          <w:sz w:val="20"/>
          <w:lang w:val="fr-CA"/>
        </w:rPr>
        <w:t>orsque la conduite visée par les propos qui ont été tenus constitue un aspect crucial de l’identité d’un groupe vulnérable, les attaques portées contre cette conduite doivent être assimilées à une attaque contre le groupe lui</w:t>
      </w:r>
      <w:r w:rsidRPr="00DB11F4">
        <w:rPr>
          <w:sz w:val="20"/>
          <w:lang w:val="fr-CA"/>
        </w:rPr>
        <w:noBreakHyphen/>
        <w:t xml:space="preserve">même. </w:t>
      </w:r>
      <w:r w:rsidRPr="002847F7">
        <w:rPr>
          <w:sz w:val="20"/>
          <w:lang w:val="fr-FR"/>
        </w:rPr>
        <w:t xml:space="preserve"> </w:t>
      </w:r>
      <w:r w:rsidRPr="00DB11F4">
        <w:rPr>
          <w:sz w:val="20"/>
          <w:lang w:val="fr-CA"/>
        </w:rPr>
        <w:t xml:space="preserve">Si une expression ciblant certains comportements sexuels est formulée de manière à exposer des personnes dont l’orientation sexuelle est identifiable à ce que l’on peut objectivement considérer comme des propos empreints de détestation et de mépris, on ne saurait affirmer que de tels propos ne visent que les comportements. </w:t>
      </w:r>
      <w:r w:rsidRPr="002847F7">
        <w:rPr>
          <w:sz w:val="20"/>
          <w:lang w:val="fr-FR"/>
        </w:rPr>
        <w:t xml:space="preserve"> </w:t>
      </w:r>
      <w:r w:rsidRPr="0078316E">
        <w:rPr>
          <w:sz w:val="20"/>
          <w:lang w:val="fr-CA"/>
        </w:rPr>
        <w:t>Ils visent de toute évidence le groupe vulnérable</w:t>
      </w:r>
      <w:r w:rsidRPr="002847F7">
        <w:rPr>
          <w:sz w:val="20"/>
          <w:lang w:val="fr-FR"/>
        </w:rPr>
        <w:t xml:space="preserve">. </w:t>
      </w:r>
    </w:p>
    <w:p w:rsidR="00DB11F4" w:rsidRDefault="00DB11F4" w:rsidP="00DB11F4">
      <w:pPr>
        <w:pStyle w:val="SCCNormalDoubleSpacing"/>
        <w:spacing w:line="240" w:lineRule="auto"/>
        <w:rPr>
          <w:sz w:val="20"/>
          <w:lang w:val="fr-FR"/>
        </w:rPr>
      </w:pPr>
    </w:p>
    <w:p w:rsidR="00DB11F4" w:rsidRPr="002847F7" w:rsidRDefault="00DB11F4" w:rsidP="00DB11F4">
      <w:pPr>
        <w:pStyle w:val="SCCNormalDoubleSpacing"/>
        <w:spacing w:line="240" w:lineRule="auto"/>
        <w:rPr>
          <w:sz w:val="20"/>
          <w:lang w:val="fr-FR"/>
        </w:rPr>
      </w:pPr>
      <w:r w:rsidRPr="002847F7">
        <w:rPr>
          <w:sz w:val="20"/>
          <w:lang w:val="fr-FR"/>
        </w:rPr>
        <w:tab/>
        <w:t>Le fait que l’al. 14(1)(</w:t>
      </w:r>
      <w:r w:rsidRPr="002847F7">
        <w:rPr>
          <w:i/>
          <w:sz w:val="20"/>
          <w:lang w:val="fr-FR"/>
        </w:rPr>
        <w:t>b</w:t>
      </w:r>
      <w:r w:rsidRPr="002847F7">
        <w:rPr>
          <w:sz w:val="20"/>
          <w:lang w:val="fr-FR"/>
        </w:rPr>
        <w:t xml:space="preserve">) du </w:t>
      </w:r>
      <w:r w:rsidRPr="002847F7">
        <w:rPr>
          <w:i/>
          <w:sz w:val="20"/>
          <w:lang w:val="fr-FR"/>
        </w:rPr>
        <w:t>Code</w:t>
      </w:r>
      <w:r w:rsidRPr="002847F7">
        <w:rPr>
          <w:sz w:val="20"/>
          <w:lang w:val="fr-FR"/>
        </w:rPr>
        <w:t xml:space="preserve"> </w:t>
      </w:r>
      <w:r w:rsidRPr="00DB11F4">
        <w:rPr>
          <w:sz w:val="20"/>
          <w:lang w:val="fr-CA"/>
        </w:rPr>
        <w:t>n’exige pas une intention de la part de l’auteur des propos haineux ou la preuve d’un préjudice, ni ne prévoit de moyen de défense,</w:t>
      </w:r>
      <w:r w:rsidRPr="002847F7">
        <w:rPr>
          <w:sz w:val="20"/>
          <w:lang w:val="fr-FR"/>
        </w:rPr>
        <w:t xml:space="preserve"> ne lui donne pas une portée excessive.  La discrimination systémique est plus répandue que la discrimination intentionnelle et l</w:t>
      </w:r>
      <w:r w:rsidRPr="00DB11F4">
        <w:rPr>
          <w:sz w:val="20"/>
          <w:lang w:val="fr-CA"/>
        </w:rPr>
        <w:t xml:space="preserve">es mesures préventives que l’on trouve dans les lois sur les droits de la personne sont raisonnablement axées sur les effets plutôt que sur l’intention.  L’imposition de mesures préventives qui n’exigent pas la preuve d’un préjudice concret est justifiée tant par le fait qu’il est difficile d’établir l’existence d’un lien de causalité que par la gravité du préjudice causé aux groupes vulnérables.  Les effets discriminatoires du discours haineux relèvent des connaissances et expériences quotidiennes des Canadiens. </w:t>
      </w:r>
      <w:r w:rsidRPr="002847F7">
        <w:rPr>
          <w:sz w:val="20"/>
          <w:lang w:val="fr-FR"/>
        </w:rPr>
        <w:t xml:space="preserve"> Par conséquent, </w:t>
      </w:r>
      <w:r w:rsidRPr="00DB11F4">
        <w:rPr>
          <w:sz w:val="20"/>
          <w:lang w:val="fr-CA"/>
        </w:rPr>
        <w:t>le législateur a le droit d’avoir une appréhension raisonnée que les propos haineux causent un préjudice à la société</w:t>
      </w:r>
      <w:r w:rsidRPr="002847F7">
        <w:rPr>
          <w:sz w:val="20"/>
          <w:lang w:val="fr-FR"/>
        </w:rPr>
        <w:t>.  L</w:t>
      </w:r>
      <w:r w:rsidRPr="00DB11F4">
        <w:rPr>
          <w:sz w:val="20"/>
          <w:lang w:val="fr-CA"/>
        </w:rPr>
        <w:t>’absence de moyen de défense n’est pas fatale à la validité de la disposition</w:t>
      </w:r>
      <w:r w:rsidRPr="002847F7">
        <w:rPr>
          <w:sz w:val="20"/>
          <w:lang w:val="fr-FR"/>
        </w:rPr>
        <w:t xml:space="preserve">.  </w:t>
      </w:r>
      <w:r w:rsidRPr="00DB11F4">
        <w:rPr>
          <w:sz w:val="20"/>
          <w:lang w:val="fr-CA"/>
        </w:rPr>
        <w:t>Des déclarations véridiques peuvent être présentées de manière à répondre à la définition des propos haineux</w:t>
      </w:r>
      <w:r w:rsidRPr="002847F7">
        <w:rPr>
          <w:sz w:val="20"/>
          <w:lang w:val="fr-FR"/>
        </w:rPr>
        <w:t xml:space="preserve">, et </w:t>
      </w:r>
      <w:r w:rsidRPr="00DB11F4">
        <w:rPr>
          <w:sz w:val="20"/>
          <w:lang w:val="fr-CA"/>
        </w:rPr>
        <w:t>ce ne sont pas toutes les déclarations véridiques qui devraient être à l’abri de toute restriction</w:t>
      </w:r>
      <w:r w:rsidRPr="002847F7">
        <w:rPr>
          <w:sz w:val="20"/>
          <w:lang w:val="fr-FR"/>
        </w:rPr>
        <w:t xml:space="preserve">.  </w:t>
      </w:r>
      <w:r w:rsidRPr="00DB11F4">
        <w:rPr>
          <w:sz w:val="20"/>
          <w:lang w:val="fr-CA"/>
        </w:rPr>
        <w:t xml:space="preserve">Permettre d’excuser la propagation de propos haineux parce que leur auteur est sincère dans ses convictions se traduirait par un moyen de défense absolu qui priverait l’interdiction de toute efficacité. </w:t>
      </w:r>
    </w:p>
    <w:p w:rsidR="00DB11F4" w:rsidRDefault="00DB11F4" w:rsidP="00DB11F4">
      <w:pPr>
        <w:pStyle w:val="SCCNormalDoubleSpacing"/>
        <w:spacing w:line="240" w:lineRule="auto"/>
        <w:rPr>
          <w:sz w:val="20"/>
          <w:lang w:val="fr-FR"/>
        </w:rPr>
      </w:pPr>
    </w:p>
    <w:p w:rsidR="00DB11F4" w:rsidRPr="00DB11F4" w:rsidRDefault="00DB11F4" w:rsidP="00DB11F4">
      <w:pPr>
        <w:pStyle w:val="SCCNormalDoubleSpacing"/>
        <w:spacing w:line="240" w:lineRule="auto"/>
        <w:rPr>
          <w:sz w:val="20"/>
          <w:lang w:val="fr-CA"/>
        </w:rPr>
      </w:pPr>
      <w:r w:rsidRPr="002847F7">
        <w:rPr>
          <w:sz w:val="20"/>
          <w:lang w:val="fr-FR"/>
        </w:rPr>
        <w:tab/>
        <w:t>L</w:t>
      </w:r>
      <w:r w:rsidRPr="00DB11F4">
        <w:rPr>
          <w:sz w:val="20"/>
          <w:lang w:val="fr-CA"/>
        </w:rPr>
        <w:t>es avantages que comporte la suppression des discours haineux et de leurs effets préjudiciables l’emportent sur les effets néfastes qu’entraîne le fait de limiter une expression qui, de par sa nature, contribue peu à promouvoir les valeurs sous</w:t>
      </w:r>
      <w:r w:rsidRPr="00DB11F4">
        <w:rPr>
          <w:sz w:val="20"/>
          <w:lang w:val="fr-CA"/>
        </w:rPr>
        <w:noBreakHyphen/>
        <w:t xml:space="preserve">jacentes à la liberté d’expression. </w:t>
      </w:r>
      <w:r w:rsidRPr="002847F7">
        <w:rPr>
          <w:sz w:val="20"/>
          <w:lang w:val="fr-FR"/>
        </w:rPr>
        <w:t xml:space="preserve"> </w:t>
      </w:r>
      <w:r w:rsidRPr="00DB11F4">
        <w:rPr>
          <w:sz w:val="20"/>
          <w:lang w:val="fr-CA"/>
        </w:rPr>
        <w:t>L’alinéa 14(1)(</w:t>
      </w:r>
      <w:r w:rsidRPr="00DB11F4">
        <w:rPr>
          <w:i/>
          <w:iCs/>
          <w:sz w:val="20"/>
          <w:lang w:val="fr-CA"/>
        </w:rPr>
        <w:t>b</w:t>
      </w:r>
      <w:r w:rsidRPr="00DB11F4">
        <w:rPr>
          <w:sz w:val="20"/>
          <w:lang w:val="fr-CA"/>
        </w:rPr>
        <w:t xml:space="preserve">) du </w:t>
      </w:r>
      <w:r w:rsidRPr="00DB11F4">
        <w:rPr>
          <w:i/>
          <w:sz w:val="20"/>
          <w:lang w:val="fr-CA"/>
        </w:rPr>
        <w:t>Code</w:t>
      </w:r>
      <w:r w:rsidRPr="00DB11F4">
        <w:rPr>
          <w:sz w:val="20"/>
          <w:lang w:val="fr-CA"/>
        </w:rPr>
        <w:t xml:space="preserve"> représente un choix qu’a fait le législateur en vue de décourager les propos haineux d’une façon conciliante qui a un effet réparateur.  La protection des groupes vulnérables contre les conséquences préjudiciables découlant des propos haineux revêt une importance suffisamment grande pour justifier l’atteinte minimale à l’expression.  </w:t>
      </w:r>
    </w:p>
    <w:p w:rsidR="00DB11F4" w:rsidRPr="00DB11F4" w:rsidRDefault="00DB11F4" w:rsidP="00DB11F4">
      <w:pPr>
        <w:pStyle w:val="SCCNormalDoubleSpacing"/>
        <w:spacing w:line="240" w:lineRule="auto"/>
        <w:rPr>
          <w:sz w:val="20"/>
          <w:lang w:val="fr-CA"/>
        </w:rPr>
      </w:pPr>
    </w:p>
    <w:p w:rsidR="00DB11F4" w:rsidRPr="002847F7" w:rsidRDefault="00DB11F4" w:rsidP="00DB11F4">
      <w:pPr>
        <w:pStyle w:val="SCCNormalDoubleSpacing"/>
        <w:spacing w:line="240" w:lineRule="auto"/>
        <w:rPr>
          <w:sz w:val="20"/>
          <w:lang w:val="fr-FR"/>
        </w:rPr>
      </w:pPr>
      <w:r w:rsidRPr="00DB11F4">
        <w:rPr>
          <w:sz w:val="20"/>
          <w:lang w:val="fr-CA"/>
        </w:rPr>
        <w:tab/>
        <w:t>L’alinéa 14(1)(</w:t>
      </w:r>
      <w:r w:rsidRPr="00DB11F4">
        <w:rPr>
          <w:i/>
          <w:iCs/>
          <w:sz w:val="20"/>
          <w:lang w:val="fr-CA"/>
        </w:rPr>
        <w:t>b</w:t>
      </w:r>
      <w:r w:rsidRPr="00DB11F4">
        <w:rPr>
          <w:sz w:val="20"/>
          <w:lang w:val="fr-CA"/>
        </w:rPr>
        <w:t xml:space="preserve">) du </w:t>
      </w:r>
      <w:r w:rsidRPr="00DB11F4">
        <w:rPr>
          <w:i/>
          <w:sz w:val="20"/>
          <w:lang w:val="fr-CA"/>
        </w:rPr>
        <w:t>Code</w:t>
      </w:r>
      <w:r w:rsidRPr="00DB11F4">
        <w:rPr>
          <w:sz w:val="20"/>
          <w:lang w:val="fr-CA"/>
        </w:rPr>
        <w:t xml:space="preserve"> porte également atteinte à la liberté de conscience et de religion garantie par l’al. 2</w:t>
      </w:r>
      <w:r w:rsidRPr="00DB11F4">
        <w:rPr>
          <w:i/>
          <w:iCs/>
          <w:sz w:val="20"/>
          <w:lang w:val="fr-CA"/>
        </w:rPr>
        <w:t>a</w:t>
      </w:r>
      <w:r w:rsidRPr="00DB11F4">
        <w:rPr>
          <w:sz w:val="20"/>
          <w:lang w:val="fr-CA"/>
        </w:rPr>
        <w:t xml:space="preserve">) de la </w:t>
      </w:r>
      <w:r w:rsidRPr="00DB11F4">
        <w:rPr>
          <w:i/>
          <w:iCs/>
          <w:sz w:val="20"/>
          <w:lang w:val="fr-CA"/>
        </w:rPr>
        <w:t>Charte</w:t>
      </w:r>
      <w:r w:rsidRPr="002847F7">
        <w:rPr>
          <w:sz w:val="20"/>
          <w:lang w:val="fr-FR"/>
        </w:rPr>
        <w:t xml:space="preserve">.  </w:t>
      </w:r>
      <w:r w:rsidRPr="00DB11F4">
        <w:rPr>
          <w:sz w:val="20"/>
          <w:lang w:val="fr-CA"/>
        </w:rPr>
        <w:t>Il est établi qu’une mesure contrevient à l’al. 2</w:t>
      </w:r>
      <w:r w:rsidRPr="00DB11F4">
        <w:rPr>
          <w:i/>
          <w:iCs/>
          <w:sz w:val="20"/>
          <w:lang w:val="fr-CA"/>
        </w:rPr>
        <w:t>a</w:t>
      </w:r>
      <w:r w:rsidRPr="00DB11F4">
        <w:rPr>
          <w:sz w:val="20"/>
          <w:lang w:val="fr-CA"/>
        </w:rPr>
        <w:t xml:space="preserve">) de la </w:t>
      </w:r>
      <w:r w:rsidRPr="00DB11F4">
        <w:rPr>
          <w:i/>
          <w:iCs/>
          <w:sz w:val="20"/>
          <w:lang w:val="fr-CA"/>
        </w:rPr>
        <w:t xml:space="preserve">Charte </w:t>
      </w:r>
      <w:r w:rsidRPr="00DB11F4">
        <w:rPr>
          <w:sz w:val="20"/>
          <w:lang w:val="fr-CA"/>
        </w:rPr>
        <w:t>lorsque les deux conditions suivantes sont réunies : (1) le plaignant entretient sincèrement une croyance ou se livre sincèrement à une pratique ayant un lien avec la religion; (2) la mesure contestée entrave la capacité du plaignant de se conformer à ses croyances religieuses.  Dans la mesure où le choix de discours d’un individu répond à la définition de « haine » énoncée à l’al. 14(1)(</w:t>
      </w:r>
      <w:r w:rsidRPr="00DB11F4">
        <w:rPr>
          <w:i/>
          <w:iCs/>
          <w:sz w:val="20"/>
          <w:lang w:val="fr-CA"/>
        </w:rPr>
        <w:t>b</w:t>
      </w:r>
      <w:r w:rsidRPr="00DB11F4">
        <w:rPr>
          <w:sz w:val="20"/>
          <w:lang w:val="fr-CA"/>
        </w:rPr>
        <w:t xml:space="preserve">), l’interdiction nuira considérablement à la capacité de cet individu de propager ses convictions par la diffusion ou la publication de ces représentations. </w:t>
      </w:r>
      <w:r w:rsidRPr="002847F7">
        <w:rPr>
          <w:sz w:val="20"/>
          <w:lang w:val="fr-FR"/>
        </w:rPr>
        <w:t xml:space="preserve"> </w:t>
      </w:r>
    </w:p>
    <w:p w:rsidR="00DB11F4" w:rsidRDefault="00DB11F4" w:rsidP="00DB11F4">
      <w:pPr>
        <w:pStyle w:val="SCCNormalDoubleSpacing"/>
        <w:spacing w:line="240" w:lineRule="auto"/>
        <w:rPr>
          <w:sz w:val="20"/>
          <w:lang w:val="fr-FR"/>
        </w:rPr>
      </w:pPr>
    </w:p>
    <w:p w:rsidR="00DB11F4" w:rsidRPr="002847F7" w:rsidRDefault="00DB11F4" w:rsidP="00DB11F4">
      <w:pPr>
        <w:pStyle w:val="SCCNormalDoubleSpacing"/>
        <w:spacing w:line="240" w:lineRule="auto"/>
        <w:rPr>
          <w:sz w:val="20"/>
          <w:lang w:val="fr-FR"/>
        </w:rPr>
      </w:pPr>
      <w:r w:rsidRPr="002847F7">
        <w:rPr>
          <w:sz w:val="20"/>
          <w:lang w:val="fr-FR"/>
        </w:rPr>
        <w:tab/>
      </w:r>
      <w:r w:rsidRPr="00DB11F4">
        <w:rPr>
          <w:sz w:val="20"/>
          <w:lang w:val="fr-CA"/>
        </w:rPr>
        <w:t>Pour les mêmes raisons que celles énoncées dans l’analyse, fondée sur l’article premier, relative à la liberté d’expression, il n’existe aucun lien rationnel entre les mots « les ridiculise, les rabaisse ou porte par ailleurs atteinte à leur dignité » et l’objectif du législateur consistant à combattre la discrimination systémique à l’endroit des groupes protégés, et ces mots ne permettent pas de porter le moins possible atteinte à la liberté de religion</w:t>
      </w:r>
      <w:r w:rsidRPr="002847F7">
        <w:rPr>
          <w:sz w:val="20"/>
          <w:lang w:val="fr-FR"/>
        </w:rPr>
        <w:t>.  P</w:t>
      </w:r>
      <w:r w:rsidRPr="00DB11F4">
        <w:rPr>
          <w:sz w:val="20"/>
          <w:lang w:val="fr-CA"/>
        </w:rPr>
        <w:t xml:space="preserve">our ce qui reste de la disposition, l’interdiction de toute représentation qui « expose ou tend à exposer une personne ou une catégorie de personnes à la haine » pour un motif de distinction illicite constitue une limite raisonnable à la liberté de religion et sa justification est démontrée dans le cadre d’une société libre et démocratique. </w:t>
      </w:r>
      <w:r w:rsidRPr="002847F7">
        <w:rPr>
          <w:sz w:val="20"/>
          <w:lang w:val="fr-FR"/>
        </w:rPr>
        <w:t xml:space="preserve"> </w:t>
      </w:r>
    </w:p>
    <w:p w:rsidR="00DB11F4" w:rsidRDefault="00DB11F4" w:rsidP="00DB11F4">
      <w:pPr>
        <w:pStyle w:val="SCCNormalDoubleSpacing"/>
        <w:spacing w:line="240" w:lineRule="auto"/>
        <w:rPr>
          <w:sz w:val="20"/>
          <w:lang w:val="fr-FR"/>
        </w:rPr>
      </w:pPr>
    </w:p>
    <w:p w:rsidR="00DB11F4" w:rsidRPr="002847F7" w:rsidRDefault="00DB11F4" w:rsidP="00DB11F4">
      <w:pPr>
        <w:pStyle w:val="SCCNormalDoubleSpacing"/>
        <w:spacing w:line="240" w:lineRule="auto"/>
        <w:rPr>
          <w:sz w:val="20"/>
          <w:lang w:val="fr-FR"/>
        </w:rPr>
      </w:pPr>
      <w:r w:rsidRPr="002847F7">
        <w:rPr>
          <w:sz w:val="20"/>
          <w:lang w:val="fr-FR"/>
        </w:rPr>
        <w:tab/>
        <w:t>Même si l</w:t>
      </w:r>
      <w:r w:rsidRPr="00DB11F4">
        <w:rPr>
          <w:sz w:val="20"/>
          <w:lang w:val="fr-CA"/>
        </w:rPr>
        <w:t xml:space="preserve">a norme de contrôle qui s’applique à la décision du tribunal sur la constitutionnalité de l’art. 14 du </w:t>
      </w:r>
      <w:r w:rsidRPr="00DB11F4">
        <w:rPr>
          <w:i/>
          <w:sz w:val="20"/>
          <w:lang w:val="fr-CA"/>
        </w:rPr>
        <w:t>Code</w:t>
      </w:r>
      <w:r w:rsidRPr="00DB11F4">
        <w:rPr>
          <w:sz w:val="20"/>
          <w:lang w:val="fr-CA"/>
        </w:rPr>
        <w:t xml:space="preserve"> est celle de la décision correcte, </w:t>
      </w:r>
      <w:r w:rsidRPr="002847F7">
        <w:rPr>
          <w:sz w:val="20"/>
          <w:lang w:val="fr-FR"/>
        </w:rPr>
        <w:t xml:space="preserve">la norme de contrôle applicable à la décision du tribunal </w:t>
      </w:r>
      <w:r w:rsidRPr="00DB11F4">
        <w:rPr>
          <w:sz w:val="20"/>
          <w:lang w:val="fr-CA"/>
        </w:rPr>
        <w:t xml:space="preserve">selon laquelle les tracts </w:t>
      </w:r>
      <w:r w:rsidRPr="00DB11F4">
        <w:rPr>
          <w:sz w:val="20"/>
          <w:lang w:val="fr-CA"/>
        </w:rPr>
        <w:lastRenderedPageBreak/>
        <w:t>contreviennent à</w:t>
      </w:r>
      <w:r w:rsidRPr="002847F7">
        <w:rPr>
          <w:sz w:val="20"/>
          <w:lang w:val="fr-FR"/>
        </w:rPr>
        <w:t xml:space="preserve"> cette disposition </w:t>
      </w:r>
      <w:r w:rsidRPr="00DB11F4">
        <w:rPr>
          <w:sz w:val="20"/>
          <w:lang w:val="fr-CA"/>
        </w:rPr>
        <w:t>doit être celle de la décision raisonnable</w:t>
      </w:r>
      <w:r w:rsidRPr="002847F7">
        <w:rPr>
          <w:sz w:val="20"/>
          <w:lang w:val="fr-FR"/>
        </w:rPr>
        <w:t xml:space="preserve">.  </w:t>
      </w:r>
      <w:r w:rsidRPr="00DB11F4">
        <w:rPr>
          <w:sz w:val="20"/>
          <w:lang w:val="fr-CA"/>
        </w:rPr>
        <w:t xml:space="preserve">Le tribunal n’a pas omis de façon déraisonnable de reconnaître à sa juste valeur l’importance que revêt la protection des propos qui s’inscrivent dans le cadre d’un débat constant sur la moralité sexuelle et l’intérêt public. </w:t>
      </w:r>
      <w:r w:rsidRPr="002847F7">
        <w:rPr>
          <w:sz w:val="20"/>
          <w:lang w:val="fr-FR"/>
        </w:rPr>
        <w:t xml:space="preserve"> Le tribunal </w:t>
      </w:r>
      <w:r w:rsidRPr="00DB11F4">
        <w:rPr>
          <w:sz w:val="20"/>
          <w:lang w:val="fr-CA"/>
        </w:rPr>
        <w:t>n’a pas non plus adopté une approche déraisonnable en examinant certains passages des tracts ou en concluant que les tracts critiquaient l’orientation sexuelle et non simplement les comportements sexuels.</w:t>
      </w:r>
      <w:r w:rsidRPr="002847F7">
        <w:rPr>
          <w:sz w:val="20"/>
          <w:lang w:val="fr-FR"/>
        </w:rPr>
        <w:t xml:space="preserve">  L</w:t>
      </w:r>
      <w:r w:rsidRPr="00DB11F4">
        <w:rPr>
          <w:sz w:val="20"/>
          <w:lang w:val="fr-CA"/>
        </w:rPr>
        <w:t>e fait que les droits d’un groupe vulnérable fassent l’objet d’un débat récurrent ne justifie pas que l’on expose ce groupe à la haine et à ses conséquences.</w:t>
      </w:r>
      <w:r w:rsidRPr="002847F7">
        <w:rPr>
          <w:sz w:val="20"/>
          <w:lang w:val="fr-FR"/>
        </w:rPr>
        <w:t xml:space="preserve">  </w:t>
      </w:r>
      <w:r w:rsidRPr="00DB11F4">
        <w:rPr>
          <w:sz w:val="20"/>
          <w:lang w:val="fr-CA"/>
        </w:rPr>
        <w:t>Les seuls écrits et discours qui devraient tomber sous le coup de l’al. 14(1)(</w:t>
      </w:r>
      <w:r w:rsidRPr="00DB11F4">
        <w:rPr>
          <w:i/>
          <w:iCs/>
          <w:sz w:val="20"/>
          <w:lang w:val="fr-CA"/>
        </w:rPr>
        <w:t>b</w:t>
      </w:r>
      <w:r w:rsidRPr="00DB11F4">
        <w:rPr>
          <w:sz w:val="20"/>
          <w:lang w:val="fr-CA"/>
        </w:rPr>
        <w:t xml:space="preserve">) du </w:t>
      </w:r>
      <w:r w:rsidRPr="00DB11F4">
        <w:rPr>
          <w:i/>
          <w:sz w:val="20"/>
          <w:lang w:val="fr-CA"/>
        </w:rPr>
        <w:t>Code</w:t>
      </w:r>
      <w:r w:rsidRPr="00DB11F4">
        <w:rPr>
          <w:sz w:val="20"/>
          <w:lang w:val="fr-CA"/>
        </w:rPr>
        <w:t xml:space="preserve"> sont ceux qui incitent à la haine et qui apportent peu au discours politique, à la recherche de la vérité, à l’épanouissement personnel ou à la tenue d’un débat d’idées riche et ouvert.  On ne peut en toute légitimité interpréter hors contexte des mots ou des expressions tirés d’une publication, et il faut les examiner dans leur ensemble pour déterminer les répercussions ou les conséquences générales de la publication.  Il est toutefois également légitime d’examiner de plus près les passages qui semblent se rapprocher davantage de ce que vise l’al. 14(1)(</w:t>
      </w:r>
      <w:r w:rsidRPr="00DB11F4">
        <w:rPr>
          <w:i/>
          <w:iCs/>
          <w:sz w:val="20"/>
          <w:lang w:val="fr-CA"/>
        </w:rPr>
        <w:t>b</w:t>
      </w:r>
      <w:r w:rsidRPr="00DB11F4">
        <w:rPr>
          <w:sz w:val="20"/>
          <w:lang w:val="fr-CA"/>
        </w:rPr>
        <w:t xml:space="preserve">) du </w:t>
      </w:r>
      <w:r w:rsidRPr="00DB11F4">
        <w:rPr>
          <w:i/>
          <w:sz w:val="20"/>
          <w:lang w:val="fr-CA"/>
        </w:rPr>
        <w:t>Code</w:t>
      </w:r>
      <w:r w:rsidRPr="00DB11F4">
        <w:rPr>
          <w:sz w:val="20"/>
          <w:lang w:val="fr-CA"/>
        </w:rPr>
        <w:t xml:space="preserve">. </w:t>
      </w:r>
      <w:r w:rsidRPr="002847F7">
        <w:rPr>
          <w:sz w:val="20"/>
          <w:lang w:val="fr-FR"/>
        </w:rPr>
        <w:t xml:space="preserve"> </w:t>
      </w:r>
      <w:r w:rsidRPr="00DB11F4">
        <w:rPr>
          <w:sz w:val="20"/>
          <w:lang w:val="fr-CA"/>
        </w:rPr>
        <w:t xml:space="preserve">Si, malgré le contexte général de la publication, une expression ou une phrase font en sorte que c’est la publication dans son ensemble qui contrevient au </w:t>
      </w:r>
      <w:r w:rsidRPr="00DB11F4">
        <w:rPr>
          <w:i/>
          <w:sz w:val="20"/>
          <w:lang w:val="fr-CA"/>
        </w:rPr>
        <w:t>Code</w:t>
      </w:r>
      <w:r w:rsidRPr="00DB11F4">
        <w:rPr>
          <w:sz w:val="20"/>
          <w:lang w:val="fr-CA"/>
        </w:rPr>
        <w:t xml:space="preserve">, la publication ne peut alors paraître dans sa forme actuelle. </w:t>
      </w:r>
      <w:r w:rsidRPr="002847F7">
        <w:rPr>
          <w:sz w:val="20"/>
          <w:lang w:val="fr-FR"/>
        </w:rPr>
        <w:t xml:space="preserve"> </w:t>
      </w:r>
    </w:p>
    <w:p w:rsidR="00DB11F4" w:rsidRDefault="00DB11F4" w:rsidP="00DB11F4">
      <w:pPr>
        <w:pStyle w:val="SCCNormalDoubleSpacing"/>
        <w:spacing w:line="240" w:lineRule="auto"/>
        <w:rPr>
          <w:sz w:val="20"/>
          <w:lang w:val="fr-FR"/>
        </w:rPr>
      </w:pPr>
    </w:p>
    <w:p w:rsidR="00DB11F4" w:rsidRPr="002847F7" w:rsidRDefault="00DB11F4" w:rsidP="00DB11F4">
      <w:pPr>
        <w:pStyle w:val="SCCNormalDoubleSpacing"/>
        <w:spacing w:line="240" w:lineRule="auto"/>
        <w:rPr>
          <w:sz w:val="20"/>
          <w:lang w:val="fr-FR"/>
        </w:rPr>
      </w:pPr>
      <w:r w:rsidRPr="002847F7">
        <w:rPr>
          <w:sz w:val="20"/>
          <w:lang w:val="fr-FR"/>
        </w:rPr>
        <w:tab/>
        <w:t>L</w:t>
      </w:r>
      <w:r w:rsidRPr="00DB11F4">
        <w:rPr>
          <w:sz w:val="20"/>
          <w:lang w:val="fr-CA"/>
        </w:rPr>
        <w:t>es conclusions du tribunal au sujet des deux premiers tracts étaient raisonnables</w:t>
      </w:r>
      <w:r w:rsidRPr="002847F7">
        <w:rPr>
          <w:sz w:val="20"/>
          <w:lang w:val="fr-FR"/>
        </w:rPr>
        <w:t xml:space="preserve">.  </w:t>
      </w:r>
      <w:r w:rsidRPr="00DB11F4">
        <w:rPr>
          <w:sz w:val="20"/>
          <w:lang w:val="fr-CA"/>
        </w:rPr>
        <w:t>Des passages de ces tracts présentent de nombreuses caractéristiques de la haine reconnues par la jurisprudence</w:t>
      </w:r>
      <w:r w:rsidRPr="002847F7">
        <w:rPr>
          <w:sz w:val="20"/>
          <w:lang w:val="fr-FR"/>
        </w:rPr>
        <w:t xml:space="preserve">.  </w:t>
      </w:r>
      <w:r w:rsidRPr="00DB11F4">
        <w:rPr>
          <w:sz w:val="20"/>
          <w:lang w:val="fr-CA"/>
        </w:rPr>
        <w:t>Ils dépeignent le groupe ciblé comme une menace qui pourrait compromettre la sécurité et le bien</w:t>
      </w:r>
      <w:r w:rsidRPr="00DB11F4">
        <w:rPr>
          <w:sz w:val="20"/>
          <w:lang w:val="fr-CA"/>
        </w:rPr>
        <w:noBreakHyphen/>
        <w:t xml:space="preserve">être d’autrui, ils citent des sources respectées pour légitimer des généralisations négatives, et ils emploient des illustrations diffamantes et dénigrantes afin de créer un climat de haine. </w:t>
      </w:r>
      <w:r w:rsidRPr="002847F7">
        <w:rPr>
          <w:sz w:val="20"/>
          <w:lang w:val="fr-FR"/>
        </w:rPr>
        <w:t xml:space="preserve"> En outre, les tracts </w:t>
      </w:r>
      <w:r w:rsidRPr="00DB11F4">
        <w:rPr>
          <w:sz w:val="20"/>
          <w:lang w:val="fr-CA"/>
        </w:rPr>
        <w:t>invitent expressément les lecteurs à soumettre les personnes d’orientation homosexuelle à un traitement discriminatoire</w:t>
      </w:r>
      <w:r w:rsidRPr="002847F7">
        <w:rPr>
          <w:sz w:val="20"/>
          <w:lang w:val="fr-FR"/>
        </w:rPr>
        <w:t>. I</w:t>
      </w:r>
      <w:r w:rsidRPr="00DB11F4">
        <w:rPr>
          <w:sz w:val="20"/>
          <w:lang w:val="fr-CA"/>
        </w:rPr>
        <w:t>l n’était pas déraisonnable pour le tribunal de conclure qu’il était fort probable que ces propos exposent les homosexuels à la haine</w:t>
      </w:r>
      <w:r w:rsidRPr="002847F7">
        <w:rPr>
          <w:sz w:val="20"/>
          <w:lang w:val="fr-FR"/>
        </w:rPr>
        <w:t xml:space="preserve">. </w:t>
      </w:r>
    </w:p>
    <w:p w:rsidR="00DB11F4" w:rsidRDefault="00DB11F4" w:rsidP="00DB11F4">
      <w:pPr>
        <w:pStyle w:val="SCCNormalDoubleSpacing"/>
        <w:spacing w:line="240" w:lineRule="auto"/>
        <w:rPr>
          <w:sz w:val="20"/>
          <w:lang w:val="fr-FR"/>
        </w:rPr>
      </w:pPr>
    </w:p>
    <w:p w:rsidR="00DB11F4" w:rsidRPr="00DB11F4" w:rsidRDefault="00DB11F4" w:rsidP="00DB11F4">
      <w:pPr>
        <w:pStyle w:val="SCCNormalDoubleSpacing"/>
        <w:spacing w:line="240" w:lineRule="auto"/>
        <w:rPr>
          <w:sz w:val="20"/>
          <w:lang w:val="fr-CA"/>
        </w:rPr>
      </w:pPr>
      <w:r w:rsidRPr="002847F7">
        <w:rPr>
          <w:sz w:val="20"/>
          <w:lang w:val="fr-FR"/>
        </w:rPr>
        <w:tab/>
        <w:t xml:space="preserve">La décision du tribunal relative aux deux autres tracts </w:t>
      </w:r>
      <w:r w:rsidRPr="00DB11F4">
        <w:rPr>
          <w:sz w:val="20"/>
          <w:lang w:val="fr-CA"/>
        </w:rPr>
        <w:t>était déraisonnable et ne saurait être maintenue</w:t>
      </w:r>
      <w:r w:rsidRPr="002847F7">
        <w:rPr>
          <w:sz w:val="20"/>
          <w:lang w:val="fr-FR"/>
        </w:rPr>
        <w:t>.  Le tribunal a commis une erreur en n’appliquant pas l’al. 14(1)(</w:t>
      </w:r>
      <w:r w:rsidRPr="002847F7">
        <w:rPr>
          <w:i/>
          <w:sz w:val="20"/>
          <w:lang w:val="fr-FR"/>
        </w:rPr>
        <w:t>b</w:t>
      </w:r>
      <w:r w:rsidRPr="002847F7">
        <w:rPr>
          <w:sz w:val="20"/>
          <w:lang w:val="fr-FR"/>
        </w:rPr>
        <w:t xml:space="preserve">) </w:t>
      </w:r>
      <w:r w:rsidRPr="00DB11F4">
        <w:rPr>
          <w:sz w:val="20"/>
          <w:lang w:val="fr-CA"/>
        </w:rPr>
        <w:t>aux faits dont il disposait</w:t>
      </w:r>
      <w:r w:rsidRPr="002847F7">
        <w:rPr>
          <w:sz w:val="20"/>
          <w:lang w:val="fr-FR"/>
        </w:rPr>
        <w:t xml:space="preserve"> conformément au critère juridique approprié.  </w:t>
      </w:r>
      <w:r w:rsidRPr="00DB11F4">
        <w:rPr>
          <w:sz w:val="20"/>
          <w:lang w:val="fr-CA"/>
        </w:rPr>
        <w:t xml:space="preserve">On ne peut pas raisonnablement conclure que ces tracts contiennent des propos qui, aux yeux d’une personne raisonnable informée des circonstances et du contexte pertinents, exposent ou sont susceptibles d’exposer les personnes d’orientation homosexuelle à la détestation et la diffamation. </w:t>
      </w:r>
      <w:r w:rsidRPr="002847F7">
        <w:rPr>
          <w:sz w:val="20"/>
          <w:lang w:val="fr-FR"/>
        </w:rPr>
        <w:t xml:space="preserve"> </w:t>
      </w:r>
      <w:r w:rsidRPr="00DB11F4">
        <w:rPr>
          <w:sz w:val="20"/>
          <w:lang w:val="fr-CA"/>
        </w:rPr>
        <w:t>Même s’ils sont choquants, les propos ne traduisent pas le degré de haine que requiert l’application de l’interdiction.</w:t>
      </w:r>
    </w:p>
    <w:p w:rsidR="00DB11F4" w:rsidRDefault="00DB11F4" w:rsidP="005C6840">
      <w:pPr>
        <w:jc w:val="both"/>
        <w:rPr>
          <w:rFonts w:cs="Times New Roman"/>
          <w:sz w:val="20"/>
          <w:szCs w:val="20"/>
          <w:lang w:val="fr-CA"/>
        </w:rPr>
      </w:pPr>
    </w:p>
    <w:p w:rsidR="00DB11F4" w:rsidRPr="00DB11F4" w:rsidRDefault="00DB11F4" w:rsidP="00DB11F4">
      <w:pPr>
        <w:pStyle w:val="SCCNormalDoubleSpacing"/>
        <w:spacing w:line="240" w:lineRule="auto"/>
        <w:rPr>
          <w:sz w:val="20"/>
          <w:lang w:val="fr-CA"/>
        </w:rPr>
      </w:pPr>
      <w:r w:rsidRPr="0078316E">
        <w:rPr>
          <w:sz w:val="20"/>
          <w:lang w:val="fr-CA"/>
        </w:rPr>
        <w:tab/>
        <w:t xml:space="preserve">POURVOI contre un arrêt de la Cour d’appel de la Saskatchewan (les juges Sherstobitoff, Smith et Hunter), 2010 SKCA 26, 346 Sask. R. 210, 477 W.A.C. 210, 317 D.L.R. (4th) 69, 218 C.R.R. (2d) 145, [2010] 4 W.W.R. 403, [2010] S.J. No. 108 (QL), 2010 CarswellSask 109, qui a accueilli l’appel d’une décision du juge Kovach, 2007 SKQB 450, 306 Sask. R. 186, 61 C.H.H.R. D/401, [2007] S.J. No. 672 (QL), 2007 CarswellSask 836, qui avait maintenu une décision du Saskatchewan Human Rights Tribunal (2005), 52 C.H.R.R. D/264, 2005 CarswellSask 480.  </w:t>
      </w:r>
      <w:r w:rsidRPr="00DB11F4">
        <w:rPr>
          <w:sz w:val="20"/>
          <w:lang w:val="fr-CA"/>
        </w:rPr>
        <w:t>Pourvoi accueilli en partie.</w:t>
      </w:r>
    </w:p>
    <w:p w:rsidR="00DB11F4" w:rsidRPr="00DB11F4" w:rsidRDefault="00DB11F4" w:rsidP="00DB11F4">
      <w:pPr>
        <w:pStyle w:val="SCCNormalDoubleSpacing"/>
        <w:spacing w:line="240" w:lineRule="auto"/>
        <w:rPr>
          <w:sz w:val="20"/>
          <w:lang w:val="fr-CA"/>
        </w:rPr>
      </w:pPr>
    </w:p>
    <w:p w:rsidR="00DB11F4" w:rsidRPr="00DB11F4" w:rsidRDefault="00DB11F4" w:rsidP="00DB11F4">
      <w:pPr>
        <w:pStyle w:val="SCCNormalDoubleSpacing"/>
        <w:spacing w:line="240" w:lineRule="auto"/>
        <w:rPr>
          <w:sz w:val="20"/>
          <w:lang w:val="fr-CA"/>
        </w:rPr>
      </w:pPr>
      <w:r w:rsidRPr="00DB11F4">
        <w:rPr>
          <w:i/>
          <w:sz w:val="20"/>
          <w:lang w:val="fr-CA"/>
        </w:rPr>
        <w:tab/>
        <w:t>Grant J. Scharfstein, c.r.</w:t>
      </w:r>
      <w:r w:rsidRPr="00DB11F4">
        <w:rPr>
          <w:sz w:val="20"/>
          <w:lang w:val="fr-CA"/>
        </w:rPr>
        <w:t xml:space="preserve">, et </w:t>
      </w:r>
      <w:r w:rsidRPr="00DB11F4">
        <w:rPr>
          <w:i/>
          <w:sz w:val="20"/>
          <w:lang w:val="fr-CA"/>
        </w:rPr>
        <w:t>Deidre L. Aldcorn</w:t>
      </w:r>
      <w:r w:rsidRPr="00DB11F4">
        <w:rPr>
          <w:sz w:val="20"/>
          <w:lang w:val="fr-CA"/>
        </w:rPr>
        <w:t>, pour l’appelante.</w:t>
      </w:r>
    </w:p>
    <w:p w:rsidR="00DB11F4" w:rsidRPr="00DB11F4" w:rsidRDefault="00DB11F4" w:rsidP="00DB11F4">
      <w:pPr>
        <w:pStyle w:val="SCCNormalDoubleSpacing"/>
        <w:spacing w:line="240" w:lineRule="auto"/>
        <w:rPr>
          <w:i/>
          <w:sz w:val="20"/>
          <w:lang w:val="fr-CA"/>
        </w:rPr>
      </w:pPr>
    </w:p>
    <w:p w:rsidR="00DB11F4" w:rsidRPr="00DB11F4" w:rsidRDefault="00DB11F4" w:rsidP="00DB11F4">
      <w:pPr>
        <w:pStyle w:val="SCCNormalDoubleSpacing"/>
        <w:spacing w:line="240" w:lineRule="auto"/>
        <w:rPr>
          <w:sz w:val="20"/>
          <w:lang w:val="fr-CA"/>
        </w:rPr>
      </w:pPr>
      <w:r w:rsidRPr="00DB11F4">
        <w:rPr>
          <w:i/>
          <w:sz w:val="20"/>
          <w:lang w:val="fr-CA"/>
        </w:rPr>
        <w:tab/>
        <w:t>Thomas A. Schuck</w:t>
      </w:r>
      <w:r w:rsidRPr="00DB11F4">
        <w:rPr>
          <w:sz w:val="20"/>
          <w:lang w:val="fr-CA"/>
        </w:rPr>
        <w:t xml:space="preserve">, </w:t>
      </w:r>
      <w:r w:rsidRPr="00DB11F4">
        <w:rPr>
          <w:i/>
          <w:sz w:val="20"/>
          <w:lang w:val="fr-CA"/>
        </w:rPr>
        <w:t xml:space="preserve">Iain Benson, John Carpay </w:t>
      </w:r>
      <w:r w:rsidRPr="00DB11F4">
        <w:rPr>
          <w:sz w:val="20"/>
          <w:lang w:val="fr-CA"/>
        </w:rPr>
        <w:t xml:space="preserve">et </w:t>
      </w:r>
      <w:r w:rsidRPr="00DB11F4">
        <w:rPr>
          <w:i/>
          <w:sz w:val="20"/>
          <w:lang w:val="fr-CA"/>
        </w:rPr>
        <w:t>Daniel Mol</w:t>
      </w:r>
      <w:r w:rsidRPr="00DB11F4">
        <w:rPr>
          <w:sz w:val="20"/>
          <w:lang w:val="fr-CA"/>
        </w:rPr>
        <w:t>, pour l’intimé.</w:t>
      </w:r>
    </w:p>
    <w:p w:rsidR="00DB11F4" w:rsidRPr="00DB11F4" w:rsidRDefault="00DB11F4" w:rsidP="00DB11F4">
      <w:pPr>
        <w:pStyle w:val="SCCNormalDoubleSpacing"/>
        <w:spacing w:line="240" w:lineRule="auto"/>
        <w:rPr>
          <w:i/>
          <w:sz w:val="20"/>
          <w:lang w:val="fr-CA"/>
        </w:rPr>
      </w:pPr>
    </w:p>
    <w:p w:rsidR="00DB11F4" w:rsidRPr="00DB11F4" w:rsidRDefault="00DB11F4" w:rsidP="00DB11F4">
      <w:pPr>
        <w:pStyle w:val="SCCNormalDoubleSpacing"/>
        <w:spacing w:line="240" w:lineRule="auto"/>
        <w:rPr>
          <w:sz w:val="20"/>
          <w:lang w:val="fr-CA"/>
        </w:rPr>
      </w:pPr>
      <w:r w:rsidRPr="00DB11F4">
        <w:rPr>
          <w:i/>
          <w:sz w:val="20"/>
          <w:lang w:val="fr-CA"/>
        </w:rPr>
        <w:tab/>
        <w:t>Thomson Irvine</w:t>
      </w:r>
      <w:r w:rsidRPr="00DB11F4">
        <w:rPr>
          <w:sz w:val="20"/>
          <w:lang w:val="fr-CA"/>
        </w:rPr>
        <w:t>, pour l’intervenant le procureur général de la Saskatchewan.</w:t>
      </w:r>
    </w:p>
    <w:p w:rsidR="00DB11F4" w:rsidRPr="00DB11F4" w:rsidRDefault="00DB11F4" w:rsidP="00DB11F4">
      <w:pPr>
        <w:pStyle w:val="SCCNormalDoubleSpacing"/>
        <w:spacing w:line="240" w:lineRule="auto"/>
        <w:rPr>
          <w:i/>
          <w:sz w:val="20"/>
          <w:lang w:val="fr-CA"/>
        </w:rPr>
      </w:pPr>
    </w:p>
    <w:p w:rsidR="00DB11F4" w:rsidRPr="00DB11F4" w:rsidRDefault="00DB11F4" w:rsidP="00DB11F4">
      <w:pPr>
        <w:pStyle w:val="SCCNormalDoubleSpacing"/>
        <w:spacing w:line="240" w:lineRule="auto"/>
        <w:rPr>
          <w:sz w:val="20"/>
          <w:lang w:val="fr-CA"/>
        </w:rPr>
      </w:pPr>
      <w:r w:rsidRPr="00DB11F4">
        <w:rPr>
          <w:i/>
          <w:sz w:val="20"/>
          <w:lang w:val="fr-CA"/>
        </w:rPr>
        <w:tab/>
        <w:t>David N. Kamal</w:t>
      </w:r>
      <w:r w:rsidRPr="00DB11F4">
        <w:rPr>
          <w:sz w:val="20"/>
          <w:lang w:val="fr-CA"/>
        </w:rPr>
        <w:t xml:space="preserve">, pour l’intervenant le procureur général de l’Alberta. </w:t>
      </w:r>
    </w:p>
    <w:p w:rsidR="00DB11F4" w:rsidRPr="00DB11F4" w:rsidRDefault="00DB11F4" w:rsidP="00DB11F4">
      <w:pPr>
        <w:pStyle w:val="SCCNormalDoubleSpacing"/>
        <w:spacing w:line="240" w:lineRule="auto"/>
        <w:rPr>
          <w:i/>
          <w:sz w:val="20"/>
          <w:lang w:val="fr-CA"/>
        </w:rPr>
      </w:pPr>
    </w:p>
    <w:p w:rsidR="00DB11F4" w:rsidRPr="00DB11F4" w:rsidRDefault="00DB11F4" w:rsidP="00DB11F4">
      <w:pPr>
        <w:pStyle w:val="SCCNormalDoubleSpacing"/>
        <w:spacing w:line="240" w:lineRule="auto"/>
        <w:rPr>
          <w:sz w:val="20"/>
          <w:lang w:val="fr-CA"/>
        </w:rPr>
      </w:pPr>
      <w:r w:rsidRPr="00DB11F4">
        <w:rPr>
          <w:i/>
          <w:sz w:val="20"/>
          <w:lang w:val="fr-CA"/>
        </w:rPr>
        <w:tab/>
        <w:t>Mark A. Gelowitz</w:t>
      </w:r>
      <w:r w:rsidRPr="00DB11F4">
        <w:rPr>
          <w:sz w:val="20"/>
          <w:lang w:val="fr-CA"/>
        </w:rPr>
        <w:t xml:space="preserve"> et </w:t>
      </w:r>
      <w:r w:rsidRPr="00DB11F4">
        <w:rPr>
          <w:i/>
          <w:sz w:val="20"/>
          <w:lang w:val="fr-CA"/>
        </w:rPr>
        <w:t>Jason MacLean</w:t>
      </w:r>
      <w:r w:rsidRPr="00DB11F4">
        <w:rPr>
          <w:sz w:val="20"/>
          <w:lang w:val="fr-CA"/>
        </w:rPr>
        <w:t>, pour l’intervenante Canadian Constitution Foundation.</w:t>
      </w:r>
    </w:p>
    <w:p w:rsidR="00DB11F4" w:rsidRPr="00DB11F4" w:rsidRDefault="00DB11F4" w:rsidP="00DB11F4">
      <w:pPr>
        <w:pStyle w:val="SCCNormalDoubleSpacing"/>
        <w:spacing w:line="240" w:lineRule="auto"/>
        <w:rPr>
          <w:i/>
          <w:sz w:val="20"/>
          <w:lang w:val="fr-CA"/>
        </w:rPr>
      </w:pPr>
    </w:p>
    <w:p w:rsidR="00DB11F4" w:rsidRPr="00DB11F4" w:rsidRDefault="00DB11F4" w:rsidP="00DB11F4">
      <w:pPr>
        <w:pStyle w:val="SCCNormalDoubleSpacing"/>
        <w:spacing w:line="240" w:lineRule="auto"/>
        <w:rPr>
          <w:sz w:val="20"/>
          <w:lang w:val="fr-CA"/>
        </w:rPr>
      </w:pPr>
      <w:r w:rsidRPr="00DB11F4">
        <w:rPr>
          <w:i/>
          <w:sz w:val="20"/>
          <w:lang w:val="fr-CA"/>
        </w:rPr>
        <w:tab/>
        <w:t>Andrew K. Lokan</w:t>
      </w:r>
      <w:r w:rsidRPr="00DB11F4">
        <w:rPr>
          <w:sz w:val="20"/>
          <w:lang w:val="fr-CA"/>
        </w:rPr>
        <w:t xml:space="preserve"> et </w:t>
      </w:r>
      <w:r w:rsidRPr="00DB11F4">
        <w:rPr>
          <w:i/>
          <w:sz w:val="20"/>
          <w:lang w:val="fr-CA"/>
        </w:rPr>
        <w:t>Jodi Martin</w:t>
      </w:r>
      <w:r w:rsidRPr="00DB11F4">
        <w:rPr>
          <w:sz w:val="20"/>
          <w:lang w:val="fr-CA"/>
        </w:rPr>
        <w:t>, pour l’intervenante l’Association canadienne des libertés civiles.</w:t>
      </w:r>
    </w:p>
    <w:p w:rsidR="00DB11F4" w:rsidRPr="00DB11F4" w:rsidRDefault="00DB11F4" w:rsidP="00DB11F4">
      <w:pPr>
        <w:pStyle w:val="SCCNormalDoubleSpacing"/>
        <w:spacing w:line="240" w:lineRule="auto"/>
        <w:rPr>
          <w:i/>
          <w:sz w:val="20"/>
          <w:lang w:val="fr-CA"/>
        </w:rPr>
      </w:pPr>
    </w:p>
    <w:p w:rsidR="00DB11F4" w:rsidRPr="00DB11F4" w:rsidRDefault="00DB11F4" w:rsidP="00DB11F4">
      <w:pPr>
        <w:pStyle w:val="SCCNormalDoubleSpacing"/>
        <w:spacing w:line="240" w:lineRule="auto"/>
        <w:rPr>
          <w:sz w:val="20"/>
          <w:lang w:val="fr-CA"/>
        </w:rPr>
      </w:pPr>
      <w:r w:rsidRPr="00DB11F4">
        <w:rPr>
          <w:i/>
          <w:sz w:val="20"/>
          <w:lang w:val="fr-CA"/>
        </w:rPr>
        <w:tab/>
        <w:t>Philippe Dufresne</w:t>
      </w:r>
      <w:r w:rsidRPr="00DB11F4">
        <w:rPr>
          <w:sz w:val="20"/>
          <w:lang w:val="fr-CA"/>
        </w:rPr>
        <w:t xml:space="preserve"> et </w:t>
      </w:r>
      <w:r w:rsidRPr="00DB11F4">
        <w:rPr>
          <w:i/>
          <w:sz w:val="20"/>
          <w:lang w:val="fr-CA"/>
        </w:rPr>
        <w:t>Brian Smith</w:t>
      </w:r>
      <w:r w:rsidRPr="00DB11F4">
        <w:rPr>
          <w:sz w:val="20"/>
          <w:lang w:val="fr-CA"/>
        </w:rPr>
        <w:t>, pour l’intervenante la Commission canadienne des droits de la personne.</w:t>
      </w:r>
    </w:p>
    <w:p w:rsidR="00DB11F4" w:rsidRPr="00DB11F4" w:rsidRDefault="00DB11F4" w:rsidP="00DB11F4">
      <w:pPr>
        <w:pStyle w:val="SCCNormalDoubleSpacing"/>
        <w:spacing w:line="240" w:lineRule="auto"/>
        <w:rPr>
          <w:i/>
          <w:sz w:val="20"/>
          <w:lang w:val="fr-CA"/>
        </w:rPr>
      </w:pPr>
    </w:p>
    <w:p w:rsidR="00DB11F4" w:rsidRPr="00DB11F4" w:rsidRDefault="00DB11F4" w:rsidP="00DB11F4">
      <w:pPr>
        <w:pStyle w:val="SCCNormalDoubleSpacing"/>
        <w:spacing w:line="240" w:lineRule="auto"/>
        <w:rPr>
          <w:sz w:val="20"/>
          <w:lang w:val="fr-CA"/>
        </w:rPr>
      </w:pPr>
      <w:r w:rsidRPr="00DB11F4">
        <w:rPr>
          <w:i/>
          <w:sz w:val="20"/>
          <w:lang w:val="fr-CA"/>
        </w:rPr>
        <w:tab/>
        <w:t>Audrey Dean et Henry S. Brown, c.r.</w:t>
      </w:r>
      <w:r w:rsidRPr="00DB11F4">
        <w:rPr>
          <w:sz w:val="20"/>
          <w:lang w:val="fr-CA"/>
        </w:rPr>
        <w:t>, pour l’intervenante Alberta Human Rights Commission.</w:t>
      </w:r>
    </w:p>
    <w:p w:rsidR="00DB11F4" w:rsidRPr="00DB11F4" w:rsidRDefault="00DB11F4" w:rsidP="00DB11F4">
      <w:pPr>
        <w:pStyle w:val="SCCNormalDoubleSpacing"/>
        <w:spacing w:line="240" w:lineRule="auto"/>
        <w:rPr>
          <w:i/>
          <w:sz w:val="20"/>
          <w:lang w:val="fr-CA"/>
        </w:rPr>
      </w:pPr>
    </w:p>
    <w:p w:rsidR="00DB11F4" w:rsidRPr="00DB11F4" w:rsidRDefault="00DB11F4" w:rsidP="00DB11F4">
      <w:pPr>
        <w:pStyle w:val="SCCNormalDoubleSpacing"/>
        <w:spacing w:line="240" w:lineRule="auto"/>
        <w:rPr>
          <w:sz w:val="20"/>
          <w:lang w:val="fr-CA"/>
        </w:rPr>
      </w:pPr>
      <w:r w:rsidRPr="00DB11F4">
        <w:rPr>
          <w:i/>
          <w:sz w:val="20"/>
          <w:lang w:val="fr-CA"/>
        </w:rPr>
        <w:tab/>
        <w:t>Cynthia Petersen et Christine Davies</w:t>
      </w:r>
      <w:r w:rsidRPr="00DB11F4">
        <w:rPr>
          <w:sz w:val="20"/>
          <w:lang w:val="fr-CA"/>
        </w:rPr>
        <w:t>, pour l’intervenante Egale Canada Inc.</w:t>
      </w:r>
    </w:p>
    <w:p w:rsidR="00DB11F4" w:rsidRPr="00DB11F4" w:rsidRDefault="00DB11F4" w:rsidP="00DB11F4">
      <w:pPr>
        <w:pStyle w:val="SCCNormalDoubleSpacing"/>
        <w:spacing w:line="240" w:lineRule="auto"/>
        <w:rPr>
          <w:i/>
          <w:sz w:val="20"/>
          <w:lang w:val="fr-CA"/>
        </w:rPr>
      </w:pPr>
    </w:p>
    <w:p w:rsidR="00DB11F4" w:rsidRPr="00DB11F4" w:rsidRDefault="00DB11F4" w:rsidP="00DB11F4">
      <w:pPr>
        <w:pStyle w:val="SCCNormalDoubleSpacing"/>
        <w:spacing w:line="240" w:lineRule="auto"/>
        <w:rPr>
          <w:sz w:val="20"/>
          <w:lang w:val="fr-CA"/>
        </w:rPr>
      </w:pPr>
      <w:r w:rsidRPr="00DB11F4">
        <w:rPr>
          <w:i/>
          <w:sz w:val="20"/>
          <w:lang w:val="fr-CA"/>
        </w:rPr>
        <w:lastRenderedPageBreak/>
        <w:tab/>
        <w:t>Anthony Griffin</w:t>
      </w:r>
      <w:r w:rsidRPr="00DB11F4">
        <w:rPr>
          <w:sz w:val="20"/>
          <w:lang w:val="fr-CA"/>
        </w:rPr>
        <w:t>, pour l’intervenante la Commission ontarienne des droits de la personne.</w:t>
      </w:r>
    </w:p>
    <w:p w:rsidR="00DB11F4" w:rsidRPr="00DB11F4" w:rsidRDefault="00DB11F4" w:rsidP="00DB11F4">
      <w:pPr>
        <w:pStyle w:val="SCCNormalDoubleSpacing"/>
        <w:spacing w:line="240" w:lineRule="auto"/>
        <w:rPr>
          <w:i/>
          <w:sz w:val="20"/>
          <w:lang w:val="fr-CA"/>
        </w:rPr>
      </w:pPr>
    </w:p>
    <w:p w:rsidR="00DB11F4" w:rsidRPr="00DB11F4" w:rsidRDefault="00DB11F4" w:rsidP="00DB11F4">
      <w:pPr>
        <w:pStyle w:val="SCCNormalDoubleSpacing"/>
        <w:spacing w:line="240" w:lineRule="auto"/>
        <w:rPr>
          <w:sz w:val="20"/>
          <w:lang w:val="fr-CA"/>
        </w:rPr>
      </w:pPr>
      <w:r w:rsidRPr="00DB11F4">
        <w:rPr>
          <w:i/>
          <w:sz w:val="20"/>
          <w:lang w:val="fr-CA"/>
        </w:rPr>
        <w:tab/>
        <w:t>Mark J. Freiman</w:t>
      </w:r>
      <w:r w:rsidRPr="00DB11F4">
        <w:rPr>
          <w:sz w:val="20"/>
          <w:lang w:val="fr-CA"/>
        </w:rPr>
        <w:t>, pour l’intervenant le Congrès juif canadien.</w:t>
      </w:r>
    </w:p>
    <w:p w:rsidR="00DB11F4" w:rsidRPr="00DB11F4" w:rsidRDefault="00DB11F4" w:rsidP="00DB11F4">
      <w:pPr>
        <w:pStyle w:val="SCCNormalDoubleSpacing"/>
        <w:spacing w:line="240" w:lineRule="auto"/>
        <w:rPr>
          <w:i/>
          <w:sz w:val="20"/>
          <w:lang w:val="fr-CA"/>
        </w:rPr>
      </w:pPr>
    </w:p>
    <w:p w:rsidR="00DB11F4" w:rsidRPr="00DB11F4" w:rsidRDefault="00DB11F4" w:rsidP="00DB11F4">
      <w:pPr>
        <w:pStyle w:val="SCCNormalDoubleSpacing"/>
        <w:spacing w:line="240" w:lineRule="auto"/>
        <w:rPr>
          <w:sz w:val="20"/>
          <w:lang w:val="fr-CA"/>
        </w:rPr>
      </w:pPr>
      <w:r w:rsidRPr="00DB11F4">
        <w:rPr>
          <w:i/>
          <w:sz w:val="20"/>
          <w:lang w:val="fr-CA"/>
        </w:rPr>
        <w:tab/>
        <w:t>Arif Chowdhury</w:t>
      </w:r>
      <w:r w:rsidRPr="00DB11F4">
        <w:rPr>
          <w:sz w:val="20"/>
          <w:lang w:val="fr-CA"/>
        </w:rPr>
        <w:t>, pour les intervenants Unitarian Congregation of Saskatoon et le Conseil unitarien du Canada.</w:t>
      </w:r>
    </w:p>
    <w:p w:rsidR="00DB11F4" w:rsidRPr="00DB11F4" w:rsidRDefault="00DB11F4" w:rsidP="00DB11F4">
      <w:pPr>
        <w:pStyle w:val="SCCNormalDoubleSpacing"/>
        <w:spacing w:line="240" w:lineRule="auto"/>
        <w:rPr>
          <w:i/>
          <w:sz w:val="20"/>
          <w:lang w:val="fr-CA"/>
        </w:rPr>
      </w:pPr>
    </w:p>
    <w:p w:rsidR="00DB11F4" w:rsidRPr="00DB11F4" w:rsidRDefault="00DB11F4" w:rsidP="00DB11F4">
      <w:pPr>
        <w:pStyle w:val="SCCNormalDoubleSpacing"/>
        <w:spacing w:line="240" w:lineRule="auto"/>
        <w:rPr>
          <w:sz w:val="20"/>
          <w:lang w:val="fr-CA"/>
        </w:rPr>
      </w:pPr>
      <w:r w:rsidRPr="00DB11F4">
        <w:rPr>
          <w:i/>
          <w:sz w:val="20"/>
          <w:lang w:val="fr-CA"/>
        </w:rPr>
        <w:tab/>
        <w:t xml:space="preserve">Kathleen E. Mahoney </w:t>
      </w:r>
      <w:r w:rsidRPr="00DB11F4">
        <w:rPr>
          <w:sz w:val="20"/>
          <w:lang w:val="fr-CA"/>
        </w:rPr>
        <w:t xml:space="preserve">et </w:t>
      </w:r>
      <w:r w:rsidRPr="00DB11F4">
        <w:rPr>
          <w:i/>
          <w:sz w:val="20"/>
          <w:lang w:val="fr-CA"/>
        </w:rPr>
        <w:t>Jo-Ann R. Kolmes,</w:t>
      </w:r>
      <w:r w:rsidRPr="00DB11F4">
        <w:rPr>
          <w:sz w:val="20"/>
          <w:lang w:val="fr-CA"/>
        </w:rPr>
        <w:t xml:space="preserve"> pour l’intervenant le Fonds d’action et d’éducation juridiques pour les femmes.</w:t>
      </w:r>
    </w:p>
    <w:p w:rsidR="00DB11F4" w:rsidRPr="00DB11F4" w:rsidRDefault="00DB11F4" w:rsidP="00DB11F4">
      <w:pPr>
        <w:pStyle w:val="SCCNormalDoubleSpacing"/>
        <w:spacing w:line="240" w:lineRule="auto"/>
        <w:rPr>
          <w:i/>
          <w:sz w:val="20"/>
          <w:lang w:val="fr-CA"/>
        </w:rPr>
      </w:pPr>
    </w:p>
    <w:p w:rsidR="00DB11F4" w:rsidRPr="00DB11F4" w:rsidRDefault="00DB11F4" w:rsidP="00DB11F4">
      <w:pPr>
        <w:pStyle w:val="SCCNormalDoubleSpacing"/>
        <w:spacing w:line="240" w:lineRule="auto"/>
        <w:rPr>
          <w:sz w:val="20"/>
          <w:lang w:val="fr-CA"/>
        </w:rPr>
      </w:pPr>
      <w:r w:rsidRPr="00DB11F4">
        <w:rPr>
          <w:i/>
          <w:sz w:val="20"/>
          <w:lang w:val="fr-CA"/>
        </w:rPr>
        <w:tab/>
        <w:t>M. Philip Tunley</w:t>
      </w:r>
      <w:r w:rsidRPr="00DB11F4">
        <w:rPr>
          <w:sz w:val="20"/>
          <w:lang w:val="fr-CA"/>
        </w:rPr>
        <w:t xml:space="preserve"> et </w:t>
      </w:r>
      <w:r w:rsidRPr="00DB11F4">
        <w:rPr>
          <w:i/>
          <w:sz w:val="20"/>
          <w:lang w:val="fr-CA"/>
        </w:rPr>
        <w:t>Paul J. Saguil</w:t>
      </w:r>
      <w:r w:rsidRPr="00DB11F4">
        <w:rPr>
          <w:sz w:val="20"/>
          <w:lang w:val="fr-CA"/>
        </w:rPr>
        <w:t>, pour l’intervenant les Journalistes canadiens pour la liberté d’expression.</w:t>
      </w:r>
    </w:p>
    <w:p w:rsidR="00DB11F4" w:rsidRPr="00DB11F4" w:rsidRDefault="00DB11F4" w:rsidP="00DB11F4">
      <w:pPr>
        <w:pStyle w:val="SCCNormalDoubleSpacing"/>
        <w:spacing w:line="240" w:lineRule="auto"/>
        <w:rPr>
          <w:i/>
          <w:sz w:val="20"/>
          <w:lang w:val="fr-CA"/>
        </w:rPr>
      </w:pPr>
    </w:p>
    <w:p w:rsidR="00DB11F4" w:rsidRPr="00DB11F4" w:rsidRDefault="00DB11F4" w:rsidP="00DB11F4">
      <w:pPr>
        <w:pStyle w:val="SCCNormalDoubleSpacing"/>
        <w:spacing w:line="240" w:lineRule="auto"/>
        <w:rPr>
          <w:sz w:val="20"/>
          <w:lang w:val="fr-CA"/>
        </w:rPr>
      </w:pPr>
      <w:r w:rsidRPr="00DB11F4">
        <w:rPr>
          <w:i/>
          <w:sz w:val="20"/>
          <w:lang w:val="fr-CA"/>
        </w:rPr>
        <w:tab/>
        <w:t>David Matas</w:t>
      </w:r>
      <w:r w:rsidRPr="00DB11F4">
        <w:rPr>
          <w:sz w:val="20"/>
          <w:lang w:val="fr-CA"/>
        </w:rPr>
        <w:t>, pour l’intervenante l’Association du Barreau canadien.</w:t>
      </w:r>
    </w:p>
    <w:p w:rsidR="00DB11F4" w:rsidRPr="00DB11F4" w:rsidRDefault="00DB11F4" w:rsidP="00DB11F4">
      <w:pPr>
        <w:pStyle w:val="SCCNormalDoubleSpacing"/>
        <w:spacing w:line="240" w:lineRule="auto"/>
        <w:rPr>
          <w:i/>
          <w:sz w:val="20"/>
          <w:lang w:val="fr-CA"/>
        </w:rPr>
      </w:pPr>
    </w:p>
    <w:p w:rsidR="00DB11F4" w:rsidRPr="00DB11F4" w:rsidRDefault="00DB11F4" w:rsidP="00DB11F4">
      <w:pPr>
        <w:pStyle w:val="SCCNormalDoubleSpacing"/>
        <w:spacing w:line="240" w:lineRule="auto"/>
        <w:rPr>
          <w:sz w:val="20"/>
          <w:lang w:val="fr-CA"/>
        </w:rPr>
      </w:pPr>
      <w:r w:rsidRPr="00DB11F4">
        <w:rPr>
          <w:i/>
          <w:sz w:val="20"/>
          <w:lang w:val="fr-CA"/>
        </w:rPr>
        <w:tab/>
        <w:t xml:space="preserve">Argumentation écrite seulement par Shaunt Parthev, c.r., </w:t>
      </w:r>
      <w:r w:rsidRPr="00DB11F4">
        <w:rPr>
          <w:sz w:val="20"/>
          <w:lang w:val="fr-CA"/>
        </w:rPr>
        <w:t xml:space="preserve">et </w:t>
      </w:r>
      <w:r w:rsidRPr="00DB11F4">
        <w:rPr>
          <w:i/>
          <w:sz w:val="20"/>
          <w:lang w:val="fr-CA"/>
        </w:rPr>
        <w:t>Ashley M. Smith</w:t>
      </w:r>
      <w:r w:rsidRPr="00DB11F4">
        <w:rPr>
          <w:sz w:val="20"/>
          <w:lang w:val="fr-CA"/>
        </w:rPr>
        <w:t>, pour les intervenantes la Commission des droits de la personne des Territoires du Nord</w:t>
      </w:r>
      <w:r w:rsidRPr="00DB11F4">
        <w:rPr>
          <w:sz w:val="20"/>
          <w:lang w:val="fr-CA"/>
        </w:rPr>
        <w:noBreakHyphen/>
        <w:t>Ouest et la Commission des droits de la personne du Yukon.</w:t>
      </w:r>
    </w:p>
    <w:p w:rsidR="00DB11F4" w:rsidRPr="00DB11F4" w:rsidRDefault="00DB11F4" w:rsidP="00DB11F4">
      <w:pPr>
        <w:pStyle w:val="SCCNormalDoubleSpacing"/>
        <w:spacing w:line="240" w:lineRule="auto"/>
        <w:rPr>
          <w:i/>
          <w:sz w:val="20"/>
          <w:lang w:val="fr-CA"/>
        </w:rPr>
      </w:pPr>
    </w:p>
    <w:p w:rsidR="00DB11F4" w:rsidRPr="00DB11F4" w:rsidRDefault="00DB11F4" w:rsidP="00DB11F4">
      <w:pPr>
        <w:pStyle w:val="SCCNormalDoubleSpacing"/>
        <w:spacing w:line="240" w:lineRule="auto"/>
        <w:rPr>
          <w:sz w:val="20"/>
          <w:lang w:val="fr-CA"/>
        </w:rPr>
      </w:pPr>
      <w:r w:rsidRPr="00DB11F4">
        <w:rPr>
          <w:i/>
          <w:sz w:val="20"/>
          <w:lang w:val="fr-CA"/>
        </w:rPr>
        <w:tab/>
        <w:t>Derek J. Bell,</w:t>
      </w:r>
      <w:r w:rsidRPr="00DB11F4">
        <w:rPr>
          <w:sz w:val="20"/>
          <w:lang w:val="fr-CA"/>
        </w:rPr>
        <w:t xml:space="preserve"> </w:t>
      </w:r>
      <w:r w:rsidRPr="00DB11F4">
        <w:rPr>
          <w:i/>
          <w:sz w:val="20"/>
          <w:lang w:val="fr-CA"/>
        </w:rPr>
        <w:t>Ranjan K. Agarwal et Ruth A. M. Ross</w:t>
      </w:r>
      <w:r w:rsidRPr="00DB11F4">
        <w:rPr>
          <w:sz w:val="20"/>
          <w:lang w:val="fr-CA"/>
        </w:rPr>
        <w:t>, pour l’intervenante l’Alliance des chrétiens en droit.</w:t>
      </w:r>
    </w:p>
    <w:p w:rsidR="00DB11F4" w:rsidRPr="00DB11F4" w:rsidRDefault="00DB11F4" w:rsidP="00DB11F4">
      <w:pPr>
        <w:pStyle w:val="SCCNormalDoubleSpacing"/>
        <w:spacing w:line="240" w:lineRule="auto"/>
        <w:rPr>
          <w:i/>
          <w:sz w:val="20"/>
          <w:lang w:val="fr-CA"/>
        </w:rPr>
      </w:pPr>
    </w:p>
    <w:p w:rsidR="00DB11F4" w:rsidRPr="00DB11F4" w:rsidRDefault="00DB11F4" w:rsidP="00DB11F4">
      <w:pPr>
        <w:pStyle w:val="SCCNormalDoubleSpacing"/>
        <w:spacing w:line="240" w:lineRule="auto"/>
        <w:rPr>
          <w:sz w:val="20"/>
          <w:lang w:val="fr-CA"/>
        </w:rPr>
      </w:pPr>
      <w:r w:rsidRPr="00DB11F4">
        <w:rPr>
          <w:i/>
          <w:sz w:val="20"/>
          <w:lang w:val="fr-CA"/>
        </w:rPr>
        <w:tab/>
        <w:t>Marvin Kurz</w:t>
      </w:r>
      <w:r w:rsidRPr="00DB11F4">
        <w:rPr>
          <w:sz w:val="20"/>
          <w:lang w:val="fr-CA"/>
        </w:rPr>
        <w:t>, pour l’intervenante la Ligue des droits de la personne de B’nai Brith Canada.</w:t>
      </w:r>
    </w:p>
    <w:p w:rsidR="00DB11F4" w:rsidRPr="00DB11F4" w:rsidRDefault="00DB11F4" w:rsidP="00DB11F4">
      <w:pPr>
        <w:pStyle w:val="SCCNormalDoubleSpacing"/>
        <w:spacing w:line="240" w:lineRule="auto"/>
        <w:rPr>
          <w:i/>
          <w:sz w:val="20"/>
          <w:lang w:val="fr-CA"/>
        </w:rPr>
      </w:pPr>
    </w:p>
    <w:p w:rsidR="00DB11F4" w:rsidRPr="00DB11F4" w:rsidRDefault="00DB11F4" w:rsidP="00DB11F4">
      <w:pPr>
        <w:pStyle w:val="SCCNormalDoubleSpacing"/>
        <w:spacing w:line="240" w:lineRule="auto"/>
        <w:rPr>
          <w:sz w:val="20"/>
          <w:lang w:val="fr-CA"/>
        </w:rPr>
      </w:pPr>
      <w:r w:rsidRPr="00DB11F4">
        <w:rPr>
          <w:i/>
          <w:sz w:val="20"/>
          <w:lang w:val="fr-CA"/>
        </w:rPr>
        <w:tab/>
        <w:t>Donald E. L. Hutchinson et</w:t>
      </w:r>
      <w:r w:rsidRPr="00DB11F4">
        <w:rPr>
          <w:sz w:val="20"/>
          <w:lang w:val="fr-CA"/>
        </w:rPr>
        <w:t xml:space="preserve"> </w:t>
      </w:r>
      <w:r w:rsidRPr="00DB11F4">
        <w:rPr>
          <w:i/>
          <w:sz w:val="20"/>
          <w:lang w:val="fr-CA"/>
        </w:rPr>
        <w:t>André Schutten</w:t>
      </w:r>
      <w:r w:rsidRPr="00DB11F4">
        <w:rPr>
          <w:sz w:val="20"/>
          <w:lang w:val="fr-CA"/>
        </w:rPr>
        <w:t>, pour l’intervenante l’Alliance évangélique du Canada.</w:t>
      </w:r>
    </w:p>
    <w:p w:rsidR="00DB11F4" w:rsidRPr="00DB11F4" w:rsidRDefault="00DB11F4" w:rsidP="00DB11F4">
      <w:pPr>
        <w:pStyle w:val="SCCNormalDoubleSpacing"/>
        <w:spacing w:line="240" w:lineRule="auto"/>
        <w:rPr>
          <w:i/>
          <w:sz w:val="20"/>
          <w:lang w:val="fr-CA"/>
        </w:rPr>
      </w:pPr>
    </w:p>
    <w:p w:rsidR="00DB11F4" w:rsidRPr="00DB11F4" w:rsidRDefault="00DB11F4" w:rsidP="00DB11F4">
      <w:pPr>
        <w:pStyle w:val="SCCNormalDoubleSpacing"/>
        <w:spacing w:line="240" w:lineRule="auto"/>
        <w:rPr>
          <w:sz w:val="20"/>
          <w:lang w:val="fr-CA"/>
        </w:rPr>
      </w:pPr>
      <w:r w:rsidRPr="00DB11F4">
        <w:rPr>
          <w:i/>
          <w:sz w:val="20"/>
          <w:lang w:val="fr-CA"/>
        </w:rPr>
        <w:tab/>
        <w:t>Ben Millard</w:t>
      </w:r>
      <w:r w:rsidRPr="00DB11F4">
        <w:rPr>
          <w:sz w:val="20"/>
          <w:lang w:val="fr-CA"/>
        </w:rPr>
        <w:t>, pour l’intervenante l’Église Unie du Canada.</w:t>
      </w:r>
    </w:p>
    <w:p w:rsidR="00DB11F4" w:rsidRPr="00DB11F4" w:rsidRDefault="00DB11F4" w:rsidP="00DB11F4">
      <w:pPr>
        <w:pStyle w:val="SCCNormalDoubleSpacing"/>
        <w:spacing w:line="240" w:lineRule="auto"/>
        <w:rPr>
          <w:i/>
          <w:sz w:val="20"/>
          <w:lang w:val="fr-CA"/>
        </w:rPr>
      </w:pPr>
    </w:p>
    <w:p w:rsidR="00DB11F4" w:rsidRPr="00DB11F4" w:rsidRDefault="00DB11F4" w:rsidP="00DB11F4">
      <w:pPr>
        <w:pStyle w:val="SCCNormalDoubleSpacing"/>
        <w:spacing w:line="240" w:lineRule="auto"/>
        <w:rPr>
          <w:sz w:val="20"/>
          <w:lang w:val="fr-CA"/>
        </w:rPr>
      </w:pPr>
      <w:r w:rsidRPr="00DB11F4">
        <w:rPr>
          <w:i/>
          <w:sz w:val="20"/>
          <w:lang w:val="fr-CA"/>
        </w:rPr>
        <w:tab/>
        <w:t>Argumentation écrite seulement par David M. A. Stack</w:t>
      </w:r>
      <w:r w:rsidRPr="00DB11F4">
        <w:rPr>
          <w:sz w:val="20"/>
          <w:lang w:val="fr-CA"/>
        </w:rPr>
        <w:t>, pour les intervenantes l’Assemblée des Premières Nations, Federation of Saskatchewan Indian Nations and Métis Nation</w:t>
      </w:r>
      <w:r w:rsidRPr="00DB11F4">
        <w:rPr>
          <w:sz w:val="20"/>
          <w:lang w:val="fr-CA"/>
        </w:rPr>
        <w:noBreakHyphen/>
        <w:t>Saskatchewan.</w:t>
      </w:r>
    </w:p>
    <w:p w:rsidR="00DB11F4" w:rsidRPr="00DB11F4" w:rsidRDefault="00DB11F4" w:rsidP="00DB11F4">
      <w:pPr>
        <w:pStyle w:val="SCCNormalDoubleSpacing"/>
        <w:spacing w:line="240" w:lineRule="auto"/>
        <w:rPr>
          <w:i/>
          <w:sz w:val="20"/>
          <w:lang w:val="fr-CA"/>
        </w:rPr>
      </w:pPr>
    </w:p>
    <w:p w:rsidR="00DB11F4" w:rsidRPr="00DB11F4" w:rsidRDefault="00DB11F4" w:rsidP="00DB11F4">
      <w:pPr>
        <w:pStyle w:val="SCCNormalDoubleSpacing"/>
        <w:spacing w:line="240" w:lineRule="auto"/>
        <w:rPr>
          <w:sz w:val="20"/>
          <w:lang w:val="fr-CA"/>
        </w:rPr>
      </w:pPr>
      <w:r w:rsidRPr="00DB11F4">
        <w:rPr>
          <w:i/>
          <w:sz w:val="20"/>
          <w:lang w:val="fr-CA"/>
        </w:rPr>
        <w:tab/>
        <w:t>Ryan D. W. Dalziel</w:t>
      </w:r>
      <w:r w:rsidRPr="00DB11F4">
        <w:rPr>
          <w:sz w:val="20"/>
          <w:lang w:val="fr-CA"/>
        </w:rPr>
        <w:t xml:space="preserve"> et </w:t>
      </w:r>
      <w:r w:rsidRPr="00DB11F4">
        <w:rPr>
          <w:i/>
          <w:sz w:val="20"/>
          <w:lang w:val="fr-CA"/>
        </w:rPr>
        <w:t>Micah B. Rankin</w:t>
      </w:r>
      <w:r w:rsidRPr="00DB11F4">
        <w:rPr>
          <w:sz w:val="20"/>
          <w:lang w:val="fr-CA"/>
        </w:rPr>
        <w:t>, pour les intervenantes la Ligue catholique des droits de l’homme et Faith and Freedom Alliance.</w:t>
      </w:r>
    </w:p>
    <w:p w:rsidR="00DB11F4" w:rsidRPr="00DB11F4" w:rsidRDefault="00DB11F4" w:rsidP="00DB11F4">
      <w:pPr>
        <w:pStyle w:val="SCCNormalDoubleSpacing"/>
        <w:spacing w:line="240" w:lineRule="auto"/>
        <w:rPr>
          <w:i/>
          <w:sz w:val="20"/>
          <w:lang w:val="fr-CA"/>
        </w:rPr>
      </w:pPr>
    </w:p>
    <w:p w:rsidR="00DB11F4" w:rsidRPr="00DB11F4" w:rsidRDefault="00DB11F4" w:rsidP="00DB11F4">
      <w:pPr>
        <w:pStyle w:val="SCCNormalDoubleSpacing"/>
        <w:spacing w:line="240" w:lineRule="auto"/>
        <w:rPr>
          <w:sz w:val="20"/>
          <w:lang w:val="fr-CA"/>
        </w:rPr>
      </w:pPr>
      <w:r w:rsidRPr="00DB11F4">
        <w:rPr>
          <w:i/>
          <w:sz w:val="20"/>
          <w:lang w:val="fr-CA"/>
        </w:rPr>
        <w:tab/>
        <w:t>Sunil Gurmukh</w:t>
      </w:r>
      <w:r w:rsidRPr="00DB11F4">
        <w:rPr>
          <w:sz w:val="20"/>
          <w:lang w:val="fr-CA"/>
        </w:rPr>
        <w:t xml:space="preserve">, </w:t>
      </w:r>
      <w:r w:rsidRPr="00DB11F4">
        <w:rPr>
          <w:i/>
          <w:sz w:val="20"/>
          <w:lang w:val="fr-CA"/>
        </w:rPr>
        <w:t>Moya Teklu</w:t>
      </w:r>
      <w:r w:rsidRPr="00DB11F4">
        <w:rPr>
          <w:sz w:val="20"/>
          <w:lang w:val="fr-CA"/>
        </w:rPr>
        <w:t xml:space="preserve"> et </w:t>
      </w:r>
      <w:r w:rsidRPr="00DB11F4">
        <w:rPr>
          <w:i/>
          <w:sz w:val="20"/>
          <w:lang w:val="fr-CA"/>
        </w:rPr>
        <w:t>Ed Morgan</w:t>
      </w:r>
      <w:r w:rsidRPr="00DB11F4">
        <w:rPr>
          <w:sz w:val="20"/>
          <w:lang w:val="fr-CA"/>
        </w:rPr>
        <w:t>, pour l’intervenante African Canadian Legal Clinic.</w:t>
      </w:r>
    </w:p>
    <w:p w:rsidR="00DB11F4" w:rsidRPr="00DB11F4" w:rsidRDefault="00DB11F4" w:rsidP="00DB11F4">
      <w:pPr>
        <w:pStyle w:val="SCCLawFirm"/>
        <w:spacing w:line="240" w:lineRule="auto"/>
        <w:rPr>
          <w:sz w:val="20"/>
          <w:lang w:val="fr-CA"/>
        </w:rPr>
      </w:pPr>
    </w:p>
    <w:p w:rsidR="00DB11F4" w:rsidRPr="00DB11F4" w:rsidRDefault="00DB11F4" w:rsidP="00DB11F4">
      <w:pPr>
        <w:pStyle w:val="SCCLawFirm"/>
        <w:spacing w:line="240" w:lineRule="auto"/>
        <w:rPr>
          <w:sz w:val="20"/>
          <w:lang w:val="fr-CA"/>
        </w:rPr>
      </w:pPr>
      <w:r w:rsidRPr="00DB11F4">
        <w:rPr>
          <w:sz w:val="20"/>
          <w:lang w:val="fr-CA"/>
        </w:rPr>
        <w:tab/>
        <w:t>Procureurs de l’appelante : Scharfstein Gibbings Walen Fisher, Saskatoon; Saskatchewan Human Rights Commission, Saskatoon.</w:t>
      </w:r>
    </w:p>
    <w:p w:rsidR="00DB11F4" w:rsidRPr="00DB11F4" w:rsidRDefault="00DB11F4" w:rsidP="00DB11F4">
      <w:pPr>
        <w:pStyle w:val="SCCLawFirm"/>
        <w:spacing w:line="240" w:lineRule="auto"/>
        <w:rPr>
          <w:sz w:val="20"/>
          <w:lang w:val="fr-CA"/>
        </w:rPr>
      </w:pPr>
    </w:p>
    <w:p w:rsidR="00DB11F4" w:rsidRPr="002847F7" w:rsidRDefault="00DB11F4" w:rsidP="00DB11F4">
      <w:pPr>
        <w:pStyle w:val="SCCLawFirm"/>
        <w:spacing w:line="240" w:lineRule="auto"/>
        <w:rPr>
          <w:sz w:val="20"/>
          <w:lang w:val="en-US"/>
        </w:rPr>
      </w:pPr>
      <w:r w:rsidRPr="00DB11F4">
        <w:rPr>
          <w:sz w:val="20"/>
          <w:lang w:val="fr-CA"/>
        </w:rPr>
        <w:tab/>
      </w:r>
      <w:r w:rsidRPr="002847F7">
        <w:rPr>
          <w:sz w:val="20"/>
          <w:lang w:val="en-US"/>
        </w:rPr>
        <w:t>Procureurs de l’intimé : Nimegeers, Schuck, Wormsbecker &amp; Bobbitt, Weyburn, Saskatchewan; Iain Benson, Toronto;</w:t>
      </w:r>
      <w:r w:rsidRPr="002847F7">
        <w:rPr>
          <w:i w:val="0"/>
          <w:sz w:val="20"/>
          <w:lang w:val="en-US"/>
        </w:rPr>
        <w:t xml:space="preserve"> </w:t>
      </w:r>
      <w:r w:rsidRPr="002847F7">
        <w:rPr>
          <w:sz w:val="20"/>
          <w:lang w:val="en-US"/>
        </w:rPr>
        <w:t>John Carpay, Calgary; Mol Advocates, Edmonton.</w:t>
      </w:r>
    </w:p>
    <w:p w:rsidR="00DB11F4" w:rsidRDefault="00DB11F4" w:rsidP="00DB11F4">
      <w:pPr>
        <w:pStyle w:val="SCCLawFirm"/>
        <w:spacing w:line="240" w:lineRule="auto"/>
        <w:rPr>
          <w:sz w:val="20"/>
          <w:lang w:val="en-US"/>
        </w:rPr>
      </w:pPr>
    </w:p>
    <w:p w:rsidR="00DB11F4" w:rsidRPr="00DB11F4" w:rsidRDefault="00DB11F4" w:rsidP="00DB11F4">
      <w:pPr>
        <w:pStyle w:val="SCCLawFirm"/>
        <w:spacing w:line="240" w:lineRule="auto"/>
        <w:rPr>
          <w:sz w:val="20"/>
          <w:lang w:val="fr-CA"/>
        </w:rPr>
      </w:pPr>
      <w:r w:rsidRPr="002847F7">
        <w:rPr>
          <w:sz w:val="20"/>
          <w:lang w:val="en-US"/>
        </w:rPr>
        <w:tab/>
      </w:r>
      <w:r w:rsidRPr="00DB11F4">
        <w:rPr>
          <w:sz w:val="20"/>
          <w:lang w:val="fr-CA"/>
        </w:rPr>
        <w:t>Procureur de l’intervenant le procureur général de la Saskatchewan : Procureur général de la Saskatchewan, Regina.</w:t>
      </w:r>
    </w:p>
    <w:p w:rsidR="00DB11F4" w:rsidRPr="00DB11F4" w:rsidRDefault="00DB11F4" w:rsidP="00DB11F4">
      <w:pPr>
        <w:pStyle w:val="SCCLawFirm"/>
        <w:spacing w:line="240" w:lineRule="auto"/>
        <w:rPr>
          <w:sz w:val="20"/>
          <w:lang w:val="fr-CA"/>
        </w:rPr>
      </w:pPr>
    </w:p>
    <w:p w:rsidR="00DB11F4" w:rsidRPr="00DB11F4" w:rsidRDefault="00DB11F4" w:rsidP="00DB11F4">
      <w:pPr>
        <w:pStyle w:val="SCCLawFirm"/>
        <w:spacing w:line="240" w:lineRule="auto"/>
        <w:rPr>
          <w:sz w:val="20"/>
          <w:lang w:val="fr-CA"/>
        </w:rPr>
      </w:pPr>
      <w:r w:rsidRPr="00DB11F4">
        <w:rPr>
          <w:sz w:val="20"/>
          <w:lang w:val="fr-CA"/>
        </w:rPr>
        <w:tab/>
        <w:t>Procureur de l’intervenant le procureur général de l’Alberta : Procureur général de l’Alberta, Edmonton.</w:t>
      </w:r>
    </w:p>
    <w:p w:rsidR="00DB11F4" w:rsidRPr="00DB11F4" w:rsidRDefault="00DB11F4" w:rsidP="00DB11F4">
      <w:pPr>
        <w:pStyle w:val="SCCLawFirm"/>
        <w:spacing w:line="240" w:lineRule="auto"/>
        <w:rPr>
          <w:sz w:val="20"/>
          <w:lang w:val="fr-CA"/>
        </w:rPr>
      </w:pPr>
    </w:p>
    <w:p w:rsidR="00DB11F4" w:rsidRPr="00DB11F4" w:rsidRDefault="00DB11F4" w:rsidP="00DB11F4">
      <w:pPr>
        <w:pStyle w:val="SCCLawFirm"/>
        <w:spacing w:line="240" w:lineRule="auto"/>
        <w:rPr>
          <w:sz w:val="20"/>
          <w:lang w:val="fr-CA"/>
        </w:rPr>
      </w:pPr>
      <w:r w:rsidRPr="00DB11F4">
        <w:rPr>
          <w:sz w:val="20"/>
          <w:lang w:val="fr-CA"/>
        </w:rPr>
        <w:tab/>
        <w:t>Procureurs de l’intervenante Canadian Constitution Foundation : Osler, Hoskin &amp; Harcourt, Toronto.</w:t>
      </w:r>
    </w:p>
    <w:p w:rsidR="00DB11F4" w:rsidRPr="00DB11F4" w:rsidRDefault="00DB11F4" w:rsidP="00DB11F4">
      <w:pPr>
        <w:pStyle w:val="SCCLawFirm"/>
        <w:spacing w:line="240" w:lineRule="auto"/>
        <w:rPr>
          <w:sz w:val="20"/>
          <w:lang w:val="fr-CA"/>
        </w:rPr>
      </w:pPr>
    </w:p>
    <w:p w:rsidR="00DB11F4" w:rsidRPr="00DB11F4" w:rsidRDefault="00DB11F4" w:rsidP="00DB11F4">
      <w:pPr>
        <w:pStyle w:val="SCCLawFirm"/>
        <w:spacing w:line="240" w:lineRule="auto"/>
        <w:rPr>
          <w:sz w:val="20"/>
          <w:lang w:val="fr-CA"/>
        </w:rPr>
      </w:pPr>
      <w:r w:rsidRPr="00DB11F4">
        <w:rPr>
          <w:sz w:val="20"/>
          <w:lang w:val="fr-CA"/>
        </w:rPr>
        <w:tab/>
        <w:t>Procureurs de l’intervenante l’Association canadienne des libertés civiles : Paliare Roland Rosenberg Rothstein, Toronto.</w:t>
      </w:r>
    </w:p>
    <w:p w:rsidR="00DB11F4" w:rsidRPr="00DB11F4" w:rsidRDefault="00DB11F4" w:rsidP="00DB11F4">
      <w:pPr>
        <w:pStyle w:val="SCCLawFirm"/>
        <w:spacing w:line="240" w:lineRule="auto"/>
        <w:rPr>
          <w:sz w:val="20"/>
          <w:lang w:val="fr-CA"/>
        </w:rPr>
      </w:pPr>
    </w:p>
    <w:p w:rsidR="00DB11F4" w:rsidRPr="00DB11F4" w:rsidRDefault="00DB11F4" w:rsidP="00DB11F4">
      <w:pPr>
        <w:pStyle w:val="SCCLawFirm"/>
        <w:spacing w:line="240" w:lineRule="auto"/>
        <w:rPr>
          <w:sz w:val="20"/>
          <w:lang w:val="fr-CA"/>
        </w:rPr>
      </w:pPr>
      <w:r w:rsidRPr="00DB11F4">
        <w:rPr>
          <w:sz w:val="20"/>
          <w:lang w:val="fr-CA"/>
        </w:rPr>
        <w:tab/>
        <w:t>Procureur de l’intervenante la Commission canadienne des droits de la personne : Commission canadienne des droits de la personne, Ottawa.</w:t>
      </w:r>
    </w:p>
    <w:p w:rsidR="00DB11F4" w:rsidRPr="00DB11F4" w:rsidRDefault="00DB11F4" w:rsidP="00DB11F4">
      <w:pPr>
        <w:pStyle w:val="SCCLawFirm"/>
        <w:spacing w:line="240" w:lineRule="auto"/>
        <w:rPr>
          <w:sz w:val="20"/>
          <w:lang w:val="fr-CA"/>
        </w:rPr>
      </w:pPr>
    </w:p>
    <w:p w:rsidR="00DB11F4" w:rsidRPr="00DB11F4" w:rsidRDefault="00DB11F4" w:rsidP="00DB11F4">
      <w:pPr>
        <w:pStyle w:val="SCCLawFirm"/>
        <w:spacing w:line="240" w:lineRule="auto"/>
        <w:rPr>
          <w:sz w:val="20"/>
          <w:lang w:val="fr-CA"/>
        </w:rPr>
      </w:pPr>
      <w:r w:rsidRPr="00DB11F4">
        <w:rPr>
          <w:sz w:val="20"/>
          <w:lang w:val="fr-CA"/>
        </w:rPr>
        <w:tab/>
        <w:t>Procureur de l’intervenante Alberta Human Rights Commission : Alberta Human Rights Commission, Edmonton.</w:t>
      </w:r>
    </w:p>
    <w:p w:rsidR="00DB11F4" w:rsidRPr="00DB11F4" w:rsidRDefault="00DB11F4" w:rsidP="00DB11F4">
      <w:pPr>
        <w:pStyle w:val="SCCLawFirm"/>
        <w:spacing w:line="240" w:lineRule="auto"/>
        <w:rPr>
          <w:sz w:val="20"/>
          <w:lang w:val="fr-CA"/>
        </w:rPr>
      </w:pPr>
    </w:p>
    <w:p w:rsidR="00DB11F4" w:rsidRPr="00DB11F4" w:rsidRDefault="00DB11F4" w:rsidP="00DB11F4">
      <w:pPr>
        <w:pStyle w:val="SCCLawFirm"/>
        <w:spacing w:line="240" w:lineRule="auto"/>
        <w:rPr>
          <w:sz w:val="20"/>
          <w:lang w:val="fr-CA"/>
        </w:rPr>
      </w:pPr>
      <w:r w:rsidRPr="00DB11F4">
        <w:rPr>
          <w:sz w:val="20"/>
          <w:lang w:val="fr-CA"/>
        </w:rPr>
        <w:lastRenderedPageBreak/>
        <w:tab/>
        <w:t>Procureurs de l’intervenante Egale Canada Inc. : Sack Goldblatt Mitchell, Toronto.</w:t>
      </w:r>
    </w:p>
    <w:p w:rsidR="00DB11F4" w:rsidRPr="00DB11F4" w:rsidRDefault="00DB11F4" w:rsidP="00DB11F4">
      <w:pPr>
        <w:pStyle w:val="SCCLawFirm"/>
        <w:spacing w:line="240" w:lineRule="auto"/>
        <w:rPr>
          <w:sz w:val="20"/>
          <w:lang w:val="fr-CA"/>
        </w:rPr>
      </w:pPr>
    </w:p>
    <w:p w:rsidR="00DB11F4" w:rsidRPr="00DB11F4" w:rsidRDefault="00DB11F4" w:rsidP="00DB11F4">
      <w:pPr>
        <w:pStyle w:val="SCCLawFirm"/>
        <w:spacing w:line="240" w:lineRule="auto"/>
        <w:rPr>
          <w:sz w:val="20"/>
          <w:lang w:val="fr-CA"/>
        </w:rPr>
      </w:pPr>
      <w:r w:rsidRPr="00DB11F4">
        <w:rPr>
          <w:sz w:val="20"/>
          <w:lang w:val="fr-CA"/>
        </w:rPr>
        <w:tab/>
        <w:t>Procureur de l’intervenante la Commission ontarienne des droits de la personne : Commission ontarienne des droits de la personne, Toronto.</w:t>
      </w:r>
    </w:p>
    <w:p w:rsidR="00DB11F4" w:rsidRPr="00DB11F4" w:rsidRDefault="00DB11F4" w:rsidP="00DB11F4">
      <w:pPr>
        <w:pStyle w:val="SCCLawFirm"/>
        <w:spacing w:line="240" w:lineRule="auto"/>
        <w:rPr>
          <w:sz w:val="20"/>
          <w:lang w:val="fr-CA"/>
        </w:rPr>
      </w:pPr>
    </w:p>
    <w:p w:rsidR="00DB11F4" w:rsidRPr="00DB11F4" w:rsidRDefault="00DB11F4" w:rsidP="00DB11F4">
      <w:pPr>
        <w:pStyle w:val="SCCLawFirm"/>
        <w:spacing w:line="240" w:lineRule="auto"/>
        <w:rPr>
          <w:sz w:val="20"/>
          <w:lang w:val="fr-CA"/>
        </w:rPr>
      </w:pPr>
      <w:r w:rsidRPr="00DB11F4">
        <w:rPr>
          <w:sz w:val="20"/>
          <w:lang w:val="fr-CA"/>
        </w:rPr>
        <w:tab/>
        <w:t>Procureurs de l’intervenant le Congrès juif canadien : Lerners, Toronto.</w:t>
      </w:r>
    </w:p>
    <w:p w:rsidR="00DB11F4" w:rsidRPr="00DB11F4" w:rsidRDefault="00DB11F4" w:rsidP="00DB11F4">
      <w:pPr>
        <w:pStyle w:val="SCCLawFirm"/>
        <w:spacing w:line="240" w:lineRule="auto"/>
        <w:rPr>
          <w:sz w:val="20"/>
          <w:lang w:val="fr-CA"/>
        </w:rPr>
      </w:pPr>
    </w:p>
    <w:p w:rsidR="00DB11F4" w:rsidRPr="00DB11F4" w:rsidRDefault="00DB11F4" w:rsidP="00DB11F4">
      <w:pPr>
        <w:pStyle w:val="SCCLawFirm"/>
        <w:spacing w:line="240" w:lineRule="auto"/>
        <w:rPr>
          <w:sz w:val="20"/>
          <w:lang w:val="fr-CA"/>
        </w:rPr>
      </w:pPr>
      <w:r w:rsidRPr="00DB11F4">
        <w:rPr>
          <w:sz w:val="20"/>
          <w:lang w:val="fr-CA"/>
        </w:rPr>
        <w:tab/>
        <w:t>Procureurs des intervenants Unitarian Congregation of Saskatoon et Conseil unitarien du Canada : Fasken Martineau DuMoulin, Calgary.</w:t>
      </w:r>
    </w:p>
    <w:p w:rsidR="00DB11F4" w:rsidRPr="00DB11F4" w:rsidRDefault="00DB11F4" w:rsidP="00DB11F4">
      <w:pPr>
        <w:pStyle w:val="SCCLawFirm"/>
        <w:spacing w:line="240" w:lineRule="auto"/>
        <w:rPr>
          <w:sz w:val="20"/>
          <w:lang w:val="fr-CA"/>
        </w:rPr>
      </w:pPr>
    </w:p>
    <w:p w:rsidR="00DB11F4" w:rsidRPr="00DB11F4" w:rsidRDefault="00DB11F4" w:rsidP="00DB11F4">
      <w:pPr>
        <w:pStyle w:val="SCCLawFirm"/>
        <w:spacing w:line="240" w:lineRule="auto"/>
        <w:rPr>
          <w:sz w:val="20"/>
          <w:lang w:val="fr-CA"/>
        </w:rPr>
      </w:pPr>
      <w:r w:rsidRPr="00DB11F4">
        <w:rPr>
          <w:sz w:val="20"/>
          <w:lang w:val="fr-CA"/>
        </w:rPr>
        <w:tab/>
        <w:t>Procureur de l’intervenant le Fonds d’action et d’éducation juridiques pour les femmes : Jo</w:t>
      </w:r>
      <w:r w:rsidRPr="00DB11F4">
        <w:rPr>
          <w:sz w:val="20"/>
          <w:lang w:val="fr-CA"/>
        </w:rPr>
        <w:noBreakHyphen/>
        <w:t>Ann R. Kolmes, Edmonton; Université de Calgary, Calgary.</w:t>
      </w:r>
    </w:p>
    <w:p w:rsidR="00DB11F4" w:rsidRPr="00DB11F4" w:rsidRDefault="00DB11F4" w:rsidP="00DB11F4">
      <w:pPr>
        <w:pStyle w:val="SCCLawFirm"/>
        <w:spacing w:line="240" w:lineRule="auto"/>
        <w:rPr>
          <w:sz w:val="20"/>
          <w:lang w:val="fr-CA"/>
        </w:rPr>
      </w:pPr>
    </w:p>
    <w:p w:rsidR="00DB11F4" w:rsidRPr="00DB11F4" w:rsidRDefault="00DB11F4" w:rsidP="00DB11F4">
      <w:pPr>
        <w:pStyle w:val="SCCLawFirm"/>
        <w:spacing w:line="240" w:lineRule="auto"/>
        <w:rPr>
          <w:sz w:val="20"/>
          <w:lang w:val="fr-CA"/>
        </w:rPr>
      </w:pPr>
      <w:r w:rsidRPr="00DB11F4">
        <w:rPr>
          <w:sz w:val="20"/>
          <w:lang w:val="fr-CA"/>
        </w:rPr>
        <w:tab/>
        <w:t>Procureur de l’intervenant les Journalistes canadiens pour la liberté d’expression : Stockwoods, Toronto.</w:t>
      </w:r>
    </w:p>
    <w:p w:rsidR="00DB11F4" w:rsidRPr="00DB11F4" w:rsidRDefault="00DB11F4" w:rsidP="00DB11F4">
      <w:pPr>
        <w:pStyle w:val="SCCLawFirm"/>
        <w:spacing w:line="240" w:lineRule="auto"/>
        <w:rPr>
          <w:sz w:val="20"/>
          <w:lang w:val="fr-CA"/>
        </w:rPr>
      </w:pPr>
    </w:p>
    <w:p w:rsidR="00DB11F4" w:rsidRPr="00DB11F4" w:rsidRDefault="00DB11F4" w:rsidP="00DB11F4">
      <w:pPr>
        <w:pStyle w:val="SCCLawFirm"/>
        <w:spacing w:line="240" w:lineRule="auto"/>
        <w:rPr>
          <w:sz w:val="20"/>
          <w:lang w:val="fr-CA"/>
        </w:rPr>
      </w:pPr>
      <w:r w:rsidRPr="00DB11F4">
        <w:rPr>
          <w:sz w:val="20"/>
          <w:lang w:val="fr-CA"/>
        </w:rPr>
        <w:tab/>
        <w:t>Procureurs de l’intervenante l’Association du Barreau canadien : David Matas, Winnipeg.</w:t>
      </w:r>
    </w:p>
    <w:p w:rsidR="00DB11F4" w:rsidRPr="00DB11F4" w:rsidRDefault="00DB11F4" w:rsidP="00DB11F4">
      <w:pPr>
        <w:pStyle w:val="SCCLawFirm"/>
        <w:spacing w:line="240" w:lineRule="auto"/>
        <w:rPr>
          <w:sz w:val="20"/>
          <w:lang w:val="fr-CA"/>
        </w:rPr>
      </w:pPr>
    </w:p>
    <w:p w:rsidR="00DB11F4" w:rsidRPr="00DB11F4" w:rsidRDefault="00DB11F4" w:rsidP="00DB11F4">
      <w:pPr>
        <w:pStyle w:val="SCCLawFirm"/>
        <w:spacing w:line="240" w:lineRule="auto"/>
        <w:rPr>
          <w:sz w:val="20"/>
          <w:lang w:val="fr-CA"/>
        </w:rPr>
      </w:pPr>
      <w:r w:rsidRPr="00DB11F4">
        <w:rPr>
          <w:sz w:val="20"/>
          <w:lang w:val="fr-CA"/>
        </w:rPr>
        <w:tab/>
        <w:t>Procureurs des intervenantes la Commission des droits de la personne des Territoires du Nord</w:t>
      </w:r>
      <w:r w:rsidRPr="00DB11F4">
        <w:rPr>
          <w:sz w:val="20"/>
          <w:lang w:val="fr-CA"/>
        </w:rPr>
        <w:noBreakHyphen/>
        <w:t>Ouest et la Commission des droits de la personne du Yukon : MacPherson Leslie &amp; Tyerman, Saskatoon.</w:t>
      </w:r>
    </w:p>
    <w:p w:rsidR="00DB11F4" w:rsidRPr="00DB11F4" w:rsidRDefault="00DB11F4" w:rsidP="00DB11F4">
      <w:pPr>
        <w:pStyle w:val="SCCLawFirm"/>
        <w:spacing w:line="240" w:lineRule="auto"/>
        <w:rPr>
          <w:sz w:val="20"/>
          <w:lang w:val="fr-CA"/>
        </w:rPr>
      </w:pPr>
    </w:p>
    <w:p w:rsidR="00DB11F4" w:rsidRPr="00DB11F4" w:rsidRDefault="00DB11F4" w:rsidP="00DB11F4">
      <w:pPr>
        <w:pStyle w:val="SCCLawFirm"/>
        <w:spacing w:line="240" w:lineRule="auto"/>
        <w:rPr>
          <w:sz w:val="20"/>
          <w:lang w:val="fr-CA"/>
        </w:rPr>
      </w:pPr>
      <w:r w:rsidRPr="00DB11F4">
        <w:rPr>
          <w:sz w:val="20"/>
          <w:lang w:val="fr-CA"/>
        </w:rPr>
        <w:tab/>
        <w:t>Procureurs de l’intervenante l’Alliance des chrétiens en droit : Bennett Jones, Toronto.</w:t>
      </w:r>
    </w:p>
    <w:p w:rsidR="00DB11F4" w:rsidRPr="00DB11F4" w:rsidRDefault="00DB11F4" w:rsidP="00DB11F4">
      <w:pPr>
        <w:pStyle w:val="SCCLawFirm"/>
        <w:spacing w:line="240" w:lineRule="auto"/>
        <w:rPr>
          <w:sz w:val="20"/>
          <w:lang w:val="fr-CA"/>
        </w:rPr>
      </w:pPr>
    </w:p>
    <w:p w:rsidR="00DB11F4" w:rsidRPr="00DB11F4" w:rsidRDefault="00DB11F4" w:rsidP="00DB11F4">
      <w:pPr>
        <w:pStyle w:val="SCCLawFirm"/>
        <w:spacing w:line="240" w:lineRule="auto"/>
        <w:rPr>
          <w:sz w:val="20"/>
          <w:lang w:val="fr-CA"/>
        </w:rPr>
      </w:pPr>
      <w:r w:rsidRPr="00DB11F4">
        <w:rPr>
          <w:sz w:val="20"/>
          <w:lang w:val="fr-CA"/>
        </w:rPr>
        <w:tab/>
        <w:t>Procureurs de l’intervenante la Ligue des droits de la personne de B’nai Brith Canada : Dale, Streiman &amp; Kurz, Brampton.</w:t>
      </w:r>
    </w:p>
    <w:p w:rsidR="00DB11F4" w:rsidRPr="00DB11F4" w:rsidRDefault="00DB11F4" w:rsidP="00DB11F4">
      <w:pPr>
        <w:pStyle w:val="SCCLawFirm"/>
        <w:spacing w:line="240" w:lineRule="auto"/>
        <w:rPr>
          <w:sz w:val="20"/>
          <w:lang w:val="fr-CA"/>
        </w:rPr>
      </w:pPr>
    </w:p>
    <w:p w:rsidR="00DB11F4" w:rsidRPr="00DB11F4" w:rsidRDefault="00DB11F4" w:rsidP="00DB11F4">
      <w:pPr>
        <w:pStyle w:val="SCCLawFirm"/>
        <w:spacing w:line="240" w:lineRule="auto"/>
        <w:rPr>
          <w:sz w:val="20"/>
          <w:lang w:val="fr-CA"/>
        </w:rPr>
      </w:pPr>
      <w:r w:rsidRPr="00DB11F4">
        <w:rPr>
          <w:sz w:val="20"/>
          <w:lang w:val="fr-CA"/>
        </w:rPr>
        <w:tab/>
        <w:t>Procureur de l’intervenante l’Alliance évangélique du Canada : Alliance évangélique du Canada, Ottawa.</w:t>
      </w:r>
    </w:p>
    <w:p w:rsidR="00DB11F4" w:rsidRPr="00DB11F4" w:rsidRDefault="00DB11F4" w:rsidP="00DB11F4">
      <w:pPr>
        <w:pStyle w:val="SCCLawFirm"/>
        <w:spacing w:line="240" w:lineRule="auto"/>
        <w:rPr>
          <w:sz w:val="20"/>
          <w:lang w:val="fr-CA"/>
        </w:rPr>
      </w:pPr>
    </w:p>
    <w:p w:rsidR="00DB11F4" w:rsidRPr="00DB11F4" w:rsidRDefault="00DB11F4" w:rsidP="00DB11F4">
      <w:pPr>
        <w:pStyle w:val="SCCLawFirm"/>
        <w:spacing w:line="240" w:lineRule="auto"/>
        <w:rPr>
          <w:sz w:val="20"/>
          <w:lang w:val="fr-CA"/>
        </w:rPr>
      </w:pPr>
      <w:r w:rsidRPr="00DB11F4">
        <w:rPr>
          <w:sz w:val="20"/>
          <w:lang w:val="fr-CA"/>
        </w:rPr>
        <w:tab/>
        <w:t>Procureurs de l’intervenante l’Église Unie du Canada : Symes &amp; Street, Toronto.</w:t>
      </w:r>
    </w:p>
    <w:p w:rsidR="00DB11F4" w:rsidRPr="00DB11F4" w:rsidRDefault="00DB11F4" w:rsidP="00DB11F4">
      <w:pPr>
        <w:pStyle w:val="SCCLawFirm"/>
        <w:spacing w:line="240" w:lineRule="auto"/>
        <w:rPr>
          <w:sz w:val="20"/>
          <w:lang w:val="fr-CA"/>
        </w:rPr>
      </w:pPr>
    </w:p>
    <w:p w:rsidR="00DB11F4" w:rsidRPr="00DB11F4" w:rsidRDefault="00DB11F4" w:rsidP="00DB11F4">
      <w:pPr>
        <w:pStyle w:val="SCCLawFirm"/>
        <w:spacing w:line="240" w:lineRule="auto"/>
        <w:rPr>
          <w:sz w:val="20"/>
          <w:lang w:val="fr-CA"/>
        </w:rPr>
      </w:pPr>
      <w:r w:rsidRPr="00DB11F4">
        <w:rPr>
          <w:sz w:val="20"/>
          <w:lang w:val="fr-CA"/>
        </w:rPr>
        <w:tab/>
        <w:t>Procureurs des intervenants l’Assemblée des Premières Nations, Federation of Saskatchewan Indian Nations et Métis Nation</w:t>
      </w:r>
      <w:r w:rsidRPr="00DB11F4">
        <w:rPr>
          <w:sz w:val="20"/>
          <w:lang w:val="fr-CA"/>
        </w:rPr>
        <w:noBreakHyphen/>
        <w:t>Saskatchewan : McKercher, Saskatoon.</w:t>
      </w:r>
    </w:p>
    <w:p w:rsidR="00DB11F4" w:rsidRPr="00DB11F4" w:rsidRDefault="00DB11F4" w:rsidP="00DB11F4">
      <w:pPr>
        <w:pStyle w:val="SCCLawFirm"/>
        <w:spacing w:line="240" w:lineRule="auto"/>
        <w:rPr>
          <w:sz w:val="20"/>
          <w:lang w:val="fr-CA"/>
        </w:rPr>
      </w:pPr>
    </w:p>
    <w:p w:rsidR="00DB11F4" w:rsidRPr="00DB11F4" w:rsidRDefault="00DB11F4" w:rsidP="00DB11F4">
      <w:pPr>
        <w:pStyle w:val="SCCLawFirm"/>
        <w:spacing w:line="240" w:lineRule="auto"/>
        <w:rPr>
          <w:sz w:val="20"/>
          <w:lang w:val="fr-CA"/>
        </w:rPr>
      </w:pPr>
      <w:r w:rsidRPr="00DB11F4">
        <w:rPr>
          <w:sz w:val="20"/>
          <w:lang w:val="fr-CA"/>
        </w:rPr>
        <w:tab/>
        <w:t>Procureurs de l’intervenante la Ligue catholique des droits de l’homme et Faith and Freedom Alliance : Bull, Housser &amp; Tupper, Vancouver.</w:t>
      </w:r>
    </w:p>
    <w:p w:rsidR="00DB11F4" w:rsidRPr="00DB11F4" w:rsidRDefault="00DB11F4" w:rsidP="00DB11F4">
      <w:pPr>
        <w:pStyle w:val="SCCLawFirm"/>
        <w:spacing w:line="240" w:lineRule="auto"/>
        <w:rPr>
          <w:sz w:val="20"/>
          <w:lang w:val="fr-CA"/>
        </w:rPr>
      </w:pPr>
    </w:p>
    <w:p w:rsidR="00DB11F4" w:rsidRDefault="00DB11F4" w:rsidP="00DB11F4">
      <w:pPr>
        <w:pStyle w:val="SCCLawFirm"/>
        <w:spacing w:line="240" w:lineRule="auto"/>
        <w:rPr>
          <w:sz w:val="20"/>
          <w:lang w:val="en-US"/>
        </w:rPr>
      </w:pPr>
      <w:r w:rsidRPr="00DB11F4">
        <w:rPr>
          <w:sz w:val="20"/>
          <w:lang w:val="fr-CA"/>
        </w:rPr>
        <w:tab/>
      </w:r>
      <w:r w:rsidRPr="002847F7">
        <w:rPr>
          <w:sz w:val="20"/>
          <w:lang w:val="en-US"/>
        </w:rPr>
        <w:t>Procureurs de l’intervenante African Canadian Legal Clinic : African Canadian Legal Clinic, Toronto; University of Toronto, Toronto.</w:t>
      </w:r>
    </w:p>
    <w:p w:rsidR="00DB11F4" w:rsidRPr="00DB11F4" w:rsidRDefault="00DB11F4" w:rsidP="005C6840">
      <w:pPr>
        <w:jc w:val="both"/>
        <w:rPr>
          <w:rFonts w:cs="Times New Roman"/>
          <w:sz w:val="20"/>
          <w:szCs w:val="20"/>
          <w:lang w:val="en-US"/>
        </w:rPr>
      </w:pPr>
    </w:p>
    <w:p w:rsidR="005C6840" w:rsidRDefault="00CB0178" w:rsidP="005C6840">
      <w:pPr>
        <w:rPr>
          <w:lang w:val="fr-CA"/>
        </w:rPr>
      </w:pPr>
      <w:r w:rsidRPr="00CB0178">
        <w:rPr>
          <w:rFonts w:cs="Times New Roman"/>
          <w:sz w:val="20"/>
          <w:szCs w:val="20"/>
          <w:lang w:val="fr-CA"/>
        </w:rPr>
        <w:pict>
          <v:rect id="_x0000_i1073" style="width:144.3pt;height:1pt" o:hrpct="300" o:hralign="center" o:hrstd="t" o:hrnoshade="t" o:hr="t" fillcolor="black [3213]" stroked="f"/>
        </w:pict>
      </w:r>
      <w:r w:rsidR="005C6840">
        <w:rPr>
          <w:lang w:val="fr-CA"/>
        </w:rPr>
        <w:br w:type="page"/>
      </w:r>
    </w:p>
    <w:p w:rsidR="006E16A0" w:rsidRPr="006E16A0" w:rsidRDefault="006E16A0" w:rsidP="006E16A0">
      <w:pPr>
        <w:jc w:val="both"/>
        <w:rPr>
          <w:rFonts w:eastAsia="Calibri" w:cs="Times New Roman"/>
          <w:sz w:val="20"/>
          <w:szCs w:val="20"/>
        </w:rPr>
      </w:pPr>
      <w:r w:rsidRPr="00830B85">
        <w:rPr>
          <w:rFonts w:eastAsia="Calibri" w:cs="Times New Roman"/>
          <w:i/>
          <w:sz w:val="20"/>
          <w:szCs w:val="20"/>
        </w:rPr>
        <w:lastRenderedPageBreak/>
        <w:t>J.F. v. Her Majesty the Queen</w:t>
      </w:r>
      <w:r w:rsidRPr="00830B85">
        <w:rPr>
          <w:rFonts w:eastAsia="Calibri" w:cs="Times New Roman"/>
          <w:sz w:val="20"/>
          <w:szCs w:val="20"/>
        </w:rPr>
        <w:t xml:space="preserve">  (Ont.) </w:t>
      </w:r>
      <w:r w:rsidRPr="006E16A0">
        <w:rPr>
          <w:rFonts w:eastAsia="Calibri" w:cs="Times New Roman"/>
          <w:sz w:val="20"/>
          <w:szCs w:val="20"/>
        </w:rPr>
        <w:t>(34284)</w:t>
      </w:r>
    </w:p>
    <w:p w:rsidR="006902EF" w:rsidRPr="006902EF" w:rsidRDefault="006902EF" w:rsidP="006902EF">
      <w:pPr>
        <w:jc w:val="both"/>
        <w:rPr>
          <w:b/>
          <w:sz w:val="20"/>
          <w:szCs w:val="20"/>
        </w:rPr>
      </w:pPr>
      <w:r w:rsidRPr="00D90CA9">
        <w:rPr>
          <w:b/>
          <w:sz w:val="20"/>
          <w:szCs w:val="20"/>
        </w:rPr>
        <w:t xml:space="preserve">Indexed as:  R. </w:t>
      </w:r>
      <w:r w:rsidRPr="00D90CA9">
        <w:rPr>
          <w:b/>
          <w:i/>
          <w:sz w:val="20"/>
          <w:szCs w:val="20"/>
        </w:rPr>
        <w:t>v.</w:t>
      </w:r>
      <w:r w:rsidRPr="00D90CA9">
        <w:rPr>
          <w:b/>
          <w:sz w:val="20"/>
          <w:szCs w:val="20"/>
        </w:rPr>
        <w:t xml:space="preserve"> J.F.</w:t>
      </w:r>
      <w:r>
        <w:rPr>
          <w:b/>
          <w:sz w:val="20"/>
          <w:szCs w:val="20"/>
        </w:rPr>
        <w:t xml:space="preserve"> / </w:t>
      </w:r>
      <w:r w:rsidRPr="006902EF">
        <w:rPr>
          <w:b/>
          <w:sz w:val="20"/>
          <w:szCs w:val="20"/>
        </w:rPr>
        <w:t xml:space="preserve">Répertorié : R. </w:t>
      </w:r>
      <w:r w:rsidRPr="006902EF">
        <w:rPr>
          <w:b/>
          <w:i/>
          <w:sz w:val="20"/>
          <w:szCs w:val="20"/>
        </w:rPr>
        <w:t>c.</w:t>
      </w:r>
      <w:r w:rsidRPr="006902EF">
        <w:rPr>
          <w:b/>
          <w:sz w:val="20"/>
          <w:szCs w:val="20"/>
        </w:rPr>
        <w:t xml:space="preserve"> J.F.</w:t>
      </w:r>
    </w:p>
    <w:p w:rsidR="005C6840" w:rsidRPr="006902EF" w:rsidRDefault="005C6840" w:rsidP="005C6840">
      <w:pPr>
        <w:pStyle w:val="SCCSystemYear"/>
        <w:jc w:val="both"/>
        <w:rPr>
          <w:sz w:val="20"/>
        </w:rPr>
      </w:pPr>
      <w:r w:rsidRPr="006902EF">
        <w:rPr>
          <w:sz w:val="20"/>
        </w:rPr>
        <w:t>Neutral citation:  201</w:t>
      </w:r>
      <w:r w:rsidR="00F761A3" w:rsidRPr="006902EF">
        <w:rPr>
          <w:sz w:val="20"/>
        </w:rPr>
        <w:t>3</w:t>
      </w:r>
      <w:r w:rsidRPr="006902EF">
        <w:rPr>
          <w:sz w:val="20"/>
        </w:rPr>
        <w:t xml:space="preserve"> SCC </w:t>
      </w:r>
      <w:r w:rsidR="006E16A0" w:rsidRPr="006902EF">
        <w:rPr>
          <w:sz w:val="20"/>
        </w:rPr>
        <w:t>1</w:t>
      </w:r>
      <w:r w:rsidR="007F387B" w:rsidRPr="006902EF">
        <w:rPr>
          <w:sz w:val="20"/>
        </w:rPr>
        <w:t>2</w:t>
      </w:r>
      <w:r w:rsidRPr="006902EF">
        <w:rPr>
          <w:sz w:val="20"/>
        </w:rPr>
        <w:t xml:space="preserve"> / Référence neutre : 201</w:t>
      </w:r>
      <w:r w:rsidR="00F761A3" w:rsidRPr="006902EF">
        <w:rPr>
          <w:sz w:val="20"/>
        </w:rPr>
        <w:t>3</w:t>
      </w:r>
      <w:r w:rsidRPr="006902EF">
        <w:rPr>
          <w:sz w:val="20"/>
        </w:rPr>
        <w:t xml:space="preserve"> CSC </w:t>
      </w:r>
      <w:r w:rsidR="006E16A0" w:rsidRPr="006902EF">
        <w:rPr>
          <w:sz w:val="20"/>
        </w:rPr>
        <w:t>1</w:t>
      </w:r>
      <w:r w:rsidR="007F387B" w:rsidRPr="006902EF">
        <w:rPr>
          <w:sz w:val="20"/>
        </w:rPr>
        <w:t>2</w:t>
      </w:r>
    </w:p>
    <w:p w:rsidR="005C6840" w:rsidRPr="006902EF" w:rsidRDefault="005C6840" w:rsidP="005C6840">
      <w:pPr>
        <w:rPr>
          <w:sz w:val="20"/>
          <w:szCs w:val="20"/>
          <w:lang w:val="fr-CA"/>
        </w:rPr>
      </w:pPr>
      <w:r w:rsidRPr="006902EF">
        <w:rPr>
          <w:sz w:val="20"/>
          <w:szCs w:val="20"/>
          <w:lang w:val="fr-CA"/>
        </w:rPr>
        <w:t xml:space="preserve">Hearing:  </w:t>
      </w:r>
      <w:r w:rsidR="006902EF" w:rsidRPr="006902EF">
        <w:rPr>
          <w:sz w:val="20"/>
          <w:szCs w:val="20"/>
          <w:lang w:val="fr-CA"/>
        </w:rPr>
        <w:t xml:space="preserve">October </w:t>
      </w:r>
      <w:r w:rsidRPr="006902EF">
        <w:rPr>
          <w:sz w:val="20"/>
          <w:szCs w:val="20"/>
          <w:lang w:val="fr-CA"/>
        </w:rPr>
        <w:t>1</w:t>
      </w:r>
      <w:r w:rsidR="006902EF" w:rsidRPr="006902EF">
        <w:rPr>
          <w:sz w:val="20"/>
          <w:szCs w:val="20"/>
          <w:lang w:val="fr-CA"/>
        </w:rPr>
        <w:t>2</w:t>
      </w:r>
      <w:r w:rsidRPr="006902EF">
        <w:rPr>
          <w:sz w:val="20"/>
          <w:szCs w:val="20"/>
          <w:lang w:val="fr-CA"/>
        </w:rPr>
        <w:t>, 201</w:t>
      </w:r>
      <w:r w:rsidR="006902EF" w:rsidRPr="006902EF">
        <w:rPr>
          <w:sz w:val="20"/>
          <w:szCs w:val="20"/>
          <w:lang w:val="fr-CA"/>
        </w:rPr>
        <w:t>2</w:t>
      </w:r>
      <w:r w:rsidRPr="006902EF">
        <w:rPr>
          <w:sz w:val="20"/>
          <w:szCs w:val="20"/>
          <w:lang w:val="fr-CA"/>
        </w:rPr>
        <w:t xml:space="preserve"> / Judgment:  </w:t>
      </w:r>
      <w:r w:rsidR="0098059B" w:rsidRPr="006902EF">
        <w:rPr>
          <w:sz w:val="20"/>
          <w:szCs w:val="20"/>
          <w:lang w:val="fr-CA"/>
        </w:rPr>
        <w:t>March 1</w:t>
      </w:r>
      <w:r w:rsidRPr="006902EF">
        <w:rPr>
          <w:sz w:val="20"/>
          <w:szCs w:val="20"/>
          <w:lang w:val="fr-CA"/>
        </w:rPr>
        <w:t>, 201</w:t>
      </w:r>
      <w:r w:rsidR="0098059B" w:rsidRPr="006902EF">
        <w:rPr>
          <w:sz w:val="20"/>
          <w:szCs w:val="20"/>
          <w:lang w:val="fr-CA"/>
        </w:rPr>
        <w:t>3</w:t>
      </w:r>
    </w:p>
    <w:p w:rsidR="005C6840" w:rsidRPr="003B3977" w:rsidRDefault="005C6840" w:rsidP="005C6840">
      <w:pPr>
        <w:rPr>
          <w:sz w:val="20"/>
          <w:szCs w:val="20"/>
          <w:lang w:val="fr-CA"/>
        </w:rPr>
      </w:pPr>
      <w:r w:rsidRPr="003B3977">
        <w:rPr>
          <w:sz w:val="20"/>
          <w:szCs w:val="20"/>
          <w:lang w:val="fr-CA"/>
        </w:rPr>
        <w:t>Audition : Le 1</w:t>
      </w:r>
      <w:r w:rsidR="006902EF">
        <w:rPr>
          <w:sz w:val="20"/>
          <w:szCs w:val="20"/>
          <w:lang w:val="fr-CA"/>
        </w:rPr>
        <w:t>2 octobre</w:t>
      </w:r>
      <w:r w:rsidRPr="003B3977">
        <w:rPr>
          <w:sz w:val="20"/>
          <w:szCs w:val="20"/>
          <w:lang w:val="fr-CA"/>
        </w:rPr>
        <w:t xml:space="preserve"> 201</w:t>
      </w:r>
      <w:r w:rsidR="006902EF">
        <w:rPr>
          <w:sz w:val="20"/>
          <w:szCs w:val="20"/>
          <w:lang w:val="fr-CA"/>
        </w:rPr>
        <w:t>2</w:t>
      </w:r>
      <w:r w:rsidRPr="003B3977">
        <w:rPr>
          <w:sz w:val="20"/>
          <w:szCs w:val="20"/>
          <w:lang w:val="fr-CA"/>
        </w:rPr>
        <w:t xml:space="preserve"> / Jugement : Le </w:t>
      </w:r>
      <w:r w:rsidR="0098059B">
        <w:rPr>
          <w:sz w:val="20"/>
          <w:szCs w:val="20"/>
          <w:lang w:val="fr-CA"/>
        </w:rPr>
        <w:t>1</w:t>
      </w:r>
      <w:r w:rsidR="0098059B" w:rsidRPr="0098059B">
        <w:rPr>
          <w:sz w:val="20"/>
          <w:szCs w:val="20"/>
          <w:vertAlign w:val="superscript"/>
          <w:lang w:val="fr-CA"/>
        </w:rPr>
        <w:t>er</w:t>
      </w:r>
      <w:r w:rsidR="0098059B">
        <w:rPr>
          <w:sz w:val="20"/>
          <w:szCs w:val="20"/>
          <w:lang w:val="fr-CA"/>
        </w:rPr>
        <w:t xml:space="preserve"> mars </w:t>
      </w:r>
      <w:r w:rsidRPr="003B3977">
        <w:rPr>
          <w:sz w:val="20"/>
          <w:szCs w:val="20"/>
          <w:lang w:val="fr-CA"/>
        </w:rPr>
        <w:t>201</w:t>
      </w:r>
      <w:r w:rsidR="0098059B">
        <w:rPr>
          <w:sz w:val="20"/>
          <w:szCs w:val="20"/>
          <w:lang w:val="fr-CA"/>
        </w:rPr>
        <w:t>3</w:t>
      </w:r>
    </w:p>
    <w:p w:rsidR="005C6840" w:rsidRPr="003B3977" w:rsidRDefault="00CB0178" w:rsidP="005C6840">
      <w:pPr>
        <w:rPr>
          <w:sz w:val="20"/>
          <w:szCs w:val="20"/>
          <w:lang w:val="fr-CA"/>
        </w:rPr>
      </w:pPr>
      <w:r w:rsidRPr="00CB0178">
        <w:rPr>
          <w:i/>
          <w:sz w:val="20"/>
          <w:szCs w:val="20"/>
        </w:rPr>
        <w:pict>
          <v:rect id="_x0000_i1074"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6902EF" w:rsidRPr="00D90CA9" w:rsidRDefault="006902EF" w:rsidP="006902EF">
      <w:pPr>
        <w:jc w:val="both"/>
        <w:rPr>
          <w:sz w:val="20"/>
          <w:szCs w:val="20"/>
        </w:rPr>
      </w:pPr>
      <w:r w:rsidRPr="00D90CA9">
        <w:rPr>
          <w:sz w:val="20"/>
          <w:szCs w:val="20"/>
        </w:rPr>
        <w:t>Present:  McLachlin C.J. and LeBel, Fish, Rothstein, Cromwell, Moldaver and Karakatsanis JJ.</w:t>
      </w:r>
    </w:p>
    <w:p w:rsidR="006902EF" w:rsidRPr="00D90CA9" w:rsidRDefault="006902EF" w:rsidP="006902EF">
      <w:pPr>
        <w:pStyle w:val="SCCNormalDoubleSpacing"/>
        <w:spacing w:line="240" w:lineRule="auto"/>
      </w:pPr>
    </w:p>
    <w:p w:rsidR="006902EF" w:rsidRDefault="006902EF" w:rsidP="006902EF">
      <w:pPr>
        <w:pStyle w:val="SCCNormalDoubleSpacing"/>
        <w:widowControl w:val="0"/>
        <w:spacing w:line="240" w:lineRule="auto"/>
        <w:rPr>
          <w:i/>
          <w:sz w:val="20"/>
        </w:rPr>
      </w:pPr>
      <w:r w:rsidRPr="00D90CA9">
        <w:rPr>
          <w:sz w:val="20"/>
        </w:rPr>
        <w:tab/>
      </w:r>
      <w:r w:rsidRPr="00D90CA9">
        <w:rPr>
          <w:i/>
          <w:sz w:val="20"/>
        </w:rPr>
        <w:t xml:space="preserve">Criminal Law — Offences — Conspiracy — Parties to offences — Whether a person can be a party to the offence of conspiracy — Whether party liability attaches to someone who knows of conspiracy and does something for the purpose of furthering unlawful object — Whether trial judge erred in instructions to jury pertaining to conspiracy — Whether curative proviso should be applied to uphold conviction </w:t>
      </w:r>
      <w:r w:rsidRPr="00D90CA9">
        <w:rPr>
          <w:i/>
          <w:iCs/>
          <w:sz w:val="20"/>
        </w:rPr>
        <w:t>— Co</w:t>
      </w:r>
      <w:r w:rsidRPr="00D90CA9">
        <w:rPr>
          <w:i/>
          <w:iCs/>
          <w:sz w:val="20"/>
        </w:rPr>
        <w:noBreakHyphen/>
        <w:t xml:space="preserve">conspirators’ exception to the hearsay rule </w:t>
      </w:r>
      <w:r w:rsidRPr="00D90CA9">
        <w:rPr>
          <w:i/>
          <w:sz w:val="20"/>
        </w:rPr>
        <w:t>— Criminal Code, R.S.C. 1985, c. c</w:t>
      </w:r>
      <w:r w:rsidRPr="00D90CA9">
        <w:rPr>
          <w:i/>
          <w:sz w:val="20"/>
        </w:rPr>
        <w:noBreakHyphen/>
        <w:t>46, ss. 21(1), 465(1), 686(1)(b)(iii)</w:t>
      </w:r>
    </w:p>
    <w:p w:rsidR="006902EF" w:rsidRPr="00D90CA9" w:rsidRDefault="006902EF" w:rsidP="006902EF">
      <w:pPr>
        <w:pStyle w:val="SCCNormalDoubleSpacing"/>
        <w:widowControl w:val="0"/>
        <w:spacing w:line="240" w:lineRule="auto"/>
        <w:rPr>
          <w:i/>
          <w:sz w:val="20"/>
        </w:rPr>
      </w:pPr>
    </w:p>
    <w:p w:rsidR="006902EF" w:rsidRDefault="006902EF" w:rsidP="006902EF">
      <w:pPr>
        <w:pStyle w:val="SCCNormalDoubleSpacing"/>
        <w:widowControl w:val="0"/>
        <w:spacing w:line="240" w:lineRule="auto"/>
        <w:rPr>
          <w:sz w:val="20"/>
        </w:rPr>
      </w:pPr>
      <w:r w:rsidRPr="00D90CA9">
        <w:rPr>
          <w:sz w:val="20"/>
        </w:rPr>
        <w:tab/>
        <w:t xml:space="preserve">J, a youth, learned that his friend T and her sister R were planning to murder their mother by plying her with alcohol and drowning her, a plan which the sisters ultimately executed and were convicted for.  The police found an MSN chat log between J and T in which J provided information to T about death by drowning; suggested that the sisters should give their mother codeine pills in addition to alcohol; and suggested ways to mislead the police.  The Crown also led evidence that J supplied the girls with pills and met T and R after the murder to provide an alibi.  The trial judge instructed the jury that J could be convicted of conspiracy to commit murder under s. 465(1) of the </w:t>
      </w:r>
      <w:r w:rsidRPr="00D90CA9">
        <w:rPr>
          <w:i/>
          <w:sz w:val="20"/>
        </w:rPr>
        <w:t>Criminal Code</w:t>
      </w:r>
      <w:r w:rsidRPr="00D90CA9">
        <w:rPr>
          <w:sz w:val="20"/>
        </w:rPr>
        <w:t xml:space="preserve"> either as a principal, or as a party under ss. 21(1)(</w:t>
      </w:r>
      <w:r w:rsidRPr="00D90CA9">
        <w:rPr>
          <w:i/>
          <w:sz w:val="20"/>
        </w:rPr>
        <w:t>b</w:t>
      </w:r>
      <w:r w:rsidRPr="00D90CA9">
        <w:rPr>
          <w:sz w:val="20"/>
        </w:rPr>
        <w:t>) or (</w:t>
      </w:r>
      <w:r w:rsidRPr="00D90CA9">
        <w:rPr>
          <w:i/>
          <w:sz w:val="20"/>
        </w:rPr>
        <w:t>c</w:t>
      </w:r>
      <w:r w:rsidRPr="00D90CA9">
        <w:rPr>
          <w:sz w:val="20"/>
        </w:rPr>
        <w:t>) of the</w:t>
      </w:r>
      <w:r w:rsidRPr="00D90CA9">
        <w:rPr>
          <w:i/>
          <w:sz w:val="20"/>
        </w:rPr>
        <w:t xml:space="preserve"> Criminal Code.  </w:t>
      </w:r>
      <w:r w:rsidRPr="00D90CA9">
        <w:rPr>
          <w:sz w:val="20"/>
        </w:rPr>
        <w:t>J was convicted of conspiracy to commit murder.  The Court of Appeal dismissed an appeal from the conviction but reduced J’s sentence.</w:t>
      </w:r>
    </w:p>
    <w:p w:rsidR="006902EF" w:rsidRPr="00D90CA9" w:rsidRDefault="006902EF" w:rsidP="006902EF">
      <w:pPr>
        <w:pStyle w:val="SCCNormalDoubleSpacing"/>
        <w:widowControl w:val="0"/>
        <w:spacing w:line="240" w:lineRule="auto"/>
        <w:rPr>
          <w:sz w:val="20"/>
        </w:rPr>
      </w:pPr>
    </w:p>
    <w:p w:rsidR="006902EF" w:rsidRDefault="006902EF" w:rsidP="006902EF">
      <w:pPr>
        <w:pStyle w:val="SCCNormalDoubleSpacing"/>
        <w:spacing w:line="240" w:lineRule="auto"/>
        <w:rPr>
          <w:sz w:val="20"/>
        </w:rPr>
      </w:pPr>
      <w:r w:rsidRPr="00D90CA9">
        <w:rPr>
          <w:i/>
          <w:sz w:val="20"/>
        </w:rPr>
        <w:tab/>
        <w:t>Held:</w:t>
      </w:r>
      <w:r w:rsidRPr="00D90CA9">
        <w:rPr>
          <w:sz w:val="20"/>
        </w:rPr>
        <w:t xml:space="preserve">  The appeal should be dismissed.</w:t>
      </w:r>
    </w:p>
    <w:p w:rsidR="006902EF" w:rsidRPr="00D90CA9" w:rsidRDefault="006902EF" w:rsidP="006902EF">
      <w:pPr>
        <w:pStyle w:val="SCCNormalDoubleSpacing"/>
        <w:spacing w:line="240" w:lineRule="auto"/>
        <w:rPr>
          <w:sz w:val="20"/>
        </w:rPr>
      </w:pPr>
    </w:p>
    <w:p w:rsidR="006902EF" w:rsidRDefault="006902EF" w:rsidP="006902EF">
      <w:pPr>
        <w:pStyle w:val="SCCNormalDoubleSpacing"/>
        <w:widowControl w:val="0"/>
        <w:spacing w:line="240" w:lineRule="auto"/>
        <w:rPr>
          <w:sz w:val="20"/>
        </w:rPr>
      </w:pPr>
      <w:r w:rsidRPr="00D90CA9">
        <w:rPr>
          <w:i/>
          <w:sz w:val="20"/>
        </w:rPr>
        <w:tab/>
        <w:t xml:space="preserve">Per </w:t>
      </w:r>
      <w:r w:rsidRPr="00D90CA9">
        <w:rPr>
          <w:sz w:val="20"/>
        </w:rPr>
        <w:t xml:space="preserve">McLachlin C.J. and LeBel, Fish, Rothstein, Cromwell, </w:t>
      </w:r>
      <w:r w:rsidRPr="00D90CA9">
        <w:rPr>
          <w:b/>
          <w:sz w:val="20"/>
        </w:rPr>
        <w:t xml:space="preserve">Moldaver </w:t>
      </w:r>
      <w:r w:rsidRPr="00D90CA9">
        <w:rPr>
          <w:sz w:val="20"/>
        </w:rPr>
        <w:t>and Karakatsanis JJ.:  Party liability to conspiracy is an offence known to Canadian law.  Unlike attempted conspiracy, it does not involve stacking one form of inchoate liability upon another, and does not suffer from remoteness.</w:t>
      </w:r>
    </w:p>
    <w:p w:rsidR="006902EF" w:rsidRPr="00D90CA9" w:rsidRDefault="006902EF" w:rsidP="006902EF">
      <w:pPr>
        <w:pStyle w:val="SCCNormalDoubleSpacing"/>
        <w:widowControl w:val="0"/>
        <w:spacing w:line="240" w:lineRule="auto"/>
        <w:rPr>
          <w:sz w:val="20"/>
        </w:rPr>
      </w:pPr>
    </w:p>
    <w:p w:rsidR="006902EF" w:rsidRDefault="006902EF" w:rsidP="006902EF">
      <w:pPr>
        <w:pStyle w:val="SCCNormalDoubleSpacing"/>
        <w:widowControl w:val="0"/>
        <w:spacing w:line="240" w:lineRule="auto"/>
        <w:rPr>
          <w:sz w:val="20"/>
        </w:rPr>
      </w:pPr>
      <w:r w:rsidRPr="00D90CA9">
        <w:rPr>
          <w:sz w:val="20"/>
        </w:rPr>
        <w:tab/>
        <w:t xml:space="preserve">There are two schools of thought in Canada as to how, and under what circumstances, a person can be found liable as a party to the offence of conspiracy.  The narrower approach (the </w:t>
      </w:r>
      <w:r w:rsidRPr="00D90CA9">
        <w:rPr>
          <w:i/>
          <w:sz w:val="20"/>
        </w:rPr>
        <w:t>Trieu</w:t>
      </w:r>
      <w:r w:rsidRPr="00D90CA9">
        <w:rPr>
          <w:sz w:val="20"/>
        </w:rPr>
        <w:t xml:space="preserve"> model) limits such liability to aiding or abetting the formation of the agreement.  The broader approach (the </w:t>
      </w:r>
      <w:r w:rsidRPr="00D90CA9">
        <w:rPr>
          <w:i/>
          <w:sz w:val="20"/>
        </w:rPr>
        <w:t>McNamara</w:t>
      </w:r>
      <w:r w:rsidRPr="00D90CA9">
        <w:rPr>
          <w:sz w:val="20"/>
        </w:rPr>
        <w:t xml:space="preserve"> model) extends such liability to also include aiding or abetting the furtherance of the conspiracy’s unlawful object.  The approach to be followed is </w:t>
      </w:r>
      <w:r w:rsidRPr="00D90CA9">
        <w:rPr>
          <w:i/>
          <w:sz w:val="20"/>
        </w:rPr>
        <w:t xml:space="preserve">Trieu </w:t>
      </w:r>
      <w:r w:rsidRPr="00D90CA9">
        <w:rPr>
          <w:sz w:val="20"/>
        </w:rPr>
        <w:t xml:space="preserve">and not </w:t>
      </w:r>
      <w:r w:rsidRPr="00D90CA9">
        <w:rPr>
          <w:i/>
          <w:sz w:val="20"/>
        </w:rPr>
        <w:t>McNamara</w:t>
      </w:r>
      <w:r w:rsidRPr="00D90CA9">
        <w:rPr>
          <w:sz w:val="20"/>
        </w:rPr>
        <w:t>.  Party liability is limited to cases where the accused aids or abets the initial formation of the agreement, or aids or abets a new member to join a pre</w:t>
      </w:r>
      <w:r w:rsidRPr="00D90CA9">
        <w:rPr>
          <w:sz w:val="20"/>
        </w:rPr>
        <w:noBreakHyphen/>
        <w:t>existing agreement.</w:t>
      </w:r>
    </w:p>
    <w:p w:rsidR="006902EF" w:rsidRPr="00D90CA9" w:rsidRDefault="006902EF" w:rsidP="006902EF">
      <w:pPr>
        <w:pStyle w:val="SCCNormalDoubleSpacing"/>
        <w:widowControl w:val="0"/>
        <w:spacing w:line="240" w:lineRule="auto"/>
        <w:rPr>
          <w:sz w:val="20"/>
        </w:rPr>
      </w:pPr>
    </w:p>
    <w:p w:rsidR="006902EF" w:rsidRDefault="006902EF" w:rsidP="006902EF">
      <w:pPr>
        <w:pStyle w:val="SCCNormalDoubleSpacing"/>
        <w:widowControl w:val="0"/>
        <w:spacing w:line="240" w:lineRule="auto"/>
        <w:rPr>
          <w:sz w:val="20"/>
        </w:rPr>
      </w:pPr>
      <w:r w:rsidRPr="00D90CA9">
        <w:rPr>
          <w:sz w:val="20"/>
        </w:rPr>
        <w:tab/>
        <w:t xml:space="preserve">The </w:t>
      </w:r>
      <w:r w:rsidRPr="00D90CA9">
        <w:rPr>
          <w:i/>
          <w:sz w:val="20"/>
        </w:rPr>
        <w:t xml:space="preserve">Trieu </w:t>
      </w:r>
      <w:r w:rsidRPr="00D90CA9">
        <w:rPr>
          <w:sz w:val="20"/>
        </w:rPr>
        <w:t xml:space="preserve">model is a legitimate basis for party liability to a conspiracy.  A person becomes party to an offence if he aids or abets a principal in the commission of the offence.  It follows that party liability to a conspiracy is made out where the accused aids or abets the </w:t>
      </w:r>
      <w:r w:rsidRPr="00D90CA9">
        <w:rPr>
          <w:i/>
          <w:sz w:val="20"/>
        </w:rPr>
        <w:t xml:space="preserve">actus reus </w:t>
      </w:r>
      <w:r w:rsidRPr="00D90CA9">
        <w:rPr>
          <w:sz w:val="20"/>
        </w:rPr>
        <w:t>of conspiracy, namely the conspirators’ act of agreeing</w:t>
      </w:r>
      <w:r w:rsidRPr="00D90CA9">
        <w:rPr>
          <w:i/>
          <w:sz w:val="20"/>
        </w:rPr>
        <w:t>.</w:t>
      </w:r>
      <w:r w:rsidRPr="00D90CA9">
        <w:rPr>
          <w:sz w:val="20"/>
        </w:rPr>
        <w:t xml:space="preserve">  </w:t>
      </w:r>
    </w:p>
    <w:p w:rsidR="006902EF" w:rsidRPr="00D90CA9" w:rsidRDefault="006902EF" w:rsidP="006902EF">
      <w:pPr>
        <w:pStyle w:val="SCCNormalDoubleSpacing"/>
        <w:widowControl w:val="0"/>
        <w:spacing w:line="240" w:lineRule="auto"/>
        <w:rPr>
          <w:sz w:val="20"/>
        </w:rPr>
      </w:pPr>
    </w:p>
    <w:p w:rsidR="006902EF" w:rsidRDefault="006902EF" w:rsidP="006902EF">
      <w:pPr>
        <w:pStyle w:val="SCCNormalDoubleSpacing"/>
        <w:spacing w:line="240" w:lineRule="auto"/>
        <w:rPr>
          <w:sz w:val="20"/>
        </w:rPr>
      </w:pPr>
      <w:r w:rsidRPr="00D90CA9">
        <w:rPr>
          <w:sz w:val="20"/>
        </w:rPr>
        <w:tab/>
        <w:t xml:space="preserve">The </w:t>
      </w:r>
      <w:r w:rsidRPr="00D90CA9">
        <w:rPr>
          <w:i/>
          <w:sz w:val="20"/>
        </w:rPr>
        <w:t xml:space="preserve">McNamara </w:t>
      </w:r>
      <w:r w:rsidRPr="00D90CA9">
        <w:rPr>
          <w:sz w:val="20"/>
        </w:rPr>
        <w:t>model is not a basis for party liability to conspiracy.  Acts that further the unlawful object of a conspiracy are not an element of the offence of conspiracy.  Aiding or abetting the furtherance of the unlawful object does not establish aiding or abetting the principal with any element of the offence of conspiracy, and thus cannot ground party liability for conspiracy.  However, where a person, with knowledge of a conspiracy, does or omits to do something for the purpose of furthering the unlawful object, with the knowledge and consent of one or more of the existing conspirators, this provides powerful circumstantial evidence from which membership in the conspiracy can be inferred.</w:t>
      </w:r>
    </w:p>
    <w:p w:rsidR="006902EF" w:rsidRPr="00D90CA9" w:rsidRDefault="006902EF" w:rsidP="006902EF">
      <w:pPr>
        <w:pStyle w:val="SCCNormalDoubleSpacing"/>
        <w:spacing w:line="240" w:lineRule="auto"/>
        <w:rPr>
          <w:sz w:val="20"/>
        </w:rPr>
      </w:pPr>
    </w:p>
    <w:p w:rsidR="006902EF" w:rsidRDefault="006902EF" w:rsidP="006902EF">
      <w:pPr>
        <w:pStyle w:val="SCCNormalDoubleSpacing"/>
        <w:widowControl w:val="0"/>
        <w:spacing w:line="240" w:lineRule="auto"/>
        <w:rPr>
          <w:sz w:val="20"/>
        </w:rPr>
      </w:pPr>
      <w:r w:rsidRPr="00D90CA9">
        <w:rPr>
          <w:sz w:val="20"/>
        </w:rPr>
        <w:tab/>
        <w:t xml:space="preserve">While party liability to conspiracy includes aiding or abetting the formation of a new agreement (the </w:t>
      </w:r>
      <w:r w:rsidRPr="00D90CA9">
        <w:rPr>
          <w:i/>
          <w:sz w:val="20"/>
        </w:rPr>
        <w:t xml:space="preserve">Trieu </w:t>
      </w:r>
      <w:r w:rsidRPr="00D90CA9">
        <w:rPr>
          <w:sz w:val="20"/>
        </w:rPr>
        <w:t>model), it also includes aiding or abetting a new member to join a pre</w:t>
      </w:r>
      <w:r w:rsidRPr="00D90CA9">
        <w:rPr>
          <w:sz w:val="20"/>
        </w:rPr>
        <w:noBreakHyphen/>
        <w:t xml:space="preserve">existing agreement.  Such assistance or encouragement facilitates the new member’s commission of the offence of conspiracy — that is, the </w:t>
      </w:r>
      <w:r w:rsidRPr="00D90CA9">
        <w:rPr>
          <w:i/>
          <w:sz w:val="20"/>
        </w:rPr>
        <w:t xml:space="preserve">act </w:t>
      </w:r>
      <w:r w:rsidRPr="00D90CA9">
        <w:rPr>
          <w:sz w:val="20"/>
        </w:rPr>
        <w:t>of agreeing.</w:t>
      </w:r>
    </w:p>
    <w:p w:rsidR="006902EF" w:rsidRPr="00D90CA9" w:rsidRDefault="006902EF" w:rsidP="006902EF">
      <w:pPr>
        <w:pStyle w:val="SCCNormalDoubleSpacing"/>
        <w:widowControl w:val="0"/>
        <w:spacing w:line="240" w:lineRule="auto"/>
        <w:rPr>
          <w:sz w:val="20"/>
        </w:rPr>
      </w:pPr>
    </w:p>
    <w:p w:rsidR="006902EF" w:rsidRDefault="006902EF" w:rsidP="006902EF">
      <w:pPr>
        <w:pStyle w:val="SCCNormalDoubleSpacing"/>
        <w:widowControl w:val="0"/>
        <w:spacing w:line="240" w:lineRule="auto"/>
        <w:rPr>
          <w:sz w:val="20"/>
        </w:rPr>
      </w:pPr>
      <w:r w:rsidRPr="00D90CA9">
        <w:rPr>
          <w:sz w:val="20"/>
        </w:rPr>
        <w:tab/>
        <w:t xml:space="preserve">In light of the conclusion that party liability does not extend to acts done in furtherance of the unlawful object of the conspiracy, party liability should not, in the present case, have been put to the jury.  There is no evidence that J </w:t>
      </w:r>
      <w:r w:rsidRPr="00D90CA9">
        <w:rPr>
          <w:sz w:val="20"/>
        </w:rPr>
        <w:lastRenderedPageBreak/>
        <w:t>aided or abetted the initial formation of the agreement between R and T to murder their mother or aided or encouraged a new member to join the existing conspiracy.  The trial judge’s error, however, could not possibly have affected the verdict.  The curative proviso under s. 686(1)(</w:t>
      </w:r>
      <w:r w:rsidRPr="00D90CA9">
        <w:rPr>
          <w:i/>
          <w:sz w:val="20"/>
        </w:rPr>
        <w:t>b</w:t>
      </w:r>
      <w:r w:rsidRPr="00D90CA9">
        <w:rPr>
          <w:sz w:val="20"/>
        </w:rPr>
        <w:t xml:space="preserve">)(iii) of the </w:t>
      </w:r>
      <w:r w:rsidRPr="00D90CA9">
        <w:rPr>
          <w:i/>
          <w:sz w:val="20"/>
        </w:rPr>
        <w:t xml:space="preserve">Criminal Code </w:t>
      </w:r>
      <w:r w:rsidRPr="00D90CA9">
        <w:rPr>
          <w:sz w:val="20"/>
        </w:rPr>
        <w:t xml:space="preserve">applies.  The evidence implicating J as a member of the conspiracy was overwhelming and, once the jury rejected J’s defence, a finding of guilt under s. 465(1) of the </w:t>
      </w:r>
      <w:r w:rsidRPr="00D90CA9">
        <w:rPr>
          <w:i/>
          <w:sz w:val="20"/>
        </w:rPr>
        <w:t>Criminal Code</w:t>
      </w:r>
      <w:r w:rsidRPr="00D90CA9">
        <w:rPr>
          <w:sz w:val="20"/>
        </w:rPr>
        <w:t xml:space="preserve"> was inevitable.  </w:t>
      </w:r>
    </w:p>
    <w:p w:rsidR="006902EF" w:rsidRPr="00D90CA9" w:rsidRDefault="006902EF" w:rsidP="006902EF">
      <w:pPr>
        <w:pStyle w:val="SCCNormalDoubleSpacing"/>
        <w:widowControl w:val="0"/>
        <w:spacing w:line="240" w:lineRule="auto"/>
        <w:rPr>
          <w:sz w:val="20"/>
        </w:rPr>
      </w:pPr>
    </w:p>
    <w:p w:rsidR="006902EF" w:rsidRDefault="006902EF" w:rsidP="006902EF">
      <w:pPr>
        <w:pStyle w:val="SCCNormalDoubleSpacing"/>
        <w:spacing w:line="240" w:lineRule="auto"/>
        <w:rPr>
          <w:sz w:val="20"/>
        </w:rPr>
      </w:pPr>
      <w:r w:rsidRPr="00D90CA9">
        <w:rPr>
          <w:sz w:val="20"/>
        </w:rPr>
        <w:tab/>
        <w:t>Finally, the two grounds of appeal relating to evidence admitted under the co</w:t>
      </w:r>
      <w:r w:rsidRPr="00D90CA9">
        <w:rPr>
          <w:sz w:val="20"/>
        </w:rPr>
        <w:noBreakHyphen/>
        <w:t>conspirators’ exception to the hearsay rule are dismissed.</w:t>
      </w:r>
    </w:p>
    <w:p w:rsidR="006902EF" w:rsidRDefault="006902EF" w:rsidP="006902EF">
      <w:pPr>
        <w:pStyle w:val="SCCNormalDoubleSpacing"/>
        <w:spacing w:line="240" w:lineRule="auto"/>
        <w:rPr>
          <w:sz w:val="20"/>
        </w:rPr>
      </w:pPr>
    </w:p>
    <w:p w:rsidR="006902EF" w:rsidRPr="00D90CA9" w:rsidRDefault="006902EF" w:rsidP="006902EF">
      <w:pPr>
        <w:pStyle w:val="SCCNormalDoubleSpacing"/>
        <w:spacing w:line="240" w:lineRule="auto"/>
        <w:rPr>
          <w:sz w:val="20"/>
        </w:rPr>
      </w:pPr>
      <w:r w:rsidRPr="00D90CA9">
        <w:rPr>
          <w:sz w:val="20"/>
        </w:rPr>
        <w:tab/>
        <w:t>APPEAL from a judgment of the Ontario Court of Appeal (Rosenberg, Rouleau and Epstein JJ.A.), 2011 ONCA 220, 105 O.R. (3d) 161, 276 O.A.C. 292, 269 C.C.C. (3d) 258, 85 C.R. (6th) 304, [2011] O.J. No. 1577 (QL), 2011 CarswellOnt 2329, affirming the accused’s conviction for conspiracy to commit murder.  Appeal dismissed.</w:t>
      </w:r>
    </w:p>
    <w:p w:rsidR="006902EF" w:rsidRDefault="006902EF" w:rsidP="006902EF">
      <w:pPr>
        <w:pStyle w:val="SCCNormalDoubleSpacing"/>
        <w:spacing w:line="240" w:lineRule="auto"/>
        <w:rPr>
          <w:i/>
          <w:sz w:val="20"/>
        </w:rPr>
      </w:pPr>
    </w:p>
    <w:p w:rsidR="006902EF" w:rsidRPr="00D90CA9" w:rsidRDefault="006902EF" w:rsidP="006902EF">
      <w:pPr>
        <w:pStyle w:val="SCCNormalDoubleSpacing"/>
        <w:spacing w:line="240" w:lineRule="auto"/>
        <w:rPr>
          <w:sz w:val="20"/>
        </w:rPr>
      </w:pPr>
      <w:r w:rsidRPr="00D90CA9">
        <w:rPr>
          <w:i/>
          <w:sz w:val="20"/>
        </w:rPr>
        <w:tab/>
        <w:t>Ian R. Mang</w:t>
      </w:r>
      <w:r w:rsidRPr="00D90CA9">
        <w:rPr>
          <w:sz w:val="20"/>
        </w:rPr>
        <w:t xml:space="preserve"> and </w:t>
      </w:r>
      <w:r w:rsidRPr="00D90CA9">
        <w:rPr>
          <w:i/>
          <w:sz w:val="20"/>
        </w:rPr>
        <w:t>Shelley M. Kierstead</w:t>
      </w:r>
      <w:r w:rsidRPr="00D90CA9">
        <w:rPr>
          <w:sz w:val="20"/>
        </w:rPr>
        <w:t>, for the appellant.</w:t>
      </w:r>
    </w:p>
    <w:p w:rsidR="006902EF" w:rsidRDefault="006902EF" w:rsidP="006902EF">
      <w:pPr>
        <w:pStyle w:val="SCCNormalDoubleSpacing"/>
        <w:spacing w:line="240" w:lineRule="auto"/>
        <w:rPr>
          <w:i/>
          <w:sz w:val="20"/>
        </w:rPr>
      </w:pPr>
    </w:p>
    <w:p w:rsidR="006902EF" w:rsidRPr="00D90CA9" w:rsidRDefault="006902EF" w:rsidP="006902EF">
      <w:pPr>
        <w:pStyle w:val="SCCNormalDoubleSpacing"/>
        <w:spacing w:line="240" w:lineRule="auto"/>
        <w:rPr>
          <w:sz w:val="20"/>
        </w:rPr>
      </w:pPr>
      <w:r w:rsidRPr="00D90CA9">
        <w:rPr>
          <w:i/>
          <w:sz w:val="20"/>
        </w:rPr>
        <w:tab/>
        <w:t>Alexander Alvaro</w:t>
      </w:r>
      <w:r w:rsidRPr="00D90CA9">
        <w:rPr>
          <w:sz w:val="20"/>
        </w:rPr>
        <w:t xml:space="preserve"> and </w:t>
      </w:r>
      <w:r w:rsidRPr="00D90CA9">
        <w:rPr>
          <w:i/>
          <w:sz w:val="20"/>
        </w:rPr>
        <w:t>Andreea Baiasu</w:t>
      </w:r>
      <w:r w:rsidRPr="00D90CA9">
        <w:rPr>
          <w:sz w:val="20"/>
        </w:rPr>
        <w:t>, for the respondent.</w:t>
      </w:r>
    </w:p>
    <w:p w:rsidR="006902EF" w:rsidRDefault="006902EF" w:rsidP="006902EF">
      <w:pPr>
        <w:pStyle w:val="SCCNormalDoubleSpacing"/>
        <w:spacing w:line="240" w:lineRule="auto"/>
        <w:rPr>
          <w:i/>
          <w:sz w:val="20"/>
        </w:rPr>
      </w:pPr>
    </w:p>
    <w:p w:rsidR="006902EF" w:rsidRPr="00D90CA9" w:rsidRDefault="006902EF" w:rsidP="006902EF">
      <w:pPr>
        <w:pStyle w:val="SCCNormalDoubleSpacing"/>
        <w:spacing w:line="240" w:lineRule="auto"/>
        <w:rPr>
          <w:sz w:val="20"/>
        </w:rPr>
      </w:pPr>
      <w:r w:rsidRPr="00D90CA9">
        <w:rPr>
          <w:i/>
          <w:sz w:val="20"/>
        </w:rPr>
        <w:tab/>
        <w:t>Ryan D. W. Dalziel and Micah B. Rankin</w:t>
      </w:r>
      <w:r w:rsidRPr="00D90CA9">
        <w:rPr>
          <w:sz w:val="20"/>
        </w:rPr>
        <w:t>, for the intervener.</w:t>
      </w:r>
    </w:p>
    <w:p w:rsidR="006902EF" w:rsidRDefault="006902EF" w:rsidP="006902EF">
      <w:pPr>
        <w:pStyle w:val="SCCLawFirm"/>
        <w:spacing w:line="240" w:lineRule="auto"/>
        <w:rPr>
          <w:sz w:val="20"/>
        </w:rPr>
      </w:pPr>
    </w:p>
    <w:p w:rsidR="006902EF" w:rsidRPr="00D90CA9" w:rsidRDefault="006902EF" w:rsidP="006902EF">
      <w:pPr>
        <w:pStyle w:val="SCCLawFirm"/>
        <w:spacing w:line="240" w:lineRule="auto"/>
        <w:rPr>
          <w:sz w:val="20"/>
        </w:rPr>
      </w:pPr>
      <w:r w:rsidRPr="00D90CA9">
        <w:rPr>
          <w:sz w:val="20"/>
        </w:rPr>
        <w:tab/>
        <w:t>Solicitors for the appellant:  Mang, Steinberg, Toronto.</w:t>
      </w:r>
    </w:p>
    <w:p w:rsidR="006902EF" w:rsidRDefault="006902EF" w:rsidP="006902EF">
      <w:pPr>
        <w:pStyle w:val="SCCLawFirm"/>
        <w:spacing w:line="240" w:lineRule="auto"/>
        <w:rPr>
          <w:sz w:val="20"/>
        </w:rPr>
      </w:pPr>
    </w:p>
    <w:p w:rsidR="006902EF" w:rsidRPr="00D90CA9" w:rsidRDefault="006902EF" w:rsidP="006902EF">
      <w:pPr>
        <w:pStyle w:val="SCCLawFirm"/>
        <w:spacing w:line="240" w:lineRule="auto"/>
        <w:rPr>
          <w:sz w:val="20"/>
        </w:rPr>
      </w:pPr>
      <w:r w:rsidRPr="00D90CA9">
        <w:rPr>
          <w:sz w:val="20"/>
        </w:rPr>
        <w:tab/>
        <w:t>Solicitor for the respondent:  Attorney General of Ontario, Toronto.</w:t>
      </w:r>
    </w:p>
    <w:p w:rsidR="006902EF" w:rsidRDefault="006902EF" w:rsidP="006902EF">
      <w:pPr>
        <w:pStyle w:val="SCCLawFirm"/>
        <w:spacing w:line="240" w:lineRule="auto"/>
        <w:rPr>
          <w:sz w:val="20"/>
        </w:rPr>
      </w:pPr>
    </w:p>
    <w:p w:rsidR="006902EF" w:rsidRDefault="006902EF" w:rsidP="006902EF">
      <w:pPr>
        <w:pStyle w:val="SCCLawFirm"/>
        <w:spacing w:line="240" w:lineRule="auto"/>
        <w:rPr>
          <w:sz w:val="20"/>
        </w:rPr>
      </w:pPr>
      <w:r w:rsidRPr="00D90CA9">
        <w:rPr>
          <w:sz w:val="20"/>
        </w:rPr>
        <w:tab/>
        <w:t>Solicitors for the intervener:  Bull, Housser &amp; Tupper, Vancouver.</w:t>
      </w:r>
    </w:p>
    <w:p w:rsidR="003B3977" w:rsidRPr="006902EF" w:rsidRDefault="003B3977" w:rsidP="003B3977">
      <w:pPr>
        <w:rPr>
          <w:sz w:val="20"/>
          <w:szCs w:val="20"/>
          <w:lang w:val="fr-CA"/>
        </w:rPr>
      </w:pPr>
      <w:r w:rsidRPr="006902EF">
        <w:rPr>
          <w:sz w:val="20"/>
          <w:szCs w:val="20"/>
          <w:lang w:val="fr-CA"/>
        </w:rPr>
        <w:t>________________________</w:t>
      </w:r>
    </w:p>
    <w:p w:rsidR="003B3977" w:rsidRPr="006902EF" w:rsidRDefault="003B3977" w:rsidP="003B3977">
      <w:pPr>
        <w:rPr>
          <w:sz w:val="20"/>
          <w:szCs w:val="20"/>
          <w:lang w:val="fr-CA"/>
        </w:rPr>
      </w:pPr>
    </w:p>
    <w:p w:rsidR="006902EF" w:rsidRPr="0024089F" w:rsidRDefault="006902EF" w:rsidP="006902EF">
      <w:pPr>
        <w:jc w:val="both"/>
        <w:rPr>
          <w:sz w:val="20"/>
          <w:szCs w:val="20"/>
          <w:lang w:val="fr-CA"/>
        </w:rPr>
      </w:pPr>
      <w:r w:rsidRPr="0024089F">
        <w:rPr>
          <w:sz w:val="20"/>
          <w:szCs w:val="20"/>
          <w:lang w:val="fr-CA"/>
        </w:rPr>
        <w:t>Présents : La juge en chef McLachlin et les juges LeBel, Fish, Rothstein, Cromwell, Moldaver et Karakatsanis.</w:t>
      </w:r>
    </w:p>
    <w:p w:rsidR="006902EF" w:rsidRDefault="006902EF" w:rsidP="006902EF">
      <w:pPr>
        <w:jc w:val="both"/>
        <w:rPr>
          <w:smallCaps/>
          <w:sz w:val="20"/>
          <w:lang w:val="fr-CA"/>
        </w:rPr>
      </w:pPr>
    </w:p>
    <w:p w:rsidR="006902EF" w:rsidRDefault="006902EF" w:rsidP="006902EF">
      <w:pPr>
        <w:pStyle w:val="SCCNormalDoubleSpacing"/>
        <w:spacing w:line="240" w:lineRule="auto"/>
        <w:rPr>
          <w:i/>
          <w:sz w:val="20"/>
          <w:lang w:val="fr-CA"/>
        </w:rPr>
      </w:pPr>
      <w:r w:rsidRPr="0024089F">
        <w:rPr>
          <w:i/>
          <w:sz w:val="20"/>
          <w:lang w:val="fr-CA"/>
        </w:rPr>
        <w:tab/>
        <w:t>Droit criminel — Infractions — Complot — Participants aux infractions — Est</w:t>
      </w:r>
      <w:r w:rsidRPr="0024089F">
        <w:rPr>
          <w:i/>
          <w:sz w:val="20"/>
          <w:lang w:val="fr-CA"/>
        </w:rPr>
        <w:noBreakHyphen/>
        <w:t>ce qu’une personne peut être un participant à l’infraction de complot? — Est</w:t>
      </w:r>
      <w:r w:rsidRPr="0024089F">
        <w:rPr>
          <w:i/>
          <w:sz w:val="20"/>
          <w:lang w:val="fr-CA"/>
        </w:rPr>
        <w:noBreakHyphen/>
        <w:t>ce que la responsabilité comme participant peut être imputée à une personne qui a connaissance du complot et qui accomplit quelque chose en vue de la poursuite de la fin illégale visée par celui</w:t>
      </w:r>
      <w:r w:rsidRPr="0024089F">
        <w:rPr>
          <w:i/>
          <w:sz w:val="20"/>
          <w:lang w:val="fr-CA"/>
        </w:rPr>
        <w:noBreakHyphen/>
        <w:t>ci? — La juge du procès a</w:t>
      </w:r>
      <w:r w:rsidRPr="0024089F">
        <w:rPr>
          <w:i/>
          <w:sz w:val="20"/>
          <w:lang w:val="fr-CA"/>
        </w:rPr>
        <w:noBreakHyphen/>
        <w:t>t</w:t>
      </w:r>
      <w:r w:rsidRPr="0024089F">
        <w:rPr>
          <w:i/>
          <w:sz w:val="20"/>
          <w:lang w:val="fr-CA"/>
        </w:rPr>
        <w:noBreakHyphen/>
        <w:t>elle fait erreur dans ses directives au jury au sujet de la notion de complot? — La disposition réparatrice devrait</w:t>
      </w:r>
      <w:r w:rsidRPr="0024089F">
        <w:rPr>
          <w:i/>
          <w:sz w:val="20"/>
          <w:lang w:val="fr-CA"/>
        </w:rPr>
        <w:noBreakHyphen/>
        <w:t>elle être appliquée pour confirmer la déclaration de culpabilité? — Exception à la règle du ouï</w:t>
      </w:r>
      <w:r w:rsidRPr="0024089F">
        <w:rPr>
          <w:i/>
          <w:sz w:val="20"/>
          <w:lang w:val="fr-CA"/>
        </w:rPr>
        <w:noBreakHyphen/>
        <w:t>dire relative aux coconspirateurs — Code criminel, L.R.C. 1985, ch. c</w:t>
      </w:r>
      <w:r w:rsidRPr="0024089F">
        <w:rPr>
          <w:i/>
          <w:sz w:val="20"/>
          <w:lang w:val="fr-CA"/>
        </w:rPr>
        <w:noBreakHyphen/>
        <w:t>46, art. 21(1), 465(1), 686(1)b)(iii)</w:t>
      </w:r>
    </w:p>
    <w:p w:rsidR="006902EF" w:rsidRPr="0024089F" w:rsidRDefault="006902EF" w:rsidP="006902EF">
      <w:pPr>
        <w:pStyle w:val="SCCNormalDoubleSpacing"/>
        <w:spacing w:line="240" w:lineRule="auto"/>
        <w:rPr>
          <w:i/>
          <w:sz w:val="20"/>
          <w:lang w:val="fr-CA"/>
        </w:rPr>
      </w:pPr>
    </w:p>
    <w:p w:rsidR="006902EF" w:rsidRDefault="006902EF" w:rsidP="006902EF">
      <w:pPr>
        <w:pStyle w:val="SCCNormalDoubleSpacing"/>
        <w:spacing w:line="240" w:lineRule="auto"/>
        <w:rPr>
          <w:sz w:val="20"/>
          <w:lang w:val="fr-CA"/>
        </w:rPr>
      </w:pPr>
      <w:r w:rsidRPr="0024089F">
        <w:rPr>
          <w:sz w:val="20"/>
          <w:lang w:val="fr-CA"/>
        </w:rPr>
        <w:tab/>
        <w:t xml:space="preserve">J, un adolescent, a appris que son amie T et R, la sœur de cette dernière, projetaient de tuer leur mère en lui faisant boire de l’alcool en quantité et en la noyant, projet que les sœurs ont ultimement mis à exécution et à l’égard duquel elles ont été déclarées coupables.  Les policiers ont trouvé l’archive d’une conversation sur MSN entre J and T dans laquelle J fournissait à T des renseignements au sujet de la mort par noyade, suggérait que les sœurs donnent des comprimés de codéine à leur mère en plus de l’alcool et recommandait des moyens de tromper la police. Le ministère public a également présenté des éléments de preuve indiquant que J avait fourni les comprimés aux filles et qu’il avait rencontré T et R après le meurtre pour leur fournir un alibi.  Dans ses directives au jury, la juge du procès a précisé que J pouvait être déclaré coupable de complot en vue de commettre un meurtre, l’infraction prévue au par. 465(1) du </w:t>
      </w:r>
      <w:r w:rsidRPr="0024089F">
        <w:rPr>
          <w:i/>
          <w:sz w:val="20"/>
          <w:lang w:val="fr-CA"/>
        </w:rPr>
        <w:t>Code criminel</w:t>
      </w:r>
      <w:r w:rsidRPr="0024089F">
        <w:rPr>
          <w:sz w:val="20"/>
          <w:lang w:val="fr-CA"/>
        </w:rPr>
        <w:t>, soit comme un des auteurs principaux, soit comme un participant suivant l’al. 21(1)</w:t>
      </w:r>
      <w:r w:rsidRPr="0024089F">
        <w:rPr>
          <w:i/>
          <w:sz w:val="20"/>
          <w:lang w:val="fr-CA"/>
        </w:rPr>
        <w:t>b</w:t>
      </w:r>
      <w:r w:rsidRPr="0024089F">
        <w:rPr>
          <w:sz w:val="20"/>
          <w:lang w:val="fr-CA"/>
        </w:rPr>
        <w:t xml:space="preserve">) ou </w:t>
      </w:r>
      <w:r w:rsidRPr="0024089F">
        <w:rPr>
          <w:i/>
          <w:sz w:val="20"/>
          <w:lang w:val="fr-CA"/>
        </w:rPr>
        <w:t>c</w:t>
      </w:r>
      <w:r w:rsidRPr="0024089F">
        <w:rPr>
          <w:sz w:val="20"/>
          <w:lang w:val="fr-CA"/>
        </w:rPr>
        <w:t xml:space="preserve">) du </w:t>
      </w:r>
      <w:r w:rsidRPr="0024089F">
        <w:rPr>
          <w:i/>
          <w:sz w:val="20"/>
          <w:lang w:val="fr-CA"/>
        </w:rPr>
        <w:t>Code criminel</w:t>
      </w:r>
      <w:r w:rsidRPr="0024089F">
        <w:rPr>
          <w:sz w:val="20"/>
          <w:lang w:val="fr-CA"/>
        </w:rPr>
        <w:t>.  J a été déclaré coupable de complot en vue de commettre un meurtre.  La Cour d’appel a rejeté l’appel de la déclaration de culpabilité, mais a réduit la peine infligée à J.</w:t>
      </w:r>
    </w:p>
    <w:p w:rsidR="006902EF" w:rsidRPr="0024089F" w:rsidRDefault="006902EF" w:rsidP="006902EF">
      <w:pPr>
        <w:pStyle w:val="SCCNormalDoubleSpacing"/>
        <w:spacing w:line="240" w:lineRule="auto"/>
        <w:rPr>
          <w:sz w:val="20"/>
          <w:lang w:val="fr-CA"/>
        </w:rPr>
      </w:pPr>
    </w:p>
    <w:p w:rsidR="006902EF" w:rsidRDefault="006902EF" w:rsidP="006902EF">
      <w:pPr>
        <w:pStyle w:val="SCCNormalDoubleSpacing"/>
        <w:spacing w:line="240" w:lineRule="auto"/>
        <w:rPr>
          <w:sz w:val="20"/>
          <w:lang w:val="fr-CA"/>
        </w:rPr>
      </w:pPr>
      <w:r w:rsidRPr="0024089F">
        <w:rPr>
          <w:i/>
          <w:sz w:val="20"/>
          <w:lang w:val="fr-CA"/>
        </w:rPr>
        <w:tab/>
        <w:t>Arrêt :</w:t>
      </w:r>
      <w:r w:rsidRPr="0024089F">
        <w:rPr>
          <w:sz w:val="20"/>
          <w:lang w:val="fr-CA"/>
        </w:rPr>
        <w:t xml:space="preserve"> Le pourvoi est rejeté.</w:t>
      </w:r>
    </w:p>
    <w:p w:rsidR="006902EF" w:rsidRPr="0024089F" w:rsidRDefault="006902EF" w:rsidP="006902EF">
      <w:pPr>
        <w:pStyle w:val="SCCNormalDoubleSpacing"/>
        <w:spacing w:line="240" w:lineRule="auto"/>
        <w:rPr>
          <w:sz w:val="20"/>
          <w:lang w:val="fr-CA"/>
        </w:rPr>
      </w:pPr>
    </w:p>
    <w:p w:rsidR="006902EF" w:rsidRDefault="006902EF" w:rsidP="006902EF">
      <w:pPr>
        <w:pStyle w:val="SCCNormalDoubleSpacing"/>
        <w:spacing w:line="240" w:lineRule="auto"/>
        <w:rPr>
          <w:sz w:val="20"/>
          <w:lang w:val="fr-CA"/>
        </w:rPr>
      </w:pPr>
      <w:r w:rsidRPr="0024089F">
        <w:rPr>
          <w:i/>
          <w:sz w:val="20"/>
          <w:lang w:val="fr-CA"/>
        </w:rPr>
        <w:tab/>
        <w:t>La</w:t>
      </w:r>
      <w:r w:rsidRPr="0024089F">
        <w:rPr>
          <w:sz w:val="20"/>
          <w:lang w:val="fr-CA"/>
        </w:rPr>
        <w:t xml:space="preserve"> juge en chef McLachlin et les juges LeBel, Fish, Rothstein, Cromwell, </w:t>
      </w:r>
      <w:r w:rsidRPr="0024089F">
        <w:rPr>
          <w:b/>
          <w:sz w:val="20"/>
          <w:lang w:val="fr-CA"/>
        </w:rPr>
        <w:t>Moldaver</w:t>
      </w:r>
      <w:r w:rsidRPr="0024089F">
        <w:rPr>
          <w:sz w:val="20"/>
          <w:lang w:val="fr-CA"/>
        </w:rPr>
        <w:t xml:space="preserve"> et Karakatsanis :  Le fait d’être un participant à un complot constitue une infraction qui existe en droit canadien.  Contrairement à la tentative de complot, cette infraction ne découle pas de la superposition de deux formes de responsabilité inchoative et ne souffre pas d’absence de proximité.</w:t>
      </w:r>
    </w:p>
    <w:p w:rsidR="006902EF" w:rsidRPr="0024089F" w:rsidRDefault="006902EF" w:rsidP="006902EF">
      <w:pPr>
        <w:pStyle w:val="SCCNormalDoubleSpacing"/>
        <w:spacing w:line="240" w:lineRule="auto"/>
        <w:rPr>
          <w:sz w:val="20"/>
          <w:lang w:val="fr-CA"/>
        </w:rPr>
      </w:pPr>
    </w:p>
    <w:p w:rsidR="006902EF" w:rsidRDefault="006902EF" w:rsidP="006902EF">
      <w:pPr>
        <w:pStyle w:val="SCCNormalDoubleSpacing"/>
        <w:spacing w:line="240" w:lineRule="auto"/>
        <w:rPr>
          <w:sz w:val="20"/>
          <w:lang w:val="fr-CA"/>
        </w:rPr>
      </w:pPr>
      <w:r w:rsidRPr="0024089F">
        <w:rPr>
          <w:sz w:val="20"/>
          <w:lang w:val="fr-CA"/>
        </w:rPr>
        <w:lastRenderedPageBreak/>
        <w:tab/>
        <w:t xml:space="preserve">Il existe deux écoles de pensée au Canada sur la question de savoir comment, et dans quelles circonstances, une personne peut être jugée responsable comme participant à l’infraction de complot.  L’approche restrictive (le modèle dégagé dans </w:t>
      </w:r>
      <w:r w:rsidRPr="0024089F">
        <w:rPr>
          <w:i/>
          <w:sz w:val="20"/>
          <w:lang w:val="fr-CA"/>
        </w:rPr>
        <w:t>Trieu</w:t>
      </w:r>
      <w:r w:rsidRPr="0024089F">
        <w:rPr>
          <w:sz w:val="20"/>
          <w:lang w:val="fr-CA"/>
        </w:rPr>
        <w:t xml:space="preserve">) limite l’application de cette forme de responsabilité à ceux qui fournissent aide ou encouragement à la formation de l’entente.  L’approche large (le modèle dégagé dans </w:t>
      </w:r>
      <w:r w:rsidRPr="0024089F">
        <w:rPr>
          <w:i/>
          <w:sz w:val="20"/>
          <w:lang w:val="fr-CA"/>
        </w:rPr>
        <w:t>McNamara</w:t>
      </w:r>
      <w:r w:rsidRPr="0024089F">
        <w:rPr>
          <w:sz w:val="20"/>
          <w:lang w:val="fr-CA"/>
        </w:rPr>
        <w:t xml:space="preserve">) étend cette responsabilité à ceux qui fournissent aide ou encouragement à la poursuite de la fin illégale visée par le complot.  L’approche qui doit être suivie est celle prévue dans </w:t>
      </w:r>
      <w:r w:rsidRPr="0024089F">
        <w:rPr>
          <w:i/>
          <w:sz w:val="20"/>
          <w:lang w:val="fr-CA"/>
        </w:rPr>
        <w:t>Trieu</w:t>
      </w:r>
      <w:r w:rsidRPr="0024089F">
        <w:rPr>
          <w:sz w:val="20"/>
          <w:lang w:val="fr-CA"/>
        </w:rPr>
        <w:t xml:space="preserve"> et non celle dégagée dans </w:t>
      </w:r>
      <w:r w:rsidRPr="0024089F">
        <w:rPr>
          <w:i/>
          <w:sz w:val="20"/>
          <w:lang w:val="fr-CA"/>
        </w:rPr>
        <w:t>McNamara</w:t>
      </w:r>
      <w:r w:rsidRPr="0024089F">
        <w:rPr>
          <w:sz w:val="20"/>
          <w:lang w:val="fr-CA"/>
        </w:rPr>
        <w:t>.  L’application de la notion de responsabilité comme participant se limite aux cas où l’accusé fournit aide ou encouragement à la formation initiale de l’entente ou encore aide ou encourage de nouveaux membres à se joindre à une entente préexistante.</w:t>
      </w:r>
    </w:p>
    <w:p w:rsidR="006902EF" w:rsidRPr="0024089F" w:rsidRDefault="006902EF" w:rsidP="006902EF">
      <w:pPr>
        <w:pStyle w:val="SCCNormalDoubleSpacing"/>
        <w:spacing w:line="240" w:lineRule="auto"/>
        <w:rPr>
          <w:sz w:val="20"/>
          <w:lang w:val="fr-CA"/>
        </w:rPr>
      </w:pPr>
    </w:p>
    <w:p w:rsidR="006902EF" w:rsidRDefault="006902EF" w:rsidP="006902EF">
      <w:pPr>
        <w:pStyle w:val="SCCNormalDoubleSpacing"/>
        <w:spacing w:line="240" w:lineRule="auto"/>
        <w:rPr>
          <w:sz w:val="20"/>
          <w:lang w:val="fr-CA"/>
        </w:rPr>
      </w:pPr>
      <w:r w:rsidRPr="0024089F">
        <w:rPr>
          <w:sz w:val="20"/>
          <w:lang w:val="fr-CA"/>
        </w:rPr>
        <w:tab/>
        <w:t xml:space="preserve">Le modèle dégagé dans </w:t>
      </w:r>
      <w:r w:rsidRPr="0024089F">
        <w:rPr>
          <w:i/>
          <w:sz w:val="20"/>
          <w:lang w:val="fr-CA"/>
        </w:rPr>
        <w:t>Trieu</w:t>
      </w:r>
      <w:r w:rsidRPr="0024089F">
        <w:rPr>
          <w:sz w:val="20"/>
          <w:lang w:val="fr-CA"/>
        </w:rPr>
        <w:t xml:space="preserve"> représente un fondement légitime permettant de conclure à la responsabilité comme participant à l’infraction de complot.  Une personne devient un participant à une infraction si elle aide ou encourage un des auteurs principaux à la commettre.  Il s’ensuit que la responsabilité comme participant est établie lorsque l’accusé a fourni aide ou encouragement à l’égard de l’</w:t>
      </w:r>
      <w:r w:rsidRPr="0024089F">
        <w:rPr>
          <w:i/>
          <w:sz w:val="20"/>
          <w:lang w:val="fr-CA"/>
        </w:rPr>
        <w:t>actus reus</w:t>
      </w:r>
      <w:r w:rsidRPr="0024089F">
        <w:rPr>
          <w:sz w:val="20"/>
          <w:lang w:val="fr-CA"/>
        </w:rPr>
        <w:t xml:space="preserve"> du complot, c’est</w:t>
      </w:r>
      <w:r w:rsidRPr="0024089F">
        <w:rPr>
          <w:sz w:val="20"/>
          <w:lang w:val="fr-CA"/>
        </w:rPr>
        <w:noBreakHyphen/>
        <w:t>à</w:t>
      </w:r>
      <w:r w:rsidRPr="0024089F">
        <w:rPr>
          <w:sz w:val="20"/>
          <w:lang w:val="fr-CA"/>
        </w:rPr>
        <w:noBreakHyphen/>
        <w:t xml:space="preserve">dire l’acte consistant pour les conspirateurs à s’entendre.  </w:t>
      </w:r>
    </w:p>
    <w:p w:rsidR="006902EF" w:rsidRPr="0024089F" w:rsidRDefault="006902EF" w:rsidP="006902EF">
      <w:pPr>
        <w:pStyle w:val="SCCNormalDoubleSpacing"/>
        <w:spacing w:line="240" w:lineRule="auto"/>
        <w:rPr>
          <w:sz w:val="20"/>
          <w:lang w:val="fr-CA"/>
        </w:rPr>
      </w:pPr>
    </w:p>
    <w:p w:rsidR="006902EF" w:rsidRDefault="006902EF" w:rsidP="006902EF">
      <w:pPr>
        <w:pStyle w:val="SCCNormalDoubleSpacing"/>
        <w:spacing w:line="240" w:lineRule="auto"/>
        <w:rPr>
          <w:sz w:val="20"/>
          <w:lang w:val="fr-CA"/>
        </w:rPr>
      </w:pPr>
      <w:r w:rsidRPr="0024089F">
        <w:rPr>
          <w:sz w:val="20"/>
          <w:lang w:val="fr-CA"/>
        </w:rPr>
        <w:tab/>
        <w:t xml:space="preserve">Le modèle dégagé dans </w:t>
      </w:r>
      <w:r w:rsidRPr="0024089F">
        <w:rPr>
          <w:i/>
          <w:sz w:val="20"/>
          <w:lang w:val="fr-CA"/>
        </w:rPr>
        <w:t>McNamara</w:t>
      </w:r>
      <w:r w:rsidRPr="0024089F">
        <w:rPr>
          <w:sz w:val="20"/>
          <w:lang w:val="fr-CA"/>
        </w:rPr>
        <w:t xml:space="preserve"> n’est pas un fondement permettant de conclure à la responsabilité comme participant à l’infraction de complot.  Des actes accomplis dans la poursuite de la fin illégale visée par le complot ne constituent pas un élément de l’infraction de complot.  Le fait de fournir aide ou encouragement à la poursuite de la fin illégale ne prouve pas que l’accusé a aidé ou encouragé l’auteur principal à commettre quelque élément constitutif de l’infraction de complot, et il ne saurait justifier une conclusion de responsabilité comme participant au complot.  Toutefois, le fait qu’une personne ayant connaissance d’un complot accomplit ou omet d’accomplir une chose dans la poursuite de la fin illégale, et ce, au su et avec le consentement d’un ou de plusieurs des conspirateurs existants, constitue une solide preuve circonstancielle permettant d’inférer que cette personne est membre du complot.</w:t>
      </w:r>
    </w:p>
    <w:p w:rsidR="006902EF" w:rsidRPr="0024089F" w:rsidRDefault="006902EF" w:rsidP="006902EF">
      <w:pPr>
        <w:pStyle w:val="SCCNormalDoubleSpacing"/>
        <w:spacing w:line="240" w:lineRule="auto"/>
        <w:rPr>
          <w:sz w:val="20"/>
          <w:lang w:val="fr-CA"/>
        </w:rPr>
      </w:pPr>
    </w:p>
    <w:p w:rsidR="006902EF" w:rsidRDefault="006902EF" w:rsidP="006902EF">
      <w:pPr>
        <w:pStyle w:val="SCCNormalDoubleSpacing"/>
        <w:spacing w:line="240" w:lineRule="auto"/>
        <w:rPr>
          <w:sz w:val="20"/>
          <w:lang w:val="fr-CA"/>
        </w:rPr>
      </w:pPr>
      <w:r w:rsidRPr="0024089F">
        <w:rPr>
          <w:sz w:val="20"/>
          <w:lang w:val="fr-CA"/>
        </w:rPr>
        <w:tab/>
        <w:t xml:space="preserve">Bien que la notion de responsabilité comme participant à un complot s’applique aux personnes qui aident à la formation d’une nouvelle entente (le modèle dégagé dans </w:t>
      </w:r>
      <w:r w:rsidRPr="0024089F">
        <w:rPr>
          <w:i/>
          <w:sz w:val="20"/>
          <w:lang w:val="fr-CA"/>
        </w:rPr>
        <w:t>Trieu</w:t>
      </w:r>
      <w:r w:rsidRPr="0024089F">
        <w:rPr>
          <w:sz w:val="20"/>
          <w:lang w:val="fr-CA"/>
        </w:rPr>
        <w:t>), elle vise également celles qui fournissent aide ou encouragement à l’égard d’une entente préexistante.  Le fait de fournir une aide ou un encouragement de cette nature facilite la perpétration par le nouveau membre de l’infraction de complot — c’est</w:t>
      </w:r>
      <w:r w:rsidRPr="0024089F">
        <w:rPr>
          <w:sz w:val="20"/>
          <w:lang w:val="fr-CA"/>
        </w:rPr>
        <w:noBreakHyphen/>
        <w:t>à</w:t>
      </w:r>
      <w:r w:rsidRPr="0024089F">
        <w:rPr>
          <w:sz w:val="20"/>
          <w:lang w:val="fr-CA"/>
        </w:rPr>
        <w:noBreakHyphen/>
        <w:t>dire l’</w:t>
      </w:r>
      <w:r w:rsidRPr="0024089F">
        <w:rPr>
          <w:i/>
          <w:sz w:val="20"/>
          <w:lang w:val="fr-CA"/>
        </w:rPr>
        <w:t>acte</w:t>
      </w:r>
      <w:r w:rsidRPr="0024089F">
        <w:rPr>
          <w:sz w:val="20"/>
          <w:lang w:val="fr-CA"/>
        </w:rPr>
        <w:t xml:space="preserve"> consistant à s’entendre.</w:t>
      </w:r>
    </w:p>
    <w:p w:rsidR="006902EF" w:rsidRPr="0024089F" w:rsidRDefault="006902EF" w:rsidP="006902EF">
      <w:pPr>
        <w:pStyle w:val="SCCNormalDoubleSpacing"/>
        <w:spacing w:line="240" w:lineRule="auto"/>
        <w:rPr>
          <w:sz w:val="20"/>
          <w:lang w:val="fr-CA"/>
        </w:rPr>
      </w:pPr>
    </w:p>
    <w:p w:rsidR="006902EF" w:rsidRDefault="006902EF" w:rsidP="006902EF">
      <w:pPr>
        <w:pStyle w:val="SCCNormalDoubleSpacing"/>
        <w:spacing w:line="240" w:lineRule="auto"/>
        <w:rPr>
          <w:sz w:val="20"/>
          <w:lang w:val="fr-CA"/>
        </w:rPr>
      </w:pPr>
      <w:r w:rsidRPr="0024089F">
        <w:rPr>
          <w:sz w:val="20"/>
          <w:lang w:val="fr-CA"/>
        </w:rPr>
        <w:tab/>
        <w:t>Vu la conclusion que la responsabilité comme participant ne s’étend pas aux actes accomplis dans la poursuite de la fin illégale visée par le complot, la thèse de la responsabilité comme participant n’aurait pas dû, dans les circonstances, être soumise au jury.  Il n’y a aucune preuve que l’appelant a fourni aide ou encouragement à la formation de l’entente initiale entre R et T en vue d’assassiner leur mère ou qu’il a aidé ou encouragé un nouveau membre à se joindre au complot existant.  Toutefois, l’erreur de la juge du procès n’a pas pu influer sur le verdict.  La disposition réparatrice prévue au sous</w:t>
      </w:r>
      <w:r w:rsidRPr="0024089F">
        <w:rPr>
          <w:sz w:val="20"/>
          <w:lang w:val="fr-CA"/>
        </w:rPr>
        <w:noBreakHyphen/>
        <w:t>al. 686(1)</w:t>
      </w:r>
      <w:r w:rsidRPr="0024089F">
        <w:rPr>
          <w:i/>
          <w:sz w:val="20"/>
          <w:lang w:val="fr-CA"/>
        </w:rPr>
        <w:t>b</w:t>
      </w:r>
      <w:r w:rsidRPr="0024089F">
        <w:rPr>
          <w:sz w:val="20"/>
          <w:lang w:val="fr-CA"/>
        </w:rPr>
        <w:t xml:space="preserve">)(iii) du </w:t>
      </w:r>
      <w:r w:rsidRPr="0024089F">
        <w:rPr>
          <w:i/>
          <w:sz w:val="20"/>
          <w:lang w:val="fr-CA"/>
        </w:rPr>
        <w:t>Code criminel</w:t>
      </w:r>
      <w:r w:rsidRPr="0024089F">
        <w:rPr>
          <w:sz w:val="20"/>
          <w:lang w:val="fr-CA"/>
        </w:rPr>
        <w:t xml:space="preserve"> s’applique.  La preuve démontrant que l’appelant était impliqué comme membre du complot était accablante et, après que le jury a rejeté la défense présentée par J, il était inévitable que ce dernier soit déclaré coupable de l’infraction établie au par. 465(1) du </w:t>
      </w:r>
      <w:r w:rsidRPr="0024089F">
        <w:rPr>
          <w:i/>
          <w:sz w:val="20"/>
          <w:lang w:val="fr-CA"/>
        </w:rPr>
        <w:t>Code criminel</w:t>
      </w:r>
      <w:r w:rsidRPr="0024089F">
        <w:rPr>
          <w:sz w:val="20"/>
          <w:lang w:val="fr-CA"/>
        </w:rPr>
        <w:t>.</w:t>
      </w:r>
    </w:p>
    <w:p w:rsidR="006902EF" w:rsidRPr="0024089F" w:rsidRDefault="006902EF" w:rsidP="006902EF">
      <w:pPr>
        <w:pStyle w:val="SCCNormalDoubleSpacing"/>
        <w:spacing w:line="240" w:lineRule="auto"/>
        <w:rPr>
          <w:sz w:val="20"/>
          <w:lang w:val="fr-CA"/>
        </w:rPr>
      </w:pPr>
    </w:p>
    <w:p w:rsidR="006902EF" w:rsidRDefault="006902EF" w:rsidP="006902EF">
      <w:pPr>
        <w:pStyle w:val="SCCNormalDoubleSpacing"/>
        <w:spacing w:line="240" w:lineRule="auto"/>
        <w:rPr>
          <w:sz w:val="20"/>
          <w:lang w:val="fr-CA"/>
        </w:rPr>
      </w:pPr>
      <w:r w:rsidRPr="0024089F">
        <w:rPr>
          <w:sz w:val="20"/>
          <w:lang w:val="fr-CA"/>
        </w:rPr>
        <w:tab/>
        <w:t>Enfin, les deux moyens d’appel se rapportant à la preuve admise en vertu de l’exception à la règle du ouï</w:t>
      </w:r>
      <w:r w:rsidRPr="0024089F">
        <w:rPr>
          <w:sz w:val="20"/>
          <w:lang w:val="fr-CA"/>
        </w:rPr>
        <w:noBreakHyphen/>
        <w:t>dire relative aux coconspirateurs sont rejetés.</w:t>
      </w:r>
    </w:p>
    <w:p w:rsidR="006902EF" w:rsidRDefault="006902EF" w:rsidP="006902EF">
      <w:pPr>
        <w:pStyle w:val="SCCNormalDoubleSpacing"/>
        <w:spacing w:line="240" w:lineRule="auto"/>
        <w:rPr>
          <w:sz w:val="20"/>
          <w:lang w:val="fr-CA"/>
        </w:rPr>
      </w:pPr>
    </w:p>
    <w:p w:rsidR="006902EF" w:rsidRPr="0024089F" w:rsidRDefault="006902EF" w:rsidP="006902EF">
      <w:pPr>
        <w:pStyle w:val="SCCNormalDoubleSpacing"/>
        <w:spacing w:line="240" w:lineRule="auto"/>
        <w:rPr>
          <w:sz w:val="20"/>
          <w:lang w:val="fr-CA"/>
        </w:rPr>
      </w:pPr>
      <w:r w:rsidRPr="006902EF">
        <w:rPr>
          <w:sz w:val="20"/>
          <w:lang w:val="fr-CA"/>
        </w:rPr>
        <w:tab/>
      </w:r>
      <w:r w:rsidRPr="0024089F">
        <w:rPr>
          <w:sz w:val="20"/>
          <w:lang w:val="fr-CA"/>
        </w:rPr>
        <w:t>POURVOI contre un arrêt de la Cour d’appel de l’Ontario (les juges Rosenberg, Rouleau et Epstein), 2011 ONCA 220, 105 O.R. (3d) 161, 276 O.A.C. 292, 269 C.C.C. (3d) 258, 85 C.R. (6th) 304, [2011] O.J. No. 1577 (QL), 2011 CarswellOnt 2329, qui a confirmé la déclaration de culpabilité prononcée contre l’accusé pour complot en vue de commettre un meurtre.  Pourvoi rejeté.</w:t>
      </w:r>
    </w:p>
    <w:p w:rsidR="006902EF" w:rsidRDefault="006902EF" w:rsidP="006902EF">
      <w:pPr>
        <w:pStyle w:val="SCCNormalDoubleSpacing"/>
        <w:spacing w:line="240" w:lineRule="auto"/>
        <w:rPr>
          <w:i/>
          <w:sz w:val="20"/>
          <w:lang w:val="fr-CA"/>
        </w:rPr>
      </w:pPr>
    </w:p>
    <w:p w:rsidR="006902EF" w:rsidRPr="0024089F" w:rsidRDefault="006902EF" w:rsidP="006902EF">
      <w:pPr>
        <w:pStyle w:val="SCCNormalDoubleSpacing"/>
        <w:spacing w:line="240" w:lineRule="auto"/>
        <w:rPr>
          <w:sz w:val="20"/>
          <w:lang w:val="fr-CA"/>
        </w:rPr>
      </w:pPr>
      <w:r w:rsidRPr="0024089F">
        <w:rPr>
          <w:i/>
          <w:sz w:val="20"/>
          <w:lang w:val="fr-CA"/>
        </w:rPr>
        <w:tab/>
        <w:t>Ian R. Mang</w:t>
      </w:r>
      <w:r w:rsidRPr="0024089F">
        <w:rPr>
          <w:sz w:val="20"/>
          <w:lang w:val="fr-CA"/>
        </w:rPr>
        <w:t xml:space="preserve"> et </w:t>
      </w:r>
      <w:r w:rsidRPr="0024089F">
        <w:rPr>
          <w:i/>
          <w:sz w:val="20"/>
          <w:lang w:val="fr-CA"/>
        </w:rPr>
        <w:t>Shelley M. Kierstead</w:t>
      </w:r>
      <w:r w:rsidRPr="0024089F">
        <w:rPr>
          <w:sz w:val="20"/>
          <w:lang w:val="fr-CA"/>
        </w:rPr>
        <w:t>, pour l’appelant.</w:t>
      </w:r>
    </w:p>
    <w:p w:rsidR="006902EF" w:rsidRDefault="006902EF" w:rsidP="006902EF">
      <w:pPr>
        <w:pStyle w:val="SCCNormalDoubleSpacing"/>
        <w:spacing w:line="240" w:lineRule="auto"/>
        <w:rPr>
          <w:i/>
          <w:sz w:val="20"/>
          <w:lang w:val="fr-CA"/>
        </w:rPr>
      </w:pPr>
    </w:p>
    <w:p w:rsidR="006902EF" w:rsidRPr="0024089F" w:rsidRDefault="006902EF" w:rsidP="006902EF">
      <w:pPr>
        <w:pStyle w:val="SCCNormalDoubleSpacing"/>
        <w:spacing w:line="240" w:lineRule="auto"/>
        <w:rPr>
          <w:sz w:val="20"/>
          <w:lang w:val="fr-CA"/>
        </w:rPr>
      </w:pPr>
      <w:r w:rsidRPr="0024089F">
        <w:rPr>
          <w:i/>
          <w:sz w:val="20"/>
          <w:lang w:val="fr-CA"/>
        </w:rPr>
        <w:tab/>
        <w:t>Alexander Alvaro</w:t>
      </w:r>
      <w:r w:rsidRPr="0024089F">
        <w:rPr>
          <w:sz w:val="20"/>
          <w:lang w:val="fr-CA"/>
        </w:rPr>
        <w:t xml:space="preserve"> et </w:t>
      </w:r>
      <w:r w:rsidRPr="0024089F">
        <w:rPr>
          <w:i/>
          <w:sz w:val="20"/>
          <w:lang w:val="fr-CA"/>
        </w:rPr>
        <w:t>Andreea Baiasu</w:t>
      </w:r>
      <w:r w:rsidRPr="0024089F">
        <w:rPr>
          <w:sz w:val="20"/>
          <w:lang w:val="fr-CA"/>
        </w:rPr>
        <w:t>, pour l’intimée.</w:t>
      </w:r>
    </w:p>
    <w:p w:rsidR="006902EF" w:rsidRDefault="006902EF" w:rsidP="006902EF">
      <w:pPr>
        <w:pStyle w:val="SCCNormalDoubleSpacing"/>
        <w:spacing w:line="240" w:lineRule="auto"/>
        <w:rPr>
          <w:i/>
          <w:sz w:val="20"/>
          <w:lang w:val="fr-CA"/>
        </w:rPr>
      </w:pPr>
    </w:p>
    <w:p w:rsidR="006902EF" w:rsidRPr="0024089F" w:rsidRDefault="006902EF" w:rsidP="006902EF">
      <w:pPr>
        <w:pStyle w:val="SCCNormalDoubleSpacing"/>
        <w:spacing w:line="240" w:lineRule="auto"/>
        <w:rPr>
          <w:sz w:val="20"/>
          <w:lang w:val="fr-CA"/>
        </w:rPr>
      </w:pPr>
      <w:r w:rsidRPr="0024089F">
        <w:rPr>
          <w:i/>
          <w:sz w:val="20"/>
          <w:lang w:val="fr-CA"/>
        </w:rPr>
        <w:tab/>
        <w:t>Ryan D. W. Dalziel et Micah B. Rankin</w:t>
      </w:r>
      <w:r w:rsidRPr="0024089F">
        <w:rPr>
          <w:sz w:val="20"/>
          <w:lang w:val="fr-CA"/>
        </w:rPr>
        <w:t>, pour l’intervenante.</w:t>
      </w:r>
    </w:p>
    <w:p w:rsidR="006902EF" w:rsidRDefault="006902EF" w:rsidP="006902EF">
      <w:pPr>
        <w:pStyle w:val="SCCLawFirm"/>
        <w:spacing w:line="240" w:lineRule="auto"/>
        <w:rPr>
          <w:sz w:val="20"/>
          <w:lang w:val="fr-CA"/>
        </w:rPr>
      </w:pPr>
    </w:p>
    <w:p w:rsidR="006902EF" w:rsidRPr="0024089F" w:rsidRDefault="006902EF" w:rsidP="006902EF">
      <w:pPr>
        <w:pStyle w:val="SCCLawFirm"/>
        <w:spacing w:line="240" w:lineRule="auto"/>
        <w:rPr>
          <w:sz w:val="20"/>
          <w:lang w:val="fr-CA"/>
        </w:rPr>
      </w:pPr>
      <w:r w:rsidRPr="0024089F">
        <w:rPr>
          <w:sz w:val="20"/>
          <w:lang w:val="fr-CA"/>
        </w:rPr>
        <w:tab/>
        <w:t>Procureurs de l’appelant : Mang, Steinberg, Toronto.</w:t>
      </w:r>
    </w:p>
    <w:p w:rsidR="006902EF" w:rsidRDefault="006902EF" w:rsidP="006902EF">
      <w:pPr>
        <w:pStyle w:val="SCCLawFirm"/>
        <w:spacing w:line="240" w:lineRule="auto"/>
        <w:rPr>
          <w:sz w:val="20"/>
          <w:lang w:val="fr-CA"/>
        </w:rPr>
      </w:pPr>
    </w:p>
    <w:p w:rsidR="006902EF" w:rsidRDefault="006902EF">
      <w:pPr>
        <w:rPr>
          <w:rFonts w:eastAsia="Times New Roman" w:cs="Times New Roman"/>
          <w:i/>
          <w:sz w:val="20"/>
          <w:szCs w:val="20"/>
          <w:lang w:val="fr-CA" w:eastAsia="en-CA"/>
        </w:rPr>
      </w:pPr>
      <w:r>
        <w:rPr>
          <w:sz w:val="20"/>
          <w:lang w:val="fr-CA"/>
        </w:rPr>
        <w:br w:type="page"/>
      </w:r>
    </w:p>
    <w:p w:rsidR="006902EF" w:rsidRPr="0024089F" w:rsidRDefault="006902EF" w:rsidP="006902EF">
      <w:pPr>
        <w:pStyle w:val="SCCLawFirm"/>
        <w:spacing w:line="240" w:lineRule="auto"/>
        <w:rPr>
          <w:sz w:val="20"/>
          <w:lang w:val="fr-CA"/>
        </w:rPr>
      </w:pPr>
      <w:r w:rsidRPr="0024089F">
        <w:rPr>
          <w:sz w:val="20"/>
          <w:lang w:val="fr-CA"/>
        </w:rPr>
        <w:lastRenderedPageBreak/>
        <w:tab/>
        <w:t>Procureur de l’intimée : Procureur général de l’Ontario, Toronto.</w:t>
      </w:r>
    </w:p>
    <w:p w:rsidR="006902EF" w:rsidRDefault="006902EF" w:rsidP="006902EF">
      <w:pPr>
        <w:pStyle w:val="SCCLawFirm"/>
        <w:spacing w:line="240" w:lineRule="auto"/>
        <w:rPr>
          <w:sz w:val="20"/>
          <w:lang w:val="fr-CA"/>
        </w:rPr>
      </w:pPr>
    </w:p>
    <w:p w:rsidR="006902EF" w:rsidRDefault="006902EF" w:rsidP="006902EF">
      <w:pPr>
        <w:pStyle w:val="SCCLawFirm"/>
        <w:spacing w:line="240" w:lineRule="auto"/>
        <w:rPr>
          <w:sz w:val="20"/>
          <w:lang w:val="fr-CA"/>
        </w:rPr>
      </w:pPr>
      <w:r w:rsidRPr="0024089F">
        <w:rPr>
          <w:sz w:val="20"/>
          <w:lang w:val="fr-CA"/>
        </w:rPr>
        <w:tab/>
        <w:t>Procureurs de l’intervenante : Bull, Housser &amp; Tupper, Vancouver.</w:t>
      </w:r>
    </w:p>
    <w:p w:rsidR="006138E2" w:rsidRDefault="006138E2" w:rsidP="003B3977">
      <w:pPr>
        <w:rPr>
          <w:sz w:val="20"/>
          <w:szCs w:val="20"/>
          <w:lang w:val="fr-CA"/>
        </w:rPr>
      </w:pPr>
    </w:p>
    <w:p w:rsidR="006902EF" w:rsidRDefault="00CB0178" w:rsidP="003B3977">
      <w:pPr>
        <w:rPr>
          <w:sz w:val="20"/>
          <w:szCs w:val="20"/>
          <w:lang w:val="fr-CA"/>
        </w:rPr>
      </w:pPr>
      <w:r w:rsidRPr="00CB0178">
        <w:rPr>
          <w:rFonts w:cs="Times New Roman"/>
          <w:sz w:val="20"/>
          <w:szCs w:val="20"/>
          <w:lang w:val="fr-CA"/>
        </w:rPr>
        <w:pict>
          <v:rect id="_x0000_i1075" style="width:144.3pt;height:1pt" o:hrpct="300" o:hralign="center" o:hrstd="t" o:hrnoshade="t" o:hr="t" fillcolor="black [3213]" stroked="f"/>
        </w:pict>
      </w:r>
    </w:p>
    <w:p w:rsidR="006902EF" w:rsidRPr="006902EF" w:rsidRDefault="006902EF" w:rsidP="003B3977">
      <w:pPr>
        <w:rPr>
          <w:sz w:val="20"/>
          <w:szCs w:val="20"/>
          <w:lang w:val="fr-CA"/>
        </w:rPr>
      </w:pPr>
    </w:p>
    <w:p w:rsidR="005C6840" w:rsidRPr="006902EF" w:rsidRDefault="005C6840" w:rsidP="005C6840">
      <w:pPr>
        <w:jc w:val="both"/>
        <w:rPr>
          <w:sz w:val="20"/>
          <w:szCs w:val="20"/>
          <w:lang w:val="fr-CA"/>
        </w:rPr>
      </w:pPr>
    </w:p>
    <w:p w:rsidR="00102926" w:rsidRPr="006902EF" w:rsidRDefault="00102926" w:rsidP="00782AE4">
      <w:pPr>
        <w:jc w:val="both"/>
        <w:rPr>
          <w:sz w:val="20"/>
          <w:szCs w:val="20"/>
          <w:lang w:val="fr-CA"/>
        </w:rPr>
        <w:sectPr w:rsidR="00102926" w:rsidRPr="006902EF" w:rsidSect="00782AE4">
          <w:headerReference w:type="even" r:id="rId54"/>
          <w:headerReference w:type="default" r:id="rId55"/>
          <w:footerReference w:type="even" r:id="rId56"/>
          <w:footerReference w:type="default" r:id="rId57"/>
          <w:headerReference w:type="first" r:id="rId58"/>
          <w:footerReference w:type="first" r:id="rId59"/>
          <w:pgSz w:w="12240" w:h="15840"/>
          <w:pgMar w:top="720" w:right="965" w:bottom="1080" w:left="1656" w:header="576" w:footer="960" w:gutter="0"/>
          <w:cols w:space="720"/>
          <w:titlePg/>
          <w:docGrid w:linePitch="272"/>
        </w:sectPr>
      </w:pPr>
    </w:p>
    <w:p w:rsidR="00091FA6" w:rsidRPr="002E0C7E" w:rsidRDefault="00CB0178" w:rsidP="00091FA6">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091FA6"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091FA6" w:rsidRPr="002E0C7E">
        <w:rPr>
          <w:rFonts w:asciiTheme="minorHAnsi" w:hAnsiTheme="minorHAnsi" w:cstheme="minorHAnsi"/>
          <w:b/>
          <w:szCs w:val="24"/>
        </w:rPr>
        <w:t>SUPREME COURT OF CANADA SCHEDULE / CALENDRIER DE LA COUR SUPREME</w:t>
      </w:r>
    </w:p>
    <w:p w:rsidR="00091FA6" w:rsidRPr="002E0C7E" w:rsidRDefault="00091FA6" w:rsidP="00091FA6">
      <w:pPr>
        <w:widowControl w:val="0"/>
        <w:spacing w:line="180" w:lineRule="auto"/>
        <w:rPr>
          <w:rFonts w:asciiTheme="minorHAnsi" w:hAnsiTheme="minorHAnsi" w:cstheme="minorHAnsi"/>
          <w:szCs w:val="24"/>
        </w:rPr>
      </w:pPr>
    </w:p>
    <w:p w:rsidR="00091FA6" w:rsidRPr="002E0C7E" w:rsidRDefault="00091FA6" w:rsidP="00091FA6">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2</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091FA6" w:rsidRPr="002E0C7E" w:rsidTr="001233FB">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1233FB">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1233FB">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1233FB">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1233FB">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1233FB">
            <w:pPr>
              <w:widowControl w:val="0"/>
              <w:jc w:val="center"/>
              <w:rPr>
                <w:rFonts w:ascii="Arial" w:hAnsi="Arial"/>
                <w:sz w:val="14"/>
              </w:rPr>
            </w:pPr>
            <w:r w:rsidRPr="002E0C7E">
              <w:rPr>
                <w:rFonts w:ascii="Arial" w:hAnsi="Arial"/>
                <w:b/>
                <w:sz w:val="14"/>
              </w:rPr>
              <w:t>DECEMBER - DÉCEMBRE</w:t>
            </w:r>
          </w:p>
        </w:tc>
      </w:tr>
      <w:tr w:rsidR="00091FA6" w:rsidRPr="002E0C7E" w:rsidTr="001233FB">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S</w:t>
            </w:r>
          </w:p>
          <w:p w:rsidR="00091FA6" w:rsidRPr="002E0C7E" w:rsidRDefault="00091FA6" w:rsidP="001233FB">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M</w:t>
            </w:r>
          </w:p>
          <w:p w:rsidR="00091FA6" w:rsidRPr="002E0C7E" w:rsidRDefault="00091FA6" w:rsidP="001233FB">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T</w:t>
            </w:r>
          </w:p>
          <w:p w:rsidR="00091FA6" w:rsidRPr="002E0C7E" w:rsidRDefault="00091FA6" w:rsidP="001233FB">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W</w:t>
            </w:r>
          </w:p>
          <w:p w:rsidR="00091FA6" w:rsidRPr="002E0C7E" w:rsidRDefault="00091FA6" w:rsidP="001233FB">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T</w:t>
            </w:r>
          </w:p>
          <w:p w:rsidR="00091FA6" w:rsidRPr="002E0C7E" w:rsidRDefault="00091FA6" w:rsidP="001233FB">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F</w:t>
            </w:r>
          </w:p>
          <w:p w:rsidR="00091FA6" w:rsidRPr="002E0C7E" w:rsidRDefault="00091FA6" w:rsidP="001233FB">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S</w:t>
            </w:r>
          </w:p>
          <w:p w:rsidR="00091FA6" w:rsidRPr="002E0C7E" w:rsidRDefault="00091FA6" w:rsidP="001233FB">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S</w:t>
            </w:r>
          </w:p>
          <w:p w:rsidR="00091FA6" w:rsidRPr="002E0C7E" w:rsidRDefault="00091FA6" w:rsidP="001233FB">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M</w:t>
            </w:r>
          </w:p>
          <w:p w:rsidR="00091FA6" w:rsidRPr="002E0C7E" w:rsidRDefault="00091FA6" w:rsidP="001233FB">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T</w:t>
            </w:r>
          </w:p>
          <w:p w:rsidR="00091FA6" w:rsidRPr="002E0C7E" w:rsidRDefault="00091FA6" w:rsidP="001233FB">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W</w:t>
            </w:r>
          </w:p>
          <w:p w:rsidR="00091FA6" w:rsidRPr="002E0C7E" w:rsidRDefault="00091FA6" w:rsidP="001233FB">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T</w:t>
            </w:r>
          </w:p>
          <w:p w:rsidR="00091FA6" w:rsidRPr="002E0C7E" w:rsidRDefault="00091FA6" w:rsidP="001233FB">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F</w:t>
            </w:r>
          </w:p>
          <w:p w:rsidR="00091FA6" w:rsidRPr="002E0C7E" w:rsidRDefault="00091FA6" w:rsidP="001233FB">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S</w:t>
            </w:r>
          </w:p>
          <w:p w:rsidR="00091FA6" w:rsidRPr="002E0C7E" w:rsidRDefault="00091FA6" w:rsidP="001233FB">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S</w:t>
            </w:r>
          </w:p>
          <w:p w:rsidR="00091FA6" w:rsidRPr="002E0C7E" w:rsidRDefault="00091FA6" w:rsidP="001233FB">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M</w:t>
            </w:r>
          </w:p>
          <w:p w:rsidR="00091FA6" w:rsidRPr="002E0C7E" w:rsidRDefault="00091FA6" w:rsidP="001233FB">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T</w:t>
            </w:r>
          </w:p>
          <w:p w:rsidR="00091FA6" w:rsidRPr="002E0C7E" w:rsidRDefault="00091FA6" w:rsidP="001233FB">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W</w:t>
            </w:r>
          </w:p>
          <w:p w:rsidR="00091FA6" w:rsidRPr="002E0C7E" w:rsidRDefault="00091FA6" w:rsidP="001233FB">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T</w:t>
            </w:r>
          </w:p>
          <w:p w:rsidR="00091FA6" w:rsidRPr="002E0C7E" w:rsidRDefault="00091FA6" w:rsidP="001233FB">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F</w:t>
            </w:r>
          </w:p>
          <w:p w:rsidR="00091FA6" w:rsidRPr="002E0C7E" w:rsidRDefault="00091FA6" w:rsidP="001233FB">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S</w:t>
            </w:r>
          </w:p>
          <w:p w:rsidR="00091FA6" w:rsidRPr="002E0C7E" w:rsidRDefault="00091FA6" w:rsidP="001233FB">
            <w:pPr>
              <w:widowControl w:val="0"/>
              <w:jc w:val="center"/>
              <w:rPr>
                <w:rFonts w:ascii="Arial" w:hAnsi="Arial"/>
                <w:sz w:val="14"/>
              </w:rPr>
            </w:pPr>
            <w:r w:rsidRPr="002E0C7E">
              <w:rPr>
                <w:rFonts w:ascii="Arial" w:hAnsi="Arial"/>
                <w:sz w:val="14"/>
              </w:rPr>
              <w:t>S</w:t>
            </w:r>
          </w:p>
        </w:tc>
      </w:tr>
      <w:tr w:rsidR="00091FA6" w:rsidRPr="002E0C7E" w:rsidTr="001233FB">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p>
        </w:tc>
        <w:tc>
          <w:tcPr>
            <w:tcW w:w="488"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3</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4</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p>
        </w:tc>
        <w:tc>
          <w:tcPr>
            <w:tcW w:w="457"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2</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1</w:t>
            </w:r>
          </w:p>
        </w:tc>
      </w:tr>
      <w:tr w:rsidR="00091FA6" w:rsidRPr="002E0C7E" w:rsidTr="001233FB">
        <w:trPr>
          <w:cantSplit/>
          <w:trHeight w:val="288"/>
          <w:jc w:val="center"/>
        </w:trPr>
        <w:tc>
          <w:tcPr>
            <w:tcW w:w="45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7</w:t>
            </w:r>
          </w:p>
        </w:tc>
        <w:tc>
          <w:tcPr>
            <w:tcW w:w="488"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0C583B" w:rsidRDefault="00091FA6" w:rsidP="001233FB">
            <w:pPr>
              <w:widowControl w:val="0"/>
              <w:jc w:val="center"/>
              <w:rPr>
                <w:rFonts w:ascii="Arial" w:hAnsi="Arial"/>
                <w:b/>
                <w:sz w:val="14"/>
              </w:rPr>
            </w:pPr>
            <w:r w:rsidRPr="000C583B">
              <w:rPr>
                <w:rFonts w:ascii="Arial" w:hAnsi="Arial"/>
                <w:b/>
                <w:sz w:val="14"/>
              </w:rPr>
              <w:t>H</w:t>
            </w:r>
          </w:p>
          <w:p w:rsidR="00091FA6" w:rsidRPr="002E0C7E" w:rsidRDefault="00091FA6" w:rsidP="001233FB">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091FA6" w:rsidRPr="000C583B" w:rsidRDefault="00091FA6" w:rsidP="001233FB">
            <w:pPr>
              <w:widowControl w:val="0"/>
              <w:jc w:val="center"/>
              <w:rPr>
                <w:rFonts w:ascii="Arial" w:hAnsi="Arial"/>
                <w:b/>
                <w:sz w:val="14"/>
              </w:rPr>
            </w:pPr>
            <w:r w:rsidRPr="000C583B">
              <w:rPr>
                <w:rFonts w:ascii="Arial" w:hAnsi="Arial"/>
                <w:b/>
                <w:sz w:val="14"/>
              </w:rPr>
              <w:t>M</w:t>
            </w:r>
          </w:p>
          <w:p w:rsidR="00091FA6" w:rsidRPr="002E0C7E" w:rsidRDefault="00091FA6" w:rsidP="001233FB">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10</w:t>
            </w:r>
          </w:p>
        </w:tc>
        <w:tc>
          <w:tcPr>
            <w:tcW w:w="463"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11</w:t>
            </w:r>
          </w:p>
        </w:tc>
        <w:tc>
          <w:tcPr>
            <w:tcW w:w="475"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4</w:t>
            </w:r>
          </w:p>
        </w:tc>
        <w:tc>
          <w:tcPr>
            <w:tcW w:w="457"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b/>
                <w:sz w:val="14"/>
              </w:rPr>
              <w:t>M</w:t>
            </w:r>
          </w:p>
          <w:p w:rsidR="00091FA6" w:rsidRPr="002E0C7E" w:rsidRDefault="00091FA6" w:rsidP="001233FB">
            <w:pPr>
              <w:widowControl w:val="0"/>
              <w:jc w:val="center"/>
              <w:rPr>
                <w:rFonts w:ascii="Arial" w:hAnsi="Arial"/>
                <w:sz w:val="14"/>
              </w:rPr>
            </w:pPr>
            <w:r>
              <w:rPr>
                <w:rFonts w:ascii="Arial" w:hAnsi="Arial"/>
                <w:sz w:val="14"/>
              </w:rPr>
              <w:t>5</w:t>
            </w:r>
          </w:p>
        </w:tc>
        <w:tc>
          <w:tcPr>
            <w:tcW w:w="506"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7</w:t>
            </w:r>
          </w:p>
        </w:tc>
        <w:tc>
          <w:tcPr>
            <w:tcW w:w="484"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9</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2</w:t>
            </w:r>
          </w:p>
        </w:tc>
        <w:tc>
          <w:tcPr>
            <w:tcW w:w="45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b/>
                <w:sz w:val="14"/>
              </w:rPr>
              <w:t>M</w:t>
            </w:r>
          </w:p>
          <w:p w:rsidR="00091FA6" w:rsidRPr="002E0C7E" w:rsidRDefault="00091FA6" w:rsidP="001233FB">
            <w:pPr>
              <w:widowControl w:val="0"/>
              <w:jc w:val="center"/>
              <w:rPr>
                <w:rFonts w:ascii="Arial" w:hAnsi="Arial"/>
                <w:sz w:val="14"/>
              </w:rPr>
            </w:pPr>
            <w:r>
              <w:rPr>
                <w:rFonts w:ascii="Arial" w:hAnsi="Arial"/>
                <w:sz w:val="14"/>
              </w:rPr>
              <w:t>3</w:t>
            </w:r>
          </w:p>
        </w:tc>
        <w:tc>
          <w:tcPr>
            <w:tcW w:w="54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8</w:t>
            </w:r>
          </w:p>
        </w:tc>
      </w:tr>
      <w:tr w:rsidR="00091FA6" w:rsidRPr="002E0C7E" w:rsidTr="001233FB">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14</w:t>
            </w:r>
          </w:p>
        </w:tc>
        <w:tc>
          <w:tcPr>
            <w:tcW w:w="488"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0C583B" w:rsidRDefault="00091FA6" w:rsidP="001233FB">
            <w:pPr>
              <w:widowControl w:val="0"/>
              <w:jc w:val="center"/>
              <w:rPr>
                <w:rFonts w:ascii="Arial" w:hAnsi="Arial"/>
                <w:b/>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0C583B"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7</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8</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11</w:t>
            </w:r>
          </w:p>
        </w:tc>
        <w:tc>
          <w:tcPr>
            <w:tcW w:w="457"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4030BA" w:rsidRDefault="00091FA6" w:rsidP="001233FB">
            <w:pPr>
              <w:widowControl w:val="0"/>
              <w:jc w:val="center"/>
              <w:rPr>
                <w:rFonts w:ascii="Arial" w:hAnsi="Arial"/>
                <w:sz w:val="14"/>
              </w:rPr>
            </w:pPr>
            <w:r>
              <w:rPr>
                <w:rFonts w:ascii="Arial" w:hAnsi="Arial"/>
                <w:b/>
                <w:sz w:val="14"/>
              </w:rPr>
              <w:t>H</w:t>
            </w: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2</w:t>
            </w:r>
          </w:p>
        </w:tc>
        <w:tc>
          <w:tcPr>
            <w:tcW w:w="506"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13</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4</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6</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9</w:t>
            </w:r>
          </w:p>
        </w:tc>
        <w:tc>
          <w:tcPr>
            <w:tcW w:w="45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0</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3</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1233FB">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2</w:t>
            </w:r>
            <w:r w:rsidRPr="002E0C7E">
              <w:rPr>
                <w:rFonts w:ascii="Arial" w:hAnsi="Arial"/>
                <w:sz w:val="14"/>
              </w:rPr>
              <w:t>1</w:t>
            </w:r>
          </w:p>
        </w:tc>
        <w:tc>
          <w:tcPr>
            <w:tcW w:w="48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24</w:t>
            </w:r>
          </w:p>
        </w:tc>
        <w:tc>
          <w:tcPr>
            <w:tcW w:w="463"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5</w:t>
            </w:r>
          </w:p>
        </w:tc>
        <w:tc>
          <w:tcPr>
            <w:tcW w:w="475"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18</w:t>
            </w:r>
          </w:p>
        </w:tc>
        <w:tc>
          <w:tcPr>
            <w:tcW w:w="457" w:type="dxa"/>
            <w:tcBorders>
              <w:top w:val="double" w:sz="6" w:space="0" w:color="000000"/>
              <w:left w:val="single" w:sz="8" w:space="0" w:color="000000"/>
              <w:bottom w:val="nil"/>
              <w:right w:val="nil"/>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9</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1</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3</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7</w:t>
            </w:r>
          </w:p>
        </w:tc>
        <w:tc>
          <w:tcPr>
            <w:tcW w:w="54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18</w:t>
            </w: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0</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1233FB">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28</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31</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5</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6</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28</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30</w:t>
            </w: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Pr>
                <w:rFonts w:ascii="Arial" w:hAnsi="Arial"/>
                <w:sz w:val="14"/>
              </w:rPr>
              <w:t>23</w:t>
            </w:r>
          </w:p>
          <w:p w:rsidR="00091FA6" w:rsidRPr="002E0C7E" w:rsidRDefault="00091FA6" w:rsidP="001233FB">
            <w:pPr>
              <w:widowControl w:val="0"/>
              <w:jc w:val="center"/>
              <w:rPr>
                <w:rFonts w:ascii="Arial" w:hAnsi="Arial"/>
                <w:sz w:val="14"/>
              </w:rPr>
            </w:pPr>
            <w:r>
              <w:rPr>
                <w:rFonts w:ascii="Arial" w:hAnsi="Arial"/>
                <w:sz w:val="14"/>
              </w:rPr>
              <w:t xml:space="preserve">  30</w:t>
            </w:r>
          </w:p>
        </w:tc>
        <w:tc>
          <w:tcPr>
            <w:tcW w:w="450" w:type="dxa"/>
            <w:tcBorders>
              <w:top w:val="single" w:sz="8" w:space="0" w:color="000000"/>
              <w:left w:val="single" w:sz="8"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Pr>
                <w:rFonts w:ascii="Arial" w:hAnsi="Arial"/>
                <w:sz w:val="14"/>
              </w:rPr>
              <w:t>24</w:t>
            </w:r>
          </w:p>
          <w:p w:rsidR="00091FA6" w:rsidRPr="002E0C7E" w:rsidRDefault="00091FA6" w:rsidP="001233FB">
            <w:pPr>
              <w:widowControl w:val="0"/>
              <w:jc w:val="center"/>
              <w:rPr>
                <w:rFonts w:ascii="Arial" w:hAnsi="Arial"/>
                <w:sz w:val="14"/>
              </w:rPr>
            </w:pPr>
            <w:r>
              <w:rPr>
                <w:rFonts w:ascii="Arial" w:hAnsi="Arial"/>
                <w:sz w:val="14"/>
              </w:rPr>
              <w:t xml:space="preserve">  31</w:t>
            </w:r>
          </w:p>
        </w:tc>
        <w:tc>
          <w:tcPr>
            <w:tcW w:w="54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b/>
                <w:sz w:val="14"/>
              </w:rPr>
              <w:t>H</w:t>
            </w: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5</w:t>
            </w:r>
          </w:p>
        </w:tc>
        <w:tc>
          <w:tcPr>
            <w:tcW w:w="45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6</w:t>
            </w:r>
          </w:p>
        </w:tc>
        <w:tc>
          <w:tcPr>
            <w:tcW w:w="450" w:type="dxa"/>
            <w:tcBorders>
              <w:top w:val="single" w:sz="8" w:space="0" w:color="000000"/>
              <w:left w:val="double" w:sz="6"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7</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29</w:t>
            </w:r>
          </w:p>
        </w:tc>
      </w:tr>
    </w:tbl>
    <w:p w:rsidR="00091FA6" w:rsidRPr="002E0C7E" w:rsidRDefault="00091FA6" w:rsidP="00091FA6">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091FA6" w:rsidRPr="002E0C7E" w:rsidTr="001233FB">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1233FB">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1233FB">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1233FB">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1233FB">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1233FB">
            <w:pPr>
              <w:widowControl w:val="0"/>
              <w:jc w:val="center"/>
              <w:rPr>
                <w:rFonts w:ascii="Arial" w:hAnsi="Arial"/>
                <w:sz w:val="14"/>
              </w:rPr>
            </w:pPr>
            <w:r w:rsidRPr="002E0C7E">
              <w:rPr>
                <w:rFonts w:ascii="Arial" w:hAnsi="Arial"/>
                <w:b/>
                <w:sz w:val="14"/>
              </w:rPr>
              <w:t>MARCH - MARS</w:t>
            </w:r>
          </w:p>
        </w:tc>
      </w:tr>
      <w:tr w:rsidR="00091FA6" w:rsidRPr="002E0C7E" w:rsidTr="001233FB">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S</w:t>
            </w:r>
          </w:p>
          <w:p w:rsidR="00091FA6" w:rsidRPr="002E0C7E" w:rsidRDefault="00091FA6" w:rsidP="001233FB">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M</w:t>
            </w:r>
          </w:p>
          <w:p w:rsidR="00091FA6" w:rsidRPr="002E0C7E" w:rsidRDefault="00091FA6" w:rsidP="001233FB">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T</w:t>
            </w:r>
          </w:p>
          <w:p w:rsidR="00091FA6" w:rsidRPr="002E0C7E" w:rsidRDefault="00091FA6" w:rsidP="001233FB">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W</w:t>
            </w:r>
          </w:p>
          <w:p w:rsidR="00091FA6" w:rsidRPr="002E0C7E" w:rsidRDefault="00091FA6" w:rsidP="001233FB">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T</w:t>
            </w:r>
          </w:p>
          <w:p w:rsidR="00091FA6" w:rsidRPr="002E0C7E" w:rsidRDefault="00091FA6" w:rsidP="001233FB">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F</w:t>
            </w:r>
          </w:p>
          <w:p w:rsidR="00091FA6" w:rsidRPr="002E0C7E" w:rsidRDefault="00091FA6" w:rsidP="001233FB">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S</w:t>
            </w:r>
          </w:p>
          <w:p w:rsidR="00091FA6" w:rsidRPr="002E0C7E" w:rsidRDefault="00091FA6" w:rsidP="001233FB">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S</w:t>
            </w:r>
          </w:p>
          <w:p w:rsidR="00091FA6" w:rsidRPr="002E0C7E" w:rsidRDefault="00091FA6" w:rsidP="001233FB">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M</w:t>
            </w:r>
          </w:p>
          <w:p w:rsidR="00091FA6" w:rsidRPr="002E0C7E" w:rsidRDefault="00091FA6" w:rsidP="001233FB">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T</w:t>
            </w:r>
          </w:p>
          <w:p w:rsidR="00091FA6" w:rsidRPr="002E0C7E" w:rsidRDefault="00091FA6" w:rsidP="001233FB">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W</w:t>
            </w:r>
          </w:p>
          <w:p w:rsidR="00091FA6" w:rsidRPr="002E0C7E" w:rsidRDefault="00091FA6" w:rsidP="001233FB">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T</w:t>
            </w:r>
          </w:p>
          <w:p w:rsidR="00091FA6" w:rsidRPr="002E0C7E" w:rsidRDefault="00091FA6" w:rsidP="001233FB">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F</w:t>
            </w:r>
          </w:p>
          <w:p w:rsidR="00091FA6" w:rsidRPr="002E0C7E" w:rsidRDefault="00091FA6" w:rsidP="001233FB">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S</w:t>
            </w:r>
          </w:p>
          <w:p w:rsidR="00091FA6" w:rsidRPr="002E0C7E" w:rsidRDefault="00091FA6" w:rsidP="001233FB">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S</w:t>
            </w:r>
          </w:p>
          <w:p w:rsidR="00091FA6" w:rsidRPr="002E0C7E" w:rsidRDefault="00091FA6" w:rsidP="001233FB">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M</w:t>
            </w:r>
          </w:p>
          <w:p w:rsidR="00091FA6" w:rsidRPr="002E0C7E" w:rsidRDefault="00091FA6" w:rsidP="001233FB">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T</w:t>
            </w:r>
          </w:p>
          <w:p w:rsidR="00091FA6" w:rsidRPr="002E0C7E" w:rsidRDefault="00091FA6" w:rsidP="001233FB">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W</w:t>
            </w:r>
          </w:p>
          <w:p w:rsidR="00091FA6" w:rsidRPr="002E0C7E" w:rsidRDefault="00091FA6" w:rsidP="001233FB">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T</w:t>
            </w:r>
          </w:p>
          <w:p w:rsidR="00091FA6" w:rsidRPr="002E0C7E" w:rsidRDefault="00091FA6" w:rsidP="001233FB">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F</w:t>
            </w:r>
          </w:p>
          <w:p w:rsidR="00091FA6" w:rsidRPr="002E0C7E" w:rsidRDefault="00091FA6" w:rsidP="001233FB">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S</w:t>
            </w:r>
          </w:p>
          <w:p w:rsidR="00091FA6" w:rsidRPr="002E0C7E" w:rsidRDefault="00091FA6" w:rsidP="001233FB">
            <w:pPr>
              <w:widowControl w:val="0"/>
              <w:jc w:val="center"/>
              <w:rPr>
                <w:rFonts w:ascii="Arial" w:hAnsi="Arial"/>
                <w:sz w:val="14"/>
              </w:rPr>
            </w:pPr>
            <w:r w:rsidRPr="002E0C7E">
              <w:rPr>
                <w:rFonts w:ascii="Arial" w:hAnsi="Arial"/>
                <w:sz w:val="14"/>
              </w:rPr>
              <w:t>S</w:t>
            </w:r>
          </w:p>
        </w:tc>
      </w:tr>
      <w:tr w:rsidR="00091FA6" w:rsidRPr="002E0C7E" w:rsidTr="001233FB">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p>
        </w:tc>
        <w:tc>
          <w:tcPr>
            <w:tcW w:w="498"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317A69" w:rsidRDefault="00091FA6" w:rsidP="001233FB">
            <w:pPr>
              <w:widowControl w:val="0"/>
              <w:jc w:val="center"/>
              <w:rPr>
                <w:rFonts w:ascii="Arial" w:hAnsi="Arial"/>
                <w:b/>
                <w:sz w:val="14"/>
              </w:rPr>
            </w:pPr>
            <w:r>
              <w:rPr>
                <w:rFonts w:ascii="Arial" w:hAnsi="Arial"/>
                <w:b/>
                <w:sz w:val="14"/>
              </w:rPr>
              <w:t>H</w:t>
            </w:r>
          </w:p>
          <w:p w:rsidR="00091FA6" w:rsidRPr="002E0C7E" w:rsidRDefault="00091FA6" w:rsidP="001233FB">
            <w:pPr>
              <w:widowControl w:val="0"/>
              <w:jc w:val="center"/>
              <w:rPr>
                <w:rFonts w:ascii="Arial" w:hAnsi="Arial"/>
                <w:sz w:val="14"/>
              </w:rPr>
            </w:pPr>
            <w:r>
              <w:rPr>
                <w:rFonts w:ascii="Arial" w:hAnsi="Arial"/>
                <w:sz w:val="14"/>
              </w:rPr>
              <w:t>1</w:t>
            </w:r>
          </w:p>
        </w:tc>
        <w:tc>
          <w:tcPr>
            <w:tcW w:w="44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2</w:t>
            </w:r>
          </w:p>
        </w:tc>
      </w:tr>
      <w:tr w:rsidR="00091FA6" w:rsidRPr="002E0C7E" w:rsidTr="001233FB">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7</w:t>
            </w:r>
          </w:p>
        </w:tc>
        <w:tc>
          <w:tcPr>
            <w:tcW w:w="498"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8</w:t>
            </w:r>
          </w:p>
        </w:tc>
        <w:tc>
          <w:tcPr>
            <w:tcW w:w="44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7</w:t>
            </w:r>
          </w:p>
        </w:tc>
        <w:tc>
          <w:tcPr>
            <w:tcW w:w="45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3</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5</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7</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9</w:t>
            </w:r>
          </w:p>
        </w:tc>
      </w:tr>
      <w:tr w:rsidR="00091FA6" w:rsidRPr="002E0C7E" w:rsidTr="001233FB">
        <w:trPr>
          <w:cantSplit/>
          <w:jc w:val="center"/>
        </w:trPr>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255AD" w:rsidRDefault="00091FA6" w:rsidP="001233FB">
            <w:pPr>
              <w:widowControl w:val="0"/>
              <w:jc w:val="center"/>
              <w:rPr>
                <w:rFonts w:ascii="Arial" w:hAnsi="Arial"/>
                <w:b/>
                <w:sz w:val="14"/>
              </w:rPr>
            </w:pPr>
            <w:r>
              <w:rPr>
                <w:rFonts w:ascii="Arial" w:hAnsi="Arial"/>
                <w:b/>
                <w:sz w:val="14"/>
              </w:rPr>
              <w:t>M</w:t>
            </w: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4</w:t>
            </w:r>
          </w:p>
        </w:tc>
        <w:tc>
          <w:tcPr>
            <w:tcW w:w="49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5</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0E2B85" w:rsidRDefault="00091FA6" w:rsidP="001233FB">
            <w:pPr>
              <w:widowControl w:val="0"/>
              <w:jc w:val="center"/>
              <w:rPr>
                <w:rFonts w:ascii="Arial" w:hAnsi="Arial"/>
                <w:b/>
                <w:sz w:val="14"/>
              </w:rPr>
            </w:pPr>
            <w:r>
              <w:rPr>
                <w:rFonts w:ascii="Arial" w:hAnsi="Arial"/>
                <w:b/>
                <w:sz w:val="14"/>
              </w:rPr>
              <w:t>M</w:t>
            </w: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13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0</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1</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2</w:t>
            </w:r>
          </w:p>
        </w:tc>
        <w:tc>
          <w:tcPr>
            <w:tcW w:w="44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4</w:t>
            </w:r>
          </w:p>
        </w:tc>
        <w:tc>
          <w:tcPr>
            <w:tcW w:w="51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6</w:t>
            </w:r>
          </w:p>
        </w:tc>
      </w:tr>
      <w:tr w:rsidR="00091FA6" w:rsidRPr="002E0C7E" w:rsidTr="001233FB">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1</w:t>
            </w:r>
          </w:p>
        </w:tc>
        <w:tc>
          <w:tcPr>
            <w:tcW w:w="49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2</w:t>
            </w:r>
          </w:p>
        </w:tc>
        <w:tc>
          <w:tcPr>
            <w:tcW w:w="44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0</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1</w:t>
            </w:r>
          </w:p>
        </w:tc>
        <w:tc>
          <w:tcPr>
            <w:tcW w:w="452"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7</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34238" w:rsidRDefault="00091FA6" w:rsidP="001233FB">
            <w:pPr>
              <w:widowControl w:val="0"/>
              <w:jc w:val="center"/>
              <w:rPr>
                <w:rFonts w:ascii="Arial" w:hAnsi="Arial"/>
                <w:b/>
                <w:sz w:val="14"/>
              </w:rPr>
            </w:pPr>
            <w:r>
              <w:rPr>
                <w:rFonts w:ascii="Arial" w:hAnsi="Arial"/>
                <w:b/>
                <w:sz w:val="14"/>
              </w:rPr>
              <w:t>M</w:t>
            </w: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8</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19</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1</w:t>
            </w:r>
          </w:p>
        </w:tc>
        <w:tc>
          <w:tcPr>
            <w:tcW w:w="516" w:type="dxa"/>
            <w:tcBorders>
              <w:top w:val="single" w:sz="8" w:space="0" w:color="000000"/>
              <w:left w:val="single" w:sz="8" w:space="0" w:color="000000"/>
              <w:bottom w:val="double" w:sz="6"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3</w:t>
            </w:r>
          </w:p>
        </w:tc>
      </w:tr>
      <w:tr w:rsidR="00091FA6" w:rsidRPr="002E0C7E" w:rsidTr="001233FB">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28</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29</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7</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28</w:t>
            </w: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Pr>
                <w:rFonts w:ascii="Arial" w:hAnsi="Arial"/>
                <w:sz w:val="14"/>
              </w:rPr>
              <w:t>24</w:t>
            </w:r>
          </w:p>
          <w:p w:rsidR="00091FA6" w:rsidRPr="002E0C7E" w:rsidRDefault="00091FA6" w:rsidP="001233FB">
            <w:pPr>
              <w:widowControl w:val="0"/>
              <w:jc w:val="center"/>
              <w:rPr>
                <w:rFonts w:ascii="Arial" w:hAnsi="Arial"/>
                <w:sz w:val="14"/>
              </w:rPr>
            </w:pPr>
            <w:r>
              <w:rPr>
                <w:rFonts w:ascii="Arial" w:hAnsi="Arial"/>
                <w:sz w:val="14"/>
              </w:rPr>
              <w:t xml:space="preserve">  31</w:t>
            </w:r>
          </w:p>
        </w:tc>
        <w:tc>
          <w:tcPr>
            <w:tcW w:w="480" w:type="dxa"/>
            <w:tcBorders>
              <w:top w:val="double" w:sz="6"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5</w:t>
            </w:r>
          </w:p>
        </w:tc>
        <w:tc>
          <w:tcPr>
            <w:tcW w:w="458"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6</w:t>
            </w:r>
          </w:p>
        </w:tc>
        <w:tc>
          <w:tcPr>
            <w:tcW w:w="442"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double" w:sz="6" w:space="0" w:color="000000"/>
            </w:tcBorders>
            <w:shd w:val="pct30" w:color="auto"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8</w:t>
            </w:r>
          </w:p>
        </w:tc>
        <w:tc>
          <w:tcPr>
            <w:tcW w:w="516"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61B35" w:rsidRDefault="00091FA6" w:rsidP="001233FB">
            <w:pPr>
              <w:widowControl w:val="0"/>
              <w:jc w:val="center"/>
              <w:rPr>
                <w:rFonts w:ascii="Arial" w:hAnsi="Arial"/>
                <w:b/>
                <w:sz w:val="14"/>
              </w:rPr>
            </w:pPr>
            <w:r w:rsidRPr="00261B35">
              <w:rPr>
                <w:rFonts w:ascii="Arial" w:hAnsi="Arial"/>
                <w:b/>
                <w:sz w:val="14"/>
              </w:rPr>
              <w:t>H</w:t>
            </w:r>
          </w:p>
          <w:p w:rsidR="00091FA6" w:rsidRPr="002E0C7E" w:rsidRDefault="00091FA6" w:rsidP="001233FB">
            <w:pPr>
              <w:widowControl w:val="0"/>
              <w:jc w:val="center"/>
              <w:rPr>
                <w:rFonts w:ascii="Arial" w:hAnsi="Arial"/>
                <w:sz w:val="14"/>
              </w:rPr>
            </w:pPr>
            <w:r>
              <w:rPr>
                <w:rFonts w:ascii="Arial" w:hAnsi="Arial"/>
                <w:sz w:val="14"/>
              </w:rPr>
              <w:t>29</w:t>
            </w:r>
          </w:p>
        </w:tc>
        <w:tc>
          <w:tcPr>
            <w:tcW w:w="470" w:type="dxa"/>
            <w:tcBorders>
              <w:top w:val="single" w:sz="8" w:space="0" w:color="000000"/>
              <w:left w:val="double" w:sz="6"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3</w:t>
            </w:r>
            <w:r>
              <w:rPr>
                <w:rFonts w:ascii="Arial" w:hAnsi="Arial"/>
                <w:sz w:val="14"/>
              </w:rPr>
              <w:t>0</w:t>
            </w:r>
          </w:p>
        </w:tc>
      </w:tr>
    </w:tbl>
    <w:p w:rsidR="00091FA6" w:rsidRPr="002E0C7E" w:rsidRDefault="00091FA6" w:rsidP="00091FA6">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091FA6" w:rsidRPr="002E0C7E" w:rsidTr="001233FB">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1233FB">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1233FB">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1233FB">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1233FB">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1233FB">
            <w:pPr>
              <w:widowControl w:val="0"/>
              <w:jc w:val="center"/>
              <w:rPr>
                <w:rFonts w:ascii="Arial" w:hAnsi="Arial"/>
                <w:sz w:val="14"/>
              </w:rPr>
            </w:pPr>
            <w:r w:rsidRPr="002E0C7E">
              <w:rPr>
                <w:rFonts w:ascii="Arial" w:hAnsi="Arial"/>
                <w:b/>
                <w:sz w:val="14"/>
              </w:rPr>
              <w:t>JUNE - JUIN</w:t>
            </w:r>
          </w:p>
        </w:tc>
      </w:tr>
      <w:tr w:rsidR="00091FA6" w:rsidRPr="002E0C7E" w:rsidTr="001233FB">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S</w:t>
            </w:r>
          </w:p>
          <w:p w:rsidR="00091FA6" w:rsidRPr="002E0C7E" w:rsidRDefault="00091FA6" w:rsidP="001233FB">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M</w:t>
            </w:r>
          </w:p>
          <w:p w:rsidR="00091FA6" w:rsidRPr="002E0C7E" w:rsidRDefault="00091FA6" w:rsidP="001233FB">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T</w:t>
            </w:r>
          </w:p>
          <w:p w:rsidR="00091FA6" w:rsidRPr="002E0C7E" w:rsidRDefault="00091FA6" w:rsidP="001233FB">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W</w:t>
            </w:r>
          </w:p>
          <w:p w:rsidR="00091FA6" w:rsidRPr="002E0C7E" w:rsidRDefault="00091FA6" w:rsidP="001233FB">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T</w:t>
            </w:r>
          </w:p>
          <w:p w:rsidR="00091FA6" w:rsidRPr="002E0C7E" w:rsidRDefault="00091FA6" w:rsidP="001233FB">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F</w:t>
            </w:r>
          </w:p>
          <w:p w:rsidR="00091FA6" w:rsidRPr="002E0C7E" w:rsidRDefault="00091FA6" w:rsidP="001233FB">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S</w:t>
            </w:r>
          </w:p>
          <w:p w:rsidR="00091FA6" w:rsidRPr="002E0C7E" w:rsidRDefault="00091FA6" w:rsidP="001233FB">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S</w:t>
            </w:r>
          </w:p>
          <w:p w:rsidR="00091FA6" w:rsidRPr="002E0C7E" w:rsidRDefault="00091FA6" w:rsidP="001233FB">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M</w:t>
            </w:r>
          </w:p>
          <w:p w:rsidR="00091FA6" w:rsidRPr="002E0C7E" w:rsidRDefault="00091FA6" w:rsidP="001233FB">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T</w:t>
            </w:r>
          </w:p>
          <w:p w:rsidR="00091FA6" w:rsidRPr="002E0C7E" w:rsidRDefault="00091FA6" w:rsidP="001233FB">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W</w:t>
            </w:r>
          </w:p>
          <w:p w:rsidR="00091FA6" w:rsidRPr="002E0C7E" w:rsidRDefault="00091FA6" w:rsidP="001233FB">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T</w:t>
            </w:r>
          </w:p>
          <w:p w:rsidR="00091FA6" w:rsidRPr="002E0C7E" w:rsidRDefault="00091FA6" w:rsidP="001233FB">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F</w:t>
            </w:r>
          </w:p>
          <w:p w:rsidR="00091FA6" w:rsidRPr="002E0C7E" w:rsidRDefault="00091FA6" w:rsidP="001233FB">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S</w:t>
            </w:r>
          </w:p>
          <w:p w:rsidR="00091FA6" w:rsidRPr="002E0C7E" w:rsidRDefault="00091FA6" w:rsidP="001233FB">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S</w:t>
            </w:r>
          </w:p>
          <w:p w:rsidR="00091FA6" w:rsidRPr="002E0C7E" w:rsidRDefault="00091FA6" w:rsidP="001233FB">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M</w:t>
            </w:r>
          </w:p>
          <w:p w:rsidR="00091FA6" w:rsidRPr="002E0C7E" w:rsidRDefault="00091FA6" w:rsidP="001233FB">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T</w:t>
            </w:r>
          </w:p>
          <w:p w:rsidR="00091FA6" w:rsidRPr="002E0C7E" w:rsidRDefault="00091FA6" w:rsidP="001233FB">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W</w:t>
            </w:r>
          </w:p>
          <w:p w:rsidR="00091FA6" w:rsidRPr="002E0C7E" w:rsidRDefault="00091FA6" w:rsidP="001233FB">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T</w:t>
            </w:r>
          </w:p>
          <w:p w:rsidR="00091FA6" w:rsidRPr="002E0C7E" w:rsidRDefault="00091FA6" w:rsidP="001233FB">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F</w:t>
            </w:r>
          </w:p>
          <w:p w:rsidR="00091FA6" w:rsidRPr="002E0C7E" w:rsidRDefault="00091FA6" w:rsidP="001233FB">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sidRPr="002E0C7E">
              <w:rPr>
                <w:rFonts w:ascii="Arial" w:hAnsi="Arial"/>
                <w:sz w:val="14"/>
              </w:rPr>
              <w:t>s</w:t>
            </w:r>
          </w:p>
          <w:p w:rsidR="00091FA6" w:rsidRPr="002E0C7E" w:rsidRDefault="00091FA6" w:rsidP="001233FB">
            <w:pPr>
              <w:widowControl w:val="0"/>
              <w:jc w:val="center"/>
              <w:rPr>
                <w:rFonts w:ascii="Arial" w:hAnsi="Arial"/>
                <w:sz w:val="14"/>
              </w:rPr>
            </w:pPr>
            <w:r w:rsidRPr="002E0C7E">
              <w:rPr>
                <w:rFonts w:ascii="Arial" w:hAnsi="Arial"/>
                <w:sz w:val="14"/>
              </w:rPr>
              <w:t>s</w:t>
            </w:r>
          </w:p>
        </w:tc>
      </w:tr>
      <w:tr w:rsidR="00091FA6" w:rsidRPr="002E0C7E" w:rsidTr="001233FB">
        <w:trPr>
          <w:cantSplit/>
          <w:trHeight w:val="422"/>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p>
        </w:tc>
        <w:tc>
          <w:tcPr>
            <w:tcW w:w="492"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2453E3" w:rsidRDefault="00091FA6" w:rsidP="001233FB">
            <w:pPr>
              <w:widowControl w:val="0"/>
              <w:jc w:val="center"/>
              <w:rPr>
                <w:rFonts w:ascii="Arial" w:hAnsi="Arial"/>
                <w:b/>
                <w:sz w:val="14"/>
              </w:rPr>
            </w:pPr>
            <w:r w:rsidRPr="002453E3">
              <w:rPr>
                <w:rFonts w:ascii="Arial" w:hAnsi="Arial"/>
                <w:b/>
                <w:sz w:val="14"/>
              </w:rPr>
              <w:t>H</w:t>
            </w:r>
          </w:p>
          <w:p w:rsidR="00091FA6" w:rsidRPr="002E0C7E" w:rsidRDefault="00091FA6" w:rsidP="001233FB">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b/>
                <w:sz w:val="14"/>
              </w:rPr>
            </w:pPr>
          </w:p>
          <w:p w:rsidR="00091FA6" w:rsidRPr="002E0C7E" w:rsidRDefault="00091FA6" w:rsidP="001233FB">
            <w:pPr>
              <w:widowControl w:val="0"/>
              <w:jc w:val="center"/>
              <w:rPr>
                <w:rFonts w:ascii="Arial" w:hAnsi="Arial"/>
                <w:sz w:val="14"/>
              </w:rPr>
            </w:pPr>
            <w:r>
              <w:rPr>
                <w:rFonts w:ascii="Arial" w:hAnsi="Arial"/>
                <w:sz w:val="14"/>
              </w:rPr>
              <w:t>3</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1</w:t>
            </w:r>
          </w:p>
        </w:tc>
      </w:tr>
      <w:tr w:rsidR="00091FA6" w:rsidRPr="002E0C7E" w:rsidTr="001233FB">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7</w:t>
            </w:r>
          </w:p>
        </w:tc>
        <w:tc>
          <w:tcPr>
            <w:tcW w:w="492"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091FA6" w:rsidRPr="00710C8B" w:rsidRDefault="00091FA6" w:rsidP="001233FB">
            <w:pPr>
              <w:widowControl w:val="0"/>
              <w:jc w:val="center"/>
              <w:rPr>
                <w:rFonts w:ascii="Arial" w:hAnsi="Arial"/>
                <w:b/>
                <w:sz w:val="14"/>
              </w:rPr>
            </w:pPr>
          </w:p>
          <w:p w:rsidR="00091FA6" w:rsidRPr="002E0C7E" w:rsidRDefault="00091FA6" w:rsidP="001233F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5</w:t>
            </w:r>
          </w:p>
        </w:tc>
        <w:tc>
          <w:tcPr>
            <w:tcW w:w="466"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0</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2</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3</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8</w:t>
            </w:r>
          </w:p>
        </w:tc>
      </w:tr>
      <w:tr w:rsidR="00091FA6" w:rsidRPr="002E0C7E" w:rsidTr="001233FB">
        <w:trPr>
          <w:cantSplit/>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14</w:t>
            </w:r>
          </w:p>
        </w:tc>
        <w:tc>
          <w:tcPr>
            <w:tcW w:w="492"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B5777" w:rsidRDefault="00091FA6" w:rsidP="001233FB">
            <w:pPr>
              <w:widowControl w:val="0"/>
              <w:jc w:val="center"/>
              <w:rPr>
                <w:rFonts w:ascii="Arial" w:hAnsi="Arial"/>
                <w:b/>
                <w:sz w:val="14"/>
              </w:rPr>
            </w:pPr>
            <w:r w:rsidRPr="00DB5777">
              <w:rPr>
                <w:rFonts w:ascii="Arial" w:hAnsi="Arial"/>
                <w:b/>
                <w:sz w:val="14"/>
              </w:rPr>
              <w:t>M</w:t>
            </w: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2</w:t>
            </w:r>
          </w:p>
        </w:tc>
        <w:tc>
          <w:tcPr>
            <w:tcW w:w="466"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453E3" w:rsidRDefault="00091FA6" w:rsidP="001233FB">
            <w:pPr>
              <w:widowControl w:val="0"/>
              <w:jc w:val="center"/>
              <w:rPr>
                <w:rFonts w:ascii="Arial" w:hAnsi="Arial"/>
                <w:b/>
                <w:sz w:val="14"/>
              </w:rPr>
            </w:pPr>
            <w:r w:rsidRPr="002453E3">
              <w:rPr>
                <w:rFonts w:ascii="Arial" w:hAnsi="Arial"/>
                <w:b/>
                <w:sz w:val="14"/>
              </w:rPr>
              <w:t>M</w:t>
            </w: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7</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9</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6A1E8D" w:rsidRDefault="00091FA6" w:rsidP="001233FB">
            <w:pPr>
              <w:widowControl w:val="0"/>
              <w:jc w:val="center"/>
              <w:rPr>
                <w:rFonts w:ascii="Arial" w:hAnsi="Arial"/>
                <w:b/>
                <w:sz w:val="14"/>
              </w:rPr>
            </w:pPr>
            <w:r w:rsidRPr="006A1E8D">
              <w:rPr>
                <w:rFonts w:ascii="Arial" w:hAnsi="Arial"/>
                <w:b/>
                <w:sz w:val="14"/>
              </w:rPr>
              <w:t>M</w:t>
            </w: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0</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1233FB">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21</w:t>
            </w:r>
          </w:p>
        </w:tc>
        <w:tc>
          <w:tcPr>
            <w:tcW w:w="492"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19</w:t>
            </w:r>
          </w:p>
        </w:tc>
        <w:tc>
          <w:tcPr>
            <w:tcW w:w="466"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2453E3" w:rsidRDefault="00091FA6" w:rsidP="001233FB">
            <w:pPr>
              <w:widowControl w:val="0"/>
              <w:jc w:val="center"/>
              <w:rPr>
                <w:rFonts w:ascii="Arial" w:hAnsi="Arial"/>
                <w:b/>
                <w:sz w:val="14"/>
              </w:rPr>
            </w:pPr>
            <w:r>
              <w:rPr>
                <w:rFonts w:ascii="Arial" w:hAnsi="Arial"/>
                <w:b/>
                <w:sz w:val="14"/>
              </w:rPr>
              <w:t>H</w:t>
            </w: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6</w:t>
            </w:r>
          </w:p>
        </w:tc>
        <w:tc>
          <w:tcPr>
            <w:tcW w:w="480"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7</w:t>
            </w:r>
          </w:p>
        </w:tc>
        <w:tc>
          <w:tcPr>
            <w:tcW w:w="45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1233FB">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28</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6</w:t>
            </w:r>
          </w:p>
        </w:tc>
        <w:tc>
          <w:tcPr>
            <w:tcW w:w="466" w:type="dxa"/>
            <w:tcBorders>
              <w:top w:val="double" w:sz="6"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3</w:t>
            </w:r>
            <w:r>
              <w:rPr>
                <w:rFonts w:ascii="Arial" w:hAnsi="Arial"/>
                <w:sz w:val="14"/>
              </w:rPr>
              <w:t>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31</w:t>
            </w: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r>
              <w:rPr>
                <w:rFonts w:ascii="Arial" w:hAnsi="Arial"/>
                <w:sz w:val="14"/>
              </w:rPr>
              <w:t>23</w:t>
            </w:r>
          </w:p>
          <w:p w:rsidR="00091FA6" w:rsidRPr="002E0C7E" w:rsidRDefault="00091FA6" w:rsidP="001233FB">
            <w:pPr>
              <w:widowControl w:val="0"/>
              <w:jc w:val="center"/>
              <w:rPr>
                <w:rFonts w:ascii="Arial" w:hAnsi="Arial"/>
                <w:sz w:val="14"/>
              </w:rPr>
            </w:pPr>
            <w:r>
              <w:rPr>
                <w:rFonts w:ascii="Arial" w:hAnsi="Arial"/>
                <w:sz w:val="14"/>
              </w:rPr>
              <w:t xml:space="preserve">  30</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4</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1233FB">
            <w:pPr>
              <w:widowControl w:val="0"/>
              <w:jc w:val="center"/>
              <w:rPr>
                <w:rFonts w:ascii="Arial" w:hAnsi="Arial"/>
                <w:sz w:val="14"/>
              </w:rPr>
            </w:pPr>
          </w:p>
          <w:p w:rsidR="00091FA6" w:rsidRPr="002E0C7E" w:rsidRDefault="00091FA6" w:rsidP="001233FB">
            <w:pPr>
              <w:widowControl w:val="0"/>
              <w:jc w:val="center"/>
              <w:rPr>
                <w:rFonts w:ascii="Arial" w:hAnsi="Arial"/>
                <w:sz w:val="14"/>
              </w:rPr>
            </w:pPr>
            <w:r>
              <w:rPr>
                <w:rFonts w:ascii="Arial" w:hAnsi="Arial"/>
                <w:sz w:val="14"/>
              </w:rPr>
              <w:t>29</w:t>
            </w:r>
          </w:p>
        </w:tc>
      </w:tr>
    </w:tbl>
    <w:p w:rsidR="00091FA6" w:rsidRPr="002E0C7E" w:rsidRDefault="00091FA6" w:rsidP="00091FA6">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091FA6" w:rsidRPr="002E0C7E" w:rsidTr="001233FB">
        <w:trPr>
          <w:cantSplit/>
        </w:trPr>
        <w:tc>
          <w:tcPr>
            <w:tcW w:w="1710" w:type="dxa"/>
            <w:tcBorders>
              <w:top w:val="nil"/>
              <w:left w:val="nil"/>
              <w:bottom w:val="nil"/>
              <w:right w:val="nil"/>
            </w:tcBorders>
            <w:tcMar>
              <w:top w:w="43" w:type="dxa"/>
              <w:left w:w="120" w:type="dxa"/>
              <w:bottom w:w="29" w:type="dxa"/>
              <w:right w:w="120" w:type="dxa"/>
            </w:tcMar>
          </w:tcPr>
          <w:p w:rsidR="00091FA6" w:rsidRPr="002E0C7E" w:rsidRDefault="00091FA6" w:rsidP="001233FB">
            <w:pPr>
              <w:widowControl w:val="0"/>
              <w:rPr>
                <w:rFonts w:ascii="Arial" w:hAnsi="Arial"/>
                <w:sz w:val="16"/>
              </w:rPr>
            </w:pPr>
            <w:r w:rsidRPr="002E0C7E">
              <w:rPr>
                <w:rFonts w:ascii="Arial" w:hAnsi="Arial"/>
                <w:sz w:val="16"/>
              </w:rPr>
              <w:t>Sittings of the court:</w:t>
            </w:r>
          </w:p>
          <w:p w:rsidR="00091FA6" w:rsidRPr="002E0C7E" w:rsidRDefault="00091FA6" w:rsidP="001233FB">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091FA6" w:rsidRPr="002E0C7E" w:rsidRDefault="00091FA6" w:rsidP="001233FB">
            <w:pPr>
              <w:widowControl w:val="0"/>
              <w:rPr>
                <w:rFonts w:ascii="Arial" w:hAnsi="Arial"/>
                <w:sz w:val="16"/>
              </w:rPr>
            </w:pPr>
          </w:p>
          <w:p w:rsidR="00091FA6" w:rsidRPr="002E0C7E" w:rsidRDefault="00091FA6" w:rsidP="001233FB">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091FA6" w:rsidRPr="00B058C3" w:rsidRDefault="00091FA6" w:rsidP="001233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091FA6" w:rsidRPr="00B058C3" w:rsidRDefault="00091FA6" w:rsidP="001233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091FA6" w:rsidRPr="00B058C3" w:rsidRDefault="00091FA6" w:rsidP="001233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091FA6" w:rsidRPr="002E0C7E" w:rsidRDefault="00091FA6" w:rsidP="001233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091FA6" w:rsidRPr="002E0C7E" w:rsidRDefault="00091FA6" w:rsidP="001233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1233FB">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1233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091FA6" w:rsidRPr="002E0C7E" w:rsidRDefault="00091FA6" w:rsidP="001233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091FA6" w:rsidRPr="002E0C7E" w:rsidRDefault="00091FA6" w:rsidP="001233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1233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1233FB">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1233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091FA6" w:rsidRPr="002E0C7E" w:rsidRDefault="00091FA6" w:rsidP="001233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091FA6" w:rsidRPr="002E0C7E" w:rsidRDefault="00091FA6" w:rsidP="001233FB">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1233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091FA6" w:rsidRPr="002E0C7E" w:rsidRDefault="00091FA6" w:rsidP="00091FA6">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60"/>
      <w:footerReference w:type="default" r:id="rId61"/>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B9C" w:rsidRDefault="00D54B9C" w:rsidP="00A87207">
      <w:r>
        <w:separator/>
      </w:r>
    </w:p>
  </w:endnote>
  <w:endnote w:type="continuationSeparator" w:id="0">
    <w:p w:rsidR="00D54B9C" w:rsidRDefault="00D54B9C"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9C" w:rsidRDefault="00D54B9C">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9C" w:rsidRDefault="00CB0178">
    <w:pPr>
      <w:pStyle w:val="Footer"/>
      <w:rPr>
        <w:lang w:val="fr-CA"/>
      </w:rPr>
    </w:pPr>
    <w:r w:rsidRPr="00CB0178">
      <w:rPr>
        <w:lang w:val="fr-CA"/>
      </w:rPr>
      <w:pict>
        <v:rect id="_x0000_i1056" style="width:480.95pt;height:1pt" o:hralign="center" o:hrstd="t" o:hrnoshade="t" o:hr="t" fillcolor="black [3213]" stroked="f"/>
      </w:pict>
    </w:r>
  </w:p>
  <w:p w:rsidR="00D54B9C" w:rsidRDefault="00D54B9C" w:rsidP="00245129">
    <w:pPr>
      <w:tabs>
        <w:tab w:val="center" w:pos="4680"/>
      </w:tabs>
    </w:pPr>
    <w:r>
      <w:tab/>
    </w:r>
    <w:r w:rsidRPr="0009648D">
      <w:t xml:space="preserve">- </w:t>
    </w:r>
    <w:fldSimple w:instr=" PAGE   \* MERGEFORMAT ">
      <w:r w:rsidR="00B07D2C">
        <w:rPr>
          <w:noProof/>
        </w:rPr>
        <w:t>329</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9C" w:rsidRDefault="00D54B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54B9C" w:rsidRDefault="00D54B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54B9C" w:rsidRDefault="00D54B9C">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9C" w:rsidRDefault="00CB0178" w:rsidP="00755F22">
    <w:pPr>
      <w:tabs>
        <w:tab w:val="left" w:pos="-1440"/>
        <w:tab w:val="left" w:pos="-720"/>
      </w:tabs>
    </w:pPr>
    <w:r>
      <w:pict>
        <v:rect id="_x0000_i1059" style="width:480.95pt;height:1pt" o:hralign="center" o:hrstd="t" o:hrnoshade="t" o:hr="t" fillcolor="black [3213]" stroked="f"/>
      </w:pict>
    </w:r>
  </w:p>
  <w:p w:rsidR="00D54B9C" w:rsidRDefault="00D54B9C" w:rsidP="00EB2B90">
    <w:pPr>
      <w:tabs>
        <w:tab w:val="center" w:pos="4680"/>
      </w:tabs>
    </w:pPr>
    <w:r>
      <w:tab/>
      <w:t xml:space="preserve">- </w:t>
    </w:r>
    <w:fldSimple w:instr=" PAGE   \* MERGEFORMAT ">
      <w:r w:rsidR="00B07D2C">
        <w:rPr>
          <w:noProof/>
        </w:rPr>
        <w:t>347</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9C" w:rsidRDefault="00CB0178" w:rsidP="00EB2B90">
    <w:pPr>
      <w:tabs>
        <w:tab w:val="center" w:pos="4680"/>
      </w:tabs>
    </w:pPr>
    <w:r>
      <w:pict>
        <v:rect id="_x0000_i1060" style="width:480.95pt;height:1pt" o:hralign="center" o:hrstd="t" o:hrnoshade="t" o:hr="t" fillcolor="black [3213]" stroked="f"/>
      </w:pict>
    </w:r>
  </w:p>
  <w:p w:rsidR="00D54B9C" w:rsidRPr="0031432F" w:rsidRDefault="00D54B9C" w:rsidP="00EB2B90">
    <w:pPr>
      <w:tabs>
        <w:tab w:val="center" w:pos="4680"/>
      </w:tabs>
    </w:pPr>
    <w:r>
      <w:tab/>
      <w:t xml:space="preserve">- </w:t>
    </w:r>
    <w:fldSimple w:instr=" PAGE   \* MERGEFORMAT ">
      <w:r w:rsidR="00B07D2C">
        <w:rPr>
          <w:noProof/>
        </w:rPr>
        <w:t>345</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9C" w:rsidRDefault="00D54B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54B9C" w:rsidRDefault="00D54B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54B9C" w:rsidRDefault="00D54B9C">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9C" w:rsidRDefault="00CB01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B0178">
      <w:rPr>
        <w:lang w:val="fr-CA"/>
      </w:rPr>
      <w:pict>
        <v:rect id="_x0000_i1063" style="width:480.95pt;height:1pt" o:hralign="center" o:hrstd="t" o:hrnoshade="t" o:hr="t" fillcolor="black [3213]" stroked="f"/>
      </w:pict>
    </w:r>
  </w:p>
  <w:p w:rsidR="00D54B9C" w:rsidRDefault="00D54B9C"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9C" w:rsidRDefault="00CB0178">
    <w:pPr>
      <w:pStyle w:val="Footer"/>
      <w:rPr>
        <w:lang w:val="fr-CA"/>
      </w:rPr>
    </w:pPr>
    <w:r w:rsidRPr="00CB0178">
      <w:rPr>
        <w:lang w:val="fr-CA"/>
      </w:rPr>
      <w:pict>
        <v:rect id="_x0000_i1064" style="width:480.95pt;height:1pt" o:hralign="center" o:hrstd="t" o:hrnoshade="t" o:hr="t" fillcolor="black [3213]" stroked="f"/>
      </w:pict>
    </w:r>
  </w:p>
  <w:p w:rsidR="00D54B9C" w:rsidRDefault="00D54B9C" w:rsidP="00EB2B90">
    <w:pPr>
      <w:tabs>
        <w:tab w:val="center" w:pos="4680"/>
      </w:tabs>
    </w:pPr>
    <w:r>
      <w:tab/>
      <w:t xml:space="preserve">- </w:t>
    </w:r>
    <w:fldSimple w:instr=" PAGE   \* MERGEFORMAT ">
      <w:r w:rsidR="00B07D2C">
        <w:rPr>
          <w:noProof/>
        </w:rPr>
        <w:t>348</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9C" w:rsidRDefault="00D54B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54B9C" w:rsidRDefault="00D54B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54B9C" w:rsidRDefault="00D54B9C">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9C" w:rsidRDefault="00CB0178" w:rsidP="00732DB7">
    <w:r>
      <w:pict>
        <v:rect id="_x0000_i1066" style="width:480.95pt;height:1pt" o:hralign="center" o:hrstd="t" o:hrnoshade="t" o:hr="t" fillcolor="black" stroked="f"/>
      </w:pict>
    </w:r>
  </w:p>
  <w:p w:rsidR="00D54B9C" w:rsidRDefault="00D54B9C">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9C" w:rsidRDefault="00CB0178">
    <w:pPr>
      <w:pStyle w:val="Footer"/>
    </w:pPr>
    <w:r>
      <w:pict>
        <v:rect id="_x0000_i1067" style="width:480.95pt;height:1pt" o:hralign="center" o:hrstd="t" o:hrnoshade="t" o:hr="t" fillcolor="black" stroked="f"/>
      </w:pict>
    </w:r>
  </w:p>
  <w:p w:rsidR="00D54B9C" w:rsidRPr="00283C52" w:rsidRDefault="00D54B9C">
    <w:pPr>
      <w:pStyle w:val="Footer"/>
    </w:pPr>
    <w:r>
      <w:tab/>
    </w:r>
    <w:r w:rsidRPr="00283C52">
      <w:t xml:space="preserve">- </w:t>
    </w:r>
    <w:r w:rsidRPr="00283C52">
      <w:pgNum/>
    </w:r>
    <w:r w:rsidRPr="00283C52">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9C" w:rsidRDefault="00D54B9C">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9C" w:rsidRDefault="00D54B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54B9C" w:rsidRDefault="00D54B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54B9C" w:rsidRDefault="00D54B9C">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9C" w:rsidRDefault="00CB0178" w:rsidP="00732DB7">
    <w:r>
      <w:pict>
        <v:rect id="_x0000_i1070" style="width:480.95pt;height:1pt" o:hralign="center" o:hrstd="t" o:hrnoshade="t" o:hr="t" fillcolor="black" stroked="f"/>
      </w:pict>
    </w:r>
  </w:p>
  <w:p w:rsidR="00D54B9C" w:rsidRDefault="00D54B9C">
    <w:pPr>
      <w:tabs>
        <w:tab w:val="center" w:pos="4740"/>
      </w:tabs>
      <w:spacing w:line="0" w:lineRule="atLeast"/>
    </w:pPr>
    <w:r>
      <w:tab/>
      <w:t xml:space="preserve">- </w:t>
    </w:r>
    <w:r>
      <w:pgNum/>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9C" w:rsidRDefault="00CB0178">
    <w:pPr>
      <w:pStyle w:val="Footer"/>
    </w:pPr>
    <w:r>
      <w:pict>
        <v:rect id="_x0000_i1071" style="width:480.95pt;height:1pt" o:hralign="center" o:hrstd="t" o:hrnoshade="t" o:hr="t" fillcolor="black [3213]" stroked="f"/>
      </w:pict>
    </w:r>
  </w:p>
  <w:p w:rsidR="00D54B9C" w:rsidRPr="003C2C0F" w:rsidRDefault="00D54B9C" w:rsidP="00697C62">
    <w:pPr>
      <w:tabs>
        <w:tab w:val="center" w:pos="4680"/>
      </w:tabs>
    </w:pPr>
    <w:r>
      <w:tab/>
      <w:t xml:space="preserve">- </w:t>
    </w:r>
    <w:fldSimple w:instr=" PAGE   \* MERGEFORMAT ">
      <w:r w:rsidR="00B07D2C">
        <w:rPr>
          <w:noProof/>
        </w:rPr>
        <w:t>350</w:t>
      </w:r>
    </w:fldSimple>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9C" w:rsidRDefault="00D54B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54B9C" w:rsidRDefault="00D54B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54B9C" w:rsidRDefault="00D54B9C">
    <w:pPr>
      <w:tabs>
        <w:tab w:val="center" w:pos="4740"/>
      </w:tabs>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9C" w:rsidRDefault="00D54B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54B9C" w:rsidRDefault="00CB01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6" style="width:480.95pt;height:1pt" o:hralign="center" o:hrstd="t" o:hrnoshade="t" o:hr="t" fillcolor="black [3213]" stroked="f"/>
      </w:pict>
    </w:r>
  </w:p>
  <w:p w:rsidR="00D54B9C" w:rsidRDefault="00D54B9C" w:rsidP="00782AE4">
    <w:pPr>
      <w:tabs>
        <w:tab w:val="center" w:pos="4680"/>
      </w:tabs>
    </w:pPr>
    <w:r>
      <w:tab/>
      <w:t xml:space="preserve">- </w:t>
    </w:r>
    <w:r w:rsidR="00CB0178" w:rsidRPr="001775C1">
      <w:rPr>
        <w:szCs w:val="24"/>
      </w:rPr>
      <w:fldChar w:fldCharType="begin"/>
    </w:r>
    <w:r w:rsidRPr="001775C1">
      <w:rPr>
        <w:szCs w:val="24"/>
      </w:rPr>
      <w:instrText xml:space="preserve"> PAGE   \* MERGEFORMAT </w:instrText>
    </w:r>
    <w:r w:rsidR="00CB0178" w:rsidRPr="001775C1">
      <w:rPr>
        <w:szCs w:val="24"/>
      </w:rPr>
      <w:fldChar w:fldCharType="separate"/>
    </w:r>
    <w:r w:rsidR="00B07D2C">
      <w:rPr>
        <w:noProof/>
        <w:szCs w:val="24"/>
      </w:rPr>
      <w:t>368</w:t>
    </w:r>
    <w:r w:rsidR="00CB0178" w:rsidRPr="001775C1">
      <w:rPr>
        <w:szCs w:val="24"/>
      </w:rPr>
      <w:fldChar w:fldCharType="end"/>
    </w:r>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9C" w:rsidRDefault="00CB0178" w:rsidP="00782AE4">
    <w:pPr>
      <w:tabs>
        <w:tab w:val="center" w:pos="4680"/>
      </w:tabs>
    </w:pPr>
    <w:r>
      <w:pict>
        <v:rect id="_x0000_i1077" style="width:480.95pt;height:1pt" o:hralign="center" o:hrstd="t" o:hrnoshade="t" o:hr="t" fillcolor="black [3213]" stroked="f"/>
      </w:pict>
    </w:r>
  </w:p>
  <w:p w:rsidR="00D54B9C" w:rsidRDefault="00D54B9C" w:rsidP="00782AE4">
    <w:pPr>
      <w:tabs>
        <w:tab w:val="center" w:pos="4680"/>
      </w:tabs>
    </w:pPr>
    <w:r>
      <w:tab/>
      <w:t xml:space="preserve">- </w:t>
    </w:r>
    <w:r w:rsidR="00CB0178" w:rsidRPr="001775C1">
      <w:rPr>
        <w:szCs w:val="24"/>
      </w:rPr>
      <w:fldChar w:fldCharType="begin"/>
    </w:r>
    <w:r w:rsidRPr="001775C1">
      <w:rPr>
        <w:szCs w:val="24"/>
      </w:rPr>
      <w:instrText xml:space="preserve"> PAGE   \* MERGEFORMAT </w:instrText>
    </w:r>
    <w:r w:rsidR="00CB0178" w:rsidRPr="001775C1">
      <w:rPr>
        <w:szCs w:val="24"/>
      </w:rPr>
      <w:fldChar w:fldCharType="separate"/>
    </w:r>
    <w:r w:rsidR="00B07D2C">
      <w:rPr>
        <w:noProof/>
        <w:szCs w:val="24"/>
      </w:rPr>
      <w:t>353</w:t>
    </w:r>
    <w:r w:rsidR="00CB0178" w:rsidRPr="001775C1">
      <w:rPr>
        <w:szCs w:val="24"/>
      </w:rPr>
      <w:fldChar w:fldCharType="end"/>
    </w:r>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9C" w:rsidRPr="00924065" w:rsidRDefault="00D54B9C"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9C" w:rsidRDefault="00D54B9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9C" w:rsidRDefault="00CB0178" w:rsidP="00A87207">
    <w:pPr>
      <w:pStyle w:val="Footer"/>
    </w:pPr>
    <w:r>
      <w:pict>
        <v:rect id="_x0000_i1032" style="width:480.95pt;height:1pt" o:hralign="center" o:hrstd="t" o:hrnoshade="t" o:hr="t" fillcolor="black [3213]" stroked="f"/>
      </w:pict>
    </w:r>
  </w:p>
  <w:p w:rsidR="00D54B9C" w:rsidRPr="00B7374B" w:rsidRDefault="00D54B9C" w:rsidP="00B7374B">
    <w:pPr>
      <w:tabs>
        <w:tab w:val="center" w:pos="4680"/>
      </w:tabs>
      <w:rPr>
        <w:szCs w:val="24"/>
      </w:rPr>
    </w:pPr>
    <w:r w:rsidRPr="00954D22">
      <w:rPr>
        <w:szCs w:val="24"/>
      </w:rPr>
      <w:tab/>
      <w:t xml:space="preserve">- </w:t>
    </w:r>
    <w:r w:rsidR="00CB0178" w:rsidRPr="00954D22">
      <w:rPr>
        <w:szCs w:val="24"/>
      </w:rPr>
      <w:fldChar w:fldCharType="begin"/>
    </w:r>
    <w:r w:rsidRPr="00954D22">
      <w:rPr>
        <w:szCs w:val="24"/>
      </w:rPr>
      <w:instrText xml:space="preserve"> PAGE   \* MERGEFORMAT </w:instrText>
    </w:r>
    <w:r w:rsidR="00CB0178" w:rsidRPr="00954D22">
      <w:rPr>
        <w:szCs w:val="24"/>
      </w:rPr>
      <w:fldChar w:fldCharType="separate"/>
    </w:r>
    <w:r>
      <w:rPr>
        <w:noProof/>
        <w:szCs w:val="24"/>
      </w:rPr>
      <w:t>328</w:t>
    </w:r>
    <w:r w:rsidR="00CB0178"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9C" w:rsidRDefault="00CB0178" w:rsidP="00755F22">
    <w:pPr>
      <w:tabs>
        <w:tab w:val="left" w:pos="-1440"/>
        <w:tab w:val="left" w:pos="-720"/>
      </w:tabs>
    </w:pPr>
    <w:r>
      <w:pict>
        <v:rect id="_x0000_i1033" style="width:480.95pt;height:1pt" o:hralign="center" o:hrstd="t" o:hrnoshade="t" o:hr="t" fillcolor="black [3213]" stroked="f"/>
      </w:pict>
    </w:r>
  </w:p>
  <w:p w:rsidR="00D54B9C" w:rsidRPr="00954D22" w:rsidRDefault="00D54B9C" w:rsidP="00B7374B">
    <w:pPr>
      <w:tabs>
        <w:tab w:val="center" w:pos="4680"/>
      </w:tabs>
      <w:rPr>
        <w:szCs w:val="24"/>
      </w:rPr>
    </w:pPr>
    <w:r w:rsidRPr="00954D22">
      <w:rPr>
        <w:szCs w:val="24"/>
      </w:rPr>
      <w:tab/>
      <w:t xml:space="preserve">- </w:t>
    </w:r>
    <w:r w:rsidR="00CB0178">
      <w:rPr>
        <w:szCs w:val="24"/>
      </w:rPr>
      <w:fldChar w:fldCharType="begin"/>
    </w:r>
    <w:r>
      <w:rPr>
        <w:szCs w:val="24"/>
      </w:rPr>
      <w:instrText xml:space="preserve"> PAGE   \* MERGEFORMAT </w:instrText>
    </w:r>
    <w:r w:rsidR="00CB0178">
      <w:rPr>
        <w:szCs w:val="24"/>
      </w:rPr>
      <w:fldChar w:fldCharType="separate"/>
    </w:r>
    <w:r w:rsidR="00B07D2C">
      <w:rPr>
        <w:noProof/>
        <w:szCs w:val="24"/>
      </w:rPr>
      <w:t>327</w:t>
    </w:r>
    <w:r w:rsidR="00CB0178">
      <w:rPr>
        <w:szCs w:val="24"/>
      </w:rPr>
      <w:fldChar w:fldCharType="end"/>
    </w:r>
    <w:r w:rsidRPr="00954D22">
      <w:rPr>
        <w:szCs w:val="24"/>
      </w:rPr>
      <w:t xml:space="preserve"> -</w:t>
    </w:r>
  </w:p>
  <w:p w:rsidR="00D54B9C" w:rsidRDefault="00D54B9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9C" w:rsidRDefault="00CB0178" w:rsidP="00A87207">
    <w:pPr>
      <w:pStyle w:val="Footer"/>
    </w:pPr>
    <w:r>
      <w:pict>
        <v:rect id="_x0000_i1035" style="width:480.95pt;height:1pt" o:hralign="center" o:hrstd="t" o:hrnoshade="t" o:hr="t" fillcolor="black [3213]" stroked="f"/>
      </w:pict>
    </w:r>
  </w:p>
  <w:p w:rsidR="00D54B9C" w:rsidRPr="00B7374B" w:rsidRDefault="00D54B9C" w:rsidP="00B7374B">
    <w:pPr>
      <w:tabs>
        <w:tab w:val="center" w:pos="4680"/>
      </w:tabs>
      <w:rPr>
        <w:szCs w:val="24"/>
      </w:rPr>
    </w:pPr>
    <w:r w:rsidRPr="00954D22">
      <w:rPr>
        <w:szCs w:val="24"/>
      </w:rPr>
      <w:tab/>
      <w:t xml:space="preserve">- </w:t>
    </w:r>
    <w:r w:rsidR="00CB0178" w:rsidRPr="00954D22">
      <w:rPr>
        <w:szCs w:val="24"/>
      </w:rPr>
      <w:fldChar w:fldCharType="begin"/>
    </w:r>
    <w:r w:rsidRPr="00954D22">
      <w:rPr>
        <w:szCs w:val="24"/>
      </w:rPr>
      <w:instrText xml:space="preserve"> PAGE   \* MERGEFORMAT </w:instrText>
    </w:r>
    <w:r w:rsidR="00CB0178" w:rsidRPr="00954D22">
      <w:rPr>
        <w:szCs w:val="24"/>
      </w:rPr>
      <w:fldChar w:fldCharType="separate"/>
    </w:r>
    <w:r>
      <w:rPr>
        <w:noProof/>
        <w:szCs w:val="24"/>
      </w:rPr>
      <w:t>330</w:t>
    </w:r>
    <w:r w:rsidR="00CB0178"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9C" w:rsidRDefault="00CB0178"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6" style="width:480.95pt;height:1pt" o:hralign="center" o:hrstd="t" o:hrnoshade="t" o:hr="t" fillcolor="black [3213]" stroked="f"/>
      </w:pict>
    </w:r>
  </w:p>
  <w:p w:rsidR="00D54B9C" w:rsidRPr="00954D22" w:rsidRDefault="00D54B9C" w:rsidP="00B7374B">
    <w:pPr>
      <w:tabs>
        <w:tab w:val="center" w:pos="4680"/>
      </w:tabs>
      <w:rPr>
        <w:szCs w:val="24"/>
      </w:rPr>
    </w:pPr>
    <w:r w:rsidRPr="00954D22">
      <w:rPr>
        <w:szCs w:val="24"/>
      </w:rPr>
      <w:tab/>
      <w:t xml:space="preserve">- </w:t>
    </w:r>
    <w:r w:rsidR="00CB0178" w:rsidRPr="00954D22">
      <w:rPr>
        <w:szCs w:val="24"/>
      </w:rPr>
      <w:fldChar w:fldCharType="begin"/>
    </w:r>
    <w:r w:rsidRPr="00954D22">
      <w:rPr>
        <w:szCs w:val="24"/>
      </w:rPr>
      <w:instrText xml:space="preserve"> PAGE   \* MERGEFORMAT </w:instrText>
    </w:r>
    <w:r w:rsidR="00CB0178" w:rsidRPr="00954D22">
      <w:rPr>
        <w:szCs w:val="24"/>
      </w:rPr>
      <w:fldChar w:fldCharType="separate"/>
    </w:r>
    <w:r w:rsidR="00B07D2C">
      <w:rPr>
        <w:noProof/>
        <w:szCs w:val="24"/>
      </w:rPr>
      <w:t>328</w:t>
    </w:r>
    <w:r w:rsidR="00CB0178"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9C" w:rsidRDefault="00D54B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D54B9C" w:rsidRDefault="00D54B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54B9C" w:rsidRDefault="00D54B9C">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9C" w:rsidRDefault="00CB01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B0178">
      <w:rPr>
        <w:lang w:val="fr-CA"/>
      </w:rPr>
      <w:pict>
        <v:rect id="_x0000_i1055" style="width:480.95pt;height:1pt" o:hralign="center" o:hrstd="t" o:hrnoshade="t" o:hr="t" fillcolor="black [3213]" stroked="f"/>
      </w:pict>
    </w:r>
  </w:p>
  <w:p w:rsidR="00D54B9C" w:rsidRPr="0009648D" w:rsidRDefault="00D54B9C" w:rsidP="00ED7E83">
    <w:pPr>
      <w:tabs>
        <w:tab w:val="center" w:pos="4680"/>
      </w:tabs>
    </w:pPr>
    <w:r>
      <w:tab/>
    </w:r>
    <w:r w:rsidRPr="0009648D">
      <w:t xml:space="preserve">- </w:t>
    </w:r>
    <w:fldSimple w:instr=" PAGE   \* MERGEFORMAT ">
      <w:r w:rsidR="00B07D2C">
        <w:rPr>
          <w:noProof/>
        </w:rPr>
        <w:t>344</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B9C" w:rsidRDefault="00D54B9C" w:rsidP="00A87207">
      <w:r>
        <w:separator/>
      </w:r>
    </w:p>
  </w:footnote>
  <w:footnote w:type="continuationSeparator" w:id="0">
    <w:p w:rsidR="00D54B9C" w:rsidRDefault="00D54B9C" w:rsidP="00A87207">
      <w:r>
        <w:continuationSeparator/>
      </w:r>
    </w:p>
  </w:footnote>
  <w:footnote w:id="1">
    <w:p w:rsidR="00D54B9C" w:rsidRPr="00C3509C" w:rsidRDefault="00D54B9C" w:rsidP="006D5C50">
      <w:pPr>
        <w:pStyle w:val="FootnoteText"/>
        <w:rPr>
          <w:lang w:val="en-US"/>
        </w:rPr>
      </w:pPr>
      <w:r w:rsidRPr="00C3509C">
        <w:rPr>
          <w:rStyle w:val="FootnoteReference"/>
        </w:rPr>
        <w:sym w:font="Symbol" w:char="F02A"/>
      </w:r>
      <w:r>
        <w:t xml:space="preserve"> </w:t>
      </w:r>
      <w:proofErr w:type="spellStart"/>
      <w:r w:rsidRPr="00C3509C">
        <w:rPr>
          <w:lang w:val="en-US"/>
        </w:rPr>
        <w:t>Deschamps</w:t>
      </w:r>
      <w:proofErr w:type="spellEnd"/>
      <w:r w:rsidRPr="00C3509C">
        <w:rPr>
          <w:lang w:val="en-US"/>
        </w:rPr>
        <w:t xml:space="preserve"> J. took no part i</w:t>
      </w:r>
      <w:r>
        <w:rPr>
          <w:lang w:val="en-US"/>
        </w:rPr>
        <w:t>n the judgment.</w:t>
      </w:r>
    </w:p>
  </w:footnote>
  <w:footnote w:id="2">
    <w:p w:rsidR="00D54B9C" w:rsidRPr="00981192" w:rsidRDefault="00D54B9C" w:rsidP="00DB11F4">
      <w:pPr>
        <w:pStyle w:val="FootnoteText"/>
        <w:rPr>
          <w:lang w:val="fr-CA"/>
        </w:rPr>
      </w:pPr>
      <w:r w:rsidRPr="00C3509C">
        <w:rPr>
          <w:rStyle w:val="FootnoteReference"/>
        </w:rPr>
        <w:sym w:font="Symbol" w:char="F02A"/>
      </w:r>
      <w:r w:rsidRPr="00981192">
        <w:rPr>
          <w:lang w:val="fr-CA"/>
        </w:rPr>
        <w:t xml:space="preserve"> La juge Deschamps n’a pas partici</w:t>
      </w:r>
      <w:r>
        <w:rPr>
          <w:lang w:val="fr-CA"/>
        </w:rPr>
        <w:t>pé</w:t>
      </w:r>
      <w:r w:rsidRPr="00981192">
        <w:rPr>
          <w:lang w:val="fr-CA"/>
        </w:rPr>
        <w:t xml:space="preserve"> au jugement.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9C" w:rsidRDefault="00D54B9C">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9C" w:rsidRDefault="00D54B9C">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D54B9C">
      <w:tc>
        <w:tcPr>
          <w:tcW w:w="4230" w:type="dxa"/>
          <w:tcMar>
            <w:left w:w="0" w:type="dxa"/>
            <w:right w:w="0" w:type="dxa"/>
          </w:tcMar>
        </w:tcPr>
        <w:p w:rsidR="00D54B9C" w:rsidRDefault="00D54B9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D54B9C" w:rsidRDefault="00D54B9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54B9C" w:rsidRDefault="00D54B9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D54B9C">
      <w:trPr>
        <w:gridAfter w:val="2"/>
        <w:wAfter w:w="5250" w:type="dxa"/>
      </w:trPr>
      <w:tc>
        <w:tcPr>
          <w:tcW w:w="4230" w:type="dxa"/>
          <w:tcMar>
            <w:left w:w="0" w:type="dxa"/>
            <w:right w:w="0" w:type="dxa"/>
          </w:tcMar>
        </w:tcPr>
        <w:p w:rsidR="00D54B9C" w:rsidRDefault="00D54B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54B9C" w:rsidRDefault="00D54B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D54B9C" w:rsidRPr="00755F22" w:rsidTr="00245129">
      <w:tc>
        <w:tcPr>
          <w:tcW w:w="4230" w:type="dxa"/>
          <w:tcMar>
            <w:left w:w="0" w:type="dxa"/>
            <w:right w:w="0" w:type="dxa"/>
          </w:tcMar>
        </w:tcPr>
        <w:p w:rsidR="00D54B9C" w:rsidRPr="00755F22" w:rsidRDefault="00D54B9C" w:rsidP="00831CA9">
          <w:pPr>
            <w:keepNext/>
            <w:keepLines/>
            <w:rPr>
              <w:sz w:val="20"/>
              <w:szCs w:val="20"/>
            </w:rPr>
          </w:pPr>
          <w:r w:rsidRPr="00755F22">
            <w:rPr>
              <w:sz w:val="20"/>
              <w:szCs w:val="20"/>
            </w:rPr>
            <w:t>MOTIONS</w:t>
          </w:r>
        </w:p>
      </w:tc>
      <w:tc>
        <w:tcPr>
          <w:tcW w:w="1170" w:type="dxa"/>
          <w:tcMar>
            <w:left w:w="0" w:type="dxa"/>
            <w:right w:w="0" w:type="dxa"/>
          </w:tcMar>
        </w:tcPr>
        <w:p w:rsidR="00D54B9C" w:rsidRPr="00755F22" w:rsidRDefault="00D54B9C" w:rsidP="00831CA9">
          <w:pPr>
            <w:keepLines/>
            <w:jc w:val="center"/>
            <w:rPr>
              <w:sz w:val="20"/>
              <w:szCs w:val="20"/>
            </w:rPr>
          </w:pPr>
        </w:p>
        <w:p w:rsidR="00D54B9C" w:rsidRPr="00755F22" w:rsidRDefault="00D54B9C" w:rsidP="00831CA9">
          <w:pPr>
            <w:keepLines/>
            <w:tabs>
              <w:tab w:val="left" w:pos="-1440"/>
              <w:tab w:val="left" w:pos="-720"/>
            </w:tabs>
            <w:jc w:val="center"/>
            <w:rPr>
              <w:sz w:val="20"/>
              <w:szCs w:val="20"/>
            </w:rPr>
          </w:pPr>
        </w:p>
      </w:tc>
      <w:tc>
        <w:tcPr>
          <w:tcW w:w="4080" w:type="dxa"/>
          <w:tcMar>
            <w:left w:w="0" w:type="dxa"/>
            <w:right w:w="0" w:type="dxa"/>
          </w:tcMar>
        </w:tcPr>
        <w:p w:rsidR="00D54B9C" w:rsidRPr="00BA6468" w:rsidRDefault="00D54B9C" w:rsidP="00BA6468">
          <w:pPr>
            <w:keepLines/>
            <w:rPr>
              <w:sz w:val="20"/>
              <w:szCs w:val="20"/>
              <w:lang w:val="fr-CA"/>
            </w:rPr>
          </w:pPr>
          <w:r w:rsidRPr="00BA6468">
            <w:rPr>
              <w:sz w:val="20"/>
              <w:szCs w:val="20"/>
              <w:lang w:val="fr-CA"/>
            </w:rPr>
            <w:t>REQUÊTES</w:t>
          </w:r>
        </w:p>
      </w:tc>
    </w:tr>
  </w:tbl>
  <w:p w:rsidR="00D54B9C" w:rsidRDefault="00D54B9C"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9C" w:rsidRDefault="00D54B9C">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54B9C" w:rsidRPr="00B07D2C">
      <w:tc>
        <w:tcPr>
          <w:tcW w:w="4200" w:type="dxa"/>
          <w:tcMar>
            <w:left w:w="0" w:type="dxa"/>
            <w:right w:w="0" w:type="dxa"/>
          </w:tcMar>
        </w:tcPr>
        <w:p w:rsidR="00D54B9C" w:rsidRDefault="00D54B9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D54B9C" w:rsidRDefault="00D54B9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54B9C" w:rsidRPr="00B01A03" w:rsidRDefault="00D54B9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D54B9C" w:rsidRPr="00B01A03" w:rsidRDefault="00D54B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D54B9C" w:rsidRPr="00B01A03" w:rsidRDefault="00D54B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D54B9C" w:rsidRPr="00B07D2C" w:rsidTr="00245129">
      <w:tc>
        <w:tcPr>
          <w:tcW w:w="4200" w:type="dxa"/>
          <w:tcMar>
            <w:left w:w="0" w:type="dxa"/>
            <w:right w:w="0" w:type="dxa"/>
          </w:tcMar>
        </w:tcPr>
        <w:p w:rsidR="00D54B9C" w:rsidRPr="00F40249" w:rsidRDefault="00D54B9C"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D54B9C" w:rsidRDefault="00D54B9C" w:rsidP="00102926">
          <w:pPr>
            <w:keepNext/>
            <w:keepLines/>
            <w:tabs>
              <w:tab w:val="left" w:pos="-1440"/>
              <w:tab w:val="left" w:pos="-720"/>
            </w:tabs>
            <w:jc w:val="center"/>
            <w:rPr>
              <w:sz w:val="20"/>
              <w:szCs w:val="20"/>
            </w:rPr>
          </w:pPr>
        </w:p>
        <w:p w:rsidR="00D54B9C" w:rsidRDefault="00D54B9C" w:rsidP="00102926">
          <w:pPr>
            <w:keepNext/>
            <w:keepLines/>
            <w:tabs>
              <w:tab w:val="left" w:pos="-1440"/>
              <w:tab w:val="left" w:pos="-720"/>
            </w:tabs>
            <w:jc w:val="center"/>
            <w:rPr>
              <w:sz w:val="20"/>
              <w:szCs w:val="20"/>
            </w:rPr>
          </w:pPr>
        </w:p>
        <w:p w:rsidR="00D54B9C" w:rsidRPr="00F40249" w:rsidRDefault="00D54B9C" w:rsidP="00102926">
          <w:pPr>
            <w:keepNext/>
            <w:keepLines/>
            <w:tabs>
              <w:tab w:val="left" w:pos="-1440"/>
              <w:tab w:val="left" w:pos="-720"/>
            </w:tabs>
            <w:jc w:val="center"/>
            <w:rPr>
              <w:sz w:val="20"/>
              <w:szCs w:val="20"/>
            </w:rPr>
          </w:pPr>
        </w:p>
      </w:tc>
      <w:tc>
        <w:tcPr>
          <w:tcW w:w="4230" w:type="dxa"/>
          <w:tcMar>
            <w:left w:w="0" w:type="dxa"/>
            <w:right w:w="0" w:type="dxa"/>
          </w:tcMar>
        </w:tcPr>
        <w:p w:rsidR="00D54B9C" w:rsidRPr="00F40249" w:rsidRDefault="00D54B9C"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D54B9C" w:rsidRPr="00B01A03" w:rsidRDefault="00D54B9C"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9C" w:rsidRDefault="00D54B9C">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54B9C" w:rsidRPr="00B07D2C">
      <w:tc>
        <w:tcPr>
          <w:tcW w:w="4200" w:type="dxa"/>
          <w:tcMar>
            <w:left w:w="0" w:type="dxa"/>
            <w:right w:w="0" w:type="dxa"/>
          </w:tcMar>
        </w:tcPr>
        <w:p w:rsidR="00D54B9C" w:rsidRDefault="00D54B9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D54B9C" w:rsidRDefault="00D54B9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54B9C" w:rsidRPr="00283C52" w:rsidRDefault="00D54B9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D54B9C" w:rsidRPr="00283C52" w:rsidRDefault="00D54B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D54B9C" w:rsidRPr="00283C52" w:rsidRDefault="00D54B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D54B9C" w:rsidRPr="00B07D2C" w:rsidTr="00245129">
      <w:tc>
        <w:tcPr>
          <w:tcW w:w="4200" w:type="dxa"/>
          <w:tcMar>
            <w:left w:w="0" w:type="dxa"/>
            <w:right w:w="0" w:type="dxa"/>
          </w:tcMar>
        </w:tcPr>
        <w:p w:rsidR="00D54B9C" w:rsidRPr="00732DB7" w:rsidRDefault="00D54B9C"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D54B9C" w:rsidRPr="00732DB7" w:rsidRDefault="00D54B9C" w:rsidP="00732DB7">
          <w:pPr>
            <w:keepNext/>
            <w:keepLines/>
            <w:tabs>
              <w:tab w:val="left" w:pos="-1440"/>
              <w:tab w:val="left" w:pos="-720"/>
            </w:tabs>
            <w:jc w:val="center"/>
            <w:rPr>
              <w:sz w:val="20"/>
              <w:szCs w:val="20"/>
            </w:rPr>
          </w:pPr>
        </w:p>
        <w:p w:rsidR="00D54B9C" w:rsidRPr="00732DB7" w:rsidRDefault="00D54B9C" w:rsidP="00732DB7">
          <w:pPr>
            <w:keepNext/>
            <w:keepLines/>
            <w:tabs>
              <w:tab w:val="left" w:pos="-1440"/>
              <w:tab w:val="left" w:pos="-720"/>
            </w:tabs>
            <w:jc w:val="center"/>
            <w:rPr>
              <w:sz w:val="20"/>
              <w:szCs w:val="20"/>
            </w:rPr>
          </w:pPr>
        </w:p>
        <w:p w:rsidR="00D54B9C" w:rsidRPr="00732DB7" w:rsidRDefault="00D54B9C" w:rsidP="00732DB7">
          <w:pPr>
            <w:keepNext/>
            <w:keepLines/>
            <w:tabs>
              <w:tab w:val="left" w:pos="-1440"/>
              <w:tab w:val="left" w:pos="-720"/>
            </w:tabs>
            <w:jc w:val="center"/>
            <w:rPr>
              <w:sz w:val="20"/>
              <w:szCs w:val="20"/>
            </w:rPr>
          </w:pPr>
        </w:p>
      </w:tc>
      <w:tc>
        <w:tcPr>
          <w:tcW w:w="4080" w:type="dxa"/>
          <w:tcMar>
            <w:left w:w="0" w:type="dxa"/>
            <w:right w:w="0" w:type="dxa"/>
          </w:tcMar>
        </w:tcPr>
        <w:p w:rsidR="00D54B9C" w:rsidRPr="00732DB7" w:rsidRDefault="00D54B9C"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D54B9C" w:rsidRPr="00283C52" w:rsidRDefault="00D54B9C"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9C" w:rsidRDefault="00D54B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9C" w:rsidRDefault="00D54B9C">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54B9C" w:rsidRPr="00B07D2C">
      <w:tc>
        <w:tcPr>
          <w:tcW w:w="4200" w:type="dxa"/>
          <w:tcMar>
            <w:left w:w="0" w:type="dxa"/>
            <w:right w:w="0" w:type="dxa"/>
          </w:tcMar>
        </w:tcPr>
        <w:p w:rsidR="00D54B9C" w:rsidRDefault="00D54B9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D54B9C" w:rsidRDefault="00D54B9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D54B9C" w:rsidRDefault="00D54B9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D54B9C" w:rsidRPr="003C2C0F" w:rsidRDefault="00D54B9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D54B9C" w:rsidRPr="003C2C0F" w:rsidRDefault="00D54B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D54B9C" w:rsidRPr="003C2C0F" w:rsidRDefault="00D54B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D54B9C" w:rsidRPr="00B07D2C" w:rsidTr="00245129">
      <w:tc>
        <w:tcPr>
          <w:tcW w:w="4200" w:type="dxa"/>
          <w:tcMar>
            <w:left w:w="0" w:type="dxa"/>
            <w:right w:w="0" w:type="dxa"/>
          </w:tcMar>
        </w:tcPr>
        <w:p w:rsidR="00D54B9C" w:rsidRPr="00FF6EEC" w:rsidRDefault="00D54B9C" w:rsidP="00FF6EEC">
          <w:pPr>
            <w:rPr>
              <w:sz w:val="20"/>
              <w:szCs w:val="20"/>
            </w:rPr>
          </w:pPr>
          <w:r w:rsidRPr="00FF6EEC">
            <w:rPr>
              <w:sz w:val="20"/>
              <w:szCs w:val="20"/>
            </w:rPr>
            <w:t>PRONOUNCEMENTS OF APPEALS RESERVED</w:t>
          </w:r>
        </w:p>
      </w:tc>
      <w:tc>
        <w:tcPr>
          <w:tcW w:w="1200" w:type="dxa"/>
          <w:tcMar>
            <w:left w:w="0" w:type="dxa"/>
            <w:right w:w="0" w:type="dxa"/>
          </w:tcMar>
        </w:tcPr>
        <w:p w:rsidR="00D54B9C" w:rsidRPr="00FF6EEC" w:rsidRDefault="00D54B9C" w:rsidP="00FF6EEC">
          <w:pPr>
            <w:jc w:val="center"/>
            <w:rPr>
              <w:sz w:val="20"/>
              <w:szCs w:val="20"/>
            </w:rPr>
          </w:pPr>
        </w:p>
        <w:p w:rsidR="00D54B9C" w:rsidRPr="00FF6EEC" w:rsidRDefault="00D54B9C" w:rsidP="00FF6EEC">
          <w:pPr>
            <w:jc w:val="center"/>
            <w:rPr>
              <w:sz w:val="20"/>
              <w:szCs w:val="20"/>
            </w:rPr>
          </w:pPr>
        </w:p>
        <w:p w:rsidR="00D54B9C" w:rsidRPr="00FF6EEC" w:rsidRDefault="00D54B9C" w:rsidP="00FF6EEC">
          <w:pPr>
            <w:jc w:val="center"/>
            <w:rPr>
              <w:sz w:val="20"/>
              <w:szCs w:val="20"/>
            </w:rPr>
          </w:pPr>
        </w:p>
      </w:tc>
      <w:tc>
        <w:tcPr>
          <w:tcW w:w="4080" w:type="dxa"/>
          <w:tcMar>
            <w:left w:w="0" w:type="dxa"/>
            <w:right w:w="0" w:type="dxa"/>
          </w:tcMar>
        </w:tcPr>
        <w:p w:rsidR="00D54B9C" w:rsidRPr="00FF6EEC" w:rsidRDefault="00D54B9C" w:rsidP="00FF6EEC">
          <w:pPr>
            <w:rPr>
              <w:sz w:val="20"/>
              <w:szCs w:val="20"/>
              <w:lang w:val="fr-CA"/>
            </w:rPr>
          </w:pPr>
          <w:r w:rsidRPr="00FF6EEC">
            <w:rPr>
              <w:sz w:val="20"/>
              <w:szCs w:val="20"/>
              <w:lang w:val="fr-CA"/>
            </w:rPr>
            <w:t>JUGEMENTS RENDUS SUR LES APPELS EN DÉLIBÉRÉ</w:t>
          </w:r>
        </w:p>
      </w:tc>
    </w:tr>
  </w:tbl>
  <w:p w:rsidR="00D54B9C" w:rsidRPr="003C2C0F" w:rsidRDefault="00D54B9C"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9C" w:rsidRDefault="00D54B9C">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D54B9C">
      <w:tc>
        <w:tcPr>
          <w:tcW w:w="4230" w:type="dxa"/>
          <w:tcMar>
            <w:left w:w="0" w:type="dxa"/>
            <w:right w:w="0" w:type="dxa"/>
          </w:tcMar>
        </w:tcPr>
        <w:p w:rsidR="00D54B9C" w:rsidRDefault="00D54B9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D54B9C" w:rsidRDefault="00D54B9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D54B9C" w:rsidRDefault="00D54B9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D54B9C" w:rsidRDefault="00D54B9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54B9C" w:rsidRDefault="00D54B9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D54B9C" w:rsidRDefault="00D54B9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D54B9C" w:rsidRDefault="00D54B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54B9C" w:rsidRDefault="00D54B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D54B9C" w:rsidRPr="00782AE4" w:rsidTr="00245129">
      <w:tc>
        <w:tcPr>
          <w:tcW w:w="4230" w:type="dxa"/>
          <w:tcMar>
            <w:left w:w="0" w:type="dxa"/>
            <w:right w:w="0" w:type="dxa"/>
          </w:tcMar>
        </w:tcPr>
        <w:p w:rsidR="00D54B9C" w:rsidRPr="00782AE4" w:rsidRDefault="00D54B9C" w:rsidP="00102926">
          <w:pPr>
            <w:keepNext/>
            <w:keepLines/>
            <w:tabs>
              <w:tab w:val="left" w:pos="-1440"/>
              <w:tab w:val="left" w:pos="-720"/>
            </w:tabs>
            <w:rPr>
              <w:sz w:val="20"/>
              <w:szCs w:val="20"/>
            </w:rPr>
          </w:pPr>
          <w:r w:rsidRPr="00782AE4">
            <w:rPr>
              <w:sz w:val="20"/>
              <w:szCs w:val="20"/>
            </w:rPr>
            <w:t xml:space="preserve">HEADNOTES OF RECENT </w:t>
          </w:r>
        </w:p>
        <w:p w:rsidR="00D54B9C" w:rsidRPr="00782AE4" w:rsidRDefault="00D54B9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D54B9C" w:rsidRDefault="00D54B9C" w:rsidP="00102926">
          <w:pPr>
            <w:keepNext/>
            <w:keepLines/>
            <w:tabs>
              <w:tab w:val="left" w:pos="-1440"/>
              <w:tab w:val="left" w:pos="-720"/>
            </w:tabs>
            <w:jc w:val="center"/>
            <w:rPr>
              <w:sz w:val="20"/>
              <w:szCs w:val="20"/>
            </w:rPr>
          </w:pPr>
        </w:p>
        <w:p w:rsidR="00D54B9C" w:rsidRDefault="00D54B9C" w:rsidP="00102926">
          <w:pPr>
            <w:keepNext/>
            <w:keepLines/>
            <w:tabs>
              <w:tab w:val="left" w:pos="-1440"/>
              <w:tab w:val="left" w:pos="-720"/>
            </w:tabs>
            <w:jc w:val="center"/>
            <w:rPr>
              <w:sz w:val="20"/>
              <w:szCs w:val="20"/>
            </w:rPr>
          </w:pPr>
        </w:p>
        <w:p w:rsidR="00D54B9C" w:rsidRPr="00782AE4" w:rsidRDefault="00D54B9C" w:rsidP="00102926">
          <w:pPr>
            <w:keepNext/>
            <w:keepLines/>
            <w:tabs>
              <w:tab w:val="left" w:pos="-1440"/>
              <w:tab w:val="left" w:pos="-720"/>
            </w:tabs>
            <w:jc w:val="center"/>
            <w:rPr>
              <w:sz w:val="20"/>
              <w:szCs w:val="20"/>
            </w:rPr>
          </w:pPr>
        </w:p>
      </w:tc>
      <w:tc>
        <w:tcPr>
          <w:tcW w:w="4080" w:type="dxa"/>
          <w:tcMar>
            <w:left w:w="0" w:type="dxa"/>
            <w:right w:w="0" w:type="dxa"/>
          </w:tcMar>
        </w:tcPr>
        <w:p w:rsidR="00D54B9C" w:rsidRPr="00102926" w:rsidRDefault="00D54B9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D54B9C" w:rsidRPr="00782AE4" w:rsidRDefault="00D54B9C" w:rsidP="00102926">
          <w:pPr>
            <w:keepLines/>
            <w:tabs>
              <w:tab w:val="left" w:pos="-1440"/>
              <w:tab w:val="left" w:pos="-720"/>
            </w:tabs>
            <w:rPr>
              <w:sz w:val="20"/>
              <w:szCs w:val="20"/>
            </w:rPr>
          </w:pPr>
          <w:r w:rsidRPr="00102926">
            <w:rPr>
              <w:sz w:val="20"/>
              <w:szCs w:val="20"/>
              <w:lang w:val="fr-CA"/>
            </w:rPr>
            <w:t>RÉCENTS</w:t>
          </w:r>
        </w:p>
      </w:tc>
    </w:tr>
  </w:tbl>
  <w:p w:rsidR="00D54B9C" w:rsidRDefault="00D54B9C"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9C" w:rsidRDefault="00D54B9C">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9C" w:rsidRDefault="00D54B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9C" w:rsidRDefault="00D54B9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D54B9C" w:rsidRPr="0044776A" w:rsidTr="00245129">
      <w:tc>
        <w:tcPr>
          <w:tcW w:w="4290" w:type="dxa"/>
          <w:tcMar>
            <w:left w:w="0" w:type="dxa"/>
            <w:right w:w="0" w:type="dxa"/>
          </w:tcMar>
        </w:tcPr>
        <w:p w:rsidR="00D54B9C" w:rsidRPr="0044776A" w:rsidRDefault="00D54B9C"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D54B9C" w:rsidRPr="0044776A" w:rsidRDefault="00D54B9C" w:rsidP="002E2327">
          <w:pPr>
            <w:keepNext/>
            <w:keepLines/>
            <w:tabs>
              <w:tab w:val="left" w:pos="-1440"/>
              <w:tab w:val="left" w:pos="-720"/>
            </w:tabs>
            <w:jc w:val="center"/>
            <w:rPr>
              <w:sz w:val="20"/>
              <w:szCs w:val="20"/>
            </w:rPr>
          </w:pPr>
        </w:p>
        <w:p w:rsidR="00D54B9C" w:rsidRPr="0044776A" w:rsidRDefault="00D54B9C" w:rsidP="002E2327">
          <w:pPr>
            <w:keepNext/>
            <w:keepLines/>
            <w:tabs>
              <w:tab w:val="left" w:pos="-1440"/>
              <w:tab w:val="left" w:pos="-720"/>
            </w:tabs>
            <w:jc w:val="center"/>
            <w:rPr>
              <w:sz w:val="20"/>
              <w:szCs w:val="20"/>
            </w:rPr>
          </w:pPr>
        </w:p>
        <w:p w:rsidR="00D54B9C" w:rsidRPr="0044776A" w:rsidRDefault="00D54B9C" w:rsidP="002E2327">
          <w:pPr>
            <w:keepNext/>
            <w:keepLines/>
            <w:tabs>
              <w:tab w:val="left" w:pos="-1440"/>
              <w:tab w:val="left" w:pos="-720"/>
            </w:tabs>
            <w:jc w:val="center"/>
            <w:rPr>
              <w:sz w:val="20"/>
              <w:szCs w:val="20"/>
            </w:rPr>
          </w:pPr>
        </w:p>
      </w:tc>
      <w:tc>
        <w:tcPr>
          <w:tcW w:w="4320" w:type="dxa"/>
          <w:tcMar>
            <w:left w:w="0" w:type="dxa"/>
            <w:right w:w="0" w:type="dxa"/>
          </w:tcMar>
        </w:tcPr>
        <w:p w:rsidR="00D54B9C" w:rsidRPr="0044776A" w:rsidRDefault="00D54B9C" w:rsidP="002E2327">
          <w:pPr>
            <w:keepLines/>
            <w:rPr>
              <w:sz w:val="20"/>
              <w:szCs w:val="20"/>
              <w:lang w:val="fr-CA"/>
            </w:rPr>
          </w:pPr>
          <w:r w:rsidRPr="0044776A">
            <w:rPr>
              <w:sz w:val="20"/>
              <w:szCs w:val="20"/>
              <w:lang w:val="fr-CA"/>
            </w:rPr>
            <w:t>DEMANDES D'AUTORISATION D'APPEL DÉPOSÉES</w:t>
          </w:r>
        </w:p>
      </w:tc>
    </w:tr>
  </w:tbl>
  <w:p w:rsidR="00D54B9C" w:rsidRDefault="00D54B9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9C" w:rsidRDefault="00D54B9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D54B9C" w:rsidRPr="00B07D2C" w:rsidTr="00245129">
      <w:tc>
        <w:tcPr>
          <w:tcW w:w="4200" w:type="dxa"/>
          <w:tcMar>
            <w:left w:w="0" w:type="dxa"/>
            <w:right w:w="0" w:type="dxa"/>
          </w:tcMar>
        </w:tcPr>
        <w:p w:rsidR="00D54B9C" w:rsidRPr="0044776A" w:rsidRDefault="00D54B9C" w:rsidP="0044776A">
          <w:pPr>
            <w:keepNext/>
            <w:keepLines/>
            <w:widowControl w:val="0"/>
            <w:rPr>
              <w:sz w:val="20"/>
              <w:szCs w:val="20"/>
            </w:rPr>
          </w:pPr>
          <w:r>
            <w:rPr>
              <w:sz w:val="20"/>
              <w:szCs w:val="20"/>
            </w:rPr>
            <w:t>APPLICATIONS FOR LEAVE</w:t>
          </w:r>
        </w:p>
        <w:p w:rsidR="00D54B9C" w:rsidRPr="0044776A" w:rsidRDefault="00D54B9C"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D54B9C" w:rsidRPr="0044776A" w:rsidRDefault="00D54B9C" w:rsidP="0044776A">
          <w:pPr>
            <w:keepNext/>
            <w:keepLines/>
            <w:widowControl w:val="0"/>
            <w:jc w:val="center"/>
            <w:rPr>
              <w:sz w:val="20"/>
              <w:szCs w:val="20"/>
            </w:rPr>
          </w:pPr>
        </w:p>
        <w:p w:rsidR="00D54B9C" w:rsidRPr="0044776A" w:rsidRDefault="00D54B9C" w:rsidP="0044776A">
          <w:pPr>
            <w:keepNext/>
            <w:keepLines/>
            <w:widowControl w:val="0"/>
            <w:jc w:val="center"/>
            <w:rPr>
              <w:sz w:val="20"/>
              <w:szCs w:val="20"/>
            </w:rPr>
          </w:pPr>
        </w:p>
        <w:p w:rsidR="00D54B9C" w:rsidRPr="0044776A" w:rsidRDefault="00D54B9C" w:rsidP="0044776A">
          <w:pPr>
            <w:keepNext/>
            <w:keepLines/>
            <w:widowControl w:val="0"/>
            <w:jc w:val="center"/>
            <w:rPr>
              <w:sz w:val="20"/>
              <w:szCs w:val="20"/>
            </w:rPr>
          </w:pPr>
        </w:p>
      </w:tc>
      <w:tc>
        <w:tcPr>
          <w:tcW w:w="4080" w:type="dxa"/>
          <w:tcMar>
            <w:left w:w="0" w:type="dxa"/>
            <w:right w:w="0" w:type="dxa"/>
          </w:tcMar>
        </w:tcPr>
        <w:p w:rsidR="00D54B9C" w:rsidRPr="0044776A" w:rsidRDefault="00D54B9C" w:rsidP="0044776A">
          <w:pPr>
            <w:keepLines/>
            <w:widowControl w:val="0"/>
            <w:rPr>
              <w:sz w:val="20"/>
              <w:szCs w:val="20"/>
              <w:lang w:val="fr-CA"/>
            </w:rPr>
          </w:pPr>
          <w:r w:rsidRPr="0044776A">
            <w:rPr>
              <w:sz w:val="20"/>
              <w:szCs w:val="20"/>
              <w:lang w:val="fr-CA"/>
            </w:rPr>
            <w:t>DEMANDES SOUMISES À LA COUR DEPUIS LA DERNIÈRE PARUTION</w:t>
          </w:r>
        </w:p>
        <w:p w:rsidR="00D54B9C" w:rsidRPr="0044776A" w:rsidRDefault="00D54B9C" w:rsidP="0044776A">
          <w:pPr>
            <w:widowControl w:val="0"/>
            <w:rPr>
              <w:sz w:val="20"/>
              <w:szCs w:val="20"/>
              <w:lang w:val="fr-CA"/>
            </w:rPr>
          </w:pPr>
        </w:p>
      </w:tc>
    </w:tr>
  </w:tbl>
  <w:p w:rsidR="00D54B9C" w:rsidRPr="002E2327" w:rsidRDefault="00D54B9C">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9C" w:rsidRDefault="00D54B9C">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54B9C" w:rsidRPr="00B07D2C">
      <w:tc>
        <w:tcPr>
          <w:tcW w:w="4200" w:type="dxa"/>
          <w:tcMar>
            <w:left w:w="0" w:type="dxa"/>
            <w:right w:w="0" w:type="dxa"/>
          </w:tcMar>
        </w:tcPr>
        <w:p w:rsidR="00D54B9C" w:rsidRDefault="00D54B9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D54B9C" w:rsidRDefault="00D54B9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D54B9C" w:rsidRDefault="00D54B9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54B9C" w:rsidRPr="00FF6BA5" w:rsidRDefault="00D54B9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D54B9C" w:rsidRPr="00FF6BA5" w:rsidRDefault="00D54B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D54B9C" w:rsidRPr="00FF6BA5" w:rsidRDefault="00D54B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D54B9C" w:rsidRPr="00FF6BA5" w:rsidRDefault="00D54B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D54B9C" w:rsidRPr="00B07D2C" w:rsidTr="00245129">
      <w:tc>
        <w:tcPr>
          <w:tcW w:w="4200" w:type="dxa"/>
          <w:tcMar>
            <w:left w:w="0" w:type="dxa"/>
            <w:right w:w="0" w:type="dxa"/>
          </w:tcMar>
        </w:tcPr>
        <w:p w:rsidR="00D54B9C" w:rsidRPr="00755F22" w:rsidRDefault="00D54B9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D54B9C" w:rsidRPr="00755F22" w:rsidRDefault="00D54B9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D54B9C" w:rsidRPr="00755F22" w:rsidRDefault="00D54B9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54B9C" w:rsidRPr="00755F22" w:rsidRDefault="00D54B9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54B9C" w:rsidRPr="00755F22" w:rsidRDefault="00D54B9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D54B9C" w:rsidRPr="00755F22" w:rsidRDefault="00D54B9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D54B9C" w:rsidRPr="00FF6BA5" w:rsidRDefault="00D54B9C"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7756"/>
    <w:multiLevelType w:val="hybridMultilevel"/>
    <w:tmpl w:val="54B87B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6A0514B"/>
    <w:multiLevelType w:val="hybridMultilevel"/>
    <w:tmpl w:val="54B87B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52241"/>
  </w:hdrShapeDefaults>
  <w:footnotePr>
    <w:footnote w:id="-1"/>
    <w:footnote w:id="0"/>
  </w:footnotePr>
  <w:endnotePr>
    <w:endnote w:id="-1"/>
    <w:endnote w:id="0"/>
  </w:endnotePr>
  <w:compat/>
  <w:rsids>
    <w:rsidRoot w:val="0089067B"/>
    <w:rsid w:val="0003223B"/>
    <w:rsid w:val="000327B2"/>
    <w:rsid w:val="00077688"/>
    <w:rsid w:val="00091FA6"/>
    <w:rsid w:val="00096BD9"/>
    <w:rsid w:val="000B3C9A"/>
    <w:rsid w:val="000B40A2"/>
    <w:rsid w:val="000B4624"/>
    <w:rsid w:val="000C0ACD"/>
    <w:rsid w:val="001012D5"/>
    <w:rsid w:val="00102926"/>
    <w:rsid w:val="0010587F"/>
    <w:rsid w:val="00111C6B"/>
    <w:rsid w:val="001145AA"/>
    <w:rsid w:val="0012102B"/>
    <w:rsid w:val="001233FB"/>
    <w:rsid w:val="0013369E"/>
    <w:rsid w:val="00164E6D"/>
    <w:rsid w:val="00167740"/>
    <w:rsid w:val="001B157C"/>
    <w:rsid w:val="001B5C23"/>
    <w:rsid w:val="001C56B8"/>
    <w:rsid w:val="001D0D5F"/>
    <w:rsid w:val="001D6B8C"/>
    <w:rsid w:val="001F1F83"/>
    <w:rsid w:val="002021A9"/>
    <w:rsid w:val="002139A7"/>
    <w:rsid w:val="00215F7C"/>
    <w:rsid w:val="00221731"/>
    <w:rsid w:val="0022323B"/>
    <w:rsid w:val="002410B8"/>
    <w:rsid w:val="00242AEE"/>
    <w:rsid w:val="00245129"/>
    <w:rsid w:val="00245879"/>
    <w:rsid w:val="00267FD5"/>
    <w:rsid w:val="00274D34"/>
    <w:rsid w:val="002868D0"/>
    <w:rsid w:val="002A27D1"/>
    <w:rsid w:val="002A4AFA"/>
    <w:rsid w:val="002B516C"/>
    <w:rsid w:val="002B7D60"/>
    <w:rsid w:val="002D72EB"/>
    <w:rsid w:val="002E2327"/>
    <w:rsid w:val="002E3583"/>
    <w:rsid w:val="002E5576"/>
    <w:rsid w:val="002F0AF9"/>
    <w:rsid w:val="002F3BD3"/>
    <w:rsid w:val="00331B52"/>
    <w:rsid w:val="00332E38"/>
    <w:rsid w:val="003359D3"/>
    <w:rsid w:val="00355967"/>
    <w:rsid w:val="00382C47"/>
    <w:rsid w:val="00384384"/>
    <w:rsid w:val="003866AE"/>
    <w:rsid w:val="003B3977"/>
    <w:rsid w:val="003C4D98"/>
    <w:rsid w:val="003F5A6A"/>
    <w:rsid w:val="0040283E"/>
    <w:rsid w:val="00431B55"/>
    <w:rsid w:val="00432989"/>
    <w:rsid w:val="00434E09"/>
    <w:rsid w:val="00440E24"/>
    <w:rsid w:val="0044776A"/>
    <w:rsid w:val="00460AFC"/>
    <w:rsid w:val="0047471F"/>
    <w:rsid w:val="004912AF"/>
    <w:rsid w:val="004A7973"/>
    <w:rsid w:val="004B195E"/>
    <w:rsid w:val="004B66B4"/>
    <w:rsid w:val="004B7F60"/>
    <w:rsid w:val="004C1AAC"/>
    <w:rsid w:val="004D28F2"/>
    <w:rsid w:val="004E1E0A"/>
    <w:rsid w:val="004F090E"/>
    <w:rsid w:val="00527CC7"/>
    <w:rsid w:val="00553DB9"/>
    <w:rsid w:val="00571CA4"/>
    <w:rsid w:val="00582136"/>
    <w:rsid w:val="005C6840"/>
    <w:rsid w:val="005E3874"/>
    <w:rsid w:val="005F263E"/>
    <w:rsid w:val="00600252"/>
    <w:rsid w:val="00612A40"/>
    <w:rsid w:val="006138E2"/>
    <w:rsid w:val="0062714A"/>
    <w:rsid w:val="006555FA"/>
    <w:rsid w:val="00675479"/>
    <w:rsid w:val="00680709"/>
    <w:rsid w:val="006834B3"/>
    <w:rsid w:val="006902EF"/>
    <w:rsid w:val="00696BF9"/>
    <w:rsid w:val="00697C62"/>
    <w:rsid w:val="006A329B"/>
    <w:rsid w:val="006A746C"/>
    <w:rsid w:val="006A7EB8"/>
    <w:rsid w:val="006B6926"/>
    <w:rsid w:val="006C3F47"/>
    <w:rsid w:val="006C5F7A"/>
    <w:rsid w:val="006D5C50"/>
    <w:rsid w:val="006E06AF"/>
    <w:rsid w:val="006E16A0"/>
    <w:rsid w:val="006F350F"/>
    <w:rsid w:val="00732DB7"/>
    <w:rsid w:val="0074238B"/>
    <w:rsid w:val="00745EF7"/>
    <w:rsid w:val="00755F22"/>
    <w:rsid w:val="00766E4A"/>
    <w:rsid w:val="007820CE"/>
    <w:rsid w:val="00782AE4"/>
    <w:rsid w:val="0078316E"/>
    <w:rsid w:val="0079724F"/>
    <w:rsid w:val="007A3EAE"/>
    <w:rsid w:val="007C04FC"/>
    <w:rsid w:val="007D3E0F"/>
    <w:rsid w:val="007D68B3"/>
    <w:rsid w:val="007E4282"/>
    <w:rsid w:val="007F387B"/>
    <w:rsid w:val="007F6E57"/>
    <w:rsid w:val="00802863"/>
    <w:rsid w:val="00815B3C"/>
    <w:rsid w:val="0082783A"/>
    <w:rsid w:val="00831CA9"/>
    <w:rsid w:val="00850E1F"/>
    <w:rsid w:val="0085476B"/>
    <w:rsid w:val="0089067B"/>
    <w:rsid w:val="00890FEB"/>
    <w:rsid w:val="008D292F"/>
    <w:rsid w:val="008E03DC"/>
    <w:rsid w:val="008F6318"/>
    <w:rsid w:val="00902B1D"/>
    <w:rsid w:val="00924065"/>
    <w:rsid w:val="00930D68"/>
    <w:rsid w:val="00932DB4"/>
    <w:rsid w:val="00934E29"/>
    <w:rsid w:val="00941499"/>
    <w:rsid w:val="00941A4B"/>
    <w:rsid w:val="00946242"/>
    <w:rsid w:val="0095096B"/>
    <w:rsid w:val="00970CD3"/>
    <w:rsid w:val="009723FA"/>
    <w:rsid w:val="0098059B"/>
    <w:rsid w:val="00984546"/>
    <w:rsid w:val="0099497E"/>
    <w:rsid w:val="00996510"/>
    <w:rsid w:val="009D1F15"/>
    <w:rsid w:val="009D555E"/>
    <w:rsid w:val="009F3024"/>
    <w:rsid w:val="00A0355E"/>
    <w:rsid w:val="00A32A8F"/>
    <w:rsid w:val="00A375D1"/>
    <w:rsid w:val="00A449A2"/>
    <w:rsid w:val="00A503E2"/>
    <w:rsid w:val="00A51D10"/>
    <w:rsid w:val="00A52A83"/>
    <w:rsid w:val="00A64C49"/>
    <w:rsid w:val="00A6552C"/>
    <w:rsid w:val="00A87207"/>
    <w:rsid w:val="00A91120"/>
    <w:rsid w:val="00A935AA"/>
    <w:rsid w:val="00AB2201"/>
    <w:rsid w:val="00AB5938"/>
    <w:rsid w:val="00AC0398"/>
    <w:rsid w:val="00AD3259"/>
    <w:rsid w:val="00AD4A27"/>
    <w:rsid w:val="00AE1683"/>
    <w:rsid w:val="00AF1715"/>
    <w:rsid w:val="00AF3904"/>
    <w:rsid w:val="00B010C0"/>
    <w:rsid w:val="00B07D2C"/>
    <w:rsid w:val="00B156A6"/>
    <w:rsid w:val="00B4740D"/>
    <w:rsid w:val="00B61629"/>
    <w:rsid w:val="00B7374B"/>
    <w:rsid w:val="00B90DC0"/>
    <w:rsid w:val="00BA116A"/>
    <w:rsid w:val="00BA5582"/>
    <w:rsid w:val="00BA6468"/>
    <w:rsid w:val="00BB1D44"/>
    <w:rsid w:val="00BB6B87"/>
    <w:rsid w:val="00BD06DA"/>
    <w:rsid w:val="00BD4217"/>
    <w:rsid w:val="00BF25F3"/>
    <w:rsid w:val="00BF618C"/>
    <w:rsid w:val="00C1697B"/>
    <w:rsid w:val="00C21CB5"/>
    <w:rsid w:val="00C41733"/>
    <w:rsid w:val="00C50A5C"/>
    <w:rsid w:val="00C50FDF"/>
    <w:rsid w:val="00C63381"/>
    <w:rsid w:val="00C73D06"/>
    <w:rsid w:val="00C73E1B"/>
    <w:rsid w:val="00C759B4"/>
    <w:rsid w:val="00C77713"/>
    <w:rsid w:val="00C85BB7"/>
    <w:rsid w:val="00CB00D4"/>
    <w:rsid w:val="00CB0178"/>
    <w:rsid w:val="00CB43D5"/>
    <w:rsid w:val="00CC4D84"/>
    <w:rsid w:val="00CE198A"/>
    <w:rsid w:val="00CF1417"/>
    <w:rsid w:val="00D54B9C"/>
    <w:rsid w:val="00D64901"/>
    <w:rsid w:val="00D762AB"/>
    <w:rsid w:val="00D76BDF"/>
    <w:rsid w:val="00D862C1"/>
    <w:rsid w:val="00D93B50"/>
    <w:rsid w:val="00D94670"/>
    <w:rsid w:val="00DA46F6"/>
    <w:rsid w:val="00DB11F4"/>
    <w:rsid w:val="00DD0B49"/>
    <w:rsid w:val="00DD1874"/>
    <w:rsid w:val="00DE0502"/>
    <w:rsid w:val="00E06DFA"/>
    <w:rsid w:val="00E10E68"/>
    <w:rsid w:val="00E20A0A"/>
    <w:rsid w:val="00E25901"/>
    <w:rsid w:val="00E356C7"/>
    <w:rsid w:val="00E45FE4"/>
    <w:rsid w:val="00E64FA7"/>
    <w:rsid w:val="00E770CB"/>
    <w:rsid w:val="00E903A1"/>
    <w:rsid w:val="00E940EB"/>
    <w:rsid w:val="00E9703F"/>
    <w:rsid w:val="00EB2B90"/>
    <w:rsid w:val="00EB5612"/>
    <w:rsid w:val="00ED7E83"/>
    <w:rsid w:val="00EE091F"/>
    <w:rsid w:val="00EF4B63"/>
    <w:rsid w:val="00F0068D"/>
    <w:rsid w:val="00F0576D"/>
    <w:rsid w:val="00F05E19"/>
    <w:rsid w:val="00F14E6D"/>
    <w:rsid w:val="00F15EA8"/>
    <w:rsid w:val="00F16C8D"/>
    <w:rsid w:val="00F26C61"/>
    <w:rsid w:val="00F33CCE"/>
    <w:rsid w:val="00F40249"/>
    <w:rsid w:val="00F526C8"/>
    <w:rsid w:val="00F761A3"/>
    <w:rsid w:val="00F9272D"/>
    <w:rsid w:val="00F9518C"/>
    <w:rsid w:val="00FA316E"/>
    <w:rsid w:val="00FA59EF"/>
    <w:rsid w:val="00FA5E0E"/>
    <w:rsid w:val="00FB19A2"/>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2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uiPriority w:val="99"/>
    <w:semiHidden/>
    <w:rsid w:val="008D292F"/>
    <w:rPr>
      <w:rFonts w:eastAsia="Times New Roman" w:cs="Times New Roman"/>
      <w:sz w:val="20"/>
      <w:szCs w:val="20"/>
      <w:lang w:val="en-CA" w:eastAsia="en-CA"/>
    </w:rPr>
  </w:style>
  <w:style w:type="paragraph" w:styleId="FootnoteText">
    <w:name w:val="footnote text"/>
    <w:basedOn w:val="Normal"/>
    <w:link w:val="FootnoteTextChar"/>
    <w:uiPriority w:val="99"/>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table" w:customStyle="1" w:styleId="TableGrid1">
    <w:name w:val="Table Grid1"/>
    <w:basedOn w:val="TableNormal"/>
    <w:next w:val="TableGrid"/>
    <w:uiPriority w:val="59"/>
    <w:rsid w:val="00CF1417"/>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LsocParty">
    <w:name w:val="SCC.Lsoc.Party"/>
    <w:basedOn w:val="Normal"/>
    <w:next w:val="Normal"/>
    <w:link w:val="SCCLsocPartyChar"/>
    <w:rsid w:val="00B156A6"/>
    <w:pPr>
      <w:jc w:val="center"/>
    </w:pPr>
    <w:rPr>
      <w:rFonts w:eastAsia="Calibri" w:cs="Times New Roman"/>
      <w:lang w:val="fr-CA"/>
    </w:rPr>
  </w:style>
  <w:style w:type="character" w:customStyle="1" w:styleId="SCCLsocPartyChar">
    <w:name w:val="SCC.Lsoc.Party Char"/>
    <w:basedOn w:val="DefaultParagraphFont"/>
    <w:link w:val="SCCLsocParty"/>
    <w:rsid w:val="00B156A6"/>
    <w:rPr>
      <w:rFonts w:eastAsia="Calibri" w:cs="Times New Roman"/>
      <w:lang w:val="fr-CA"/>
    </w:rPr>
  </w:style>
  <w:style w:type="paragraph" w:customStyle="1" w:styleId="SCCBanSummary">
    <w:name w:val="SCC.BanSummary"/>
    <w:basedOn w:val="Normal"/>
    <w:next w:val="Normal"/>
    <w:link w:val="SCCBanSummaryChar"/>
    <w:rsid w:val="00B156A6"/>
    <w:pPr>
      <w:jc w:val="both"/>
    </w:pPr>
    <w:rPr>
      <w:rFonts w:eastAsia="Calibri" w:cs="Times New Roman"/>
      <w:smallCaps/>
    </w:rPr>
  </w:style>
  <w:style w:type="character" w:customStyle="1" w:styleId="SCCBanSummaryChar">
    <w:name w:val="SCC.BanSummary Char"/>
    <w:basedOn w:val="DefaultParagraphFont"/>
    <w:link w:val="SCCBanSummary"/>
    <w:rsid w:val="00B156A6"/>
    <w:rPr>
      <w:rFonts w:eastAsia="Calibri" w:cs="Times New Roman"/>
      <w:smallCaps/>
      <w:lang w:val="en-CA"/>
    </w:rPr>
  </w:style>
  <w:style w:type="paragraph" w:customStyle="1" w:styleId="SCCLowerCourtNameLowercase">
    <w:name w:val="SCC.LowerCourtNameLowercase"/>
    <w:basedOn w:val="SCCNormalDoubleSpacing"/>
    <w:next w:val="SCCNormalDoubleSpacing"/>
    <w:rsid w:val="006D5C50"/>
    <w:pPr>
      <w:tabs>
        <w:tab w:val="left" w:pos="1168"/>
      </w:tabs>
    </w:pPr>
    <w:rPr>
      <w:smallCaps/>
    </w:rPr>
  </w:style>
  <w:style w:type="character" w:styleId="FootnoteReference">
    <w:name w:val="footnote reference"/>
    <w:basedOn w:val="DefaultParagraphFont"/>
    <w:uiPriority w:val="99"/>
    <w:semiHidden/>
    <w:unhideWhenUsed/>
    <w:rsid w:val="006D5C5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footer" Target="footer20.xml"/><Relationship Id="rId55" Type="http://schemas.openxmlformats.org/officeDocument/2006/relationships/header" Target="header24.xml"/><Relationship Id="rId63"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header" Target="header23.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footer" Target="footer24.xml"/><Relationship Id="rId61" Type="http://schemas.openxmlformats.org/officeDocument/2006/relationships/footer" Target="footer2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2.xml"/><Relationship Id="rId60" Type="http://schemas.openxmlformats.org/officeDocument/2006/relationships/header" Target="header26.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56" Type="http://schemas.openxmlformats.org/officeDocument/2006/relationships/footer" Target="footer23.xml"/><Relationship Id="rId8" Type="http://schemas.openxmlformats.org/officeDocument/2006/relationships/hyperlink" Target="http://www.scc-csc.gc.ca" TargetMode="External"/><Relationship Id="rId51" Type="http://schemas.openxmlformats.org/officeDocument/2006/relationships/footer" Target="footer21.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59" Type="http://schemas.openxmlformats.org/officeDocument/2006/relationships/footer" Target="foot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19886</Words>
  <Characters>113352</Characters>
  <Application>Microsoft Office Word</Application>
  <DocSecurity>0</DocSecurity>
  <Lines>944</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2013-03-01T19:54:00Z</dcterms:created>
  <dcterms:modified xsi:type="dcterms:W3CDTF">2013-03-01T20:14:00Z</dcterms:modified>
</cp:coreProperties>
</file>