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138B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138B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138B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138B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138B5" w:rsidTr="002E5576">
        <w:tc>
          <w:tcPr>
            <w:tcW w:w="4518" w:type="dxa"/>
          </w:tcPr>
          <w:p w:rsidR="00BF25F3" w:rsidRPr="002E2327" w:rsidRDefault="00F425B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425B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138B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138B5"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8138B5">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8138B5">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40045"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15</w:t>
      </w:r>
      <w:r w:rsidR="00440E24" w:rsidRPr="00675479">
        <w:rPr>
          <w:lang w:val="fr-CA"/>
        </w:rPr>
        <w:t>, 201</w:t>
      </w:r>
      <w:r w:rsidR="00F761A3">
        <w:rPr>
          <w:lang w:val="fr-CA"/>
        </w:rPr>
        <w:t>3</w:t>
      </w:r>
      <w:r w:rsidR="00F0068D" w:rsidRPr="00675479">
        <w:rPr>
          <w:lang w:val="fr-CA"/>
        </w:rPr>
        <w:tab/>
        <w:t>1</w:t>
      </w:r>
      <w:r>
        <w:rPr>
          <w:lang w:val="fr-CA"/>
        </w:rPr>
        <w:t>831</w:t>
      </w:r>
      <w:r w:rsidR="00F0068D" w:rsidRPr="00675479">
        <w:rPr>
          <w:lang w:val="fr-CA"/>
        </w:rPr>
        <w:t xml:space="preserve"> - </w:t>
      </w:r>
      <w:r w:rsidR="00F17714">
        <w:rPr>
          <w:lang w:val="fr-CA"/>
        </w:rPr>
        <w:t>18</w:t>
      </w:r>
      <w:r w:rsidR="00E151AD">
        <w:rPr>
          <w:lang w:val="fr-CA"/>
        </w:rPr>
        <w:t>60</w:t>
      </w:r>
      <w:r w:rsidR="00440E24" w:rsidRPr="00675479">
        <w:rPr>
          <w:lang w:val="fr-CA"/>
        </w:rPr>
        <w:tab/>
      </w:r>
      <w:r w:rsidR="00440E24" w:rsidRPr="002E2327">
        <w:rPr>
          <w:lang w:val="fr-CA"/>
        </w:rPr>
        <w:t>Le</w:t>
      </w:r>
      <w:r w:rsidR="00C73D06">
        <w:rPr>
          <w:lang w:val="fr-CA"/>
        </w:rPr>
        <w:t xml:space="preserve"> </w:t>
      </w:r>
      <w:r>
        <w:rPr>
          <w:lang w:val="fr-CA"/>
        </w:rPr>
        <w:t>15</w:t>
      </w:r>
      <w:r w:rsidR="00C73D06">
        <w:rPr>
          <w:lang w:val="fr-CA"/>
        </w:rPr>
        <w:t xml:space="preserve"> </w:t>
      </w:r>
      <w:r>
        <w:rPr>
          <w:lang w:val="fr-CA"/>
        </w:rPr>
        <w:t>no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440045" w:rsidRDefault="00440E24" w:rsidP="00440E24">
      <w:pPr>
        <w:pBdr>
          <w:bottom w:val="single" w:sz="6" w:space="1" w:color="auto"/>
        </w:pBdr>
        <w:tabs>
          <w:tab w:val="right" w:pos="9360"/>
        </w:tabs>
        <w:rPr>
          <w:sz w:val="18"/>
          <w:szCs w:val="18"/>
          <w:lang w:val="fr-CA"/>
        </w:rPr>
      </w:pPr>
      <w:r w:rsidRPr="00440045">
        <w:rPr>
          <w:sz w:val="18"/>
          <w:szCs w:val="18"/>
          <w:lang w:val="fr-CA"/>
        </w:rPr>
        <w:t>© Supreme Court of Canada (201</w:t>
      </w:r>
      <w:r w:rsidR="00F761A3" w:rsidRPr="00440045">
        <w:rPr>
          <w:sz w:val="18"/>
          <w:szCs w:val="18"/>
          <w:lang w:val="fr-CA"/>
        </w:rPr>
        <w:t>3</w:t>
      </w:r>
      <w:r w:rsidRPr="00440045">
        <w:rPr>
          <w:sz w:val="18"/>
          <w:szCs w:val="18"/>
          <w:lang w:val="fr-CA"/>
        </w:rPr>
        <w:t>)</w:t>
      </w:r>
      <w:r w:rsidRPr="00440045">
        <w:rPr>
          <w:sz w:val="18"/>
          <w:szCs w:val="18"/>
          <w:lang w:val="fr-CA"/>
        </w:rPr>
        <w:tab/>
        <w:t>© Cour suprême du Canada (201</w:t>
      </w:r>
      <w:r w:rsidR="00F761A3" w:rsidRPr="00440045">
        <w:rPr>
          <w:sz w:val="18"/>
          <w:szCs w:val="18"/>
          <w:lang w:val="fr-CA"/>
        </w:rPr>
        <w:t>3</w:t>
      </w:r>
      <w:r w:rsidRPr="0044004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7E2E7D">
            <w:pPr>
              <w:tabs>
                <w:tab w:val="right" w:pos="9360"/>
              </w:tabs>
              <w:rPr>
                <w:rFonts w:cs="Times New Roman"/>
                <w:sz w:val="20"/>
                <w:szCs w:val="20"/>
              </w:rPr>
            </w:pPr>
          </w:p>
        </w:tc>
        <w:tc>
          <w:tcPr>
            <w:tcW w:w="1980" w:type="dxa"/>
          </w:tcPr>
          <w:p w:rsidR="0095096B" w:rsidRPr="002E2327" w:rsidRDefault="00440045" w:rsidP="0095096B">
            <w:pPr>
              <w:jc w:val="center"/>
              <w:rPr>
                <w:rFonts w:cs="Times New Roman"/>
                <w:sz w:val="20"/>
                <w:szCs w:val="20"/>
              </w:rPr>
            </w:pPr>
            <w:r>
              <w:rPr>
                <w:rFonts w:cs="Times New Roman"/>
                <w:sz w:val="20"/>
                <w:szCs w:val="20"/>
              </w:rPr>
              <w:t xml:space="preserve">1831 </w:t>
            </w:r>
            <w:r w:rsidR="00F425BC" w:rsidRPr="002E2327">
              <w:rPr>
                <w:rFonts w:cs="Times New Roman"/>
                <w:sz w:val="20"/>
                <w:szCs w:val="20"/>
              </w:rPr>
              <w:fldChar w:fldCharType="begin"/>
            </w:r>
            <w:r w:rsidR="0095096B" w:rsidRPr="002E2327">
              <w:rPr>
                <w:rFonts w:cs="Times New Roman"/>
                <w:sz w:val="20"/>
                <w:szCs w:val="20"/>
              </w:rPr>
              <w:instrText xml:space="preserve"> SEQ CHAPTER \h \r 1</w:instrText>
            </w:r>
            <w:r w:rsidR="00F425BC" w:rsidRPr="002E2327">
              <w:rPr>
                <w:rFonts w:cs="Times New Roman"/>
                <w:sz w:val="20"/>
                <w:szCs w:val="20"/>
              </w:rPr>
              <w:fldChar w:fldCharType="end"/>
            </w:r>
            <w:r w:rsidR="0095096B" w:rsidRPr="002E2327">
              <w:rPr>
                <w:rFonts w:cs="Times New Roman"/>
                <w:sz w:val="20"/>
                <w:szCs w:val="20"/>
              </w:rPr>
              <w:t>-</w:t>
            </w:r>
            <w:r w:rsidR="00EE5BFB">
              <w:rPr>
                <w:rFonts w:cs="Times New Roman"/>
                <w:sz w:val="20"/>
                <w:szCs w:val="20"/>
              </w:rPr>
              <w:t xml:space="preserve"> 1832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046F" w:rsidP="0095096B">
            <w:pPr>
              <w:jc w:val="center"/>
              <w:rPr>
                <w:rFonts w:cs="Times New Roman"/>
                <w:sz w:val="20"/>
                <w:szCs w:val="20"/>
              </w:rPr>
            </w:pPr>
            <w:r>
              <w:rPr>
                <w:rFonts w:cs="Times New Roman"/>
                <w:sz w:val="20"/>
                <w:szCs w:val="20"/>
              </w:rPr>
              <w:t>1833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90ADE" w:rsidP="0095096B">
            <w:pPr>
              <w:jc w:val="center"/>
              <w:rPr>
                <w:rFonts w:cs="Times New Roman"/>
                <w:sz w:val="20"/>
                <w:szCs w:val="20"/>
              </w:rPr>
            </w:pPr>
            <w:r>
              <w:rPr>
                <w:rFonts w:cs="Times New Roman"/>
                <w:sz w:val="20"/>
                <w:szCs w:val="20"/>
              </w:rPr>
              <w:t xml:space="preserve">1834 </w:t>
            </w:r>
            <w:r w:rsidR="0095096B" w:rsidRPr="002E2327">
              <w:rPr>
                <w:rFonts w:cs="Times New Roman"/>
                <w:sz w:val="20"/>
                <w:szCs w:val="20"/>
              </w:rPr>
              <w:t>-</w:t>
            </w:r>
            <w:r w:rsidR="001D4B16">
              <w:rPr>
                <w:rFonts w:cs="Times New Roman"/>
                <w:sz w:val="20"/>
                <w:szCs w:val="20"/>
              </w:rPr>
              <w:t xml:space="preserve"> 1843</w:t>
            </w:r>
          </w:p>
          <w:p w:rsidR="0095096B" w:rsidRPr="002E2327" w:rsidRDefault="0095096B" w:rsidP="0095096B">
            <w:pPr>
              <w:jc w:val="center"/>
              <w:rPr>
                <w:rFonts w:cs="Times New Roman"/>
                <w:sz w:val="20"/>
                <w:szCs w:val="20"/>
              </w:rPr>
            </w:pPr>
          </w:p>
          <w:p w:rsidR="001D4B16" w:rsidRDefault="001D4B16" w:rsidP="0095096B">
            <w:pPr>
              <w:jc w:val="center"/>
              <w:rPr>
                <w:rFonts w:cs="Times New Roman"/>
                <w:sz w:val="20"/>
                <w:szCs w:val="20"/>
              </w:rPr>
            </w:pPr>
          </w:p>
          <w:p w:rsidR="0095096B" w:rsidRPr="002E2327" w:rsidRDefault="001D4B16" w:rsidP="0095096B">
            <w:pPr>
              <w:jc w:val="center"/>
              <w:rPr>
                <w:rFonts w:cs="Times New Roman"/>
                <w:sz w:val="20"/>
                <w:szCs w:val="20"/>
              </w:rPr>
            </w:pPr>
            <w:r>
              <w:rPr>
                <w:rFonts w:cs="Times New Roman"/>
                <w:sz w:val="20"/>
                <w:szCs w:val="20"/>
              </w:rPr>
              <w:t xml:space="preserve">1844 </w:t>
            </w:r>
            <w:r w:rsidR="0095096B" w:rsidRPr="002E2327">
              <w:rPr>
                <w:rFonts w:cs="Times New Roman"/>
                <w:sz w:val="20"/>
                <w:szCs w:val="20"/>
              </w:rPr>
              <w:t>-</w:t>
            </w:r>
            <w:r>
              <w:rPr>
                <w:rFonts w:cs="Times New Roman"/>
                <w:sz w:val="20"/>
                <w:szCs w:val="20"/>
              </w:rPr>
              <w:t xml:space="preserve"> 1849</w:t>
            </w:r>
          </w:p>
          <w:p w:rsidR="0095096B" w:rsidRPr="002E2327" w:rsidRDefault="0095096B" w:rsidP="0095096B">
            <w:pPr>
              <w:jc w:val="center"/>
              <w:rPr>
                <w:rFonts w:cs="Times New Roman"/>
                <w:sz w:val="20"/>
                <w:szCs w:val="20"/>
              </w:rPr>
            </w:pPr>
          </w:p>
          <w:p w:rsidR="0095096B" w:rsidRDefault="001D4B16" w:rsidP="0095096B">
            <w:pPr>
              <w:jc w:val="center"/>
              <w:rPr>
                <w:rFonts w:cs="Times New Roman"/>
                <w:sz w:val="20"/>
                <w:szCs w:val="20"/>
              </w:rPr>
            </w:pPr>
            <w:r>
              <w:rPr>
                <w:rFonts w:cs="Times New Roman"/>
                <w:sz w:val="20"/>
                <w:szCs w:val="20"/>
              </w:rPr>
              <w:t>1850</w:t>
            </w:r>
          </w:p>
          <w:p w:rsidR="001D4B16" w:rsidRDefault="001D4B16" w:rsidP="0095096B">
            <w:pPr>
              <w:jc w:val="center"/>
              <w:rPr>
                <w:rFonts w:cs="Times New Roman"/>
                <w:sz w:val="20"/>
                <w:szCs w:val="20"/>
              </w:rPr>
            </w:pPr>
          </w:p>
          <w:p w:rsidR="001D4B16" w:rsidRPr="002E2327" w:rsidRDefault="001D4B16" w:rsidP="0095096B">
            <w:pPr>
              <w:jc w:val="center"/>
              <w:rPr>
                <w:rFonts w:cs="Times New Roman"/>
                <w:sz w:val="20"/>
                <w:szCs w:val="20"/>
              </w:rPr>
            </w:pPr>
          </w:p>
          <w:p w:rsidR="0095096B" w:rsidRPr="002E2327" w:rsidRDefault="001D4B16" w:rsidP="0095096B">
            <w:pPr>
              <w:jc w:val="center"/>
              <w:rPr>
                <w:rFonts w:cs="Times New Roman"/>
                <w:sz w:val="20"/>
                <w:szCs w:val="20"/>
              </w:rPr>
            </w:pPr>
            <w:r>
              <w:rPr>
                <w:rFonts w:cs="Times New Roman"/>
                <w:sz w:val="20"/>
                <w:szCs w:val="20"/>
              </w:rPr>
              <w:t xml:space="preserve">1851 </w:t>
            </w:r>
            <w:r w:rsidR="0095096B" w:rsidRPr="002E2327">
              <w:rPr>
                <w:rFonts w:cs="Times New Roman"/>
                <w:sz w:val="20"/>
                <w:szCs w:val="20"/>
              </w:rPr>
              <w:t>-</w:t>
            </w:r>
            <w:r w:rsidR="00F17714">
              <w:rPr>
                <w:rFonts w:cs="Times New Roman"/>
                <w:sz w:val="20"/>
                <w:szCs w:val="20"/>
              </w:rPr>
              <w:t xml:space="preserve"> 1853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17714" w:rsidP="0095096B">
            <w:pPr>
              <w:jc w:val="center"/>
              <w:rPr>
                <w:rFonts w:cs="Times New Roman"/>
                <w:sz w:val="20"/>
                <w:szCs w:val="20"/>
              </w:rPr>
            </w:pPr>
            <w:r>
              <w:rPr>
                <w:rFonts w:cs="Times New Roman"/>
                <w:sz w:val="20"/>
                <w:szCs w:val="20"/>
              </w:rPr>
              <w:t>1854</w:t>
            </w:r>
            <w:r w:rsidR="00E151AD">
              <w:rPr>
                <w:rFonts w:cs="Times New Roman"/>
                <w:sz w:val="20"/>
                <w:szCs w:val="20"/>
              </w:rPr>
              <w:t xml:space="preserve"> </w:t>
            </w:r>
            <w:r w:rsidR="00E151AD" w:rsidRPr="002E2327">
              <w:rPr>
                <w:rFonts w:cs="Times New Roman"/>
                <w:sz w:val="20"/>
                <w:szCs w:val="20"/>
              </w:rPr>
              <w:t>-</w:t>
            </w:r>
            <w:r w:rsidR="00E151AD">
              <w:rPr>
                <w:rFonts w:cs="Times New Roman"/>
                <w:sz w:val="20"/>
                <w:szCs w:val="20"/>
              </w:rPr>
              <w:t xml:space="preserve"> 1855</w:t>
            </w:r>
          </w:p>
          <w:p w:rsidR="0095096B" w:rsidRDefault="0095096B" w:rsidP="0095096B">
            <w:pPr>
              <w:jc w:val="center"/>
              <w:rPr>
                <w:rFonts w:cs="Times New Roman"/>
                <w:sz w:val="20"/>
                <w:szCs w:val="20"/>
              </w:rPr>
            </w:pPr>
          </w:p>
          <w:p w:rsidR="007E2E7D" w:rsidRPr="002E2327" w:rsidRDefault="007E2E7D" w:rsidP="0095096B">
            <w:pPr>
              <w:jc w:val="center"/>
              <w:rPr>
                <w:rFonts w:cs="Times New Roman"/>
                <w:sz w:val="20"/>
                <w:szCs w:val="20"/>
              </w:rPr>
            </w:pPr>
          </w:p>
          <w:p w:rsidR="0095096B" w:rsidRPr="002E2327" w:rsidRDefault="00F17714" w:rsidP="0095096B">
            <w:pPr>
              <w:jc w:val="center"/>
              <w:rPr>
                <w:rFonts w:cs="Times New Roman"/>
                <w:sz w:val="20"/>
                <w:szCs w:val="20"/>
              </w:rPr>
            </w:pPr>
            <w:r>
              <w:rPr>
                <w:rFonts w:cs="Times New Roman"/>
                <w:sz w:val="20"/>
                <w:szCs w:val="20"/>
              </w:rPr>
              <w:t>185</w:t>
            </w:r>
            <w:r w:rsidR="00E151AD">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18</w:t>
            </w:r>
            <w:r w:rsidR="00E151AD">
              <w:rPr>
                <w:rFonts w:cs="Times New Roman"/>
                <w:sz w:val="20"/>
                <w:szCs w:val="20"/>
              </w:rPr>
              <w:t>60</w:t>
            </w:r>
          </w:p>
          <w:p w:rsidR="00A87207" w:rsidRPr="002E2327" w:rsidRDefault="00A87207" w:rsidP="007E2E7D">
            <w:pPr>
              <w:jc w:val="center"/>
              <w:rPr>
                <w:rFonts w:cs="Times New Roman"/>
                <w:sz w:val="20"/>
                <w:szCs w:val="20"/>
              </w:rPr>
            </w:pPr>
          </w:p>
        </w:tc>
        <w:tc>
          <w:tcPr>
            <w:tcW w:w="3888" w:type="dxa"/>
          </w:tcPr>
          <w:p w:rsidR="0095096B" w:rsidRPr="002E2327" w:rsidRDefault="00F425B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7E2E7D">
            <w:pPr>
              <w:tabs>
                <w:tab w:val="right" w:pos="9360"/>
              </w:tabs>
              <w:rPr>
                <w:rFonts w:cs="Times New Roman"/>
                <w:sz w:val="20"/>
                <w:szCs w:val="20"/>
                <w:lang w:val="fr-CA"/>
              </w:rPr>
            </w:pPr>
          </w:p>
        </w:tc>
      </w:tr>
    </w:tbl>
    <w:p w:rsidR="0095096B" w:rsidRDefault="0095096B" w:rsidP="0095096B">
      <w:pPr>
        <w:tabs>
          <w:tab w:val="right" w:pos="9360"/>
        </w:tabs>
      </w:pPr>
    </w:p>
    <w:p w:rsidR="007E2E7D" w:rsidRDefault="007E2E7D" w:rsidP="0095096B">
      <w:pPr>
        <w:tabs>
          <w:tab w:val="right" w:pos="9360"/>
        </w:tabs>
      </w:pPr>
    </w:p>
    <w:p w:rsidR="007E2E7D" w:rsidRDefault="007E2E7D" w:rsidP="0095096B">
      <w:pPr>
        <w:tabs>
          <w:tab w:val="right" w:pos="9360"/>
        </w:tabs>
      </w:pPr>
    </w:p>
    <w:p w:rsidR="007E2E7D" w:rsidRDefault="007E2E7D" w:rsidP="0095096B">
      <w:pPr>
        <w:tabs>
          <w:tab w:val="right" w:pos="9360"/>
        </w:tabs>
      </w:pPr>
    </w:p>
    <w:p w:rsidR="007E2E7D" w:rsidRPr="002E2327" w:rsidRDefault="007E2E7D" w:rsidP="0095096B">
      <w:pPr>
        <w:tabs>
          <w:tab w:val="right" w:pos="9360"/>
        </w:tabs>
      </w:pPr>
    </w:p>
    <w:tbl>
      <w:tblPr>
        <w:tblStyle w:val="TableGrid"/>
        <w:tblW w:w="0" w:type="auto"/>
        <w:tblLook w:val="04A0" w:firstRow="1" w:lastRow="0" w:firstColumn="1" w:lastColumn="0" w:noHBand="0" w:noVBand="1"/>
      </w:tblPr>
      <w:tblGrid>
        <w:gridCol w:w="9576"/>
      </w:tblGrid>
      <w:tr w:rsidR="0079724F" w:rsidRPr="008138B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1B0569" w:rsidP="003B3977">
            <w:pPr>
              <w:rPr>
                <w:b/>
                <w:sz w:val="20"/>
                <w:szCs w:val="20"/>
              </w:rPr>
            </w:pPr>
            <w:r>
              <w:rPr>
                <w:b/>
                <w:sz w:val="20"/>
                <w:szCs w:val="20"/>
              </w:rPr>
              <w:t>Gabriel Hunter Gibson</w:t>
            </w:r>
          </w:p>
          <w:p w:rsidR="00242AEE" w:rsidRPr="00A935AA" w:rsidRDefault="00242AEE" w:rsidP="003B3977">
            <w:pPr>
              <w:tabs>
                <w:tab w:val="left" w:pos="-1440"/>
                <w:tab w:val="left" w:pos="-720"/>
              </w:tabs>
              <w:rPr>
                <w:sz w:val="20"/>
                <w:szCs w:val="20"/>
              </w:rPr>
            </w:pPr>
            <w:r w:rsidRPr="00A935AA">
              <w:rPr>
                <w:sz w:val="20"/>
                <w:szCs w:val="20"/>
              </w:rPr>
              <w:tab/>
            </w:r>
            <w:r w:rsidR="001B0569">
              <w:rPr>
                <w:sz w:val="20"/>
                <w:szCs w:val="20"/>
              </w:rPr>
              <w:t>Gabriel Hunter Gibson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F81607">
              <w:rPr>
                <w:sz w:val="20"/>
                <w:szCs w:val="20"/>
              </w:rPr>
              <w:t>558</w:t>
            </w:r>
            <w:r w:rsidR="001B0569">
              <w:rPr>
                <w:sz w:val="20"/>
                <w:szCs w:val="20"/>
              </w:rPr>
              <w:t>9</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1B0569" w:rsidP="003B3977">
            <w:pPr>
              <w:tabs>
                <w:tab w:val="left" w:pos="-1440"/>
                <w:tab w:val="left" w:pos="-720"/>
              </w:tabs>
              <w:rPr>
                <w:b/>
                <w:sz w:val="20"/>
                <w:szCs w:val="20"/>
              </w:rPr>
            </w:pPr>
            <w:r>
              <w:rPr>
                <w:b/>
                <w:sz w:val="20"/>
                <w:szCs w:val="20"/>
              </w:rPr>
              <w:t xml:space="preserve">Director of Adult Forensic Psychiatric Services 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1B0569">
              <w:rPr>
                <w:sz w:val="20"/>
                <w:szCs w:val="20"/>
              </w:rPr>
              <w:t>Deborah K. Lovett</w:t>
            </w:r>
          </w:p>
          <w:p w:rsidR="00242AEE" w:rsidRPr="00A935AA" w:rsidRDefault="00242AEE" w:rsidP="003B3977">
            <w:pPr>
              <w:tabs>
                <w:tab w:val="left" w:pos="-1440"/>
                <w:tab w:val="left" w:pos="-720"/>
              </w:tabs>
              <w:rPr>
                <w:sz w:val="20"/>
                <w:szCs w:val="20"/>
              </w:rPr>
            </w:pPr>
            <w:r w:rsidRPr="00A935AA">
              <w:rPr>
                <w:sz w:val="20"/>
                <w:szCs w:val="20"/>
              </w:rPr>
              <w:tab/>
            </w:r>
            <w:r w:rsidR="001B0569">
              <w:rPr>
                <w:sz w:val="20"/>
                <w:szCs w:val="20"/>
              </w:rPr>
              <w:t>Lovett Westmacott</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1B0569">
              <w:rPr>
                <w:sz w:val="20"/>
                <w:szCs w:val="20"/>
              </w:rPr>
              <w:t>09</w:t>
            </w:r>
            <w:r w:rsidRPr="00A935AA">
              <w:rPr>
                <w:sz w:val="20"/>
                <w:szCs w:val="20"/>
              </w:rPr>
              <w:t>.</w:t>
            </w:r>
            <w:r w:rsidR="00F81607">
              <w:rPr>
                <w:sz w:val="20"/>
                <w:szCs w:val="20"/>
              </w:rPr>
              <w:t>0</w:t>
            </w:r>
            <w:r w:rsidR="001B0569">
              <w:rPr>
                <w:sz w:val="20"/>
                <w:szCs w:val="20"/>
              </w:rPr>
              <w:t>7</w:t>
            </w:r>
            <w:r w:rsidRPr="00A935AA">
              <w:rPr>
                <w:sz w:val="20"/>
                <w:szCs w:val="20"/>
              </w:rPr>
              <w:t>.201</w:t>
            </w:r>
            <w:r w:rsidR="00F81607">
              <w:rPr>
                <w:sz w:val="20"/>
                <w:szCs w:val="20"/>
              </w:rPr>
              <w:t>3</w:t>
            </w:r>
          </w:p>
          <w:p w:rsidR="00242AEE" w:rsidRPr="00A935AA" w:rsidRDefault="008138B5"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229EE" w:rsidP="003B3977">
            <w:pPr>
              <w:keepNext/>
              <w:keepLines/>
              <w:tabs>
                <w:tab w:val="left" w:pos="-1440"/>
                <w:tab w:val="left" w:pos="-720"/>
              </w:tabs>
              <w:rPr>
                <w:b/>
                <w:sz w:val="20"/>
                <w:szCs w:val="20"/>
              </w:rPr>
            </w:pPr>
            <w:r>
              <w:rPr>
                <w:b/>
                <w:sz w:val="20"/>
                <w:szCs w:val="20"/>
              </w:rPr>
              <w:t>Minister of National Revenue</w:t>
            </w:r>
          </w:p>
          <w:p w:rsidR="00242AEE" w:rsidRPr="00A935AA" w:rsidRDefault="00242AEE" w:rsidP="003B3977">
            <w:pPr>
              <w:keepNext/>
              <w:keepLines/>
              <w:tabs>
                <w:tab w:val="left" w:pos="-1440"/>
                <w:tab w:val="left" w:pos="-720"/>
              </w:tabs>
              <w:rPr>
                <w:sz w:val="20"/>
                <w:szCs w:val="20"/>
              </w:rPr>
            </w:pPr>
            <w:r w:rsidRPr="00A935AA">
              <w:rPr>
                <w:sz w:val="20"/>
                <w:szCs w:val="20"/>
              </w:rPr>
              <w:tab/>
            </w:r>
            <w:r w:rsidR="00E229EE">
              <w:rPr>
                <w:sz w:val="20"/>
                <w:szCs w:val="20"/>
              </w:rPr>
              <w:t>Margaret McCabe</w:t>
            </w:r>
          </w:p>
          <w:p w:rsidR="00242AEE" w:rsidRPr="00A935AA" w:rsidRDefault="00242AEE" w:rsidP="003B3977">
            <w:pPr>
              <w:keepNext/>
              <w:keepLines/>
              <w:tabs>
                <w:tab w:val="left" w:pos="-1440"/>
                <w:tab w:val="left" w:pos="-720"/>
              </w:tabs>
              <w:rPr>
                <w:sz w:val="20"/>
                <w:szCs w:val="20"/>
              </w:rPr>
            </w:pPr>
            <w:r w:rsidRPr="00A935AA">
              <w:rPr>
                <w:sz w:val="20"/>
                <w:szCs w:val="20"/>
              </w:rPr>
              <w:tab/>
            </w:r>
            <w:r w:rsidR="00E229EE">
              <w:rPr>
                <w:sz w:val="20"/>
                <w:szCs w:val="20"/>
              </w:rPr>
              <w:t>A.G. of Canada</w:t>
            </w:r>
          </w:p>
          <w:p w:rsidR="00242AEE" w:rsidRPr="00A935AA" w:rsidRDefault="00242AEE" w:rsidP="003B3977">
            <w:pPr>
              <w:keepNext/>
              <w:keepLines/>
              <w:tabs>
                <w:tab w:val="left" w:pos="-1440"/>
                <w:tab w:val="left" w:pos="-720"/>
              </w:tabs>
              <w:rPr>
                <w:sz w:val="20"/>
                <w:szCs w:val="20"/>
              </w:rPr>
            </w:pPr>
          </w:p>
          <w:p w:rsidR="00242AEE" w:rsidRPr="00E229EE" w:rsidRDefault="00242AEE" w:rsidP="003B3977">
            <w:pPr>
              <w:keepNext/>
              <w:keepLines/>
              <w:tabs>
                <w:tab w:val="left" w:pos="-1440"/>
                <w:tab w:val="left" w:pos="-720"/>
              </w:tabs>
              <w:rPr>
                <w:sz w:val="20"/>
                <w:szCs w:val="20"/>
              </w:rPr>
            </w:pPr>
            <w:r w:rsidRPr="00A935AA">
              <w:rPr>
                <w:sz w:val="20"/>
                <w:szCs w:val="20"/>
              </w:rPr>
              <w:tab/>
            </w:r>
            <w:r w:rsidRPr="00E229EE">
              <w:rPr>
                <w:sz w:val="20"/>
                <w:szCs w:val="20"/>
              </w:rPr>
              <w:t>v. (3</w:t>
            </w:r>
            <w:r w:rsidR="00F81607" w:rsidRPr="00E229EE">
              <w:rPr>
                <w:sz w:val="20"/>
                <w:szCs w:val="20"/>
              </w:rPr>
              <w:t>55</w:t>
            </w:r>
            <w:r w:rsidR="00E229EE" w:rsidRPr="00E229EE">
              <w:rPr>
                <w:sz w:val="20"/>
                <w:szCs w:val="20"/>
              </w:rPr>
              <w:t>90</w:t>
            </w:r>
            <w:r w:rsidRPr="00E229EE">
              <w:rPr>
                <w:sz w:val="20"/>
                <w:szCs w:val="20"/>
              </w:rPr>
              <w:t>)</w:t>
            </w:r>
          </w:p>
          <w:p w:rsidR="00242AEE" w:rsidRPr="00E229EE" w:rsidRDefault="00242AEE" w:rsidP="003B3977">
            <w:pPr>
              <w:keepNext/>
              <w:keepLines/>
              <w:tabs>
                <w:tab w:val="left" w:pos="-1440"/>
                <w:tab w:val="left" w:pos="-720"/>
              </w:tabs>
              <w:rPr>
                <w:sz w:val="20"/>
                <w:szCs w:val="20"/>
              </w:rPr>
            </w:pPr>
          </w:p>
          <w:p w:rsidR="00242AEE" w:rsidRPr="00E229EE" w:rsidRDefault="00E229EE" w:rsidP="003B3977">
            <w:pPr>
              <w:keepNext/>
              <w:keepLines/>
              <w:tabs>
                <w:tab w:val="left" w:pos="-1440"/>
                <w:tab w:val="left" w:pos="-720"/>
              </w:tabs>
              <w:rPr>
                <w:b/>
                <w:sz w:val="20"/>
                <w:szCs w:val="20"/>
              </w:rPr>
            </w:pPr>
            <w:r>
              <w:rPr>
                <w:b/>
                <w:sz w:val="20"/>
                <w:szCs w:val="20"/>
              </w:rPr>
              <w:t xml:space="preserve">Duncan Thompson </w:t>
            </w:r>
            <w:r w:rsidR="00242AEE" w:rsidRPr="00E229EE">
              <w:rPr>
                <w:b/>
                <w:sz w:val="20"/>
                <w:szCs w:val="20"/>
              </w:rPr>
              <w:t>(</w:t>
            </w:r>
            <w:r>
              <w:rPr>
                <w:b/>
                <w:sz w:val="20"/>
                <w:szCs w:val="20"/>
              </w:rPr>
              <w:t>F.C</w:t>
            </w:r>
            <w:r w:rsidR="00242AEE" w:rsidRPr="00E229EE">
              <w:rPr>
                <w:b/>
                <w:sz w:val="20"/>
                <w:szCs w:val="20"/>
              </w:rPr>
              <w:t>.)</w:t>
            </w:r>
          </w:p>
          <w:p w:rsidR="00242AEE" w:rsidRPr="00E229EE" w:rsidRDefault="00242AEE" w:rsidP="003B3977">
            <w:pPr>
              <w:keepNext/>
              <w:keepLines/>
              <w:tabs>
                <w:tab w:val="left" w:pos="-1440"/>
                <w:tab w:val="left" w:pos="-720"/>
              </w:tabs>
              <w:rPr>
                <w:sz w:val="20"/>
                <w:szCs w:val="20"/>
              </w:rPr>
            </w:pPr>
            <w:r w:rsidRPr="00E229EE">
              <w:rPr>
                <w:sz w:val="20"/>
                <w:szCs w:val="20"/>
              </w:rPr>
              <w:tab/>
            </w:r>
            <w:r w:rsidR="00E229EE">
              <w:rPr>
                <w:sz w:val="20"/>
                <w:szCs w:val="20"/>
              </w:rPr>
              <w:t>Duncan Thompson</w:t>
            </w:r>
          </w:p>
          <w:p w:rsidR="00242AEE" w:rsidRPr="00E229EE" w:rsidRDefault="00242AEE" w:rsidP="003B3977">
            <w:pPr>
              <w:keepNext/>
              <w:keepLines/>
              <w:tabs>
                <w:tab w:val="left" w:pos="-1440"/>
                <w:tab w:val="left" w:pos="-720"/>
              </w:tabs>
              <w:rPr>
                <w:sz w:val="20"/>
                <w:szCs w:val="20"/>
              </w:rPr>
            </w:pPr>
          </w:p>
          <w:p w:rsidR="00242AEE" w:rsidRPr="00A935AA" w:rsidRDefault="00242AEE" w:rsidP="00E229EE">
            <w:pPr>
              <w:rPr>
                <w:sz w:val="20"/>
                <w:szCs w:val="20"/>
              </w:rPr>
            </w:pPr>
            <w:r w:rsidRPr="00A935AA">
              <w:rPr>
                <w:sz w:val="20"/>
                <w:szCs w:val="20"/>
              </w:rPr>
              <w:t>FILING DATE: 2</w:t>
            </w:r>
            <w:r w:rsidR="00E229EE">
              <w:rPr>
                <w:sz w:val="20"/>
                <w:szCs w:val="20"/>
              </w:rPr>
              <w:t>5</w:t>
            </w:r>
            <w:r w:rsidRPr="00A935AA">
              <w:rPr>
                <w:sz w:val="20"/>
                <w:szCs w:val="20"/>
              </w:rPr>
              <w:t>.</w:t>
            </w:r>
            <w:r w:rsidR="00F81607">
              <w:rPr>
                <w:sz w:val="20"/>
                <w:szCs w:val="20"/>
              </w:rPr>
              <w:t>1</w:t>
            </w:r>
            <w:r w:rsidRPr="00A935AA">
              <w:rPr>
                <w:sz w:val="20"/>
                <w:szCs w:val="20"/>
              </w:rPr>
              <w:t>0.201</w:t>
            </w:r>
            <w:r w:rsidR="00F81607">
              <w:rPr>
                <w:sz w:val="20"/>
                <w:szCs w:val="20"/>
              </w:rPr>
              <w:t>3</w:t>
            </w:r>
            <w:r w:rsidR="008138B5">
              <w:rPr>
                <w:sz w:val="20"/>
                <w:szCs w:val="20"/>
                <w:lang w:val="fr-CA"/>
              </w:rPr>
              <w:pict>
                <v:rect id="_x0000_i1026" style="width:108pt;height:1pt" o:hrpct="0" o:hralign="center" o:hrstd="t" o:hrnoshade="t" o:hr="t" fillcolor="black [3213]" stroked="f"/>
              </w:pict>
            </w:r>
          </w:p>
        </w:tc>
      </w:tr>
      <w:tr w:rsidR="00F81607" w:rsidRPr="00E229EE" w:rsidTr="003B3977">
        <w:tc>
          <w:tcPr>
            <w:tcW w:w="4320" w:type="dxa"/>
            <w:shd w:val="clear" w:color="auto" w:fill="auto"/>
          </w:tcPr>
          <w:p w:rsidR="00F81607" w:rsidRDefault="00F81607" w:rsidP="001B0569">
            <w:pPr>
              <w:rPr>
                <w:b/>
                <w:sz w:val="20"/>
                <w:szCs w:val="20"/>
              </w:rPr>
            </w:pPr>
          </w:p>
          <w:p w:rsidR="00E229EE" w:rsidRPr="00092325" w:rsidRDefault="00E229EE" w:rsidP="001B0569">
            <w:pPr>
              <w:rPr>
                <w:b/>
                <w:sz w:val="20"/>
                <w:szCs w:val="20"/>
              </w:rPr>
            </w:pPr>
            <w:r w:rsidRPr="00092325">
              <w:rPr>
                <w:b/>
                <w:sz w:val="20"/>
                <w:szCs w:val="20"/>
              </w:rPr>
              <w:t>0759594</w:t>
            </w:r>
            <w:r w:rsidR="0078181A">
              <w:rPr>
                <w:b/>
                <w:sz w:val="20"/>
                <w:szCs w:val="20"/>
              </w:rPr>
              <w:t xml:space="preserve"> B.C. Ltd.</w:t>
            </w:r>
          </w:p>
          <w:p w:rsidR="00F81607" w:rsidRPr="00092325" w:rsidRDefault="00F81607" w:rsidP="001B0569">
            <w:pPr>
              <w:tabs>
                <w:tab w:val="left" w:pos="-1440"/>
                <w:tab w:val="left" w:pos="-720"/>
              </w:tabs>
              <w:rPr>
                <w:sz w:val="20"/>
                <w:szCs w:val="20"/>
              </w:rPr>
            </w:pPr>
            <w:r w:rsidRPr="00092325">
              <w:rPr>
                <w:sz w:val="20"/>
                <w:szCs w:val="20"/>
              </w:rPr>
              <w:tab/>
            </w:r>
            <w:r w:rsidR="00E229EE" w:rsidRPr="00092325">
              <w:rPr>
                <w:sz w:val="20"/>
                <w:szCs w:val="20"/>
              </w:rPr>
              <w:t xml:space="preserve">George E.H. Cadman </w:t>
            </w:r>
          </w:p>
          <w:p w:rsidR="00F81607" w:rsidRPr="000155DB" w:rsidRDefault="00F81607" w:rsidP="001B0569">
            <w:pPr>
              <w:tabs>
                <w:tab w:val="left" w:pos="-1440"/>
                <w:tab w:val="left" w:pos="-720"/>
              </w:tabs>
              <w:rPr>
                <w:sz w:val="20"/>
                <w:szCs w:val="20"/>
              </w:rPr>
            </w:pPr>
            <w:r w:rsidRPr="00092325">
              <w:rPr>
                <w:sz w:val="20"/>
                <w:szCs w:val="20"/>
              </w:rPr>
              <w:tab/>
            </w:r>
            <w:r w:rsidR="00092325" w:rsidRPr="000155DB">
              <w:rPr>
                <w:sz w:val="20"/>
                <w:szCs w:val="20"/>
              </w:rPr>
              <w:t xml:space="preserve">Boughton Law </w:t>
            </w:r>
            <w:r w:rsidR="00E229EE" w:rsidRPr="000155DB">
              <w:rPr>
                <w:sz w:val="20"/>
                <w:szCs w:val="20"/>
              </w:rPr>
              <w:t>Co</w:t>
            </w:r>
            <w:r w:rsidR="00092325" w:rsidRPr="000155DB">
              <w:rPr>
                <w:sz w:val="20"/>
                <w:szCs w:val="20"/>
              </w:rPr>
              <w:t>rpora</w:t>
            </w:r>
            <w:r w:rsidR="00E229EE" w:rsidRPr="000155DB">
              <w:rPr>
                <w:sz w:val="20"/>
                <w:szCs w:val="20"/>
              </w:rPr>
              <w:t>ti</w:t>
            </w:r>
            <w:r w:rsidR="00092325" w:rsidRPr="000155DB">
              <w:rPr>
                <w:sz w:val="20"/>
                <w:szCs w:val="20"/>
              </w:rPr>
              <w:t>on</w:t>
            </w:r>
          </w:p>
          <w:p w:rsidR="00F81607" w:rsidRPr="000155DB" w:rsidRDefault="00F81607" w:rsidP="001B0569">
            <w:pPr>
              <w:tabs>
                <w:tab w:val="left" w:pos="-1440"/>
                <w:tab w:val="left" w:pos="-720"/>
              </w:tabs>
              <w:rPr>
                <w:sz w:val="20"/>
                <w:szCs w:val="20"/>
              </w:rPr>
            </w:pPr>
          </w:p>
          <w:p w:rsidR="00F81607" w:rsidRPr="000155DB" w:rsidRDefault="00F81607" w:rsidP="001B0569">
            <w:pPr>
              <w:tabs>
                <w:tab w:val="left" w:pos="-1440"/>
                <w:tab w:val="left" w:pos="-720"/>
              </w:tabs>
              <w:rPr>
                <w:sz w:val="20"/>
                <w:szCs w:val="20"/>
              </w:rPr>
            </w:pPr>
            <w:r w:rsidRPr="000155DB">
              <w:rPr>
                <w:sz w:val="20"/>
                <w:szCs w:val="20"/>
              </w:rPr>
              <w:tab/>
            </w:r>
            <w:r w:rsidR="00092325" w:rsidRPr="000155DB">
              <w:rPr>
                <w:sz w:val="20"/>
                <w:szCs w:val="20"/>
              </w:rPr>
              <w:t>v</w:t>
            </w:r>
            <w:r w:rsidRPr="000155DB">
              <w:rPr>
                <w:sz w:val="20"/>
                <w:szCs w:val="20"/>
              </w:rPr>
              <w:t>. (355</w:t>
            </w:r>
            <w:r w:rsidR="00E229EE" w:rsidRPr="000155DB">
              <w:rPr>
                <w:sz w:val="20"/>
                <w:szCs w:val="20"/>
              </w:rPr>
              <w:t>9</w:t>
            </w:r>
            <w:r w:rsidR="00092325" w:rsidRPr="000155DB">
              <w:rPr>
                <w:sz w:val="20"/>
                <w:szCs w:val="20"/>
              </w:rPr>
              <w:t>4</w:t>
            </w:r>
            <w:r w:rsidRPr="000155DB">
              <w:rPr>
                <w:sz w:val="20"/>
                <w:szCs w:val="20"/>
              </w:rPr>
              <w:t>)</w:t>
            </w:r>
          </w:p>
          <w:p w:rsidR="00F81607" w:rsidRPr="000155DB" w:rsidRDefault="00F81607" w:rsidP="001B0569">
            <w:pPr>
              <w:tabs>
                <w:tab w:val="left" w:pos="-1440"/>
                <w:tab w:val="left" w:pos="-720"/>
              </w:tabs>
              <w:rPr>
                <w:sz w:val="20"/>
                <w:szCs w:val="20"/>
              </w:rPr>
            </w:pPr>
          </w:p>
          <w:p w:rsidR="00F81607" w:rsidRPr="00092325" w:rsidRDefault="00092325" w:rsidP="001B0569">
            <w:pPr>
              <w:tabs>
                <w:tab w:val="left" w:pos="-1440"/>
                <w:tab w:val="left" w:pos="-720"/>
              </w:tabs>
              <w:rPr>
                <w:b/>
                <w:sz w:val="20"/>
                <w:szCs w:val="20"/>
              </w:rPr>
            </w:pPr>
            <w:r w:rsidRPr="00092325">
              <w:rPr>
                <w:b/>
                <w:sz w:val="20"/>
                <w:szCs w:val="20"/>
              </w:rPr>
              <w:t>568295 Brit</w:t>
            </w:r>
            <w:r w:rsidR="00E229EE" w:rsidRPr="00092325">
              <w:rPr>
                <w:b/>
                <w:sz w:val="20"/>
                <w:szCs w:val="20"/>
              </w:rPr>
              <w:t>i</w:t>
            </w:r>
            <w:r w:rsidRPr="00092325">
              <w:rPr>
                <w:b/>
                <w:sz w:val="20"/>
                <w:szCs w:val="20"/>
              </w:rPr>
              <w:t xml:space="preserve">sh Columbia Ltd. </w:t>
            </w:r>
            <w:r w:rsidR="00E229EE" w:rsidRPr="00092325">
              <w:rPr>
                <w:b/>
                <w:sz w:val="20"/>
                <w:szCs w:val="20"/>
              </w:rPr>
              <w:t>e</w:t>
            </w:r>
            <w:r w:rsidRPr="00092325">
              <w:rPr>
                <w:b/>
                <w:sz w:val="20"/>
                <w:szCs w:val="20"/>
              </w:rPr>
              <w:t>t al.</w:t>
            </w:r>
            <w:r>
              <w:rPr>
                <w:b/>
                <w:sz w:val="20"/>
                <w:szCs w:val="20"/>
              </w:rPr>
              <w:t xml:space="preserve"> </w:t>
            </w:r>
            <w:r w:rsidR="00F81607" w:rsidRPr="00092325">
              <w:rPr>
                <w:b/>
                <w:sz w:val="20"/>
                <w:szCs w:val="20"/>
              </w:rPr>
              <w:t>(</w:t>
            </w:r>
            <w:r w:rsidRPr="00092325">
              <w:rPr>
                <w:b/>
                <w:sz w:val="20"/>
                <w:szCs w:val="20"/>
              </w:rPr>
              <w:t>B.C.</w:t>
            </w:r>
            <w:r w:rsidR="00F81607" w:rsidRPr="00092325">
              <w:rPr>
                <w:b/>
                <w:sz w:val="20"/>
                <w:szCs w:val="20"/>
              </w:rPr>
              <w:t>)</w:t>
            </w:r>
          </w:p>
          <w:p w:rsidR="00F81607" w:rsidRPr="00092325" w:rsidRDefault="00F81607" w:rsidP="001B0569">
            <w:pPr>
              <w:tabs>
                <w:tab w:val="left" w:pos="-1440"/>
                <w:tab w:val="left" w:pos="-720"/>
              </w:tabs>
              <w:rPr>
                <w:sz w:val="20"/>
                <w:szCs w:val="20"/>
              </w:rPr>
            </w:pPr>
            <w:r w:rsidRPr="00092325">
              <w:rPr>
                <w:sz w:val="20"/>
                <w:szCs w:val="20"/>
              </w:rPr>
              <w:tab/>
            </w:r>
            <w:r w:rsidR="00092325" w:rsidRPr="00092325">
              <w:rPr>
                <w:sz w:val="20"/>
                <w:szCs w:val="20"/>
              </w:rPr>
              <w:t xml:space="preserve">Francis Lamer </w:t>
            </w:r>
          </w:p>
          <w:p w:rsidR="00F81607" w:rsidRPr="00092325" w:rsidRDefault="00F81607" w:rsidP="001B0569">
            <w:pPr>
              <w:tabs>
                <w:tab w:val="left" w:pos="-1440"/>
                <w:tab w:val="left" w:pos="-720"/>
              </w:tabs>
              <w:rPr>
                <w:sz w:val="20"/>
                <w:szCs w:val="20"/>
              </w:rPr>
            </w:pPr>
            <w:r w:rsidRPr="00092325">
              <w:rPr>
                <w:sz w:val="20"/>
                <w:szCs w:val="20"/>
              </w:rPr>
              <w:tab/>
            </w:r>
            <w:r w:rsidR="00092325" w:rsidRPr="00092325">
              <w:rPr>
                <w:sz w:val="20"/>
                <w:szCs w:val="20"/>
              </w:rPr>
              <w:t>Shapray Cramer Fitterman Lamer LLP</w:t>
            </w:r>
          </w:p>
          <w:p w:rsidR="00F81607" w:rsidRPr="00092325" w:rsidRDefault="00F81607" w:rsidP="001B0569">
            <w:pPr>
              <w:tabs>
                <w:tab w:val="left" w:pos="-1440"/>
                <w:tab w:val="left" w:pos="-720"/>
              </w:tabs>
              <w:rPr>
                <w:sz w:val="20"/>
                <w:szCs w:val="20"/>
              </w:rPr>
            </w:pPr>
          </w:p>
          <w:p w:rsidR="00F81607" w:rsidRPr="00E229EE" w:rsidRDefault="00092325" w:rsidP="001B0569">
            <w:pPr>
              <w:rPr>
                <w:sz w:val="20"/>
                <w:szCs w:val="20"/>
                <w:lang w:val="fr-CA"/>
              </w:rPr>
            </w:pPr>
            <w:r>
              <w:rPr>
                <w:sz w:val="20"/>
                <w:szCs w:val="20"/>
                <w:lang w:val="fr-CA"/>
              </w:rPr>
              <w:t xml:space="preserve">FILING </w:t>
            </w:r>
            <w:r w:rsidR="00F81607" w:rsidRPr="00E229EE">
              <w:rPr>
                <w:sz w:val="20"/>
                <w:szCs w:val="20"/>
                <w:lang w:val="fr-CA"/>
              </w:rPr>
              <w:t>DATE: 2</w:t>
            </w:r>
            <w:r w:rsidR="00E229EE" w:rsidRPr="00E229EE">
              <w:rPr>
                <w:sz w:val="20"/>
                <w:szCs w:val="20"/>
                <w:lang w:val="fr-CA"/>
              </w:rPr>
              <w:t>8</w:t>
            </w:r>
            <w:r w:rsidR="00F81607" w:rsidRPr="00E229EE">
              <w:rPr>
                <w:sz w:val="20"/>
                <w:szCs w:val="20"/>
                <w:lang w:val="fr-CA"/>
              </w:rPr>
              <w:t>.10.2013</w:t>
            </w:r>
          </w:p>
          <w:p w:rsidR="00F81607" w:rsidRPr="00E229EE" w:rsidRDefault="008138B5" w:rsidP="001B0569">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Default="00F81607" w:rsidP="00242AEE">
            <w:pPr>
              <w:jc w:val="center"/>
              <w:rPr>
                <w:sz w:val="20"/>
                <w:szCs w:val="20"/>
                <w:lang w:val="fr-CA"/>
              </w:rPr>
            </w:pPr>
          </w:p>
          <w:p w:rsidR="00092325" w:rsidRPr="00E229EE" w:rsidRDefault="00092325"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tc>
        <w:tc>
          <w:tcPr>
            <w:tcW w:w="4320" w:type="dxa"/>
            <w:shd w:val="clear" w:color="auto" w:fill="auto"/>
          </w:tcPr>
          <w:p w:rsidR="00F81607" w:rsidRPr="00E229EE" w:rsidRDefault="00E229EE" w:rsidP="001B0569">
            <w:pPr>
              <w:keepNext/>
              <w:keepLines/>
              <w:tabs>
                <w:tab w:val="left" w:pos="-1440"/>
                <w:tab w:val="left" w:pos="-720"/>
              </w:tabs>
              <w:rPr>
                <w:b/>
                <w:sz w:val="20"/>
                <w:szCs w:val="20"/>
                <w:lang w:val="fr-CA"/>
              </w:rPr>
            </w:pPr>
            <w:r>
              <w:rPr>
                <w:b/>
                <w:sz w:val="20"/>
                <w:szCs w:val="20"/>
                <w:lang w:val="fr-CA"/>
              </w:rPr>
              <w:t>Claude Côté</w:t>
            </w:r>
          </w:p>
          <w:p w:rsidR="00E229EE" w:rsidRPr="00E229EE" w:rsidRDefault="00F81607" w:rsidP="00E229EE">
            <w:pPr>
              <w:tabs>
                <w:tab w:val="left" w:pos="-1440"/>
                <w:tab w:val="left" w:pos="-720"/>
              </w:tabs>
              <w:rPr>
                <w:sz w:val="20"/>
                <w:szCs w:val="20"/>
                <w:lang w:val="fr-CA"/>
              </w:rPr>
            </w:pPr>
            <w:r w:rsidRPr="00E229EE">
              <w:rPr>
                <w:sz w:val="20"/>
                <w:szCs w:val="20"/>
                <w:lang w:val="fr-CA"/>
              </w:rPr>
              <w:tab/>
            </w:r>
            <w:r w:rsidR="00E229EE" w:rsidRPr="00E229EE">
              <w:rPr>
                <w:sz w:val="20"/>
                <w:szCs w:val="20"/>
                <w:lang w:val="fr-CA"/>
              </w:rPr>
              <w:t>Gaétan Bourassa</w:t>
            </w:r>
          </w:p>
          <w:p w:rsidR="00E229EE" w:rsidRPr="00E229EE" w:rsidRDefault="00E229EE" w:rsidP="00E229EE">
            <w:pPr>
              <w:tabs>
                <w:tab w:val="left" w:pos="-1440"/>
                <w:tab w:val="left" w:pos="-720"/>
              </w:tabs>
              <w:rPr>
                <w:sz w:val="20"/>
                <w:szCs w:val="20"/>
                <w:lang w:val="fr-CA"/>
              </w:rPr>
            </w:pPr>
            <w:r w:rsidRPr="00E229EE">
              <w:rPr>
                <w:sz w:val="20"/>
                <w:szCs w:val="20"/>
                <w:lang w:val="fr-CA"/>
              </w:rPr>
              <w:tab/>
              <w:t xml:space="preserve">Centre communautaire juridique de </w:t>
            </w:r>
            <w:r w:rsidRPr="00E229EE">
              <w:rPr>
                <w:sz w:val="20"/>
                <w:szCs w:val="20"/>
                <w:lang w:val="fr-CA"/>
              </w:rPr>
              <w:tab/>
              <w:t>Montréal</w:t>
            </w:r>
          </w:p>
          <w:p w:rsidR="00E229EE" w:rsidRPr="00E229EE" w:rsidRDefault="00E229EE" w:rsidP="00E229EE">
            <w:pPr>
              <w:tabs>
                <w:tab w:val="left" w:pos="-1440"/>
                <w:tab w:val="left" w:pos="-720"/>
              </w:tabs>
              <w:rPr>
                <w:sz w:val="20"/>
                <w:szCs w:val="20"/>
                <w:lang w:val="fr-CA"/>
              </w:rPr>
            </w:pPr>
          </w:p>
          <w:p w:rsidR="00E229EE" w:rsidRPr="00E229EE" w:rsidRDefault="00E229EE" w:rsidP="00E229EE">
            <w:pPr>
              <w:tabs>
                <w:tab w:val="left" w:pos="-1440"/>
                <w:tab w:val="left" w:pos="-720"/>
              </w:tabs>
              <w:rPr>
                <w:sz w:val="20"/>
                <w:szCs w:val="20"/>
                <w:lang w:val="fr-CA"/>
              </w:rPr>
            </w:pPr>
            <w:r w:rsidRPr="00E229EE">
              <w:rPr>
                <w:sz w:val="20"/>
                <w:szCs w:val="20"/>
                <w:lang w:val="fr-CA"/>
              </w:rPr>
              <w:tab/>
              <w:t>c. (355</w:t>
            </w:r>
            <w:r>
              <w:rPr>
                <w:sz w:val="20"/>
                <w:szCs w:val="20"/>
                <w:lang w:val="fr-CA"/>
              </w:rPr>
              <w:t>93</w:t>
            </w:r>
            <w:r w:rsidRPr="00E229EE">
              <w:rPr>
                <w:sz w:val="20"/>
                <w:szCs w:val="20"/>
                <w:lang w:val="fr-CA"/>
              </w:rPr>
              <w:t>)</w:t>
            </w:r>
          </w:p>
          <w:p w:rsidR="00E229EE" w:rsidRPr="00E229EE" w:rsidRDefault="00E229EE" w:rsidP="00E229EE">
            <w:pPr>
              <w:tabs>
                <w:tab w:val="left" w:pos="-1440"/>
                <w:tab w:val="left" w:pos="-720"/>
              </w:tabs>
              <w:rPr>
                <w:sz w:val="20"/>
                <w:szCs w:val="20"/>
                <w:lang w:val="fr-CA"/>
              </w:rPr>
            </w:pPr>
          </w:p>
          <w:p w:rsidR="00E229EE" w:rsidRPr="00E229EE" w:rsidRDefault="00E229EE" w:rsidP="00E229EE">
            <w:pPr>
              <w:tabs>
                <w:tab w:val="left" w:pos="-1440"/>
                <w:tab w:val="left" w:pos="-720"/>
              </w:tabs>
              <w:rPr>
                <w:b/>
                <w:sz w:val="20"/>
                <w:szCs w:val="20"/>
                <w:lang w:val="fr-CA"/>
              </w:rPr>
            </w:pPr>
            <w:r>
              <w:rPr>
                <w:b/>
                <w:sz w:val="20"/>
                <w:szCs w:val="20"/>
                <w:lang w:val="fr-CA"/>
              </w:rPr>
              <w:t xml:space="preserve">Sa Majesté la Reine </w:t>
            </w:r>
            <w:r w:rsidRPr="00E229EE">
              <w:rPr>
                <w:b/>
                <w:sz w:val="20"/>
                <w:szCs w:val="20"/>
                <w:lang w:val="fr-CA"/>
              </w:rPr>
              <w:t>(</w:t>
            </w:r>
            <w:r>
              <w:rPr>
                <w:b/>
                <w:sz w:val="20"/>
                <w:szCs w:val="20"/>
                <w:lang w:val="fr-CA"/>
              </w:rPr>
              <w:t>Qc</w:t>
            </w:r>
            <w:r w:rsidRPr="00E229EE">
              <w:rPr>
                <w:b/>
                <w:sz w:val="20"/>
                <w:szCs w:val="20"/>
                <w:lang w:val="fr-CA"/>
              </w:rPr>
              <w:t>)</w:t>
            </w:r>
          </w:p>
          <w:p w:rsidR="00E229EE" w:rsidRPr="00E229EE" w:rsidRDefault="00E229EE" w:rsidP="00E229EE">
            <w:pPr>
              <w:tabs>
                <w:tab w:val="left" w:pos="-1440"/>
                <w:tab w:val="left" w:pos="-720"/>
              </w:tabs>
              <w:rPr>
                <w:sz w:val="20"/>
                <w:szCs w:val="20"/>
                <w:lang w:val="fr-CA"/>
              </w:rPr>
            </w:pPr>
            <w:r w:rsidRPr="00E229EE">
              <w:rPr>
                <w:sz w:val="20"/>
                <w:szCs w:val="20"/>
                <w:lang w:val="fr-CA"/>
              </w:rPr>
              <w:tab/>
            </w:r>
            <w:r>
              <w:rPr>
                <w:sz w:val="20"/>
                <w:szCs w:val="20"/>
                <w:lang w:val="fr-CA"/>
              </w:rPr>
              <w:t>Sylvie Lemieux</w:t>
            </w:r>
          </w:p>
          <w:p w:rsidR="00E229EE" w:rsidRPr="00E229EE" w:rsidRDefault="00E229EE" w:rsidP="00E229EE">
            <w:pPr>
              <w:tabs>
                <w:tab w:val="left" w:pos="-1440"/>
                <w:tab w:val="left" w:pos="-720"/>
              </w:tabs>
              <w:rPr>
                <w:sz w:val="20"/>
                <w:szCs w:val="20"/>
                <w:lang w:val="fr-CA"/>
              </w:rPr>
            </w:pPr>
            <w:r w:rsidRPr="00E229EE">
              <w:rPr>
                <w:sz w:val="20"/>
                <w:szCs w:val="20"/>
                <w:lang w:val="fr-CA"/>
              </w:rPr>
              <w:tab/>
            </w:r>
            <w:r>
              <w:rPr>
                <w:sz w:val="20"/>
                <w:szCs w:val="20"/>
                <w:lang w:val="fr-CA"/>
              </w:rPr>
              <w:t xml:space="preserve">Directeur des poursuites criminelles et </w:t>
            </w:r>
            <w:r>
              <w:rPr>
                <w:sz w:val="20"/>
                <w:szCs w:val="20"/>
                <w:lang w:val="fr-CA"/>
              </w:rPr>
              <w:tab/>
              <w:t>pénales du Québec</w:t>
            </w:r>
          </w:p>
          <w:p w:rsidR="00E229EE" w:rsidRPr="00E229EE" w:rsidRDefault="00E229EE" w:rsidP="00E229EE">
            <w:pPr>
              <w:tabs>
                <w:tab w:val="left" w:pos="-1440"/>
                <w:tab w:val="left" w:pos="-720"/>
              </w:tabs>
              <w:rPr>
                <w:sz w:val="20"/>
                <w:szCs w:val="20"/>
                <w:lang w:val="fr-CA"/>
              </w:rPr>
            </w:pPr>
          </w:p>
          <w:p w:rsidR="00F81607" w:rsidRPr="00E229EE" w:rsidRDefault="00E229EE" w:rsidP="00E229EE">
            <w:pPr>
              <w:rPr>
                <w:sz w:val="20"/>
                <w:szCs w:val="20"/>
                <w:lang w:val="fr-CA"/>
              </w:rPr>
            </w:pPr>
            <w:r w:rsidRPr="00E229EE">
              <w:rPr>
                <w:sz w:val="20"/>
                <w:szCs w:val="20"/>
                <w:lang w:val="fr-CA"/>
              </w:rPr>
              <w:t>DATE DE PRODUCTION : 28.10.2013</w:t>
            </w:r>
            <w:r w:rsidR="008138B5">
              <w:rPr>
                <w:sz w:val="20"/>
                <w:szCs w:val="20"/>
                <w:lang w:val="fr-CA"/>
              </w:rPr>
              <w:pict>
                <v:rect id="_x0000_i1028" style="width:108pt;height:1pt" o:hrpct="0" o:hralign="center" o:hrstd="t" o:hrnoshade="t" o:hr="t" fillcolor="black [3213]" stroked="f"/>
              </w:pict>
            </w:r>
          </w:p>
        </w:tc>
      </w:tr>
      <w:tr w:rsidR="00F81607" w:rsidRPr="00E229EE" w:rsidTr="003B3977">
        <w:tc>
          <w:tcPr>
            <w:tcW w:w="4320" w:type="dxa"/>
            <w:shd w:val="clear" w:color="auto" w:fill="auto"/>
          </w:tcPr>
          <w:p w:rsidR="00F81607" w:rsidRPr="000155DB" w:rsidRDefault="000155DB" w:rsidP="001B0569">
            <w:pPr>
              <w:rPr>
                <w:b/>
                <w:sz w:val="20"/>
                <w:szCs w:val="20"/>
                <w:lang w:val="fr-CA"/>
              </w:rPr>
            </w:pPr>
            <w:r w:rsidRPr="000155DB">
              <w:rPr>
                <w:b/>
                <w:sz w:val="20"/>
                <w:szCs w:val="20"/>
                <w:lang w:val="fr-CA"/>
              </w:rPr>
              <w:t>Ville de Longueuil</w:t>
            </w: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sidRPr="000155DB">
              <w:rPr>
                <w:sz w:val="20"/>
                <w:szCs w:val="20"/>
                <w:lang w:val="fr-CA"/>
              </w:rPr>
              <w:t>Louis Coallier</w:t>
            </w: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Pr>
                <w:sz w:val="20"/>
                <w:szCs w:val="20"/>
                <w:lang w:val="fr-CA"/>
              </w:rPr>
              <w:t>Dufresne Hébert Comeau</w:t>
            </w:r>
          </w:p>
          <w:p w:rsidR="00F81607" w:rsidRPr="000155DB" w:rsidRDefault="00F81607" w:rsidP="001B0569">
            <w:pPr>
              <w:tabs>
                <w:tab w:val="left" w:pos="-1440"/>
                <w:tab w:val="left" w:pos="-720"/>
              </w:tabs>
              <w:rPr>
                <w:sz w:val="20"/>
                <w:szCs w:val="20"/>
                <w:lang w:val="fr-CA"/>
              </w:rPr>
            </w:pP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sidRPr="000155DB">
              <w:rPr>
                <w:sz w:val="20"/>
                <w:szCs w:val="20"/>
                <w:lang w:val="fr-CA"/>
              </w:rPr>
              <w:t>c</w:t>
            </w:r>
            <w:r w:rsidRPr="000155DB">
              <w:rPr>
                <w:sz w:val="20"/>
                <w:szCs w:val="20"/>
                <w:lang w:val="fr-CA"/>
              </w:rPr>
              <w:t>. (355</w:t>
            </w:r>
            <w:r w:rsidR="000155DB">
              <w:rPr>
                <w:sz w:val="20"/>
                <w:szCs w:val="20"/>
                <w:lang w:val="fr-CA"/>
              </w:rPr>
              <w:t>95</w:t>
            </w:r>
            <w:r w:rsidRPr="000155DB">
              <w:rPr>
                <w:sz w:val="20"/>
                <w:szCs w:val="20"/>
                <w:lang w:val="fr-CA"/>
              </w:rPr>
              <w:t>)</w:t>
            </w:r>
          </w:p>
          <w:p w:rsidR="00F81607" w:rsidRPr="000155DB" w:rsidRDefault="00F81607" w:rsidP="001B0569">
            <w:pPr>
              <w:tabs>
                <w:tab w:val="left" w:pos="-1440"/>
                <w:tab w:val="left" w:pos="-720"/>
              </w:tabs>
              <w:rPr>
                <w:sz w:val="20"/>
                <w:szCs w:val="20"/>
                <w:lang w:val="fr-CA"/>
              </w:rPr>
            </w:pPr>
          </w:p>
          <w:p w:rsidR="00F81607" w:rsidRPr="000155DB" w:rsidRDefault="000155DB" w:rsidP="001B0569">
            <w:pPr>
              <w:tabs>
                <w:tab w:val="left" w:pos="-1440"/>
                <w:tab w:val="left" w:pos="-720"/>
              </w:tabs>
              <w:rPr>
                <w:b/>
                <w:sz w:val="20"/>
                <w:szCs w:val="20"/>
                <w:lang w:val="fr-CA"/>
              </w:rPr>
            </w:pPr>
            <w:r w:rsidRPr="000155DB">
              <w:rPr>
                <w:b/>
                <w:sz w:val="20"/>
                <w:szCs w:val="20"/>
                <w:lang w:val="fr-CA"/>
              </w:rPr>
              <w:t xml:space="preserve">4053532 Canada Inc. </w:t>
            </w:r>
            <w:r w:rsidR="00F81607" w:rsidRPr="000155DB">
              <w:rPr>
                <w:b/>
                <w:sz w:val="20"/>
                <w:szCs w:val="20"/>
                <w:lang w:val="fr-CA"/>
              </w:rPr>
              <w:t>(</w:t>
            </w:r>
            <w:r w:rsidRPr="000155DB">
              <w:rPr>
                <w:b/>
                <w:sz w:val="20"/>
                <w:szCs w:val="20"/>
                <w:lang w:val="fr-CA"/>
              </w:rPr>
              <w:t>Qc</w:t>
            </w:r>
            <w:r w:rsidR="00F81607" w:rsidRPr="000155DB">
              <w:rPr>
                <w:b/>
                <w:sz w:val="20"/>
                <w:szCs w:val="20"/>
                <w:lang w:val="fr-CA"/>
              </w:rPr>
              <w:t>)</w:t>
            </w: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sidRPr="000155DB">
              <w:rPr>
                <w:sz w:val="20"/>
                <w:szCs w:val="20"/>
                <w:lang w:val="fr-CA"/>
              </w:rPr>
              <w:t>Marc Beauchemin</w:t>
            </w: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sidRPr="000155DB">
              <w:rPr>
                <w:sz w:val="20"/>
                <w:szCs w:val="20"/>
                <w:lang w:val="fr-CA"/>
              </w:rPr>
              <w:t>de Grandpré Chait, s.e.n.c.r.l.</w:t>
            </w:r>
          </w:p>
          <w:p w:rsidR="00F81607" w:rsidRPr="000155DB" w:rsidRDefault="00F81607" w:rsidP="001B0569">
            <w:pPr>
              <w:tabs>
                <w:tab w:val="left" w:pos="-1440"/>
                <w:tab w:val="left" w:pos="-720"/>
              </w:tabs>
              <w:rPr>
                <w:sz w:val="20"/>
                <w:szCs w:val="20"/>
                <w:lang w:val="fr-CA"/>
              </w:rPr>
            </w:pPr>
          </w:p>
          <w:p w:rsidR="00F81607" w:rsidRPr="000155DB" w:rsidRDefault="000155DB" w:rsidP="001B0569">
            <w:pPr>
              <w:rPr>
                <w:sz w:val="20"/>
                <w:szCs w:val="20"/>
              </w:rPr>
            </w:pPr>
            <w:r w:rsidRPr="00E229EE">
              <w:rPr>
                <w:sz w:val="20"/>
                <w:szCs w:val="20"/>
                <w:lang w:val="fr-CA"/>
              </w:rPr>
              <w:t>DATE DE PRODUCTION</w:t>
            </w:r>
            <w:r>
              <w:rPr>
                <w:sz w:val="20"/>
                <w:szCs w:val="20"/>
                <w:lang w:val="fr-CA"/>
              </w:rPr>
              <w:t xml:space="preserve"> </w:t>
            </w:r>
            <w:r w:rsidR="00F81607" w:rsidRPr="000155DB">
              <w:rPr>
                <w:sz w:val="20"/>
                <w:szCs w:val="20"/>
              </w:rPr>
              <w:t>: 2</w:t>
            </w:r>
            <w:r>
              <w:rPr>
                <w:sz w:val="20"/>
                <w:szCs w:val="20"/>
              </w:rPr>
              <w:t>8</w:t>
            </w:r>
            <w:r w:rsidR="00F81607" w:rsidRPr="000155DB">
              <w:rPr>
                <w:sz w:val="20"/>
                <w:szCs w:val="20"/>
              </w:rPr>
              <w:t>.10.2013</w:t>
            </w:r>
          </w:p>
          <w:p w:rsidR="00F81607" w:rsidRPr="00E229EE" w:rsidRDefault="008138B5" w:rsidP="001B0569">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p w:rsidR="00F81607" w:rsidRPr="00E229EE" w:rsidRDefault="00F81607" w:rsidP="00242AEE">
            <w:pPr>
              <w:jc w:val="center"/>
              <w:rPr>
                <w:sz w:val="20"/>
                <w:szCs w:val="20"/>
                <w:lang w:val="fr-CA"/>
              </w:rPr>
            </w:pPr>
          </w:p>
        </w:tc>
        <w:tc>
          <w:tcPr>
            <w:tcW w:w="4320" w:type="dxa"/>
            <w:shd w:val="clear" w:color="auto" w:fill="auto"/>
          </w:tcPr>
          <w:p w:rsidR="00F81607" w:rsidRDefault="00F81607" w:rsidP="001B0569">
            <w:pPr>
              <w:keepNext/>
              <w:keepLines/>
              <w:tabs>
                <w:tab w:val="left" w:pos="-1440"/>
                <w:tab w:val="left" w:pos="-720"/>
              </w:tabs>
              <w:rPr>
                <w:b/>
                <w:sz w:val="20"/>
                <w:szCs w:val="20"/>
                <w:lang w:val="fr-CA"/>
              </w:rPr>
            </w:pPr>
          </w:p>
          <w:p w:rsidR="000155DB" w:rsidRPr="00E229EE" w:rsidRDefault="000155DB" w:rsidP="001B0569">
            <w:pPr>
              <w:keepNext/>
              <w:keepLines/>
              <w:tabs>
                <w:tab w:val="left" w:pos="-1440"/>
                <w:tab w:val="left" w:pos="-720"/>
              </w:tabs>
              <w:rPr>
                <w:b/>
                <w:sz w:val="20"/>
                <w:szCs w:val="20"/>
                <w:lang w:val="fr-CA"/>
              </w:rPr>
            </w:pPr>
            <w:r>
              <w:rPr>
                <w:b/>
                <w:sz w:val="20"/>
                <w:szCs w:val="20"/>
                <w:lang w:val="fr-CA"/>
              </w:rPr>
              <w:t>Yuli Zhang et al.</w:t>
            </w:r>
          </w:p>
          <w:p w:rsidR="00F81607" w:rsidRPr="00E229EE" w:rsidRDefault="00F81607" w:rsidP="001B0569">
            <w:pPr>
              <w:keepNext/>
              <w:keepLines/>
              <w:tabs>
                <w:tab w:val="left" w:pos="-1440"/>
                <w:tab w:val="left" w:pos="-720"/>
              </w:tabs>
              <w:rPr>
                <w:sz w:val="20"/>
                <w:szCs w:val="20"/>
                <w:lang w:val="fr-CA"/>
              </w:rPr>
            </w:pPr>
            <w:r w:rsidRPr="00E229EE">
              <w:rPr>
                <w:sz w:val="20"/>
                <w:szCs w:val="20"/>
                <w:lang w:val="fr-CA"/>
              </w:rPr>
              <w:tab/>
            </w:r>
            <w:r w:rsidR="000155DB">
              <w:rPr>
                <w:sz w:val="20"/>
                <w:szCs w:val="20"/>
                <w:lang w:val="fr-CA"/>
              </w:rPr>
              <w:t>Yuli Zhang</w:t>
            </w:r>
          </w:p>
          <w:p w:rsidR="00F81607" w:rsidRPr="00E229EE" w:rsidRDefault="00F81607" w:rsidP="001B0569">
            <w:pPr>
              <w:keepNext/>
              <w:keepLines/>
              <w:tabs>
                <w:tab w:val="left" w:pos="-1440"/>
                <w:tab w:val="left" w:pos="-720"/>
              </w:tabs>
              <w:rPr>
                <w:sz w:val="20"/>
                <w:szCs w:val="20"/>
                <w:lang w:val="fr-CA"/>
              </w:rPr>
            </w:pPr>
          </w:p>
          <w:p w:rsidR="00F81607" w:rsidRPr="000155DB" w:rsidRDefault="00F81607" w:rsidP="001B0569">
            <w:pPr>
              <w:keepNext/>
              <w:keepLines/>
              <w:tabs>
                <w:tab w:val="left" w:pos="-1440"/>
                <w:tab w:val="left" w:pos="-720"/>
              </w:tabs>
              <w:rPr>
                <w:sz w:val="20"/>
                <w:szCs w:val="20"/>
              </w:rPr>
            </w:pPr>
            <w:r w:rsidRPr="00E229EE">
              <w:rPr>
                <w:sz w:val="20"/>
                <w:szCs w:val="20"/>
                <w:lang w:val="fr-CA"/>
              </w:rPr>
              <w:tab/>
            </w:r>
            <w:r w:rsidRPr="000155DB">
              <w:rPr>
                <w:sz w:val="20"/>
                <w:szCs w:val="20"/>
              </w:rPr>
              <w:t>v. (355</w:t>
            </w:r>
            <w:r w:rsidR="000155DB" w:rsidRPr="000155DB">
              <w:rPr>
                <w:sz w:val="20"/>
                <w:szCs w:val="20"/>
              </w:rPr>
              <w:t>96</w:t>
            </w:r>
            <w:r w:rsidRPr="000155DB">
              <w:rPr>
                <w:sz w:val="20"/>
                <w:szCs w:val="20"/>
              </w:rPr>
              <w:t>)</w:t>
            </w:r>
          </w:p>
          <w:p w:rsidR="00F81607" w:rsidRPr="000155DB" w:rsidRDefault="00F81607" w:rsidP="001B0569">
            <w:pPr>
              <w:keepNext/>
              <w:keepLines/>
              <w:tabs>
                <w:tab w:val="left" w:pos="-1440"/>
                <w:tab w:val="left" w:pos="-720"/>
              </w:tabs>
              <w:rPr>
                <w:sz w:val="20"/>
                <w:szCs w:val="20"/>
              </w:rPr>
            </w:pPr>
          </w:p>
          <w:p w:rsidR="00F81607" w:rsidRPr="000155DB" w:rsidRDefault="000155DB" w:rsidP="001B0569">
            <w:pPr>
              <w:keepNext/>
              <w:keepLines/>
              <w:tabs>
                <w:tab w:val="left" w:pos="-1440"/>
                <w:tab w:val="left" w:pos="-720"/>
              </w:tabs>
              <w:rPr>
                <w:b/>
                <w:sz w:val="20"/>
                <w:szCs w:val="20"/>
              </w:rPr>
            </w:pPr>
            <w:r w:rsidRPr="000155DB">
              <w:rPr>
                <w:b/>
                <w:sz w:val="20"/>
                <w:szCs w:val="20"/>
              </w:rPr>
              <w:t xml:space="preserve">Stephen Shanfield </w:t>
            </w:r>
            <w:r w:rsidR="00F81607" w:rsidRPr="000155DB">
              <w:rPr>
                <w:b/>
                <w:sz w:val="20"/>
                <w:szCs w:val="20"/>
              </w:rPr>
              <w:t>(Ont.)</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Pr>
                <w:sz w:val="20"/>
                <w:szCs w:val="20"/>
              </w:rPr>
              <w:t>Mason Greenaway</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Pr>
                <w:sz w:val="20"/>
                <w:szCs w:val="20"/>
              </w:rPr>
              <w:t>Donaldson, Donaldson, Greenaway</w:t>
            </w:r>
          </w:p>
          <w:p w:rsidR="00F81607" w:rsidRPr="000155DB" w:rsidRDefault="00F81607" w:rsidP="001B0569">
            <w:pPr>
              <w:keepNext/>
              <w:keepLines/>
              <w:tabs>
                <w:tab w:val="left" w:pos="-1440"/>
                <w:tab w:val="left" w:pos="-720"/>
              </w:tabs>
              <w:rPr>
                <w:sz w:val="20"/>
                <w:szCs w:val="20"/>
              </w:rPr>
            </w:pPr>
          </w:p>
          <w:p w:rsidR="00F81607" w:rsidRPr="000155DB" w:rsidRDefault="00F81607" w:rsidP="001B0569">
            <w:pPr>
              <w:rPr>
                <w:sz w:val="20"/>
                <w:szCs w:val="20"/>
              </w:rPr>
            </w:pPr>
            <w:r w:rsidRPr="000155DB">
              <w:rPr>
                <w:sz w:val="20"/>
                <w:szCs w:val="20"/>
              </w:rPr>
              <w:t>FILING DATE: 28.10.2013</w:t>
            </w:r>
            <w:r w:rsidR="008138B5">
              <w:rPr>
                <w:sz w:val="20"/>
                <w:szCs w:val="20"/>
                <w:lang w:val="fr-CA"/>
              </w:rPr>
              <w:pict>
                <v:rect id="_x0000_i1030" style="width:108pt;height:1pt" o:hrpct="0" o:hralign="center" o:hrstd="t" o:hrnoshade="t" o:hr="t" fillcolor="black [3213]" stroked="f"/>
              </w:pict>
            </w:r>
          </w:p>
        </w:tc>
      </w:tr>
      <w:tr w:rsidR="00F81607" w:rsidRPr="00A935AA" w:rsidTr="003B3977">
        <w:trPr>
          <w:cantSplit/>
        </w:trPr>
        <w:tc>
          <w:tcPr>
            <w:tcW w:w="4320" w:type="dxa"/>
            <w:shd w:val="clear" w:color="auto" w:fill="auto"/>
          </w:tcPr>
          <w:p w:rsidR="00F81607" w:rsidRPr="000155DB" w:rsidRDefault="000155DB" w:rsidP="001B0569">
            <w:pPr>
              <w:rPr>
                <w:b/>
                <w:sz w:val="20"/>
                <w:szCs w:val="20"/>
              </w:rPr>
            </w:pPr>
            <w:r>
              <w:rPr>
                <w:b/>
                <w:sz w:val="20"/>
                <w:szCs w:val="20"/>
              </w:rPr>
              <w:t>Peter W.G. Carey</w:t>
            </w:r>
          </w:p>
          <w:p w:rsidR="00F81607" w:rsidRPr="000155DB" w:rsidRDefault="00F81607" w:rsidP="001B0569">
            <w:pPr>
              <w:tabs>
                <w:tab w:val="left" w:pos="-1440"/>
                <w:tab w:val="left" w:pos="-720"/>
              </w:tabs>
              <w:rPr>
                <w:sz w:val="20"/>
                <w:szCs w:val="20"/>
              </w:rPr>
            </w:pPr>
            <w:r w:rsidRPr="000155DB">
              <w:rPr>
                <w:sz w:val="20"/>
                <w:szCs w:val="20"/>
              </w:rPr>
              <w:tab/>
            </w:r>
            <w:r w:rsidR="000155DB">
              <w:rPr>
                <w:sz w:val="20"/>
                <w:szCs w:val="20"/>
              </w:rPr>
              <w:t>Patrick Schind</w:t>
            </w:r>
            <w:r w:rsidR="0078181A">
              <w:rPr>
                <w:sz w:val="20"/>
                <w:szCs w:val="20"/>
              </w:rPr>
              <w:t>l</w:t>
            </w:r>
            <w:r w:rsidR="000155DB">
              <w:rPr>
                <w:sz w:val="20"/>
                <w:szCs w:val="20"/>
              </w:rPr>
              <w:t>er</w:t>
            </w:r>
          </w:p>
          <w:p w:rsidR="00F81607" w:rsidRPr="000155DB" w:rsidRDefault="00F81607" w:rsidP="001B0569">
            <w:pPr>
              <w:tabs>
                <w:tab w:val="left" w:pos="-1440"/>
                <w:tab w:val="left" w:pos="-720"/>
              </w:tabs>
              <w:rPr>
                <w:sz w:val="20"/>
                <w:szCs w:val="20"/>
              </w:rPr>
            </w:pPr>
          </w:p>
          <w:p w:rsidR="00F81607" w:rsidRPr="00A935AA" w:rsidRDefault="00F81607" w:rsidP="001B0569">
            <w:pPr>
              <w:tabs>
                <w:tab w:val="left" w:pos="-1440"/>
                <w:tab w:val="left" w:pos="-720"/>
              </w:tabs>
              <w:rPr>
                <w:sz w:val="20"/>
                <w:szCs w:val="20"/>
              </w:rPr>
            </w:pPr>
            <w:r w:rsidRPr="000155DB">
              <w:rPr>
                <w:sz w:val="20"/>
                <w:szCs w:val="20"/>
              </w:rPr>
              <w:tab/>
            </w:r>
            <w:r w:rsidRPr="00A935AA">
              <w:rPr>
                <w:sz w:val="20"/>
                <w:szCs w:val="20"/>
              </w:rPr>
              <w:t>v. (3</w:t>
            </w:r>
            <w:r>
              <w:rPr>
                <w:sz w:val="20"/>
                <w:szCs w:val="20"/>
              </w:rPr>
              <w:t>55</w:t>
            </w:r>
            <w:r w:rsidR="000155DB">
              <w:rPr>
                <w:sz w:val="20"/>
                <w:szCs w:val="20"/>
              </w:rPr>
              <w:t>97</w:t>
            </w:r>
            <w:r w:rsidRPr="00A935AA">
              <w:rPr>
                <w:sz w:val="20"/>
                <w:szCs w:val="20"/>
              </w:rPr>
              <w:t>)</w:t>
            </w:r>
          </w:p>
          <w:p w:rsidR="00F81607" w:rsidRPr="00A935AA" w:rsidRDefault="00F81607" w:rsidP="001B0569">
            <w:pPr>
              <w:tabs>
                <w:tab w:val="left" w:pos="-1440"/>
                <w:tab w:val="left" w:pos="-720"/>
              </w:tabs>
              <w:rPr>
                <w:sz w:val="20"/>
                <w:szCs w:val="20"/>
              </w:rPr>
            </w:pPr>
          </w:p>
          <w:p w:rsidR="00F81607" w:rsidRPr="00A935AA" w:rsidRDefault="000155DB" w:rsidP="001B0569">
            <w:pPr>
              <w:tabs>
                <w:tab w:val="left" w:pos="-1440"/>
                <w:tab w:val="left" w:pos="-720"/>
              </w:tabs>
              <w:rPr>
                <w:b/>
                <w:sz w:val="20"/>
                <w:szCs w:val="20"/>
              </w:rPr>
            </w:pPr>
            <w:r>
              <w:rPr>
                <w:b/>
                <w:sz w:val="20"/>
                <w:szCs w:val="20"/>
              </w:rPr>
              <w:t xml:space="preserve">Judith Laiken </w:t>
            </w:r>
            <w:r w:rsidR="00F81607" w:rsidRPr="00A935AA">
              <w:rPr>
                <w:b/>
                <w:sz w:val="20"/>
                <w:szCs w:val="20"/>
              </w:rPr>
              <w:t>(</w:t>
            </w:r>
            <w:r>
              <w:rPr>
                <w:b/>
                <w:sz w:val="20"/>
                <w:szCs w:val="20"/>
              </w:rPr>
              <w:t>Ont</w:t>
            </w:r>
            <w:r w:rsidR="00F81607" w:rsidRPr="00A935AA">
              <w:rPr>
                <w:b/>
                <w:sz w:val="20"/>
                <w:szCs w:val="20"/>
              </w:rPr>
              <w:t>.)</w:t>
            </w:r>
          </w:p>
          <w:p w:rsidR="00F81607" w:rsidRPr="00A935AA" w:rsidRDefault="00F81607" w:rsidP="001B0569">
            <w:pPr>
              <w:tabs>
                <w:tab w:val="left" w:pos="-1440"/>
                <w:tab w:val="left" w:pos="-720"/>
              </w:tabs>
              <w:rPr>
                <w:sz w:val="20"/>
                <w:szCs w:val="20"/>
              </w:rPr>
            </w:pPr>
            <w:r w:rsidRPr="00A935AA">
              <w:rPr>
                <w:sz w:val="20"/>
                <w:szCs w:val="20"/>
              </w:rPr>
              <w:tab/>
            </w:r>
            <w:r w:rsidR="000155DB">
              <w:rPr>
                <w:sz w:val="20"/>
                <w:szCs w:val="20"/>
              </w:rPr>
              <w:t>Kevin Toyne</w:t>
            </w:r>
          </w:p>
          <w:p w:rsidR="00F81607" w:rsidRPr="00A935AA" w:rsidRDefault="00F81607" w:rsidP="001B0569">
            <w:pPr>
              <w:tabs>
                <w:tab w:val="left" w:pos="-1440"/>
                <w:tab w:val="left" w:pos="-720"/>
              </w:tabs>
              <w:rPr>
                <w:sz w:val="20"/>
                <w:szCs w:val="20"/>
              </w:rPr>
            </w:pPr>
            <w:r w:rsidRPr="00A935AA">
              <w:rPr>
                <w:sz w:val="20"/>
                <w:szCs w:val="20"/>
              </w:rPr>
              <w:tab/>
            </w:r>
            <w:r w:rsidR="000155DB">
              <w:rPr>
                <w:sz w:val="20"/>
                <w:szCs w:val="20"/>
              </w:rPr>
              <w:t>Brauti Thorning Zibarras LLP</w:t>
            </w:r>
          </w:p>
          <w:p w:rsidR="00F81607" w:rsidRPr="00A935AA" w:rsidRDefault="00F81607" w:rsidP="001B0569">
            <w:pPr>
              <w:tabs>
                <w:tab w:val="left" w:pos="-1440"/>
                <w:tab w:val="left" w:pos="-720"/>
              </w:tabs>
              <w:rPr>
                <w:sz w:val="20"/>
                <w:szCs w:val="20"/>
              </w:rPr>
            </w:pPr>
          </w:p>
          <w:p w:rsidR="00F81607" w:rsidRPr="00A935AA" w:rsidRDefault="00F81607" w:rsidP="001B0569">
            <w:pPr>
              <w:rPr>
                <w:sz w:val="20"/>
                <w:szCs w:val="20"/>
              </w:rPr>
            </w:pPr>
            <w:r w:rsidRPr="00A935AA">
              <w:rPr>
                <w:sz w:val="20"/>
                <w:szCs w:val="20"/>
              </w:rPr>
              <w:t>FILING DATE: 2</w:t>
            </w:r>
            <w:r w:rsidR="000155DB">
              <w:rPr>
                <w:sz w:val="20"/>
                <w:szCs w:val="20"/>
              </w:rPr>
              <w:t>8</w:t>
            </w:r>
            <w:r w:rsidRPr="00A935AA">
              <w:rPr>
                <w:sz w:val="20"/>
                <w:szCs w:val="20"/>
              </w:rPr>
              <w:t>.</w:t>
            </w:r>
            <w:r>
              <w:rPr>
                <w:sz w:val="20"/>
                <w:szCs w:val="20"/>
              </w:rPr>
              <w:t>10</w:t>
            </w:r>
            <w:r w:rsidRPr="00A935AA">
              <w:rPr>
                <w:sz w:val="20"/>
                <w:szCs w:val="20"/>
              </w:rPr>
              <w:t>.201</w:t>
            </w:r>
            <w:r>
              <w:rPr>
                <w:sz w:val="20"/>
                <w:szCs w:val="20"/>
              </w:rPr>
              <w:t>3</w:t>
            </w:r>
          </w:p>
          <w:p w:rsidR="00F81607" w:rsidRPr="00A935AA" w:rsidRDefault="008138B5" w:rsidP="001B0569">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tc>
        <w:tc>
          <w:tcPr>
            <w:tcW w:w="4320" w:type="dxa"/>
            <w:shd w:val="clear" w:color="auto" w:fill="auto"/>
          </w:tcPr>
          <w:p w:rsidR="00F81607" w:rsidRPr="00A935AA" w:rsidRDefault="000155DB" w:rsidP="001B0569">
            <w:pPr>
              <w:keepNext/>
              <w:keepLines/>
              <w:tabs>
                <w:tab w:val="left" w:pos="-1440"/>
                <w:tab w:val="left" w:pos="-720"/>
              </w:tabs>
              <w:rPr>
                <w:b/>
                <w:sz w:val="20"/>
                <w:szCs w:val="20"/>
              </w:rPr>
            </w:pPr>
            <w:r>
              <w:rPr>
                <w:b/>
                <w:sz w:val="20"/>
                <w:szCs w:val="20"/>
              </w:rPr>
              <w:t>Mary Lou Davis</w:t>
            </w:r>
          </w:p>
          <w:p w:rsidR="00F81607" w:rsidRPr="00A935AA" w:rsidRDefault="00F81607" w:rsidP="001B0569">
            <w:pPr>
              <w:keepNext/>
              <w:keepLines/>
              <w:tabs>
                <w:tab w:val="left" w:pos="-1440"/>
                <w:tab w:val="left" w:pos="-720"/>
              </w:tabs>
              <w:rPr>
                <w:sz w:val="20"/>
                <w:szCs w:val="20"/>
              </w:rPr>
            </w:pPr>
            <w:r w:rsidRPr="00A935AA">
              <w:rPr>
                <w:sz w:val="20"/>
                <w:szCs w:val="20"/>
              </w:rPr>
              <w:tab/>
            </w:r>
            <w:r w:rsidR="000155DB">
              <w:rPr>
                <w:sz w:val="20"/>
                <w:szCs w:val="20"/>
              </w:rPr>
              <w:t>Mary Lou Davis</w:t>
            </w:r>
          </w:p>
          <w:p w:rsidR="00F81607" w:rsidRPr="00A935AA" w:rsidRDefault="00F81607" w:rsidP="001B0569">
            <w:pPr>
              <w:keepNext/>
              <w:keepLines/>
              <w:tabs>
                <w:tab w:val="left" w:pos="-1440"/>
                <w:tab w:val="left" w:pos="-720"/>
              </w:tabs>
              <w:rPr>
                <w:sz w:val="20"/>
                <w:szCs w:val="20"/>
              </w:rPr>
            </w:pPr>
          </w:p>
          <w:p w:rsidR="00F81607" w:rsidRPr="000155DB" w:rsidRDefault="00F81607" w:rsidP="001B0569">
            <w:pPr>
              <w:keepNext/>
              <w:keepLines/>
              <w:tabs>
                <w:tab w:val="left" w:pos="-1440"/>
                <w:tab w:val="left" w:pos="-720"/>
              </w:tabs>
              <w:rPr>
                <w:sz w:val="20"/>
                <w:szCs w:val="20"/>
              </w:rPr>
            </w:pPr>
            <w:r w:rsidRPr="00A935AA">
              <w:rPr>
                <w:sz w:val="20"/>
                <w:szCs w:val="20"/>
              </w:rPr>
              <w:tab/>
            </w:r>
            <w:r w:rsidRPr="000155DB">
              <w:rPr>
                <w:sz w:val="20"/>
                <w:szCs w:val="20"/>
              </w:rPr>
              <w:t>v. (355</w:t>
            </w:r>
            <w:r w:rsidR="000155DB" w:rsidRPr="000155DB">
              <w:rPr>
                <w:sz w:val="20"/>
                <w:szCs w:val="20"/>
              </w:rPr>
              <w:t>9</w:t>
            </w:r>
            <w:r w:rsidRPr="000155DB">
              <w:rPr>
                <w:sz w:val="20"/>
                <w:szCs w:val="20"/>
              </w:rPr>
              <w:t>8)</w:t>
            </w:r>
          </w:p>
          <w:p w:rsidR="00F81607" w:rsidRPr="000155DB" w:rsidRDefault="00F81607" w:rsidP="001B0569">
            <w:pPr>
              <w:keepNext/>
              <w:keepLines/>
              <w:tabs>
                <w:tab w:val="left" w:pos="-1440"/>
                <w:tab w:val="left" w:pos="-720"/>
              </w:tabs>
              <w:rPr>
                <w:sz w:val="20"/>
                <w:szCs w:val="20"/>
              </w:rPr>
            </w:pPr>
          </w:p>
          <w:p w:rsidR="00F81607" w:rsidRPr="000155DB" w:rsidRDefault="000155DB" w:rsidP="001B0569">
            <w:pPr>
              <w:keepNext/>
              <w:keepLines/>
              <w:tabs>
                <w:tab w:val="left" w:pos="-1440"/>
                <w:tab w:val="left" w:pos="-720"/>
              </w:tabs>
              <w:rPr>
                <w:b/>
                <w:sz w:val="20"/>
                <w:szCs w:val="20"/>
              </w:rPr>
            </w:pPr>
            <w:r w:rsidRPr="000155DB">
              <w:rPr>
                <w:b/>
                <w:sz w:val="20"/>
                <w:szCs w:val="20"/>
              </w:rPr>
              <w:t xml:space="preserve">Workers’ Compensation Appeal Tribunal </w:t>
            </w:r>
            <w:r w:rsidR="00F81607" w:rsidRPr="000155DB">
              <w:rPr>
                <w:b/>
                <w:sz w:val="20"/>
                <w:szCs w:val="20"/>
              </w:rPr>
              <w:t>(</w:t>
            </w:r>
            <w:r w:rsidRPr="000155DB">
              <w:rPr>
                <w:b/>
                <w:sz w:val="20"/>
                <w:szCs w:val="20"/>
              </w:rPr>
              <w:t>B.C</w:t>
            </w:r>
            <w:r w:rsidR="00F81607" w:rsidRPr="000155DB">
              <w:rPr>
                <w:b/>
                <w:sz w:val="20"/>
                <w:szCs w:val="20"/>
              </w:rPr>
              <w:t>.)</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Pr>
                <w:sz w:val="20"/>
                <w:szCs w:val="20"/>
              </w:rPr>
              <w:t>Jeremy Thomas Lovell</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Pr>
                <w:sz w:val="20"/>
                <w:szCs w:val="20"/>
              </w:rPr>
              <w:t>Workers’ Compensation Appeal Tribunal</w:t>
            </w:r>
          </w:p>
          <w:p w:rsidR="00F81607" w:rsidRPr="000155DB" w:rsidRDefault="00F81607" w:rsidP="001B0569">
            <w:pPr>
              <w:keepNext/>
              <w:keepLines/>
              <w:tabs>
                <w:tab w:val="left" w:pos="-1440"/>
                <w:tab w:val="left" w:pos="-720"/>
              </w:tabs>
              <w:rPr>
                <w:sz w:val="20"/>
                <w:szCs w:val="20"/>
              </w:rPr>
            </w:pPr>
          </w:p>
          <w:p w:rsidR="00F81607" w:rsidRPr="00A935AA" w:rsidRDefault="00F81607" w:rsidP="000155DB">
            <w:pPr>
              <w:rPr>
                <w:sz w:val="20"/>
                <w:szCs w:val="20"/>
              </w:rPr>
            </w:pPr>
            <w:r w:rsidRPr="00A935AA">
              <w:rPr>
                <w:sz w:val="20"/>
                <w:szCs w:val="20"/>
              </w:rPr>
              <w:t>FILING DATE: 2</w:t>
            </w:r>
            <w:r w:rsidR="000155DB">
              <w:rPr>
                <w:sz w:val="20"/>
                <w:szCs w:val="20"/>
              </w:rPr>
              <w:t>9</w:t>
            </w:r>
            <w:r w:rsidRPr="00A935AA">
              <w:rPr>
                <w:sz w:val="20"/>
                <w:szCs w:val="20"/>
              </w:rPr>
              <w:t>.</w:t>
            </w:r>
            <w:r>
              <w:rPr>
                <w:sz w:val="20"/>
                <w:szCs w:val="20"/>
              </w:rPr>
              <w:t>1</w:t>
            </w:r>
            <w:r w:rsidRPr="00A935AA">
              <w:rPr>
                <w:sz w:val="20"/>
                <w:szCs w:val="20"/>
              </w:rPr>
              <w:t>0.201</w:t>
            </w:r>
            <w:r>
              <w:rPr>
                <w:sz w:val="20"/>
                <w:szCs w:val="20"/>
              </w:rPr>
              <w:t>3</w:t>
            </w:r>
            <w:r w:rsidR="008138B5">
              <w:rPr>
                <w:sz w:val="20"/>
                <w:szCs w:val="20"/>
                <w:lang w:val="fr-CA"/>
              </w:rPr>
              <w:pict>
                <v:rect id="_x0000_i1032" style="width:108pt;height:1pt" o:hrpct="0" o:hralign="center" o:hrstd="t" o:hrnoshade="t" o:hr="t" fillcolor="black [3213]" stroked="f"/>
              </w:pict>
            </w:r>
          </w:p>
        </w:tc>
      </w:tr>
      <w:tr w:rsidR="00F81607" w:rsidRPr="00A935AA" w:rsidTr="003B3977">
        <w:trPr>
          <w:cantSplit/>
        </w:trPr>
        <w:tc>
          <w:tcPr>
            <w:tcW w:w="4320" w:type="dxa"/>
            <w:shd w:val="clear" w:color="auto" w:fill="auto"/>
          </w:tcPr>
          <w:p w:rsidR="00F81607" w:rsidRPr="00A935AA" w:rsidRDefault="000155DB" w:rsidP="001B0569">
            <w:pPr>
              <w:rPr>
                <w:b/>
                <w:sz w:val="20"/>
                <w:szCs w:val="20"/>
              </w:rPr>
            </w:pPr>
            <w:r>
              <w:rPr>
                <w:b/>
                <w:sz w:val="20"/>
                <w:szCs w:val="20"/>
              </w:rPr>
              <w:lastRenderedPageBreak/>
              <w:t>Robert Wayne McCulloch</w:t>
            </w:r>
          </w:p>
          <w:p w:rsidR="00F81607" w:rsidRPr="00A935AA" w:rsidRDefault="00F81607" w:rsidP="001B0569">
            <w:pPr>
              <w:tabs>
                <w:tab w:val="left" w:pos="-1440"/>
                <w:tab w:val="left" w:pos="-720"/>
              </w:tabs>
              <w:rPr>
                <w:sz w:val="20"/>
                <w:szCs w:val="20"/>
              </w:rPr>
            </w:pPr>
            <w:r w:rsidRPr="00A935AA">
              <w:rPr>
                <w:sz w:val="20"/>
                <w:szCs w:val="20"/>
              </w:rPr>
              <w:tab/>
            </w:r>
            <w:r w:rsidR="000155DB">
              <w:rPr>
                <w:sz w:val="20"/>
                <w:szCs w:val="20"/>
              </w:rPr>
              <w:t>Tina Huizinga</w:t>
            </w:r>
          </w:p>
          <w:p w:rsidR="00F81607" w:rsidRPr="00A935AA" w:rsidRDefault="00F81607" w:rsidP="001B0569">
            <w:pPr>
              <w:tabs>
                <w:tab w:val="left" w:pos="-1440"/>
                <w:tab w:val="left" w:pos="-720"/>
              </w:tabs>
              <w:rPr>
                <w:sz w:val="20"/>
                <w:szCs w:val="20"/>
              </w:rPr>
            </w:pPr>
            <w:r w:rsidRPr="00A935AA">
              <w:rPr>
                <w:sz w:val="20"/>
                <w:szCs w:val="20"/>
              </w:rPr>
              <w:tab/>
            </w:r>
            <w:r w:rsidR="000155DB">
              <w:rPr>
                <w:sz w:val="20"/>
                <w:szCs w:val="20"/>
              </w:rPr>
              <w:t>Huizinga Di Toppa Coles &amp; Layton</w:t>
            </w:r>
          </w:p>
          <w:p w:rsidR="00F81607" w:rsidRPr="00A935AA" w:rsidRDefault="00F81607" w:rsidP="001B0569">
            <w:pPr>
              <w:tabs>
                <w:tab w:val="left" w:pos="-1440"/>
                <w:tab w:val="left" w:pos="-720"/>
              </w:tabs>
              <w:rPr>
                <w:sz w:val="20"/>
                <w:szCs w:val="20"/>
              </w:rPr>
            </w:pPr>
          </w:p>
          <w:p w:rsidR="00F81607" w:rsidRPr="000155DB" w:rsidRDefault="00F81607" w:rsidP="001B0569">
            <w:pPr>
              <w:tabs>
                <w:tab w:val="left" w:pos="-1440"/>
                <w:tab w:val="left" w:pos="-720"/>
              </w:tabs>
              <w:rPr>
                <w:sz w:val="20"/>
                <w:szCs w:val="20"/>
                <w:lang w:val="fr-CA"/>
              </w:rPr>
            </w:pPr>
            <w:r w:rsidRPr="00A935AA">
              <w:rPr>
                <w:sz w:val="20"/>
                <w:szCs w:val="20"/>
              </w:rPr>
              <w:tab/>
            </w:r>
            <w:r w:rsidRPr="000155DB">
              <w:rPr>
                <w:sz w:val="20"/>
                <w:szCs w:val="20"/>
                <w:lang w:val="fr-CA"/>
              </w:rPr>
              <w:t>v. (35</w:t>
            </w:r>
            <w:r w:rsidR="000155DB" w:rsidRPr="000155DB">
              <w:rPr>
                <w:sz w:val="20"/>
                <w:szCs w:val="20"/>
                <w:lang w:val="fr-CA"/>
              </w:rPr>
              <w:t>600</w:t>
            </w:r>
            <w:r w:rsidRPr="000155DB">
              <w:rPr>
                <w:sz w:val="20"/>
                <w:szCs w:val="20"/>
                <w:lang w:val="fr-CA"/>
              </w:rPr>
              <w:t>)</w:t>
            </w:r>
          </w:p>
          <w:p w:rsidR="00F81607" w:rsidRPr="000155DB" w:rsidRDefault="00F81607" w:rsidP="001B0569">
            <w:pPr>
              <w:tabs>
                <w:tab w:val="left" w:pos="-1440"/>
                <w:tab w:val="left" w:pos="-720"/>
              </w:tabs>
              <w:rPr>
                <w:sz w:val="20"/>
                <w:szCs w:val="20"/>
                <w:lang w:val="fr-CA"/>
              </w:rPr>
            </w:pPr>
          </w:p>
          <w:p w:rsidR="00F81607" w:rsidRPr="000155DB" w:rsidRDefault="000155DB" w:rsidP="001B0569">
            <w:pPr>
              <w:tabs>
                <w:tab w:val="left" w:pos="-1440"/>
                <w:tab w:val="left" w:pos="-720"/>
              </w:tabs>
              <w:rPr>
                <w:b/>
                <w:sz w:val="20"/>
                <w:szCs w:val="20"/>
                <w:lang w:val="fr-CA"/>
              </w:rPr>
            </w:pPr>
            <w:r w:rsidRPr="000155DB">
              <w:rPr>
                <w:b/>
                <w:sz w:val="20"/>
                <w:szCs w:val="20"/>
                <w:lang w:val="fr-CA"/>
              </w:rPr>
              <w:t xml:space="preserve">Patricia Marie McCulloch </w:t>
            </w:r>
            <w:r w:rsidR="00F81607" w:rsidRPr="000155DB">
              <w:rPr>
                <w:b/>
                <w:sz w:val="20"/>
                <w:szCs w:val="20"/>
                <w:lang w:val="fr-CA"/>
              </w:rPr>
              <w:t>(</w:t>
            </w:r>
            <w:r w:rsidRPr="000155DB">
              <w:rPr>
                <w:b/>
                <w:sz w:val="20"/>
                <w:szCs w:val="20"/>
                <w:lang w:val="fr-CA"/>
              </w:rPr>
              <w:t>Alta</w:t>
            </w:r>
            <w:r w:rsidR="00F81607" w:rsidRPr="000155DB">
              <w:rPr>
                <w:b/>
                <w:sz w:val="20"/>
                <w:szCs w:val="20"/>
                <w:lang w:val="fr-CA"/>
              </w:rPr>
              <w:t>.)</w:t>
            </w:r>
          </w:p>
          <w:p w:rsidR="00F81607" w:rsidRPr="000155DB" w:rsidRDefault="00F81607" w:rsidP="001B0569">
            <w:pPr>
              <w:tabs>
                <w:tab w:val="left" w:pos="-1440"/>
                <w:tab w:val="left" w:pos="-720"/>
              </w:tabs>
              <w:rPr>
                <w:sz w:val="20"/>
                <w:szCs w:val="20"/>
                <w:lang w:val="fr-CA"/>
              </w:rPr>
            </w:pPr>
            <w:r w:rsidRPr="000155DB">
              <w:rPr>
                <w:sz w:val="20"/>
                <w:szCs w:val="20"/>
                <w:lang w:val="fr-CA"/>
              </w:rPr>
              <w:tab/>
            </w:r>
            <w:r w:rsidR="000155DB">
              <w:rPr>
                <w:sz w:val="20"/>
                <w:szCs w:val="20"/>
                <w:lang w:val="fr-CA"/>
              </w:rPr>
              <w:t>Robert M. Curtis, Q.C.</w:t>
            </w:r>
          </w:p>
          <w:p w:rsidR="00F81607" w:rsidRPr="000155DB" w:rsidRDefault="00F81607" w:rsidP="001B0569">
            <w:pPr>
              <w:tabs>
                <w:tab w:val="left" w:pos="-1440"/>
                <w:tab w:val="left" w:pos="-720"/>
              </w:tabs>
              <w:rPr>
                <w:sz w:val="20"/>
                <w:szCs w:val="20"/>
              </w:rPr>
            </w:pPr>
            <w:r w:rsidRPr="000155DB">
              <w:rPr>
                <w:sz w:val="20"/>
                <w:szCs w:val="20"/>
                <w:lang w:val="fr-CA"/>
              </w:rPr>
              <w:tab/>
            </w:r>
            <w:r w:rsidR="000155DB" w:rsidRPr="000155DB">
              <w:rPr>
                <w:sz w:val="20"/>
                <w:szCs w:val="20"/>
              </w:rPr>
              <w:t>McCuaig Desrochers LLP</w:t>
            </w:r>
          </w:p>
          <w:p w:rsidR="00F81607" w:rsidRPr="000155DB" w:rsidRDefault="00F81607" w:rsidP="001B0569">
            <w:pPr>
              <w:tabs>
                <w:tab w:val="left" w:pos="-1440"/>
                <w:tab w:val="left" w:pos="-720"/>
              </w:tabs>
              <w:rPr>
                <w:sz w:val="20"/>
                <w:szCs w:val="20"/>
              </w:rPr>
            </w:pPr>
          </w:p>
          <w:p w:rsidR="00F81607" w:rsidRPr="00A935AA" w:rsidRDefault="00F81607" w:rsidP="001B0569">
            <w:pPr>
              <w:rPr>
                <w:sz w:val="20"/>
                <w:szCs w:val="20"/>
              </w:rPr>
            </w:pPr>
            <w:r w:rsidRPr="00A935AA">
              <w:rPr>
                <w:sz w:val="20"/>
                <w:szCs w:val="20"/>
              </w:rPr>
              <w:t xml:space="preserve">FILING DATE: </w:t>
            </w:r>
            <w:r w:rsidR="000155DB">
              <w:rPr>
                <w:sz w:val="20"/>
                <w:szCs w:val="20"/>
              </w:rPr>
              <w:t>01</w:t>
            </w:r>
            <w:r w:rsidRPr="00A935AA">
              <w:rPr>
                <w:sz w:val="20"/>
                <w:szCs w:val="20"/>
              </w:rPr>
              <w:t>.</w:t>
            </w:r>
            <w:r>
              <w:rPr>
                <w:sz w:val="20"/>
                <w:szCs w:val="20"/>
              </w:rPr>
              <w:t>1</w:t>
            </w:r>
            <w:r w:rsidR="000155DB">
              <w:rPr>
                <w:sz w:val="20"/>
                <w:szCs w:val="20"/>
              </w:rPr>
              <w:t>1</w:t>
            </w:r>
            <w:r w:rsidRPr="00A935AA">
              <w:rPr>
                <w:sz w:val="20"/>
                <w:szCs w:val="20"/>
              </w:rPr>
              <w:t>.201</w:t>
            </w:r>
            <w:r>
              <w:rPr>
                <w:sz w:val="20"/>
                <w:szCs w:val="20"/>
              </w:rPr>
              <w:t>3</w:t>
            </w:r>
          </w:p>
          <w:p w:rsidR="00F81607" w:rsidRPr="00A935AA" w:rsidRDefault="008138B5" w:rsidP="001B0569">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p w:rsidR="00F81607" w:rsidRPr="00A935AA" w:rsidRDefault="00F81607" w:rsidP="00242AEE">
            <w:pPr>
              <w:jc w:val="center"/>
              <w:rPr>
                <w:sz w:val="20"/>
                <w:szCs w:val="20"/>
              </w:rPr>
            </w:pPr>
          </w:p>
        </w:tc>
        <w:tc>
          <w:tcPr>
            <w:tcW w:w="4320" w:type="dxa"/>
            <w:shd w:val="clear" w:color="auto" w:fill="auto"/>
          </w:tcPr>
          <w:p w:rsidR="00F81607" w:rsidRPr="00A935AA" w:rsidRDefault="000155DB" w:rsidP="001B0569">
            <w:pPr>
              <w:keepNext/>
              <w:keepLines/>
              <w:tabs>
                <w:tab w:val="left" w:pos="-1440"/>
                <w:tab w:val="left" w:pos="-720"/>
              </w:tabs>
              <w:rPr>
                <w:b/>
                <w:sz w:val="20"/>
                <w:szCs w:val="20"/>
              </w:rPr>
            </w:pPr>
            <w:r>
              <w:rPr>
                <w:b/>
                <w:sz w:val="20"/>
                <w:szCs w:val="20"/>
              </w:rPr>
              <w:t>Christopher Dunn</w:t>
            </w:r>
          </w:p>
          <w:p w:rsidR="00F81607" w:rsidRPr="00A935AA" w:rsidRDefault="00F81607" w:rsidP="001B0569">
            <w:pPr>
              <w:keepNext/>
              <w:keepLines/>
              <w:tabs>
                <w:tab w:val="left" w:pos="-1440"/>
                <w:tab w:val="left" w:pos="-720"/>
              </w:tabs>
              <w:rPr>
                <w:sz w:val="20"/>
                <w:szCs w:val="20"/>
              </w:rPr>
            </w:pPr>
            <w:r w:rsidRPr="00A935AA">
              <w:rPr>
                <w:sz w:val="20"/>
                <w:szCs w:val="20"/>
              </w:rPr>
              <w:tab/>
            </w:r>
            <w:r w:rsidR="000155DB">
              <w:rPr>
                <w:sz w:val="20"/>
                <w:szCs w:val="20"/>
              </w:rPr>
              <w:t>Solomon Friedman</w:t>
            </w:r>
          </w:p>
          <w:p w:rsidR="00F81607" w:rsidRPr="00A935AA" w:rsidRDefault="00F81607" w:rsidP="001B0569">
            <w:pPr>
              <w:keepNext/>
              <w:keepLines/>
              <w:tabs>
                <w:tab w:val="left" w:pos="-1440"/>
                <w:tab w:val="left" w:pos="-720"/>
              </w:tabs>
              <w:rPr>
                <w:sz w:val="20"/>
                <w:szCs w:val="20"/>
              </w:rPr>
            </w:pPr>
            <w:r w:rsidRPr="00A935AA">
              <w:rPr>
                <w:sz w:val="20"/>
                <w:szCs w:val="20"/>
              </w:rPr>
              <w:tab/>
            </w:r>
            <w:r w:rsidR="000155DB">
              <w:rPr>
                <w:sz w:val="20"/>
                <w:szCs w:val="20"/>
              </w:rPr>
              <w:t xml:space="preserve">Edelson Clifford D’Angelo Friedman </w:t>
            </w:r>
            <w:r w:rsidR="000155DB">
              <w:rPr>
                <w:sz w:val="20"/>
                <w:szCs w:val="20"/>
              </w:rPr>
              <w:tab/>
              <w:t>LLP</w:t>
            </w:r>
          </w:p>
          <w:p w:rsidR="00F81607" w:rsidRPr="00A935AA" w:rsidRDefault="00F81607" w:rsidP="001B0569">
            <w:pPr>
              <w:keepNext/>
              <w:keepLines/>
              <w:tabs>
                <w:tab w:val="left" w:pos="-1440"/>
                <w:tab w:val="left" w:pos="-720"/>
              </w:tabs>
              <w:rPr>
                <w:sz w:val="20"/>
                <w:szCs w:val="20"/>
              </w:rPr>
            </w:pPr>
          </w:p>
          <w:p w:rsidR="00F81607" w:rsidRPr="000155DB" w:rsidRDefault="00F81607" w:rsidP="001B0569">
            <w:pPr>
              <w:keepNext/>
              <w:keepLines/>
              <w:tabs>
                <w:tab w:val="left" w:pos="-1440"/>
                <w:tab w:val="left" w:pos="-720"/>
              </w:tabs>
              <w:rPr>
                <w:sz w:val="20"/>
                <w:szCs w:val="20"/>
              </w:rPr>
            </w:pPr>
            <w:r w:rsidRPr="00A935AA">
              <w:rPr>
                <w:sz w:val="20"/>
                <w:szCs w:val="20"/>
              </w:rPr>
              <w:tab/>
            </w:r>
            <w:r w:rsidRPr="000155DB">
              <w:rPr>
                <w:sz w:val="20"/>
                <w:szCs w:val="20"/>
              </w:rPr>
              <w:t>v. (355</w:t>
            </w:r>
            <w:r w:rsidR="000155DB">
              <w:rPr>
                <w:sz w:val="20"/>
                <w:szCs w:val="20"/>
              </w:rPr>
              <w:t>99</w:t>
            </w:r>
            <w:r w:rsidRPr="000155DB">
              <w:rPr>
                <w:sz w:val="20"/>
                <w:szCs w:val="20"/>
              </w:rPr>
              <w:t>)</w:t>
            </w:r>
          </w:p>
          <w:p w:rsidR="00F81607" w:rsidRPr="000155DB" w:rsidRDefault="00F81607" w:rsidP="001B0569">
            <w:pPr>
              <w:keepNext/>
              <w:keepLines/>
              <w:tabs>
                <w:tab w:val="left" w:pos="-1440"/>
                <w:tab w:val="left" w:pos="-720"/>
              </w:tabs>
              <w:rPr>
                <w:sz w:val="20"/>
                <w:szCs w:val="20"/>
              </w:rPr>
            </w:pPr>
          </w:p>
          <w:p w:rsidR="00F81607" w:rsidRPr="000155DB" w:rsidRDefault="008B465C" w:rsidP="001B0569">
            <w:pPr>
              <w:keepNext/>
              <w:keepLines/>
              <w:tabs>
                <w:tab w:val="left" w:pos="-1440"/>
                <w:tab w:val="left" w:pos="-720"/>
              </w:tabs>
              <w:rPr>
                <w:b/>
                <w:sz w:val="20"/>
                <w:szCs w:val="20"/>
              </w:rPr>
            </w:pPr>
            <w:r>
              <w:rPr>
                <w:b/>
                <w:sz w:val="20"/>
                <w:szCs w:val="20"/>
              </w:rPr>
              <w:t>Her Majesty the Queen</w:t>
            </w:r>
            <w:r w:rsidR="000155DB">
              <w:rPr>
                <w:b/>
                <w:sz w:val="20"/>
                <w:szCs w:val="20"/>
              </w:rPr>
              <w:t xml:space="preserve"> </w:t>
            </w:r>
            <w:r w:rsidR="00F81607" w:rsidRPr="000155DB">
              <w:rPr>
                <w:b/>
                <w:sz w:val="20"/>
                <w:szCs w:val="20"/>
              </w:rPr>
              <w:t>(Ont.)</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sidRPr="000155DB">
              <w:rPr>
                <w:sz w:val="20"/>
                <w:szCs w:val="20"/>
              </w:rPr>
              <w:t>John S. McInnes</w:t>
            </w:r>
          </w:p>
          <w:p w:rsidR="00F81607" w:rsidRPr="000155DB" w:rsidRDefault="00F81607" w:rsidP="001B0569">
            <w:pPr>
              <w:keepNext/>
              <w:keepLines/>
              <w:tabs>
                <w:tab w:val="left" w:pos="-1440"/>
                <w:tab w:val="left" w:pos="-720"/>
              </w:tabs>
              <w:rPr>
                <w:sz w:val="20"/>
                <w:szCs w:val="20"/>
              </w:rPr>
            </w:pPr>
            <w:r w:rsidRPr="000155DB">
              <w:rPr>
                <w:sz w:val="20"/>
                <w:szCs w:val="20"/>
              </w:rPr>
              <w:tab/>
            </w:r>
            <w:r w:rsidR="000155DB">
              <w:rPr>
                <w:sz w:val="20"/>
                <w:szCs w:val="20"/>
              </w:rPr>
              <w:t>A.G. of Ontario</w:t>
            </w:r>
          </w:p>
          <w:p w:rsidR="00F81607" w:rsidRPr="000155DB" w:rsidRDefault="00F81607" w:rsidP="001B0569">
            <w:pPr>
              <w:keepNext/>
              <w:keepLines/>
              <w:tabs>
                <w:tab w:val="left" w:pos="-1440"/>
                <w:tab w:val="left" w:pos="-720"/>
              </w:tabs>
              <w:rPr>
                <w:sz w:val="20"/>
                <w:szCs w:val="20"/>
              </w:rPr>
            </w:pPr>
          </w:p>
          <w:p w:rsidR="00F81607" w:rsidRPr="00A935AA" w:rsidRDefault="00F81607" w:rsidP="008B465C">
            <w:pPr>
              <w:rPr>
                <w:sz w:val="20"/>
                <w:szCs w:val="20"/>
              </w:rPr>
            </w:pPr>
            <w:r w:rsidRPr="00A935AA">
              <w:rPr>
                <w:sz w:val="20"/>
                <w:szCs w:val="20"/>
              </w:rPr>
              <w:t xml:space="preserve">FILING DATE: </w:t>
            </w:r>
            <w:r w:rsidR="008B465C">
              <w:rPr>
                <w:sz w:val="20"/>
                <w:szCs w:val="20"/>
              </w:rPr>
              <w:t>04</w:t>
            </w:r>
            <w:r w:rsidRPr="00A935AA">
              <w:rPr>
                <w:sz w:val="20"/>
                <w:szCs w:val="20"/>
              </w:rPr>
              <w:t>.</w:t>
            </w:r>
            <w:r>
              <w:rPr>
                <w:sz w:val="20"/>
                <w:szCs w:val="20"/>
              </w:rPr>
              <w:t>1</w:t>
            </w:r>
            <w:r w:rsidR="008B465C">
              <w:rPr>
                <w:sz w:val="20"/>
                <w:szCs w:val="20"/>
              </w:rPr>
              <w:t>1</w:t>
            </w:r>
            <w:r w:rsidRPr="00A935AA">
              <w:rPr>
                <w:sz w:val="20"/>
                <w:szCs w:val="20"/>
              </w:rPr>
              <w:t>.201</w:t>
            </w:r>
            <w:r>
              <w:rPr>
                <w:sz w:val="20"/>
                <w:szCs w:val="20"/>
              </w:rPr>
              <w:t>3</w:t>
            </w:r>
            <w:r w:rsidR="008138B5">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40045">
          <w:headerReference w:type="default" r:id="rId16"/>
          <w:footerReference w:type="default" r:id="rId17"/>
          <w:headerReference w:type="first" r:id="rId18"/>
          <w:footerReference w:type="first" r:id="rId19"/>
          <w:pgSz w:w="12240" w:h="15840"/>
          <w:pgMar w:top="720" w:right="965" w:bottom="1080" w:left="1656" w:header="706" w:footer="706" w:gutter="0"/>
          <w:pgNumType w:start="183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138B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EE5BFB" w:rsidP="004B7F60">
      <w:pPr>
        <w:widowControl w:val="0"/>
        <w:rPr>
          <w:b/>
          <w:sz w:val="20"/>
          <w:szCs w:val="20"/>
        </w:rPr>
      </w:pPr>
      <w:r>
        <w:rPr>
          <w:b/>
          <w:sz w:val="20"/>
          <w:szCs w:val="20"/>
        </w:rPr>
        <w:t>NOV</w:t>
      </w:r>
      <w:r w:rsidR="00DE349D">
        <w:rPr>
          <w:b/>
          <w:sz w:val="20"/>
          <w:szCs w:val="20"/>
        </w:rPr>
        <w:t>EMBER</w:t>
      </w:r>
      <w:r w:rsidR="00F761A3">
        <w:rPr>
          <w:b/>
          <w:sz w:val="20"/>
          <w:szCs w:val="20"/>
        </w:rPr>
        <w:t xml:space="preserve"> </w:t>
      </w:r>
      <w:r>
        <w:rPr>
          <w:b/>
          <w:sz w:val="20"/>
          <w:szCs w:val="20"/>
        </w:rPr>
        <w:t>12</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12</w:t>
      </w:r>
      <w:r w:rsidR="004B7F60">
        <w:rPr>
          <w:b/>
          <w:sz w:val="20"/>
          <w:szCs w:val="20"/>
        </w:rPr>
        <w:t xml:space="preserve"> </w:t>
      </w:r>
      <w:r>
        <w:rPr>
          <w:b/>
          <w:sz w:val="20"/>
          <w:szCs w:val="20"/>
        </w:rPr>
        <w:t>NOV</w:t>
      </w:r>
      <w:r w:rsidR="00F761A3">
        <w:rPr>
          <w:b/>
          <w:sz w:val="20"/>
          <w:szCs w:val="20"/>
        </w:rPr>
        <w:t>E</w:t>
      </w:r>
      <w:r w:rsidR="00DE349D">
        <w:rPr>
          <w:b/>
          <w:sz w:val="20"/>
          <w:szCs w:val="20"/>
        </w:rPr>
        <w:t>MB</w:t>
      </w:r>
      <w:r w:rsidR="004B7F60">
        <w:rPr>
          <w:b/>
          <w:sz w:val="20"/>
          <w:szCs w:val="20"/>
        </w:rPr>
        <w:t>R</w:t>
      </w:r>
      <w:r w:rsidR="00DE349D">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654303" w:rsidRDefault="00654303" w:rsidP="004B7F60">
      <w:pPr>
        <w:pStyle w:val="ListParagraph"/>
        <w:widowControl w:val="0"/>
        <w:numPr>
          <w:ilvl w:val="0"/>
          <w:numId w:val="1"/>
        </w:numPr>
        <w:ind w:hanging="720"/>
        <w:jc w:val="both"/>
        <w:rPr>
          <w:sz w:val="20"/>
          <w:szCs w:val="20"/>
          <w:lang w:val="fr-CA"/>
        </w:rPr>
      </w:pPr>
      <w:r w:rsidRPr="00654303">
        <w:rPr>
          <w:i/>
          <w:sz w:val="20"/>
          <w:szCs w:val="20"/>
          <w:lang w:val="fr-CA"/>
        </w:rPr>
        <w:t>Jacques Delisle c. Sa Majesté la Reine</w:t>
      </w:r>
      <w:r w:rsidRPr="00654303">
        <w:rPr>
          <w:sz w:val="20"/>
          <w:szCs w:val="20"/>
          <w:lang w:val="fr-CA"/>
        </w:rPr>
        <w:t xml:space="preserve"> (Qc) (Crim.) (Autorisation) </w:t>
      </w:r>
      <w:r w:rsidR="004B7F60" w:rsidRPr="00654303">
        <w:rPr>
          <w:sz w:val="20"/>
          <w:szCs w:val="20"/>
          <w:lang w:val="fr-CA"/>
        </w:rPr>
        <w:t>(3</w:t>
      </w:r>
      <w:r>
        <w:rPr>
          <w:sz w:val="20"/>
          <w:szCs w:val="20"/>
          <w:lang w:val="fr-CA"/>
        </w:rPr>
        <w:t>5</w:t>
      </w:r>
      <w:r w:rsidR="004B7F60" w:rsidRPr="00654303">
        <w:rPr>
          <w:sz w:val="20"/>
          <w:szCs w:val="20"/>
          <w:lang w:val="fr-CA"/>
        </w:rPr>
        <w:t>4</w:t>
      </w:r>
      <w:r>
        <w:rPr>
          <w:sz w:val="20"/>
          <w:szCs w:val="20"/>
          <w:lang w:val="fr-CA"/>
        </w:rPr>
        <w:t>9</w:t>
      </w:r>
      <w:r w:rsidR="004B7F60" w:rsidRPr="00654303">
        <w:rPr>
          <w:sz w:val="20"/>
          <w:szCs w:val="20"/>
          <w:lang w:val="fr-CA"/>
        </w:rPr>
        <w:t>1)</w:t>
      </w:r>
    </w:p>
    <w:p w:rsidR="004B7F60" w:rsidRPr="00654303" w:rsidRDefault="004B7F60" w:rsidP="004B7F60">
      <w:pPr>
        <w:widowControl w:val="0"/>
        <w:jc w:val="both"/>
        <w:rPr>
          <w:sz w:val="20"/>
          <w:szCs w:val="20"/>
          <w:lang w:val="fr-CA"/>
        </w:rPr>
      </w:pPr>
    </w:p>
    <w:p w:rsidR="004B7F60" w:rsidRPr="00654303" w:rsidRDefault="00654303" w:rsidP="004B7F60">
      <w:pPr>
        <w:pStyle w:val="ListParagraph"/>
        <w:widowControl w:val="0"/>
        <w:numPr>
          <w:ilvl w:val="0"/>
          <w:numId w:val="1"/>
        </w:numPr>
        <w:ind w:hanging="720"/>
        <w:jc w:val="both"/>
        <w:rPr>
          <w:sz w:val="20"/>
          <w:szCs w:val="20"/>
          <w:lang w:val="fr-CA"/>
        </w:rPr>
      </w:pPr>
      <w:r w:rsidRPr="00654303">
        <w:rPr>
          <w:i/>
          <w:sz w:val="20"/>
          <w:szCs w:val="20"/>
          <w:lang w:val="fr-CA"/>
        </w:rPr>
        <w:t>Paul Bernier et a</w:t>
      </w:r>
      <w:r>
        <w:rPr>
          <w:i/>
          <w:sz w:val="20"/>
          <w:szCs w:val="20"/>
          <w:lang w:val="fr-CA"/>
        </w:rPr>
        <w:t>utre</w:t>
      </w:r>
      <w:r w:rsidRPr="00654303">
        <w:rPr>
          <w:i/>
          <w:sz w:val="20"/>
          <w:szCs w:val="20"/>
          <w:lang w:val="fr-CA"/>
        </w:rPr>
        <w:t xml:space="preserve"> c. Gestion 11275 inc.</w:t>
      </w:r>
      <w:r w:rsidRPr="00654303">
        <w:rPr>
          <w:sz w:val="20"/>
          <w:szCs w:val="20"/>
          <w:lang w:val="fr-CA"/>
        </w:rPr>
        <w:t xml:space="preserve"> (Qc) (Civile) (Autorisation) </w:t>
      </w:r>
      <w:r w:rsidR="004B7F60" w:rsidRPr="00654303">
        <w:rPr>
          <w:sz w:val="20"/>
          <w:szCs w:val="20"/>
          <w:lang w:val="fr-CA"/>
        </w:rPr>
        <w:t>(3</w:t>
      </w:r>
      <w:r w:rsidRPr="00654303">
        <w:rPr>
          <w:sz w:val="20"/>
          <w:szCs w:val="20"/>
          <w:lang w:val="fr-CA"/>
        </w:rPr>
        <w:t>5511</w:t>
      </w:r>
      <w:r w:rsidR="004B7F60" w:rsidRPr="00654303">
        <w:rPr>
          <w:sz w:val="20"/>
          <w:szCs w:val="20"/>
          <w:lang w:val="fr-CA"/>
        </w:rPr>
        <w:t>)</w:t>
      </w:r>
    </w:p>
    <w:p w:rsidR="004B7F60" w:rsidRPr="00654303" w:rsidRDefault="004B7F60" w:rsidP="004B7F60">
      <w:pPr>
        <w:widowControl w:val="0"/>
        <w:jc w:val="both"/>
        <w:rPr>
          <w:sz w:val="20"/>
          <w:szCs w:val="20"/>
          <w:lang w:val="fr-CA"/>
        </w:rPr>
      </w:pPr>
    </w:p>
    <w:p w:rsidR="00654303" w:rsidRPr="00654303" w:rsidRDefault="00654303" w:rsidP="004B7F60">
      <w:pPr>
        <w:widowControl w:val="0"/>
        <w:jc w:val="both"/>
        <w:rPr>
          <w:sz w:val="20"/>
          <w:szCs w:val="20"/>
          <w:lang w:val="fr-CA"/>
        </w:rPr>
      </w:pPr>
    </w:p>
    <w:p w:rsidR="00654303" w:rsidRPr="00C50A5C" w:rsidRDefault="00654303" w:rsidP="0065430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654303" w:rsidRPr="00C50A5C" w:rsidRDefault="00654303" w:rsidP="0065430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654303" w:rsidRPr="00654303" w:rsidRDefault="00654303" w:rsidP="004B7F60">
      <w:pPr>
        <w:widowControl w:val="0"/>
        <w:jc w:val="both"/>
        <w:rPr>
          <w:sz w:val="20"/>
          <w:szCs w:val="20"/>
          <w:lang w:val="fr-CA"/>
        </w:rPr>
      </w:pPr>
    </w:p>
    <w:p w:rsidR="004B7F60" w:rsidRPr="00654303" w:rsidRDefault="00654303" w:rsidP="004B7F60">
      <w:pPr>
        <w:pStyle w:val="ListParagraph"/>
        <w:widowControl w:val="0"/>
        <w:numPr>
          <w:ilvl w:val="0"/>
          <w:numId w:val="1"/>
        </w:numPr>
        <w:ind w:hanging="720"/>
        <w:jc w:val="both"/>
        <w:rPr>
          <w:sz w:val="20"/>
          <w:szCs w:val="20"/>
          <w:lang w:val="fr-CA"/>
        </w:rPr>
      </w:pPr>
      <w:r w:rsidRPr="00CC48BA">
        <w:rPr>
          <w:i/>
          <w:sz w:val="20"/>
          <w:szCs w:val="20"/>
          <w:lang w:val="fr-CA"/>
        </w:rPr>
        <w:t xml:space="preserve">Syndicat du personnel enseignant du collège Ahuntsic </w:t>
      </w:r>
      <w:r w:rsidR="00CC48BA" w:rsidRPr="00CC48BA">
        <w:rPr>
          <w:i/>
          <w:sz w:val="20"/>
          <w:szCs w:val="20"/>
          <w:lang w:val="fr-CA"/>
        </w:rPr>
        <w:t xml:space="preserve">(FNEEQ-CSN) </w:t>
      </w:r>
      <w:r w:rsidRPr="00CC48BA">
        <w:rPr>
          <w:i/>
          <w:sz w:val="20"/>
          <w:szCs w:val="20"/>
          <w:lang w:val="fr-CA"/>
        </w:rPr>
        <w:t>c. Collège Ahuntsic et autre</w:t>
      </w:r>
      <w:r w:rsidRPr="00654303">
        <w:rPr>
          <w:sz w:val="20"/>
          <w:szCs w:val="20"/>
          <w:lang w:val="fr-CA"/>
        </w:rPr>
        <w:t xml:space="preserve"> (Qc) (Civile) (Autorisation) </w:t>
      </w:r>
      <w:r w:rsidR="004B7F60" w:rsidRPr="00654303">
        <w:rPr>
          <w:sz w:val="20"/>
          <w:szCs w:val="20"/>
          <w:lang w:val="fr-CA"/>
        </w:rPr>
        <w:t>(3</w:t>
      </w:r>
      <w:r w:rsidRPr="00654303">
        <w:rPr>
          <w:sz w:val="20"/>
          <w:szCs w:val="20"/>
          <w:lang w:val="fr-CA"/>
        </w:rPr>
        <w:t>5</w:t>
      </w:r>
      <w:r w:rsidR="004B7F60" w:rsidRPr="00654303">
        <w:rPr>
          <w:sz w:val="20"/>
          <w:szCs w:val="20"/>
          <w:lang w:val="fr-CA"/>
        </w:rPr>
        <w:t>4</w:t>
      </w:r>
      <w:r w:rsidRPr="00654303">
        <w:rPr>
          <w:sz w:val="20"/>
          <w:szCs w:val="20"/>
          <w:lang w:val="fr-CA"/>
        </w:rPr>
        <w:t>2</w:t>
      </w:r>
      <w:r w:rsidR="004B7F60" w:rsidRPr="00654303">
        <w:rPr>
          <w:sz w:val="20"/>
          <w:szCs w:val="20"/>
          <w:lang w:val="fr-CA"/>
        </w:rPr>
        <w:t>9)</w:t>
      </w:r>
    </w:p>
    <w:p w:rsidR="004B7F60" w:rsidRPr="00654303" w:rsidRDefault="004B7F60" w:rsidP="004B7F60">
      <w:pPr>
        <w:widowControl w:val="0"/>
        <w:rPr>
          <w:sz w:val="20"/>
          <w:szCs w:val="20"/>
          <w:lang w:val="fr-CA"/>
        </w:rPr>
      </w:pPr>
    </w:p>
    <w:p w:rsidR="004B7F60" w:rsidRPr="00654303" w:rsidRDefault="00654303" w:rsidP="004B7F60">
      <w:pPr>
        <w:pStyle w:val="ListParagraph"/>
        <w:widowControl w:val="0"/>
        <w:numPr>
          <w:ilvl w:val="0"/>
          <w:numId w:val="1"/>
        </w:numPr>
        <w:ind w:hanging="720"/>
        <w:jc w:val="both"/>
        <w:rPr>
          <w:sz w:val="20"/>
          <w:szCs w:val="20"/>
          <w:lang w:val="fr-CA"/>
        </w:rPr>
      </w:pPr>
      <w:r w:rsidRPr="00654303">
        <w:rPr>
          <w:i/>
          <w:sz w:val="20"/>
          <w:szCs w:val="20"/>
          <w:lang w:val="fr-CA"/>
        </w:rPr>
        <w:t>Raynald Grenier c. Procureur général du Québec</w:t>
      </w:r>
      <w:r w:rsidRPr="00654303">
        <w:rPr>
          <w:sz w:val="20"/>
          <w:szCs w:val="20"/>
          <w:lang w:val="fr-CA"/>
        </w:rPr>
        <w:t xml:space="preserve"> (Qc) (Civile) (Autorisation) </w:t>
      </w:r>
      <w:r w:rsidR="004B7F60" w:rsidRPr="00654303">
        <w:rPr>
          <w:sz w:val="20"/>
          <w:szCs w:val="20"/>
          <w:lang w:val="fr-CA"/>
        </w:rPr>
        <w:t>(3</w:t>
      </w:r>
      <w:r w:rsidRPr="00654303">
        <w:rPr>
          <w:sz w:val="20"/>
          <w:szCs w:val="20"/>
          <w:lang w:val="fr-CA"/>
        </w:rPr>
        <w:t>552</w:t>
      </w:r>
      <w:r w:rsidR="004B7F60" w:rsidRPr="00654303">
        <w:rPr>
          <w:sz w:val="20"/>
          <w:szCs w:val="20"/>
          <w:lang w:val="fr-CA"/>
        </w:rPr>
        <w:t>6)</w:t>
      </w:r>
    </w:p>
    <w:p w:rsidR="004B7F60" w:rsidRPr="00C16CB3" w:rsidRDefault="004B7F60" w:rsidP="004B7F60">
      <w:pPr>
        <w:widowControl w:val="0"/>
        <w:jc w:val="both"/>
        <w:rPr>
          <w:sz w:val="20"/>
          <w:szCs w:val="20"/>
          <w:lang w:val="fr-CA"/>
        </w:rPr>
      </w:pPr>
    </w:p>
    <w:p w:rsidR="004B7F60" w:rsidRPr="00C612D0" w:rsidRDefault="00654303" w:rsidP="004B7F60">
      <w:pPr>
        <w:pStyle w:val="ListParagraph"/>
        <w:widowControl w:val="0"/>
        <w:numPr>
          <w:ilvl w:val="0"/>
          <w:numId w:val="1"/>
        </w:numPr>
        <w:ind w:hanging="720"/>
        <w:jc w:val="both"/>
        <w:rPr>
          <w:sz w:val="20"/>
          <w:szCs w:val="20"/>
          <w:lang w:val="fr-CA"/>
        </w:rPr>
      </w:pPr>
      <w:r w:rsidRPr="00654303">
        <w:rPr>
          <w:i/>
          <w:sz w:val="20"/>
          <w:szCs w:val="20"/>
        </w:rPr>
        <w:t>X et al. v. Her Majesty the Queen et al.</w:t>
      </w:r>
      <w:r w:rsidRPr="00654303">
        <w:rPr>
          <w:sz w:val="20"/>
          <w:szCs w:val="20"/>
        </w:rPr>
        <w:t xml:space="preserve"> </w:t>
      </w:r>
      <w:r w:rsidR="004B7F60" w:rsidRPr="00C612D0">
        <w:rPr>
          <w:sz w:val="20"/>
          <w:szCs w:val="20"/>
          <w:lang w:val="fr-CA"/>
        </w:rPr>
        <w:t>(3</w:t>
      </w:r>
      <w:r>
        <w:rPr>
          <w:sz w:val="20"/>
          <w:szCs w:val="20"/>
          <w:lang w:val="fr-CA"/>
        </w:rPr>
        <w:t>55</w:t>
      </w:r>
      <w:r w:rsidR="004B7F60" w:rsidRPr="00C612D0">
        <w:rPr>
          <w:sz w:val="20"/>
          <w:szCs w:val="20"/>
          <w:lang w:val="fr-CA"/>
        </w:rPr>
        <w:t>3</w:t>
      </w:r>
      <w:r>
        <w:rPr>
          <w:sz w:val="20"/>
          <w:szCs w:val="20"/>
          <w:lang w:val="fr-CA"/>
        </w:rPr>
        <w:t>8</w:t>
      </w:r>
      <w:r w:rsidR="004B7F60" w:rsidRPr="00C612D0">
        <w:rPr>
          <w:sz w:val="20"/>
          <w:szCs w:val="20"/>
          <w:lang w:val="fr-CA"/>
        </w:rPr>
        <w:t>)</w:t>
      </w:r>
    </w:p>
    <w:p w:rsidR="004B7F60" w:rsidRDefault="004B7F60" w:rsidP="004B7F60">
      <w:pPr>
        <w:widowControl w:val="0"/>
        <w:rPr>
          <w:sz w:val="20"/>
          <w:szCs w:val="20"/>
          <w:lang w:val="fr-CA"/>
        </w:rPr>
      </w:pPr>
    </w:p>
    <w:p w:rsidR="00654303" w:rsidRDefault="00654303" w:rsidP="004B7F60">
      <w:pPr>
        <w:widowControl w:val="0"/>
        <w:rPr>
          <w:sz w:val="20"/>
          <w:szCs w:val="20"/>
          <w:lang w:val="fr-CA"/>
        </w:rPr>
      </w:pPr>
    </w:p>
    <w:p w:rsidR="00654303" w:rsidRPr="00C50A5C" w:rsidRDefault="00654303" w:rsidP="00654303">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654303" w:rsidRPr="00C50A5C" w:rsidRDefault="00654303" w:rsidP="0065430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654303" w:rsidRPr="00C612D0" w:rsidRDefault="00654303" w:rsidP="004B7F60">
      <w:pPr>
        <w:widowControl w:val="0"/>
        <w:rPr>
          <w:sz w:val="20"/>
          <w:szCs w:val="20"/>
          <w:lang w:val="fr-CA"/>
        </w:rPr>
      </w:pPr>
    </w:p>
    <w:p w:rsidR="004B7F60" w:rsidRPr="00654303" w:rsidRDefault="00654303" w:rsidP="004B7F60">
      <w:pPr>
        <w:pStyle w:val="ListParagraph"/>
        <w:widowControl w:val="0"/>
        <w:numPr>
          <w:ilvl w:val="0"/>
          <w:numId w:val="1"/>
        </w:numPr>
        <w:ind w:hanging="720"/>
        <w:jc w:val="both"/>
        <w:rPr>
          <w:sz w:val="20"/>
          <w:szCs w:val="20"/>
        </w:rPr>
      </w:pPr>
      <w:r w:rsidRPr="00654303">
        <w:rPr>
          <w:i/>
          <w:sz w:val="20"/>
          <w:szCs w:val="20"/>
        </w:rPr>
        <w:t>Harminder Walia v. University of Manitoba et al.</w:t>
      </w:r>
      <w:r w:rsidRPr="00654303">
        <w:rPr>
          <w:sz w:val="20"/>
          <w:szCs w:val="20"/>
        </w:rPr>
        <w:t xml:space="preserve"> (Man.) (Civil) (By Leave) </w:t>
      </w:r>
      <w:r w:rsidR="004B7F60" w:rsidRPr="00654303">
        <w:rPr>
          <w:sz w:val="20"/>
          <w:szCs w:val="20"/>
        </w:rPr>
        <w:t>(35</w:t>
      </w:r>
      <w:r w:rsidRPr="00654303">
        <w:rPr>
          <w:sz w:val="20"/>
          <w:szCs w:val="20"/>
        </w:rPr>
        <w:t>536</w:t>
      </w:r>
      <w:r w:rsidR="004B7F60" w:rsidRPr="00654303">
        <w:rPr>
          <w:sz w:val="20"/>
          <w:szCs w:val="20"/>
        </w:rPr>
        <w:t>)</w:t>
      </w:r>
    </w:p>
    <w:p w:rsidR="004B7F60" w:rsidRPr="00654303" w:rsidRDefault="004B7F60" w:rsidP="004B7F60">
      <w:pPr>
        <w:widowControl w:val="0"/>
        <w:jc w:val="both"/>
        <w:rPr>
          <w:sz w:val="20"/>
          <w:szCs w:val="20"/>
        </w:rPr>
      </w:pPr>
    </w:p>
    <w:p w:rsidR="004B7F60" w:rsidRPr="00654303" w:rsidRDefault="00654303" w:rsidP="004B7F60">
      <w:pPr>
        <w:pStyle w:val="ListParagraph"/>
        <w:widowControl w:val="0"/>
        <w:numPr>
          <w:ilvl w:val="0"/>
          <w:numId w:val="1"/>
        </w:numPr>
        <w:ind w:hanging="720"/>
        <w:jc w:val="both"/>
        <w:rPr>
          <w:sz w:val="20"/>
          <w:szCs w:val="20"/>
        </w:rPr>
      </w:pPr>
      <w:r w:rsidRPr="00654303">
        <w:rPr>
          <w:i/>
          <w:sz w:val="20"/>
          <w:szCs w:val="20"/>
        </w:rPr>
        <w:t>Matthew Engel v. Detective Bill Allen (Reg. No. 1535) also known as Detective William Allen</w:t>
      </w:r>
      <w:r w:rsidRPr="00654303">
        <w:rPr>
          <w:sz w:val="20"/>
          <w:szCs w:val="20"/>
        </w:rPr>
        <w:t xml:space="preserve"> (Alta.) (Civil) (By Leave) </w:t>
      </w:r>
      <w:r w:rsidR="004B7F60" w:rsidRPr="00654303">
        <w:rPr>
          <w:sz w:val="20"/>
          <w:szCs w:val="20"/>
        </w:rPr>
        <w:t>(35</w:t>
      </w:r>
      <w:r w:rsidRPr="00654303">
        <w:rPr>
          <w:sz w:val="20"/>
          <w:szCs w:val="20"/>
        </w:rPr>
        <w:t>500</w:t>
      </w:r>
      <w:r w:rsidR="004B7F60" w:rsidRPr="00654303">
        <w:rPr>
          <w:sz w:val="20"/>
          <w:szCs w:val="20"/>
        </w:rPr>
        <w:t>)</w:t>
      </w:r>
    </w:p>
    <w:p w:rsidR="002E2327" w:rsidRPr="00654303" w:rsidRDefault="002E2327" w:rsidP="002E2327">
      <w:pPr>
        <w:widowControl w:val="0"/>
        <w:rPr>
          <w:sz w:val="20"/>
          <w:szCs w:val="20"/>
        </w:rPr>
      </w:pPr>
    </w:p>
    <w:p w:rsidR="002E2327" w:rsidRDefault="008138B5"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138B5"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90ADE" w:rsidP="000E2959">
      <w:pPr>
        <w:rPr>
          <w:b/>
          <w:sz w:val="20"/>
          <w:szCs w:val="20"/>
        </w:rPr>
      </w:pPr>
      <w:r>
        <w:rPr>
          <w:b/>
          <w:sz w:val="20"/>
          <w:szCs w:val="20"/>
        </w:rPr>
        <w:t>NOVE</w:t>
      </w:r>
      <w:r w:rsidR="000E2959">
        <w:rPr>
          <w:b/>
          <w:sz w:val="20"/>
          <w:szCs w:val="20"/>
        </w:rPr>
        <w:t>M</w:t>
      </w:r>
      <w:r>
        <w:rPr>
          <w:b/>
          <w:sz w:val="20"/>
          <w:szCs w:val="20"/>
        </w:rPr>
        <w:t>BER 14</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14</w:t>
      </w:r>
      <w:r w:rsidR="000E2959" w:rsidRPr="00C50A5C">
        <w:rPr>
          <w:b/>
          <w:sz w:val="20"/>
          <w:szCs w:val="20"/>
        </w:rPr>
        <w:t xml:space="preserve"> </w:t>
      </w:r>
      <w:r>
        <w:rPr>
          <w:b/>
          <w:sz w:val="20"/>
          <w:szCs w:val="20"/>
        </w:rPr>
        <w:t>NOVE</w:t>
      </w:r>
      <w:r w:rsidR="000E2959">
        <w:rPr>
          <w:b/>
          <w:sz w:val="20"/>
          <w:szCs w:val="20"/>
        </w:rPr>
        <w:t>M</w:t>
      </w:r>
      <w:r>
        <w:rPr>
          <w:b/>
          <w:sz w:val="20"/>
          <w:szCs w:val="20"/>
        </w:rPr>
        <w:t>BRE</w:t>
      </w:r>
      <w:r w:rsidR="000E2959" w:rsidRPr="00C50A5C">
        <w:rPr>
          <w:b/>
          <w:sz w:val="20"/>
          <w:szCs w:val="20"/>
        </w:rPr>
        <w:t xml:space="preserve"> 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1D4B16" w:rsidTr="001D4B16">
        <w:trPr>
          <w:cantSplit/>
        </w:trPr>
        <w:tc>
          <w:tcPr>
            <w:tcW w:w="1458" w:type="dxa"/>
          </w:tcPr>
          <w:p w:rsidR="001D4B16" w:rsidRPr="001D4B16" w:rsidRDefault="001D4B16" w:rsidP="001D4B16">
            <w:pPr>
              <w:rPr>
                <w:sz w:val="20"/>
              </w:rPr>
            </w:pPr>
            <w:r w:rsidRPr="001D4B16">
              <w:rPr>
                <w:b/>
                <w:sz w:val="20"/>
                <w:lang w:val="fr-CA"/>
              </w:rPr>
              <w:t>35400</w:t>
            </w:r>
          </w:p>
          <w:p w:rsidR="001D4B16" w:rsidRPr="001D4B16" w:rsidRDefault="001D4B16" w:rsidP="001D4B16">
            <w:pPr>
              <w:rPr>
                <w:b/>
                <w:sz w:val="20"/>
                <w:lang w:val="fr-CA"/>
              </w:rPr>
            </w:pPr>
          </w:p>
        </w:tc>
        <w:tc>
          <w:tcPr>
            <w:tcW w:w="8118" w:type="dxa"/>
          </w:tcPr>
          <w:p w:rsidR="001D4B16" w:rsidRPr="001D4B16" w:rsidRDefault="001D4B16" w:rsidP="001D4B16">
            <w:pPr>
              <w:jc w:val="both"/>
              <w:rPr>
                <w:sz w:val="20"/>
              </w:rPr>
            </w:pPr>
            <w:r w:rsidRPr="001D4B16">
              <w:rPr>
                <w:b/>
                <w:sz w:val="20"/>
                <w:u w:val="single"/>
              </w:rPr>
              <w:t>Joey Boudreau v. Bank of Montreal, Rogers Communications Inc. and Umbro Inc.</w:t>
            </w:r>
            <w:r w:rsidRPr="001D4B16">
              <w:rPr>
                <w:sz w:val="20"/>
              </w:rPr>
              <w:t xml:space="preserve"> (Ont.) (Civil) (By Leave)</w:t>
            </w:r>
          </w:p>
          <w:p w:rsidR="001D4B16" w:rsidRPr="001D4B16" w:rsidRDefault="001D4B16" w:rsidP="001D4B16">
            <w:pPr>
              <w:jc w:val="both"/>
              <w:rPr>
                <w:sz w:val="20"/>
              </w:rPr>
            </w:pPr>
          </w:p>
        </w:tc>
      </w:tr>
      <w:tr w:rsidR="001D4B16" w:rsidRPr="001D4B16" w:rsidTr="001D4B16">
        <w:trPr>
          <w:cantSplit/>
        </w:trPr>
        <w:tc>
          <w:tcPr>
            <w:tcW w:w="1458" w:type="dxa"/>
          </w:tcPr>
          <w:p w:rsidR="001D4B16" w:rsidRPr="001D4B16" w:rsidRDefault="001D4B16" w:rsidP="001D4B16">
            <w:pPr>
              <w:rPr>
                <w:sz w:val="20"/>
              </w:rPr>
            </w:pPr>
            <w:r w:rsidRPr="001D4B16">
              <w:rPr>
                <w:sz w:val="20"/>
              </w:rPr>
              <w:t>Coram :</w:t>
            </w:r>
          </w:p>
        </w:tc>
        <w:tc>
          <w:tcPr>
            <w:tcW w:w="8118" w:type="dxa"/>
          </w:tcPr>
          <w:p w:rsidR="001D4B16" w:rsidRPr="001D4B16" w:rsidRDefault="001D4B16" w:rsidP="001D4B16">
            <w:pPr>
              <w:rPr>
                <w:sz w:val="20"/>
              </w:rPr>
            </w:pPr>
            <w:r w:rsidRPr="001D4B16">
              <w:rPr>
                <w:sz w:val="20"/>
                <w:u w:val="single"/>
              </w:rPr>
              <w:t>LeBel, Karakatsanis and Wagner JJ.</w:t>
            </w:r>
          </w:p>
          <w:p w:rsidR="001D4B16" w:rsidRPr="001D4B16" w:rsidRDefault="001D4B16" w:rsidP="001D4B16">
            <w:pPr>
              <w:rPr>
                <w:sz w:val="20"/>
                <w:u w:val="single"/>
              </w:rPr>
            </w:pPr>
          </w:p>
        </w:tc>
      </w:tr>
      <w:tr w:rsidR="001D4B16" w:rsidRPr="008138B5" w:rsidTr="001D4B16">
        <w:trPr>
          <w:cantSplit/>
        </w:trPr>
        <w:tc>
          <w:tcPr>
            <w:tcW w:w="9576" w:type="dxa"/>
            <w:gridSpan w:val="2"/>
          </w:tcPr>
          <w:p w:rsidR="001D4B16" w:rsidRPr="001D4B16" w:rsidRDefault="001D4B16" w:rsidP="001D4B16">
            <w:pPr>
              <w:ind w:firstLine="720"/>
              <w:jc w:val="both"/>
              <w:rPr>
                <w:sz w:val="20"/>
              </w:rPr>
            </w:pPr>
            <w:r w:rsidRPr="001D4B16">
              <w:rPr>
                <w:sz w:val="20"/>
              </w:rPr>
              <w:t>The application for leave to appeal from the judgment of the Court of Appeal for Ontario, Number C55980, 2013 ONCA 211, dated April 5, 2013, is dismissed with costs.</w:t>
            </w:r>
          </w:p>
          <w:p w:rsidR="001D4B16" w:rsidRPr="001D4B16" w:rsidRDefault="001D4B16" w:rsidP="001D4B16">
            <w:pPr>
              <w:jc w:val="both"/>
              <w:rPr>
                <w:sz w:val="20"/>
              </w:rPr>
            </w:pPr>
          </w:p>
          <w:p w:rsidR="001D4B16" w:rsidRPr="001D4B16" w:rsidRDefault="001D4B16" w:rsidP="001D4B16">
            <w:pPr>
              <w:ind w:firstLine="720"/>
              <w:jc w:val="both"/>
              <w:rPr>
                <w:sz w:val="20"/>
                <w:lang w:val="fr-CA"/>
              </w:rPr>
            </w:pPr>
            <w:r w:rsidRPr="001D4B16">
              <w:rPr>
                <w:sz w:val="20"/>
                <w:lang w:val="fr-CA"/>
              </w:rPr>
              <w:t>La demande d’autorisation d’appel de l’arrêt de la Cour d’appel de l’Ontario, numéro C55980, 2013 ONCA 211, daté du 5 avril 2013, est rejetée avec dépens.</w:t>
            </w:r>
          </w:p>
        </w:tc>
      </w:tr>
    </w:tbl>
    <w:p w:rsidR="00990ADE" w:rsidRPr="001D4B16" w:rsidRDefault="00990ADE" w:rsidP="000E2959">
      <w:pPr>
        <w:rPr>
          <w:sz w:val="20"/>
          <w:szCs w:val="20"/>
          <w:lang w:val="fr-CA"/>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Torts — Duty of care — Corporate sponsors — Where a corporate sponsor of a sporting organization publicly identifies itself as a “partner” of that sporting organization, does it owe a duty of care to members of that sporting organisation, either independently of the sporting organization or event or by virtue of a partnership relationship absent any organizational role in that organization or event — Where a corporate sponsor is identified as a “partner”, beyond alleging the corporate sponsor is a “partner” what, if anything, more is required in a statement of claim to disclose a reasonable cause of action.</w:t>
            </w:r>
          </w:p>
        </w:tc>
      </w:tr>
      <w:tr w:rsidR="006613BD" w:rsidRPr="00B11387" w:rsidTr="008F1BDA">
        <w:tc>
          <w:tcPr>
            <w:tcW w:w="5000" w:type="pct"/>
            <w:gridSpan w:val="3"/>
          </w:tcPr>
          <w:p w:rsidR="006613BD" w:rsidRPr="00B11387" w:rsidRDefault="006613BD" w:rsidP="008F1BDA">
            <w:pPr>
              <w:jc w:val="both"/>
              <w:rPr>
                <w:rFonts w:eastAsia="Calibri"/>
                <w:sz w:val="20"/>
              </w:rPr>
            </w:pPr>
          </w:p>
        </w:tc>
      </w:tr>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During a soccer game organized by the Ontario Soccer Association (the “OSA”) at the Soccerworld facility in Hamilton, Mr. Boudreau was injured and rendered paraplegic.  The OSA’s member insurance covered Mr. Boudreau’s injuries, but was limited to $40,000.  Mr. Boudreau commenced lawsuits against many defendants, including the OSA, Soccerworld, players, referees and the OSA’s corporate sponsors (the Bank of Montreal, Umbro Inc. and Rogers Communications Inc.).</w:t>
            </w:r>
          </w:p>
          <w:p w:rsidR="006613BD" w:rsidRPr="00B11387" w:rsidRDefault="006613BD" w:rsidP="008F1BDA">
            <w:pPr>
              <w:jc w:val="both"/>
              <w:rPr>
                <w:rFonts w:eastAsia="Calibri"/>
                <w:sz w:val="20"/>
              </w:rPr>
            </w:pPr>
          </w:p>
          <w:p w:rsidR="006613BD" w:rsidRPr="00B11387" w:rsidRDefault="006613BD" w:rsidP="008F1BDA">
            <w:pPr>
              <w:jc w:val="both"/>
              <w:rPr>
                <w:rFonts w:eastAsia="Calibri"/>
                <w:sz w:val="20"/>
              </w:rPr>
            </w:pPr>
            <w:r w:rsidRPr="00B11387">
              <w:rPr>
                <w:rFonts w:eastAsia="Calibri"/>
                <w:sz w:val="20"/>
              </w:rPr>
              <w:t xml:space="preserve">In the action against the corporate sponsors, he alleged that they had extensively and publicly identified themselves as corporate partners of OSA and that they were major financial sponsors of the OSA.  He also alleged that the OSA carried inadequate accident insurance for players, that it was foreseeable to the corporate sponsors that a player would get hurt, that the corporate sponsors had a legal duty to inquire into the adequacy of insurance coverage for the players and to ensure that the coverage was adequate. </w:t>
            </w:r>
          </w:p>
          <w:p w:rsidR="006613BD" w:rsidRPr="00B11387" w:rsidRDefault="006613BD" w:rsidP="008F1BDA">
            <w:pPr>
              <w:jc w:val="both"/>
              <w:rPr>
                <w:rFonts w:eastAsia="Calibri"/>
                <w:sz w:val="20"/>
              </w:rPr>
            </w:pPr>
          </w:p>
          <w:p w:rsidR="006613BD" w:rsidRPr="00B11387" w:rsidRDefault="006613BD" w:rsidP="008F1BDA">
            <w:pPr>
              <w:jc w:val="both"/>
              <w:rPr>
                <w:rFonts w:eastAsia="Calibri"/>
                <w:sz w:val="20"/>
              </w:rPr>
            </w:pPr>
            <w:r w:rsidRPr="00B11387">
              <w:rPr>
                <w:rFonts w:eastAsia="Calibri"/>
                <w:sz w:val="20"/>
              </w:rPr>
              <w:t>A motions judge granted a motion to strike the statement of claim on the grounds that it did not disclose a reasonable cause of action.  The appeal was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July 31, 2012</w:t>
            </w:r>
          </w:p>
          <w:p w:rsidR="006613BD" w:rsidRPr="00B11387" w:rsidRDefault="006613BD" w:rsidP="008F1BDA">
            <w:pPr>
              <w:jc w:val="both"/>
              <w:rPr>
                <w:rFonts w:eastAsia="Calibri"/>
                <w:sz w:val="20"/>
              </w:rPr>
            </w:pPr>
            <w:r w:rsidRPr="00B11387">
              <w:rPr>
                <w:rFonts w:eastAsia="Calibri"/>
                <w:sz w:val="20"/>
              </w:rPr>
              <w:t>Ontario Superior Court of Justice</w:t>
            </w:r>
          </w:p>
          <w:p w:rsidR="006613BD" w:rsidRPr="00B11387" w:rsidRDefault="006613BD" w:rsidP="008F1BDA">
            <w:pPr>
              <w:jc w:val="both"/>
              <w:rPr>
                <w:rFonts w:eastAsia="Calibri"/>
                <w:sz w:val="20"/>
              </w:rPr>
            </w:pPr>
            <w:r w:rsidRPr="00B11387">
              <w:rPr>
                <w:rFonts w:eastAsia="Calibri"/>
                <w:sz w:val="20"/>
              </w:rPr>
              <w:t>(Lofchik J.)</w:t>
            </w:r>
          </w:p>
          <w:p w:rsidR="006613BD" w:rsidRPr="00B11387" w:rsidRDefault="006613BD" w:rsidP="008F1BDA">
            <w:pPr>
              <w:jc w:val="both"/>
              <w:rPr>
                <w:rFonts w:eastAsia="Calibri"/>
                <w:sz w:val="20"/>
              </w:rPr>
            </w:pPr>
            <w:r w:rsidRPr="00B11387">
              <w:rPr>
                <w:rFonts w:eastAsia="Calibri"/>
                <w:sz w:val="20"/>
              </w:rPr>
              <w:t>2012 ONSC 3965</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Motion for summary judgment granted, action dismissed as against the Respondent corporate sponsors</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April 5, 2013</w:t>
            </w:r>
          </w:p>
          <w:p w:rsidR="006613BD" w:rsidRPr="00B11387" w:rsidRDefault="006613BD" w:rsidP="008F1BDA">
            <w:pPr>
              <w:jc w:val="both"/>
              <w:rPr>
                <w:rFonts w:eastAsia="Calibri"/>
                <w:sz w:val="20"/>
              </w:rPr>
            </w:pPr>
            <w:r w:rsidRPr="00B11387">
              <w:rPr>
                <w:rFonts w:eastAsia="Calibri"/>
                <w:sz w:val="20"/>
              </w:rPr>
              <w:t>Court of Appeal for Ontario</w:t>
            </w:r>
          </w:p>
          <w:p w:rsidR="006613BD" w:rsidRPr="00B11387" w:rsidRDefault="006613BD" w:rsidP="008F1BDA">
            <w:pPr>
              <w:jc w:val="both"/>
              <w:rPr>
                <w:rFonts w:eastAsia="Calibri"/>
                <w:sz w:val="20"/>
              </w:rPr>
            </w:pPr>
            <w:r w:rsidRPr="00B11387">
              <w:rPr>
                <w:rFonts w:eastAsia="Calibri"/>
                <w:sz w:val="20"/>
              </w:rPr>
              <w:t>(MacFarland, Watt, Pepall JJ.A.)</w:t>
            </w:r>
          </w:p>
          <w:p w:rsidR="006613BD" w:rsidRPr="00B11387" w:rsidRDefault="006613BD" w:rsidP="001D4B16">
            <w:pPr>
              <w:jc w:val="both"/>
              <w:rPr>
                <w:rFonts w:eastAsia="Calibri"/>
                <w:sz w:val="20"/>
              </w:rPr>
            </w:pPr>
            <w:r w:rsidRPr="00B11387">
              <w:rPr>
                <w:rFonts w:eastAsia="Calibri"/>
                <w:sz w:val="20"/>
              </w:rPr>
              <w:t>2013 ONCA 211</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Appeal dismissed</w:t>
            </w:r>
          </w:p>
          <w:p w:rsidR="006613BD" w:rsidRPr="00B11387" w:rsidRDefault="006613BD" w:rsidP="008F1BDA">
            <w:pPr>
              <w:jc w:val="both"/>
              <w:rPr>
                <w:rFonts w:eastAsia="Calibri"/>
                <w:sz w:val="20"/>
              </w:rPr>
            </w:pPr>
          </w:p>
        </w:tc>
      </w:tr>
    </w:tbl>
    <w:p w:rsidR="001D4B16" w:rsidRDefault="001D4B16"/>
    <w:p w:rsidR="001D4B16" w:rsidRDefault="001D4B16">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1D4B16">
        <w:trPr>
          <w:cantSplit/>
        </w:trPr>
        <w:tc>
          <w:tcPr>
            <w:tcW w:w="2427" w:type="pct"/>
          </w:tcPr>
          <w:p w:rsidR="006613BD" w:rsidRPr="00B11387" w:rsidRDefault="006613BD" w:rsidP="008F1BDA">
            <w:pPr>
              <w:jc w:val="both"/>
              <w:rPr>
                <w:rFonts w:eastAsia="Calibri"/>
                <w:sz w:val="20"/>
              </w:rPr>
            </w:pPr>
            <w:r w:rsidRPr="00B11387">
              <w:rPr>
                <w:rFonts w:eastAsia="Calibri"/>
                <w:sz w:val="20"/>
              </w:rPr>
              <w:lastRenderedPageBreak/>
              <w:t>June 4,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40"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Responsabilité délictuelle — Obligation de diligence — Sociétés commanditaires — Lorsqu'une société commanditaire d'un organisme sportif s'identifie publiquement comme un « partenaire » de cet organisme, a-t-elle une obligation de diligence envers les membres de cet organisme, que ce soit indépendamment de l'organisme ou de l'événement sportif ou en vertu d'une relation de partenariat en l’absence de tout rôle organisationnel dans cet organisme ou événement? — Lorsqu'une société commanditaire est identifiée comme partenaire, en plus d’alléguer que la société commanditaire est « partenaire », que faut-il alléguer en outre, le cas échéant, dans une déclaration pour révéler une cause raisonnable d'action?</w:t>
            </w:r>
          </w:p>
        </w:tc>
      </w:tr>
      <w:tr w:rsidR="006613BD" w:rsidRPr="008138B5" w:rsidTr="008F1BDA">
        <w:tc>
          <w:tcPr>
            <w:tcW w:w="5000" w:type="pct"/>
            <w:gridSpan w:val="3"/>
          </w:tcPr>
          <w:p w:rsidR="006613BD" w:rsidRPr="00B11387" w:rsidRDefault="006613BD" w:rsidP="008F1BDA">
            <w:pPr>
              <w:jc w:val="both"/>
              <w:rPr>
                <w:rFonts w:eastAsia="Calibri"/>
                <w:sz w:val="20"/>
                <w:lang w:val="fr-CA"/>
              </w:rPr>
            </w:pPr>
          </w:p>
        </w:tc>
      </w:tr>
      <w:tr w:rsidR="006613BD" w:rsidRPr="00B11387"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Au cours d'un match de soccer organisé par l’Ontario Soccer Association (l’ « OSA ») à l'installation Soccerworld à Hamilton, M. Boudreau a subi une blessure qui l’a rendu paraplégique.  L’assurance des membres de l’OSA couvrait les blessures de M. Boudreau, mais jusqu'à concurrence de 40 000 $ seulement.  Monsieur Boudreau a intenté des poursuites contre plusieurs défendeurs, y compris l’OSA, Soccerworld, les joueurs, les arbitres, et les sociétés commanditaires de l’OSA (la Banque de Montréal, Umbro Inc. et Rogers Communications Inc.).</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r w:rsidRPr="00B11387">
              <w:rPr>
                <w:rFonts w:eastAsia="Calibri"/>
                <w:sz w:val="20"/>
                <w:lang w:val="fr-CA"/>
              </w:rPr>
              <w:t xml:space="preserve">Dans l'action contre les sociétés commanditaires, il a allégué que celles-ci s'étaient largement et publiquement identifiées comme les sociétés partenaires de l’OSA et qu'elles étaient d'importants commanditaires financiers de l’OSA. Il a également allégué que l’OSA avait souscrit à une assurance accident insuffisante pour les joueurs, que les sociétés commanditaires pouvaient prévoir qu’un joueur serait blessé, que les sociétés commanditaires avaient l’obligation légale de s'enquérir sur le caractère suffisant de l’assurance pour les joueurs et de veiller à ce que l'assurance soit suffisante. </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r w:rsidRPr="00B11387">
              <w:rPr>
                <w:rFonts w:eastAsia="Calibri"/>
                <w:sz w:val="20"/>
                <w:lang w:val="fr-CA"/>
              </w:rPr>
              <w:t>Un juge a accueilli une motion en radiation de la déclaration au motif qu'elle ne révélait aucune cause raisonnable d'action. L'appel a été rejeté.</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31 juillet 2012</w:t>
            </w:r>
          </w:p>
          <w:p w:rsidR="006613BD" w:rsidRPr="00B11387" w:rsidRDefault="006613BD" w:rsidP="008F1BDA">
            <w:pPr>
              <w:jc w:val="both"/>
              <w:rPr>
                <w:rFonts w:eastAsia="Calibri"/>
                <w:sz w:val="20"/>
                <w:lang w:val="fr-CA"/>
              </w:rPr>
            </w:pPr>
            <w:r w:rsidRPr="00B11387">
              <w:rPr>
                <w:rFonts w:eastAsia="Calibri"/>
                <w:sz w:val="20"/>
                <w:lang w:val="fr-CA"/>
              </w:rPr>
              <w:t>Cour supérieure de justice de l'Ontario</w:t>
            </w:r>
          </w:p>
          <w:p w:rsidR="006613BD" w:rsidRPr="00B11387" w:rsidRDefault="006613BD" w:rsidP="008F1BDA">
            <w:pPr>
              <w:jc w:val="both"/>
              <w:rPr>
                <w:rFonts w:eastAsia="Calibri"/>
                <w:sz w:val="20"/>
                <w:lang w:val="fr-CA"/>
              </w:rPr>
            </w:pPr>
            <w:r w:rsidRPr="00B11387">
              <w:rPr>
                <w:rFonts w:eastAsia="Calibri"/>
                <w:sz w:val="20"/>
                <w:lang w:val="fr-CA"/>
              </w:rPr>
              <w:t>(Juge Lofchik)</w:t>
            </w:r>
          </w:p>
          <w:p w:rsidR="006613BD" w:rsidRPr="00B11387" w:rsidRDefault="006613BD" w:rsidP="008F1BDA">
            <w:pPr>
              <w:jc w:val="both"/>
              <w:rPr>
                <w:rFonts w:eastAsia="Calibri"/>
                <w:sz w:val="20"/>
                <w:lang w:val="fr-CA"/>
              </w:rPr>
            </w:pPr>
            <w:r w:rsidRPr="00B11387">
              <w:rPr>
                <w:rFonts w:eastAsia="Calibri"/>
                <w:sz w:val="20"/>
                <w:lang w:val="fr-CA"/>
              </w:rPr>
              <w:t>2012 ONSC 3965</w:t>
            </w:r>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Motion en jugement sommaire, accueillie; action contre les sociétés commanditaires intimées, rejetée</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5 avril 2013</w:t>
            </w:r>
          </w:p>
          <w:p w:rsidR="006613BD" w:rsidRPr="00B11387" w:rsidRDefault="006613BD" w:rsidP="008F1BDA">
            <w:pPr>
              <w:jc w:val="both"/>
              <w:rPr>
                <w:rFonts w:eastAsia="Calibri"/>
                <w:sz w:val="20"/>
                <w:lang w:val="fr-CA"/>
              </w:rPr>
            </w:pPr>
            <w:r w:rsidRPr="00B11387">
              <w:rPr>
                <w:rFonts w:eastAsia="Calibri"/>
                <w:sz w:val="20"/>
                <w:lang w:val="fr-CA"/>
              </w:rPr>
              <w:t>Cour d'appel de l'Ontario</w:t>
            </w:r>
          </w:p>
          <w:p w:rsidR="006613BD" w:rsidRPr="00B11387" w:rsidRDefault="006613BD" w:rsidP="008F1BDA">
            <w:pPr>
              <w:jc w:val="both"/>
              <w:rPr>
                <w:rFonts w:eastAsia="Calibri"/>
                <w:sz w:val="20"/>
                <w:lang w:val="fr-CA"/>
              </w:rPr>
            </w:pPr>
            <w:r w:rsidRPr="00B11387">
              <w:rPr>
                <w:rFonts w:eastAsia="Calibri"/>
                <w:sz w:val="20"/>
                <w:lang w:val="fr-CA"/>
              </w:rPr>
              <w:t>(Juges MacFarland, Watt et Pepall)</w:t>
            </w:r>
          </w:p>
          <w:p w:rsidR="006613BD" w:rsidRPr="00B11387" w:rsidRDefault="006613BD" w:rsidP="008F1BDA">
            <w:pPr>
              <w:jc w:val="both"/>
              <w:rPr>
                <w:rFonts w:eastAsia="Calibri"/>
                <w:sz w:val="20"/>
                <w:lang w:val="fr-CA"/>
              </w:rPr>
            </w:pPr>
            <w:r w:rsidRPr="00B11387">
              <w:rPr>
                <w:rFonts w:eastAsia="Calibri"/>
                <w:sz w:val="20"/>
                <w:lang w:val="fr-CA"/>
              </w:rPr>
              <w:t>2013 ONCA 211</w:t>
            </w:r>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Appel rejeté</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4 juin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tc>
      </w:tr>
    </w:tbl>
    <w:p w:rsidR="00990ADE" w:rsidRDefault="00990ADE" w:rsidP="000E2959">
      <w:pPr>
        <w:rPr>
          <w:sz w:val="20"/>
          <w:szCs w:val="20"/>
        </w:rPr>
      </w:pPr>
    </w:p>
    <w:p w:rsidR="00990ADE" w:rsidRDefault="008138B5" w:rsidP="000E2959">
      <w:pPr>
        <w:rPr>
          <w:sz w:val="20"/>
          <w:szCs w:val="20"/>
          <w:lang w:val="fr-CA"/>
        </w:rPr>
      </w:pPr>
      <w:r>
        <w:rPr>
          <w:sz w:val="20"/>
          <w:szCs w:val="20"/>
          <w:lang w:val="fr-CA"/>
        </w:rPr>
        <w:pict>
          <v:rect id="_x0000_i1041" style="width:2in;height:1pt" o:hrpct="0" o:hralign="center" o:hrstd="t" o:hrnoshade="t" o:hr="t" fillcolor="black [3213]" stroked="f"/>
        </w:pict>
      </w:r>
    </w:p>
    <w:p w:rsidR="001D4B16" w:rsidRDefault="001D4B16">
      <w:pPr>
        <w:rPr>
          <w:sz w:val="20"/>
          <w:szCs w:val="20"/>
          <w:lang w:val="fr-CA"/>
        </w:rPr>
      </w:pPr>
    </w:p>
    <w:p w:rsidR="001D4B16" w:rsidRDefault="001D4B16">
      <w:pPr>
        <w:rPr>
          <w:sz w:val="20"/>
          <w:szCs w:val="20"/>
          <w:lang w:val="fr-CA"/>
        </w:rPr>
      </w:pPr>
      <w:r>
        <w:rPr>
          <w:sz w:val="20"/>
          <w:szCs w:val="20"/>
          <w:lang w:val="fr-CA"/>
        </w:rPr>
        <w:br w:type="page"/>
      </w: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8138B5" w:rsidTr="001D4B16">
        <w:trPr>
          <w:cantSplit/>
        </w:trPr>
        <w:tc>
          <w:tcPr>
            <w:tcW w:w="1458" w:type="dxa"/>
          </w:tcPr>
          <w:p w:rsidR="001D4B16" w:rsidRPr="001D4B16" w:rsidRDefault="001D4B16" w:rsidP="001D4B16">
            <w:pPr>
              <w:rPr>
                <w:sz w:val="20"/>
              </w:rPr>
            </w:pPr>
            <w:r w:rsidRPr="001D4B16">
              <w:rPr>
                <w:b/>
                <w:sz w:val="20"/>
                <w:lang w:val="fr-CA"/>
              </w:rPr>
              <w:lastRenderedPageBreak/>
              <w:t>35401</w:t>
            </w:r>
          </w:p>
          <w:p w:rsidR="001D4B16" w:rsidRPr="001D4B16" w:rsidRDefault="001D4B16" w:rsidP="001D4B16">
            <w:pPr>
              <w:rPr>
                <w:b/>
                <w:sz w:val="20"/>
                <w:lang w:val="fr-CA"/>
              </w:rPr>
            </w:pPr>
          </w:p>
        </w:tc>
        <w:tc>
          <w:tcPr>
            <w:tcW w:w="8118" w:type="dxa"/>
          </w:tcPr>
          <w:p w:rsidR="001D4B16" w:rsidRPr="001D4B16" w:rsidRDefault="001D4B16" w:rsidP="001D4B16">
            <w:pPr>
              <w:jc w:val="both"/>
              <w:rPr>
                <w:sz w:val="20"/>
                <w:lang w:val="fr-CA"/>
              </w:rPr>
            </w:pPr>
            <w:r w:rsidRPr="001D4B16">
              <w:rPr>
                <w:b/>
                <w:sz w:val="20"/>
                <w:u w:val="single"/>
                <w:lang w:val="fr-CA"/>
              </w:rPr>
              <w:t>Dupuis Paquin avocats et conseillers d'affaires inc. c. Agence du revenu du Québec</w:t>
            </w:r>
            <w:r w:rsidR="004C1878">
              <w:rPr>
                <w:b/>
                <w:sz w:val="20"/>
                <w:u w:val="single"/>
                <w:lang w:val="fr-CA"/>
              </w:rPr>
              <w:t xml:space="preserve"> et</w:t>
            </w:r>
            <w:r w:rsidRPr="001D4B16">
              <w:rPr>
                <w:b/>
                <w:sz w:val="20"/>
                <w:u w:val="single"/>
                <w:lang w:val="fr-CA"/>
              </w:rPr>
              <w:t xml:space="preserve"> Procureur général du Québec</w:t>
            </w:r>
            <w:r w:rsidRPr="001D4B16">
              <w:rPr>
                <w:sz w:val="20"/>
                <w:lang w:val="fr-CA"/>
              </w:rPr>
              <w:t xml:space="preserve"> (Qc) (Civile) (Autorisation)</w:t>
            </w:r>
          </w:p>
          <w:p w:rsidR="001D4B16" w:rsidRPr="001D4B16" w:rsidRDefault="001D4B16" w:rsidP="001D4B16">
            <w:pPr>
              <w:jc w:val="both"/>
              <w:rPr>
                <w:sz w:val="20"/>
                <w:lang w:val="fr-CA"/>
              </w:rPr>
            </w:pPr>
          </w:p>
        </w:tc>
      </w:tr>
      <w:tr w:rsidR="001D4B16" w:rsidRPr="008138B5" w:rsidTr="001D4B16">
        <w:trPr>
          <w:cantSplit/>
        </w:trPr>
        <w:tc>
          <w:tcPr>
            <w:tcW w:w="1458" w:type="dxa"/>
          </w:tcPr>
          <w:p w:rsidR="001D4B16" w:rsidRPr="001D4B16" w:rsidRDefault="001D4B16" w:rsidP="001D4B16">
            <w:pPr>
              <w:rPr>
                <w:sz w:val="20"/>
              </w:rPr>
            </w:pPr>
            <w:r w:rsidRPr="001D4B16">
              <w:rPr>
                <w:sz w:val="20"/>
              </w:rPr>
              <w:t>Coram :</w:t>
            </w:r>
          </w:p>
        </w:tc>
        <w:tc>
          <w:tcPr>
            <w:tcW w:w="8118" w:type="dxa"/>
          </w:tcPr>
          <w:p w:rsidR="001D4B16" w:rsidRPr="001D4B16" w:rsidRDefault="001D4B16" w:rsidP="001D4B16">
            <w:pPr>
              <w:rPr>
                <w:sz w:val="20"/>
                <w:lang w:val="fr-CA"/>
              </w:rPr>
            </w:pPr>
            <w:r w:rsidRPr="001D4B16">
              <w:rPr>
                <w:sz w:val="20"/>
                <w:u w:val="single"/>
                <w:lang w:val="fr-CA"/>
              </w:rPr>
              <w:t>Les juges LeBel, Karakatsanis et Wagner</w:t>
            </w:r>
          </w:p>
          <w:p w:rsidR="001D4B16" w:rsidRPr="001D4B16" w:rsidRDefault="001D4B16" w:rsidP="001D4B16">
            <w:pPr>
              <w:rPr>
                <w:sz w:val="20"/>
                <w:u w:val="single"/>
                <w:lang w:val="fr-CA"/>
              </w:rPr>
            </w:pPr>
          </w:p>
        </w:tc>
      </w:tr>
      <w:tr w:rsidR="001D4B16" w:rsidRPr="001D4B16" w:rsidTr="001D4B16">
        <w:trPr>
          <w:cantSplit/>
        </w:trPr>
        <w:tc>
          <w:tcPr>
            <w:tcW w:w="9576" w:type="dxa"/>
            <w:gridSpan w:val="2"/>
          </w:tcPr>
          <w:p w:rsidR="001D4B16" w:rsidRPr="001D4B16" w:rsidRDefault="001D4B16" w:rsidP="001D4B16">
            <w:pPr>
              <w:ind w:firstLine="720"/>
              <w:jc w:val="both"/>
              <w:rPr>
                <w:sz w:val="20"/>
                <w:lang w:val="fr-CA"/>
              </w:rPr>
            </w:pPr>
            <w:r w:rsidRPr="001D4B16">
              <w:rPr>
                <w:sz w:val="20"/>
                <w:lang w:val="fr-CA"/>
              </w:rPr>
              <w:t>La demande d’autorisation d’appel de l’arrêt de la Cour d’appel du Québec (Montréal), numéro 500-09-023260-136, 2013 QCCA 637, daté du 8 avril 2013, est rejetée avec dépens.</w:t>
            </w:r>
          </w:p>
          <w:p w:rsidR="001D4B16" w:rsidRPr="001D4B16" w:rsidRDefault="001D4B16" w:rsidP="001D4B16">
            <w:pPr>
              <w:jc w:val="both"/>
              <w:rPr>
                <w:sz w:val="20"/>
                <w:lang w:val="fr-CA"/>
              </w:rPr>
            </w:pPr>
          </w:p>
          <w:p w:rsidR="001D4B16" w:rsidRPr="001D4B16" w:rsidRDefault="001D4B16" w:rsidP="001D4B16">
            <w:pPr>
              <w:ind w:firstLine="720"/>
              <w:jc w:val="both"/>
              <w:rPr>
                <w:sz w:val="20"/>
              </w:rPr>
            </w:pPr>
            <w:r w:rsidRPr="001D4B16">
              <w:rPr>
                <w:sz w:val="20"/>
              </w:rPr>
              <w:t>The application for leave to appeal from the judgment of the Court of Appeal of Quebec (Montréal), Number 500-09-023260-136, 2013 QCCA 637, dated April 8, 2013, is dismissed with costs.</w:t>
            </w:r>
          </w:p>
        </w:tc>
      </w:tr>
    </w:tbl>
    <w:p w:rsidR="00990ADE" w:rsidRDefault="00990ADE" w:rsidP="000E2959">
      <w:pPr>
        <w:rPr>
          <w:sz w:val="20"/>
          <w:szCs w:val="20"/>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 xml:space="preserve">Contracts — Assignment of claim — Legislation — Interpretation — Advocate taking on client with assignment of client’s possible claim against tax authority up to amount of fees — Characterization of juridical act in issue — Whether assignment of client’s future claim to advocate as fees constitutes sale of litigious rights — Whether assignment in issue valid — Whether assignment in issue part of assigning taxpayer’s confidential tax record — </w:t>
            </w:r>
            <w:r w:rsidRPr="00B11387">
              <w:rPr>
                <w:rFonts w:eastAsia="Calibri"/>
                <w:i/>
                <w:sz w:val="20"/>
              </w:rPr>
              <w:t>Civil Code of Québec</w:t>
            </w:r>
            <w:r w:rsidRPr="00B11387">
              <w:rPr>
                <w:rFonts w:eastAsia="Calibri"/>
                <w:sz w:val="20"/>
              </w:rPr>
              <w:t xml:space="preserve">, S.Q. 1991, c. 64, arts. 1637, 1639, 1641, 1783 — </w:t>
            </w:r>
            <w:r w:rsidRPr="00B11387">
              <w:rPr>
                <w:rFonts w:eastAsia="Calibri"/>
                <w:i/>
                <w:sz w:val="20"/>
              </w:rPr>
              <w:t>Code of ethics of advocates</w:t>
            </w:r>
            <w:r w:rsidRPr="00B11387">
              <w:rPr>
                <w:rFonts w:eastAsia="Calibri"/>
                <w:sz w:val="20"/>
              </w:rPr>
              <w:t>, R.R.Q. c. B</w:t>
            </w:r>
            <w:r w:rsidRPr="00B11387">
              <w:rPr>
                <w:rFonts w:eastAsia="Calibri"/>
                <w:sz w:val="20"/>
              </w:rPr>
              <w:noBreakHyphen/>
              <w:t xml:space="preserve">1, r. 3, s. 3.05.08 — </w:t>
            </w:r>
            <w:r w:rsidRPr="00B11387">
              <w:rPr>
                <w:rFonts w:eastAsia="Calibri"/>
                <w:i/>
                <w:sz w:val="20"/>
              </w:rPr>
              <w:t>Tax Administration Act</w:t>
            </w:r>
            <w:r w:rsidRPr="00B11387">
              <w:rPr>
                <w:rFonts w:eastAsia="Calibri"/>
                <w:sz w:val="20"/>
              </w:rPr>
              <w:t>, R.S.Q. c. A</w:t>
            </w:r>
            <w:r w:rsidRPr="00B11387">
              <w:rPr>
                <w:rFonts w:eastAsia="Calibri"/>
                <w:sz w:val="20"/>
              </w:rPr>
              <w:noBreakHyphen/>
              <w:t>6.002, s. 69.</w:t>
            </w:r>
          </w:p>
        </w:tc>
      </w:tr>
      <w:tr w:rsidR="006613BD" w:rsidRPr="00B11387" w:rsidTr="008F1BDA">
        <w:tc>
          <w:tcPr>
            <w:tcW w:w="5000" w:type="pct"/>
            <w:gridSpan w:val="3"/>
          </w:tcPr>
          <w:p w:rsidR="006613BD" w:rsidRPr="00B11387" w:rsidRDefault="006613BD" w:rsidP="008F1BDA">
            <w:pPr>
              <w:jc w:val="both"/>
              <w:rPr>
                <w:rFonts w:eastAsia="Calibri"/>
                <w:sz w:val="20"/>
              </w:rPr>
            </w:pPr>
          </w:p>
        </w:tc>
      </w:tr>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 xml:space="preserve">The intervener taxpayers were in a litigious relationship with the respondent tax authority.  The applicant law firm agreed to represent the taxpayers in consideration of the assignment of a potential claim against the tax authority up to the amount of the applicant’s fees.  Upon being informed of the agreement by the applicant, the respondents challenged its validity.  On the other hand, the applicant firm maintained that the agreement was part of the taxpayers’ tax record and should not be disclosed for fear of triggering a wave of seizures before judgment by other creditors. </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December 10, 2012</w:t>
            </w:r>
          </w:p>
          <w:p w:rsidR="006613BD" w:rsidRPr="00B11387" w:rsidRDefault="006613BD" w:rsidP="008F1BDA">
            <w:pPr>
              <w:jc w:val="both"/>
              <w:rPr>
                <w:rFonts w:eastAsia="Calibri"/>
                <w:sz w:val="20"/>
              </w:rPr>
            </w:pPr>
            <w:r w:rsidRPr="00B11387">
              <w:rPr>
                <w:rFonts w:eastAsia="Calibri"/>
                <w:sz w:val="20"/>
              </w:rPr>
              <w:t>Quebec Superior Court</w:t>
            </w:r>
          </w:p>
          <w:p w:rsidR="006613BD" w:rsidRPr="00B11387" w:rsidRDefault="006613BD" w:rsidP="008F1BDA">
            <w:pPr>
              <w:jc w:val="both"/>
              <w:rPr>
                <w:rFonts w:eastAsia="Calibri"/>
                <w:sz w:val="20"/>
              </w:rPr>
            </w:pPr>
            <w:r w:rsidRPr="00B11387">
              <w:rPr>
                <w:rFonts w:eastAsia="Calibri"/>
                <w:sz w:val="20"/>
              </w:rPr>
              <w:t>(Reimnitz J.)</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Respondents’ motion allowed; assignment of claim between intervener taxpayers and applicant advocates declared absolutely null as sale of litigious rights</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April 8, 2013</w:t>
            </w:r>
          </w:p>
          <w:p w:rsidR="006613BD" w:rsidRPr="00B11387" w:rsidRDefault="006613BD" w:rsidP="008F1BDA">
            <w:pPr>
              <w:jc w:val="both"/>
              <w:rPr>
                <w:rFonts w:eastAsia="Calibri"/>
                <w:sz w:val="20"/>
              </w:rPr>
            </w:pPr>
            <w:r w:rsidRPr="00B11387">
              <w:rPr>
                <w:rFonts w:eastAsia="Calibri"/>
                <w:sz w:val="20"/>
              </w:rPr>
              <w:t>Quebec Court of Appeal (Montréal)</w:t>
            </w:r>
          </w:p>
          <w:p w:rsidR="006613BD" w:rsidRPr="00B11387" w:rsidRDefault="006613BD" w:rsidP="008F1BDA">
            <w:pPr>
              <w:jc w:val="both"/>
              <w:rPr>
                <w:rFonts w:eastAsia="Calibri"/>
                <w:sz w:val="20"/>
              </w:rPr>
            </w:pPr>
            <w:r w:rsidRPr="00B11387">
              <w:rPr>
                <w:rFonts w:eastAsia="Calibri"/>
                <w:sz w:val="20"/>
              </w:rPr>
              <w:t>(Morissette, Bich and Gascon JJ.A.)</w:t>
            </w:r>
          </w:p>
          <w:p w:rsidR="006613BD" w:rsidRPr="00B11387" w:rsidRDefault="008138B5" w:rsidP="008F1BDA">
            <w:pPr>
              <w:jc w:val="both"/>
              <w:rPr>
                <w:rFonts w:eastAsia="Calibri"/>
                <w:sz w:val="20"/>
              </w:rPr>
            </w:pPr>
            <w:hyperlink r:id="rId24" w:history="1">
              <w:r w:rsidR="006613BD" w:rsidRPr="00B11387">
                <w:rPr>
                  <w:rFonts w:eastAsia="Calibri"/>
                  <w:color w:val="0000FF"/>
                  <w:sz w:val="20"/>
                  <w:u w:val="single"/>
                </w:rPr>
                <w:t>2013 QCCA 637</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Respondent’s preliminary motion to dismiss appeal allowed; appeal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June 7,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42"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lang w:val="fr-CA"/>
              </w:rPr>
              <w:t xml:space="preserve">Contrats – Cession de créance – Législation – Interprétation </w:t>
            </w:r>
            <w:r w:rsidRPr="00B11387">
              <w:rPr>
                <w:rFonts w:eastAsia="Calibri"/>
                <w:sz w:val="20"/>
                <w:lang w:val="fr-CA"/>
              </w:rPr>
              <w:noBreakHyphen/>
              <w:t xml:space="preserve"> Avocat s’engageant pour son client avec cession de la possible créance de ce dernier contre le fisc jusqu’à concurrence du montant des honoraires – Qualification de l’acte juridique en litige – Une cession de créance future du client à son avocat pour valoir d’honoraires constitue</w:t>
            </w:r>
            <w:r w:rsidRPr="00B11387">
              <w:rPr>
                <w:rFonts w:eastAsia="Calibri"/>
                <w:sz w:val="20"/>
                <w:lang w:val="fr-CA"/>
              </w:rPr>
              <w:noBreakHyphen/>
              <w:t>t</w:t>
            </w:r>
            <w:r w:rsidRPr="00B11387">
              <w:rPr>
                <w:rFonts w:eastAsia="Calibri"/>
                <w:sz w:val="20"/>
                <w:lang w:val="fr-CA"/>
              </w:rPr>
              <w:noBreakHyphen/>
              <w:t>elle une vente de droits litigieux? – La cession en litige est</w:t>
            </w:r>
            <w:r w:rsidRPr="00B11387">
              <w:rPr>
                <w:rFonts w:eastAsia="Calibri"/>
                <w:sz w:val="20"/>
                <w:lang w:val="fr-CA"/>
              </w:rPr>
              <w:noBreakHyphen/>
              <w:t>elle valide? – La cession en litige fait</w:t>
            </w:r>
            <w:r w:rsidRPr="00B11387">
              <w:rPr>
                <w:rFonts w:eastAsia="Calibri"/>
                <w:sz w:val="20"/>
                <w:lang w:val="fr-CA"/>
              </w:rPr>
              <w:noBreakHyphen/>
              <w:t xml:space="preserve">elle partie du dossier fiscal confidentiel du contribuable cédant? – </w:t>
            </w:r>
            <w:r w:rsidRPr="00B11387">
              <w:rPr>
                <w:rFonts w:eastAsia="Calibri"/>
                <w:i/>
                <w:sz w:val="20"/>
                <w:lang w:val="fr-CA"/>
              </w:rPr>
              <w:t>Code civil du Québec</w:t>
            </w:r>
            <w:r w:rsidRPr="00B11387">
              <w:rPr>
                <w:rFonts w:eastAsia="Calibri"/>
                <w:sz w:val="20"/>
                <w:lang w:val="fr-CA"/>
              </w:rPr>
              <w:t xml:space="preserve">, L.Q. 1991, ch. 64, art. 1637, 1639, 1641, 1783 – </w:t>
            </w:r>
            <w:r w:rsidRPr="00B11387">
              <w:rPr>
                <w:rFonts w:eastAsia="Calibri"/>
                <w:i/>
                <w:sz w:val="20"/>
                <w:lang w:val="fr-CA"/>
              </w:rPr>
              <w:t>Code de déontologie des avocats</w:t>
            </w:r>
            <w:r w:rsidRPr="00B11387">
              <w:rPr>
                <w:rFonts w:eastAsia="Calibri"/>
                <w:sz w:val="20"/>
                <w:lang w:val="fr-CA"/>
              </w:rPr>
              <w:t>, R.R.Q. ch. B</w:t>
            </w:r>
            <w:r w:rsidRPr="00B11387">
              <w:rPr>
                <w:rFonts w:eastAsia="Calibri"/>
                <w:sz w:val="20"/>
                <w:lang w:val="fr-CA"/>
              </w:rPr>
              <w:noBreakHyphen/>
              <w:t xml:space="preserve">1, r. 3, art. 3.05.08 – </w:t>
            </w:r>
            <w:r w:rsidRPr="00B11387">
              <w:rPr>
                <w:rFonts w:eastAsia="Calibri"/>
                <w:i/>
                <w:sz w:val="20"/>
                <w:lang w:val="fr-CA"/>
              </w:rPr>
              <w:t>Loi sur l’administration fiscale</w:t>
            </w:r>
            <w:r w:rsidRPr="00B11387">
              <w:rPr>
                <w:rFonts w:eastAsia="Calibri"/>
                <w:sz w:val="20"/>
                <w:lang w:val="fr-CA"/>
              </w:rPr>
              <w:t>, L.R.Q. ch. A</w:t>
            </w:r>
            <w:r w:rsidRPr="00B11387">
              <w:rPr>
                <w:rFonts w:eastAsia="Calibri"/>
                <w:sz w:val="20"/>
                <w:lang w:val="fr-CA"/>
              </w:rPr>
              <w:noBreakHyphen/>
              <w:t>6.002, art. 69.</w:t>
            </w:r>
          </w:p>
        </w:tc>
      </w:tr>
      <w:tr w:rsidR="006613BD" w:rsidRPr="00B11387" w:rsidTr="008F1BDA">
        <w:tc>
          <w:tcPr>
            <w:tcW w:w="5000" w:type="pct"/>
            <w:gridSpan w:val="3"/>
          </w:tcPr>
          <w:p w:rsidR="006613BD" w:rsidRPr="00B11387" w:rsidRDefault="006613BD" w:rsidP="008F1BDA">
            <w:pPr>
              <w:jc w:val="both"/>
              <w:rPr>
                <w:rFonts w:eastAsia="Calibri"/>
                <w:sz w:val="20"/>
                <w:lang w:val="fr-CA"/>
              </w:rPr>
            </w:pPr>
          </w:p>
        </w:tc>
      </w:tr>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 xml:space="preserve">Les contribuables intervenants sont en relation litigieuse avec l’autorité fiscale intimée.  La firme d’avocats demanderesse accepte de les représenter en contrepartie d’une cession de créance éventuelle contre le fisc, jusqu’à concurrence du montant des honoraires. Les intimés, informés de l’entente par la demanderesse, en contestent la validité.  Selon la firme demanderesse, par ailleurs, l’entente fait partie du dossier fiscal des contribuables et ne doit pas être divulguée, sous peine de provoquer une pluie de saisies avant jugement venant d’autres créanciers. </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Le 10 décembre 2012</w:t>
            </w:r>
          </w:p>
          <w:p w:rsidR="006613BD" w:rsidRPr="00B11387" w:rsidRDefault="006613BD" w:rsidP="008F1BDA">
            <w:pPr>
              <w:jc w:val="both"/>
              <w:rPr>
                <w:rFonts w:eastAsia="Calibri"/>
                <w:sz w:val="20"/>
                <w:lang w:val="fr-CA"/>
              </w:rPr>
            </w:pPr>
            <w:r w:rsidRPr="00B11387">
              <w:rPr>
                <w:rFonts w:eastAsia="Calibri"/>
                <w:sz w:val="20"/>
                <w:lang w:val="fr-CA"/>
              </w:rPr>
              <w:t>Cour supérieure du Québec</w:t>
            </w:r>
          </w:p>
          <w:p w:rsidR="006613BD" w:rsidRPr="00B11387" w:rsidRDefault="006613BD" w:rsidP="008F1BDA">
            <w:pPr>
              <w:jc w:val="both"/>
              <w:rPr>
                <w:rFonts w:eastAsia="Calibri"/>
                <w:sz w:val="20"/>
                <w:lang w:val="fr-CA"/>
              </w:rPr>
            </w:pPr>
            <w:r w:rsidRPr="00B11387">
              <w:rPr>
                <w:rFonts w:eastAsia="Calibri"/>
                <w:sz w:val="20"/>
                <w:lang w:val="fr-CA"/>
              </w:rPr>
              <w:t>(Le juge Reimnitz)</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Requête des intimés accueillie; cession de créance survenue entre les contribuables intervenants et les avocats demandeurs déclarée nulle de nullité absolue en tant que vente de droits litigieux.</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Le 8 avril 2013</w:t>
            </w:r>
          </w:p>
          <w:p w:rsidR="006613BD" w:rsidRPr="00B11387" w:rsidRDefault="006613BD" w:rsidP="008F1BDA">
            <w:pPr>
              <w:jc w:val="both"/>
              <w:rPr>
                <w:rFonts w:eastAsia="Calibri"/>
                <w:sz w:val="20"/>
                <w:lang w:val="fr-CA"/>
              </w:rPr>
            </w:pPr>
            <w:r w:rsidRPr="00B11387">
              <w:rPr>
                <w:rFonts w:eastAsia="Calibri"/>
                <w:sz w:val="20"/>
                <w:lang w:val="fr-CA"/>
              </w:rPr>
              <w:t>Cour d’appel du Québec (Montréal)</w:t>
            </w:r>
          </w:p>
          <w:p w:rsidR="006613BD" w:rsidRPr="00B11387" w:rsidRDefault="006613BD" w:rsidP="008F1BDA">
            <w:pPr>
              <w:jc w:val="both"/>
              <w:rPr>
                <w:rFonts w:eastAsia="Calibri"/>
                <w:sz w:val="20"/>
                <w:lang w:val="fr-CA"/>
              </w:rPr>
            </w:pPr>
            <w:r w:rsidRPr="00B11387">
              <w:rPr>
                <w:rFonts w:eastAsia="Calibri"/>
                <w:sz w:val="20"/>
                <w:lang w:val="fr-CA"/>
              </w:rPr>
              <w:t>(Les juges Morissette, Bich et Gascon)</w:t>
            </w:r>
          </w:p>
          <w:p w:rsidR="006613BD" w:rsidRPr="00B11387" w:rsidRDefault="008138B5" w:rsidP="008F1BDA">
            <w:pPr>
              <w:jc w:val="both"/>
              <w:rPr>
                <w:rFonts w:eastAsia="Calibri"/>
                <w:sz w:val="20"/>
                <w:lang w:val="fr-CA"/>
              </w:rPr>
            </w:pPr>
            <w:hyperlink r:id="rId25" w:history="1">
              <w:r w:rsidR="006613BD" w:rsidRPr="00B11387">
                <w:rPr>
                  <w:rFonts w:eastAsia="Calibri"/>
                  <w:color w:val="0000FF"/>
                  <w:sz w:val="20"/>
                  <w:u w:val="single"/>
                  <w:lang w:val="fr-CA"/>
                </w:rPr>
                <w:t>2013 QCCA 637</w:t>
              </w:r>
            </w:hyperlink>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Requête préliminaire de l’intimée en rejet d’appel accueillie; appel rejeté.</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Le 7 juin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p w:rsidR="006613BD" w:rsidRPr="00B11387" w:rsidRDefault="006613BD" w:rsidP="008F1BDA">
            <w:pPr>
              <w:jc w:val="both"/>
              <w:rPr>
                <w:rFonts w:eastAsia="Calibri"/>
                <w:sz w:val="20"/>
                <w:lang w:val="fr-CA"/>
              </w:rPr>
            </w:pPr>
          </w:p>
        </w:tc>
      </w:tr>
    </w:tbl>
    <w:p w:rsidR="00990ADE" w:rsidRDefault="00990ADE" w:rsidP="00990ADE">
      <w:pPr>
        <w:rPr>
          <w:sz w:val="20"/>
          <w:szCs w:val="20"/>
        </w:rPr>
      </w:pPr>
    </w:p>
    <w:p w:rsidR="00990ADE" w:rsidRDefault="008138B5" w:rsidP="00990ADE">
      <w:pPr>
        <w:rPr>
          <w:sz w:val="20"/>
          <w:szCs w:val="20"/>
          <w:lang w:val="fr-CA"/>
        </w:rPr>
      </w:pPr>
      <w:r>
        <w:rPr>
          <w:sz w:val="20"/>
          <w:szCs w:val="20"/>
          <w:lang w:val="fr-CA"/>
        </w:rPr>
        <w:pict>
          <v:rect id="_x0000_i1043" style="width:2in;height:1pt" o:hrpct="0" o:hralign="center" o:hrstd="t" o:hrnoshade="t" o:hr="t" fillcolor="black [3213]" stroked="f"/>
        </w:pict>
      </w:r>
    </w:p>
    <w:p w:rsidR="00990ADE" w:rsidRDefault="00990ADE" w:rsidP="00990ADE">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1D4B16" w:rsidTr="001D4B16">
        <w:trPr>
          <w:cantSplit/>
        </w:trPr>
        <w:tc>
          <w:tcPr>
            <w:tcW w:w="1458" w:type="dxa"/>
          </w:tcPr>
          <w:p w:rsidR="001D4B16" w:rsidRPr="001D4B16" w:rsidRDefault="001D4B16" w:rsidP="001D4B16">
            <w:pPr>
              <w:rPr>
                <w:sz w:val="20"/>
              </w:rPr>
            </w:pPr>
            <w:r w:rsidRPr="001D4B16">
              <w:rPr>
                <w:b/>
                <w:sz w:val="20"/>
                <w:lang w:val="fr-CA"/>
              </w:rPr>
              <w:t>35465</w:t>
            </w:r>
          </w:p>
          <w:p w:rsidR="001D4B16" w:rsidRPr="001D4B16" w:rsidRDefault="001D4B16" w:rsidP="001D4B16">
            <w:pPr>
              <w:rPr>
                <w:b/>
                <w:sz w:val="20"/>
                <w:lang w:val="fr-CA"/>
              </w:rPr>
            </w:pPr>
          </w:p>
        </w:tc>
        <w:tc>
          <w:tcPr>
            <w:tcW w:w="8118" w:type="dxa"/>
          </w:tcPr>
          <w:p w:rsidR="001D4B16" w:rsidRPr="001D4B16" w:rsidRDefault="001D4B16" w:rsidP="001D4B16">
            <w:pPr>
              <w:rPr>
                <w:sz w:val="20"/>
              </w:rPr>
            </w:pPr>
            <w:r w:rsidRPr="001D4B16">
              <w:rPr>
                <w:b/>
                <w:sz w:val="20"/>
                <w:u w:val="single"/>
              </w:rPr>
              <w:t>Cheryl Cusack v. Royal Bank of Canada</w:t>
            </w:r>
            <w:r w:rsidRPr="001D4B16">
              <w:rPr>
                <w:sz w:val="20"/>
              </w:rPr>
              <w:t xml:space="preserve"> (Ont.) (Civil) (By Leave)</w:t>
            </w:r>
          </w:p>
          <w:p w:rsidR="001D4B16" w:rsidRPr="001D4B16" w:rsidRDefault="001D4B16" w:rsidP="001D4B16">
            <w:pPr>
              <w:rPr>
                <w:sz w:val="20"/>
              </w:rPr>
            </w:pPr>
          </w:p>
        </w:tc>
      </w:tr>
      <w:tr w:rsidR="001D4B16" w:rsidRPr="001D4B16" w:rsidTr="001D4B16">
        <w:trPr>
          <w:cantSplit/>
        </w:trPr>
        <w:tc>
          <w:tcPr>
            <w:tcW w:w="1458" w:type="dxa"/>
          </w:tcPr>
          <w:p w:rsidR="001D4B16" w:rsidRPr="001D4B16" w:rsidRDefault="001D4B16" w:rsidP="001D4B16">
            <w:pPr>
              <w:rPr>
                <w:sz w:val="20"/>
              </w:rPr>
            </w:pPr>
            <w:r w:rsidRPr="001D4B16">
              <w:rPr>
                <w:sz w:val="20"/>
              </w:rPr>
              <w:t>Coram :</w:t>
            </w:r>
          </w:p>
        </w:tc>
        <w:tc>
          <w:tcPr>
            <w:tcW w:w="8118" w:type="dxa"/>
          </w:tcPr>
          <w:p w:rsidR="001D4B16" w:rsidRPr="001D4B16" w:rsidRDefault="001D4B16" w:rsidP="001D4B16">
            <w:pPr>
              <w:rPr>
                <w:sz w:val="20"/>
              </w:rPr>
            </w:pPr>
            <w:r w:rsidRPr="001D4B16">
              <w:rPr>
                <w:sz w:val="20"/>
                <w:u w:val="single"/>
              </w:rPr>
              <w:t>LeBel, Karakatsanis and Wagner JJ.</w:t>
            </w:r>
          </w:p>
          <w:p w:rsidR="001D4B16" w:rsidRPr="001D4B16" w:rsidRDefault="001D4B16" w:rsidP="001D4B16">
            <w:pPr>
              <w:rPr>
                <w:sz w:val="20"/>
                <w:u w:val="single"/>
              </w:rPr>
            </w:pPr>
          </w:p>
        </w:tc>
      </w:tr>
      <w:tr w:rsidR="001D4B16" w:rsidRPr="008138B5" w:rsidTr="001D4B16">
        <w:trPr>
          <w:cantSplit/>
        </w:trPr>
        <w:tc>
          <w:tcPr>
            <w:tcW w:w="9576" w:type="dxa"/>
            <w:gridSpan w:val="2"/>
          </w:tcPr>
          <w:p w:rsidR="001D4B16" w:rsidRPr="001D4B16" w:rsidRDefault="001D4B16" w:rsidP="001D4B16">
            <w:pPr>
              <w:ind w:firstLine="720"/>
              <w:jc w:val="both"/>
              <w:rPr>
                <w:sz w:val="20"/>
              </w:rPr>
            </w:pPr>
            <w:r w:rsidRPr="001D4B16">
              <w:rPr>
                <w:sz w:val="20"/>
              </w:rPr>
              <w:t>The application for leave to appeal from the judgment of the Court of Appeal for Ontario, Number C55749, 2013 ONCA 313, dated May 13, 2013, is dismissed with costs.</w:t>
            </w:r>
          </w:p>
          <w:p w:rsidR="001D4B16" w:rsidRPr="001D4B16" w:rsidRDefault="001D4B16" w:rsidP="001D4B16">
            <w:pPr>
              <w:jc w:val="both"/>
              <w:rPr>
                <w:sz w:val="20"/>
              </w:rPr>
            </w:pPr>
          </w:p>
          <w:p w:rsidR="001D4B16" w:rsidRPr="001D4B16" w:rsidRDefault="001D4B16" w:rsidP="001D4B16">
            <w:pPr>
              <w:ind w:firstLine="720"/>
              <w:jc w:val="both"/>
              <w:rPr>
                <w:sz w:val="20"/>
                <w:lang w:val="fr-CA"/>
              </w:rPr>
            </w:pPr>
            <w:r w:rsidRPr="001D4B16">
              <w:rPr>
                <w:sz w:val="20"/>
                <w:lang w:val="fr-CA"/>
              </w:rPr>
              <w:t>La demande d’autorisation d’appel de l’arrêt de la Cour d’appel de l’Ontario, numéro C55749, 2013 ONCA 313, daté du 13 mai 2013, est rejetée avec dépens.</w:t>
            </w:r>
          </w:p>
        </w:tc>
      </w:tr>
    </w:tbl>
    <w:p w:rsidR="00990ADE" w:rsidRPr="001D4B16" w:rsidRDefault="00990ADE" w:rsidP="000E2959">
      <w:pPr>
        <w:rPr>
          <w:sz w:val="20"/>
          <w:szCs w:val="20"/>
          <w:lang w:val="fr-CA"/>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 xml:space="preserve">Contracts – Commercial contracts – Bank loan – Guarantee – Wife guaranteeing husband’s business loan – Should the concept of material variation from </w:t>
            </w:r>
            <w:r w:rsidRPr="00B11387">
              <w:rPr>
                <w:rFonts w:eastAsia="Calibri"/>
                <w:i/>
                <w:sz w:val="20"/>
              </w:rPr>
              <w:t>Manulife Bank of Canada v. Conlin</w:t>
            </w:r>
            <w:r w:rsidRPr="00B11387">
              <w:rPr>
                <w:rFonts w:eastAsia="Calibri"/>
                <w:sz w:val="20"/>
              </w:rPr>
              <w:t>, [1996] 3 S.C.R. 415 apply to “all accounts” or “continuing” guarantees signed by personal accommodation guarantors? - If the material variation concept does apply to “all accounts” or “continuing” guarantees, what is the proper method of application? - How is the “terminological conundrum” in the law identified by the Ontario Court of Appeal to be resolved? - How is the material variation principle affected where the primary lending agreement has been “cancelled and superseded?</w:t>
            </w:r>
          </w:p>
          <w:p w:rsidR="006613BD" w:rsidRPr="00B11387" w:rsidRDefault="006613BD" w:rsidP="008F1BDA">
            <w:pPr>
              <w:jc w:val="both"/>
              <w:rPr>
                <w:rFonts w:eastAsia="Calibri"/>
                <w:sz w:val="20"/>
              </w:rPr>
            </w:pPr>
          </w:p>
        </w:tc>
      </w:tr>
      <w:tr w:rsidR="006613BD" w:rsidRPr="00B11387" w:rsidTr="008F1BDA">
        <w:tc>
          <w:tcPr>
            <w:tcW w:w="5000" w:type="pct"/>
            <w:gridSpan w:val="3"/>
          </w:tcPr>
          <w:p w:rsidR="006613BD" w:rsidRPr="00B11387" w:rsidRDefault="006613BD" w:rsidP="008F1BDA">
            <w:pPr>
              <w:jc w:val="both"/>
              <w:rPr>
                <w:rFonts w:eastAsia="Calibri"/>
                <w:color w:val="000000"/>
                <w:sz w:val="20"/>
              </w:rPr>
            </w:pPr>
            <w:r w:rsidRPr="00B11387">
              <w:rPr>
                <w:rFonts w:eastAsia="Calibri"/>
                <w:color w:val="000000"/>
                <w:sz w:val="20"/>
              </w:rPr>
              <w:t xml:space="preserve">Ms. Cusack was the spouse of Mr. Brasseur, who was the principal of Samson Management and Solutions Ltd. (“Samson”) In 2005, after receiving independent legal advice, Ms. Cusack signed a continuing all accounts guarantee for the indebtedness of Samson up to the amount of $150,000.  The guarantee covered present and future liabilities of Samson, was not tied to any specific loan and provided that the guarantor could become a principal debtor if RBC was unable to recover any sum from Samson.  In 2006, Ms. Cusack signed a fresh guarantee to RBC for present and future liabilities of Samson in the amount of $250,000 on the same terms as the first guarantee.  In 2008, Samson increased the loan agreement to $500,000 and the 2006 loan agreement was terminated.  A new guarantee from Ms. Cusack was not requested or signed.  In 2009, the loan agreement between RBC and Mr. Brasseur was further increased to $750,000 but again, Ms. Cusack was not asked to provide a new guarantee.  The business failed in 2011 and RBC </w:t>
            </w:r>
            <w:r w:rsidRPr="00B11387">
              <w:rPr>
                <w:rFonts w:eastAsia="Calibri"/>
                <w:color w:val="000000"/>
                <w:sz w:val="20"/>
              </w:rPr>
              <w:lastRenderedPageBreak/>
              <w:t>made demands on Mr Brasseur’s 2009 guarantee and Ms. Cusack’s 2006 guarantee.  At issue was the enforceability of Ms. Cusack’s 2006 guarantee.</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lastRenderedPageBreak/>
              <w:t>June 20, 2012</w:t>
            </w:r>
          </w:p>
          <w:p w:rsidR="006613BD" w:rsidRPr="00B11387" w:rsidRDefault="006613BD" w:rsidP="008F1BDA">
            <w:pPr>
              <w:jc w:val="both"/>
              <w:rPr>
                <w:rFonts w:eastAsia="Calibri"/>
                <w:sz w:val="20"/>
              </w:rPr>
            </w:pPr>
            <w:r w:rsidRPr="00B11387">
              <w:rPr>
                <w:rFonts w:eastAsia="Calibri"/>
                <w:sz w:val="20"/>
              </w:rPr>
              <w:t>Ontario Superior Court of Justice</w:t>
            </w:r>
          </w:p>
          <w:p w:rsidR="006613BD" w:rsidRPr="00B11387" w:rsidRDefault="006613BD" w:rsidP="008F1BDA">
            <w:pPr>
              <w:jc w:val="both"/>
              <w:rPr>
                <w:rFonts w:eastAsia="Calibri"/>
                <w:sz w:val="20"/>
              </w:rPr>
            </w:pPr>
            <w:r w:rsidRPr="00B11387">
              <w:rPr>
                <w:rFonts w:eastAsia="Calibri"/>
                <w:sz w:val="20"/>
              </w:rPr>
              <w:t>(Glass J.)</w:t>
            </w:r>
          </w:p>
          <w:p w:rsidR="006613BD" w:rsidRPr="00B11387" w:rsidRDefault="008138B5" w:rsidP="008F1BDA">
            <w:pPr>
              <w:jc w:val="both"/>
              <w:rPr>
                <w:rFonts w:eastAsia="Calibri"/>
                <w:sz w:val="20"/>
              </w:rPr>
            </w:pPr>
            <w:hyperlink r:id="rId26" w:history="1">
              <w:r w:rsidR="006613BD" w:rsidRPr="00B11387">
                <w:rPr>
                  <w:rFonts w:eastAsia="Calibri"/>
                  <w:color w:val="0000FF"/>
                  <w:sz w:val="20"/>
                  <w:u w:val="single"/>
                </w:rPr>
                <w:t>2012 ONSC 3612</w:t>
              </w:r>
            </w:hyperlink>
            <w:r w:rsidR="006613BD" w:rsidRPr="00B11387">
              <w:rPr>
                <w:rFonts w:eastAsia="Calibri"/>
                <w:sz w:val="20"/>
              </w:rPr>
              <w:t xml:space="preserve"> </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Ms. Cusack’s guarantee held to be unenforceable on motion for summary judgment</w:t>
            </w:r>
          </w:p>
          <w:p w:rsidR="006613BD" w:rsidRPr="00B11387" w:rsidRDefault="006613BD" w:rsidP="008F1BDA">
            <w:pPr>
              <w:jc w:val="both"/>
              <w:rPr>
                <w:rFonts w:eastAsia="Calibri"/>
                <w:sz w:val="20"/>
              </w:rPr>
            </w:pP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May 13, 2013</w:t>
            </w:r>
          </w:p>
          <w:p w:rsidR="006613BD" w:rsidRPr="00B11387" w:rsidRDefault="006613BD" w:rsidP="008F1BDA">
            <w:pPr>
              <w:jc w:val="both"/>
              <w:rPr>
                <w:rFonts w:eastAsia="Calibri"/>
                <w:sz w:val="20"/>
              </w:rPr>
            </w:pPr>
            <w:r w:rsidRPr="00B11387">
              <w:rPr>
                <w:rFonts w:eastAsia="Calibri"/>
                <w:sz w:val="20"/>
              </w:rPr>
              <w:t>Court of Appeal for Ontario</w:t>
            </w:r>
          </w:p>
          <w:p w:rsidR="006613BD" w:rsidRPr="00B11387" w:rsidRDefault="006613BD" w:rsidP="008F1BDA">
            <w:pPr>
              <w:jc w:val="both"/>
              <w:rPr>
                <w:rFonts w:eastAsia="Calibri"/>
                <w:sz w:val="20"/>
              </w:rPr>
            </w:pPr>
            <w:r w:rsidRPr="00B11387">
              <w:rPr>
                <w:rFonts w:eastAsia="Calibri"/>
                <w:sz w:val="20"/>
              </w:rPr>
              <w:t>(MacPherson, Cronk and Lauwers JJ.A.)</w:t>
            </w:r>
          </w:p>
          <w:p w:rsidR="006613BD" w:rsidRPr="00B11387" w:rsidRDefault="008138B5" w:rsidP="008F1BDA">
            <w:pPr>
              <w:jc w:val="both"/>
              <w:rPr>
                <w:rFonts w:eastAsia="Calibri"/>
                <w:sz w:val="20"/>
              </w:rPr>
            </w:pPr>
            <w:hyperlink r:id="rId27" w:history="1">
              <w:r w:rsidR="006613BD" w:rsidRPr="00B11387">
                <w:rPr>
                  <w:rFonts w:eastAsia="Calibri"/>
                  <w:color w:val="0000FF"/>
                  <w:sz w:val="20"/>
                  <w:u w:val="single"/>
                </w:rPr>
                <w:t>2013 ONCA 313</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Appeal allowed; guarantee enforceable</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August 8,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44"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 xml:space="preserve">Contrats – Contrats commerciaux – Prêt bancaire – Cautionnement – L'épouse s’est portée caution du prêt commercial contracté par son mari – La notion de modification importante dont il est question dans l’arrêt </w:t>
            </w:r>
            <w:r w:rsidRPr="00B11387">
              <w:rPr>
                <w:rFonts w:eastAsia="Calibri"/>
                <w:i/>
                <w:sz w:val="20"/>
                <w:lang w:val="fr-CA"/>
              </w:rPr>
              <w:t>Banque Manuvie du Canada c. Conlin</w:t>
            </w:r>
            <w:r w:rsidRPr="00B11387">
              <w:rPr>
                <w:rFonts w:eastAsia="Calibri"/>
                <w:sz w:val="20"/>
                <w:lang w:val="fr-CA"/>
              </w:rPr>
              <w:t>, [1996] 3 R.C.S. 415 s’applique-t-elle aux cautionnements « généraux » ou « continus » signés par les cautions personnelles de complaisance? – Si la notion de modification importante ne s'applique pas aux cautionnements « généraux » ou « continus », quelle est la bonne méthode d'application? –               Comment convient-il de résoudre [</w:t>
            </w:r>
            <w:r w:rsidRPr="00B11387">
              <w:rPr>
                <w:rFonts w:eastAsia="Calibri"/>
                <w:smallCaps/>
                <w:sz w:val="20"/>
                <w:lang w:val="fr-CA"/>
              </w:rPr>
              <w:t>traduction</w:t>
            </w:r>
            <w:r w:rsidRPr="00B11387">
              <w:rPr>
                <w:rFonts w:eastAsia="Calibri"/>
                <w:sz w:val="20"/>
                <w:lang w:val="fr-CA"/>
              </w:rPr>
              <w:t>] « l'énigme terminologique » de la règle de droit identifiée par la Cour d'appel de l'Ontario? – Quelle est l’incidence de l'annulation et du remplacement du contrat de prêt principal sur le principe de la modification importante?</w:t>
            </w:r>
          </w:p>
          <w:p w:rsidR="006613BD" w:rsidRPr="00B11387" w:rsidRDefault="006613BD" w:rsidP="008F1BDA">
            <w:pPr>
              <w:jc w:val="both"/>
              <w:rPr>
                <w:rFonts w:eastAsia="Calibri"/>
                <w:sz w:val="20"/>
                <w:lang w:val="fr-CA"/>
              </w:rPr>
            </w:pPr>
          </w:p>
        </w:tc>
      </w:tr>
      <w:tr w:rsidR="006613BD" w:rsidRPr="008138B5" w:rsidTr="008F1BDA">
        <w:tc>
          <w:tcPr>
            <w:tcW w:w="5000" w:type="pct"/>
            <w:gridSpan w:val="3"/>
          </w:tcPr>
          <w:p w:rsidR="006613BD" w:rsidRPr="00B11387" w:rsidRDefault="006613BD" w:rsidP="008F1BDA">
            <w:pPr>
              <w:jc w:val="both"/>
              <w:rPr>
                <w:rFonts w:eastAsia="Calibri"/>
                <w:color w:val="000000"/>
                <w:sz w:val="20"/>
                <w:lang w:val="fr-CA"/>
              </w:rPr>
            </w:pPr>
            <w:r w:rsidRPr="00B11387">
              <w:rPr>
                <w:rFonts w:eastAsia="Calibri"/>
                <w:color w:val="000000"/>
                <w:sz w:val="20"/>
                <w:lang w:val="fr-CA"/>
              </w:rPr>
              <w:t>Madame Cusack était l'épouse de M. Brasseur, le dirigeant de Samson Management and Solutions Ltd. (« Samson »).  En 2005, après avoir reçu un avis juridique indépendant, Mme Cusack a signé un cautionnement général continu garantissant la dette de Samson jusqu'à concurrence de 150 000 $.  Le cautionnement garantissait les dettes actuelles et futures de Samson, il n'était rattaché à aucun prêt en particulier et prévoyait que la caution pouvait devenir la débitrice principale si RBC était incapable de recouvrer des sommes de Samson.  En 2006, Mme Cusack a signé un nouveau cautionnement en faveur de RBC garantissant les dettes actuelles et futures de Samson jusqu’à concurrence de 250 000 $, aux mêmes conditions que le premier cautionnement.  En 2008, Samson a augmenté le contrat de prêt à 500 000 $ et le contrat de prêt de 2006 a été résilié. Aucun nouveau cautionnement de Mme Cusack n'a été demandé ou signé.  En 2009, le contrat de prêt entre RBC et M. Brasseur a été augmenté à 750 000 $, mais encore une fois, on n'a pas demandé à Mme Cusack de fournir un nouveau cautionnement. L'entreprise a fait faillite en 2011 et RBC a fait des demandes de remboursement fondées sur le cautionnement signé par M. Brasseur en 2009 et le cautionnement signé par Mme Cusack en 2006.  La question en litige était l'exigibilité du cautionnement signé par Mme Cusack en 2006.</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20 juin 2012</w:t>
            </w:r>
          </w:p>
          <w:p w:rsidR="006613BD" w:rsidRPr="00B11387" w:rsidRDefault="006613BD" w:rsidP="008F1BDA">
            <w:pPr>
              <w:jc w:val="both"/>
              <w:rPr>
                <w:rFonts w:eastAsia="Calibri"/>
                <w:sz w:val="20"/>
                <w:lang w:val="fr-CA"/>
              </w:rPr>
            </w:pPr>
            <w:r w:rsidRPr="00B11387">
              <w:rPr>
                <w:rFonts w:eastAsia="Calibri"/>
                <w:sz w:val="20"/>
                <w:lang w:val="fr-CA"/>
              </w:rPr>
              <w:t xml:space="preserve">Cour supérieure de justice de l'Ontario </w:t>
            </w:r>
          </w:p>
          <w:p w:rsidR="006613BD" w:rsidRPr="00B11387" w:rsidRDefault="006613BD" w:rsidP="008F1BDA">
            <w:pPr>
              <w:jc w:val="both"/>
              <w:rPr>
                <w:rFonts w:eastAsia="Calibri"/>
                <w:sz w:val="20"/>
                <w:lang w:val="fr-CA"/>
              </w:rPr>
            </w:pPr>
            <w:r w:rsidRPr="00B11387">
              <w:rPr>
                <w:rFonts w:eastAsia="Calibri"/>
                <w:sz w:val="20"/>
                <w:lang w:val="fr-CA"/>
              </w:rPr>
              <w:t>(Juge Glass)</w:t>
            </w:r>
          </w:p>
          <w:p w:rsidR="006613BD" w:rsidRPr="00B11387" w:rsidRDefault="008138B5" w:rsidP="008F1BDA">
            <w:pPr>
              <w:jc w:val="both"/>
              <w:rPr>
                <w:rFonts w:eastAsia="Calibri"/>
                <w:sz w:val="20"/>
                <w:lang w:val="fr-CA"/>
              </w:rPr>
            </w:pPr>
            <w:hyperlink r:id="rId28" w:history="1">
              <w:r w:rsidR="006613BD" w:rsidRPr="00B11387">
                <w:rPr>
                  <w:rFonts w:eastAsia="Calibri"/>
                  <w:color w:val="0000FF"/>
                  <w:sz w:val="20"/>
                  <w:u w:val="single"/>
                  <w:lang w:val="fr-CA"/>
                </w:rPr>
                <w:t>2012 ONSC 3612</w:t>
              </w:r>
            </w:hyperlink>
            <w:r w:rsidR="006613BD" w:rsidRPr="00B11387">
              <w:rPr>
                <w:rFonts w:eastAsia="Calibri"/>
                <w:sz w:val="20"/>
                <w:lang w:val="fr-CA"/>
              </w:rPr>
              <w:t xml:space="preserve"> </w:t>
            </w:r>
          </w:p>
          <w:p w:rsidR="006613BD" w:rsidRPr="00B11387" w:rsidRDefault="006613BD" w:rsidP="008F1BDA">
            <w:pPr>
              <w:jc w:val="both"/>
              <w:rPr>
                <w:rFonts w:eastAsia="Calibri"/>
                <w:sz w:val="20"/>
                <w:lang w:val="fr-CA"/>
              </w:rPr>
            </w:pPr>
          </w:p>
        </w:tc>
        <w:tc>
          <w:tcPr>
            <w:tcW w:w="250" w:type="pct"/>
          </w:tcPr>
          <w:p w:rsidR="006613BD" w:rsidRPr="00B11387" w:rsidRDefault="006613BD" w:rsidP="008F1BDA">
            <w:pPr>
              <w:jc w:val="both"/>
              <w:rPr>
                <w:rFonts w:eastAsia="Calibri"/>
                <w:sz w:val="20"/>
                <w:lang w:val="fr-CA"/>
              </w:rPr>
            </w:pPr>
          </w:p>
        </w:tc>
        <w:tc>
          <w:tcPr>
            <w:tcW w:w="2323" w:type="pct"/>
          </w:tcPr>
          <w:p w:rsidR="006613BD" w:rsidRPr="00B11387" w:rsidRDefault="006613BD" w:rsidP="008F1BDA">
            <w:pPr>
              <w:jc w:val="both"/>
              <w:rPr>
                <w:rFonts w:eastAsia="Calibri"/>
                <w:sz w:val="20"/>
                <w:lang w:val="fr-CA"/>
              </w:rPr>
            </w:pPr>
            <w:r w:rsidRPr="00B11387">
              <w:rPr>
                <w:rFonts w:eastAsia="Calibri"/>
                <w:sz w:val="20"/>
                <w:lang w:val="fr-CA"/>
              </w:rPr>
              <w:t>Le cautionnement de Mme Cusack est jugé non exigible sur motion en jugement sommaire</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p>
        </w:tc>
      </w:tr>
      <w:tr w:rsidR="006613BD" w:rsidRPr="00B11387" w:rsidTr="001D4B16">
        <w:trPr>
          <w:cantSplit/>
        </w:trPr>
        <w:tc>
          <w:tcPr>
            <w:tcW w:w="2427" w:type="pct"/>
          </w:tcPr>
          <w:p w:rsidR="006613BD" w:rsidRPr="00B11387" w:rsidRDefault="006613BD" w:rsidP="008F1BDA">
            <w:pPr>
              <w:jc w:val="both"/>
              <w:rPr>
                <w:rFonts w:eastAsia="Calibri"/>
                <w:sz w:val="20"/>
                <w:lang w:val="fr-CA"/>
              </w:rPr>
            </w:pPr>
            <w:r w:rsidRPr="00B11387">
              <w:rPr>
                <w:rFonts w:eastAsia="Calibri"/>
                <w:sz w:val="20"/>
                <w:lang w:val="fr-CA"/>
              </w:rPr>
              <w:lastRenderedPageBreak/>
              <w:t>13 mai 2013</w:t>
            </w:r>
          </w:p>
          <w:p w:rsidR="006613BD" w:rsidRPr="00B11387" w:rsidRDefault="006613BD" w:rsidP="008F1BDA">
            <w:pPr>
              <w:jc w:val="both"/>
              <w:rPr>
                <w:rFonts w:eastAsia="Calibri"/>
                <w:sz w:val="20"/>
                <w:lang w:val="fr-CA"/>
              </w:rPr>
            </w:pPr>
            <w:r w:rsidRPr="00B11387">
              <w:rPr>
                <w:rFonts w:eastAsia="Calibri"/>
                <w:sz w:val="20"/>
                <w:lang w:val="fr-CA"/>
              </w:rPr>
              <w:t xml:space="preserve">Cour d'appel de l'Ontario </w:t>
            </w:r>
          </w:p>
          <w:p w:rsidR="006613BD" w:rsidRPr="00B11387" w:rsidRDefault="006613BD" w:rsidP="008F1BDA">
            <w:pPr>
              <w:jc w:val="both"/>
              <w:rPr>
                <w:rFonts w:eastAsia="Calibri"/>
                <w:sz w:val="20"/>
                <w:lang w:val="fr-CA"/>
              </w:rPr>
            </w:pPr>
            <w:r w:rsidRPr="00B11387">
              <w:rPr>
                <w:rFonts w:eastAsia="Calibri"/>
                <w:sz w:val="20"/>
                <w:lang w:val="fr-CA"/>
              </w:rPr>
              <w:t>(Juges MacPherson, Cronk et Lauwers)</w:t>
            </w:r>
          </w:p>
          <w:p w:rsidR="006613BD" w:rsidRPr="00B11387" w:rsidRDefault="008138B5" w:rsidP="008F1BDA">
            <w:pPr>
              <w:jc w:val="both"/>
              <w:rPr>
                <w:rFonts w:eastAsia="Calibri"/>
                <w:sz w:val="20"/>
                <w:lang w:val="fr-CA"/>
              </w:rPr>
            </w:pPr>
            <w:hyperlink r:id="rId29" w:history="1">
              <w:r w:rsidR="006613BD" w:rsidRPr="00B11387">
                <w:rPr>
                  <w:rFonts w:eastAsia="Calibri"/>
                  <w:color w:val="0000FF"/>
                  <w:sz w:val="20"/>
                  <w:u w:val="single"/>
                  <w:lang w:val="fr-CA"/>
                </w:rPr>
                <w:t>2013 ONCA 313</w:t>
              </w:r>
            </w:hyperlink>
          </w:p>
          <w:p w:rsidR="006613BD" w:rsidRPr="00B11387" w:rsidRDefault="006613BD" w:rsidP="008F1BDA">
            <w:pPr>
              <w:jc w:val="both"/>
              <w:rPr>
                <w:rFonts w:eastAsia="Calibri"/>
                <w:sz w:val="20"/>
                <w:lang w:val="fr-CA"/>
              </w:rPr>
            </w:pPr>
          </w:p>
        </w:tc>
        <w:tc>
          <w:tcPr>
            <w:tcW w:w="250" w:type="pct"/>
          </w:tcPr>
          <w:p w:rsidR="006613BD" w:rsidRPr="00B11387" w:rsidRDefault="006613BD" w:rsidP="008F1BDA">
            <w:pPr>
              <w:jc w:val="both"/>
              <w:rPr>
                <w:rFonts w:eastAsia="Calibri"/>
                <w:sz w:val="20"/>
                <w:lang w:val="fr-CA"/>
              </w:rPr>
            </w:pPr>
          </w:p>
        </w:tc>
        <w:tc>
          <w:tcPr>
            <w:tcW w:w="2323" w:type="pct"/>
          </w:tcPr>
          <w:p w:rsidR="006613BD" w:rsidRPr="00B11387" w:rsidRDefault="006613BD" w:rsidP="008F1BDA">
            <w:pPr>
              <w:jc w:val="both"/>
              <w:rPr>
                <w:rFonts w:eastAsia="Calibri"/>
                <w:sz w:val="20"/>
                <w:lang w:val="fr-CA"/>
              </w:rPr>
            </w:pPr>
            <w:r w:rsidRPr="00B11387">
              <w:rPr>
                <w:rFonts w:eastAsia="Calibri"/>
                <w:sz w:val="20"/>
                <w:lang w:val="fr-CA"/>
              </w:rPr>
              <w:t>Appel accueilli; cautionnement exigible</w:t>
            </w:r>
          </w:p>
          <w:p w:rsidR="006613BD" w:rsidRPr="00B11387" w:rsidRDefault="006613BD" w:rsidP="008F1BDA">
            <w:pPr>
              <w:jc w:val="both"/>
              <w:rPr>
                <w:rFonts w:eastAsia="Calibri"/>
                <w:sz w:val="20"/>
                <w:lang w:val="fr-CA"/>
              </w:rPr>
            </w:pPr>
          </w:p>
        </w:tc>
      </w:tr>
      <w:tr w:rsidR="006613BD" w:rsidRPr="00B11387" w:rsidTr="001D4B16">
        <w:trPr>
          <w:cantSplit/>
        </w:trPr>
        <w:tc>
          <w:tcPr>
            <w:tcW w:w="2427" w:type="pct"/>
          </w:tcPr>
          <w:p w:rsidR="006613BD" w:rsidRPr="00B11387" w:rsidRDefault="006613BD" w:rsidP="008F1BDA">
            <w:pPr>
              <w:jc w:val="both"/>
              <w:rPr>
                <w:rFonts w:eastAsia="Calibri"/>
                <w:sz w:val="20"/>
                <w:lang w:val="fr-CA"/>
              </w:rPr>
            </w:pPr>
            <w:r w:rsidRPr="00B11387">
              <w:rPr>
                <w:rFonts w:eastAsia="Calibri"/>
                <w:sz w:val="20"/>
                <w:lang w:val="fr-CA"/>
              </w:rPr>
              <w:t>8 août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50" w:type="pct"/>
          </w:tcPr>
          <w:p w:rsidR="006613BD" w:rsidRPr="00B11387" w:rsidRDefault="006613BD" w:rsidP="008F1BDA">
            <w:pPr>
              <w:jc w:val="both"/>
              <w:rPr>
                <w:rFonts w:eastAsia="Calibri"/>
                <w:sz w:val="20"/>
                <w:lang w:val="fr-CA"/>
              </w:rPr>
            </w:pPr>
          </w:p>
        </w:tc>
        <w:tc>
          <w:tcPr>
            <w:tcW w:w="2323"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tc>
      </w:tr>
    </w:tbl>
    <w:p w:rsidR="00990ADE" w:rsidRDefault="00990ADE" w:rsidP="00990ADE">
      <w:pPr>
        <w:rPr>
          <w:sz w:val="20"/>
          <w:szCs w:val="20"/>
        </w:rPr>
      </w:pPr>
    </w:p>
    <w:p w:rsidR="00990ADE" w:rsidRDefault="008138B5" w:rsidP="00990ADE">
      <w:pPr>
        <w:rPr>
          <w:sz w:val="20"/>
          <w:szCs w:val="20"/>
          <w:lang w:val="fr-CA"/>
        </w:rPr>
      </w:pPr>
      <w:r>
        <w:rPr>
          <w:sz w:val="20"/>
          <w:szCs w:val="20"/>
          <w:lang w:val="fr-CA"/>
        </w:rPr>
        <w:pict>
          <v:rect id="_x0000_i1045" style="width:2in;height:1pt" o:hrpct="0" o:hralign="center" o:hrstd="t" o:hrnoshade="t" o:hr="t" fillcolor="black [3213]" stroked="f"/>
        </w:pict>
      </w:r>
    </w:p>
    <w:p w:rsidR="00990ADE" w:rsidRDefault="00990ADE" w:rsidP="00990ADE">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1D4B16" w:rsidTr="001D4B16">
        <w:trPr>
          <w:cantSplit/>
        </w:trPr>
        <w:tc>
          <w:tcPr>
            <w:tcW w:w="1458" w:type="dxa"/>
          </w:tcPr>
          <w:p w:rsidR="001D4B16" w:rsidRPr="001D4B16" w:rsidRDefault="001D4B16" w:rsidP="001D4B16">
            <w:pPr>
              <w:rPr>
                <w:sz w:val="20"/>
              </w:rPr>
            </w:pPr>
            <w:r w:rsidRPr="001D4B16">
              <w:rPr>
                <w:b/>
                <w:sz w:val="20"/>
                <w:lang w:val="fr-CA"/>
              </w:rPr>
              <w:t>35490</w:t>
            </w:r>
          </w:p>
          <w:p w:rsidR="001D4B16" w:rsidRPr="001D4B16" w:rsidRDefault="001D4B16" w:rsidP="001D4B16">
            <w:pPr>
              <w:rPr>
                <w:b/>
                <w:sz w:val="20"/>
                <w:lang w:val="fr-CA"/>
              </w:rPr>
            </w:pPr>
          </w:p>
        </w:tc>
        <w:tc>
          <w:tcPr>
            <w:tcW w:w="8118" w:type="dxa"/>
          </w:tcPr>
          <w:p w:rsidR="001D4B16" w:rsidRPr="001D4B16" w:rsidRDefault="001D4B16" w:rsidP="001D4B16">
            <w:pPr>
              <w:rPr>
                <w:sz w:val="20"/>
              </w:rPr>
            </w:pPr>
            <w:r w:rsidRPr="001D4B16">
              <w:rPr>
                <w:b/>
                <w:sz w:val="20"/>
                <w:u w:val="single"/>
              </w:rPr>
              <w:t>Tera Leigh Frieburg v. Her Majesty the Queen</w:t>
            </w:r>
            <w:r w:rsidRPr="001D4B16">
              <w:rPr>
                <w:sz w:val="20"/>
              </w:rPr>
              <w:t xml:space="preserve"> (Man.) (Criminal) (By Leave)</w:t>
            </w:r>
          </w:p>
          <w:p w:rsidR="001D4B16" w:rsidRPr="001D4B16" w:rsidRDefault="001D4B16" w:rsidP="001D4B16">
            <w:pPr>
              <w:rPr>
                <w:sz w:val="20"/>
              </w:rPr>
            </w:pPr>
          </w:p>
        </w:tc>
      </w:tr>
      <w:tr w:rsidR="001D4B16" w:rsidRPr="001D4B16" w:rsidTr="001D4B16">
        <w:trPr>
          <w:cantSplit/>
        </w:trPr>
        <w:tc>
          <w:tcPr>
            <w:tcW w:w="1458" w:type="dxa"/>
          </w:tcPr>
          <w:p w:rsidR="001D4B16" w:rsidRPr="001D4B16" w:rsidRDefault="001D4B16" w:rsidP="001D4B16">
            <w:pPr>
              <w:rPr>
                <w:sz w:val="20"/>
              </w:rPr>
            </w:pPr>
            <w:r w:rsidRPr="001D4B16">
              <w:rPr>
                <w:sz w:val="20"/>
              </w:rPr>
              <w:t>Coram :</w:t>
            </w:r>
          </w:p>
        </w:tc>
        <w:tc>
          <w:tcPr>
            <w:tcW w:w="8118" w:type="dxa"/>
          </w:tcPr>
          <w:p w:rsidR="001D4B16" w:rsidRPr="001D4B16" w:rsidRDefault="001D4B16" w:rsidP="001D4B16">
            <w:pPr>
              <w:rPr>
                <w:sz w:val="20"/>
              </w:rPr>
            </w:pPr>
            <w:r w:rsidRPr="001D4B16">
              <w:rPr>
                <w:sz w:val="20"/>
                <w:u w:val="single"/>
              </w:rPr>
              <w:t>Abella, Rothstein and Moldaver JJ.</w:t>
            </w:r>
          </w:p>
          <w:p w:rsidR="001D4B16" w:rsidRPr="001D4B16" w:rsidRDefault="001D4B16" w:rsidP="001D4B16">
            <w:pPr>
              <w:rPr>
                <w:sz w:val="20"/>
                <w:u w:val="single"/>
              </w:rPr>
            </w:pPr>
          </w:p>
        </w:tc>
      </w:tr>
      <w:tr w:rsidR="001D4B16" w:rsidRPr="008138B5" w:rsidTr="001D4B16">
        <w:trPr>
          <w:cantSplit/>
        </w:trPr>
        <w:tc>
          <w:tcPr>
            <w:tcW w:w="9576" w:type="dxa"/>
            <w:gridSpan w:val="2"/>
          </w:tcPr>
          <w:p w:rsidR="001D4B16" w:rsidRPr="001D4B16" w:rsidRDefault="001D4B16" w:rsidP="001D4B16">
            <w:pPr>
              <w:ind w:firstLine="720"/>
              <w:jc w:val="both"/>
              <w:rPr>
                <w:sz w:val="20"/>
              </w:rPr>
            </w:pPr>
            <w:r w:rsidRPr="001D4B16">
              <w:rPr>
                <w:sz w:val="20"/>
              </w:rPr>
              <w:t>The application for leave to appeal from the judgment of the Court of Appeal of Manitoba, Number AR 11-30-07546, 2013 MBCA 40, dated May 30, 2013, is dismissed without costs.</w:t>
            </w:r>
          </w:p>
          <w:p w:rsidR="001D4B16" w:rsidRPr="001D4B16" w:rsidRDefault="001D4B16" w:rsidP="001D4B16">
            <w:pPr>
              <w:jc w:val="both"/>
              <w:rPr>
                <w:sz w:val="20"/>
              </w:rPr>
            </w:pPr>
          </w:p>
          <w:p w:rsidR="001D4B16" w:rsidRPr="001D4B16" w:rsidRDefault="001D4B16" w:rsidP="001D4B16">
            <w:pPr>
              <w:ind w:firstLine="720"/>
              <w:jc w:val="both"/>
              <w:rPr>
                <w:sz w:val="20"/>
                <w:lang w:val="fr-CA"/>
              </w:rPr>
            </w:pPr>
            <w:r w:rsidRPr="001D4B16">
              <w:rPr>
                <w:sz w:val="20"/>
                <w:lang w:val="fr-CA"/>
              </w:rPr>
              <w:t>La demande d’autorisation d’appel de l’arrêt de la Cour d’appel du Manitoba, numéro AR 11-30-07546, 2013 MBCA 40, daté du 30 mai 2013, est rejeté sans dépens.</w:t>
            </w:r>
          </w:p>
        </w:tc>
      </w:tr>
    </w:tbl>
    <w:p w:rsidR="00990ADE" w:rsidRPr="001D4B16" w:rsidRDefault="00990ADE" w:rsidP="000E2959">
      <w:pPr>
        <w:rPr>
          <w:sz w:val="20"/>
          <w:szCs w:val="20"/>
          <w:lang w:val="fr-CA"/>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i/>
                <w:sz w:val="20"/>
              </w:rPr>
              <w:t>Charter of Rights and Freedoms</w:t>
            </w:r>
            <w:r w:rsidRPr="00B11387">
              <w:rPr>
                <w:rFonts w:eastAsia="Calibri"/>
                <w:sz w:val="20"/>
              </w:rPr>
              <w:t xml:space="preserve"> – Search and Seizure – Criminal law – Warrantless search – Reasonable Suspicion – What constitutes reasonable suspicion for the purpose of justifying a sniffer dog search – Whether the Court of Appeal erred in finding that reasonable suspicion existed – Whether the Court of Appeal erred in determining that a positive indication by a sniffer dog will always grant police the ability to conduct a confirmatory search – Whether the Court of Appeal erred in concluding that all police trained sniffer dogs will have the same degree of reliability leading to the subsequent search being justifiable on a positive indication alone – How can the courts reconcile the different search powers created by the reasonable suspicion required for a dog sniffer search and the reasonable suspicion required for an investigative detention – </w:t>
            </w:r>
            <w:r w:rsidRPr="00B11387">
              <w:rPr>
                <w:rFonts w:eastAsia="Calibri"/>
                <w:i/>
                <w:sz w:val="20"/>
              </w:rPr>
              <w:t>Charter</w:t>
            </w:r>
            <w:r w:rsidRPr="00B11387">
              <w:rPr>
                <w:rFonts w:eastAsia="Calibri"/>
                <w:sz w:val="20"/>
              </w:rPr>
              <w:t xml:space="preserve"> ss. 8 and 24(1).</w:t>
            </w:r>
          </w:p>
        </w:tc>
      </w:tr>
      <w:tr w:rsidR="006613BD" w:rsidRPr="00B11387" w:rsidTr="008F1BDA">
        <w:tc>
          <w:tcPr>
            <w:tcW w:w="5000" w:type="pct"/>
            <w:gridSpan w:val="3"/>
          </w:tcPr>
          <w:p w:rsidR="006613BD" w:rsidRPr="00B11387" w:rsidRDefault="006613BD" w:rsidP="008F1BDA">
            <w:pPr>
              <w:jc w:val="both"/>
              <w:rPr>
                <w:rFonts w:eastAsia="Calibri"/>
                <w:sz w:val="20"/>
              </w:rPr>
            </w:pPr>
          </w:p>
        </w:tc>
      </w:tr>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 xml:space="preserve">The trial judge found that the police search of a vehicle (the Dodge Charger) breached the applicant’s rights under s. 8 of the </w:t>
            </w:r>
            <w:r w:rsidRPr="00B11387">
              <w:rPr>
                <w:rFonts w:eastAsia="Calibri"/>
                <w:i/>
                <w:sz w:val="20"/>
              </w:rPr>
              <w:t>Charter</w:t>
            </w:r>
            <w:r w:rsidRPr="00B11387">
              <w:rPr>
                <w:rFonts w:eastAsia="Calibri"/>
                <w:sz w:val="20"/>
              </w:rPr>
              <w:t xml:space="preserve"> and he excluded the evidence found during the search under s. 24(2) of the </w:t>
            </w:r>
            <w:r w:rsidRPr="00B11387">
              <w:rPr>
                <w:rFonts w:eastAsia="Calibri"/>
                <w:i/>
                <w:sz w:val="20"/>
              </w:rPr>
              <w:t>Charter</w:t>
            </w:r>
            <w:r w:rsidRPr="00B11387">
              <w:rPr>
                <w:rFonts w:eastAsia="Calibri"/>
                <w:sz w:val="20"/>
              </w:rPr>
              <w:t xml:space="preserve">.  The applicant was acquitted by the trial judge on a charge of possession of ecstasy for the purpose of trafficking under s. 5(2) of the </w:t>
            </w:r>
            <w:r w:rsidRPr="00B11387">
              <w:rPr>
                <w:rFonts w:eastAsia="Calibri"/>
                <w:i/>
                <w:sz w:val="20"/>
              </w:rPr>
              <w:t>Controlled Drugs and Substances Act</w:t>
            </w:r>
            <w:r w:rsidRPr="00B11387">
              <w:rPr>
                <w:rFonts w:eastAsia="Calibri"/>
                <w:sz w:val="20"/>
              </w:rPr>
              <w:t xml:space="preserve">.  The Court of Appeal held that the search of the trunk of the Dodge Charger and the seizure of the package found therein were both lawful and, therefore, did not breach s. 8 of the </w:t>
            </w:r>
            <w:r w:rsidRPr="00B11387">
              <w:rPr>
                <w:rFonts w:eastAsia="Calibri"/>
                <w:i/>
                <w:sz w:val="20"/>
              </w:rPr>
              <w:t>Charter</w:t>
            </w:r>
            <w:r w:rsidRPr="00B11387">
              <w:rPr>
                <w:rFonts w:eastAsia="Calibri"/>
                <w:sz w:val="20"/>
              </w:rPr>
              <w:t>.  The Court of Appeal held that the trial judge erred in law in excluding the drugs from evidence.  The Crown appeal was allowed and a new trial was ordered.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March 16, 2011</w:t>
            </w:r>
          </w:p>
          <w:p w:rsidR="006613BD" w:rsidRPr="00B11387" w:rsidRDefault="006613BD" w:rsidP="008F1BDA">
            <w:pPr>
              <w:jc w:val="both"/>
              <w:rPr>
                <w:rFonts w:eastAsia="Calibri"/>
                <w:sz w:val="20"/>
              </w:rPr>
            </w:pPr>
            <w:r w:rsidRPr="00B11387">
              <w:rPr>
                <w:rFonts w:eastAsia="Calibri"/>
                <w:sz w:val="20"/>
              </w:rPr>
              <w:t>Court of Queen’s Bench of Manitoba</w:t>
            </w:r>
          </w:p>
          <w:p w:rsidR="006613BD" w:rsidRPr="00B11387" w:rsidRDefault="006613BD" w:rsidP="008F1BDA">
            <w:pPr>
              <w:jc w:val="both"/>
              <w:rPr>
                <w:rFonts w:eastAsia="Calibri"/>
                <w:sz w:val="20"/>
                <w:lang w:val="fr-FR"/>
              </w:rPr>
            </w:pPr>
            <w:r w:rsidRPr="00B11387">
              <w:rPr>
                <w:rFonts w:eastAsia="Calibri"/>
                <w:sz w:val="20"/>
                <w:lang w:val="fr-FR"/>
              </w:rPr>
              <w:t>(Menzies J.)</w:t>
            </w:r>
          </w:p>
          <w:p w:rsidR="006613BD" w:rsidRPr="00B11387" w:rsidRDefault="006613BD" w:rsidP="008F1BDA">
            <w:pPr>
              <w:jc w:val="both"/>
              <w:rPr>
                <w:rFonts w:eastAsia="Calibri"/>
                <w:sz w:val="20"/>
                <w:lang w:val="fr-FR"/>
              </w:rPr>
            </w:pPr>
            <w:r w:rsidRPr="00B11387">
              <w:rPr>
                <w:rFonts w:eastAsia="Calibri"/>
                <w:sz w:val="20"/>
                <w:lang w:val="fr-FR"/>
              </w:rPr>
              <w:t>2011 MBQB 58</w:t>
            </w:r>
          </w:p>
          <w:p w:rsidR="006613BD" w:rsidRPr="00B11387" w:rsidRDefault="00F425BC" w:rsidP="008F1BDA">
            <w:pPr>
              <w:jc w:val="both"/>
              <w:rPr>
                <w:rFonts w:eastAsia="Calibri"/>
                <w:sz w:val="20"/>
                <w:lang w:val="fr-FR"/>
              </w:rPr>
            </w:pPr>
            <w:hyperlink r:id="rId30" w:history="1">
              <w:r w:rsidR="006613BD" w:rsidRPr="00B11387">
                <w:rPr>
                  <w:rFonts w:eastAsia="Calibri"/>
                  <w:color w:val="0000FF"/>
                  <w:sz w:val="20"/>
                  <w:u w:val="single"/>
                  <w:lang w:val="fr-FR"/>
                </w:rPr>
                <w:t>http://canlii.ca/t/fkp3z</w:t>
              </w:r>
            </w:hyperlink>
          </w:p>
          <w:p w:rsidR="006613BD" w:rsidRPr="00B11387" w:rsidRDefault="006613BD" w:rsidP="008F1BDA">
            <w:pPr>
              <w:jc w:val="both"/>
              <w:rPr>
                <w:rFonts w:eastAsia="Calibri"/>
                <w:sz w:val="20"/>
                <w:lang w:val="fr-FR"/>
              </w:rPr>
            </w:pPr>
          </w:p>
        </w:tc>
        <w:tc>
          <w:tcPr>
            <w:tcW w:w="243" w:type="pct"/>
          </w:tcPr>
          <w:p w:rsidR="006613BD" w:rsidRPr="00B11387" w:rsidRDefault="006613BD" w:rsidP="008F1BDA">
            <w:pPr>
              <w:jc w:val="both"/>
              <w:rPr>
                <w:rFonts w:eastAsia="Calibri"/>
                <w:sz w:val="20"/>
                <w:lang w:val="fr-FR"/>
              </w:rPr>
            </w:pPr>
          </w:p>
        </w:tc>
        <w:tc>
          <w:tcPr>
            <w:tcW w:w="2330" w:type="pct"/>
          </w:tcPr>
          <w:p w:rsidR="006613BD" w:rsidRPr="00B11387" w:rsidRDefault="006613BD" w:rsidP="008F1BDA">
            <w:pPr>
              <w:jc w:val="both"/>
              <w:rPr>
                <w:rFonts w:eastAsia="Calibri"/>
                <w:sz w:val="20"/>
                <w:lang w:val="fr-FR"/>
              </w:rPr>
            </w:pPr>
            <w:r w:rsidRPr="00B11387">
              <w:rPr>
                <w:rFonts w:eastAsia="Calibri"/>
                <w:sz w:val="20"/>
                <w:lang w:val="fr-FR"/>
              </w:rPr>
              <w:t>Applicant acquitted.</w:t>
            </w:r>
          </w:p>
          <w:p w:rsidR="006613BD" w:rsidRPr="00B11387" w:rsidRDefault="006613BD" w:rsidP="008F1BDA">
            <w:pPr>
              <w:jc w:val="both"/>
              <w:rPr>
                <w:rFonts w:eastAsia="Calibri"/>
                <w:sz w:val="20"/>
                <w:lang w:val="fr-FR"/>
              </w:rPr>
            </w:pPr>
          </w:p>
          <w:p w:rsidR="006613BD" w:rsidRPr="00B11387" w:rsidRDefault="006613BD" w:rsidP="008F1BDA">
            <w:pPr>
              <w:jc w:val="both"/>
              <w:rPr>
                <w:rFonts w:eastAsia="Calibri"/>
                <w:sz w:val="20"/>
                <w:lang w:val="fr-FR"/>
              </w:rPr>
            </w:pPr>
          </w:p>
        </w:tc>
      </w:tr>
      <w:tr w:rsidR="006613BD" w:rsidRPr="00B11387" w:rsidTr="001D4B16">
        <w:trPr>
          <w:cantSplit/>
        </w:trPr>
        <w:tc>
          <w:tcPr>
            <w:tcW w:w="2427" w:type="pct"/>
          </w:tcPr>
          <w:p w:rsidR="006613BD" w:rsidRPr="00B11387" w:rsidRDefault="006613BD" w:rsidP="008F1BDA">
            <w:pPr>
              <w:jc w:val="both"/>
              <w:rPr>
                <w:rFonts w:eastAsia="Calibri"/>
                <w:sz w:val="20"/>
              </w:rPr>
            </w:pPr>
            <w:r w:rsidRPr="00B11387">
              <w:rPr>
                <w:rFonts w:eastAsia="Calibri"/>
                <w:sz w:val="20"/>
              </w:rPr>
              <w:lastRenderedPageBreak/>
              <w:t>May 30, 2013</w:t>
            </w:r>
          </w:p>
          <w:p w:rsidR="006613BD" w:rsidRPr="00B11387" w:rsidRDefault="006613BD" w:rsidP="008F1BDA">
            <w:pPr>
              <w:jc w:val="both"/>
              <w:rPr>
                <w:rFonts w:eastAsia="Calibri"/>
                <w:sz w:val="20"/>
              </w:rPr>
            </w:pPr>
            <w:r w:rsidRPr="00B11387">
              <w:rPr>
                <w:rFonts w:eastAsia="Calibri"/>
                <w:sz w:val="20"/>
              </w:rPr>
              <w:t>Court of Appeal of Manitoba</w:t>
            </w:r>
          </w:p>
          <w:p w:rsidR="006613BD" w:rsidRPr="00B11387" w:rsidRDefault="006613BD" w:rsidP="008F1BDA">
            <w:pPr>
              <w:jc w:val="both"/>
              <w:rPr>
                <w:rFonts w:eastAsia="Calibri"/>
                <w:sz w:val="20"/>
              </w:rPr>
            </w:pPr>
            <w:r w:rsidRPr="00B11387">
              <w:rPr>
                <w:rFonts w:eastAsia="Calibri"/>
                <w:sz w:val="20"/>
              </w:rPr>
              <w:t>(Scott C.J., Beard and Monnin JJ.A.)</w:t>
            </w:r>
          </w:p>
          <w:p w:rsidR="006613BD" w:rsidRPr="00B11387" w:rsidRDefault="006613BD" w:rsidP="008F1BDA">
            <w:pPr>
              <w:jc w:val="both"/>
              <w:rPr>
                <w:rFonts w:eastAsia="Calibri"/>
                <w:sz w:val="20"/>
              </w:rPr>
            </w:pPr>
            <w:r w:rsidRPr="00B11387">
              <w:rPr>
                <w:rFonts w:eastAsia="Calibri"/>
                <w:sz w:val="20"/>
              </w:rPr>
              <w:t>2013 MBCA 40</w:t>
            </w:r>
          </w:p>
          <w:p w:rsidR="006613BD" w:rsidRPr="00B11387" w:rsidRDefault="008138B5" w:rsidP="008F1BDA">
            <w:pPr>
              <w:jc w:val="both"/>
              <w:rPr>
                <w:rFonts w:eastAsia="Calibri"/>
                <w:sz w:val="20"/>
              </w:rPr>
            </w:pPr>
            <w:hyperlink r:id="rId31" w:history="1">
              <w:r w:rsidR="006613BD" w:rsidRPr="00B11387">
                <w:rPr>
                  <w:rFonts w:eastAsia="Calibri"/>
                  <w:color w:val="0000FF"/>
                  <w:sz w:val="20"/>
                  <w:u w:val="single"/>
                </w:rPr>
                <w:t>http://canlii.ca/t/fxshh</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Crown’s appeal allowed and new trial ordered.</w:t>
            </w:r>
          </w:p>
          <w:p w:rsidR="006613BD" w:rsidRPr="00B11387" w:rsidRDefault="006613BD" w:rsidP="008F1BDA">
            <w:pPr>
              <w:jc w:val="both"/>
              <w:rPr>
                <w:rFonts w:eastAsia="Calibri"/>
                <w:sz w:val="20"/>
              </w:rPr>
            </w:pPr>
          </w:p>
          <w:p w:rsidR="006613BD" w:rsidRPr="00B11387" w:rsidRDefault="006613BD" w:rsidP="008F1BDA">
            <w:pPr>
              <w:jc w:val="both"/>
              <w:rPr>
                <w:rFonts w:eastAsia="Calibri"/>
                <w:sz w:val="20"/>
              </w:rPr>
            </w:pPr>
          </w:p>
        </w:tc>
      </w:tr>
      <w:tr w:rsidR="006613BD" w:rsidRPr="00B11387" w:rsidTr="001D4B16">
        <w:trPr>
          <w:cantSplit/>
        </w:trPr>
        <w:tc>
          <w:tcPr>
            <w:tcW w:w="2427" w:type="pct"/>
          </w:tcPr>
          <w:p w:rsidR="006613BD" w:rsidRPr="00B11387" w:rsidRDefault="006613BD" w:rsidP="008F1BDA">
            <w:pPr>
              <w:jc w:val="both"/>
              <w:rPr>
                <w:rFonts w:eastAsia="Calibri"/>
                <w:sz w:val="20"/>
              </w:rPr>
            </w:pPr>
            <w:r w:rsidRPr="00B11387">
              <w:rPr>
                <w:rFonts w:eastAsia="Calibri"/>
                <w:sz w:val="20"/>
              </w:rPr>
              <w:t>August 21,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46"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i/>
                <w:sz w:val="20"/>
                <w:lang w:val="fr-CA"/>
              </w:rPr>
              <w:t>Charte des droits et libertés</w:t>
            </w:r>
            <w:r w:rsidRPr="00B11387">
              <w:rPr>
                <w:rFonts w:eastAsia="Calibri"/>
                <w:sz w:val="20"/>
                <w:lang w:val="fr-CA"/>
              </w:rPr>
              <w:t xml:space="preserve"> – Fouilles, perquisitions et saisies – Droit criminel – Fouille sans mandat – Soupçons raisonnables – En quoi consistent les soupçons raisonnables justifiant une fouille à l’aide d’un chien renifleur? – La Cour d’appel a</w:t>
            </w:r>
            <w:r w:rsidRPr="00B11387">
              <w:rPr>
                <w:rFonts w:eastAsia="Calibri"/>
                <w:sz w:val="20"/>
                <w:lang w:val="fr-CA"/>
              </w:rPr>
              <w:noBreakHyphen/>
              <w:t>t</w:t>
            </w:r>
            <w:r w:rsidRPr="00B11387">
              <w:rPr>
                <w:rFonts w:eastAsia="Calibri"/>
                <w:sz w:val="20"/>
                <w:lang w:val="fr-CA"/>
              </w:rPr>
              <w:noBreakHyphen/>
              <w:t>elle commis une erreur en concluant à l’existence de soupçons raisonnables? – La Cour d’appel a</w:t>
            </w:r>
            <w:r w:rsidRPr="00B11387">
              <w:rPr>
                <w:rFonts w:eastAsia="Calibri"/>
                <w:sz w:val="20"/>
                <w:lang w:val="fr-CA"/>
              </w:rPr>
              <w:noBreakHyphen/>
              <w:t>t</w:t>
            </w:r>
            <w:r w:rsidRPr="00B11387">
              <w:rPr>
                <w:rFonts w:eastAsia="Calibri"/>
                <w:sz w:val="20"/>
                <w:lang w:val="fr-CA"/>
              </w:rPr>
              <w:noBreakHyphen/>
              <w:t>elle commis une erreur en concluant que l’indication positive donnée par un chien renifleur permettra toujours à la police d’effectuer une fouille de confirmation? – La Cour d’appel a</w:t>
            </w:r>
            <w:r w:rsidRPr="00B11387">
              <w:rPr>
                <w:rFonts w:eastAsia="Calibri"/>
                <w:sz w:val="20"/>
                <w:lang w:val="fr-CA"/>
              </w:rPr>
              <w:noBreakHyphen/>
              <w:t>t</w:t>
            </w:r>
            <w:r w:rsidRPr="00B11387">
              <w:rPr>
                <w:rFonts w:eastAsia="Calibri"/>
                <w:sz w:val="20"/>
                <w:lang w:val="fr-CA"/>
              </w:rPr>
              <w:noBreakHyphen/>
              <w:t>elle commis une erreur en concluant que tous les chiens renifleurs entraînés par la police ont le même degré de fiabilité, de sorte que le simple fait qu’une indication positive soit donnée par un chien renifleur justifie une fouille subséquente? – Comment les tribunaux peuvent</w:t>
            </w:r>
            <w:r w:rsidRPr="00B11387">
              <w:rPr>
                <w:rFonts w:eastAsia="Calibri"/>
                <w:sz w:val="20"/>
                <w:lang w:val="fr-CA"/>
              </w:rPr>
              <w:noBreakHyphen/>
              <w:t xml:space="preserve">ils concilier les différents pouvoirs de fouille conférés sur le fondement des soupçons raisonnables exigés pour la fouille à l’aide d’un chien renifleur et des soupçons raisonnables exigés pour la détention aux fins d’enquête? – </w:t>
            </w:r>
            <w:r w:rsidRPr="00B11387">
              <w:rPr>
                <w:rFonts w:eastAsia="Calibri"/>
                <w:i/>
                <w:sz w:val="20"/>
                <w:lang w:val="fr-CA"/>
              </w:rPr>
              <w:t>Charte</w:t>
            </w:r>
            <w:r w:rsidRPr="00B11387">
              <w:rPr>
                <w:rFonts w:eastAsia="Calibri"/>
                <w:sz w:val="20"/>
                <w:lang w:val="fr-CA"/>
              </w:rPr>
              <w:t>, art. 8 et 24(1).</w:t>
            </w:r>
          </w:p>
        </w:tc>
      </w:tr>
      <w:tr w:rsidR="006613BD" w:rsidRPr="008138B5" w:rsidTr="008F1BDA">
        <w:tc>
          <w:tcPr>
            <w:tcW w:w="5000" w:type="pct"/>
            <w:gridSpan w:val="3"/>
          </w:tcPr>
          <w:p w:rsidR="006613BD" w:rsidRPr="00B11387" w:rsidRDefault="006613BD" w:rsidP="008F1BDA">
            <w:pPr>
              <w:jc w:val="both"/>
              <w:rPr>
                <w:rFonts w:eastAsia="Calibri"/>
                <w:sz w:val="20"/>
                <w:lang w:val="fr-CA"/>
              </w:rPr>
            </w:pPr>
          </w:p>
        </w:tc>
      </w:tr>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 xml:space="preserve">Le juge du procès a conclu que la fouille du véhicule (la Dodge Charger) effectuée par la police  violait les droits garantis à la demanderesse par l’art. 8 de la </w:t>
            </w:r>
            <w:r w:rsidRPr="00B11387">
              <w:rPr>
                <w:rFonts w:eastAsia="Calibri"/>
                <w:i/>
                <w:sz w:val="20"/>
                <w:lang w:val="fr-CA"/>
              </w:rPr>
              <w:t>Charte</w:t>
            </w:r>
            <w:r w:rsidRPr="00B11387">
              <w:rPr>
                <w:rFonts w:eastAsia="Calibri"/>
                <w:sz w:val="20"/>
                <w:lang w:val="fr-CA"/>
              </w:rPr>
              <w:t xml:space="preserve">, et a, conformément au par. 24(2) de la </w:t>
            </w:r>
            <w:r w:rsidRPr="00B11387">
              <w:rPr>
                <w:rFonts w:eastAsia="Calibri"/>
                <w:i/>
                <w:sz w:val="20"/>
                <w:lang w:val="fr-CA"/>
              </w:rPr>
              <w:t>Charte</w:t>
            </w:r>
            <w:r w:rsidRPr="00B11387">
              <w:rPr>
                <w:rFonts w:eastAsia="Calibri"/>
                <w:sz w:val="20"/>
                <w:lang w:val="fr-CA"/>
              </w:rPr>
              <w:t xml:space="preserve">, écarté les éléments de preuve que la fouille avait permis de découvrir.  Le juge du procès a acquitté la demanderesse d’une accusation de possession d’ecstasy en vue d’en faire le trafic, en violation du par. 5(2) de la </w:t>
            </w:r>
            <w:r w:rsidRPr="00B11387">
              <w:rPr>
                <w:rFonts w:eastAsia="Calibri"/>
                <w:i/>
                <w:sz w:val="20"/>
                <w:lang w:val="fr-CA"/>
              </w:rPr>
              <w:t>Loi réglementant certaines drogues et autres substances</w:t>
            </w:r>
            <w:r w:rsidRPr="00B11387">
              <w:rPr>
                <w:rFonts w:eastAsia="Calibri"/>
                <w:sz w:val="20"/>
                <w:lang w:val="fr-CA"/>
              </w:rPr>
              <w:t xml:space="preserve">.  La Cour d’appel a conclu que la fouille du coffre de la Dodge Charger et la saisie du paquet s’y trouvant étaient toutes deux légales et ne portaient donc pas atteinte à l’art. 8 de la </w:t>
            </w:r>
            <w:r w:rsidRPr="00B11387">
              <w:rPr>
                <w:rFonts w:eastAsia="Calibri"/>
                <w:i/>
                <w:sz w:val="20"/>
                <w:lang w:val="fr-CA"/>
              </w:rPr>
              <w:t>Charte</w:t>
            </w:r>
            <w:r w:rsidRPr="00B11387">
              <w:rPr>
                <w:rFonts w:eastAsia="Calibri"/>
                <w:sz w:val="20"/>
                <w:lang w:val="fr-CA"/>
              </w:rPr>
              <w:t>.  La Cour d’appel a conclu que le juge du procès avait commis une erreur de droit en écartant la drogue de la preuve.  L’appel interjeté par le ministère public a été accueilli et un nouveau procès a été ordonné.</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16 mars 2011</w:t>
            </w:r>
          </w:p>
          <w:p w:rsidR="006613BD" w:rsidRPr="00B11387" w:rsidRDefault="006613BD" w:rsidP="008F1BDA">
            <w:pPr>
              <w:jc w:val="both"/>
              <w:rPr>
                <w:rFonts w:eastAsia="Calibri"/>
                <w:sz w:val="20"/>
                <w:lang w:val="fr-CA"/>
              </w:rPr>
            </w:pPr>
            <w:r w:rsidRPr="00B11387">
              <w:rPr>
                <w:rFonts w:eastAsia="Calibri"/>
                <w:sz w:val="20"/>
                <w:lang w:val="fr-CA"/>
              </w:rPr>
              <w:t>Cour du Banc de la Reine du Manitoba</w:t>
            </w:r>
          </w:p>
          <w:p w:rsidR="006613BD" w:rsidRPr="00B11387" w:rsidRDefault="006613BD" w:rsidP="008F1BDA">
            <w:pPr>
              <w:jc w:val="both"/>
              <w:rPr>
                <w:rFonts w:eastAsia="Calibri"/>
                <w:sz w:val="20"/>
                <w:lang w:val="fr-CA"/>
              </w:rPr>
            </w:pPr>
            <w:r w:rsidRPr="00B11387">
              <w:rPr>
                <w:rFonts w:eastAsia="Calibri"/>
                <w:sz w:val="20"/>
                <w:lang w:val="fr-CA"/>
              </w:rPr>
              <w:t>(Juge Menzies)</w:t>
            </w:r>
          </w:p>
          <w:p w:rsidR="006613BD" w:rsidRPr="00B11387" w:rsidRDefault="006613BD" w:rsidP="008F1BDA">
            <w:pPr>
              <w:jc w:val="both"/>
              <w:rPr>
                <w:rFonts w:eastAsia="Calibri"/>
                <w:sz w:val="20"/>
                <w:lang w:val="fr-CA"/>
              </w:rPr>
            </w:pPr>
            <w:r w:rsidRPr="00B11387">
              <w:rPr>
                <w:rFonts w:eastAsia="Calibri"/>
                <w:sz w:val="20"/>
                <w:lang w:val="fr-CA"/>
              </w:rPr>
              <w:t>2011 MBQB 58</w:t>
            </w:r>
          </w:p>
          <w:p w:rsidR="006613BD" w:rsidRPr="00B11387" w:rsidRDefault="00F425BC" w:rsidP="008F1BDA">
            <w:pPr>
              <w:jc w:val="both"/>
              <w:rPr>
                <w:rFonts w:eastAsia="Calibri"/>
                <w:sz w:val="20"/>
                <w:lang w:val="fr-CA"/>
              </w:rPr>
            </w:pPr>
            <w:hyperlink r:id="rId32" w:history="1">
              <w:r w:rsidR="006613BD" w:rsidRPr="00B11387">
                <w:rPr>
                  <w:rFonts w:eastAsia="Calibri"/>
                  <w:color w:val="0000FF"/>
                  <w:sz w:val="20"/>
                  <w:u w:val="single"/>
                  <w:lang w:val="fr-CA"/>
                </w:rPr>
                <w:t>http://canlii.ca/t/fkp3z</w:t>
              </w:r>
            </w:hyperlink>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Demanderesse acquittée.</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30 mai 2013</w:t>
            </w:r>
          </w:p>
          <w:p w:rsidR="006613BD" w:rsidRPr="00B11387" w:rsidRDefault="006613BD" w:rsidP="008F1BDA">
            <w:pPr>
              <w:jc w:val="both"/>
              <w:rPr>
                <w:rFonts w:eastAsia="Calibri"/>
                <w:sz w:val="20"/>
                <w:lang w:val="fr-CA"/>
              </w:rPr>
            </w:pPr>
            <w:r w:rsidRPr="00B11387">
              <w:rPr>
                <w:rFonts w:eastAsia="Calibri"/>
                <w:sz w:val="20"/>
                <w:lang w:val="fr-CA"/>
              </w:rPr>
              <w:t>Cour d’appel du Manitoba</w:t>
            </w:r>
          </w:p>
          <w:p w:rsidR="006613BD" w:rsidRPr="00B11387" w:rsidRDefault="006613BD" w:rsidP="008F1BDA">
            <w:pPr>
              <w:jc w:val="both"/>
              <w:rPr>
                <w:rFonts w:eastAsia="Calibri"/>
                <w:sz w:val="20"/>
                <w:lang w:val="fr-CA"/>
              </w:rPr>
            </w:pPr>
            <w:r w:rsidRPr="00B11387">
              <w:rPr>
                <w:rFonts w:eastAsia="Calibri"/>
                <w:sz w:val="20"/>
                <w:lang w:val="fr-CA"/>
              </w:rPr>
              <w:t>(Juge en chef Scott et juges Beard et Monnin)</w:t>
            </w:r>
          </w:p>
          <w:p w:rsidR="006613BD" w:rsidRPr="00B11387" w:rsidRDefault="006613BD" w:rsidP="008F1BDA">
            <w:pPr>
              <w:jc w:val="both"/>
              <w:rPr>
                <w:rFonts w:eastAsia="Calibri"/>
                <w:sz w:val="20"/>
              </w:rPr>
            </w:pPr>
            <w:r w:rsidRPr="00B11387">
              <w:rPr>
                <w:rFonts w:eastAsia="Calibri"/>
                <w:sz w:val="20"/>
              </w:rPr>
              <w:t>2013 MBCA 40</w:t>
            </w:r>
          </w:p>
          <w:p w:rsidR="006613BD" w:rsidRPr="00B11387" w:rsidRDefault="008138B5" w:rsidP="008F1BDA">
            <w:pPr>
              <w:jc w:val="both"/>
              <w:rPr>
                <w:rFonts w:eastAsia="Calibri"/>
                <w:sz w:val="20"/>
              </w:rPr>
            </w:pPr>
            <w:hyperlink r:id="rId33" w:history="1">
              <w:r w:rsidR="006613BD" w:rsidRPr="00B11387">
                <w:rPr>
                  <w:rFonts w:eastAsia="Calibri"/>
                  <w:color w:val="0000FF"/>
                  <w:sz w:val="20"/>
                  <w:u w:val="single"/>
                </w:rPr>
                <w:t>http://canlii.ca/t/fxshh</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Appel du ministère public accueilli et nouveau procès ordonné.</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21 août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p w:rsidR="006613BD" w:rsidRPr="00B11387" w:rsidRDefault="006613BD" w:rsidP="008F1BDA">
            <w:pPr>
              <w:jc w:val="both"/>
              <w:rPr>
                <w:rFonts w:eastAsia="Calibri"/>
                <w:sz w:val="20"/>
                <w:lang w:val="fr-CA"/>
              </w:rPr>
            </w:pPr>
          </w:p>
        </w:tc>
      </w:tr>
    </w:tbl>
    <w:p w:rsidR="00990ADE" w:rsidRDefault="00990ADE" w:rsidP="00990ADE">
      <w:pPr>
        <w:rPr>
          <w:sz w:val="20"/>
          <w:szCs w:val="20"/>
        </w:rPr>
      </w:pPr>
    </w:p>
    <w:p w:rsidR="00990ADE" w:rsidRDefault="008138B5" w:rsidP="00990ADE">
      <w:pPr>
        <w:rPr>
          <w:sz w:val="20"/>
          <w:szCs w:val="20"/>
          <w:lang w:val="fr-CA"/>
        </w:rPr>
      </w:pPr>
      <w:r>
        <w:rPr>
          <w:sz w:val="20"/>
          <w:szCs w:val="20"/>
          <w:lang w:val="fr-CA"/>
        </w:rPr>
        <w:pict>
          <v:rect id="_x0000_i1047" style="width:2in;height:1pt" o:hrpct="0" o:hralign="center" o:hrstd="t" o:hrnoshade="t" o:hr="t" fillcolor="black [3213]" stroked="f"/>
        </w:pict>
      </w:r>
    </w:p>
    <w:p w:rsidR="00990ADE" w:rsidRDefault="00990ADE" w:rsidP="00990ADE">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1D4B16" w:rsidTr="001D4B16">
        <w:trPr>
          <w:cantSplit/>
        </w:trPr>
        <w:tc>
          <w:tcPr>
            <w:tcW w:w="1458" w:type="dxa"/>
          </w:tcPr>
          <w:p w:rsidR="001D4B16" w:rsidRPr="001D4B16" w:rsidRDefault="001D4B16" w:rsidP="001D4B16">
            <w:pPr>
              <w:rPr>
                <w:sz w:val="20"/>
              </w:rPr>
            </w:pPr>
            <w:r w:rsidRPr="001D4B16">
              <w:rPr>
                <w:b/>
                <w:sz w:val="20"/>
                <w:lang w:val="fr-CA"/>
              </w:rPr>
              <w:lastRenderedPageBreak/>
              <w:t>35501</w:t>
            </w:r>
          </w:p>
          <w:p w:rsidR="001D4B16" w:rsidRPr="001D4B16" w:rsidRDefault="001D4B16" w:rsidP="001D4B16">
            <w:pPr>
              <w:rPr>
                <w:b/>
                <w:sz w:val="20"/>
                <w:lang w:val="fr-CA"/>
              </w:rPr>
            </w:pPr>
          </w:p>
        </w:tc>
        <w:tc>
          <w:tcPr>
            <w:tcW w:w="8118" w:type="dxa"/>
          </w:tcPr>
          <w:p w:rsidR="001D4B16" w:rsidRPr="001D4B16" w:rsidRDefault="001D4B16" w:rsidP="001D4B16">
            <w:pPr>
              <w:rPr>
                <w:sz w:val="20"/>
              </w:rPr>
            </w:pPr>
            <w:r w:rsidRPr="001D4B16">
              <w:rPr>
                <w:b/>
                <w:sz w:val="20"/>
                <w:u w:val="single"/>
              </w:rPr>
              <w:t>Allen Dale Forsyth v. Coast Mountain Bus Company</w:t>
            </w:r>
            <w:r w:rsidRPr="001D4B16">
              <w:rPr>
                <w:sz w:val="20"/>
              </w:rPr>
              <w:t xml:space="preserve"> (B.C.) (Civil) (By Leave)</w:t>
            </w:r>
          </w:p>
          <w:p w:rsidR="001D4B16" w:rsidRPr="001D4B16" w:rsidRDefault="001D4B16" w:rsidP="001D4B16">
            <w:pPr>
              <w:rPr>
                <w:sz w:val="20"/>
              </w:rPr>
            </w:pPr>
          </w:p>
        </w:tc>
      </w:tr>
      <w:tr w:rsidR="001D4B16" w:rsidRPr="001D4B16" w:rsidTr="001D4B16">
        <w:trPr>
          <w:cantSplit/>
        </w:trPr>
        <w:tc>
          <w:tcPr>
            <w:tcW w:w="1458" w:type="dxa"/>
          </w:tcPr>
          <w:p w:rsidR="001D4B16" w:rsidRPr="001D4B16" w:rsidRDefault="001D4B16" w:rsidP="001D4B16">
            <w:pPr>
              <w:rPr>
                <w:sz w:val="20"/>
              </w:rPr>
            </w:pPr>
            <w:r w:rsidRPr="001D4B16">
              <w:rPr>
                <w:sz w:val="20"/>
              </w:rPr>
              <w:t>Coram :</w:t>
            </w:r>
          </w:p>
        </w:tc>
        <w:tc>
          <w:tcPr>
            <w:tcW w:w="8118" w:type="dxa"/>
          </w:tcPr>
          <w:p w:rsidR="001D4B16" w:rsidRPr="001D4B16" w:rsidRDefault="001D4B16" w:rsidP="001D4B16">
            <w:pPr>
              <w:rPr>
                <w:sz w:val="20"/>
              </w:rPr>
            </w:pPr>
            <w:r w:rsidRPr="001D4B16">
              <w:rPr>
                <w:sz w:val="20"/>
                <w:u w:val="single"/>
              </w:rPr>
              <w:t>Abella, Rothstein and Moldaver JJ.</w:t>
            </w:r>
          </w:p>
          <w:p w:rsidR="001D4B16" w:rsidRPr="001D4B16" w:rsidRDefault="001D4B16" w:rsidP="001D4B16">
            <w:pPr>
              <w:rPr>
                <w:sz w:val="20"/>
                <w:u w:val="single"/>
              </w:rPr>
            </w:pPr>
          </w:p>
        </w:tc>
      </w:tr>
      <w:tr w:rsidR="001D4B16" w:rsidRPr="008138B5" w:rsidTr="001D4B16">
        <w:trPr>
          <w:cantSplit/>
        </w:trPr>
        <w:tc>
          <w:tcPr>
            <w:tcW w:w="9576" w:type="dxa"/>
            <w:gridSpan w:val="2"/>
          </w:tcPr>
          <w:p w:rsidR="001D4B16" w:rsidRPr="001D4B16" w:rsidRDefault="001D4B16" w:rsidP="001D4B16">
            <w:pPr>
              <w:ind w:firstLine="720"/>
              <w:jc w:val="both"/>
              <w:rPr>
                <w:sz w:val="20"/>
              </w:rPr>
            </w:pPr>
            <w:r w:rsidRPr="001D4B16">
              <w:rPr>
                <w:sz w:val="20"/>
              </w:rPr>
              <w:t>The application for leave to appeal from the judgment of the Court of Appeal for British Columbia (Vancouver), Number CA039745, 2013 BCCA 257, dated June 3, 2013, is dismissed with costs.</w:t>
            </w:r>
          </w:p>
          <w:p w:rsidR="001D4B16" w:rsidRPr="001D4B16" w:rsidRDefault="001D4B16" w:rsidP="001D4B16">
            <w:pPr>
              <w:jc w:val="both"/>
              <w:rPr>
                <w:sz w:val="20"/>
              </w:rPr>
            </w:pPr>
          </w:p>
          <w:p w:rsidR="001D4B16" w:rsidRPr="001D4B16" w:rsidRDefault="001D4B16" w:rsidP="001D4B16">
            <w:pPr>
              <w:ind w:firstLine="720"/>
              <w:jc w:val="both"/>
              <w:rPr>
                <w:sz w:val="20"/>
                <w:lang w:val="fr-CA"/>
              </w:rPr>
            </w:pPr>
            <w:r w:rsidRPr="001D4B16">
              <w:rPr>
                <w:sz w:val="20"/>
                <w:lang w:val="fr-CA"/>
              </w:rPr>
              <w:t>La demande d’autorisation d’appel de l’arrêt de la Cour d’appel de la Colombie-Britannique (Vancouver), numéro CA039745, 2013 BCCA 257, daté du 3 juin 2013, est rejeté avec dépens.</w:t>
            </w:r>
          </w:p>
        </w:tc>
      </w:tr>
    </w:tbl>
    <w:p w:rsidR="00990ADE" w:rsidRPr="001D4B16" w:rsidRDefault="00990ADE" w:rsidP="000E2959">
      <w:pPr>
        <w:rPr>
          <w:sz w:val="20"/>
          <w:szCs w:val="20"/>
          <w:lang w:val="fr-CA"/>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Human rights – Discriminatory Practices – Age – Whether employers may shield themselves from modern human rights obligations in ongoing relationships by pointing back to policies that were once permissible – Whether employees are responsible for asking their employers to adhere to human rights law – Whether older workers who can be terminated without just and reasonable cause are subject to adverse treatment?</w:t>
            </w:r>
          </w:p>
          <w:p w:rsidR="006613BD" w:rsidRPr="00B11387" w:rsidRDefault="006613BD" w:rsidP="008F1BDA">
            <w:pPr>
              <w:jc w:val="both"/>
              <w:rPr>
                <w:rFonts w:eastAsia="Calibri"/>
                <w:smallCaps/>
                <w:sz w:val="20"/>
              </w:rPr>
            </w:pPr>
          </w:p>
          <w:p w:rsidR="006613BD" w:rsidRPr="00B11387" w:rsidRDefault="006613BD" w:rsidP="008F1BDA">
            <w:pPr>
              <w:jc w:val="both"/>
              <w:rPr>
                <w:rFonts w:eastAsia="Calibri"/>
                <w:sz w:val="20"/>
              </w:rPr>
            </w:pPr>
            <w:r w:rsidRPr="00B11387">
              <w:rPr>
                <w:rFonts w:eastAsia="Calibri"/>
                <w:sz w:val="20"/>
              </w:rPr>
              <w:t xml:space="preserve">The respondent, Coast Mountain Bus Company, hired the applicant in February 2007 when he was 66 years old.  The employer had policy for mandatory retirement at age 65 which, at the time, was consistent with the provisions of the </w:t>
            </w:r>
            <w:r w:rsidRPr="00B11387">
              <w:rPr>
                <w:rFonts w:eastAsia="Calibri"/>
                <w:i/>
                <w:sz w:val="20"/>
              </w:rPr>
              <w:t>Human Rights Code</w:t>
            </w:r>
            <w:r w:rsidRPr="00B11387">
              <w:rPr>
                <w:rFonts w:eastAsia="Calibri"/>
                <w:sz w:val="20"/>
              </w:rPr>
              <w:t xml:space="preserve">.  Pursuant to this policy, those over age 65 could be hired but only for temporary positions.  As a result, the applicant’s position was temporary rather than permanent. </w:t>
            </w:r>
          </w:p>
          <w:p w:rsidR="006613BD" w:rsidRPr="00B11387" w:rsidRDefault="006613BD" w:rsidP="008F1BDA">
            <w:pPr>
              <w:jc w:val="both"/>
              <w:rPr>
                <w:rFonts w:eastAsia="Calibri"/>
                <w:sz w:val="20"/>
              </w:rPr>
            </w:pPr>
          </w:p>
          <w:p w:rsidR="006613BD" w:rsidRPr="00B11387" w:rsidRDefault="006613BD" w:rsidP="008F1BDA">
            <w:pPr>
              <w:jc w:val="both"/>
              <w:rPr>
                <w:rFonts w:eastAsia="Calibri"/>
                <w:sz w:val="20"/>
              </w:rPr>
            </w:pPr>
            <w:r w:rsidRPr="00B11387">
              <w:rPr>
                <w:rFonts w:eastAsia="Calibri"/>
                <w:sz w:val="20"/>
              </w:rPr>
              <w:t xml:space="preserve">In January 2008, the </w:t>
            </w:r>
            <w:r w:rsidRPr="00B11387">
              <w:rPr>
                <w:rFonts w:eastAsia="Calibri"/>
                <w:i/>
                <w:sz w:val="20"/>
              </w:rPr>
              <w:t>Human Rights Code</w:t>
            </w:r>
            <w:r w:rsidRPr="00B11387">
              <w:rPr>
                <w:rFonts w:eastAsia="Calibri"/>
                <w:sz w:val="20"/>
              </w:rPr>
              <w:t xml:space="preserve"> was amended in such a way that the definition of age was expanded to include those over age 65.  The employer’s policy was subsequently changed to reflect this.  Employees received notice of the legislative amendment.  The applicant did not apply for a permanent position.  The company also did not transfer him to a permanent position. He remained in his temporary position until terminated in September 2009.</w:t>
            </w:r>
          </w:p>
        </w:tc>
      </w:tr>
      <w:tr w:rsidR="006613BD" w:rsidRPr="00B11387" w:rsidTr="008F1BDA">
        <w:tc>
          <w:tcPr>
            <w:tcW w:w="5000" w:type="pct"/>
            <w:gridSpan w:val="3"/>
          </w:tcPr>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June 3, 2011</w:t>
            </w:r>
          </w:p>
          <w:p w:rsidR="006613BD" w:rsidRPr="00B11387" w:rsidRDefault="006613BD" w:rsidP="008F1BDA">
            <w:pPr>
              <w:jc w:val="both"/>
              <w:rPr>
                <w:rFonts w:eastAsia="Calibri"/>
                <w:sz w:val="20"/>
              </w:rPr>
            </w:pPr>
            <w:r w:rsidRPr="00B11387">
              <w:rPr>
                <w:rFonts w:eastAsia="Calibri"/>
                <w:sz w:val="20"/>
              </w:rPr>
              <w:t>British Columbia Human Rights Tribunal</w:t>
            </w:r>
          </w:p>
          <w:p w:rsidR="006613BD" w:rsidRPr="00B11387" w:rsidRDefault="006613BD" w:rsidP="008F1BDA">
            <w:pPr>
              <w:jc w:val="both"/>
              <w:rPr>
                <w:rFonts w:eastAsia="Calibri"/>
                <w:sz w:val="20"/>
              </w:rPr>
            </w:pPr>
            <w:r w:rsidRPr="00B11387">
              <w:rPr>
                <w:rFonts w:eastAsia="Calibri"/>
                <w:sz w:val="20"/>
              </w:rPr>
              <w:t>(Neuenfeldt, Karl)</w:t>
            </w:r>
          </w:p>
          <w:p w:rsidR="006613BD" w:rsidRPr="00B11387" w:rsidRDefault="006613BD" w:rsidP="008F1BDA">
            <w:pPr>
              <w:jc w:val="both"/>
              <w:rPr>
                <w:rFonts w:eastAsia="Calibri"/>
                <w:sz w:val="20"/>
              </w:rPr>
            </w:pPr>
            <w:r w:rsidRPr="00B11387">
              <w:rPr>
                <w:rFonts w:eastAsia="Calibri"/>
                <w:sz w:val="20"/>
              </w:rPr>
              <w:t xml:space="preserve">Neutral citation: </w:t>
            </w:r>
            <w:hyperlink r:id="rId34" w:history="1">
              <w:r w:rsidRPr="00B11387">
                <w:rPr>
                  <w:rFonts w:eastAsia="Calibri"/>
                  <w:color w:val="0000FF"/>
                  <w:sz w:val="20"/>
                  <w:u w:val="single"/>
                </w:rPr>
                <w:t>2011 BCHRT 133</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Complaint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February 2, 2012</w:t>
            </w:r>
          </w:p>
          <w:p w:rsidR="006613BD" w:rsidRPr="00B11387" w:rsidRDefault="006613BD" w:rsidP="008F1BDA">
            <w:pPr>
              <w:jc w:val="both"/>
              <w:rPr>
                <w:rFonts w:eastAsia="Calibri"/>
                <w:sz w:val="20"/>
              </w:rPr>
            </w:pPr>
            <w:r w:rsidRPr="00B11387">
              <w:rPr>
                <w:rFonts w:eastAsia="Calibri"/>
                <w:sz w:val="20"/>
              </w:rPr>
              <w:t>Supreme Court of British Columbia</w:t>
            </w:r>
          </w:p>
          <w:p w:rsidR="006613BD" w:rsidRPr="00B11387" w:rsidRDefault="006613BD" w:rsidP="008F1BDA">
            <w:pPr>
              <w:jc w:val="both"/>
              <w:rPr>
                <w:rFonts w:eastAsia="Calibri"/>
                <w:sz w:val="20"/>
              </w:rPr>
            </w:pPr>
            <w:r w:rsidRPr="00B11387">
              <w:rPr>
                <w:rFonts w:eastAsia="Calibri"/>
                <w:sz w:val="20"/>
              </w:rPr>
              <w:t>(Willcock J.)</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Petition to set aside the decision of the Tribunal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June 3, 2013</w:t>
            </w:r>
          </w:p>
          <w:p w:rsidR="006613BD" w:rsidRPr="00B11387" w:rsidRDefault="006613BD" w:rsidP="008F1BDA">
            <w:pPr>
              <w:jc w:val="both"/>
              <w:rPr>
                <w:rFonts w:eastAsia="Calibri"/>
                <w:sz w:val="20"/>
              </w:rPr>
            </w:pPr>
            <w:r w:rsidRPr="00B11387">
              <w:rPr>
                <w:rFonts w:eastAsia="Calibri"/>
                <w:sz w:val="20"/>
              </w:rPr>
              <w:t xml:space="preserve">Court of Appeal for British Columbia </w:t>
            </w:r>
          </w:p>
          <w:p w:rsidR="006613BD" w:rsidRPr="00B11387" w:rsidRDefault="006613BD" w:rsidP="008F1BDA">
            <w:pPr>
              <w:jc w:val="both"/>
              <w:rPr>
                <w:rFonts w:eastAsia="Calibri"/>
                <w:sz w:val="20"/>
              </w:rPr>
            </w:pPr>
            <w:r w:rsidRPr="00B11387">
              <w:rPr>
                <w:rFonts w:eastAsia="Calibri"/>
                <w:sz w:val="20"/>
              </w:rPr>
              <w:t>(Vancouver)</w:t>
            </w:r>
          </w:p>
          <w:p w:rsidR="006613BD" w:rsidRPr="00B11387" w:rsidRDefault="006613BD" w:rsidP="008F1BDA">
            <w:pPr>
              <w:jc w:val="both"/>
              <w:rPr>
                <w:rFonts w:eastAsia="Calibri"/>
                <w:sz w:val="20"/>
              </w:rPr>
            </w:pPr>
            <w:r w:rsidRPr="00B11387">
              <w:rPr>
                <w:rFonts w:eastAsia="Calibri"/>
                <w:sz w:val="20"/>
              </w:rPr>
              <w:t>(Lowry, Tysoe, and Bennett JJ.A.)</w:t>
            </w:r>
          </w:p>
          <w:p w:rsidR="006613BD" w:rsidRPr="00B11387" w:rsidRDefault="006613BD" w:rsidP="008F1BDA">
            <w:pPr>
              <w:jc w:val="both"/>
              <w:rPr>
                <w:rFonts w:eastAsia="Calibri"/>
                <w:sz w:val="20"/>
              </w:rPr>
            </w:pPr>
            <w:r w:rsidRPr="00B11387">
              <w:rPr>
                <w:rFonts w:eastAsia="Calibri"/>
                <w:sz w:val="20"/>
              </w:rPr>
              <w:t xml:space="preserve">Neutral citation: </w:t>
            </w:r>
            <w:hyperlink r:id="rId35" w:history="1">
              <w:r w:rsidRPr="00B11387">
                <w:rPr>
                  <w:rFonts w:eastAsia="Calibri"/>
                  <w:color w:val="0000FF"/>
                  <w:sz w:val="20"/>
                  <w:u w:val="single"/>
                </w:rPr>
                <w:t>2013 BCCA 257</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Appeal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August 30,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48"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Droits de la personne – Pratiques discriminatoires – Âge – Les employeurs peuvent</w:t>
            </w:r>
            <w:r w:rsidRPr="00B11387">
              <w:rPr>
                <w:rFonts w:eastAsia="Calibri"/>
                <w:sz w:val="20"/>
                <w:lang w:val="fr-CA"/>
              </w:rPr>
              <w:noBreakHyphen/>
              <w:t xml:space="preserve">ils se soustraire à leurs obligations </w:t>
            </w:r>
            <w:r w:rsidRPr="00B11387">
              <w:rPr>
                <w:rFonts w:eastAsia="Calibri"/>
                <w:sz w:val="20"/>
                <w:lang w:val="fr-CA"/>
              </w:rPr>
              <w:lastRenderedPageBreak/>
              <w:t>modernes en matière de droits de la personne dans leurs relations continues par un renvoi à des politiques autrefois admissibles? – Incombe</w:t>
            </w:r>
            <w:r w:rsidRPr="00B11387">
              <w:rPr>
                <w:rFonts w:eastAsia="Calibri"/>
                <w:sz w:val="20"/>
                <w:lang w:val="fr-CA"/>
              </w:rPr>
              <w:noBreakHyphen/>
              <w:t>t</w:t>
            </w:r>
            <w:r w:rsidRPr="00B11387">
              <w:rPr>
                <w:rFonts w:eastAsia="Calibri"/>
                <w:sz w:val="20"/>
                <w:lang w:val="fr-CA"/>
              </w:rPr>
              <w:noBreakHyphen/>
              <w:t>il aux employés de demander à leur employeur de se conformer aux règles de droit applicables en matière de droits de la personne? – Les travailleurs plus âgés pouvant être renvoyés sans cause juste et raisonnable sont</w:t>
            </w:r>
            <w:r w:rsidRPr="00B11387">
              <w:rPr>
                <w:rFonts w:eastAsia="Calibri"/>
                <w:sz w:val="20"/>
                <w:lang w:val="fr-CA"/>
              </w:rPr>
              <w:noBreakHyphen/>
              <w:t>ils traités défavorablement?</w:t>
            </w:r>
          </w:p>
          <w:p w:rsidR="006613BD" w:rsidRPr="00B11387" w:rsidRDefault="006613BD" w:rsidP="008F1BDA">
            <w:pPr>
              <w:jc w:val="both"/>
              <w:rPr>
                <w:rFonts w:eastAsia="Calibri"/>
                <w:smallCaps/>
                <w:sz w:val="20"/>
                <w:lang w:val="fr-CA"/>
              </w:rPr>
            </w:pPr>
          </w:p>
          <w:p w:rsidR="006613BD" w:rsidRPr="00B11387" w:rsidRDefault="006613BD" w:rsidP="008F1BDA">
            <w:pPr>
              <w:jc w:val="both"/>
              <w:rPr>
                <w:rFonts w:eastAsia="Calibri"/>
                <w:sz w:val="20"/>
                <w:lang w:val="fr-CA"/>
              </w:rPr>
            </w:pPr>
            <w:r w:rsidRPr="00B11387">
              <w:rPr>
                <w:rFonts w:eastAsia="Calibri"/>
                <w:sz w:val="20"/>
                <w:lang w:val="fr-CA"/>
              </w:rPr>
              <w:t xml:space="preserve">En février 2007, l’intimée, Coast Mountain Bus Company, a embauché le demandeur alors qu’il était âgé de 66 ans.  L’employeur avait une politique établissant à 65 ans l’âge de la retraite obligatoire, politique alors compatible avec les dispositions du </w:t>
            </w:r>
            <w:r w:rsidRPr="00B11387">
              <w:rPr>
                <w:rFonts w:eastAsia="Calibri"/>
                <w:i/>
                <w:sz w:val="20"/>
                <w:lang w:val="fr-CA"/>
              </w:rPr>
              <w:t>Human Rights Code</w:t>
            </w:r>
            <w:r w:rsidRPr="00B11387">
              <w:rPr>
                <w:rFonts w:eastAsia="Calibri"/>
                <w:sz w:val="20"/>
                <w:lang w:val="fr-CA"/>
              </w:rPr>
              <w:t xml:space="preserve">.  Suivant cette politique, il pouvait embaucher des personnes âgées de plus de 65 ans, mais ne pouvait leur offrir que des postes temporaires.  Le demandeur a donc obtenu un poste temporaire plutôt qu’un poste permanent. </w:t>
            </w:r>
          </w:p>
          <w:p w:rsidR="006613BD" w:rsidRPr="00B11387" w:rsidRDefault="006613BD" w:rsidP="008F1BDA">
            <w:pPr>
              <w:jc w:val="both"/>
              <w:rPr>
                <w:rFonts w:eastAsia="Calibri"/>
                <w:sz w:val="20"/>
                <w:lang w:val="fr-CA"/>
              </w:rPr>
            </w:pPr>
          </w:p>
          <w:p w:rsidR="006613BD" w:rsidRPr="00B11387" w:rsidRDefault="006613BD" w:rsidP="008F1BDA">
            <w:pPr>
              <w:jc w:val="both"/>
              <w:rPr>
                <w:rFonts w:eastAsia="Calibri"/>
                <w:sz w:val="20"/>
                <w:lang w:val="fr-CA"/>
              </w:rPr>
            </w:pPr>
            <w:r w:rsidRPr="00B11387">
              <w:rPr>
                <w:rFonts w:eastAsia="Calibri"/>
                <w:sz w:val="20"/>
                <w:lang w:val="fr-CA"/>
              </w:rPr>
              <w:t xml:space="preserve">En janvier 2008, le </w:t>
            </w:r>
            <w:r w:rsidRPr="00B11387">
              <w:rPr>
                <w:rFonts w:eastAsia="Calibri"/>
                <w:i/>
                <w:sz w:val="20"/>
                <w:lang w:val="fr-CA"/>
              </w:rPr>
              <w:t>Human Rights Code</w:t>
            </w:r>
            <w:r w:rsidRPr="00B11387">
              <w:rPr>
                <w:rFonts w:eastAsia="Calibri"/>
                <w:sz w:val="20"/>
                <w:lang w:val="fr-CA"/>
              </w:rPr>
              <w:t xml:space="preserve"> a été modifié de sorte que la définition de l’âge englobe   les personnes âgées de plus de 65 ans.  La politique de l’employeur a par la suite été modifiée en conséquence.  Les employés ont été informés de cette modification législative.  Le demandeur n’a pas présenté sa candidature pour un poste permanent.  La société ne l’a pas non plus muté à un poste permanent.  Le demandeur a conservé son poste temporaire jusqu’à son renvoi en septembre 2009.</w:t>
            </w:r>
          </w:p>
        </w:tc>
      </w:tr>
      <w:tr w:rsidR="006613BD" w:rsidRPr="008138B5" w:rsidTr="008F1BDA">
        <w:tc>
          <w:tcPr>
            <w:tcW w:w="5000" w:type="pct"/>
            <w:gridSpan w:val="3"/>
          </w:tcPr>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3 juin 2011</w:t>
            </w:r>
          </w:p>
          <w:p w:rsidR="006613BD" w:rsidRPr="00B11387" w:rsidRDefault="006613BD" w:rsidP="008F1BDA">
            <w:pPr>
              <w:jc w:val="both"/>
              <w:rPr>
                <w:rFonts w:eastAsia="Calibri"/>
                <w:sz w:val="20"/>
              </w:rPr>
            </w:pPr>
            <w:r w:rsidRPr="00B11387">
              <w:rPr>
                <w:rFonts w:eastAsia="Calibri"/>
                <w:sz w:val="20"/>
              </w:rPr>
              <w:t>British Columbia Human Rights Tribunal</w:t>
            </w:r>
          </w:p>
          <w:p w:rsidR="006613BD" w:rsidRPr="00B11387" w:rsidRDefault="006613BD" w:rsidP="008F1BDA">
            <w:pPr>
              <w:jc w:val="both"/>
              <w:rPr>
                <w:rFonts w:eastAsia="Calibri"/>
                <w:sz w:val="20"/>
                <w:lang w:val="fr-CA"/>
              </w:rPr>
            </w:pPr>
            <w:r w:rsidRPr="00B11387">
              <w:rPr>
                <w:rFonts w:eastAsia="Calibri"/>
                <w:sz w:val="20"/>
                <w:lang w:val="fr-CA"/>
              </w:rPr>
              <w:t>(Neuenfeldt, Karl)</w:t>
            </w:r>
          </w:p>
          <w:p w:rsidR="006613BD" w:rsidRPr="00B11387" w:rsidRDefault="006613BD" w:rsidP="008F1BDA">
            <w:pPr>
              <w:jc w:val="both"/>
              <w:rPr>
                <w:rFonts w:eastAsia="Calibri"/>
                <w:sz w:val="20"/>
                <w:lang w:val="fr-CA"/>
              </w:rPr>
            </w:pPr>
            <w:r w:rsidRPr="00B11387">
              <w:rPr>
                <w:rFonts w:eastAsia="Calibri"/>
                <w:sz w:val="20"/>
                <w:lang w:val="fr-CA"/>
              </w:rPr>
              <w:t xml:space="preserve">Référence neutre : </w:t>
            </w:r>
            <w:hyperlink r:id="rId36" w:history="1">
              <w:r w:rsidRPr="00B11387">
                <w:rPr>
                  <w:rFonts w:eastAsia="Calibri"/>
                  <w:color w:val="0000FF"/>
                  <w:sz w:val="20"/>
                  <w:u w:val="single"/>
                  <w:lang w:val="fr-CA"/>
                </w:rPr>
                <w:t>2011 BCHRT 133</w:t>
              </w:r>
            </w:hyperlink>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Plainte rejetée.</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2 février 2012</w:t>
            </w:r>
          </w:p>
          <w:p w:rsidR="006613BD" w:rsidRPr="00B11387" w:rsidRDefault="006613BD" w:rsidP="008F1BDA">
            <w:pPr>
              <w:jc w:val="both"/>
              <w:rPr>
                <w:rFonts w:eastAsia="Calibri"/>
                <w:sz w:val="20"/>
                <w:lang w:val="fr-CA"/>
              </w:rPr>
            </w:pPr>
            <w:r w:rsidRPr="00B11387">
              <w:rPr>
                <w:rFonts w:eastAsia="Calibri"/>
                <w:sz w:val="20"/>
                <w:lang w:val="fr-CA"/>
              </w:rPr>
              <w:t>Cour suprême de la Colombie</w:t>
            </w:r>
            <w:r w:rsidRPr="00B11387">
              <w:rPr>
                <w:rFonts w:eastAsia="Calibri"/>
                <w:sz w:val="20"/>
                <w:lang w:val="fr-CA"/>
              </w:rPr>
              <w:noBreakHyphen/>
              <w:t>Britannique</w:t>
            </w:r>
          </w:p>
          <w:p w:rsidR="006613BD" w:rsidRPr="00B11387" w:rsidRDefault="006613BD" w:rsidP="008F1BDA">
            <w:pPr>
              <w:jc w:val="both"/>
              <w:rPr>
                <w:rFonts w:eastAsia="Calibri"/>
                <w:sz w:val="20"/>
                <w:lang w:val="fr-CA"/>
              </w:rPr>
            </w:pPr>
            <w:r w:rsidRPr="00B11387">
              <w:rPr>
                <w:rFonts w:eastAsia="Calibri"/>
                <w:sz w:val="20"/>
                <w:lang w:val="fr-CA"/>
              </w:rPr>
              <w:t>(Juge Willcock)</w:t>
            </w:r>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Requête en annulation de la décision du Tribunal rejetée.</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3 juin 2013</w:t>
            </w:r>
          </w:p>
          <w:p w:rsidR="006613BD" w:rsidRPr="00B11387" w:rsidRDefault="006613BD" w:rsidP="008F1BDA">
            <w:pPr>
              <w:jc w:val="both"/>
              <w:rPr>
                <w:rFonts w:eastAsia="Calibri"/>
                <w:sz w:val="20"/>
                <w:lang w:val="fr-CA"/>
              </w:rPr>
            </w:pPr>
            <w:r w:rsidRPr="00B11387">
              <w:rPr>
                <w:rFonts w:eastAsia="Calibri"/>
                <w:sz w:val="20"/>
                <w:lang w:val="fr-CA"/>
              </w:rPr>
              <w:t>Cour d’appel de la Colombie</w:t>
            </w:r>
            <w:r w:rsidRPr="00B11387">
              <w:rPr>
                <w:rFonts w:eastAsia="Calibri"/>
                <w:sz w:val="20"/>
                <w:lang w:val="fr-CA"/>
              </w:rPr>
              <w:noBreakHyphen/>
              <w:t xml:space="preserve">Britannique </w:t>
            </w:r>
          </w:p>
          <w:p w:rsidR="006613BD" w:rsidRPr="00B11387" w:rsidRDefault="006613BD" w:rsidP="008F1BDA">
            <w:pPr>
              <w:jc w:val="both"/>
              <w:rPr>
                <w:rFonts w:eastAsia="Calibri"/>
                <w:sz w:val="20"/>
                <w:lang w:val="fr-CA"/>
              </w:rPr>
            </w:pPr>
            <w:r w:rsidRPr="00B11387">
              <w:rPr>
                <w:rFonts w:eastAsia="Calibri"/>
                <w:sz w:val="20"/>
                <w:lang w:val="fr-CA"/>
              </w:rPr>
              <w:t>(Vancouver)</w:t>
            </w:r>
          </w:p>
          <w:p w:rsidR="006613BD" w:rsidRPr="00B11387" w:rsidRDefault="006613BD" w:rsidP="008F1BDA">
            <w:pPr>
              <w:jc w:val="both"/>
              <w:rPr>
                <w:rFonts w:eastAsia="Calibri"/>
                <w:sz w:val="20"/>
                <w:lang w:val="fr-CA"/>
              </w:rPr>
            </w:pPr>
            <w:r w:rsidRPr="00B11387">
              <w:rPr>
                <w:rFonts w:eastAsia="Calibri"/>
                <w:sz w:val="20"/>
                <w:lang w:val="fr-CA"/>
              </w:rPr>
              <w:t>(Juges Lowry, Tysoe et Bennett)</w:t>
            </w:r>
          </w:p>
          <w:p w:rsidR="006613BD" w:rsidRPr="00B11387" w:rsidRDefault="006613BD" w:rsidP="008F1BDA">
            <w:pPr>
              <w:jc w:val="both"/>
              <w:rPr>
                <w:rFonts w:eastAsia="Calibri"/>
                <w:sz w:val="20"/>
                <w:lang w:val="fr-CA"/>
              </w:rPr>
            </w:pPr>
            <w:r w:rsidRPr="00B11387">
              <w:rPr>
                <w:rFonts w:eastAsia="Calibri"/>
                <w:sz w:val="20"/>
                <w:lang w:val="fr-CA"/>
              </w:rPr>
              <w:t xml:space="preserve">Référence neutre : </w:t>
            </w:r>
            <w:hyperlink r:id="rId37" w:history="1">
              <w:r w:rsidRPr="00B11387">
                <w:rPr>
                  <w:rFonts w:eastAsia="Calibri"/>
                  <w:color w:val="0000FF"/>
                  <w:sz w:val="20"/>
                  <w:u w:val="single"/>
                  <w:lang w:val="fr-CA"/>
                </w:rPr>
                <w:t>2013 BCCA 257</w:t>
              </w:r>
            </w:hyperlink>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Appel rejeté.</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30 août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p w:rsidR="006613BD" w:rsidRPr="00B11387" w:rsidRDefault="006613BD" w:rsidP="008F1BDA">
            <w:pPr>
              <w:jc w:val="both"/>
              <w:rPr>
                <w:rFonts w:eastAsia="Calibri"/>
                <w:sz w:val="20"/>
                <w:lang w:val="fr-CA"/>
              </w:rPr>
            </w:pPr>
          </w:p>
        </w:tc>
      </w:tr>
    </w:tbl>
    <w:p w:rsidR="00990ADE" w:rsidRDefault="00990ADE" w:rsidP="00990ADE">
      <w:pPr>
        <w:rPr>
          <w:sz w:val="20"/>
          <w:szCs w:val="20"/>
        </w:rPr>
      </w:pPr>
    </w:p>
    <w:p w:rsidR="00990ADE" w:rsidRDefault="008138B5" w:rsidP="00990ADE">
      <w:pPr>
        <w:rPr>
          <w:sz w:val="20"/>
          <w:szCs w:val="20"/>
          <w:lang w:val="fr-CA"/>
        </w:rPr>
      </w:pPr>
      <w:r>
        <w:rPr>
          <w:sz w:val="20"/>
          <w:szCs w:val="20"/>
          <w:lang w:val="fr-CA"/>
        </w:rPr>
        <w:pict>
          <v:rect id="_x0000_i1049" style="width:2in;height:1pt" o:hrpct="0" o:hralign="center" o:hrstd="t" o:hrnoshade="t" o:hr="t" fillcolor="black [3213]" stroked="f"/>
        </w:pict>
      </w:r>
    </w:p>
    <w:p w:rsidR="00990ADE" w:rsidRDefault="00990ADE" w:rsidP="00990AD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4B16" w:rsidRPr="001D4B16" w:rsidTr="001D4B16">
        <w:trPr>
          <w:cantSplit/>
        </w:trPr>
        <w:tc>
          <w:tcPr>
            <w:tcW w:w="1458" w:type="dxa"/>
          </w:tcPr>
          <w:p w:rsidR="001D4B16" w:rsidRPr="001D4B16" w:rsidRDefault="001D4B16" w:rsidP="001D4B16">
            <w:pPr>
              <w:rPr>
                <w:sz w:val="20"/>
                <w:szCs w:val="20"/>
              </w:rPr>
            </w:pPr>
            <w:r w:rsidRPr="001D4B16">
              <w:rPr>
                <w:rStyle w:val="SCCFileNumberChar"/>
                <w:sz w:val="20"/>
                <w:szCs w:val="20"/>
              </w:rPr>
              <w:t>35523</w:t>
            </w:r>
          </w:p>
          <w:p w:rsidR="001D4B16" w:rsidRPr="001D4B16" w:rsidRDefault="001D4B16" w:rsidP="001D4B16">
            <w:pPr>
              <w:rPr>
                <w:b/>
                <w:sz w:val="20"/>
                <w:szCs w:val="20"/>
                <w:lang w:val="fr-CA"/>
              </w:rPr>
            </w:pPr>
          </w:p>
        </w:tc>
        <w:tc>
          <w:tcPr>
            <w:tcW w:w="8118" w:type="dxa"/>
          </w:tcPr>
          <w:p w:rsidR="001D4B16" w:rsidRPr="001D4B16" w:rsidRDefault="001D4B16" w:rsidP="001D4B16">
            <w:pPr>
              <w:rPr>
                <w:sz w:val="20"/>
                <w:szCs w:val="20"/>
              </w:rPr>
            </w:pPr>
            <w:r w:rsidRPr="001D4B16">
              <w:rPr>
                <w:rStyle w:val="SCCLsocChar"/>
                <w:sz w:val="20"/>
                <w:szCs w:val="20"/>
                <w:lang w:val="en-CA"/>
              </w:rPr>
              <w:t>Ralph Boehme v. Her Majesty the Queen</w:t>
            </w:r>
            <w:r w:rsidRPr="001D4B16">
              <w:rPr>
                <w:sz w:val="20"/>
                <w:szCs w:val="20"/>
              </w:rPr>
              <w:t xml:space="preserve"> (Ont.) (Criminal) (By Leave)</w:t>
            </w:r>
          </w:p>
          <w:p w:rsidR="001D4B16" w:rsidRPr="001D4B16" w:rsidRDefault="001D4B16" w:rsidP="001D4B16">
            <w:pPr>
              <w:rPr>
                <w:sz w:val="20"/>
                <w:szCs w:val="20"/>
              </w:rPr>
            </w:pPr>
          </w:p>
        </w:tc>
      </w:tr>
      <w:tr w:rsidR="001D4B16" w:rsidRPr="001D4B16" w:rsidTr="001D4B16">
        <w:trPr>
          <w:cantSplit/>
        </w:trPr>
        <w:tc>
          <w:tcPr>
            <w:tcW w:w="1458" w:type="dxa"/>
          </w:tcPr>
          <w:p w:rsidR="001D4B16" w:rsidRPr="001D4B16" w:rsidRDefault="001D4B16" w:rsidP="001D4B16">
            <w:pPr>
              <w:rPr>
                <w:sz w:val="20"/>
                <w:szCs w:val="20"/>
              </w:rPr>
            </w:pPr>
            <w:r w:rsidRPr="001D4B16">
              <w:rPr>
                <w:sz w:val="20"/>
                <w:szCs w:val="20"/>
              </w:rPr>
              <w:t>Coram :</w:t>
            </w:r>
          </w:p>
        </w:tc>
        <w:tc>
          <w:tcPr>
            <w:tcW w:w="8118" w:type="dxa"/>
          </w:tcPr>
          <w:p w:rsidR="001D4B16" w:rsidRPr="001D4B16" w:rsidRDefault="001D4B16" w:rsidP="001D4B16">
            <w:pPr>
              <w:rPr>
                <w:sz w:val="20"/>
                <w:szCs w:val="20"/>
              </w:rPr>
            </w:pPr>
            <w:r w:rsidRPr="001D4B16">
              <w:rPr>
                <w:rStyle w:val="SCCCoramChar"/>
                <w:sz w:val="20"/>
                <w:szCs w:val="20"/>
                <w:lang w:val="en-CA"/>
              </w:rPr>
              <w:t>Abella, Rothstein and Moldaver JJ.</w:t>
            </w:r>
          </w:p>
          <w:p w:rsidR="001D4B16" w:rsidRPr="001D4B16" w:rsidRDefault="001D4B16" w:rsidP="001D4B16">
            <w:pPr>
              <w:rPr>
                <w:sz w:val="20"/>
                <w:szCs w:val="20"/>
                <w:u w:val="single"/>
              </w:rPr>
            </w:pPr>
          </w:p>
        </w:tc>
      </w:tr>
      <w:tr w:rsidR="001D4B16" w:rsidRPr="008138B5" w:rsidTr="001D4B16">
        <w:trPr>
          <w:cantSplit/>
        </w:trPr>
        <w:tc>
          <w:tcPr>
            <w:tcW w:w="9576" w:type="dxa"/>
            <w:gridSpan w:val="2"/>
          </w:tcPr>
          <w:p w:rsidR="001D4B16" w:rsidRPr="001D4B16" w:rsidRDefault="001D4B16" w:rsidP="001D4B16">
            <w:pPr>
              <w:pStyle w:val="SCCShortJudgment"/>
              <w:rPr>
                <w:szCs w:val="20"/>
              </w:rPr>
            </w:pPr>
            <w:r w:rsidRPr="001D4B16">
              <w:rPr>
                <w:szCs w:val="20"/>
              </w:rPr>
              <w:t>The application for leave to appeal from the judgment of the Court of Appeal for Ontario, Number C56190, 2013 ONCA 337, dated May 22, 2013, is dismissed without costs.</w:t>
            </w:r>
          </w:p>
          <w:p w:rsidR="001D4B16" w:rsidRPr="001D4B16" w:rsidRDefault="001D4B16" w:rsidP="001D4B16">
            <w:pPr>
              <w:pStyle w:val="SCCShortJudgment"/>
              <w:ind w:firstLine="0"/>
              <w:rPr>
                <w:szCs w:val="20"/>
              </w:rPr>
            </w:pPr>
          </w:p>
          <w:p w:rsidR="001D4B16" w:rsidRPr="001D4B16" w:rsidRDefault="001D4B16" w:rsidP="001D4B16">
            <w:pPr>
              <w:pStyle w:val="SCCShortJudgment"/>
              <w:rPr>
                <w:szCs w:val="20"/>
                <w:lang w:val="fr-CA"/>
              </w:rPr>
            </w:pPr>
            <w:r w:rsidRPr="001D4B16">
              <w:rPr>
                <w:szCs w:val="20"/>
                <w:lang w:val="fr-CA"/>
              </w:rPr>
              <w:t>La demande d’autorisation d’appel de l’arrêt de la Cour d’appel de l’Ontario, numéro C56190, 2013 ONCA 337, daté du 22 mai 2013, est rejeté sans dépens.</w:t>
            </w:r>
          </w:p>
        </w:tc>
      </w:tr>
    </w:tbl>
    <w:p w:rsidR="00990ADE" w:rsidRPr="001D4B16" w:rsidRDefault="00990ADE" w:rsidP="000E2959">
      <w:pPr>
        <w:rPr>
          <w:sz w:val="20"/>
          <w:szCs w:val="20"/>
          <w:lang w:val="fr-CA"/>
        </w:rPr>
      </w:pPr>
    </w:p>
    <w:p w:rsidR="00990ADE" w:rsidRPr="001B157C" w:rsidRDefault="00990ADE" w:rsidP="00990ADE">
      <w:pPr>
        <w:rPr>
          <w:sz w:val="20"/>
          <w:szCs w:val="20"/>
          <w:u w:val="single"/>
        </w:rPr>
      </w:pPr>
      <w:r w:rsidRPr="001B157C">
        <w:rPr>
          <w:sz w:val="20"/>
          <w:szCs w:val="20"/>
          <w:u w:val="single"/>
        </w:rPr>
        <w:t>CASE SUMMARY</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 xml:space="preserve">Criminal law – Mental Disorder – Whether the Court of Appeal erred in upholding the findings of the Ontario Review </w:t>
            </w:r>
            <w:r w:rsidRPr="00B11387">
              <w:rPr>
                <w:rFonts w:eastAsia="Calibri"/>
                <w:sz w:val="20"/>
              </w:rPr>
              <w:lastRenderedPageBreak/>
              <w:t>Board and dismissing the application for conditional discharge</w:t>
            </w:r>
          </w:p>
        </w:tc>
      </w:tr>
      <w:tr w:rsidR="006613BD" w:rsidRPr="00B11387" w:rsidTr="008F1BDA">
        <w:tc>
          <w:tcPr>
            <w:tcW w:w="5000" w:type="pct"/>
            <w:gridSpan w:val="3"/>
          </w:tcPr>
          <w:p w:rsidR="006613BD" w:rsidRPr="00B11387" w:rsidRDefault="006613BD" w:rsidP="008F1BDA">
            <w:pPr>
              <w:jc w:val="both"/>
              <w:rPr>
                <w:rFonts w:eastAsia="Calibri"/>
                <w:sz w:val="20"/>
              </w:rPr>
            </w:pPr>
          </w:p>
        </w:tc>
      </w:tr>
      <w:tr w:rsidR="006613BD" w:rsidRPr="00B11387" w:rsidTr="008F1BDA">
        <w:tc>
          <w:tcPr>
            <w:tcW w:w="5000" w:type="pct"/>
            <w:gridSpan w:val="3"/>
          </w:tcPr>
          <w:p w:rsidR="006613BD" w:rsidRPr="00B11387" w:rsidRDefault="006613BD" w:rsidP="008F1BDA">
            <w:pPr>
              <w:jc w:val="both"/>
              <w:rPr>
                <w:rFonts w:eastAsia="Calibri"/>
                <w:sz w:val="20"/>
              </w:rPr>
            </w:pPr>
            <w:r w:rsidRPr="00B11387">
              <w:rPr>
                <w:rFonts w:eastAsia="Calibri"/>
                <w:sz w:val="20"/>
              </w:rPr>
              <w:t>In 2000, 2002, 2004 and 2008 the applicant was convicted of criminally harassing behaviour against the owner/operator of a property management company where his mother had lived and died.  In 2011, he was found not criminally responsible for failing to comply with the probation order issued after his 2008 conviction and uttering threats against the complainant.  Since that time he has been detained at the Ontario Shores Centre for Mental Health Sciences.  At his annual review before the Ontario Review Board, he applied for a conditional discharge.  His appeal from that decision was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October 1, 2012</w:t>
            </w:r>
          </w:p>
          <w:p w:rsidR="006613BD" w:rsidRPr="00B11387" w:rsidRDefault="006613BD" w:rsidP="008F1BDA">
            <w:pPr>
              <w:jc w:val="both"/>
              <w:rPr>
                <w:rFonts w:eastAsia="Calibri"/>
                <w:sz w:val="20"/>
              </w:rPr>
            </w:pPr>
            <w:r w:rsidRPr="00B11387">
              <w:rPr>
                <w:rFonts w:eastAsia="Calibri"/>
                <w:sz w:val="20"/>
              </w:rPr>
              <w:t>Ontario Review Board</w:t>
            </w:r>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Request for conditional discharge from the General Forensic Service of the Ontario  Shores Centre for Mental Health Sciences dismissed</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May 24, 2013</w:t>
            </w:r>
          </w:p>
          <w:p w:rsidR="006613BD" w:rsidRPr="00B11387" w:rsidRDefault="006613BD" w:rsidP="008F1BDA">
            <w:pPr>
              <w:jc w:val="both"/>
              <w:rPr>
                <w:rFonts w:eastAsia="Calibri"/>
                <w:sz w:val="20"/>
              </w:rPr>
            </w:pPr>
            <w:r w:rsidRPr="00B11387">
              <w:rPr>
                <w:rFonts w:eastAsia="Calibri"/>
                <w:sz w:val="20"/>
              </w:rPr>
              <w:t>Court of Appeal for Ontario</w:t>
            </w:r>
          </w:p>
          <w:p w:rsidR="006613BD" w:rsidRPr="00B11387" w:rsidRDefault="006613BD" w:rsidP="008F1BDA">
            <w:pPr>
              <w:jc w:val="both"/>
              <w:rPr>
                <w:rFonts w:eastAsia="Calibri"/>
                <w:sz w:val="20"/>
              </w:rPr>
            </w:pPr>
            <w:r w:rsidRPr="00B11387">
              <w:rPr>
                <w:rFonts w:eastAsia="Calibri"/>
                <w:sz w:val="20"/>
              </w:rPr>
              <w:t>(Weiler, Blair and Strathy JJ.A.)</w:t>
            </w:r>
          </w:p>
          <w:p w:rsidR="006613BD" w:rsidRPr="00B11387" w:rsidRDefault="006613BD" w:rsidP="008F1BDA">
            <w:pPr>
              <w:jc w:val="both"/>
              <w:rPr>
                <w:rFonts w:eastAsia="Calibri"/>
                <w:sz w:val="20"/>
              </w:rPr>
            </w:pPr>
            <w:r w:rsidRPr="00B11387">
              <w:rPr>
                <w:rFonts w:eastAsia="Calibri"/>
                <w:sz w:val="20"/>
              </w:rPr>
              <w:t xml:space="preserve">Neutral citation: </w:t>
            </w:r>
            <w:hyperlink r:id="rId38" w:history="1">
              <w:r w:rsidRPr="00B11387">
                <w:rPr>
                  <w:rFonts w:eastAsia="Calibri"/>
                  <w:color w:val="0000FF"/>
                  <w:sz w:val="20"/>
                  <w:u w:val="single"/>
                </w:rPr>
                <w:t>2013 ONCA 337</w:t>
              </w:r>
            </w:hyperlink>
          </w:p>
          <w:p w:rsidR="006613BD" w:rsidRPr="00B11387" w:rsidRDefault="006613BD" w:rsidP="008F1BDA">
            <w:pPr>
              <w:jc w:val="both"/>
              <w:rPr>
                <w:rFonts w:eastAsia="Calibri"/>
                <w:sz w:val="20"/>
              </w:rPr>
            </w:pP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 xml:space="preserve">Appeal dismissed </w:t>
            </w:r>
          </w:p>
          <w:p w:rsidR="006613BD" w:rsidRPr="00B11387" w:rsidRDefault="006613BD" w:rsidP="008F1BDA">
            <w:pPr>
              <w:jc w:val="both"/>
              <w:rPr>
                <w:rFonts w:eastAsia="Calibri"/>
                <w:sz w:val="20"/>
              </w:rPr>
            </w:pPr>
          </w:p>
        </w:tc>
      </w:tr>
      <w:tr w:rsidR="006613BD" w:rsidRPr="00B11387" w:rsidTr="008F1BDA">
        <w:tc>
          <w:tcPr>
            <w:tcW w:w="2427" w:type="pct"/>
          </w:tcPr>
          <w:p w:rsidR="006613BD" w:rsidRPr="00B11387" w:rsidRDefault="006613BD" w:rsidP="008F1BDA">
            <w:pPr>
              <w:jc w:val="both"/>
              <w:rPr>
                <w:rFonts w:eastAsia="Calibri"/>
                <w:sz w:val="20"/>
              </w:rPr>
            </w:pPr>
            <w:r w:rsidRPr="00B11387">
              <w:rPr>
                <w:rFonts w:eastAsia="Calibri"/>
                <w:sz w:val="20"/>
              </w:rPr>
              <w:t>July 15, 2013</w:t>
            </w:r>
          </w:p>
          <w:p w:rsidR="006613BD" w:rsidRPr="00B11387" w:rsidRDefault="006613BD" w:rsidP="008F1BDA">
            <w:pPr>
              <w:jc w:val="both"/>
              <w:rPr>
                <w:rFonts w:eastAsia="Calibri"/>
                <w:sz w:val="20"/>
              </w:rPr>
            </w:pPr>
            <w:r w:rsidRPr="00B11387">
              <w:rPr>
                <w:rFonts w:eastAsia="Calibri"/>
                <w:sz w:val="20"/>
              </w:rPr>
              <w:t>Supreme Court of Canada</w:t>
            </w:r>
          </w:p>
        </w:tc>
        <w:tc>
          <w:tcPr>
            <w:tcW w:w="243" w:type="pct"/>
          </w:tcPr>
          <w:p w:rsidR="006613BD" w:rsidRPr="00B11387" w:rsidRDefault="006613BD" w:rsidP="008F1BDA">
            <w:pPr>
              <w:jc w:val="both"/>
              <w:rPr>
                <w:rFonts w:eastAsia="Calibri"/>
                <w:sz w:val="20"/>
              </w:rPr>
            </w:pPr>
          </w:p>
        </w:tc>
        <w:tc>
          <w:tcPr>
            <w:tcW w:w="2330" w:type="pct"/>
          </w:tcPr>
          <w:p w:rsidR="006613BD" w:rsidRPr="00B11387" w:rsidRDefault="006613BD" w:rsidP="008F1BDA">
            <w:pPr>
              <w:jc w:val="both"/>
              <w:rPr>
                <w:rFonts w:eastAsia="Calibri"/>
                <w:sz w:val="20"/>
              </w:rPr>
            </w:pPr>
            <w:r w:rsidRPr="00B11387">
              <w:rPr>
                <w:rFonts w:eastAsia="Calibri"/>
                <w:sz w:val="20"/>
              </w:rPr>
              <w:t>Application for leave to appeal filed</w:t>
            </w:r>
          </w:p>
          <w:p w:rsidR="006613BD" w:rsidRPr="00B11387" w:rsidRDefault="006613BD" w:rsidP="008F1BDA">
            <w:pPr>
              <w:jc w:val="both"/>
              <w:rPr>
                <w:rFonts w:eastAsia="Calibri"/>
                <w:sz w:val="20"/>
              </w:rPr>
            </w:pPr>
          </w:p>
        </w:tc>
      </w:tr>
    </w:tbl>
    <w:p w:rsidR="00990ADE" w:rsidRDefault="00990ADE" w:rsidP="00990ADE">
      <w:pPr>
        <w:rPr>
          <w:sz w:val="20"/>
          <w:szCs w:val="20"/>
        </w:rPr>
      </w:pPr>
    </w:p>
    <w:p w:rsidR="00990ADE" w:rsidRPr="00C50A5C" w:rsidRDefault="008138B5" w:rsidP="00990ADE">
      <w:pPr>
        <w:rPr>
          <w:sz w:val="20"/>
          <w:szCs w:val="20"/>
        </w:rPr>
      </w:pPr>
      <w:r>
        <w:rPr>
          <w:sz w:val="20"/>
          <w:szCs w:val="20"/>
          <w:lang w:val="fr-CA"/>
        </w:rPr>
        <w:pict>
          <v:rect id="_x0000_i1050" style="width:2in;height:1pt" o:hrpct="0" o:hralign="center" o:hrstd="t" o:hrnoshade="t" o:hr="t" fillcolor="black [3213]" stroked="f"/>
        </w:pict>
      </w:r>
    </w:p>
    <w:p w:rsidR="00990ADE" w:rsidRDefault="00990ADE" w:rsidP="00990ADE">
      <w:pPr>
        <w:rPr>
          <w:sz w:val="20"/>
          <w:szCs w:val="20"/>
        </w:rPr>
      </w:pPr>
    </w:p>
    <w:p w:rsidR="00990ADE" w:rsidRPr="001B157C" w:rsidRDefault="00990ADE" w:rsidP="00990ADE">
      <w:pPr>
        <w:rPr>
          <w:sz w:val="20"/>
          <w:szCs w:val="20"/>
          <w:u w:val="single"/>
          <w:lang w:val="fr-CA"/>
        </w:rPr>
      </w:pPr>
      <w:r w:rsidRPr="001B157C">
        <w:rPr>
          <w:sz w:val="20"/>
          <w:szCs w:val="20"/>
          <w:u w:val="single"/>
          <w:lang w:val="fr-CA"/>
        </w:rPr>
        <w:t>RÉSUMÉ DE L’AFFAIRE</w:t>
      </w:r>
    </w:p>
    <w:p w:rsidR="00990ADE" w:rsidRDefault="00990ADE" w:rsidP="00990AD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Droit criminel – Troubles mentaux – La Cour d’appel a</w:t>
            </w:r>
            <w:r w:rsidRPr="00B11387">
              <w:rPr>
                <w:rFonts w:eastAsia="Calibri"/>
                <w:sz w:val="20"/>
                <w:lang w:val="fr-CA"/>
              </w:rPr>
              <w:noBreakHyphen/>
              <w:t>t</w:t>
            </w:r>
            <w:r w:rsidRPr="00B11387">
              <w:rPr>
                <w:rFonts w:eastAsia="Calibri"/>
                <w:sz w:val="20"/>
                <w:lang w:val="fr-CA"/>
              </w:rPr>
              <w:noBreakHyphen/>
              <w:t>elle commis une erreur en confirmant les conclusions de la Commission ontarienne d’examen et en rejetant la demande d’absolution sous conditions?</w:t>
            </w:r>
          </w:p>
        </w:tc>
      </w:tr>
      <w:tr w:rsidR="006613BD" w:rsidRPr="008138B5" w:rsidTr="008F1BDA">
        <w:tc>
          <w:tcPr>
            <w:tcW w:w="5000" w:type="pct"/>
            <w:gridSpan w:val="3"/>
          </w:tcPr>
          <w:p w:rsidR="006613BD" w:rsidRPr="00B11387" w:rsidRDefault="006613BD" w:rsidP="008F1BDA">
            <w:pPr>
              <w:jc w:val="both"/>
              <w:rPr>
                <w:rFonts w:eastAsia="Calibri"/>
                <w:sz w:val="20"/>
                <w:lang w:val="fr-CA"/>
              </w:rPr>
            </w:pPr>
          </w:p>
        </w:tc>
      </w:tr>
      <w:tr w:rsidR="006613BD" w:rsidRPr="008138B5" w:rsidTr="008F1BDA">
        <w:tc>
          <w:tcPr>
            <w:tcW w:w="5000" w:type="pct"/>
            <w:gridSpan w:val="3"/>
          </w:tcPr>
          <w:p w:rsidR="006613BD" w:rsidRPr="00B11387" w:rsidRDefault="006613BD" w:rsidP="008F1BDA">
            <w:pPr>
              <w:jc w:val="both"/>
              <w:rPr>
                <w:rFonts w:eastAsia="Calibri"/>
                <w:sz w:val="20"/>
                <w:lang w:val="fr-CA"/>
              </w:rPr>
            </w:pPr>
            <w:r w:rsidRPr="00B11387">
              <w:rPr>
                <w:rFonts w:eastAsia="Calibri"/>
                <w:sz w:val="20"/>
                <w:lang w:val="fr-CA"/>
              </w:rPr>
              <w:t>En 2000, 2002, 2004 et 2008, le demandeur a été déclaré coupable de s’être livré à du harcèlement criminel à l’égard de la propriétaire/exploitante d’une société immobilière de gestion s’étant occupée de l’endroit où sa mère avait vécu et était morte.  En 2011, il a été déclaré non criminellement responsable de ne pas s’être conformé à l’ordonnance de probation délivrée contre lui après sa déclaration de culpabilité de 2008 et d’avoir proféré des menaces contre la plaignante.  Il est depuis détenu au Ontario Shores Centre for Mental Health Sciences. À l’examen annuel tenu devant la Commission ontarienne d’examen, il a demandé une absolution sous conditions. L’appel qu’il a interjeté contre cette décision a été rejeté.</w:t>
            </w:r>
          </w:p>
          <w:p w:rsidR="006613BD" w:rsidRPr="00B11387" w:rsidRDefault="006613BD" w:rsidP="008F1BDA">
            <w:pPr>
              <w:jc w:val="both"/>
              <w:rPr>
                <w:rFonts w:eastAsia="Calibri"/>
                <w:sz w:val="20"/>
                <w:lang w:val="fr-CA"/>
              </w:rPr>
            </w:pPr>
          </w:p>
        </w:tc>
      </w:tr>
      <w:tr w:rsidR="006613BD" w:rsidRPr="008138B5"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1</w:t>
            </w:r>
            <w:r w:rsidRPr="00B11387">
              <w:rPr>
                <w:rFonts w:eastAsia="Calibri"/>
                <w:sz w:val="20"/>
                <w:vertAlign w:val="superscript"/>
                <w:lang w:val="fr-CA"/>
              </w:rPr>
              <w:t>er</w:t>
            </w:r>
            <w:r w:rsidRPr="00B11387">
              <w:rPr>
                <w:rFonts w:eastAsia="Calibri"/>
                <w:sz w:val="20"/>
                <w:lang w:val="fr-CA"/>
              </w:rPr>
              <w:t xml:space="preserve"> octobre 2012</w:t>
            </w:r>
          </w:p>
          <w:p w:rsidR="006613BD" w:rsidRPr="00B11387" w:rsidRDefault="006613BD" w:rsidP="008F1BDA">
            <w:pPr>
              <w:jc w:val="both"/>
              <w:rPr>
                <w:rFonts w:eastAsia="Calibri"/>
                <w:sz w:val="20"/>
                <w:lang w:val="fr-CA"/>
              </w:rPr>
            </w:pPr>
            <w:r w:rsidRPr="00B11387">
              <w:rPr>
                <w:rFonts w:eastAsia="Calibri"/>
                <w:sz w:val="20"/>
                <w:lang w:val="fr-CA"/>
              </w:rPr>
              <w:t>Commission ontarienne d’examen</w:t>
            </w:r>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d’absolution sous conditions présentée au service général de psychiatrie légale du Ontario Shores Centre for Mental Health Sciences rejetée.</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24 mai 2013</w:t>
            </w:r>
          </w:p>
          <w:p w:rsidR="006613BD" w:rsidRPr="00B11387" w:rsidRDefault="006613BD" w:rsidP="008F1BDA">
            <w:pPr>
              <w:jc w:val="both"/>
              <w:rPr>
                <w:rFonts w:eastAsia="Calibri"/>
                <w:sz w:val="20"/>
                <w:lang w:val="fr-CA"/>
              </w:rPr>
            </w:pPr>
            <w:r w:rsidRPr="00B11387">
              <w:rPr>
                <w:rFonts w:eastAsia="Calibri"/>
                <w:sz w:val="20"/>
                <w:lang w:val="fr-CA"/>
              </w:rPr>
              <w:t>Cour d’appel de l’Ontario</w:t>
            </w:r>
          </w:p>
          <w:p w:rsidR="006613BD" w:rsidRPr="00B11387" w:rsidRDefault="006613BD" w:rsidP="008F1BDA">
            <w:pPr>
              <w:jc w:val="both"/>
              <w:rPr>
                <w:rFonts w:eastAsia="Calibri"/>
                <w:sz w:val="20"/>
                <w:lang w:val="fr-CA"/>
              </w:rPr>
            </w:pPr>
            <w:r w:rsidRPr="00B11387">
              <w:rPr>
                <w:rFonts w:eastAsia="Calibri"/>
                <w:sz w:val="20"/>
                <w:lang w:val="fr-CA"/>
              </w:rPr>
              <w:t>(Juges Weiler, Blair et Strathy)</w:t>
            </w:r>
          </w:p>
          <w:p w:rsidR="006613BD" w:rsidRPr="00B11387" w:rsidRDefault="006613BD" w:rsidP="008F1BDA">
            <w:pPr>
              <w:jc w:val="both"/>
              <w:rPr>
                <w:rFonts w:eastAsia="Calibri"/>
                <w:sz w:val="20"/>
                <w:lang w:val="fr-CA"/>
              </w:rPr>
            </w:pPr>
            <w:r w:rsidRPr="00B11387">
              <w:rPr>
                <w:rFonts w:eastAsia="Calibri"/>
                <w:sz w:val="20"/>
                <w:lang w:val="fr-CA"/>
              </w:rPr>
              <w:t xml:space="preserve">Référence neutre : </w:t>
            </w:r>
            <w:hyperlink r:id="rId39" w:history="1">
              <w:r w:rsidRPr="00B11387">
                <w:rPr>
                  <w:rFonts w:eastAsia="Calibri"/>
                  <w:color w:val="0000FF"/>
                  <w:sz w:val="20"/>
                  <w:u w:val="single"/>
                  <w:lang w:val="fr-CA"/>
                </w:rPr>
                <w:t>2013 ONCA 337</w:t>
              </w:r>
            </w:hyperlink>
          </w:p>
          <w:p w:rsidR="006613BD" w:rsidRPr="00B11387" w:rsidRDefault="006613BD" w:rsidP="008F1BDA">
            <w:pPr>
              <w:jc w:val="both"/>
              <w:rPr>
                <w:rFonts w:eastAsia="Calibri"/>
                <w:sz w:val="20"/>
                <w:lang w:val="fr-CA"/>
              </w:rPr>
            </w:pP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Appel rejeté.</w:t>
            </w:r>
          </w:p>
          <w:p w:rsidR="006613BD" w:rsidRPr="00B11387" w:rsidRDefault="006613BD" w:rsidP="008F1BDA">
            <w:pPr>
              <w:jc w:val="both"/>
              <w:rPr>
                <w:rFonts w:eastAsia="Calibri"/>
                <w:sz w:val="20"/>
                <w:lang w:val="fr-CA"/>
              </w:rPr>
            </w:pPr>
          </w:p>
        </w:tc>
      </w:tr>
      <w:tr w:rsidR="006613BD" w:rsidRPr="00B11387" w:rsidTr="008F1BDA">
        <w:tc>
          <w:tcPr>
            <w:tcW w:w="2427" w:type="pct"/>
          </w:tcPr>
          <w:p w:rsidR="006613BD" w:rsidRPr="00B11387" w:rsidRDefault="006613BD" w:rsidP="008F1BDA">
            <w:pPr>
              <w:jc w:val="both"/>
              <w:rPr>
                <w:rFonts w:eastAsia="Calibri"/>
                <w:sz w:val="20"/>
                <w:lang w:val="fr-CA"/>
              </w:rPr>
            </w:pPr>
            <w:r w:rsidRPr="00B11387">
              <w:rPr>
                <w:rFonts w:eastAsia="Calibri"/>
                <w:sz w:val="20"/>
                <w:lang w:val="fr-CA"/>
              </w:rPr>
              <w:t>15 juillet 2013</w:t>
            </w:r>
          </w:p>
          <w:p w:rsidR="006613BD" w:rsidRPr="00B11387" w:rsidRDefault="006613BD" w:rsidP="008F1BDA">
            <w:pPr>
              <w:jc w:val="both"/>
              <w:rPr>
                <w:rFonts w:eastAsia="Calibri"/>
                <w:sz w:val="20"/>
                <w:lang w:val="fr-CA"/>
              </w:rPr>
            </w:pPr>
            <w:r w:rsidRPr="00B11387">
              <w:rPr>
                <w:rFonts w:eastAsia="Calibri"/>
                <w:sz w:val="20"/>
                <w:lang w:val="fr-CA"/>
              </w:rPr>
              <w:t>Cour suprême du Canada</w:t>
            </w:r>
          </w:p>
        </w:tc>
        <w:tc>
          <w:tcPr>
            <w:tcW w:w="243" w:type="pct"/>
          </w:tcPr>
          <w:p w:rsidR="006613BD" w:rsidRPr="00B11387" w:rsidRDefault="006613BD" w:rsidP="008F1BDA">
            <w:pPr>
              <w:jc w:val="both"/>
              <w:rPr>
                <w:rFonts w:eastAsia="Calibri"/>
                <w:sz w:val="20"/>
                <w:lang w:val="fr-CA"/>
              </w:rPr>
            </w:pPr>
          </w:p>
        </w:tc>
        <w:tc>
          <w:tcPr>
            <w:tcW w:w="2330" w:type="pct"/>
          </w:tcPr>
          <w:p w:rsidR="006613BD" w:rsidRPr="00B11387" w:rsidRDefault="006613BD" w:rsidP="008F1BDA">
            <w:pPr>
              <w:jc w:val="both"/>
              <w:rPr>
                <w:rFonts w:eastAsia="Calibri"/>
                <w:sz w:val="20"/>
                <w:lang w:val="fr-CA"/>
              </w:rPr>
            </w:pPr>
            <w:r w:rsidRPr="00B11387">
              <w:rPr>
                <w:rFonts w:eastAsia="Calibri"/>
                <w:sz w:val="20"/>
                <w:lang w:val="fr-CA"/>
              </w:rPr>
              <w:t>Demande d’autorisation d’appel déposée.</w:t>
            </w:r>
          </w:p>
          <w:p w:rsidR="006613BD" w:rsidRPr="00B11387" w:rsidRDefault="006613BD" w:rsidP="008F1BDA">
            <w:pPr>
              <w:jc w:val="both"/>
              <w:rPr>
                <w:rFonts w:eastAsia="Calibri"/>
                <w:sz w:val="20"/>
                <w:lang w:val="fr-CA"/>
              </w:rPr>
            </w:pPr>
          </w:p>
        </w:tc>
      </w:tr>
    </w:tbl>
    <w:p w:rsidR="00990ADE" w:rsidRDefault="00990ADE" w:rsidP="00990ADE">
      <w:pPr>
        <w:rPr>
          <w:sz w:val="20"/>
          <w:szCs w:val="20"/>
        </w:rPr>
      </w:pPr>
    </w:p>
    <w:p w:rsidR="00890FEB" w:rsidRPr="00C50A5C" w:rsidRDefault="008138B5" w:rsidP="008D292F">
      <w:pPr>
        <w:rPr>
          <w:sz w:val="20"/>
          <w:szCs w:val="20"/>
          <w:lang w:val="fr-CA"/>
        </w:rPr>
      </w:pPr>
      <w:r>
        <w:rPr>
          <w:sz w:val="20"/>
          <w:szCs w:val="20"/>
          <w:lang w:val="fr-CA"/>
        </w:rPr>
        <w:pict>
          <v:rect id="_x0000_i1051" style="width:2in;height:1pt" o:hrpct="0" o:hralign="center" o:hrstd="t" o:hrnoshade="t" o:hr="t" fillcolor="black [3213]" stroked="f"/>
        </w:pict>
      </w: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01.11.2013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Before / Devant :   ABELLA J. / LA JUGE ABELLA</w:t>
      </w:r>
    </w:p>
    <w:p w:rsidR="00A07D8D" w:rsidRPr="00A07D8D" w:rsidRDefault="00A07D8D" w:rsidP="00A07D8D">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07D8D" w:rsidRPr="008138B5" w:rsidTr="00A07D8D">
        <w:trPr>
          <w:trHeight w:val="151"/>
        </w:trPr>
        <w:tc>
          <w:tcPr>
            <w:tcW w:w="4338" w:type="dxa"/>
          </w:tcPr>
          <w:p w:rsidR="00A07D8D" w:rsidRPr="00A07D8D" w:rsidRDefault="00A07D8D" w:rsidP="00A07D8D">
            <w:pPr>
              <w:tabs>
                <w:tab w:val="left" w:pos="-1440"/>
                <w:tab w:val="left" w:pos="-720"/>
              </w:tabs>
              <w:jc w:val="both"/>
              <w:rPr>
                <w:lang w:val="fr-CA"/>
              </w:rPr>
            </w:pPr>
            <w:r w:rsidRPr="00A07D8D">
              <w:rPr>
                <w:b/>
                <w:bCs/>
                <w:lang w:val="en-GB"/>
              </w:rPr>
              <w:t>Motion for directions</w:t>
            </w:r>
          </w:p>
          <w:p w:rsidR="00A07D8D" w:rsidRPr="00A07D8D" w:rsidRDefault="00F425BC" w:rsidP="00A07D8D">
            <w:pPr>
              <w:tabs>
                <w:tab w:val="left" w:pos="-1440"/>
                <w:tab w:val="left" w:pos="-720"/>
              </w:tabs>
              <w:jc w:val="both"/>
              <w:rPr>
                <w:lang w:val="fr-CA"/>
              </w:rPr>
            </w:pPr>
            <w:r w:rsidRPr="00A07D8D">
              <w:rPr>
                <w:lang w:val="en-US"/>
              </w:rPr>
              <w:fldChar w:fldCharType="begin"/>
            </w:r>
            <w:r w:rsidR="00A07D8D" w:rsidRPr="00A07D8D">
              <w:rPr>
                <w:lang w:val="fr-CA"/>
              </w:rPr>
              <w:instrText xml:space="preserve"> SEQ CHAPTER \h \r 1</w:instrText>
            </w:r>
            <w:r w:rsidRPr="00A07D8D">
              <w:rPr>
                <w:lang w:val="en-US"/>
              </w:rPr>
              <w:fldChar w:fldCharType="end"/>
            </w:r>
          </w:p>
        </w:tc>
        <w:tc>
          <w:tcPr>
            <w:tcW w:w="1170" w:type="dxa"/>
          </w:tcPr>
          <w:p w:rsidR="00A07D8D" w:rsidRPr="00A07D8D" w:rsidRDefault="00A07D8D" w:rsidP="00A07D8D">
            <w:pPr>
              <w:jc w:val="both"/>
              <w:rPr>
                <w:lang w:val="fr-CA"/>
              </w:rPr>
            </w:pPr>
          </w:p>
          <w:p w:rsidR="00A07D8D" w:rsidRPr="00A07D8D" w:rsidRDefault="00A07D8D" w:rsidP="00A07D8D">
            <w:pPr>
              <w:jc w:val="both"/>
              <w:rPr>
                <w:lang w:val="fr-CA"/>
              </w:rPr>
            </w:pPr>
          </w:p>
        </w:tc>
        <w:tc>
          <w:tcPr>
            <w:tcW w:w="4327" w:type="dxa"/>
          </w:tcPr>
          <w:p w:rsidR="00A07D8D" w:rsidRPr="00A07D8D" w:rsidRDefault="00A07D8D" w:rsidP="00A07D8D">
            <w:pPr>
              <w:jc w:val="both"/>
              <w:rPr>
                <w:b/>
                <w:lang w:val="fr-CA"/>
              </w:rPr>
            </w:pPr>
            <w:r w:rsidRPr="00A07D8D">
              <w:rPr>
                <w:b/>
                <w:bCs/>
                <w:lang w:val="fr-CA"/>
              </w:rPr>
              <w:t>Requête en vue d’obtenir des instructions</w:t>
            </w:r>
          </w:p>
          <w:p w:rsidR="00A07D8D" w:rsidRPr="00A07D8D" w:rsidRDefault="00F425BC" w:rsidP="00A07D8D">
            <w:pPr>
              <w:jc w:val="both"/>
              <w:rPr>
                <w:b/>
                <w:lang w:val="fr-CA"/>
              </w:rPr>
            </w:pPr>
            <w:r w:rsidRPr="00A07D8D">
              <w:rPr>
                <w:b/>
                <w:lang w:val="en-US"/>
              </w:rPr>
              <w:fldChar w:fldCharType="begin"/>
            </w:r>
            <w:r w:rsidR="00A07D8D" w:rsidRPr="00A07D8D">
              <w:rPr>
                <w:b/>
                <w:lang w:val="fr-CA"/>
              </w:rPr>
              <w:instrText xml:space="preserve"> SEQ CHAPTER \h \r 1</w:instrText>
            </w:r>
            <w:r w:rsidRPr="00A07D8D">
              <w:rPr>
                <w:b/>
                <w:lang w:val="en-US"/>
              </w:rPr>
              <w:fldChar w:fldCharType="end"/>
            </w:r>
            <w:r w:rsidRPr="00A07D8D">
              <w:rPr>
                <w:b/>
                <w:lang w:val="en-US"/>
              </w:rPr>
              <w:fldChar w:fldCharType="begin"/>
            </w:r>
            <w:r w:rsidR="00A07D8D" w:rsidRPr="00A07D8D">
              <w:rPr>
                <w:b/>
                <w:lang w:val="fr-CA"/>
              </w:rPr>
              <w:instrText xml:space="preserve"> SEQ CHAPTER \h \r 1</w:instrText>
            </w:r>
            <w:r w:rsidRPr="00A07D8D">
              <w:rPr>
                <w:b/>
                <w:lang w:val="en-US"/>
              </w:rPr>
              <w:fldChar w:fldCharType="end"/>
            </w:r>
          </w:p>
        </w:tc>
      </w:tr>
      <w:tr w:rsidR="00A07D8D" w:rsidRPr="00A07D8D" w:rsidTr="00A07D8D">
        <w:trPr>
          <w:trHeight w:val="150"/>
        </w:trPr>
        <w:tc>
          <w:tcPr>
            <w:tcW w:w="4338" w:type="dxa"/>
          </w:tcPr>
          <w:p w:rsidR="00A07D8D" w:rsidRPr="00A07D8D" w:rsidRDefault="00A07D8D" w:rsidP="00A07D8D">
            <w:pPr>
              <w:tabs>
                <w:tab w:val="left" w:pos="-1440"/>
                <w:tab w:val="left" w:pos="-720"/>
              </w:tabs>
              <w:jc w:val="both"/>
              <w:rPr>
                <w:lang w:val="fr-CA"/>
              </w:rPr>
            </w:pPr>
            <w:r w:rsidRPr="00A07D8D">
              <w:rPr>
                <w:lang w:val="fr-CA"/>
              </w:rPr>
              <w:t>Lee Carter et al.</w:t>
            </w:r>
          </w:p>
          <w:p w:rsidR="00A07D8D" w:rsidRPr="00A07D8D" w:rsidRDefault="00A07D8D" w:rsidP="00A07D8D">
            <w:pPr>
              <w:tabs>
                <w:tab w:val="left" w:pos="-1440"/>
                <w:tab w:val="left" w:pos="-720"/>
              </w:tabs>
              <w:jc w:val="both"/>
              <w:rPr>
                <w:lang w:val="fr-CA"/>
              </w:rPr>
            </w:pPr>
          </w:p>
          <w:p w:rsidR="00A07D8D" w:rsidRPr="00A07D8D" w:rsidRDefault="00A07D8D" w:rsidP="00A07D8D">
            <w:pPr>
              <w:tabs>
                <w:tab w:val="left" w:pos="-1440"/>
                <w:tab w:val="left" w:pos="-720"/>
              </w:tabs>
              <w:jc w:val="both"/>
              <w:rPr>
                <w:lang w:val="fr-CA"/>
              </w:rPr>
            </w:pPr>
            <w:r w:rsidRPr="00A07D8D">
              <w:rPr>
                <w:lang w:val="fr-CA"/>
              </w:rPr>
              <w:tab/>
              <w:t>v. (35591)</w:t>
            </w:r>
          </w:p>
          <w:p w:rsidR="00A07D8D" w:rsidRPr="00A07D8D" w:rsidRDefault="00A07D8D" w:rsidP="00A07D8D">
            <w:pPr>
              <w:tabs>
                <w:tab w:val="left" w:pos="-1440"/>
                <w:tab w:val="left" w:pos="-720"/>
              </w:tabs>
              <w:jc w:val="both"/>
              <w:rPr>
                <w:lang w:val="fr-CA"/>
              </w:rPr>
            </w:pPr>
          </w:p>
          <w:p w:rsidR="00A07D8D" w:rsidRPr="00A07D8D" w:rsidRDefault="00A07D8D" w:rsidP="00A07D8D">
            <w:pPr>
              <w:tabs>
                <w:tab w:val="left" w:pos="-1440"/>
                <w:tab w:val="left" w:pos="-720"/>
              </w:tabs>
              <w:jc w:val="both"/>
              <w:rPr>
                <w:lang w:val="fr-CA"/>
              </w:rPr>
            </w:pPr>
            <w:r w:rsidRPr="00A07D8D">
              <w:t xml:space="preserve">Attorney General of Canada et al. </w:t>
            </w:r>
            <w:r w:rsidRPr="00A07D8D">
              <w:rPr>
                <w:lang w:val="fr-CA"/>
              </w:rPr>
              <w:t>(B.C.)</w:t>
            </w:r>
          </w:p>
        </w:tc>
        <w:tc>
          <w:tcPr>
            <w:tcW w:w="1170" w:type="dxa"/>
          </w:tcPr>
          <w:p w:rsidR="00A07D8D" w:rsidRPr="00A07D8D" w:rsidRDefault="00A07D8D" w:rsidP="00A07D8D">
            <w:pPr>
              <w:jc w:val="both"/>
              <w:rPr>
                <w:lang w:val="fr-CA"/>
              </w:rPr>
            </w:pPr>
          </w:p>
        </w:tc>
        <w:tc>
          <w:tcPr>
            <w:tcW w:w="4327" w:type="dxa"/>
          </w:tcPr>
          <w:p w:rsidR="00A07D8D" w:rsidRPr="00A07D8D" w:rsidRDefault="00A07D8D" w:rsidP="00A07D8D">
            <w:pPr>
              <w:jc w:val="both"/>
              <w:rPr>
                <w:lang w:val="fr-CA"/>
              </w:rPr>
            </w:pPr>
          </w:p>
        </w:tc>
      </w:tr>
    </w:tbl>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b/>
          <w:sz w:val="20"/>
          <w:szCs w:val="20"/>
          <w:lang w:eastAsia="en-CA"/>
        </w:rPr>
        <w:t>DISMISSED / REJETÉE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 xml:space="preserve">UPON APPLICATION </w:t>
      </w:r>
      <w:r w:rsidRPr="00A07D8D">
        <w:rPr>
          <w:rFonts w:eastAsia="Times New Roman" w:cs="Times New Roman"/>
          <w:sz w:val="20"/>
          <w:szCs w:val="20"/>
          <w:lang w:val="en-US" w:eastAsia="en-CA"/>
        </w:rPr>
        <w:t xml:space="preserve">by </w:t>
      </w:r>
      <w:r w:rsidRPr="00A07D8D">
        <w:rPr>
          <w:rFonts w:eastAsia="Times New Roman" w:cs="Times New Roman"/>
          <w:sz w:val="20"/>
          <w:szCs w:val="20"/>
          <w:lang w:eastAsia="en-CA"/>
        </w:rPr>
        <w:t>the</w:t>
      </w:r>
      <w:r w:rsidRPr="00A07D8D">
        <w:rPr>
          <w:rFonts w:eastAsia="Times New Roman" w:cs="Times New Roman"/>
          <w:sz w:val="20"/>
          <w:szCs w:val="20"/>
          <w:lang w:val="en-US" w:eastAsia="en-CA"/>
        </w:rPr>
        <w:t xml:space="preserve"> applicants for an order setting abridged time periods for steps on the application for leave to appeal, expediting the application for leave to appeal and setting abridged time periods for steps on the appeal;</w:t>
      </w:r>
    </w:p>
    <w:p w:rsidR="00A07D8D" w:rsidRPr="00A07D8D" w:rsidRDefault="00A07D8D" w:rsidP="00A07D8D">
      <w:pPr>
        <w:spacing w:line="233" w:lineRule="auto"/>
        <w:jc w:val="both"/>
        <w:rPr>
          <w:rFonts w:eastAsia="Times New Roman" w:cs="Times New Roman"/>
          <w:b/>
          <w:bCs/>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AND THE MATERIAL FILED</w:t>
      </w:r>
      <w:r w:rsidRPr="00A07D8D">
        <w:rPr>
          <w:rFonts w:eastAsia="Times New Roman" w:cs="Times New Roman"/>
          <w:sz w:val="20"/>
          <w:szCs w:val="20"/>
          <w:lang w:val="en-US" w:eastAsia="en-CA"/>
        </w:rPr>
        <w:t xml:space="preserve"> having been read;</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IT IS HEREBY ORDERED THAT:</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contextualSpacing/>
        <w:jc w:val="both"/>
        <w:rPr>
          <w:rFonts w:cs="Times New Roman"/>
          <w:sz w:val="20"/>
          <w:szCs w:val="20"/>
          <w:lang w:val="fr-CA"/>
        </w:rPr>
      </w:pPr>
      <w:r w:rsidRPr="00A07D8D">
        <w:rPr>
          <w:rFonts w:cs="Times New Roman"/>
          <w:sz w:val="20"/>
          <w:szCs w:val="20"/>
        </w:rPr>
        <w:t xml:space="preserve">The motion to expedite the application for leave to appeal is dismissed. The  application for leave to appeal shall be served and filed in accordance with the </w:t>
      </w:r>
      <w:r w:rsidRPr="00A07D8D">
        <w:rPr>
          <w:rFonts w:cs="Times New Roman"/>
          <w:i/>
          <w:sz w:val="20"/>
          <w:szCs w:val="20"/>
        </w:rPr>
        <w:t>Rules of the Supreme Court of Canada</w:t>
      </w:r>
      <w:r w:rsidRPr="00A07D8D">
        <w:rPr>
          <w:rFonts w:cs="Times New Roman"/>
          <w:sz w:val="20"/>
          <w:szCs w:val="20"/>
        </w:rPr>
        <w:t xml:space="preserve">. The question of whether the appeal should be expedited, if leave is granted, is deferred to the panel deciding the application for leave to appeal. </w:t>
      </w:r>
      <w:r w:rsidRPr="00A07D8D">
        <w:rPr>
          <w:rFonts w:cs="Times New Roman"/>
          <w:sz w:val="20"/>
          <w:szCs w:val="20"/>
          <w:lang w:val="fr-CA"/>
        </w:rPr>
        <w:t>No order as to costs.</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À LA SUITE DE LA REQUÊTE</w:t>
      </w:r>
      <w:r w:rsidRPr="00A07D8D">
        <w:rPr>
          <w:rFonts w:eastAsia="Times New Roman" w:cs="Times New Roman"/>
          <w:sz w:val="20"/>
          <w:szCs w:val="20"/>
          <w:lang w:val="fr-CA" w:eastAsia="en-CA"/>
        </w:rPr>
        <w:t xml:space="preserve"> des demandeurs visant la fixation de délais écourtés pour les différentes étapes de la demande d’autorisation d’appel, le traitement expéditif de la demande d’autorisation d’appel et la fixation de délais écourtés pour les différentes étapes de l’appel;</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ET APRÈS EXAMEN</w:t>
      </w:r>
      <w:r w:rsidRPr="00A07D8D">
        <w:rPr>
          <w:rFonts w:eastAsia="Times New Roman" w:cs="Times New Roman"/>
          <w:sz w:val="20"/>
          <w:szCs w:val="20"/>
          <w:lang w:val="fr-CA" w:eastAsia="en-CA"/>
        </w:rPr>
        <w:t xml:space="preserve"> des documents déposés;</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b/>
          <w:sz w:val="20"/>
          <w:szCs w:val="20"/>
          <w:lang w:val="fr-CA" w:eastAsia="en-CA"/>
        </w:rPr>
      </w:pPr>
      <w:r w:rsidRPr="00A07D8D">
        <w:rPr>
          <w:rFonts w:eastAsia="Times New Roman" w:cs="Times New Roman"/>
          <w:b/>
          <w:sz w:val="20"/>
          <w:szCs w:val="20"/>
          <w:lang w:val="fr-CA" w:eastAsia="en-CA"/>
        </w:rPr>
        <w:t>IL EST ORDONNÉ CE QUI SUIT :</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sz w:val="20"/>
          <w:szCs w:val="20"/>
          <w:lang w:val="fr-CA" w:eastAsia="en-CA"/>
        </w:rPr>
        <w:t xml:space="preserve">La requête visant le traitement expéditif de la demande d’autorisation d’appel est rejetée.  La demande d’autorisation d’appel sera signifiée et déposée conformément aux </w:t>
      </w:r>
      <w:r w:rsidRPr="00A07D8D">
        <w:rPr>
          <w:rFonts w:eastAsia="Times New Roman" w:cs="Times New Roman"/>
          <w:i/>
          <w:sz w:val="20"/>
          <w:szCs w:val="20"/>
          <w:lang w:val="fr-CA" w:eastAsia="en-CA"/>
        </w:rPr>
        <w:t>Règles de la Cour suprême du Canada</w:t>
      </w:r>
      <w:r w:rsidRPr="00A07D8D">
        <w:rPr>
          <w:rFonts w:eastAsia="Times New Roman" w:cs="Times New Roman"/>
          <w:sz w:val="20"/>
          <w:szCs w:val="20"/>
          <w:lang w:val="fr-CA" w:eastAsia="en-CA"/>
        </w:rPr>
        <w:t>.  La question du traitement expéditif de l’appel, advenant le cas où la demande d’autorisation d’appel était accueillie, est renvoyée à la formation qui se prononcera sur la demande d’autorisation.  Aucune ordonnance n’est rendue concernant les dépens.</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8138B5" w:rsidP="00A07D8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01.11.2013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sz w:val="20"/>
          <w:szCs w:val="20"/>
          <w:lang w:eastAsia="en-CA"/>
        </w:rPr>
        <w:t>Before / Devant :   THE DEPUTY REGISTRAR / LA REGISTRAIRE ADJOINTE</w:t>
      </w:r>
    </w:p>
    <w:p w:rsidR="00A07D8D" w:rsidRPr="00A07D8D" w:rsidRDefault="00A07D8D" w:rsidP="00A07D8D">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07D8D" w:rsidRPr="00A07D8D" w:rsidTr="00A07D8D">
        <w:trPr>
          <w:trHeight w:val="151"/>
        </w:trPr>
        <w:tc>
          <w:tcPr>
            <w:tcW w:w="4338" w:type="dxa"/>
          </w:tcPr>
          <w:p w:rsidR="00A07D8D" w:rsidRPr="00A07D8D" w:rsidRDefault="00A07D8D" w:rsidP="00A07D8D">
            <w:pPr>
              <w:tabs>
                <w:tab w:val="left" w:pos="-1440"/>
                <w:tab w:val="left" w:pos="-720"/>
              </w:tabs>
              <w:jc w:val="both"/>
              <w:rPr>
                <w:lang w:val="fr-CA"/>
              </w:rPr>
            </w:pPr>
            <w:r w:rsidRPr="00A07D8D">
              <w:rPr>
                <w:b/>
                <w:bCs/>
              </w:rPr>
              <w:t>Miscellaneous motion</w:t>
            </w:r>
          </w:p>
          <w:p w:rsidR="00A07D8D" w:rsidRPr="00A07D8D" w:rsidRDefault="00F425BC" w:rsidP="00A07D8D">
            <w:pPr>
              <w:tabs>
                <w:tab w:val="left" w:pos="-1440"/>
                <w:tab w:val="left" w:pos="-720"/>
              </w:tabs>
              <w:jc w:val="both"/>
              <w:rPr>
                <w:lang w:val="fr-CA"/>
              </w:rPr>
            </w:pPr>
            <w:r w:rsidRPr="00A07D8D">
              <w:rPr>
                <w:lang w:val="en-US"/>
              </w:rPr>
              <w:fldChar w:fldCharType="begin"/>
            </w:r>
            <w:r w:rsidR="00A07D8D" w:rsidRPr="00A07D8D">
              <w:rPr>
                <w:lang w:val="fr-CA"/>
              </w:rPr>
              <w:instrText xml:space="preserve"> SEQ CHAPTER \h \r 1</w:instrText>
            </w:r>
            <w:r w:rsidRPr="00A07D8D">
              <w:rPr>
                <w:lang w:val="en-US"/>
              </w:rPr>
              <w:fldChar w:fldCharType="end"/>
            </w:r>
          </w:p>
        </w:tc>
        <w:tc>
          <w:tcPr>
            <w:tcW w:w="1170" w:type="dxa"/>
          </w:tcPr>
          <w:p w:rsidR="00A07D8D" w:rsidRPr="00A07D8D" w:rsidRDefault="00A07D8D" w:rsidP="00A07D8D">
            <w:pPr>
              <w:jc w:val="both"/>
              <w:rPr>
                <w:lang w:val="fr-CA"/>
              </w:rPr>
            </w:pPr>
          </w:p>
          <w:p w:rsidR="00A07D8D" w:rsidRPr="00A07D8D" w:rsidRDefault="00A07D8D" w:rsidP="00A07D8D">
            <w:pPr>
              <w:jc w:val="both"/>
              <w:rPr>
                <w:lang w:val="fr-CA"/>
              </w:rPr>
            </w:pPr>
          </w:p>
        </w:tc>
        <w:tc>
          <w:tcPr>
            <w:tcW w:w="4327" w:type="dxa"/>
          </w:tcPr>
          <w:p w:rsidR="00A07D8D" w:rsidRPr="00A07D8D" w:rsidRDefault="00A07D8D" w:rsidP="00A07D8D">
            <w:pPr>
              <w:jc w:val="both"/>
              <w:rPr>
                <w:b/>
                <w:lang w:val="fr-CA"/>
              </w:rPr>
            </w:pPr>
            <w:r w:rsidRPr="00A07D8D">
              <w:rPr>
                <w:b/>
                <w:bCs/>
                <w:lang w:val="fr-CA"/>
              </w:rPr>
              <w:t>Requête diverse</w:t>
            </w:r>
          </w:p>
          <w:p w:rsidR="00A07D8D" w:rsidRPr="00A07D8D" w:rsidRDefault="00F425BC" w:rsidP="00A07D8D">
            <w:pPr>
              <w:jc w:val="both"/>
              <w:rPr>
                <w:b/>
                <w:lang w:val="fr-CA"/>
              </w:rPr>
            </w:pPr>
            <w:r w:rsidRPr="00A07D8D">
              <w:rPr>
                <w:b/>
                <w:lang w:val="en-US"/>
              </w:rPr>
              <w:fldChar w:fldCharType="begin"/>
            </w:r>
            <w:r w:rsidR="00A07D8D" w:rsidRPr="00A07D8D">
              <w:rPr>
                <w:b/>
                <w:lang w:val="fr-CA"/>
              </w:rPr>
              <w:instrText xml:space="preserve"> SEQ CHAPTER \h \r 1</w:instrText>
            </w:r>
            <w:r w:rsidRPr="00A07D8D">
              <w:rPr>
                <w:b/>
                <w:lang w:val="en-US"/>
              </w:rPr>
              <w:fldChar w:fldCharType="end"/>
            </w:r>
            <w:r w:rsidRPr="00A07D8D">
              <w:rPr>
                <w:b/>
                <w:lang w:val="en-US"/>
              </w:rPr>
              <w:fldChar w:fldCharType="begin"/>
            </w:r>
            <w:r w:rsidR="00A07D8D" w:rsidRPr="00A07D8D">
              <w:rPr>
                <w:b/>
                <w:lang w:val="fr-CA"/>
              </w:rPr>
              <w:instrText xml:space="preserve"> SEQ CHAPTER \h \r 1</w:instrText>
            </w:r>
            <w:r w:rsidRPr="00A07D8D">
              <w:rPr>
                <w:b/>
                <w:lang w:val="en-US"/>
              </w:rPr>
              <w:fldChar w:fldCharType="end"/>
            </w:r>
          </w:p>
        </w:tc>
      </w:tr>
      <w:tr w:rsidR="00A07D8D" w:rsidRPr="00A07D8D" w:rsidTr="00A07D8D">
        <w:trPr>
          <w:trHeight w:val="150"/>
        </w:trPr>
        <w:tc>
          <w:tcPr>
            <w:tcW w:w="4338" w:type="dxa"/>
          </w:tcPr>
          <w:p w:rsidR="00A07D8D" w:rsidRPr="00A07D8D" w:rsidRDefault="00A07D8D" w:rsidP="00A07D8D">
            <w:pPr>
              <w:tabs>
                <w:tab w:val="left" w:pos="-1440"/>
                <w:tab w:val="left" w:pos="-720"/>
              </w:tabs>
              <w:jc w:val="both"/>
            </w:pPr>
            <w:r w:rsidRPr="00A07D8D">
              <w:t>Daniel Walter Hill</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ab/>
              <w:t>v. (35435)</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Paul James Hill et al. (Alta.)</w:t>
            </w:r>
          </w:p>
        </w:tc>
        <w:tc>
          <w:tcPr>
            <w:tcW w:w="1170" w:type="dxa"/>
          </w:tcPr>
          <w:p w:rsidR="00A07D8D" w:rsidRPr="00A07D8D" w:rsidRDefault="00A07D8D" w:rsidP="00A07D8D">
            <w:pPr>
              <w:jc w:val="both"/>
            </w:pPr>
          </w:p>
        </w:tc>
        <w:tc>
          <w:tcPr>
            <w:tcW w:w="4327" w:type="dxa"/>
          </w:tcPr>
          <w:p w:rsidR="00A07D8D" w:rsidRPr="00A07D8D" w:rsidRDefault="00A07D8D" w:rsidP="00A07D8D">
            <w:pPr>
              <w:jc w:val="both"/>
            </w:pPr>
          </w:p>
        </w:tc>
      </w:tr>
    </w:tbl>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b/>
          <w:sz w:val="20"/>
          <w:szCs w:val="20"/>
          <w:lang w:eastAsia="en-CA"/>
        </w:rPr>
        <w:lastRenderedPageBreak/>
        <w:t>GRANTED / ACCORDÉE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jc w:val="both"/>
        <w:rPr>
          <w:rFonts w:eastAsia="Times New Roman" w:cs="Times New Roman"/>
          <w:sz w:val="20"/>
          <w:szCs w:val="20"/>
          <w:lang w:val="en-US" w:eastAsia="en-CA"/>
        </w:rPr>
      </w:pPr>
      <w:r w:rsidRPr="00A07D8D">
        <w:rPr>
          <w:rFonts w:eastAsia="Times New Roman" w:cs="Times New Roman"/>
          <w:b/>
          <w:sz w:val="20"/>
          <w:szCs w:val="20"/>
          <w:lang w:val="en-US" w:eastAsia="en-CA"/>
        </w:rPr>
        <w:t>UPON APPLICATION</w:t>
      </w:r>
      <w:r w:rsidRPr="00A07D8D">
        <w:rPr>
          <w:rFonts w:eastAsia="Times New Roman" w:cs="Times New Roman"/>
          <w:sz w:val="20"/>
          <w:szCs w:val="20"/>
          <w:lang w:val="en-US" w:eastAsia="en-CA"/>
        </w:rPr>
        <w:t xml:space="preserve"> </w:t>
      </w:r>
      <w:r w:rsidR="00F425BC" w:rsidRPr="00A07D8D">
        <w:rPr>
          <w:rFonts w:eastAsia="Times New Roman" w:cs="Times New Roman"/>
          <w:sz w:val="20"/>
          <w:szCs w:val="20"/>
          <w:lang w:val="en-US" w:eastAsia="en-CA"/>
        </w:rPr>
        <w:fldChar w:fldCharType="begin"/>
      </w:r>
      <w:r w:rsidRPr="00A07D8D">
        <w:rPr>
          <w:rFonts w:eastAsia="Times New Roman" w:cs="Times New Roman"/>
          <w:sz w:val="20"/>
          <w:szCs w:val="20"/>
          <w:lang w:val="en-US" w:eastAsia="en-CA"/>
        </w:rPr>
        <w:instrText xml:space="preserve"> SEQ CHAPTER \h \r 1</w:instrText>
      </w:r>
      <w:r w:rsidR="00F425BC" w:rsidRPr="00A07D8D">
        <w:rPr>
          <w:rFonts w:eastAsia="Times New Roman" w:cs="Times New Roman"/>
          <w:sz w:val="20"/>
          <w:szCs w:val="20"/>
          <w:lang w:val="en-US" w:eastAsia="en-CA"/>
        </w:rPr>
        <w:fldChar w:fldCharType="end"/>
      </w:r>
      <w:r w:rsidRPr="00A07D8D">
        <w:rPr>
          <w:rFonts w:eastAsia="Times New Roman" w:cs="Times New Roman"/>
          <w:sz w:val="20"/>
          <w:szCs w:val="20"/>
          <w:lang w:val="en-US" w:eastAsia="en-CA"/>
        </w:rPr>
        <w:t>made on behalf of the Applicant pursuant to the provisions of Rule 32(2) for an order to file additional material namely a Motion to Hold the Application for Leave to Appeal in abeyance pending an application to file new evidence;</w:t>
      </w:r>
    </w:p>
    <w:p w:rsidR="00A07D8D" w:rsidRPr="00A07D8D" w:rsidRDefault="00A07D8D" w:rsidP="00A07D8D">
      <w:pPr>
        <w:jc w:val="both"/>
        <w:rPr>
          <w:rFonts w:eastAsia="Times New Roman" w:cs="Times New Roman"/>
          <w:sz w:val="20"/>
          <w:szCs w:val="20"/>
          <w:lang w:val="en-US" w:eastAsia="en-CA"/>
        </w:rPr>
      </w:pPr>
    </w:p>
    <w:p w:rsidR="00A07D8D" w:rsidRPr="00A07D8D" w:rsidRDefault="00F425BC" w:rsidP="00A07D8D">
      <w:pPr>
        <w:jc w:val="both"/>
        <w:rPr>
          <w:rFonts w:eastAsia="Times New Roman" w:cs="Times New Roman"/>
          <w:sz w:val="20"/>
          <w:szCs w:val="20"/>
          <w:lang w:val="en-US" w:eastAsia="en-CA"/>
        </w:rPr>
      </w:pPr>
      <w:r w:rsidRPr="00A07D8D">
        <w:rPr>
          <w:rFonts w:eastAsia="Times New Roman" w:cs="Times New Roman"/>
          <w:sz w:val="20"/>
          <w:szCs w:val="20"/>
          <w:lang w:val="en-US" w:eastAsia="en-CA"/>
        </w:rPr>
        <w:fldChar w:fldCharType="begin"/>
      </w:r>
      <w:r w:rsidR="00A07D8D" w:rsidRPr="00A07D8D">
        <w:rPr>
          <w:rFonts w:eastAsia="Times New Roman" w:cs="Times New Roman"/>
          <w:sz w:val="20"/>
          <w:szCs w:val="20"/>
          <w:lang w:val="en-US" w:eastAsia="en-CA"/>
        </w:rPr>
        <w:instrText xml:space="preserve"> SEQ CHAPTER \h \r 1</w:instrText>
      </w:r>
      <w:r w:rsidRPr="00A07D8D">
        <w:rPr>
          <w:rFonts w:eastAsia="Times New Roman" w:cs="Times New Roman"/>
          <w:sz w:val="20"/>
          <w:szCs w:val="20"/>
          <w:lang w:val="en-US" w:eastAsia="en-CA"/>
        </w:rPr>
        <w:fldChar w:fldCharType="end"/>
      </w:r>
      <w:r w:rsidR="00A07D8D" w:rsidRPr="00A07D8D">
        <w:rPr>
          <w:rFonts w:eastAsia="Times New Roman" w:cs="Times New Roman"/>
          <w:b/>
          <w:bCs/>
          <w:sz w:val="20"/>
          <w:szCs w:val="20"/>
          <w:lang w:val="en-US" w:eastAsia="en-CA"/>
        </w:rPr>
        <w:t>AND HAVING READ</w:t>
      </w:r>
      <w:r w:rsidR="00A07D8D" w:rsidRPr="00A07D8D">
        <w:rPr>
          <w:rFonts w:eastAsia="Times New Roman" w:cs="Times New Roman"/>
          <w:sz w:val="20"/>
          <w:szCs w:val="20"/>
          <w:lang w:val="en-US" w:eastAsia="en-CA"/>
        </w:rPr>
        <w:t xml:space="preserve"> the material filed;</w:t>
      </w:r>
    </w:p>
    <w:p w:rsidR="00A07D8D" w:rsidRPr="00A07D8D" w:rsidRDefault="00A07D8D" w:rsidP="00A07D8D">
      <w:pPr>
        <w:jc w:val="both"/>
        <w:rPr>
          <w:rFonts w:eastAsia="Times New Roman" w:cs="Times New Roman"/>
          <w:sz w:val="20"/>
          <w:szCs w:val="20"/>
          <w:lang w:val="en-US" w:eastAsia="en-CA"/>
        </w:rPr>
      </w:pPr>
    </w:p>
    <w:p w:rsidR="00A07D8D" w:rsidRPr="00A07D8D" w:rsidRDefault="00A07D8D" w:rsidP="00A07D8D">
      <w:pPr>
        <w:jc w:val="both"/>
        <w:rPr>
          <w:rFonts w:eastAsia="Times New Roman" w:cs="Times New Roman"/>
          <w:b/>
          <w:sz w:val="20"/>
          <w:szCs w:val="20"/>
          <w:lang w:val="en-US" w:eastAsia="en-CA"/>
        </w:rPr>
      </w:pPr>
      <w:r w:rsidRPr="00A07D8D">
        <w:rPr>
          <w:rFonts w:eastAsia="Times New Roman" w:cs="Times New Roman"/>
          <w:b/>
          <w:sz w:val="20"/>
          <w:szCs w:val="20"/>
          <w:lang w:val="en-US" w:eastAsia="en-CA"/>
        </w:rPr>
        <w:t>IT IS HEREBY ORDERED THAT:</w:t>
      </w:r>
    </w:p>
    <w:p w:rsidR="00A07D8D" w:rsidRPr="00A07D8D" w:rsidRDefault="00A07D8D" w:rsidP="00A07D8D">
      <w:pPr>
        <w:ind w:left="360"/>
        <w:contextualSpacing/>
        <w:jc w:val="both"/>
        <w:rPr>
          <w:sz w:val="20"/>
          <w:szCs w:val="20"/>
        </w:rPr>
      </w:pPr>
    </w:p>
    <w:p w:rsidR="00A07D8D" w:rsidRPr="00A07D8D" w:rsidRDefault="00A07D8D" w:rsidP="00A07D8D">
      <w:pPr>
        <w:ind w:left="360"/>
        <w:contextualSpacing/>
        <w:jc w:val="both"/>
        <w:rPr>
          <w:sz w:val="20"/>
          <w:szCs w:val="20"/>
          <w:lang w:val="fr-CA"/>
        </w:rPr>
      </w:pPr>
      <w:r w:rsidRPr="00A07D8D">
        <w:rPr>
          <w:sz w:val="20"/>
          <w:szCs w:val="20"/>
          <w:lang w:val="fr-CA"/>
        </w:rPr>
        <w:t>The motion is granted.</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sz w:val="20"/>
          <w:szCs w:val="20"/>
          <w:lang w:val="fr-CA" w:eastAsia="en-CA"/>
        </w:rPr>
        <w:t>À LA SUITE DE LA REQUÊTE</w:t>
      </w:r>
      <w:r w:rsidRPr="00A07D8D">
        <w:rPr>
          <w:rFonts w:eastAsia="Times New Roman" w:cs="Times New Roman"/>
          <w:sz w:val="20"/>
          <w:szCs w:val="20"/>
          <w:lang w:val="fr-CA" w:eastAsia="en-CA"/>
        </w:rPr>
        <w:t xml:space="preserve"> présentée au nom du demandeur en vertu du paragraphe 32(2) des </w:t>
      </w:r>
      <w:r w:rsidRPr="00A07D8D">
        <w:rPr>
          <w:rFonts w:eastAsia="Times New Roman" w:cs="Times New Roman"/>
          <w:i/>
          <w:sz w:val="20"/>
          <w:szCs w:val="20"/>
          <w:lang w:val="fr-CA" w:eastAsia="en-CA"/>
        </w:rPr>
        <w:t>Règles</w:t>
      </w:r>
      <w:r w:rsidRPr="00A07D8D">
        <w:rPr>
          <w:rFonts w:eastAsia="Times New Roman" w:cs="Times New Roman"/>
          <w:sz w:val="20"/>
          <w:szCs w:val="20"/>
          <w:lang w:val="fr-CA" w:eastAsia="en-CA"/>
        </w:rPr>
        <w:t xml:space="preserve"> sollicitant la permission de déposer une procédure supplémentaire à savoir une requête en suspension de la demande d’autorisation d’appel en attendant le dépôt d’une demande en vue de déposer de nouveaux éléments de preuve;</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sz w:val="20"/>
          <w:szCs w:val="20"/>
          <w:lang w:val="fr-CA" w:eastAsia="en-CA"/>
        </w:rPr>
        <w:t xml:space="preserve">ET APRÈS EXAMEN </w:t>
      </w:r>
      <w:r w:rsidRPr="00A07D8D">
        <w:rPr>
          <w:rFonts w:eastAsia="Times New Roman" w:cs="Times New Roman"/>
          <w:sz w:val="20"/>
          <w:szCs w:val="20"/>
          <w:lang w:val="fr-CA" w:eastAsia="en-CA"/>
        </w:rPr>
        <w:t>des documents déposés;</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b/>
          <w:sz w:val="20"/>
          <w:szCs w:val="20"/>
          <w:lang w:val="fr-CA" w:eastAsia="en-CA"/>
        </w:rPr>
      </w:pPr>
      <w:r w:rsidRPr="00A07D8D">
        <w:rPr>
          <w:rFonts w:eastAsia="Times New Roman" w:cs="Times New Roman"/>
          <w:b/>
          <w:sz w:val="20"/>
          <w:szCs w:val="20"/>
          <w:lang w:val="fr-CA" w:eastAsia="en-CA"/>
        </w:rPr>
        <w:t>IL EST ORDONNÉ CE QUI SUIT :</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ind w:firstLine="720"/>
        <w:jc w:val="both"/>
        <w:rPr>
          <w:rFonts w:eastAsia="Times New Roman" w:cs="Times New Roman"/>
          <w:sz w:val="20"/>
          <w:szCs w:val="20"/>
          <w:lang w:val="fr-CA" w:eastAsia="en-CA"/>
        </w:rPr>
      </w:pPr>
      <w:r w:rsidRPr="00A07D8D">
        <w:rPr>
          <w:rFonts w:eastAsia="Times New Roman" w:cs="Times New Roman"/>
          <w:sz w:val="20"/>
          <w:szCs w:val="20"/>
          <w:lang w:val="fr-CA" w:eastAsia="en-CA"/>
        </w:rPr>
        <w:t>La requête est accueillie.</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8138B5" w:rsidP="00A07D8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04.11.2013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Before / Devant :   THE CHIEF JUSTICE / LA JUGE EN CHEF</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07D8D" w:rsidRPr="008138B5" w:rsidTr="00A07D8D">
        <w:tc>
          <w:tcPr>
            <w:tcW w:w="4338" w:type="dxa"/>
          </w:tcPr>
          <w:p w:rsidR="00A07D8D" w:rsidRPr="00A07D8D" w:rsidRDefault="00F425BC" w:rsidP="00A07D8D">
            <w:pPr>
              <w:tabs>
                <w:tab w:val="left" w:pos="-1440"/>
                <w:tab w:val="left" w:pos="-720"/>
              </w:tabs>
              <w:jc w:val="both"/>
              <w:rPr>
                <w:b/>
              </w:rPr>
            </w:pPr>
            <w:r w:rsidRPr="00A07D8D">
              <w:rPr>
                <w:lang w:val="en-US"/>
              </w:rPr>
              <w:fldChar w:fldCharType="begin"/>
            </w:r>
            <w:r w:rsidR="00A07D8D" w:rsidRPr="00A07D8D">
              <w:rPr>
                <w:lang w:val="en-US"/>
              </w:rPr>
              <w:instrText xml:space="preserve"> SEQ CHAPTER \h \r 1</w:instrText>
            </w:r>
            <w:r w:rsidRPr="00A07D8D">
              <w:rPr>
                <w:lang w:val="en-US"/>
              </w:rPr>
              <w:fldChar w:fldCharType="end"/>
            </w:r>
            <w:r w:rsidR="00A07D8D" w:rsidRPr="00A07D8D">
              <w:rPr>
                <w:b/>
                <w:bCs/>
                <w:lang w:val="en-US"/>
              </w:rPr>
              <w:t>Motion to state constitutional questions</w:t>
            </w:r>
          </w:p>
        </w:tc>
        <w:tc>
          <w:tcPr>
            <w:tcW w:w="1170" w:type="dxa"/>
          </w:tcPr>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p>
        </w:tc>
        <w:tc>
          <w:tcPr>
            <w:tcW w:w="4327" w:type="dxa"/>
          </w:tcPr>
          <w:p w:rsidR="00A07D8D" w:rsidRPr="00A07D8D" w:rsidRDefault="00F425BC" w:rsidP="00A07D8D">
            <w:pPr>
              <w:tabs>
                <w:tab w:val="left" w:pos="-1440"/>
                <w:tab w:val="left" w:pos="-720"/>
              </w:tabs>
              <w:jc w:val="both"/>
              <w:rPr>
                <w:lang w:val="fr-CA"/>
              </w:rPr>
            </w:pPr>
            <w:r w:rsidRPr="00A07D8D">
              <w:rPr>
                <w:lang w:val="en-US"/>
              </w:rPr>
              <w:fldChar w:fldCharType="begin"/>
            </w:r>
            <w:r w:rsidR="00A07D8D" w:rsidRPr="00A07D8D">
              <w:rPr>
                <w:lang w:val="fr-CA"/>
              </w:rPr>
              <w:instrText xml:space="preserve"> SEQ CHAPTER \h \r 1</w:instrText>
            </w:r>
            <w:r w:rsidRPr="00A07D8D">
              <w:rPr>
                <w:lang w:val="en-US"/>
              </w:rPr>
              <w:fldChar w:fldCharType="end"/>
            </w:r>
            <w:r w:rsidR="00A07D8D" w:rsidRPr="00A07D8D">
              <w:rPr>
                <w:b/>
                <w:bCs/>
                <w:lang w:val="fr-CA"/>
              </w:rPr>
              <w:t>Requête en formulation de questions constitutionnelles</w:t>
            </w:r>
            <w:r w:rsidRPr="00A07D8D">
              <w:rPr>
                <w:lang w:val="en-US"/>
              </w:rPr>
              <w:fldChar w:fldCharType="begin"/>
            </w:r>
            <w:r w:rsidR="00A07D8D" w:rsidRPr="00A07D8D">
              <w:rPr>
                <w:lang w:val="fr-CA"/>
              </w:rPr>
              <w:instrText xml:space="preserve"> SEQ CHAPTER \h \r 1</w:instrText>
            </w:r>
            <w:r w:rsidRPr="00A07D8D">
              <w:rPr>
                <w:lang w:val="en-US"/>
              </w:rPr>
              <w:fldChar w:fldCharType="end"/>
            </w:r>
            <w:r w:rsidRPr="00A07D8D">
              <w:rPr>
                <w:lang w:val="en-US"/>
              </w:rPr>
              <w:fldChar w:fldCharType="begin"/>
            </w:r>
            <w:r w:rsidR="00A07D8D" w:rsidRPr="00A07D8D">
              <w:rPr>
                <w:lang w:val="fr-CA"/>
              </w:rPr>
              <w:instrText xml:space="preserve"> SEQ CHAPTER \h \r 1</w:instrText>
            </w:r>
            <w:r w:rsidRPr="00A07D8D">
              <w:rPr>
                <w:lang w:val="en-US"/>
              </w:rPr>
              <w:fldChar w:fldCharType="end"/>
            </w:r>
            <w:r w:rsidRPr="00A07D8D">
              <w:rPr>
                <w:lang w:val="en-US"/>
              </w:rPr>
              <w:fldChar w:fldCharType="begin"/>
            </w:r>
            <w:r w:rsidR="00A07D8D" w:rsidRPr="00A07D8D">
              <w:rPr>
                <w:lang w:val="fr-CA"/>
              </w:rPr>
              <w:instrText xml:space="preserve"> SEQ CHAPTER \h \r 1</w:instrText>
            </w:r>
            <w:r w:rsidRPr="00A07D8D">
              <w:rPr>
                <w:lang w:val="en-US"/>
              </w:rPr>
              <w:fldChar w:fldCharType="end"/>
            </w:r>
          </w:p>
        </w:tc>
      </w:tr>
      <w:tr w:rsidR="00A07D8D" w:rsidRPr="00A07D8D" w:rsidTr="00A07D8D">
        <w:tc>
          <w:tcPr>
            <w:tcW w:w="4338" w:type="dxa"/>
          </w:tcPr>
          <w:p w:rsidR="00A07D8D" w:rsidRPr="00A07D8D" w:rsidRDefault="00A07D8D" w:rsidP="00A07D8D">
            <w:pPr>
              <w:tabs>
                <w:tab w:val="left" w:pos="-1440"/>
                <w:tab w:val="left" w:pos="-720"/>
              </w:tabs>
              <w:jc w:val="both"/>
            </w:pPr>
            <w:r w:rsidRPr="00A07D8D">
              <w:t>Robert Meredith et al.</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ab/>
              <w:t>v. (35424)</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Attorney General of Canada (F.C.)</w:t>
            </w:r>
          </w:p>
        </w:tc>
        <w:tc>
          <w:tcPr>
            <w:tcW w:w="1170" w:type="dxa"/>
          </w:tcPr>
          <w:p w:rsidR="00A07D8D" w:rsidRPr="00A07D8D" w:rsidRDefault="00A07D8D" w:rsidP="00A07D8D">
            <w:pPr>
              <w:tabs>
                <w:tab w:val="left" w:pos="-1440"/>
                <w:tab w:val="left" w:pos="-720"/>
              </w:tabs>
              <w:jc w:val="both"/>
            </w:pPr>
          </w:p>
        </w:tc>
        <w:tc>
          <w:tcPr>
            <w:tcW w:w="4327" w:type="dxa"/>
          </w:tcPr>
          <w:p w:rsidR="00A07D8D" w:rsidRPr="00A07D8D" w:rsidRDefault="00A07D8D" w:rsidP="00A07D8D">
            <w:pPr>
              <w:tabs>
                <w:tab w:val="left" w:pos="-1440"/>
                <w:tab w:val="left" w:pos="-720"/>
              </w:tabs>
              <w:jc w:val="both"/>
            </w:pPr>
          </w:p>
        </w:tc>
      </w:tr>
    </w:tbl>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b/>
          <w:sz w:val="20"/>
          <w:szCs w:val="20"/>
          <w:lang w:eastAsia="en-CA"/>
        </w:rPr>
        <w:t>GRANTED / ACCORDÉE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widowControl w:val="0"/>
        <w:kinsoku w:val="0"/>
        <w:overflowPunct w:val="0"/>
        <w:jc w:val="both"/>
        <w:rPr>
          <w:rFonts w:eastAsia="Times New Roman" w:cs="Times New Roman"/>
          <w:sz w:val="20"/>
          <w:szCs w:val="20"/>
          <w:lang w:val="en-US" w:eastAsia="en-CA"/>
        </w:rPr>
      </w:pPr>
      <w:r w:rsidRPr="00A07D8D">
        <w:rPr>
          <w:rFonts w:eastAsia="Times New Roman" w:cs="Times New Roman"/>
          <w:b/>
          <w:bCs/>
          <w:sz w:val="20"/>
          <w:szCs w:val="20"/>
          <w:lang w:val="en-US" w:eastAsia="en-CA"/>
        </w:rPr>
        <w:t>UPON APPLICATION</w:t>
      </w:r>
      <w:r w:rsidRPr="00A07D8D">
        <w:rPr>
          <w:rFonts w:eastAsia="Times New Roman" w:cs="Times New Roman"/>
          <w:sz w:val="20"/>
          <w:szCs w:val="20"/>
          <w:lang w:val="en-US" w:eastAsia="en-CA"/>
        </w:rPr>
        <w:t xml:space="preserve"> by the appellants </w:t>
      </w:r>
      <w:r w:rsidR="00F425BC" w:rsidRPr="00A07D8D">
        <w:rPr>
          <w:rFonts w:eastAsia="Times New Roman" w:cs="Times New Roman"/>
          <w:sz w:val="20"/>
          <w:szCs w:val="20"/>
          <w:lang w:eastAsia="en-CA"/>
        </w:rPr>
        <w:fldChar w:fldCharType="begin"/>
      </w:r>
      <w:r w:rsidRPr="00A07D8D">
        <w:rPr>
          <w:rFonts w:eastAsia="Times New Roman" w:cs="Times New Roman"/>
          <w:sz w:val="20"/>
          <w:szCs w:val="20"/>
          <w:lang w:eastAsia="en-CA"/>
        </w:rPr>
        <w:instrText xml:space="preserve"> SEQ CHAPTER \h \r 1</w:instrText>
      </w:r>
      <w:r w:rsidR="00F425BC" w:rsidRPr="00A07D8D">
        <w:rPr>
          <w:rFonts w:eastAsia="Times New Roman" w:cs="Times New Roman"/>
          <w:sz w:val="20"/>
          <w:szCs w:val="20"/>
          <w:lang w:eastAsia="en-CA"/>
        </w:rPr>
        <w:fldChar w:fldCharType="end"/>
      </w:r>
      <w:r w:rsidRPr="00A07D8D">
        <w:rPr>
          <w:rFonts w:eastAsia="Times New Roman" w:cs="Times New Roman"/>
          <w:sz w:val="20"/>
          <w:szCs w:val="20"/>
          <w:lang w:eastAsia="en-CA"/>
        </w:rPr>
        <w:t xml:space="preserve">for an order stating constitutional questions </w:t>
      </w:r>
      <w:r w:rsidRPr="00A07D8D">
        <w:rPr>
          <w:rFonts w:eastAsia="Times New Roman" w:cs="Times New Roman"/>
          <w:sz w:val="20"/>
          <w:szCs w:val="20"/>
          <w:lang w:val="en-US" w:eastAsia="en-CA"/>
        </w:rPr>
        <w:t>in the above appeal;</w:t>
      </w:r>
    </w:p>
    <w:p w:rsidR="00A07D8D" w:rsidRPr="00A07D8D" w:rsidRDefault="00A07D8D" w:rsidP="00A07D8D">
      <w:pPr>
        <w:jc w:val="both"/>
        <w:rPr>
          <w:rFonts w:eastAsia="Times New Roman" w:cs="Times New Roman"/>
          <w:sz w:val="20"/>
          <w:szCs w:val="20"/>
          <w:lang w:val="en-US" w:eastAsia="en-CA"/>
        </w:rPr>
      </w:pPr>
    </w:p>
    <w:p w:rsidR="00A07D8D" w:rsidRPr="00A07D8D" w:rsidRDefault="00A07D8D" w:rsidP="00A07D8D">
      <w:pPr>
        <w:jc w:val="both"/>
        <w:rPr>
          <w:rFonts w:eastAsia="Times New Roman" w:cs="Times New Roman"/>
          <w:sz w:val="20"/>
          <w:szCs w:val="20"/>
          <w:lang w:val="en-US" w:eastAsia="en-CA"/>
        </w:rPr>
      </w:pPr>
      <w:r w:rsidRPr="00A07D8D">
        <w:rPr>
          <w:rFonts w:eastAsia="Times New Roman" w:cs="Times New Roman"/>
          <w:b/>
          <w:bCs/>
          <w:sz w:val="20"/>
          <w:szCs w:val="20"/>
          <w:lang w:val="en-US" w:eastAsia="en-CA"/>
        </w:rPr>
        <w:t>AND THE MATERIAL FILED</w:t>
      </w:r>
      <w:r w:rsidRPr="00A07D8D">
        <w:rPr>
          <w:rFonts w:eastAsia="Times New Roman" w:cs="Times New Roman"/>
          <w:sz w:val="20"/>
          <w:szCs w:val="20"/>
          <w:lang w:val="en-US" w:eastAsia="en-CA"/>
        </w:rPr>
        <w:t xml:space="preserve"> having been read;</w:t>
      </w:r>
    </w:p>
    <w:p w:rsidR="00A07D8D" w:rsidRPr="00A07D8D" w:rsidRDefault="00A07D8D" w:rsidP="00A07D8D">
      <w:pPr>
        <w:jc w:val="both"/>
        <w:rPr>
          <w:rFonts w:eastAsia="Times New Roman" w:cs="Times New Roman"/>
          <w:sz w:val="20"/>
          <w:szCs w:val="20"/>
          <w:lang w:val="en-US" w:eastAsia="en-CA"/>
        </w:rPr>
      </w:pPr>
    </w:p>
    <w:p w:rsidR="00A07D8D" w:rsidRPr="00A07D8D" w:rsidRDefault="00A07D8D" w:rsidP="00A07D8D">
      <w:pPr>
        <w:jc w:val="both"/>
        <w:rPr>
          <w:rFonts w:eastAsia="Times New Roman" w:cs="Times New Roman"/>
          <w:bCs/>
          <w:sz w:val="20"/>
          <w:szCs w:val="20"/>
          <w:lang w:val="en-US" w:eastAsia="en-CA"/>
        </w:rPr>
      </w:pPr>
      <w:r w:rsidRPr="00A07D8D">
        <w:rPr>
          <w:rFonts w:eastAsia="Times New Roman" w:cs="Times New Roman"/>
          <w:b/>
          <w:bCs/>
          <w:sz w:val="20"/>
          <w:szCs w:val="20"/>
          <w:lang w:val="en-US" w:eastAsia="en-CA"/>
        </w:rPr>
        <w:t>IT IS HEREBY ORDERED THAT THE CONSTITUTIONAL QUESTIONS BE STATED AS FOLLOWS:</w:t>
      </w: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widowControl w:val="0"/>
        <w:numPr>
          <w:ilvl w:val="0"/>
          <w:numId w:val="9"/>
        </w:numPr>
        <w:spacing w:line="0" w:lineRule="atLeast"/>
        <w:contextualSpacing/>
        <w:jc w:val="both"/>
        <w:rPr>
          <w:rFonts w:cs="Times New Roman"/>
          <w:sz w:val="20"/>
          <w:szCs w:val="20"/>
        </w:rPr>
      </w:pPr>
      <w:r w:rsidRPr="00A07D8D">
        <w:rPr>
          <w:rFonts w:cs="Times New Roman"/>
          <w:sz w:val="20"/>
          <w:szCs w:val="20"/>
        </w:rPr>
        <w:t xml:space="preserve">Do sections 16, 35, 38, 43, 46 and 49 of the </w:t>
      </w:r>
      <w:r w:rsidRPr="00A07D8D">
        <w:rPr>
          <w:rFonts w:cs="Times New Roman"/>
          <w:i/>
          <w:sz w:val="20"/>
          <w:szCs w:val="20"/>
        </w:rPr>
        <w:t>Expenditure Restraint Act</w:t>
      </w:r>
      <w:r w:rsidRPr="00A07D8D">
        <w:rPr>
          <w:rFonts w:cs="Times New Roman"/>
          <w:sz w:val="20"/>
          <w:szCs w:val="20"/>
        </w:rPr>
        <w:t xml:space="preserve">, S.C. 2009, c.2, s. 393 infringe s. 2(d) of the </w:t>
      </w:r>
      <w:r w:rsidRPr="00A07D8D">
        <w:rPr>
          <w:rFonts w:cs="Times New Roman"/>
          <w:i/>
          <w:sz w:val="20"/>
          <w:szCs w:val="20"/>
        </w:rPr>
        <w:t>Canadian Charter of Rights and Freedoms</w:t>
      </w:r>
      <w:r w:rsidRPr="00A07D8D">
        <w:rPr>
          <w:rFonts w:cs="Times New Roman"/>
          <w:sz w:val="20"/>
          <w:szCs w:val="20"/>
        </w:rPr>
        <w:t xml:space="preserve">? </w:t>
      </w:r>
    </w:p>
    <w:p w:rsidR="00A07D8D" w:rsidRPr="00A07D8D" w:rsidRDefault="00A07D8D" w:rsidP="00A07D8D">
      <w:pPr>
        <w:spacing w:line="0" w:lineRule="atLeast"/>
        <w:ind w:left="720"/>
        <w:contextualSpacing/>
        <w:jc w:val="both"/>
        <w:rPr>
          <w:rFonts w:cs="Times New Roman"/>
          <w:sz w:val="20"/>
          <w:szCs w:val="20"/>
        </w:rPr>
      </w:pPr>
    </w:p>
    <w:p w:rsidR="00A07D8D" w:rsidRPr="00A07D8D" w:rsidRDefault="00A07D8D" w:rsidP="00A07D8D">
      <w:pPr>
        <w:widowControl w:val="0"/>
        <w:numPr>
          <w:ilvl w:val="0"/>
          <w:numId w:val="9"/>
        </w:numPr>
        <w:spacing w:line="0" w:lineRule="atLeast"/>
        <w:contextualSpacing/>
        <w:jc w:val="both"/>
        <w:rPr>
          <w:rFonts w:cs="Times New Roman"/>
          <w:sz w:val="20"/>
          <w:szCs w:val="20"/>
        </w:rPr>
      </w:pPr>
      <w:r w:rsidRPr="00A07D8D">
        <w:rPr>
          <w:rFonts w:cs="Times New Roman"/>
          <w:sz w:val="20"/>
          <w:szCs w:val="20"/>
        </w:rPr>
        <w:t xml:space="preserve">If so, is the infringement a reasonable limit prescribed by law as can be demonstrably justified in a free and democratic society under s. 1 of the </w:t>
      </w:r>
      <w:r w:rsidRPr="00A07D8D">
        <w:rPr>
          <w:rFonts w:cs="Times New Roman"/>
          <w:i/>
          <w:sz w:val="20"/>
          <w:szCs w:val="20"/>
        </w:rPr>
        <w:t>Canadian Charter of Rights and Freedoms</w:t>
      </w:r>
      <w:r w:rsidRPr="00A07D8D">
        <w:rPr>
          <w:rFonts w:cs="Times New Roman"/>
          <w:sz w:val="20"/>
          <w:szCs w:val="20"/>
        </w:rPr>
        <w:t>?</w:t>
      </w:r>
    </w:p>
    <w:p w:rsidR="00A07D8D" w:rsidRPr="00A07D8D" w:rsidRDefault="00A07D8D" w:rsidP="00A07D8D">
      <w:pPr>
        <w:contextualSpacing/>
        <w:jc w:val="both"/>
        <w:rPr>
          <w:rFonts w:cs="Times New Roman"/>
          <w:b/>
          <w:bCs/>
          <w:sz w:val="20"/>
          <w:szCs w:val="20"/>
        </w:rPr>
      </w:pPr>
    </w:p>
    <w:p w:rsidR="00A07D8D" w:rsidRPr="00A07D8D" w:rsidRDefault="00A07D8D" w:rsidP="00A07D8D">
      <w:pPr>
        <w:jc w:val="both"/>
        <w:rPr>
          <w:rFonts w:eastAsia="Times New Roman" w:cs="Times New Roman"/>
          <w:sz w:val="20"/>
          <w:szCs w:val="20"/>
          <w:lang w:val="en-US" w:eastAsia="en-CA"/>
        </w:rPr>
      </w:pPr>
      <w:r w:rsidRPr="00A07D8D">
        <w:rPr>
          <w:rFonts w:eastAsia="Times New Roman" w:cs="Times New Roman"/>
          <w:sz w:val="20"/>
          <w:szCs w:val="20"/>
          <w:lang w:val="en-US" w:eastAsia="en-CA"/>
        </w:rPr>
        <w:t xml:space="preserve">Any attorney general who intervenes pursuant to par. 61(4) of the </w:t>
      </w:r>
      <w:r w:rsidRPr="00A07D8D">
        <w:rPr>
          <w:rFonts w:eastAsia="Times New Roman" w:cs="Times New Roman"/>
          <w:i/>
          <w:sz w:val="20"/>
          <w:szCs w:val="20"/>
          <w:lang w:val="en-US" w:eastAsia="en-CA"/>
        </w:rPr>
        <w:t>Rules of the Supreme Court of Canada</w:t>
      </w:r>
      <w:r w:rsidRPr="00A07D8D">
        <w:rPr>
          <w:rFonts w:eastAsia="Times New Roman" w:cs="Times New Roman"/>
          <w:sz w:val="20"/>
          <w:szCs w:val="20"/>
          <w:lang w:val="en-US" w:eastAsia="en-CA"/>
        </w:rPr>
        <w:t xml:space="preserve"> shall pay the appellants and respondent the costs of any additional disbursements they incur as a result of the intervention.</w:t>
      </w:r>
    </w:p>
    <w:p w:rsidR="00A07D8D" w:rsidRPr="00A07D8D" w:rsidRDefault="00A07D8D" w:rsidP="00A07D8D">
      <w:pPr>
        <w:jc w:val="both"/>
        <w:rPr>
          <w:rFonts w:eastAsia="Times New Roman" w:cs="Times New Roman"/>
          <w:sz w:val="20"/>
          <w:szCs w:val="20"/>
          <w:lang w:val="en-US" w:eastAsia="en-CA"/>
        </w:rPr>
      </w:pPr>
    </w:p>
    <w:p w:rsidR="00A07D8D" w:rsidRPr="00A07D8D" w:rsidRDefault="00A07D8D" w:rsidP="00A07D8D">
      <w:pPr>
        <w:jc w:val="both"/>
        <w:rPr>
          <w:rFonts w:eastAsia="Times New Roman" w:cs="Times New Roman"/>
          <w:b/>
          <w:sz w:val="20"/>
          <w:szCs w:val="20"/>
          <w:lang w:val="en-US" w:eastAsia="en-CA"/>
        </w:rPr>
      </w:pPr>
      <w:r w:rsidRPr="00A07D8D">
        <w:rPr>
          <w:rFonts w:eastAsia="Times New Roman" w:cs="Times New Roman"/>
          <w:b/>
          <w:sz w:val="20"/>
          <w:szCs w:val="20"/>
          <w:lang w:val="en-US" w:eastAsia="en-CA"/>
        </w:rPr>
        <w:t>IT IS HEREBY FURTHER ORDERED THAT:</w:t>
      </w:r>
    </w:p>
    <w:p w:rsidR="00A07D8D" w:rsidRPr="00A07D8D" w:rsidRDefault="00A07D8D" w:rsidP="00A07D8D">
      <w:pPr>
        <w:jc w:val="both"/>
        <w:rPr>
          <w:rFonts w:eastAsia="Times New Roman" w:cs="Times New Roman"/>
          <w:sz w:val="20"/>
          <w:szCs w:val="20"/>
          <w:lang w:val="en-US" w:eastAsia="en-CA"/>
        </w:rPr>
      </w:pPr>
    </w:p>
    <w:p w:rsidR="00A07D8D" w:rsidRPr="00A07D8D" w:rsidRDefault="00A07D8D" w:rsidP="00A07D8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A07D8D">
        <w:rPr>
          <w:rFonts w:cs="Times New Roman"/>
          <w:bCs/>
          <w:sz w:val="20"/>
          <w:szCs w:val="20"/>
        </w:rPr>
        <w:t xml:space="preserve">Any notices of intervention shall be served and filed no later than November 29, 2013. </w:t>
      </w:r>
    </w:p>
    <w:p w:rsidR="00A07D8D" w:rsidRPr="00A07D8D" w:rsidRDefault="00A07D8D" w:rsidP="00A07D8D">
      <w:pPr>
        <w:ind w:left="720"/>
        <w:contextualSpacing/>
        <w:jc w:val="both"/>
        <w:rPr>
          <w:rFonts w:cs="Times New Roman"/>
          <w:bCs/>
          <w:sz w:val="20"/>
          <w:szCs w:val="20"/>
        </w:rPr>
      </w:pPr>
    </w:p>
    <w:p w:rsidR="00A07D8D" w:rsidRPr="00A07D8D" w:rsidRDefault="00A07D8D" w:rsidP="00A07D8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
          <w:bCs/>
          <w:sz w:val="20"/>
          <w:szCs w:val="20"/>
        </w:rPr>
      </w:pPr>
      <w:r w:rsidRPr="00A07D8D">
        <w:rPr>
          <w:rFonts w:cs="Times New Roman"/>
          <w:sz w:val="20"/>
          <w:szCs w:val="20"/>
        </w:rPr>
        <w:t xml:space="preserve">Any attorney general wishing to intervene pursuant to par. 61(4) of the </w:t>
      </w:r>
      <w:r w:rsidRPr="00A07D8D">
        <w:rPr>
          <w:rFonts w:cs="Times New Roman"/>
          <w:i/>
          <w:sz w:val="20"/>
          <w:szCs w:val="20"/>
        </w:rPr>
        <w:t>Rules of the Supreme Court of Canada</w:t>
      </w:r>
      <w:r w:rsidRPr="00A07D8D">
        <w:rPr>
          <w:rFonts w:cs="Times New Roman"/>
          <w:sz w:val="20"/>
          <w:szCs w:val="20"/>
        </w:rPr>
        <w:t xml:space="preserve"> shall serve and file their factum and book of authorities no later than February 5, 2014.</w:t>
      </w: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bCs/>
          <w:sz w:val="20"/>
          <w:szCs w:val="20"/>
          <w:lang w:val="fr-CA" w:eastAsia="en-CA"/>
        </w:rPr>
        <w:t>À LA SUITE DE LA DEMANDE</w:t>
      </w:r>
      <w:r w:rsidRPr="00A07D8D">
        <w:rPr>
          <w:rFonts w:eastAsia="Times New Roman" w:cs="Times New Roman"/>
          <w:sz w:val="20"/>
          <w:szCs w:val="20"/>
          <w:lang w:val="fr-CA" w:eastAsia="en-CA"/>
        </w:rPr>
        <w:t xml:space="preserve"> des appelants visant à obtenir la formulation de questions constitutionnelles dans l’appel susmentionné;</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bCs/>
          <w:sz w:val="20"/>
          <w:szCs w:val="20"/>
          <w:lang w:val="fr-CA" w:eastAsia="en-CA"/>
        </w:rPr>
        <w:t>ET APRÈS AVOIR LU</w:t>
      </w:r>
      <w:r w:rsidRPr="00A07D8D">
        <w:rPr>
          <w:rFonts w:eastAsia="Times New Roman" w:cs="Times New Roman"/>
          <w:sz w:val="20"/>
          <w:szCs w:val="20"/>
          <w:lang w:val="fr-CA" w:eastAsia="en-CA"/>
        </w:rPr>
        <w:t xml:space="preserve"> la documentation déposée;</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b/>
          <w:bCs/>
          <w:sz w:val="20"/>
          <w:szCs w:val="20"/>
          <w:lang w:val="fr-CA" w:eastAsia="en-CA"/>
        </w:rPr>
      </w:pPr>
      <w:r w:rsidRPr="00A07D8D">
        <w:rPr>
          <w:rFonts w:eastAsia="Times New Roman" w:cs="Times New Roman"/>
          <w:b/>
          <w:bCs/>
          <w:sz w:val="20"/>
          <w:szCs w:val="20"/>
          <w:lang w:val="fr-CA" w:eastAsia="en-CA"/>
        </w:rPr>
        <w:t>LES QUESTIONS CONSTITUTIONNELLES SUIVANTES SONT FORMULÉES :</w:t>
      </w:r>
    </w:p>
    <w:p w:rsidR="00A07D8D" w:rsidRPr="00A07D8D" w:rsidRDefault="00A07D8D" w:rsidP="00A07D8D">
      <w:pPr>
        <w:jc w:val="both"/>
        <w:rPr>
          <w:rFonts w:eastAsia="Times New Roman" w:cs="Times New Roman"/>
          <w:sz w:val="20"/>
          <w:szCs w:val="20"/>
          <w:lang w:val="fr-FR" w:eastAsia="en-CA"/>
        </w:rPr>
      </w:pPr>
    </w:p>
    <w:p w:rsidR="00A07D8D" w:rsidRPr="00A07D8D" w:rsidRDefault="00A07D8D" w:rsidP="00A07D8D">
      <w:pPr>
        <w:widowControl w:val="0"/>
        <w:numPr>
          <w:ilvl w:val="0"/>
          <w:numId w:val="10"/>
        </w:numPr>
        <w:spacing w:line="0" w:lineRule="atLeast"/>
        <w:contextualSpacing/>
        <w:jc w:val="both"/>
        <w:rPr>
          <w:rFonts w:cs="Times New Roman"/>
          <w:sz w:val="20"/>
          <w:szCs w:val="20"/>
          <w:lang w:val="fr-CA"/>
        </w:rPr>
      </w:pPr>
      <w:r w:rsidRPr="00A07D8D">
        <w:rPr>
          <w:rFonts w:cs="Times New Roman"/>
          <w:sz w:val="20"/>
          <w:szCs w:val="20"/>
          <w:lang w:val="fr-CA"/>
        </w:rPr>
        <w:t xml:space="preserve">Les articles 16, 35, 38, 43, 46 et 49 de la </w:t>
      </w:r>
      <w:r w:rsidRPr="00A07D8D">
        <w:rPr>
          <w:rFonts w:cs="Times New Roman"/>
          <w:i/>
          <w:sz w:val="20"/>
          <w:szCs w:val="20"/>
          <w:lang w:val="fr-CA"/>
        </w:rPr>
        <w:t>Loi sur le contrôle des dépenses</w:t>
      </w:r>
      <w:r w:rsidRPr="00A07D8D">
        <w:rPr>
          <w:rFonts w:cs="Times New Roman"/>
          <w:sz w:val="20"/>
          <w:szCs w:val="20"/>
          <w:lang w:val="fr-CA"/>
        </w:rPr>
        <w:t>, L.C. 2009, ch.2, art. 393, violent-ils l’al. 2</w:t>
      </w:r>
      <w:r w:rsidRPr="00A07D8D">
        <w:rPr>
          <w:rFonts w:cs="Times New Roman"/>
          <w:i/>
          <w:sz w:val="20"/>
          <w:szCs w:val="20"/>
          <w:lang w:val="fr-CA"/>
        </w:rPr>
        <w:t>d</w:t>
      </w:r>
      <w:r w:rsidRPr="00A07D8D">
        <w:rPr>
          <w:rFonts w:cs="Times New Roman"/>
          <w:sz w:val="20"/>
          <w:szCs w:val="20"/>
          <w:lang w:val="fr-CA"/>
        </w:rPr>
        <w:t xml:space="preserve">) de la </w:t>
      </w:r>
      <w:r w:rsidRPr="00A07D8D">
        <w:rPr>
          <w:rFonts w:cs="Times New Roman"/>
          <w:i/>
          <w:sz w:val="20"/>
          <w:szCs w:val="20"/>
          <w:lang w:val="fr-CA"/>
        </w:rPr>
        <w:t>Charte canadienne des droits et libertés</w:t>
      </w:r>
      <w:r w:rsidRPr="00A07D8D">
        <w:rPr>
          <w:rFonts w:cs="Times New Roman"/>
          <w:sz w:val="20"/>
          <w:szCs w:val="20"/>
          <w:lang w:val="fr-CA"/>
        </w:rPr>
        <w:t>?</w:t>
      </w:r>
    </w:p>
    <w:p w:rsidR="00A07D8D" w:rsidRPr="00A07D8D" w:rsidRDefault="00A07D8D" w:rsidP="00A07D8D">
      <w:pPr>
        <w:spacing w:line="0" w:lineRule="atLeast"/>
        <w:ind w:left="720"/>
        <w:contextualSpacing/>
        <w:jc w:val="both"/>
        <w:rPr>
          <w:rFonts w:cs="Times New Roman"/>
          <w:sz w:val="20"/>
          <w:szCs w:val="20"/>
          <w:lang w:val="fr-CA"/>
        </w:rPr>
      </w:pPr>
    </w:p>
    <w:p w:rsidR="00A07D8D" w:rsidRPr="00A07D8D" w:rsidRDefault="00A07D8D" w:rsidP="00A07D8D">
      <w:pPr>
        <w:widowControl w:val="0"/>
        <w:numPr>
          <w:ilvl w:val="0"/>
          <w:numId w:val="10"/>
        </w:numPr>
        <w:spacing w:line="0" w:lineRule="atLeast"/>
        <w:contextualSpacing/>
        <w:jc w:val="both"/>
        <w:rPr>
          <w:rFonts w:cs="Times New Roman"/>
          <w:sz w:val="20"/>
          <w:szCs w:val="20"/>
          <w:lang w:val="fr-CA"/>
        </w:rPr>
      </w:pPr>
      <w:r w:rsidRPr="00A07D8D">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A07D8D">
        <w:rPr>
          <w:rFonts w:cs="Times New Roman"/>
          <w:i/>
          <w:sz w:val="20"/>
          <w:szCs w:val="20"/>
          <w:lang w:val="fr-CA"/>
        </w:rPr>
        <w:t>Charte canadienne des droits et libertés</w:t>
      </w:r>
      <w:r w:rsidRPr="00A07D8D">
        <w:rPr>
          <w:sz w:val="20"/>
          <w:szCs w:val="20"/>
          <w:lang w:val="fr-CA"/>
        </w:rPr>
        <w:t> ?</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FR" w:eastAsia="en-CA"/>
        </w:rPr>
      </w:pPr>
      <w:r w:rsidRPr="00A07D8D">
        <w:rPr>
          <w:rFonts w:eastAsia="Times New Roman" w:cs="Times New Roman"/>
          <w:sz w:val="20"/>
          <w:szCs w:val="20"/>
          <w:lang w:val="fr-CA" w:eastAsia="en-CA"/>
        </w:rPr>
        <w:t>T</w:t>
      </w:r>
      <w:r w:rsidRPr="00A07D8D">
        <w:rPr>
          <w:rFonts w:eastAsia="Times New Roman" w:cs="Times New Roman"/>
          <w:sz w:val="20"/>
          <w:szCs w:val="20"/>
          <w:lang w:val="fr-FR" w:eastAsia="en-CA"/>
        </w:rPr>
        <w:t xml:space="preserve">out procureur général qui interviendra en vertu du par. 61(4) des </w:t>
      </w:r>
      <w:r w:rsidRPr="00A07D8D">
        <w:rPr>
          <w:rFonts w:eastAsia="Times New Roman" w:cs="Times New Roman"/>
          <w:i/>
          <w:iCs/>
          <w:sz w:val="20"/>
          <w:szCs w:val="20"/>
          <w:lang w:val="fr-FR" w:eastAsia="en-CA"/>
        </w:rPr>
        <w:t>Règles de la Cour suprême du Canada</w:t>
      </w:r>
      <w:r w:rsidRPr="00A07D8D">
        <w:rPr>
          <w:rFonts w:eastAsia="Times New Roman" w:cs="Times New Roman"/>
          <w:sz w:val="20"/>
          <w:szCs w:val="20"/>
          <w:lang w:val="fr-FR" w:eastAsia="en-CA"/>
        </w:rPr>
        <w:t xml:space="preserve"> sera tenu de payer aux appelants et à l’intimé les dépens supplémentaires résultant de son intervention.</w:t>
      </w:r>
    </w:p>
    <w:p w:rsidR="00A07D8D" w:rsidRPr="00A07D8D" w:rsidRDefault="00A07D8D" w:rsidP="00A07D8D">
      <w:pPr>
        <w:jc w:val="both"/>
        <w:rPr>
          <w:rFonts w:eastAsia="Times New Roman" w:cs="Times New Roman"/>
          <w:sz w:val="20"/>
          <w:szCs w:val="20"/>
          <w:lang w:val="fr-FR"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sz w:val="20"/>
          <w:szCs w:val="20"/>
          <w:lang w:val="fr-CA" w:eastAsia="en-CA"/>
        </w:rPr>
        <w:t>IL EST EN OUTRE ORDONNÉ CE QUI SUIT :</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numPr>
          <w:ilvl w:val="0"/>
          <w:numId w:val="8"/>
        </w:numPr>
        <w:spacing w:after="200"/>
        <w:ind w:right="720"/>
        <w:jc w:val="both"/>
        <w:rPr>
          <w:rFonts w:cs="Times New Roman"/>
          <w:sz w:val="20"/>
          <w:szCs w:val="20"/>
          <w:lang w:val="fr-CA"/>
        </w:rPr>
      </w:pPr>
      <w:r w:rsidRPr="00A07D8D">
        <w:rPr>
          <w:rFonts w:cs="Times New Roman"/>
          <w:sz w:val="20"/>
          <w:szCs w:val="20"/>
          <w:lang w:val="fr-CA"/>
        </w:rPr>
        <w:t xml:space="preserve">Tout avis d’intervention doit être signifié et déposé au plus tard le 29 novembre 2013. </w:t>
      </w:r>
    </w:p>
    <w:p w:rsidR="00A07D8D" w:rsidRPr="00A07D8D" w:rsidRDefault="00A07D8D" w:rsidP="00A07D8D">
      <w:pPr>
        <w:numPr>
          <w:ilvl w:val="0"/>
          <w:numId w:val="8"/>
        </w:numPr>
        <w:ind w:right="-11"/>
        <w:jc w:val="both"/>
        <w:rPr>
          <w:rFonts w:cs="Times New Roman"/>
          <w:sz w:val="20"/>
          <w:szCs w:val="20"/>
          <w:lang w:val="fr-CA"/>
        </w:rPr>
      </w:pPr>
      <w:r w:rsidRPr="00A07D8D">
        <w:rPr>
          <w:rFonts w:cs="Times New Roman"/>
          <w:sz w:val="20"/>
          <w:szCs w:val="20"/>
          <w:lang w:val="fr-CA"/>
        </w:rPr>
        <w:t xml:space="preserve">Tout procureur général qui interviendra en vertu du par. 61(4) des </w:t>
      </w:r>
      <w:r w:rsidRPr="00A07D8D">
        <w:rPr>
          <w:rFonts w:cs="Times New Roman"/>
          <w:i/>
          <w:sz w:val="20"/>
          <w:szCs w:val="20"/>
          <w:lang w:val="fr-CA"/>
        </w:rPr>
        <w:t>Règles de la Cour suprême du Canada</w:t>
      </w:r>
      <w:r w:rsidRPr="00A07D8D">
        <w:rPr>
          <w:rFonts w:cs="Times New Roman"/>
          <w:sz w:val="20"/>
          <w:szCs w:val="20"/>
          <w:lang w:val="fr-CA"/>
        </w:rPr>
        <w:t xml:space="preserve"> devra signifier et déposer son mémoire et son recueil de sources au plus tard le 5 février 2014.</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8138B5" w:rsidP="00A07D8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04.11.2013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Before / Devant :   ROTHSTEIN J. / LE JUGE ROTHSTEIN</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07D8D" w:rsidRPr="008138B5" w:rsidTr="00A07D8D">
        <w:tc>
          <w:tcPr>
            <w:tcW w:w="4338" w:type="dxa"/>
            <w:gridSpan w:val="2"/>
          </w:tcPr>
          <w:p w:rsidR="00A07D8D" w:rsidRPr="00A07D8D" w:rsidRDefault="00A07D8D" w:rsidP="00A07D8D">
            <w:pPr>
              <w:jc w:val="both"/>
              <w:rPr>
                <w:b/>
              </w:rPr>
            </w:pPr>
            <w:r w:rsidRPr="00A07D8D">
              <w:rPr>
                <w:b/>
                <w:lang w:val="en-US"/>
              </w:rPr>
              <w:t xml:space="preserve">Order on interventions with respect to oral argument </w:t>
            </w:r>
            <w:r w:rsidR="00F425BC" w:rsidRPr="00A07D8D">
              <w:rPr>
                <w:b/>
                <w:lang w:val="en-US"/>
              </w:rPr>
              <w:fldChar w:fldCharType="begin"/>
            </w:r>
            <w:r w:rsidRPr="00A07D8D">
              <w:rPr>
                <w:b/>
              </w:rPr>
              <w:instrText xml:space="preserve"> SEQ CHAPTER \h \r 1</w:instrText>
            </w:r>
            <w:r w:rsidR="00F425BC" w:rsidRPr="00A07D8D">
              <w:rPr>
                <w:b/>
                <w:lang w:val="en-US"/>
              </w:rPr>
              <w:fldChar w:fldCharType="end"/>
            </w:r>
          </w:p>
        </w:tc>
        <w:tc>
          <w:tcPr>
            <w:tcW w:w="1170" w:type="dxa"/>
          </w:tcPr>
          <w:p w:rsidR="00A07D8D" w:rsidRPr="00A07D8D" w:rsidRDefault="00A07D8D" w:rsidP="00A07D8D"/>
          <w:p w:rsidR="00A07D8D" w:rsidRPr="00A07D8D" w:rsidRDefault="00A07D8D" w:rsidP="00A07D8D"/>
          <w:p w:rsidR="00A07D8D" w:rsidRPr="00A07D8D" w:rsidRDefault="00A07D8D" w:rsidP="00A07D8D"/>
        </w:tc>
        <w:tc>
          <w:tcPr>
            <w:tcW w:w="4327" w:type="dxa"/>
          </w:tcPr>
          <w:p w:rsidR="00A07D8D" w:rsidRPr="00A07D8D" w:rsidRDefault="00A07D8D" w:rsidP="00A07D8D">
            <w:pPr>
              <w:jc w:val="both"/>
              <w:rPr>
                <w:b/>
                <w:lang w:val="fr-CA"/>
              </w:rPr>
            </w:pPr>
            <w:r w:rsidRPr="00A07D8D">
              <w:rPr>
                <w:b/>
                <w:lang w:val="fr-CA"/>
              </w:rPr>
              <w:t>Ordonnance relative à la présentation d’une plaidoirie orale par les intervenants</w:t>
            </w:r>
            <w:r w:rsidR="00F425BC" w:rsidRPr="00A07D8D">
              <w:rPr>
                <w:b/>
                <w:lang w:val="en-US"/>
              </w:rPr>
              <w:fldChar w:fldCharType="begin"/>
            </w:r>
            <w:r w:rsidRPr="00A07D8D">
              <w:rPr>
                <w:b/>
                <w:lang w:val="fr-CA"/>
              </w:rPr>
              <w:instrText xml:space="preserve"> SEQ CHAPTER \h \r 1</w:instrText>
            </w:r>
            <w:r w:rsidR="00F425BC" w:rsidRPr="00A07D8D">
              <w:rPr>
                <w:b/>
                <w:lang w:val="en-US"/>
              </w:rPr>
              <w:fldChar w:fldCharType="end"/>
            </w:r>
          </w:p>
        </w:tc>
      </w:tr>
      <w:tr w:rsidR="00A07D8D" w:rsidRPr="00A07D8D" w:rsidTr="00A07D8D">
        <w:tc>
          <w:tcPr>
            <w:tcW w:w="1368" w:type="dxa"/>
          </w:tcPr>
          <w:p w:rsidR="00A07D8D" w:rsidRPr="00A07D8D" w:rsidRDefault="00A07D8D" w:rsidP="00A07D8D">
            <w:r w:rsidRPr="00A07D8D">
              <w:t>RE:</w:t>
            </w:r>
          </w:p>
        </w:tc>
        <w:tc>
          <w:tcPr>
            <w:tcW w:w="2970" w:type="dxa"/>
          </w:tcPr>
          <w:p w:rsidR="00A07D8D" w:rsidRPr="00A07D8D" w:rsidRDefault="00A07D8D" w:rsidP="00A07D8D">
            <w:r w:rsidRPr="00A07D8D">
              <w:rPr>
                <w:lang w:val="en-US"/>
              </w:rPr>
              <w:t>Attorney General of British Columbia;</w:t>
            </w:r>
          </w:p>
        </w:tc>
        <w:tc>
          <w:tcPr>
            <w:tcW w:w="1170" w:type="dxa"/>
          </w:tcPr>
          <w:p w:rsidR="00A07D8D" w:rsidRPr="00A07D8D" w:rsidRDefault="00A07D8D" w:rsidP="00A07D8D"/>
        </w:tc>
        <w:tc>
          <w:tcPr>
            <w:tcW w:w="4327" w:type="dxa"/>
          </w:tcPr>
          <w:p w:rsidR="00A07D8D" w:rsidRPr="00A07D8D" w:rsidRDefault="00A07D8D" w:rsidP="00A07D8D"/>
        </w:tc>
      </w:tr>
      <w:tr w:rsidR="00A07D8D" w:rsidRPr="00A07D8D" w:rsidTr="00A07D8D">
        <w:tc>
          <w:tcPr>
            <w:tcW w:w="1368" w:type="dxa"/>
          </w:tcPr>
          <w:p w:rsidR="00A07D8D" w:rsidRPr="00A07D8D" w:rsidRDefault="00A07D8D" w:rsidP="00A07D8D"/>
        </w:tc>
        <w:tc>
          <w:tcPr>
            <w:tcW w:w="2970" w:type="dxa"/>
          </w:tcPr>
          <w:p w:rsidR="00A07D8D" w:rsidRPr="00A07D8D" w:rsidRDefault="00A07D8D" w:rsidP="00A07D8D">
            <w:r w:rsidRPr="00A07D8D">
              <w:rPr>
                <w:lang w:val="en-US"/>
              </w:rPr>
              <w:t>BCICAC Foundation</w:t>
            </w:r>
          </w:p>
        </w:tc>
        <w:tc>
          <w:tcPr>
            <w:tcW w:w="1170" w:type="dxa"/>
          </w:tcPr>
          <w:p w:rsidR="00A07D8D" w:rsidRPr="00A07D8D" w:rsidRDefault="00A07D8D" w:rsidP="00A07D8D"/>
        </w:tc>
        <w:tc>
          <w:tcPr>
            <w:tcW w:w="4327" w:type="dxa"/>
          </w:tcPr>
          <w:p w:rsidR="00A07D8D" w:rsidRPr="00A07D8D" w:rsidRDefault="00A07D8D" w:rsidP="00A07D8D"/>
        </w:tc>
      </w:tr>
      <w:tr w:rsidR="00A07D8D" w:rsidRPr="00A07D8D" w:rsidTr="00A07D8D">
        <w:tc>
          <w:tcPr>
            <w:tcW w:w="1368" w:type="dxa"/>
          </w:tcPr>
          <w:p w:rsidR="00A07D8D" w:rsidRPr="00A07D8D" w:rsidRDefault="00A07D8D" w:rsidP="00A07D8D"/>
        </w:tc>
        <w:tc>
          <w:tcPr>
            <w:tcW w:w="2970" w:type="dxa"/>
          </w:tcPr>
          <w:p w:rsidR="00A07D8D" w:rsidRPr="00A07D8D" w:rsidRDefault="00A07D8D" w:rsidP="00A07D8D"/>
        </w:tc>
        <w:tc>
          <w:tcPr>
            <w:tcW w:w="1170" w:type="dxa"/>
          </w:tcPr>
          <w:p w:rsidR="00A07D8D" w:rsidRPr="00A07D8D" w:rsidRDefault="00A07D8D" w:rsidP="00A07D8D"/>
        </w:tc>
        <w:tc>
          <w:tcPr>
            <w:tcW w:w="4327" w:type="dxa"/>
          </w:tcPr>
          <w:p w:rsidR="00A07D8D" w:rsidRPr="00A07D8D" w:rsidRDefault="00A07D8D" w:rsidP="00A07D8D"/>
        </w:tc>
      </w:tr>
      <w:tr w:rsidR="00A07D8D" w:rsidRPr="00A07D8D" w:rsidTr="00A07D8D">
        <w:tc>
          <w:tcPr>
            <w:tcW w:w="1368" w:type="dxa"/>
          </w:tcPr>
          <w:p w:rsidR="00A07D8D" w:rsidRPr="00A07D8D" w:rsidRDefault="00A07D8D" w:rsidP="00A07D8D">
            <w:r w:rsidRPr="00A07D8D">
              <w:t>IN / DANS :</w:t>
            </w:r>
          </w:p>
        </w:tc>
        <w:tc>
          <w:tcPr>
            <w:tcW w:w="2970" w:type="dxa"/>
          </w:tcPr>
          <w:p w:rsidR="00A07D8D" w:rsidRPr="00A07D8D" w:rsidRDefault="00A07D8D" w:rsidP="00A07D8D">
            <w:r w:rsidRPr="00A07D8D">
              <w:t>Sattva Capital Corporation (formerly Sattva Capital Inc.)</w:t>
            </w:r>
          </w:p>
          <w:p w:rsidR="00A07D8D" w:rsidRPr="00A07D8D" w:rsidRDefault="00A07D8D" w:rsidP="00A07D8D"/>
          <w:p w:rsidR="00A07D8D" w:rsidRPr="00A07D8D" w:rsidRDefault="00A07D8D" w:rsidP="00A07D8D">
            <w:r w:rsidRPr="00A07D8D">
              <w:tab/>
              <w:t>v. (35026)</w:t>
            </w:r>
          </w:p>
          <w:p w:rsidR="00A07D8D" w:rsidRPr="00A07D8D" w:rsidRDefault="00A07D8D" w:rsidP="00A07D8D"/>
          <w:p w:rsidR="00A07D8D" w:rsidRPr="00A07D8D" w:rsidRDefault="00A07D8D" w:rsidP="00A07D8D">
            <w:r w:rsidRPr="00A07D8D">
              <w:t>Creston Moly Corporation (formerly Georgia Ventures Inc.) (B.C.)</w:t>
            </w:r>
          </w:p>
        </w:tc>
        <w:tc>
          <w:tcPr>
            <w:tcW w:w="1170" w:type="dxa"/>
          </w:tcPr>
          <w:p w:rsidR="00A07D8D" w:rsidRPr="00A07D8D" w:rsidRDefault="00A07D8D" w:rsidP="00A07D8D"/>
        </w:tc>
        <w:tc>
          <w:tcPr>
            <w:tcW w:w="4327" w:type="dxa"/>
          </w:tcPr>
          <w:p w:rsidR="00A07D8D" w:rsidRPr="00A07D8D" w:rsidRDefault="00A07D8D" w:rsidP="00A07D8D"/>
        </w:tc>
      </w:tr>
    </w:tbl>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 xml:space="preserve">FURTHER TO THE ORDER </w:t>
      </w:r>
      <w:r w:rsidRPr="00A07D8D">
        <w:rPr>
          <w:rFonts w:eastAsia="Times New Roman" w:cs="Times New Roman"/>
          <w:bCs/>
          <w:sz w:val="20"/>
          <w:szCs w:val="20"/>
          <w:lang w:val="en-US" w:eastAsia="en-CA"/>
        </w:rPr>
        <w:t xml:space="preserve">dated September 4, 2013, granting leave to intervene to the </w:t>
      </w:r>
      <w:r w:rsidRPr="00A07D8D">
        <w:rPr>
          <w:rFonts w:eastAsia="Times New Roman" w:cs="Times New Roman"/>
          <w:sz w:val="20"/>
          <w:szCs w:val="20"/>
          <w:lang w:val="en-US" w:eastAsia="en-CA"/>
        </w:rPr>
        <w:t>Attorney General of British Columbia and the BCICAC Foundation;</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b/>
          <w:bCs/>
          <w:sz w:val="20"/>
          <w:szCs w:val="20"/>
          <w:lang w:val="en-US" w:eastAsia="en-CA"/>
        </w:rPr>
      </w:pPr>
      <w:r w:rsidRPr="00A07D8D">
        <w:rPr>
          <w:rFonts w:eastAsia="Times New Roman" w:cs="Times New Roman"/>
          <w:b/>
          <w:bCs/>
          <w:sz w:val="20"/>
          <w:szCs w:val="20"/>
          <w:lang w:val="en-US" w:eastAsia="en-CA"/>
        </w:rPr>
        <w:t xml:space="preserve">IT IS HEREBY FURTHER ORDERED THAT </w:t>
      </w:r>
      <w:r w:rsidRPr="00A07D8D">
        <w:rPr>
          <w:rFonts w:eastAsia="Times New Roman" w:cs="Times New Roman"/>
          <w:bCs/>
          <w:sz w:val="20"/>
          <w:szCs w:val="20"/>
          <w:lang w:val="en-US" w:eastAsia="en-CA"/>
        </w:rPr>
        <w:t>the said interveners are each granted permission to present oral argument not exceeding ten (10) minutes at the hearing of the appeal.</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À LA SUITE DE L'ORDONNANCE</w:t>
      </w:r>
      <w:r w:rsidRPr="00A07D8D">
        <w:rPr>
          <w:rFonts w:eastAsia="Times New Roman" w:cs="Times New Roman"/>
          <w:sz w:val="20"/>
          <w:szCs w:val="20"/>
          <w:lang w:val="fr-CA" w:eastAsia="en-CA"/>
        </w:rPr>
        <w:t xml:space="preserve"> datée du 4 septembre 2013, accordant l’autorisation d’intervenir au procureur général de la Colombie-Britannique et à la BCICAC Foundation;</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IL EST EN OUTRE ORDONNÉ QUE</w:t>
      </w:r>
      <w:r w:rsidRPr="00A07D8D">
        <w:rPr>
          <w:rFonts w:eastAsia="Times New Roman" w:cs="Times New Roman"/>
          <w:sz w:val="20"/>
          <w:szCs w:val="20"/>
          <w:lang w:val="fr-CA" w:eastAsia="en-CA"/>
        </w:rPr>
        <w:t xml:space="preserve"> chacun de ces intervenants pourra présenter une plaidoirie orale d’au plus dix (10) minutes lors de l’audition de l’appel.</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8138B5" w:rsidP="00A07D8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06.11.2013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Before / Devant :   ABELLA J. / LA JUGE ABELLA</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07D8D" w:rsidRPr="008138B5" w:rsidTr="00A07D8D">
        <w:tc>
          <w:tcPr>
            <w:tcW w:w="4338" w:type="dxa"/>
            <w:gridSpan w:val="2"/>
          </w:tcPr>
          <w:p w:rsidR="00A07D8D" w:rsidRPr="00A07D8D" w:rsidRDefault="00A07D8D" w:rsidP="00A07D8D">
            <w:pPr>
              <w:jc w:val="both"/>
              <w:rPr>
                <w:b/>
              </w:rPr>
            </w:pPr>
            <w:r w:rsidRPr="00A07D8D">
              <w:rPr>
                <w:b/>
                <w:bCs/>
                <w:color w:val="000000"/>
                <w:lang w:val="en-GB"/>
              </w:rPr>
              <w:t>Motion for an extension of time for leave to intervene and for leave to intervene</w:t>
            </w:r>
            <w:r w:rsidRPr="00A07D8D">
              <w:rPr>
                <w:lang w:val="en-US"/>
              </w:rPr>
              <w:t xml:space="preserve"> </w:t>
            </w:r>
            <w:r w:rsidR="00F425BC" w:rsidRPr="00A07D8D">
              <w:rPr>
                <w:lang w:val="en-US"/>
              </w:rPr>
              <w:fldChar w:fldCharType="begin"/>
            </w:r>
            <w:r w:rsidRPr="00A07D8D">
              <w:instrText xml:space="preserve"> SEQ CHAPTER \h \r 1</w:instrText>
            </w:r>
            <w:r w:rsidR="00F425BC" w:rsidRPr="00A07D8D">
              <w:rPr>
                <w:lang w:val="en-US"/>
              </w:rPr>
              <w:fldChar w:fldCharType="end"/>
            </w:r>
          </w:p>
        </w:tc>
        <w:tc>
          <w:tcPr>
            <w:tcW w:w="1170" w:type="dxa"/>
          </w:tcPr>
          <w:p w:rsidR="00A07D8D" w:rsidRPr="00A07D8D" w:rsidRDefault="00A07D8D" w:rsidP="00A07D8D"/>
          <w:p w:rsidR="00A07D8D" w:rsidRPr="00A07D8D" w:rsidRDefault="00A07D8D" w:rsidP="00A07D8D"/>
          <w:p w:rsidR="00A07D8D" w:rsidRPr="00A07D8D" w:rsidRDefault="00A07D8D" w:rsidP="00A07D8D"/>
          <w:p w:rsidR="00A07D8D" w:rsidRPr="00A07D8D" w:rsidRDefault="00A07D8D" w:rsidP="00A07D8D"/>
        </w:tc>
        <w:tc>
          <w:tcPr>
            <w:tcW w:w="4327" w:type="dxa"/>
          </w:tcPr>
          <w:p w:rsidR="00A07D8D" w:rsidRPr="00A07D8D" w:rsidRDefault="00A07D8D" w:rsidP="00A07D8D">
            <w:pPr>
              <w:jc w:val="both"/>
              <w:rPr>
                <w:b/>
                <w:lang w:val="fr-CA"/>
              </w:rPr>
            </w:pPr>
            <w:r w:rsidRPr="00A07D8D">
              <w:rPr>
                <w:b/>
                <w:bCs/>
                <w:color w:val="000000"/>
                <w:lang w:val="fr-CA"/>
              </w:rPr>
              <w:t>Requête en prorogation du délai pour demander l’autorisation d’intervenir et en autorisation d’intervenir</w:t>
            </w:r>
            <w:r w:rsidRPr="00A07D8D">
              <w:rPr>
                <w:lang w:val="fr-CA"/>
              </w:rPr>
              <w:t xml:space="preserve"> </w:t>
            </w:r>
            <w:r w:rsidR="00F425BC" w:rsidRPr="00A07D8D">
              <w:rPr>
                <w:lang w:val="en-US"/>
              </w:rPr>
              <w:fldChar w:fldCharType="begin"/>
            </w:r>
            <w:r w:rsidRPr="00A07D8D">
              <w:rPr>
                <w:lang w:val="fr-CA"/>
              </w:rPr>
              <w:instrText xml:space="preserve"> SEQ CHAPTER \h \r 1</w:instrText>
            </w:r>
            <w:r w:rsidR="00F425BC" w:rsidRPr="00A07D8D">
              <w:rPr>
                <w:lang w:val="en-US"/>
              </w:rPr>
              <w:fldChar w:fldCharType="end"/>
            </w:r>
          </w:p>
        </w:tc>
      </w:tr>
      <w:tr w:rsidR="00A07D8D" w:rsidRPr="00A07D8D" w:rsidTr="00A07D8D">
        <w:tc>
          <w:tcPr>
            <w:tcW w:w="1368" w:type="dxa"/>
          </w:tcPr>
          <w:p w:rsidR="00A07D8D" w:rsidRPr="00A07D8D" w:rsidRDefault="00A07D8D" w:rsidP="00A07D8D">
            <w:r w:rsidRPr="00A07D8D">
              <w:t>BY / PAR</w:t>
            </w:r>
          </w:p>
        </w:tc>
        <w:tc>
          <w:tcPr>
            <w:tcW w:w="2970" w:type="dxa"/>
          </w:tcPr>
          <w:p w:rsidR="00A07D8D" w:rsidRPr="00A07D8D" w:rsidRDefault="00A07D8D" w:rsidP="00A07D8D">
            <w:r w:rsidRPr="00A07D8D">
              <w:t>Linda Christie</w:t>
            </w:r>
          </w:p>
        </w:tc>
        <w:tc>
          <w:tcPr>
            <w:tcW w:w="1170" w:type="dxa"/>
          </w:tcPr>
          <w:p w:rsidR="00A07D8D" w:rsidRPr="00A07D8D" w:rsidRDefault="00A07D8D" w:rsidP="00A07D8D"/>
        </w:tc>
        <w:tc>
          <w:tcPr>
            <w:tcW w:w="4327" w:type="dxa"/>
          </w:tcPr>
          <w:p w:rsidR="00A07D8D" w:rsidRPr="00A07D8D" w:rsidRDefault="00A07D8D" w:rsidP="00A07D8D"/>
        </w:tc>
      </w:tr>
      <w:tr w:rsidR="00A07D8D" w:rsidRPr="00A07D8D" w:rsidTr="00A07D8D">
        <w:tc>
          <w:tcPr>
            <w:tcW w:w="1368" w:type="dxa"/>
          </w:tcPr>
          <w:p w:rsidR="00A07D8D" w:rsidRPr="00A07D8D" w:rsidRDefault="00A07D8D" w:rsidP="00A07D8D"/>
        </w:tc>
        <w:tc>
          <w:tcPr>
            <w:tcW w:w="2970" w:type="dxa"/>
          </w:tcPr>
          <w:p w:rsidR="00A07D8D" w:rsidRPr="00A07D8D" w:rsidRDefault="00A07D8D" w:rsidP="00A07D8D">
            <w:pPr>
              <w:rPr>
                <w:lang w:val="en-US"/>
              </w:rPr>
            </w:pPr>
          </w:p>
        </w:tc>
        <w:tc>
          <w:tcPr>
            <w:tcW w:w="1170" w:type="dxa"/>
          </w:tcPr>
          <w:p w:rsidR="00A07D8D" w:rsidRPr="00A07D8D" w:rsidRDefault="00A07D8D" w:rsidP="00A07D8D"/>
        </w:tc>
        <w:tc>
          <w:tcPr>
            <w:tcW w:w="4327" w:type="dxa"/>
          </w:tcPr>
          <w:p w:rsidR="00A07D8D" w:rsidRPr="00A07D8D" w:rsidRDefault="00A07D8D" w:rsidP="00A07D8D"/>
        </w:tc>
      </w:tr>
      <w:tr w:rsidR="00A07D8D" w:rsidRPr="00A07D8D" w:rsidTr="00A07D8D">
        <w:tc>
          <w:tcPr>
            <w:tcW w:w="1368" w:type="dxa"/>
          </w:tcPr>
          <w:p w:rsidR="00A07D8D" w:rsidRPr="00A07D8D" w:rsidRDefault="00A07D8D" w:rsidP="00A07D8D">
            <w:r w:rsidRPr="00A07D8D">
              <w:t>IN / DANS :</w:t>
            </w:r>
          </w:p>
        </w:tc>
        <w:tc>
          <w:tcPr>
            <w:tcW w:w="2970" w:type="dxa"/>
          </w:tcPr>
          <w:p w:rsidR="00A07D8D" w:rsidRPr="00A07D8D" w:rsidRDefault="00A07D8D" w:rsidP="00A07D8D">
            <w:r w:rsidRPr="00A07D8D">
              <w:t>W.E.B.</w:t>
            </w:r>
          </w:p>
          <w:p w:rsidR="00A07D8D" w:rsidRPr="00A07D8D" w:rsidRDefault="00A07D8D" w:rsidP="00A07D8D"/>
          <w:p w:rsidR="00A07D8D" w:rsidRPr="00A07D8D" w:rsidRDefault="00A07D8D" w:rsidP="00A07D8D">
            <w:r w:rsidRPr="00A07D8D">
              <w:tab/>
              <w:t>v. (35089)</w:t>
            </w:r>
          </w:p>
          <w:p w:rsidR="00A07D8D" w:rsidRPr="00A07D8D" w:rsidRDefault="00A07D8D" w:rsidP="00A07D8D"/>
          <w:p w:rsidR="00A07D8D" w:rsidRPr="00A07D8D" w:rsidRDefault="00A07D8D" w:rsidP="00A07D8D">
            <w:r w:rsidRPr="00A07D8D">
              <w:t>Her Majesty the Queen (Crim.) (Ont.)</w:t>
            </w:r>
          </w:p>
        </w:tc>
        <w:tc>
          <w:tcPr>
            <w:tcW w:w="1170" w:type="dxa"/>
          </w:tcPr>
          <w:p w:rsidR="00A07D8D" w:rsidRPr="00A07D8D" w:rsidRDefault="00A07D8D" w:rsidP="00A07D8D"/>
        </w:tc>
        <w:tc>
          <w:tcPr>
            <w:tcW w:w="4327" w:type="dxa"/>
          </w:tcPr>
          <w:p w:rsidR="00A07D8D" w:rsidRPr="00A07D8D" w:rsidRDefault="00A07D8D" w:rsidP="00A07D8D"/>
        </w:tc>
      </w:tr>
    </w:tbl>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b/>
          <w:sz w:val="20"/>
          <w:szCs w:val="20"/>
          <w:lang w:val="fr-CA" w:eastAsia="en-CA"/>
        </w:rPr>
        <w:t>GRANTED IN PART / ACCORDÉE EN PARTIE</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 xml:space="preserve">UPON APPLICATION </w:t>
      </w:r>
      <w:r w:rsidRPr="00A07D8D">
        <w:rPr>
          <w:rFonts w:eastAsia="Times New Roman" w:cs="Times New Roman"/>
          <w:sz w:val="20"/>
          <w:szCs w:val="20"/>
          <w:lang w:val="en-US" w:eastAsia="en-CA"/>
        </w:rPr>
        <w:t xml:space="preserve">by </w:t>
      </w:r>
      <w:r w:rsidRPr="00A07D8D">
        <w:rPr>
          <w:rFonts w:eastAsia="Times New Roman" w:cs="Times New Roman"/>
          <w:sz w:val="20"/>
          <w:szCs w:val="20"/>
          <w:lang w:eastAsia="en-CA"/>
        </w:rPr>
        <w:t>Linda Christie</w:t>
      </w:r>
      <w:r w:rsidRPr="00A07D8D">
        <w:rPr>
          <w:rFonts w:eastAsia="Times New Roman" w:cs="Times New Roman"/>
          <w:sz w:val="20"/>
          <w:szCs w:val="20"/>
          <w:lang w:val="en-US" w:eastAsia="en-CA"/>
        </w:rPr>
        <w:t xml:space="preserve"> for an extension of time to apply for leave to intervene and for leave to intervene in the above appeal;</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AND THE MATERIAL FILED</w:t>
      </w:r>
      <w:r w:rsidRPr="00A07D8D">
        <w:rPr>
          <w:rFonts w:eastAsia="Times New Roman" w:cs="Times New Roman"/>
          <w:sz w:val="20"/>
          <w:szCs w:val="20"/>
          <w:lang w:val="en-US" w:eastAsia="en-CA"/>
        </w:rPr>
        <w:t xml:space="preserve"> having been read;</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en-US" w:eastAsia="en-CA"/>
        </w:rPr>
      </w:pPr>
      <w:r w:rsidRPr="00A07D8D">
        <w:rPr>
          <w:rFonts w:eastAsia="Times New Roman" w:cs="Times New Roman"/>
          <w:b/>
          <w:bCs/>
          <w:sz w:val="20"/>
          <w:szCs w:val="20"/>
          <w:lang w:val="en-US" w:eastAsia="en-CA"/>
        </w:rPr>
        <w:t>IT IS HEREBY ORDERED THAT:</w:t>
      </w:r>
    </w:p>
    <w:p w:rsidR="00A07D8D" w:rsidRPr="00A07D8D" w:rsidRDefault="00A07D8D" w:rsidP="00A07D8D">
      <w:pPr>
        <w:spacing w:line="233" w:lineRule="auto"/>
        <w:jc w:val="both"/>
        <w:rPr>
          <w:rFonts w:eastAsia="Times New Roman" w:cs="Times New Roman"/>
          <w:sz w:val="20"/>
          <w:szCs w:val="20"/>
          <w:lang w:val="en-US"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sz w:val="20"/>
          <w:szCs w:val="20"/>
          <w:lang w:val="en-US" w:eastAsia="en-CA"/>
        </w:rPr>
        <w:t xml:space="preserve">The motion for an extension of time to apply for leave to intervene is granted. </w:t>
      </w:r>
      <w:r w:rsidRPr="00A07D8D">
        <w:rPr>
          <w:rFonts w:eastAsia="Times New Roman" w:cs="Times New Roman"/>
          <w:sz w:val="20"/>
          <w:szCs w:val="20"/>
          <w:lang w:val="fr-CA" w:eastAsia="en-CA"/>
        </w:rPr>
        <w:t xml:space="preserve">The motion for leave to intervene is dismissed. </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À LA SUITE DE LA DEMANDE</w:t>
      </w:r>
      <w:r w:rsidRPr="00A07D8D">
        <w:rPr>
          <w:rFonts w:eastAsia="Times New Roman" w:cs="Times New Roman"/>
          <w:sz w:val="20"/>
          <w:szCs w:val="20"/>
          <w:lang w:val="fr-CA" w:eastAsia="en-CA"/>
        </w:rPr>
        <w:t xml:space="preserve"> présentée par Linda Christie en prorogation du délai applicable à une demande d’autorisation d’intervenir et en autorisation d’intervenir dans l’appel;</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ET APRÈS EXAMEN</w:t>
      </w:r>
      <w:r w:rsidRPr="00A07D8D">
        <w:rPr>
          <w:rFonts w:eastAsia="Times New Roman" w:cs="Times New Roman"/>
          <w:sz w:val="20"/>
          <w:szCs w:val="20"/>
          <w:lang w:val="fr-CA" w:eastAsia="en-CA"/>
        </w:rPr>
        <w:t xml:space="preserve"> des documents déposés; </w:t>
      </w:r>
    </w:p>
    <w:p w:rsidR="00A07D8D" w:rsidRPr="00A07D8D" w:rsidRDefault="00A07D8D" w:rsidP="00A07D8D">
      <w:pPr>
        <w:spacing w:line="233" w:lineRule="auto"/>
        <w:jc w:val="both"/>
        <w:rPr>
          <w:rFonts w:eastAsia="Times New Roman" w:cs="Times New Roman"/>
          <w:sz w:val="20"/>
          <w:szCs w:val="20"/>
          <w:lang w:val="fr-CA" w:eastAsia="en-CA"/>
        </w:rPr>
      </w:pPr>
    </w:p>
    <w:p w:rsidR="00A07D8D" w:rsidRDefault="00A07D8D">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A07D8D" w:rsidRPr="00A07D8D" w:rsidRDefault="00A07D8D" w:rsidP="00A07D8D">
      <w:pPr>
        <w:spacing w:line="233" w:lineRule="auto"/>
        <w:jc w:val="both"/>
        <w:rPr>
          <w:rFonts w:eastAsia="Times New Roman" w:cs="Times New Roman"/>
          <w:b/>
          <w:sz w:val="20"/>
          <w:szCs w:val="20"/>
          <w:lang w:val="fr-CA" w:eastAsia="en-CA"/>
        </w:rPr>
      </w:pPr>
      <w:r w:rsidRPr="00A07D8D">
        <w:rPr>
          <w:rFonts w:eastAsia="Times New Roman" w:cs="Times New Roman"/>
          <w:b/>
          <w:sz w:val="20"/>
          <w:szCs w:val="20"/>
          <w:lang w:val="fr-CA" w:eastAsia="en-CA"/>
        </w:rPr>
        <w:lastRenderedPageBreak/>
        <w:t xml:space="preserve">IL EST ORDONNÉ CE QUI SUIT : </w:t>
      </w:r>
    </w:p>
    <w:p w:rsidR="00A07D8D" w:rsidRPr="00A07D8D" w:rsidRDefault="00A07D8D" w:rsidP="00A07D8D">
      <w:pPr>
        <w:spacing w:line="233" w:lineRule="auto"/>
        <w:jc w:val="both"/>
        <w:rPr>
          <w:rFonts w:eastAsia="Times New Roman" w:cs="Times New Roman"/>
          <w:b/>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sz w:val="20"/>
          <w:szCs w:val="20"/>
          <w:lang w:val="fr-CA" w:eastAsia="en-CA"/>
        </w:rPr>
        <w:t>La requête en prorogation du délai applicable à une demande d’autorisation d’intervenir est accueillie.  La requête en autorisation d’intervenir est rejetée.</w:t>
      </w:r>
    </w:p>
    <w:p w:rsidR="00A07D8D" w:rsidRPr="00A07D8D" w:rsidRDefault="00A07D8D" w:rsidP="00A07D8D">
      <w:pPr>
        <w:tabs>
          <w:tab w:val="left" w:pos="-1440"/>
          <w:tab w:val="left" w:pos="-720"/>
        </w:tabs>
        <w:jc w:val="both"/>
        <w:rPr>
          <w:rFonts w:eastAsia="Times New Roman" w:cs="Times New Roman"/>
          <w:sz w:val="20"/>
          <w:szCs w:val="20"/>
          <w:lang w:val="fr-FR" w:eastAsia="en-CA"/>
        </w:rPr>
      </w:pPr>
    </w:p>
    <w:p w:rsidR="00A07D8D" w:rsidRPr="00A07D8D" w:rsidRDefault="008138B5" w:rsidP="00A07D8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06.11.2013</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val="fr-CA" w:eastAsia="en-CA"/>
        </w:rPr>
      </w:pPr>
      <w:r w:rsidRPr="00A07D8D">
        <w:rPr>
          <w:rFonts w:eastAsia="Times New Roman" w:cs="Times New Roman"/>
          <w:sz w:val="20"/>
          <w:szCs w:val="20"/>
          <w:lang w:val="fr-CA" w:eastAsia="en-CA"/>
        </w:rPr>
        <w:t>Before / Devant :   THE CHIEF JUSTICE / LA JUGE EN CHEF</w:t>
      </w:r>
    </w:p>
    <w:p w:rsidR="00A07D8D" w:rsidRPr="00A07D8D" w:rsidRDefault="00A07D8D" w:rsidP="00A07D8D">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07D8D" w:rsidRPr="008138B5" w:rsidTr="00A07D8D">
        <w:tc>
          <w:tcPr>
            <w:tcW w:w="4338" w:type="dxa"/>
          </w:tcPr>
          <w:p w:rsidR="00A07D8D" w:rsidRPr="00A07D8D" w:rsidRDefault="00F425BC" w:rsidP="00A07D8D">
            <w:pPr>
              <w:tabs>
                <w:tab w:val="left" w:pos="-1440"/>
                <w:tab w:val="left" w:pos="-720"/>
              </w:tabs>
              <w:jc w:val="both"/>
              <w:rPr>
                <w:b/>
              </w:rPr>
            </w:pPr>
            <w:r w:rsidRPr="00A07D8D">
              <w:rPr>
                <w:lang w:val="en-US"/>
              </w:rPr>
              <w:fldChar w:fldCharType="begin"/>
            </w:r>
            <w:r w:rsidR="00A07D8D" w:rsidRPr="00A07D8D">
              <w:rPr>
                <w:lang w:val="en-US"/>
              </w:rPr>
              <w:instrText xml:space="preserve"> SEQ CHAPTER \h \r 1</w:instrText>
            </w:r>
            <w:r w:rsidRPr="00A07D8D">
              <w:rPr>
                <w:lang w:val="en-US"/>
              </w:rPr>
              <w:fldChar w:fldCharType="end"/>
            </w:r>
            <w:r w:rsidR="00A07D8D" w:rsidRPr="00A07D8D">
              <w:rPr>
                <w:b/>
                <w:bCs/>
                <w:lang w:val="en-US"/>
              </w:rPr>
              <w:t>Motion to state constitutional questions</w:t>
            </w:r>
          </w:p>
        </w:tc>
        <w:tc>
          <w:tcPr>
            <w:tcW w:w="1170" w:type="dxa"/>
          </w:tcPr>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p>
        </w:tc>
        <w:tc>
          <w:tcPr>
            <w:tcW w:w="4327" w:type="dxa"/>
          </w:tcPr>
          <w:p w:rsidR="00A07D8D" w:rsidRPr="00A07D8D" w:rsidRDefault="00F425BC" w:rsidP="00A07D8D">
            <w:pPr>
              <w:tabs>
                <w:tab w:val="left" w:pos="-1440"/>
                <w:tab w:val="left" w:pos="-720"/>
              </w:tabs>
              <w:jc w:val="both"/>
              <w:rPr>
                <w:lang w:val="fr-CA"/>
              </w:rPr>
            </w:pPr>
            <w:r w:rsidRPr="00A07D8D">
              <w:rPr>
                <w:lang w:val="en-US"/>
              </w:rPr>
              <w:fldChar w:fldCharType="begin"/>
            </w:r>
            <w:r w:rsidR="00A07D8D" w:rsidRPr="00A07D8D">
              <w:rPr>
                <w:lang w:val="fr-CA"/>
              </w:rPr>
              <w:instrText xml:space="preserve"> SEQ CHAPTER \h \r 1</w:instrText>
            </w:r>
            <w:r w:rsidRPr="00A07D8D">
              <w:rPr>
                <w:lang w:val="en-US"/>
              </w:rPr>
              <w:fldChar w:fldCharType="end"/>
            </w:r>
            <w:r w:rsidR="00A07D8D" w:rsidRPr="00A07D8D">
              <w:rPr>
                <w:b/>
                <w:bCs/>
                <w:lang w:val="fr-CA"/>
              </w:rPr>
              <w:t>Requête en formulation de questions constitutionnelles</w:t>
            </w:r>
            <w:r w:rsidRPr="00A07D8D">
              <w:rPr>
                <w:lang w:val="en-US"/>
              </w:rPr>
              <w:fldChar w:fldCharType="begin"/>
            </w:r>
            <w:r w:rsidR="00A07D8D" w:rsidRPr="00A07D8D">
              <w:rPr>
                <w:lang w:val="fr-CA"/>
              </w:rPr>
              <w:instrText xml:space="preserve"> SEQ CHAPTER \h \r 1</w:instrText>
            </w:r>
            <w:r w:rsidRPr="00A07D8D">
              <w:rPr>
                <w:lang w:val="en-US"/>
              </w:rPr>
              <w:fldChar w:fldCharType="end"/>
            </w:r>
            <w:r w:rsidRPr="00A07D8D">
              <w:rPr>
                <w:lang w:val="en-US"/>
              </w:rPr>
              <w:fldChar w:fldCharType="begin"/>
            </w:r>
            <w:r w:rsidR="00A07D8D" w:rsidRPr="00A07D8D">
              <w:rPr>
                <w:lang w:val="fr-CA"/>
              </w:rPr>
              <w:instrText xml:space="preserve"> SEQ CHAPTER \h \r 1</w:instrText>
            </w:r>
            <w:r w:rsidRPr="00A07D8D">
              <w:rPr>
                <w:lang w:val="en-US"/>
              </w:rPr>
              <w:fldChar w:fldCharType="end"/>
            </w:r>
            <w:r w:rsidRPr="00A07D8D">
              <w:rPr>
                <w:lang w:val="en-US"/>
              </w:rPr>
              <w:fldChar w:fldCharType="begin"/>
            </w:r>
            <w:r w:rsidR="00A07D8D" w:rsidRPr="00A07D8D">
              <w:rPr>
                <w:lang w:val="fr-CA"/>
              </w:rPr>
              <w:instrText xml:space="preserve"> SEQ CHAPTER \h \r 1</w:instrText>
            </w:r>
            <w:r w:rsidRPr="00A07D8D">
              <w:rPr>
                <w:lang w:val="en-US"/>
              </w:rPr>
              <w:fldChar w:fldCharType="end"/>
            </w:r>
          </w:p>
        </w:tc>
      </w:tr>
      <w:tr w:rsidR="00A07D8D" w:rsidRPr="00A07D8D" w:rsidTr="00A07D8D">
        <w:tc>
          <w:tcPr>
            <w:tcW w:w="4338" w:type="dxa"/>
          </w:tcPr>
          <w:p w:rsidR="00A07D8D" w:rsidRPr="00A07D8D" w:rsidRDefault="00A07D8D" w:rsidP="00A07D8D">
            <w:pPr>
              <w:tabs>
                <w:tab w:val="left" w:pos="-1440"/>
                <w:tab w:val="left" w:pos="-720"/>
              </w:tabs>
              <w:jc w:val="both"/>
              <w:rPr>
                <w:lang w:val="fr-CA"/>
              </w:rPr>
            </w:pPr>
            <w:r w:rsidRPr="00A07D8D">
              <w:rPr>
                <w:lang w:val="fr-CA"/>
              </w:rPr>
              <w:t>Andrew Keewatin Jr. et al.</w:t>
            </w:r>
          </w:p>
          <w:p w:rsidR="00A07D8D" w:rsidRPr="00A07D8D" w:rsidRDefault="00A07D8D" w:rsidP="00A07D8D">
            <w:pPr>
              <w:tabs>
                <w:tab w:val="left" w:pos="-1440"/>
                <w:tab w:val="left" w:pos="-720"/>
              </w:tabs>
              <w:jc w:val="both"/>
              <w:rPr>
                <w:lang w:val="fr-CA"/>
              </w:rPr>
            </w:pPr>
          </w:p>
          <w:p w:rsidR="00A07D8D" w:rsidRPr="00A07D8D" w:rsidRDefault="00A07D8D" w:rsidP="00A07D8D">
            <w:pPr>
              <w:tabs>
                <w:tab w:val="left" w:pos="-1440"/>
                <w:tab w:val="left" w:pos="-720"/>
              </w:tabs>
              <w:jc w:val="both"/>
            </w:pPr>
            <w:r w:rsidRPr="00A07D8D">
              <w:rPr>
                <w:lang w:val="fr-CA"/>
              </w:rPr>
              <w:tab/>
            </w:r>
            <w:r w:rsidRPr="00A07D8D">
              <w:t>v. (35379)</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Minister of Natural Resources et al. (Ont.)</w:t>
            </w:r>
          </w:p>
        </w:tc>
        <w:tc>
          <w:tcPr>
            <w:tcW w:w="1170" w:type="dxa"/>
          </w:tcPr>
          <w:p w:rsidR="00A07D8D" w:rsidRPr="00A07D8D" w:rsidRDefault="00A07D8D" w:rsidP="00A07D8D">
            <w:pPr>
              <w:tabs>
                <w:tab w:val="left" w:pos="-1440"/>
                <w:tab w:val="left" w:pos="-720"/>
              </w:tabs>
              <w:jc w:val="both"/>
            </w:pPr>
          </w:p>
        </w:tc>
        <w:tc>
          <w:tcPr>
            <w:tcW w:w="4327" w:type="dxa"/>
          </w:tcPr>
          <w:p w:rsidR="00A07D8D" w:rsidRPr="00A07D8D" w:rsidRDefault="00A07D8D" w:rsidP="00A07D8D">
            <w:pPr>
              <w:tabs>
                <w:tab w:val="left" w:pos="-1440"/>
                <w:tab w:val="left" w:pos="-720"/>
              </w:tabs>
              <w:jc w:val="both"/>
            </w:pPr>
          </w:p>
        </w:tc>
      </w:tr>
    </w:tbl>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b/>
          <w:sz w:val="20"/>
          <w:szCs w:val="20"/>
          <w:lang w:eastAsia="en-CA"/>
        </w:rPr>
        <w:t>DISMISSED / REJETÉE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jc w:val="both"/>
        <w:rPr>
          <w:rFonts w:eastAsia="Times New Roman" w:cs="Times New Roman"/>
          <w:sz w:val="20"/>
          <w:szCs w:val="20"/>
          <w:lang w:eastAsia="en-CA"/>
        </w:rPr>
      </w:pPr>
      <w:r w:rsidRPr="00A07D8D">
        <w:rPr>
          <w:rFonts w:eastAsia="Times New Roman" w:cs="Times New Roman"/>
          <w:b/>
          <w:bCs/>
          <w:sz w:val="20"/>
          <w:szCs w:val="20"/>
          <w:lang w:eastAsia="en-CA"/>
        </w:rPr>
        <w:t>UPON APPLICATION</w:t>
      </w:r>
      <w:r w:rsidRPr="00A07D8D">
        <w:rPr>
          <w:rFonts w:eastAsia="Times New Roman" w:cs="Times New Roman"/>
          <w:sz w:val="20"/>
          <w:szCs w:val="20"/>
          <w:lang w:eastAsia="en-CA"/>
        </w:rPr>
        <w:t xml:space="preserve"> by the respondent, the Attorney General of Canada, </w:t>
      </w:r>
      <w:r w:rsidR="00F425BC" w:rsidRPr="00A07D8D">
        <w:rPr>
          <w:rFonts w:eastAsia="Times New Roman" w:cs="Times New Roman"/>
          <w:sz w:val="20"/>
          <w:szCs w:val="20"/>
          <w:lang w:eastAsia="en-CA"/>
        </w:rPr>
        <w:fldChar w:fldCharType="begin"/>
      </w:r>
      <w:r w:rsidRPr="00A07D8D">
        <w:rPr>
          <w:rFonts w:eastAsia="Times New Roman" w:cs="Times New Roman"/>
          <w:sz w:val="20"/>
          <w:szCs w:val="20"/>
          <w:lang w:eastAsia="en-CA"/>
        </w:rPr>
        <w:instrText xml:space="preserve"> SEQ CHAPTER \h \r 1</w:instrText>
      </w:r>
      <w:r w:rsidR="00F425BC" w:rsidRPr="00A07D8D">
        <w:rPr>
          <w:rFonts w:eastAsia="Times New Roman" w:cs="Times New Roman"/>
          <w:sz w:val="20"/>
          <w:szCs w:val="20"/>
          <w:lang w:eastAsia="en-CA"/>
        </w:rPr>
        <w:fldChar w:fldCharType="end"/>
      </w:r>
      <w:r w:rsidRPr="00A07D8D">
        <w:rPr>
          <w:rFonts w:eastAsia="Times New Roman" w:cs="Times New Roman"/>
          <w:sz w:val="20"/>
          <w:szCs w:val="20"/>
          <w:lang w:eastAsia="en-CA"/>
        </w:rPr>
        <w:t>for an order stating constitutional questions in the above appeal;</w:t>
      </w:r>
    </w:p>
    <w:p w:rsidR="00A07D8D" w:rsidRPr="00A07D8D" w:rsidRDefault="00A07D8D" w:rsidP="00A07D8D">
      <w:pPr>
        <w:jc w:val="both"/>
        <w:rPr>
          <w:rFonts w:eastAsia="Times New Roman" w:cs="Times New Roman"/>
          <w:sz w:val="20"/>
          <w:szCs w:val="20"/>
          <w:lang w:eastAsia="en-CA"/>
        </w:rPr>
      </w:pPr>
    </w:p>
    <w:p w:rsidR="00A07D8D" w:rsidRPr="00A07D8D" w:rsidRDefault="00A07D8D" w:rsidP="00A07D8D">
      <w:pPr>
        <w:jc w:val="both"/>
        <w:rPr>
          <w:rFonts w:eastAsia="Times New Roman" w:cs="Times New Roman"/>
          <w:sz w:val="20"/>
          <w:szCs w:val="20"/>
          <w:lang w:eastAsia="en-CA"/>
        </w:rPr>
      </w:pPr>
      <w:r w:rsidRPr="00A07D8D">
        <w:rPr>
          <w:rFonts w:eastAsia="Times New Roman" w:cs="Times New Roman"/>
          <w:b/>
          <w:bCs/>
          <w:sz w:val="20"/>
          <w:szCs w:val="20"/>
          <w:lang w:eastAsia="en-CA"/>
        </w:rPr>
        <w:t>AND THE MATERIAL FILED</w:t>
      </w:r>
      <w:r w:rsidRPr="00A07D8D">
        <w:rPr>
          <w:rFonts w:eastAsia="Times New Roman" w:cs="Times New Roman"/>
          <w:sz w:val="20"/>
          <w:szCs w:val="20"/>
          <w:lang w:eastAsia="en-CA"/>
        </w:rPr>
        <w:t xml:space="preserve"> having been read;</w:t>
      </w:r>
    </w:p>
    <w:p w:rsidR="00A07D8D" w:rsidRPr="00A07D8D" w:rsidRDefault="00A07D8D" w:rsidP="00A07D8D">
      <w:pPr>
        <w:jc w:val="both"/>
        <w:rPr>
          <w:rFonts w:eastAsia="Times New Roman" w:cs="Times New Roman"/>
          <w:sz w:val="20"/>
          <w:szCs w:val="20"/>
          <w:lang w:eastAsia="en-CA"/>
        </w:rPr>
      </w:pPr>
    </w:p>
    <w:p w:rsidR="00A07D8D" w:rsidRPr="00A07D8D" w:rsidRDefault="00A07D8D" w:rsidP="00A07D8D">
      <w:pPr>
        <w:jc w:val="both"/>
        <w:rPr>
          <w:rFonts w:eastAsia="Times New Roman" w:cs="Times New Roman"/>
          <w:bCs/>
          <w:sz w:val="20"/>
          <w:szCs w:val="20"/>
          <w:lang w:eastAsia="en-CA"/>
        </w:rPr>
      </w:pPr>
      <w:r w:rsidRPr="00A07D8D">
        <w:rPr>
          <w:rFonts w:eastAsia="Times New Roman" w:cs="Times New Roman"/>
          <w:b/>
          <w:bCs/>
          <w:sz w:val="20"/>
          <w:szCs w:val="20"/>
          <w:lang w:eastAsia="en-CA"/>
        </w:rPr>
        <w:t>IT IS HEREBY ORDERED THAT:</w:t>
      </w:r>
    </w:p>
    <w:p w:rsidR="00A07D8D" w:rsidRPr="00A07D8D" w:rsidRDefault="00A07D8D" w:rsidP="00A07D8D">
      <w:pPr>
        <w:jc w:val="both"/>
        <w:rPr>
          <w:rFonts w:eastAsia="Times New Roman" w:cs="Times New Roman"/>
          <w:bCs/>
          <w:sz w:val="20"/>
          <w:szCs w:val="20"/>
          <w:lang w:eastAsia="en-CA"/>
        </w:rPr>
      </w:pPr>
    </w:p>
    <w:p w:rsidR="00A07D8D" w:rsidRPr="00A07D8D" w:rsidRDefault="00A07D8D" w:rsidP="00A07D8D">
      <w:pPr>
        <w:ind w:firstLine="720"/>
        <w:jc w:val="both"/>
        <w:rPr>
          <w:rFonts w:eastAsia="Times New Roman" w:cs="Times New Roman"/>
          <w:sz w:val="20"/>
          <w:szCs w:val="20"/>
          <w:lang w:eastAsia="en-CA"/>
        </w:rPr>
      </w:pPr>
      <w:r w:rsidRPr="00A07D8D">
        <w:rPr>
          <w:rFonts w:eastAsia="Times New Roman" w:cs="Times New Roman"/>
          <w:sz w:val="20"/>
          <w:szCs w:val="20"/>
          <w:lang w:eastAsia="en-CA"/>
        </w:rPr>
        <w:t>The motion is dismissed with costs to the appellants.</w:t>
      </w:r>
    </w:p>
    <w:p w:rsidR="00A07D8D" w:rsidRPr="00A07D8D" w:rsidRDefault="00A07D8D" w:rsidP="00A07D8D">
      <w:pPr>
        <w:jc w:val="both"/>
        <w:rPr>
          <w:rFonts w:eastAsia="Times New Roman" w:cs="Times New Roman"/>
          <w:sz w:val="20"/>
          <w:szCs w:val="20"/>
          <w:lang w:eastAsia="en-CA"/>
        </w:rPr>
      </w:pPr>
    </w:p>
    <w:p w:rsidR="00A07D8D" w:rsidRPr="00A07D8D" w:rsidRDefault="00A07D8D" w:rsidP="00A07D8D">
      <w:pPr>
        <w:jc w:val="both"/>
        <w:rPr>
          <w:rFonts w:eastAsia="Times New Roman" w:cs="Times New Roman"/>
          <w:b/>
          <w:sz w:val="20"/>
          <w:szCs w:val="20"/>
          <w:lang w:eastAsia="en-CA"/>
        </w:rPr>
      </w:pPr>
      <w:r w:rsidRPr="00A07D8D">
        <w:rPr>
          <w:rFonts w:eastAsia="Times New Roman" w:cs="Times New Roman"/>
          <w:b/>
          <w:sz w:val="20"/>
          <w:szCs w:val="20"/>
          <w:lang w:eastAsia="en-CA"/>
        </w:rPr>
        <w:t>IT IS HEREBY FURTHER ORDERED THAT:</w:t>
      </w:r>
    </w:p>
    <w:p w:rsidR="00A07D8D" w:rsidRPr="00A07D8D" w:rsidRDefault="00A07D8D" w:rsidP="00A07D8D">
      <w:pPr>
        <w:jc w:val="both"/>
        <w:rPr>
          <w:rFonts w:eastAsia="Times New Roman" w:cs="Times New Roman"/>
          <w:sz w:val="20"/>
          <w:szCs w:val="20"/>
          <w:lang w:eastAsia="en-CA"/>
        </w:rPr>
      </w:pPr>
    </w:p>
    <w:p w:rsidR="00A07D8D" w:rsidRPr="00A07D8D" w:rsidRDefault="00A07D8D" w:rsidP="00A07D8D">
      <w:pPr>
        <w:numPr>
          <w:ilvl w:val="0"/>
          <w:numId w:val="11"/>
        </w:numPr>
        <w:autoSpaceDE w:val="0"/>
        <w:autoSpaceDN w:val="0"/>
        <w:adjustRightInd w:val="0"/>
        <w:contextualSpacing/>
        <w:jc w:val="both"/>
        <w:rPr>
          <w:rFonts w:cs="Times New Roman"/>
          <w:bCs/>
          <w:sz w:val="20"/>
          <w:szCs w:val="20"/>
        </w:rPr>
      </w:pPr>
      <w:r w:rsidRPr="00A07D8D">
        <w:rPr>
          <w:rFonts w:cs="Times New Roman"/>
          <w:bCs/>
          <w:sz w:val="20"/>
          <w:szCs w:val="20"/>
        </w:rPr>
        <w:t xml:space="preserve">Any person wishing to intervene in this appeal under Rule 55 of the </w:t>
      </w:r>
      <w:r w:rsidRPr="00A07D8D">
        <w:rPr>
          <w:rFonts w:cs="Times New Roman"/>
          <w:bCs/>
          <w:i/>
          <w:sz w:val="20"/>
          <w:szCs w:val="20"/>
        </w:rPr>
        <w:t>Rules of the Supreme Court of Canada</w:t>
      </w:r>
      <w:r w:rsidRPr="00A07D8D">
        <w:rPr>
          <w:rFonts w:cs="Times New Roman"/>
          <w:bCs/>
          <w:sz w:val="20"/>
          <w:szCs w:val="20"/>
        </w:rPr>
        <w:t xml:space="preserve"> shall serve and file a motion for leave to intervene on or before March 10, 2014. </w:t>
      </w:r>
    </w:p>
    <w:p w:rsidR="00A07D8D" w:rsidRPr="00A07D8D" w:rsidRDefault="00A07D8D" w:rsidP="00A07D8D">
      <w:pPr>
        <w:ind w:left="720"/>
        <w:contextualSpacing/>
        <w:jc w:val="both"/>
        <w:rPr>
          <w:rFonts w:cs="Times New Roman"/>
          <w:bCs/>
          <w:sz w:val="20"/>
          <w:szCs w:val="20"/>
        </w:rPr>
      </w:pPr>
    </w:p>
    <w:p w:rsidR="00A07D8D" w:rsidRPr="00A07D8D" w:rsidRDefault="00A07D8D" w:rsidP="00A07D8D">
      <w:pPr>
        <w:numPr>
          <w:ilvl w:val="0"/>
          <w:numId w:val="11"/>
        </w:numPr>
        <w:autoSpaceDE w:val="0"/>
        <w:autoSpaceDN w:val="0"/>
        <w:adjustRightInd w:val="0"/>
        <w:contextualSpacing/>
        <w:jc w:val="both"/>
        <w:rPr>
          <w:rFonts w:cs="Times New Roman"/>
          <w:bCs/>
          <w:sz w:val="20"/>
          <w:szCs w:val="20"/>
        </w:rPr>
      </w:pPr>
      <w:r w:rsidRPr="00A07D8D">
        <w:rPr>
          <w:rFonts w:cs="Times New Roman"/>
          <w:bCs/>
          <w:sz w:val="20"/>
          <w:szCs w:val="20"/>
        </w:rPr>
        <w:t>The appellants and respondents shall serve and file their responses, if any, to the motions for leave to intervene on or before March 17, 2014.</w:t>
      </w:r>
    </w:p>
    <w:p w:rsidR="00A07D8D" w:rsidRPr="00A07D8D" w:rsidRDefault="00A07D8D" w:rsidP="00A07D8D">
      <w:pPr>
        <w:ind w:left="720"/>
        <w:contextualSpacing/>
        <w:jc w:val="both"/>
        <w:rPr>
          <w:rFonts w:cs="Times New Roman"/>
          <w:bCs/>
          <w:sz w:val="20"/>
          <w:szCs w:val="20"/>
        </w:rPr>
      </w:pPr>
    </w:p>
    <w:p w:rsidR="00A07D8D" w:rsidRPr="00A07D8D" w:rsidRDefault="00A07D8D" w:rsidP="00A07D8D">
      <w:pPr>
        <w:numPr>
          <w:ilvl w:val="0"/>
          <w:numId w:val="11"/>
        </w:numPr>
        <w:autoSpaceDE w:val="0"/>
        <w:autoSpaceDN w:val="0"/>
        <w:adjustRightInd w:val="0"/>
        <w:contextualSpacing/>
        <w:jc w:val="both"/>
        <w:rPr>
          <w:rFonts w:cs="Times New Roman"/>
          <w:bCs/>
          <w:sz w:val="20"/>
          <w:szCs w:val="20"/>
        </w:rPr>
      </w:pPr>
      <w:r w:rsidRPr="00A07D8D">
        <w:rPr>
          <w:rFonts w:cs="Times New Roman"/>
          <w:bCs/>
          <w:sz w:val="20"/>
          <w:szCs w:val="20"/>
        </w:rPr>
        <w:t xml:space="preserve">Replies to the responses, if any, to the motions for leave to intervene shall be served and filed on or before March 19, 2014. </w:t>
      </w:r>
    </w:p>
    <w:p w:rsidR="00A07D8D" w:rsidRPr="00A07D8D" w:rsidRDefault="00A07D8D" w:rsidP="00A07D8D">
      <w:pPr>
        <w:contextualSpacing/>
        <w:jc w:val="both"/>
        <w:rPr>
          <w:rFonts w:cs="Times New Roman"/>
          <w:bCs/>
          <w:sz w:val="20"/>
          <w:szCs w:val="20"/>
        </w:rPr>
      </w:pP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jc w:val="both"/>
        <w:rPr>
          <w:rFonts w:eastAsia="Times New Roman" w:cs="Times New Roman"/>
          <w:bCs/>
          <w:sz w:val="20"/>
          <w:szCs w:val="20"/>
          <w:lang w:val="en-US"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bCs/>
          <w:sz w:val="20"/>
          <w:szCs w:val="20"/>
          <w:lang w:val="fr-CA" w:eastAsia="en-CA"/>
        </w:rPr>
        <w:t>À LA SUITE DE LA DEMANDE</w:t>
      </w:r>
      <w:r w:rsidRPr="00A07D8D">
        <w:rPr>
          <w:rFonts w:eastAsia="Times New Roman" w:cs="Times New Roman"/>
          <w:sz w:val="20"/>
          <w:szCs w:val="20"/>
          <w:lang w:val="fr-CA" w:eastAsia="en-CA"/>
        </w:rPr>
        <w:t xml:space="preserve"> de l’intimé, le procureur général du Canada, visant à obtenir la formulation de questions constitutionnelles dans l'appel susmentionné;</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bCs/>
          <w:sz w:val="20"/>
          <w:szCs w:val="20"/>
          <w:lang w:val="fr-CA" w:eastAsia="en-CA"/>
        </w:rPr>
        <w:t>ET APRÈS AVOIR LU</w:t>
      </w:r>
      <w:r w:rsidRPr="00A07D8D">
        <w:rPr>
          <w:rFonts w:eastAsia="Times New Roman" w:cs="Times New Roman"/>
          <w:sz w:val="20"/>
          <w:szCs w:val="20"/>
          <w:lang w:val="fr-CA" w:eastAsia="en-CA"/>
        </w:rPr>
        <w:t xml:space="preserve"> la documentation déposée;</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jc w:val="both"/>
        <w:rPr>
          <w:rFonts w:eastAsia="Times New Roman" w:cs="Times New Roman"/>
          <w:b/>
          <w:bCs/>
          <w:sz w:val="20"/>
          <w:szCs w:val="20"/>
          <w:lang w:val="fr-CA" w:eastAsia="en-CA"/>
        </w:rPr>
      </w:pPr>
      <w:r w:rsidRPr="00A07D8D">
        <w:rPr>
          <w:rFonts w:eastAsia="Times New Roman" w:cs="Times New Roman"/>
          <w:b/>
          <w:bCs/>
          <w:sz w:val="20"/>
          <w:szCs w:val="20"/>
          <w:lang w:val="fr-CA" w:eastAsia="en-CA"/>
        </w:rPr>
        <w:t>IL EST ORDONNÉ CE QUI SUIT :</w:t>
      </w:r>
    </w:p>
    <w:p w:rsidR="00A07D8D" w:rsidRPr="00A07D8D" w:rsidRDefault="00A07D8D" w:rsidP="00A07D8D">
      <w:pPr>
        <w:jc w:val="both"/>
        <w:rPr>
          <w:rFonts w:eastAsia="Times New Roman" w:cs="Times New Roman"/>
          <w:bCs/>
          <w:sz w:val="20"/>
          <w:szCs w:val="20"/>
          <w:lang w:val="fr-CA" w:eastAsia="en-CA"/>
        </w:rPr>
      </w:pPr>
    </w:p>
    <w:p w:rsidR="00A07D8D" w:rsidRPr="00A07D8D" w:rsidRDefault="00A07D8D" w:rsidP="00A07D8D">
      <w:pPr>
        <w:jc w:val="both"/>
        <w:rPr>
          <w:rFonts w:eastAsia="Times New Roman" w:cs="Times New Roman"/>
          <w:sz w:val="20"/>
          <w:szCs w:val="20"/>
          <w:lang w:val="fr-FR" w:eastAsia="en-CA"/>
        </w:rPr>
      </w:pPr>
      <w:r w:rsidRPr="00A07D8D">
        <w:rPr>
          <w:rFonts w:eastAsia="Times New Roman" w:cs="Times New Roman"/>
          <w:sz w:val="20"/>
          <w:szCs w:val="20"/>
          <w:lang w:val="fr-FR" w:eastAsia="en-CA"/>
        </w:rPr>
        <w:tab/>
        <w:t>La requête est rejetée avec dépens en faveur des appelants.</w:t>
      </w:r>
    </w:p>
    <w:p w:rsidR="00A07D8D" w:rsidRPr="00A07D8D" w:rsidRDefault="00A07D8D" w:rsidP="00A07D8D">
      <w:pPr>
        <w:jc w:val="both"/>
        <w:rPr>
          <w:rFonts w:eastAsia="Times New Roman" w:cs="Times New Roman"/>
          <w:sz w:val="20"/>
          <w:szCs w:val="20"/>
          <w:lang w:val="fr-FR" w:eastAsia="en-CA"/>
        </w:rPr>
      </w:pPr>
    </w:p>
    <w:p w:rsidR="00A07D8D" w:rsidRDefault="00A07D8D">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A07D8D" w:rsidRPr="00A07D8D" w:rsidRDefault="00A07D8D" w:rsidP="00A07D8D">
      <w:pPr>
        <w:jc w:val="both"/>
        <w:rPr>
          <w:rFonts w:eastAsia="Times New Roman" w:cs="Times New Roman"/>
          <w:sz w:val="20"/>
          <w:szCs w:val="20"/>
          <w:lang w:val="fr-CA" w:eastAsia="en-CA"/>
        </w:rPr>
      </w:pPr>
      <w:r w:rsidRPr="00A07D8D">
        <w:rPr>
          <w:rFonts w:eastAsia="Times New Roman" w:cs="Times New Roman"/>
          <w:b/>
          <w:sz w:val="20"/>
          <w:szCs w:val="20"/>
          <w:lang w:val="fr-CA" w:eastAsia="en-CA"/>
        </w:rPr>
        <w:lastRenderedPageBreak/>
        <w:t>IL EST EN OUTRE ORDONNÉ CE QUI SUIT :</w:t>
      </w:r>
    </w:p>
    <w:p w:rsidR="00A07D8D" w:rsidRPr="00A07D8D" w:rsidRDefault="00A07D8D" w:rsidP="00A07D8D">
      <w:pPr>
        <w:jc w:val="both"/>
        <w:rPr>
          <w:rFonts w:eastAsia="Times New Roman" w:cs="Times New Roman"/>
          <w:sz w:val="20"/>
          <w:szCs w:val="20"/>
          <w:lang w:val="fr-CA" w:eastAsia="en-CA"/>
        </w:rPr>
      </w:pPr>
    </w:p>
    <w:p w:rsidR="00A07D8D" w:rsidRPr="00A07D8D" w:rsidRDefault="00A07D8D" w:rsidP="00A07D8D">
      <w:pPr>
        <w:widowControl w:val="0"/>
        <w:numPr>
          <w:ilvl w:val="0"/>
          <w:numId w:val="12"/>
        </w:numPr>
        <w:tabs>
          <w:tab w:val="left" w:pos="-1440"/>
        </w:tabs>
        <w:autoSpaceDE w:val="0"/>
        <w:autoSpaceDN w:val="0"/>
        <w:adjustRightInd w:val="0"/>
        <w:jc w:val="both"/>
        <w:outlineLvl w:val="0"/>
        <w:rPr>
          <w:rFonts w:eastAsia="Times New Roman" w:cs="Times New Roman"/>
          <w:sz w:val="20"/>
          <w:szCs w:val="20"/>
          <w:lang w:val="fr-FR" w:eastAsia="en-CA"/>
        </w:rPr>
      </w:pPr>
      <w:r w:rsidRPr="00A07D8D">
        <w:rPr>
          <w:rFonts w:eastAsia="Times New Roman" w:cs="Times New Roman"/>
          <w:sz w:val="20"/>
          <w:szCs w:val="20"/>
          <w:lang w:val="fr-FR" w:eastAsia="en-CA"/>
        </w:rPr>
        <w:t xml:space="preserve">Toute personne qui souhaite intervenir dans le présent appel en vertu de la règle 55 des </w:t>
      </w:r>
      <w:r w:rsidRPr="00A07D8D">
        <w:rPr>
          <w:rFonts w:eastAsia="Times New Roman" w:cs="Times New Roman"/>
          <w:i/>
          <w:sz w:val="20"/>
          <w:szCs w:val="20"/>
          <w:lang w:val="fr-FR" w:eastAsia="en-CA"/>
        </w:rPr>
        <w:t xml:space="preserve">Règles de la Cour suprême du Canada </w:t>
      </w:r>
      <w:r w:rsidRPr="00A07D8D">
        <w:rPr>
          <w:rFonts w:eastAsia="Times New Roman" w:cs="Times New Roman"/>
          <w:sz w:val="20"/>
          <w:szCs w:val="20"/>
          <w:lang w:val="fr-FR" w:eastAsia="en-CA"/>
        </w:rPr>
        <w:t xml:space="preserve">signifiera et déposera une requête en autorisation d’intervenir au plus tard le 10 mars 2014. </w:t>
      </w:r>
    </w:p>
    <w:p w:rsidR="00A07D8D" w:rsidRPr="00A07D8D" w:rsidRDefault="00A07D8D" w:rsidP="00A07D8D">
      <w:pPr>
        <w:widowControl w:val="0"/>
        <w:tabs>
          <w:tab w:val="left" w:pos="-1440"/>
        </w:tabs>
        <w:jc w:val="both"/>
        <w:outlineLvl w:val="0"/>
        <w:rPr>
          <w:rFonts w:eastAsia="Times New Roman" w:cs="Times New Roman"/>
          <w:sz w:val="20"/>
          <w:szCs w:val="20"/>
          <w:lang w:val="fr-FR" w:eastAsia="en-CA"/>
        </w:rPr>
      </w:pPr>
    </w:p>
    <w:p w:rsidR="00A07D8D" w:rsidRPr="00A07D8D" w:rsidRDefault="00A07D8D" w:rsidP="00A07D8D">
      <w:pPr>
        <w:widowControl w:val="0"/>
        <w:numPr>
          <w:ilvl w:val="0"/>
          <w:numId w:val="12"/>
        </w:numPr>
        <w:tabs>
          <w:tab w:val="left" w:pos="-1440"/>
        </w:tabs>
        <w:autoSpaceDE w:val="0"/>
        <w:autoSpaceDN w:val="0"/>
        <w:adjustRightInd w:val="0"/>
        <w:jc w:val="both"/>
        <w:outlineLvl w:val="0"/>
        <w:rPr>
          <w:rFonts w:eastAsia="Times New Roman" w:cs="Times New Roman"/>
          <w:sz w:val="20"/>
          <w:szCs w:val="20"/>
          <w:lang w:val="fr-FR" w:eastAsia="en-CA"/>
        </w:rPr>
      </w:pPr>
      <w:r w:rsidRPr="00A07D8D">
        <w:rPr>
          <w:rFonts w:eastAsia="Times New Roman" w:cs="Times New Roman"/>
          <w:sz w:val="20"/>
          <w:szCs w:val="20"/>
          <w:lang w:val="fr-FR" w:eastAsia="en-CA"/>
        </w:rPr>
        <w:t xml:space="preserve">Les appelants et les intimés signifieront et déposeront leurs réponses aux demandes d’autorisation d’intervenir, le cas échéant, au plus tard le 17 mars 2014. </w:t>
      </w:r>
    </w:p>
    <w:p w:rsidR="00A07D8D" w:rsidRPr="00A07D8D" w:rsidRDefault="00A07D8D" w:rsidP="00A07D8D">
      <w:pPr>
        <w:widowControl w:val="0"/>
        <w:tabs>
          <w:tab w:val="left" w:pos="-1440"/>
        </w:tabs>
        <w:jc w:val="both"/>
        <w:outlineLvl w:val="0"/>
        <w:rPr>
          <w:rFonts w:eastAsia="Times New Roman" w:cs="Times New Roman"/>
          <w:sz w:val="20"/>
          <w:szCs w:val="20"/>
          <w:lang w:val="fr-FR" w:eastAsia="en-CA"/>
        </w:rPr>
      </w:pPr>
    </w:p>
    <w:p w:rsidR="00A07D8D" w:rsidRPr="00A07D8D" w:rsidRDefault="00A07D8D" w:rsidP="00A07D8D">
      <w:pPr>
        <w:widowControl w:val="0"/>
        <w:numPr>
          <w:ilvl w:val="0"/>
          <w:numId w:val="12"/>
        </w:numPr>
        <w:tabs>
          <w:tab w:val="left" w:pos="-1440"/>
        </w:tabs>
        <w:autoSpaceDE w:val="0"/>
        <w:autoSpaceDN w:val="0"/>
        <w:adjustRightInd w:val="0"/>
        <w:jc w:val="both"/>
        <w:outlineLvl w:val="0"/>
        <w:rPr>
          <w:rFonts w:eastAsia="Times New Roman" w:cs="Times New Roman"/>
          <w:sz w:val="20"/>
          <w:szCs w:val="20"/>
          <w:lang w:val="fr-FR" w:eastAsia="en-CA"/>
        </w:rPr>
      </w:pPr>
      <w:r w:rsidRPr="00A07D8D">
        <w:rPr>
          <w:rFonts w:eastAsia="Times New Roman" w:cs="Times New Roman"/>
          <w:sz w:val="20"/>
          <w:szCs w:val="20"/>
          <w:lang w:val="fr-FR" w:eastAsia="en-CA"/>
        </w:rPr>
        <w:t xml:space="preserve">Les répliques, le cas échéant, aux réponses aux demandes d’autorisation d’intervenir seront signifiées et déposées au plus tard le 19 mars 2014. </w:t>
      </w:r>
    </w:p>
    <w:p w:rsidR="00A07D8D" w:rsidRPr="00A07D8D" w:rsidRDefault="00A07D8D" w:rsidP="00A07D8D">
      <w:pPr>
        <w:tabs>
          <w:tab w:val="left" w:pos="-1440"/>
          <w:tab w:val="left" w:pos="-720"/>
        </w:tabs>
        <w:jc w:val="both"/>
        <w:rPr>
          <w:rFonts w:eastAsia="Times New Roman" w:cs="Times New Roman"/>
          <w:sz w:val="20"/>
          <w:szCs w:val="20"/>
          <w:lang w:val="fr-FR" w:eastAsia="en-CA"/>
        </w:rPr>
      </w:pPr>
    </w:p>
    <w:p w:rsidR="00A07D8D" w:rsidRPr="00A07D8D" w:rsidRDefault="008138B5" w:rsidP="00A07D8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sz w:val="20"/>
          <w:szCs w:val="20"/>
          <w:lang w:eastAsia="en-CA"/>
        </w:rPr>
        <w:t>07.11.2013</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sz w:val="20"/>
          <w:szCs w:val="20"/>
          <w:lang w:eastAsia="en-CA"/>
        </w:rPr>
        <w:t xml:space="preserve">Before / Devant :   </w:t>
      </w:r>
      <w:r w:rsidRPr="00A07D8D">
        <w:rPr>
          <w:rFonts w:eastAsia="Times New Roman" w:cs="Times New Roman"/>
          <w:sz w:val="20"/>
          <w:szCs w:val="20"/>
          <w:lang w:val="fr-CA" w:eastAsia="en-CA"/>
        </w:rPr>
        <w:t>THE DEPUTY REGISTRAR / LA REGISTRAIRE ADJOINTE</w:t>
      </w:r>
    </w:p>
    <w:p w:rsidR="00A07D8D" w:rsidRPr="00A07D8D" w:rsidRDefault="00A07D8D" w:rsidP="00A07D8D">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07D8D" w:rsidRPr="008138B5" w:rsidTr="00A07D8D">
        <w:tc>
          <w:tcPr>
            <w:tcW w:w="4338" w:type="dxa"/>
          </w:tcPr>
          <w:p w:rsidR="00A07D8D" w:rsidRPr="00A07D8D" w:rsidRDefault="00A07D8D" w:rsidP="00A07D8D">
            <w:pPr>
              <w:tabs>
                <w:tab w:val="left" w:pos="-1440"/>
                <w:tab w:val="left" w:pos="-720"/>
              </w:tabs>
              <w:jc w:val="both"/>
            </w:pPr>
            <w:r w:rsidRPr="00A07D8D">
              <w:rPr>
                <w:b/>
                <w:bCs/>
                <w:color w:val="000000"/>
                <w:lang w:val="en-GB"/>
              </w:rPr>
              <w:t>Motion for an extension of time</w:t>
            </w:r>
            <w:r w:rsidRPr="00A07D8D">
              <w:rPr>
                <w:b/>
                <w:bCs/>
                <w:lang w:val="en-US"/>
              </w:rPr>
              <w:t xml:space="preserve"> </w:t>
            </w:r>
          </w:p>
        </w:tc>
        <w:tc>
          <w:tcPr>
            <w:tcW w:w="1170" w:type="dxa"/>
          </w:tcPr>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p>
        </w:tc>
        <w:tc>
          <w:tcPr>
            <w:tcW w:w="4327" w:type="dxa"/>
          </w:tcPr>
          <w:p w:rsidR="00A07D8D" w:rsidRPr="00A07D8D" w:rsidRDefault="00F425BC" w:rsidP="00A07D8D">
            <w:pPr>
              <w:tabs>
                <w:tab w:val="left" w:pos="-1440"/>
                <w:tab w:val="left" w:pos="-720"/>
              </w:tabs>
              <w:jc w:val="both"/>
              <w:rPr>
                <w:lang w:val="fr-CA"/>
              </w:rPr>
            </w:pPr>
            <w:r w:rsidRPr="00A07D8D">
              <w:rPr>
                <w:lang w:val="en-US"/>
              </w:rPr>
              <w:fldChar w:fldCharType="begin"/>
            </w:r>
            <w:r w:rsidR="00A07D8D" w:rsidRPr="00A07D8D">
              <w:rPr>
                <w:lang w:val="fr-CA"/>
              </w:rPr>
              <w:instrText xml:space="preserve"> SEQ CHAPTER \h \r 1</w:instrText>
            </w:r>
            <w:r w:rsidRPr="00A07D8D">
              <w:rPr>
                <w:lang w:val="en-US"/>
              </w:rPr>
              <w:fldChar w:fldCharType="end"/>
            </w:r>
            <w:r w:rsidR="00A07D8D" w:rsidRPr="00A07D8D">
              <w:rPr>
                <w:b/>
                <w:bCs/>
                <w:lang w:val="fr-CA"/>
              </w:rPr>
              <w:t xml:space="preserve">Requête en prorogation de délai </w:t>
            </w:r>
          </w:p>
        </w:tc>
      </w:tr>
      <w:tr w:rsidR="00A07D8D" w:rsidRPr="00A07D8D" w:rsidTr="00A07D8D">
        <w:tc>
          <w:tcPr>
            <w:tcW w:w="4338" w:type="dxa"/>
          </w:tcPr>
          <w:p w:rsidR="00A07D8D" w:rsidRPr="00A07D8D" w:rsidRDefault="00A07D8D" w:rsidP="00A07D8D">
            <w:pPr>
              <w:tabs>
                <w:tab w:val="left" w:pos="-1440"/>
                <w:tab w:val="left" w:pos="-720"/>
              </w:tabs>
              <w:jc w:val="both"/>
            </w:pPr>
            <w:r w:rsidRPr="00A07D8D">
              <w:t xml:space="preserve">Her Majesty the Queen </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pPr>
            <w:r w:rsidRPr="00A07D8D">
              <w:tab/>
              <w:t>v. (33874)</w:t>
            </w:r>
          </w:p>
          <w:p w:rsidR="00A07D8D" w:rsidRPr="00A07D8D" w:rsidRDefault="00A07D8D" w:rsidP="00A07D8D">
            <w:pPr>
              <w:tabs>
                <w:tab w:val="left" w:pos="-1440"/>
                <w:tab w:val="left" w:pos="-720"/>
              </w:tabs>
              <w:jc w:val="both"/>
            </w:pPr>
          </w:p>
          <w:p w:rsidR="00A07D8D" w:rsidRPr="00A07D8D" w:rsidRDefault="00A07D8D" w:rsidP="00A07D8D">
            <w:pPr>
              <w:tabs>
                <w:tab w:val="left" w:pos="-1440"/>
                <w:tab w:val="left" w:pos="-720"/>
              </w:tabs>
              <w:jc w:val="both"/>
              <w:rPr>
                <w:lang w:val="fr-CA"/>
              </w:rPr>
            </w:pPr>
            <w:r w:rsidRPr="00A07D8D">
              <w:t xml:space="preserve">GlaxoSmithKline </w:t>
            </w:r>
            <w:r w:rsidRPr="00A07D8D">
              <w:rPr>
                <w:lang w:val="fr-CA"/>
              </w:rPr>
              <w:t>(F.C.)</w:t>
            </w:r>
          </w:p>
        </w:tc>
        <w:tc>
          <w:tcPr>
            <w:tcW w:w="1170" w:type="dxa"/>
          </w:tcPr>
          <w:p w:rsidR="00A07D8D" w:rsidRPr="00A07D8D" w:rsidRDefault="00A07D8D" w:rsidP="00A07D8D">
            <w:pPr>
              <w:tabs>
                <w:tab w:val="left" w:pos="-1440"/>
                <w:tab w:val="left" w:pos="-720"/>
              </w:tabs>
              <w:jc w:val="both"/>
              <w:rPr>
                <w:lang w:val="fr-CA"/>
              </w:rPr>
            </w:pPr>
          </w:p>
        </w:tc>
        <w:tc>
          <w:tcPr>
            <w:tcW w:w="4327" w:type="dxa"/>
          </w:tcPr>
          <w:p w:rsidR="00A07D8D" w:rsidRPr="00A07D8D" w:rsidRDefault="00A07D8D" w:rsidP="00A07D8D">
            <w:pPr>
              <w:tabs>
                <w:tab w:val="left" w:pos="-1440"/>
                <w:tab w:val="left" w:pos="-720"/>
              </w:tabs>
              <w:jc w:val="both"/>
              <w:rPr>
                <w:lang w:val="fr-CA"/>
              </w:rPr>
            </w:pPr>
          </w:p>
        </w:tc>
      </w:tr>
    </w:tbl>
    <w:p w:rsidR="00A07D8D" w:rsidRPr="00A07D8D" w:rsidRDefault="00A07D8D" w:rsidP="00A07D8D">
      <w:pPr>
        <w:tabs>
          <w:tab w:val="left" w:pos="-1440"/>
          <w:tab w:val="left" w:pos="-720"/>
        </w:tabs>
        <w:jc w:val="both"/>
        <w:rPr>
          <w:rFonts w:eastAsia="Times New Roman" w:cs="Times New Roman"/>
          <w:b/>
          <w:sz w:val="20"/>
          <w:szCs w:val="20"/>
          <w:lang w:val="fr-CA" w:eastAsia="en-CA"/>
        </w:rPr>
      </w:pPr>
    </w:p>
    <w:p w:rsidR="00A07D8D" w:rsidRPr="00A07D8D" w:rsidRDefault="00A07D8D" w:rsidP="00A07D8D">
      <w:pPr>
        <w:tabs>
          <w:tab w:val="left" w:pos="-1440"/>
          <w:tab w:val="left" w:pos="-720"/>
        </w:tabs>
        <w:jc w:val="both"/>
        <w:rPr>
          <w:rFonts w:eastAsia="Times New Roman" w:cs="Times New Roman"/>
          <w:sz w:val="20"/>
          <w:szCs w:val="20"/>
          <w:lang w:eastAsia="en-CA"/>
        </w:rPr>
      </w:pPr>
      <w:r w:rsidRPr="00A07D8D">
        <w:rPr>
          <w:rFonts w:eastAsia="Times New Roman" w:cs="Times New Roman"/>
          <w:b/>
          <w:sz w:val="20"/>
          <w:szCs w:val="20"/>
          <w:lang w:eastAsia="en-CA"/>
        </w:rPr>
        <w:t>GRANTED / ACCORDÉE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A07D8D" w:rsidP="00A07D8D">
      <w:pPr>
        <w:jc w:val="both"/>
        <w:rPr>
          <w:rFonts w:eastAsia="Times New Roman" w:cs="Times New Roman"/>
          <w:sz w:val="20"/>
          <w:szCs w:val="20"/>
          <w:lang w:val="en-US"/>
        </w:rPr>
      </w:pPr>
      <w:r w:rsidRPr="00A07D8D">
        <w:rPr>
          <w:rFonts w:eastAsia="Times New Roman" w:cs="Times New Roman"/>
          <w:b/>
          <w:sz w:val="20"/>
          <w:szCs w:val="20"/>
          <w:lang w:val="en-US"/>
        </w:rPr>
        <w:t>UPON APPLICATION</w:t>
      </w:r>
      <w:r w:rsidRPr="00A07D8D">
        <w:rPr>
          <w:rFonts w:eastAsia="Times New Roman" w:cs="Times New Roman"/>
          <w:sz w:val="20"/>
          <w:szCs w:val="20"/>
          <w:lang w:val="en-US"/>
        </w:rPr>
        <w:t xml:space="preserve"> on behalf of the appellant/respondent on cross-appeal for an order extending the time within which to serve and file its notice of taxation and bill of costs to May 14, 2013;</w:t>
      </w:r>
    </w:p>
    <w:p w:rsidR="00A07D8D" w:rsidRPr="00A07D8D" w:rsidRDefault="00A07D8D" w:rsidP="00A07D8D">
      <w:pPr>
        <w:jc w:val="both"/>
        <w:rPr>
          <w:rFonts w:eastAsia="Times New Roman" w:cs="Times New Roman"/>
          <w:sz w:val="20"/>
          <w:szCs w:val="20"/>
          <w:lang w:val="en-US"/>
        </w:rPr>
      </w:pPr>
    </w:p>
    <w:p w:rsidR="00A07D8D" w:rsidRPr="00A07D8D" w:rsidRDefault="00A07D8D" w:rsidP="00A07D8D">
      <w:pPr>
        <w:jc w:val="both"/>
        <w:rPr>
          <w:rFonts w:eastAsia="Times New Roman" w:cs="Times New Roman"/>
          <w:b/>
          <w:sz w:val="20"/>
          <w:szCs w:val="20"/>
          <w:lang w:val="en-US"/>
        </w:rPr>
      </w:pPr>
      <w:r w:rsidRPr="00A07D8D">
        <w:rPr>
          <w:rFonts w:eastAsia="Times New Roman" w:cs="Times New Roman"/>
          <w:b/>
          <w:sz w:val="20"/>
          <w:szCs w:val="20"/>
          <w:lang w:val="en-US"/>
        </w:rPr>
        <w:t xml:space="preserve">AND THE MATERIAL FILED </w:t>
      </w:r>
      <w:r w:rsidRPr="00A07D8D">
        <w:rPr>
          <w:rFonts w:eastAsia="Times New Roman" w:cs="Times New Roman"/>
          <w:sz w:val="20"/>
          <w:szCs w:val="20"/>
          <w:lang w:val="en-US"/>
        </w:rPr>
        <w:t>having been read;</w:t>
      </w:r>
    </w:p>
    <w:p w:rsidR="00A07D8D" w:rsidRPr="00A07D8D" w:rsidRDefault="00A07D8D" w:rsidP="00A07D8D">
      <w:pPr>
        <w:jc w:val="both"/>
        <w:rPr>
          <w:rFonts w:eastAsia="Times New Roman" w:cs="Times New Roman"/>
          <w:b/>
          <w:sz w:val="20"/>
          <w:szCs w:val="20"/>
          <w:lang w:val="en-US"/>
        </w:rPr>
      </w:pPr>
    </w:p>
    <w:p w:rsidR="00A07D8D" w:rsidRPr="00A07D8D" w:rsidRDefault="00A07D8D" w:rsidP="00A07D8D">
      <w:pPr>
        <w:jc w:val="both"/>
        <w:rPr>
          <w:rFonts w:eastAsia="Times New Roman" w:cs="Times New Roman"/>
          <w:b/>
          <w:sz w:val="20"/>
          <w:szCs w:val="20"/>
          <w:lang w:val="en-US"/>
        </w:rPr>
      </w:pPr>
      <w:r w:rsidRPr="00A07D8D">
        <w:rPr>
          <w:rFonts w:eastAsia="Times New Roman" w:cs="Times New Roman"/>
          <w:b/>
          <w:sz w:val="20"/>
          <w:szCs w:val="20"/>
          <w:lang w:val="en-US"/>
        </w:rPr>
        <w:t>IT IS HEREBY ORDERED THAT:</w:t>
      </w:r>
    </w:p>
    <w:p w:rsidR="00A07D8D" w:rsidRPr="00A07D8D" w:rsidRDefault="00A07D8D" w:rsidP="00A07D8D">
      <w:pPr>
        <w:jc w:val="both"/>
        <w:rPr>
          <w:rFonts w:eastAsia="Times New Roman" w:cs="Times New Roman"/>
          <w:sz w:val="20"/>
          <w:szCs w:val="20"/>
          <w:lang w:val="en-US"/>
        </w:rPr>
      </w:pPr>
    </w:p>
    <w:p w:rsidR="00A07D8D" w:rsidRPr="00A07D8D" w:rsidRDefault="00A07D8D" w:rsidP="00A07D8D">
      <w:pPr>
        <w:ind w:firstLine="720"/>
        <w:jc w:val="both"/>
        <w:rPr>
          <w:rFonts w:eastAsia="Times New Roman" w:cs="Times New Roman"/>
          <w:sz w:val="20"/>
          <w:szCs w:val="20"/>
          <w:lang w:val="fr-CA"/>
        </w:rPr>
      </w:pPr>
      <w:r w:rsidRPr="00A07D8D">
        <w:rPr>
          <w:rFonts w:eastAsia="Times New Roman" w:cs="Times New Roman"/>
          <w:sz w:val="20"/>
          <w:szCs w:val="20"/>
          <w:lang w:val="fr-CA"/>
        </w:rPr>
        <w:t>The motion is granted.</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À LA SUITE DE LA DEMANDE</w:t>
      </w:r>
      <w:r w:rsidRPr="00A07D8D">
        <w:rPr>
          <w:rFonts w:eastAsia="Times New Roman" w:cs="Times New Roman"/>
          <w:sz w:val="20"/>
          <w:szCs w:val="20"/>
          <w:lang w:val="fr-CA" w:eastAsia="en-CA"/>
        </w:rPr>
        <w:t xml:space="preserve"> présentée au nom de l’appelante, intimée dans l’appel incident, visant à faire proroger le délai pour signifier et déposer son avis de taxation des dépens et son mémoire de frais au 14 mai 2013;</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sz w:val="20"/>
          <w:szCs w:val="20"/>
          <w:lang w:val="fr-CA" w:eastAsia="en-CA"/>
        </w:rPr>
      </w:pPr>
      <w:r w:rsidRPr="00A07D8D">
        <w:rPr>
          <w:rFonts w:eastAsia="Times New Roman" w:cs="Times New Roman"/>
          <w:b/>
          <w:sz w:val="20"/>
          <w:szCs w:val="20"/>
          <w:lang w:val="fr-CA" w:eastAsia="en-CA"/>
        </w:rPr>
        <w:t>ET APRÈS EXAMEN</w:t>
      </w:r>
      <w:r w:rsidRPr="00A07D8D">
        <w:rPr>
          <w:rFonts w:eastAsia="Times New Roman" w:cs="Times New Roman"/>
          <w:sz w:val="20"/>
          <w:szCs w:val="20"/>
          <w:lang w:val="fr-CA" w:eastAsia="en-CA"/>
        </w:rPr>
        <w:t xml:space="preserve"> des documents déposés;</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jc w:val="both"/>
        <w:rPr>
          <w:rFonts w:eastAsia="Times New Roman" w:cs="Times New Roman"/>
          <w:b/>
          <w:sz w:val="20"/>
          <w:szCs w:val="20"/>
          <w:lang w:val="fr-CA" w:eastAsia="en-CA"/>
        </w:rPr>
      </w:pPr>
      <w:r w:rsidRPr="00A07D8D">
        <w:rPr>
          <w:rFonts w:eastAsia="Times New Roman" w:cs="Times New Roman"/>
          <w:b/>
          <w:sz w:val="20"/>
          <w:szCs w:val="20"/>
          <w:lang w:val="fr-CA" w:eastAsia="en-CA"/>
        </w:rPr>
        <w:t>IL EST ORDONNÉ CE QUI SUIT :</w:t>
      </w:r>
    </w:p>
    <w:p w:rsidR="00A07D8D" w:rsidRPr="00A07D8D" w:rsidRDefault="00A07D8D" w:rsidP="00A07D8D">
      <w:pPr>
        <w:spacing w:line="233" w:lineRule="auto"/>
        <w:jc w:val="both"/>
        <w:rPr>
          <w:rFonts w:eastAsia="Times New Roman" w:cs="Times New Roman"/>
          <w:sz w:val="20"/>
          <w:szCs w:val="20"/>
          <w:lang w:val="fr-CA" w:eastAsia="en-CA"/>
        </w:rPr>
      </w:pPr>
    </w:p>
    <w:p w:rsidR="00A07D8D" w:rsidRPr="00A07D8D" w:rsidRDefault="00A07D8D" w:rsidP="00A07D8D">
      <w:pPr>
        <w:spacing w:line="233" w:lineRule="auto"/>
        <w:ind w:firstLine="720"/>
        <w:jc w:val="both"/>
        <w:rPr>
          <w:rFonts w:eastAsia="Times New Roman" w:cs="Times New Roman"/>
          <w:sz w:val="20"/>
          <w:szCs w:val="20"/>
          <w:lang w:val="fr-CA" w:eastAsia="en-CA"/>
        </w:rPr>
      </w:pPr>
      <w:r w:rsidRPr="00A07D8D">
        <w:rPr>
          <w:rFonts w:eastAsia="Times New Roman" w:cs="Times New Roman"/>
          <w:sz w:val="20"/>
          <w:szCs w:val="20"/>
          <w:lang w:val="fr-CA" w:eastAsia="en-CA"/>
        </w:rPr>
        <w:t>La requête est accueillie.</w:t>
      </w:r>
    </w:p>
    <w:p w:rsidR="00A07D8D" w:rsidRPr="00A07D8D" w:rsidRDefault="00A07D8D" w:rsidP="00A07D8D">
      <w:pPr>
        <w:tabs>
          <w:tab w:val="left" w:pos="-1440"/>
          <w:tab w:val="left" w:pos="-720"/>
        </w:tabs>
        <w:jc w:val="both"/>
        <w:rPr>
          <w:rFonts w:eastAsia="Times New Roman" w:cs="Times New Roman"/>
          <w:sz w:val="20"/>
          <w:szCs w:val="20"/>
          <w:lang w:eastAsia="en-CA"/>
        </w:rPr>
      </w:pPr>
    </w:p>
    <w:p w:rsidR="00A07D8D" w:rsidRPr="00A07D8D" w:rsidRDefault="008138B5" w:rsidP="00A07D8D">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A07D8D" w:rsidRPr="00A07D8D" w:rsidRDefault="00A07D8D" w:rsidP="00A07D8D">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138B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9F046F" w:rsidP="003B3977">
            <w:pPr>
              <w:rPr>
                <w:sz w:val="20"/>
                <w:szCs w:val="20"/>
              </w:rPr>
            </w:pPr>
            <w:r>
              <w:rPr>
                <w:sz w:val="20"/>
                <w:szCs w:val="20"/>
              </w:rPr>
              <w:t>31</w:t>
            </w:r>
            <w:r w:rsidR="0010587F" w:rsidRPr="003B3977">
              <w:rPr>
                <w:sz w:val="20"/>
                <w:szCs w:val="20"/>
              </w:rPr>
              <w:t>.10.201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D</w:t>
            </w:r>
            <w:r w:rsidR="009F046F">
              <w:rPr>
                <w:b/>
                <w:sz w:val="20"/>
                <w:szCs w:val="20"/>
              </w:rPr>
              <w:t>avid M. Pott</w:t>
            </w:r>
            <w:r w:rsidRPr="003B3977">
              <w:rPr>
                <w:b/>
                <w:sz w:val="20"/>
                <w:szCs w:val="20"/>
              </w:rPr>
              <w:t>er</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41431">
              <w:rPr>
                <w:b/>
                <w:sz w:val="20"/>
                <w:szCs w:val="20"/>
              </w:rPr>
              <w:t>5</w:t>
            </w:r>
            <w:r w:rsidRPr="003B3977">
              <w:rPr>
                <w:b/>
                <w:sz w:val="20"/>
                <w:szCs w:val="20"/>
              </w:rPr>
              <w:t>4</w:t>
            </w:r>
            <w:r w:rsidR="00941431">
              <w:rPr>
                <w:b/>
                <w:sz w:val="20"/>
                <w:szCs w:val="20"/>
              </w:rPr>
              <w:t>22</w:t>
            </w:r>
            <w:r w:rsidRPr="003B3977">
              <w:rPr>
                <w:b/>
                <w:sz w:val="20"/>
                <w:szCs w:val="20"/>
              </w:rPr>
              <w:t>)</w:t>
            </w:r>
          </w:p>
          <w:p w:rsidR="0010587F" w:rsidRPr="003B3977" w:rsidRDefault="0010587F" w:rsidP="003B3977">
            <w:pPr>
              <w:rPr>
                <w:b/>
                <w:sz w:val="20"/>
                <w:szCs w:val="20"/>
              </w:rPr>
            </w:pPr>
          </w:p>
          <w:p w:rsidR="0010587F" w:rsidRPr="003B3977" w:rsidRDefault="00941431" w:rsidP="003B3977">
            <w:pPr>
              <w:rPr>
                <w:b/>
                <w:sz w:val="20"/>
                <w:szCs w:val="20"/>
              </w:rPr>
            </w:pPr>
            <w:r>
              <w:rPr>
                <w:b/>
                <w:sz w:val="20"/>
                <w:szCs w:val="20"/>
              </w:rPr>
              <w:t>N</w:t>
            </w:r>
            <w:r w:rsidR="0010587F" w:rsidRPr="003B3977">
              <w:rPr>
                <w:b/>
                <w:sz w:val="20"/>
                <w:szCs w:val="20"/>
              </w:rPr>
              <w:t>e</w:t>
            </w:r>
            <w:r>
              <w:rPr>
                <w:b/>
                <w:sz w:val="20"/>
                <w:szCs w:val="20"/>
              </w:rPr>
              <w:t>w Brunswick Legal Aid Services Commission, a statutory body co</w:t>
            </w:r>
            <w:r w:rsidR="0010587F" w:rsidRPr="003B3977">
              <w:rPr>
                <w:b/>
                <w:sz w:val="20"/>
                <w:szCs w:val="20"/>
              </w:rPr>
              <w:t>r</w:t>
            </w:r>
            <w:r>
              <w:rPr>
                <w:b/>
                <w:sz w:val="20"/>
                <w:szCs w:val="20"/>
              </w:rPr>
              <w:t>por</w:t>
            </w:r>
            <w:r w:rsidR="0010587F" w:rsidRPr="003B3977">
              <w:rPr>
                <w:b/>
                <w:sz w:val="20"/>
                <w:szCs w:val="20"/>
              </w:rPr>
              <w:t>a</w:t>
            </w:r>
            <w:r>
              <w:rPr>
                <w:b/>
                <w:sz w:val="20"/>
                <w:szCs w:val="20"/>
              </w:rPr>
              <w:t>t</w:t>
            </w:r>
            <w:r w:rsidR="0010587F" w:rsidRPr="003B3977">
              <w:rPr>
                <w:b/>
                <w:sz w:val="20"/>
                <w:szCs w:val="20"/>
              </w:rPr>
              <w:t>e</w:t>
            </w:r>
            <w:r>
              <w:rPr>
                <w:b/>
                <w:sz w:val="20"/>
                <w:szCs w:val="20"/>
              </w:rPr>
              <w:t xml:space="preserve"> pur</w:t>
            </w:r>
            <w:r w:rsidR="0010587F" w:rsidRPr="003B3977">
              <w:rPr>
                <w:b/>
                <w:sz w:val="20"/>
                <w:szCs w:val="20"/>
              </w:rPr>
              <w:t>s</w:t>
            </w:r>
            <w:r>
              <w:rPr>
                <w:b/>
                <w:sz w:val="20"/>
                <w:szCs w:val="20"/>
              </w:rPr>
              <w:t>uan</w:t>
            </w:r>
            <w:r w:rsidR="0010587F" w:rsidRPr="003B3977">
              <w:rPr>
                <w:b/>
                <w:sz w:val="20"/>
                <w:szCs w:val="20"/>
              </w:rPr>
              <w:t>t</w:t>
            </w:r>
            <w:r>
              <w:rPr>
                <w:b/>
                <w:sz w:val="20"/>
                <w:szCs w:val="20"/>
              </w:rPr>
              <w:t xml:space="preserve"> to a sp</w:t>
            </w:r>
            <w:r w:rsidR="0010587F" w:rsidRPr="003B3977">
              <w:rPr>
                <w:b/>
                <w:sz w:val="20"/>
                <w:szCs w:val="20"/>
              </w:rPr>
              <w:t>e</w:t>
            </w:r>
            <w:r>
              <w:rPr>
                <w:b/>
                <w:sz w:val="20"/>
                <w:szCs w:val="20"/>
              </w:rPr>
              <w:t>cial act of the Provinc</w:t>
            </w:r>
            <w:r w:rsidR="0010587F" w:rsidRPr="003B3977">
              <w:rPr>
                <w:b/>
                <w:sz w:val="20"/>
                <w:szCs w:val="20"/>
              </w:rPr>
              <w:t>e</w:t>
            </w:r>
            <w:r>
              <w:rPr>
                <w:b/>
                <w:sz w:val="20"/>
                <w:szCs w:val="20"/>
              </w:rPr>
              <w:t xml:space="preserve"> of N</w:t>
            </w:r>
            <w:r w:rsidR="0010587F" w:rsidRPr="003B3977">
              <w:rPr>
                <w:b/>
                <w:sz w:val="20"/>
                <w:szCs w:val="20"/>
              </w:rPr>
              <w:t>e</w:t>
            </w:r>
            <w:r>
              <w:rPr>
                <w:b/>
                <w:sz w:val="20"/>
                <w:szCs w:val="20"/>
              </w:rPr>
              <w:t>w Bru</w:t>
            </w:r>
            <w:r w:rsidR="0010587F" w:rsidRPr="003B3977">
              <w:rPr>
                <w:b/>
                <w:sz w:val="20"/>
                <w:szCs w:val="20"/>
              </w:rPr>
              <w:t>n</w:t>
            </w:r>
            <w:r>
              <w:rPr>
                <w:b/>
                <w:sz w:val="20"/>
                <w:szCs w:val="20"/>
              </w:rPr>
              <w:t>swick</w:t>
            </w:r>
            <w:r w:rsidR="0010587F" w:rsidRPr="003B3977">
              <w:rPr>
                <w:b/>
                <w:sz w:val="20"/>
                <w:szCs w:val="20"/>
              </w:rPr>
              <w:t xml:space="preserve"> (</w:t>
            </w:r>
            <w:r>
              <w:rPr>
                <w:b/>
                <w:sz w:val="20"/>
                <w:szCs w:val="20"/>
              </w:rPr>
              <w:t>N.B</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41431">
              <w:rPr>
                <w:sz w:val="20"/>
                <w:szCs w:val="20"/>
              </w:rPr>
              <w:t>By Leave</w:t>
            </w:r>
            <w:r w:rsidRPr="003B3977">
              <w:rPr>
                <w:sz w:val="20"/>
                <w:szCs w:val="20"/>
              </w:rPr>
              <w:t>)</w:t>
            </w:r>
          </w:p>
          <w:p w:rsidR="0010587F" w:rsidRPr="009F046F" w:rsidRDefault="0010587F" w:rsidP="003B3977">
            <w:pPr>
              <w:rPr>
                <w:sz w:val="20"/>
                <w:szCs w:val="20"/>
              </w:rPr>
            </w:pP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41431" w:rsidP="003B3977">
            <w:pPr>
              <w:rPr>
                <w:sz w:val="20"/>
                <w:szCs w:val="20"/>
              </w:rPr>
            </w:pPr>
            <w:r>
              <w:rPr>
                <w:sz w:val="20"/>
                <w:szCs w:val="20"/>
              </w:rPr>
              <w:t>06</w:t>
            </w:r>
            <w:r w:rsidR="0010587F" w:rsidRPr="003B3977">
              <w:rPr>
                <w:sz w:val="20"/>
                <w:szCs w:val="20"/>
              </w:rPr>
              <w:t>.1</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41431">
              <w:rPr>
                <w:b/>
                <w:sz w:val="20"/>
                <w:szCs w:val="20"/>
              </w:rPr>
              <w:t>560</w:t>
            </w:r>
            <w:r w:rsidRPr="003B3977">
              <w:rPr>
                <w:b/>
                <w:sz w:val="20"/>
                <w:szCs w:val="20"/>
              </w:rPr>
              <w:t>9)</w:t>
            </w:r>
          </w:p>
          <w:p w:rsidR="0010587F" w:rsidRPr="003B3977" w:rsidRDefault="0010587F" w:rsidP="003B3977">
            <w:pPr>
              <w:rPr>
                <w:b/>
                <w:sz w:val="20"/>
                <w:szCs w:val="20"/>
              </w:rPr>
            </w:pPr>
          </w:p>
          <w:p w:rsidR="0010587F" w:rsidRPr="009F046F" w:rsidRDefault="00941431" w:rsidP="003B3977">
            <w:pPr>
              <w:rPr>
                <w:b/>
                <w:sz w:val="20"/>
                <w:szCs w:val="20"/>
              </w:rPr>
            </w:pPr>
            <w:r>
              <w:rPr>
                <w:b/>
                <w:sz w:val="20"/>
                <w:szCs w:val="20"/>
              </w:rPr>
              <w:t>Jamie Kenneth Taylor</w:t>
            </w:r>
            <w:r w:rsidR="0010587F" w:rsidRPr="009F046F">
              <w:rPr>
                <w:b/>
                <w:sz w:val="20"/>
                <w:szCs w:val="20"/>
              </w:rPr>
              <w:t xml:space="preserve"> (</w:t>
            </w:r>
            <w:r>
              <w:rPr>
                <w:b/>
                <w:sz w:val="20"/>
                <w:szCs w:val="20"/>
              </w:rPr>
              <w:t>Al</w:t>
            </w:r>
            <w:r w:rsidR="0010587F" w:rsidRPr="009F046F">
              <w:rPr>
                <w:b/>
                <w:sz w:val="20"/>
                <w:szCs w:val="20"/>
              </w:rPr>
              <w:t>t</w:t>
            </w:r>
            <w:r>
              <w:rPr>
                <w:b/>
                <w:sz w:val="20"/>
                <w:szCs w:val="20"/>
              </w:rPr>
              <w:t>a</w:t>
            </w:r>
            <w:r w:rsidR="0010587F" w:rsidRPr="009F046F">
              <w:rPr>
                <w:b/>
                <w:sz w:val="20"/>
                <w:szCs w:val="20"/>
              </w:rPr>
              <w:t>.)</w:t>
            </w:r>
          </w:p>
          <w:p w:rsidR="0010587F" w:rsidRPr="009F046F"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8138B5" w:rsidP="003B3977">
            <w:pPr>
              <w:rPr>
                <w:sz w:val="20"/>
                <w:szCs w:val="20"/>
              </w:rPr>
            </w:pPr>
            <w:r>
              <w:rPr>
                <w:sz w:val="20"/>
                <w:szCs w:val="20"/>
                <w:lang w:val="fr-CA"/>
              </w:rPr>
              <w:pict>
                <v:rect id="_x0000_i106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941431" w:rsidRDefault="008138B5" w:rsidP="003B3977">
            <w:pPr>
              <w:rPr>
                <w:sz w:val="20"/>
                <w:szCs w:val="20"/>
                <w:lang w:val="fr-CA"/>
              </w:rPr>
            </w:pPr>
            <w:r>
              <w:rPr>
                <w:sz w:val="20"/>
                <w:szCs w:val="20"/>
                <w:lang w:val="fr-CA"/>
              </w:rPr>
              <w:pict>
                <v:rect id="_x0000_i1064" style="width:106.1pt;height:1pt" o:hrpct="500" o:hralign="center" o:hrstd="t" o:hrnoshade="t" o:hr="t" fillcolor="black [3213]" stroked="f"/>
              </w:pict>
            </w:r>
          </w:p>
          <w:p w:rsidR="00941431" w:rsidRDefault="00941431" w:rsidP="003B3977">
            <w:pPr>
              <w:rPr>
                <w:sz w:val="20"/>
                <w:szCs w:val="20"/>
              </w:rPr>
            </w:pPr>
          </w:p>
          <w:p w:rsidR="0010587F" w:rsidRPr="003B3977" w:rsidRDefault="00941431" w:rsidP="003B3977">
            <w:pPr>
              <w:rPr>
                <w:sz w:val="20"/>
                <w:szCs w:val="20"/>
              </w:rPr>
            </w:pPr>
            <w:r>
              <w:rPr>
                <w:sz w:val="20"/>
                <w:szCs w:val="20"/>
              </w:rPr>
              <w:t>08</w:t>
            </w:r>
            <w:r w:rsidR="0010587F" w:rsidRPr="003B3977">
              <w:rPr>
                <w:sz w:val="20"/>
                <w:szCs w:val="20"/>
              </w:rPr>
              <w:t>.1</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941431" w:rsidP="003B3977">
            <w:pPr>
              <w:rPr>
                <w:b/>
                <w:sz w:val="20"/>
                <w:szCs w:val="20"/>
              </w:rPr>
            </w:pPr>
            <w:r>
              <w:rPr>
                <w:b/>
                <w:sz w:val="20"/>
                <w:szCs w:val="20"/>
              </w:rPr>
              <w:t>Att</w:t>
            </w:r>
            <w:r w:rsidR="0010587F" w:rsidRPr="003B3977">
              <w:rPr>
                <w:b/>
                <w:sz w:val="20"/>
                <w:szCs w:val="20"/>
              </w:rPr>
              <w:t>orn</w:t>
            </w:r>
            <w:r>
              <w:rPr>
                <w:b/>
                <w:sz w:val="20"/>
                <w:szCs w:val="20"/>
              </w:rPr>
              <w:t>ey Gene</w:t>
            </w:r>
            <w:r w:rsidR="0010587F" w:rsidRPr="003B3977">
              <w:rPr>
                <w:b/>
                <w:sz w:val="20"/>
                <w:szCs w:val="20"/>
              </w:rPr>
              <w:t>ral</w:t>
            </w:r>
            <w:r>
              <w:rPr>
                <w:b/>
                <w:sz w:val="20"/>
                <w:szCs w:val="20"/>
              </w:rPr>
              <w:t xml:space="preserve"> of Canada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41431">
              <w:rPr>
                <w:b/>
                <w:sz w:val="20"/>
                <w:szCs w:val="20"/>
              </w:rPr>
              <w:t>5</w:t>
            </w:r>
            <w:r w:rsidRPr="003B3977">
              <w:rPr>
                <w:b/>
                <w:sz w:val="20"/>
                <w:szCs w:val="20"/>
              </w:rPr>
              <w:t>3</w:t>
            </w:r>
            <w:r w:rsidR="00941431">
              <w:rPr>
                <w:b/>
                <w:sz w:val="20"/>
                <w:szCs w:val="20"/>
              </w:rPr>
              <w:t>9</w:t>
            </w:r>
            <w:r w:rsidRPr="003B3977">
              <w:rPr>
                <w:b/>
                <w:sz w:val="20"/>
                <w:szCs w:val="20"/>
              </w:rPr>
              <w:t>9)</w:t>
            </w:r>
          </w:p>
          <w:p w:rsidR="0010587F" w:rsidRPr="003B3977" w:rsidRDefault="0010587F" w:rsidP="003B3977">
            <w:pPr>
              <w:rPr>
                <w:b/>
                <w:sz w:val="20"/>
                <w:szCs w:val="20"/>
              </w:rPr>
            </w:pPr>
          </w:p>
          <w:p w:rsidR="0010587F" w:rsidRPr="003B3977" w:rsidRDefault="00941431" w:rsidP="003B3977">
            <w:pPr>
              <w:rPr>
                <w:b/>
                <w:sz w:val="20"/>
                <w:szCs w:val="20"/>
              </w:rPr>
            </w:pPr>
            <w:r>
              <w:rPr>
                <w:b/>
                <w:sz w:val="20"/>
                <w:szCs w:val="20"/>
              </w:rPr>
              <w:t>Fed</w:t>
            </w:r>
            <w:r w:rsidR="0010587F" w:rsidRPr="003B3977">
              <w:rPr>
                <w:b/>
                <w:sz w:val="20"/>
                <w:szCs w:val="20"/>
              </w:rPr>
              <w:t>erat</w:t>
            </w:r>
            <w:r>
              <w:rPr>
                <w:b/>
                <w:sz w:val="20"/>
                <w:szCs w:val="20"/>
              </w:rPr>
              <w:t>ion of Law Socie</w:t>
            </w:r>
            <w:r w:rsidR="0010587F" w:rsidRPr="003B3977">
              <w:rPr>
                <w:b/>
                <w:sz w:val="20"/>
                <w:szCs w:val="20"/>
              </w:rPr>
              <w:t>t</w:t>
            </w:r>
            <w:r>
              <w:rPr>
                <w:b/>
                <w:sz w:val="20"/>
                <w:szCs w:val="20"/>
              </w:rPr>
              <w:t>i</w:t>
            </w:r>
            <w:r w:rsidR="0010587F" w:rsidRPr="003B3977">
              <w:rPr>
                <w:b/>
                <w:sz w:val="20"/>
                <w:szCs w:val="20"/>
              </w:rPr>
              <w:t>e</w:t>
            </w:r>
            <w:r>
              <w:rPr>
                <w:b/>
                <w:sz w:val="20"/>
                <w:szCs w:val="20"/>
              </w:rPr>
              <w:t>s</w:t>
            </w:r>
            <w:r w:rsidR="0010587F" w:rsidRPr="003B3977">
              <w:rPr>
                <w:b/>
                <w:sz w:val="20"/>
                <w:szCs w:val="20"/>
              </w:rPr>
              <w:t xml:space="preserve"> </w:t>
            </w:r>
            <w:r>
              <w:rPr>
                <w:b/>
                <w:sz w:val="20"/>
                <w:szCs w:val="20"/>
              </w:rPr>
              <w:t>of Ca</w:t>
            </w:r>
            <w:r w:rsidR="0010587F" w:rsidRPr="003B3977">
              <w:rPr>
                <w:b/>
                <w:sz w:val="20"/>
                <w:szCs w:val="20"/>
              </w:rPr>
              <w:t>n</w:t>
            </w:r>
            <w:r>
              <w:rPr>
                <w:b/>
                <w:sz w:val="20"/>
                <w:szCs w:val="20"/>
              </w:rPr>
              <w:t>ada</w:t>
            </w:r>
            <w:r w:rsidR="0010587F" w:rsidRPr="003B3977">
              <w:rPr>
                <w:b/>
                <w:sz w:val="20"/>
                <w:szCs w:val="20"/>
              </w:rPr>
              <w:t xml:space="preserve"> (</w:t>
            </w:r>
            <w:r>
              <w:rPr>
                <w:b/>
                <w:sz w:val="20"/>
                <w:szCs w:val="20"/>
              </w:rPr>
              <w:t>B</w:t>
            </w:r>
            <w:r w:rsidR="0010587F" w:rsidRPr="003B3977">
              <w:rPr>
                <w:b/>
                <w:sz w:val="20"/>
                <w:szCs w:val="20"/>
              </w:rPr>
              <w:t>.</w:t>
            </w:r>
            <w:r>
              <w:rPr>
                <w:b/>
                <w:sz w:val="20"/>
                <w:szCs w:val="20"/>
              </w:rPr>
              <w:t>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41431">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138B5" w:rsidP="003B3977">
            <w:pPr>
              <w:rPr>
                <w:sz w:val="20"/>
                <w:szCs w:val="20"/>
              </w:rPr>
            </w:pPr>
            <w:r>
              <w:rPr>
                <w:sz w:val="20"/>
                <w:szCs w:val="20"/>
                <w:lang w:val="fr-CA"/>
              </w:rPr>
              <w:pict>
                <v:rect id="_x0000_i106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41431" w:rsidP="003B3977">
            <w:pPr>
              <w:rPr>
                <w:sz w:val="20"/>
                <w:szCs w:val="20"/>
              </w:rPr>
            </w:pPr>
            <w:r>
              <w:rPr>
                <w:sz w:val="20"/>
                <w:szCs w:val="20"/>
              </w:rPr>
              <w:t>08</w:t>
            </w:r>
            <w:r w:rsidR="0010587F" w:rsidRPr="003B3977">
              <w:rPr>
                <w:sz w:val="20"/>
                <w:szCs w:val="20"/>
              </w:rPr>
              <w:t>.1</w:t>
            </w:r>
            <w:r>
              <w:rPr>
                <w:sz w:val="20"/>
                <w:szCs w:val="20"/>
              </w:rPr>
              <w:t>1</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941431" w:rsidP="003B3977">
            <w:pPr>
              <w:rPr>
                <w:b/>
                <w:sz w:val="20"/>
                <w:szCs w:val="20"/>
              </w:rPr>
            </w:pPr>
            <w:r>
              <w:rPr>
                <w:b/>
                <w:sz w:val="20"/>
                <w:szCs w:val="20"/>
              </w:rPr>
              <w:t>Saskatchewan Federation of Labour (in its own right and on behalf of the unions and workers in the Province of Saskatchewan</w:t>
            </w:r>
            <w:r w:rsidR="00A91F22">
              <w:rPr>
                <w:b/>
                <w:sz w:val="20"/>
                <w:szCs w:val="20"/>
              </w:rPr>
              <w:t>)</w:t>
            </w:r>
            <w:r>
              <w:rPr>
                <w:b/>
                <w:sz w:val="20"/>
                <w:szCs w:val="20"/>
              </w:rPr>
              <w:t xml:space="preserve"> et al.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41431">
              <w:rPr>
                <w:b/>
                <w:sz w:val="20"/>
                <w:szCs w:val="20"/>
              </w:rPr>
              <w:t>542</w:t>
            </w:r>
            <w:r w:rsidRPr="003B3977">
              <w:rPr>
                <w:b/>
                <w:sz w:val="20"/>
                <w:szCs w:val="20"/>
              </w:rPr>
              <w:t>3)</w:t>
            </w:r>
          </w:p>
          <w:p w:rsidR="0010587F" w:rsidRPr="003B3977" w:rsidRDefault="0010587F" w:rsidP="003B3977">
            <w:pPr>
              <w:rPr>
                <w:b/>
                <w:sz w:val="20"/>
                <w:szCs w:val="20"/>
              </w:rPr>
            </w:pPr>
          </w:p>
          <w:p w:rsidR="0010587F" w:rsidRPr="003B3977" w:rsidRDefault="00941431" w:rsidP="003B3977">
            <w:pPr>
              <w:rPr>
                <w:b/>
                <w:sz w:val="20"/>
                <w:szCs w:val="20"/>
              </w:rPr>
            </w:pPr>
            <w:r w:rsidRPr="003B3977">
              <w:rPr>
                <w:b/>
                <w:sz w:val="20"/>
                <w:szCs w:val="20"/>
              </w:rPr>
              <w:t>Her Majesty the Queen</w:t>
            </w:r>
            <w:r>
              <w:rPr>
                <w:b/>
                <w:sz w:val="20"/>
                <w:szCs w:val="20"/>
              </w:rPr>
              <w:t xml:space="preserve">, in </w:t>
            </w:r>
            <w:r w:rsidR="0010587F" w:rsidRPr="003B3977">
              <w:rPr>
                <w:b/>
                <w:sz w:val="20"/>
                <w:szCs w:val="20"/>
              </w:rPr>
              <w:t>R</w:t>
            </w:r>
            <w:r>
              <w:rPr>
                <w:b/>
                <w:sz w:val="20"/>
                <w:szCs w:val="20"/>
              </w:rPr>
              <w:t>ight of the Province of Saskatchewan</w:t>
            </w:r>
            <w:r w:rsidR="0010587F" w:rsidRPr="003B3977">
              <w:rPr>
                <w:b/>
                <w:sz w:val="20"/>
                <w:szCs w:val="20"/>
              </w:rPr>
              <w:t xml:space="preserve"> (</w:t>
            </w:r>
            <w:r>
              <w:rPr>
                <w:b/>
                <w:sz w:val="20"/>
                <w:szCs w:val="20"/>
              </w:rPr>
              <w:t>Sask</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8138B5" w:rsidP="003B3977">
            <w:pPr>
              <w:rPr>
                <w:sz w:val="20"/>
                <w:szCs w:val="20"/>
              </w:rPr>
            </w:pPr>
            <w:r>
              <w:rPr>
                <w:sz w:val="20"/>
                <w:szCs w:val="20"/>
                <w:lang w:val="fr-CA"/>
              </w:rPr>
              <w:pict>
                <v:rect id="_x0000_i1066"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138B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07D8D" w:rsidP="00732DB7">
      <w:pPr>
        <w:widowControl w:val="0"/>
        <w:rPr>
          <w:sz w:val="20"/>
          <w:szCs w:val="20"/>
        </w:rPr>
      </w:pPr>
      <w:r>
        <w:rPr>
          <w:sz w:val="20"/>
          <w:szCs w:val="20"/>
        </w:rPr>
        <w:t>08</w:t>
      </w:r>
      <w:r w:rsidR="00732DB7" w:rsidRPr="00C50A5C">
        <w:rPr>
          <w:sz w:val="20"/>
          <w:szCs w:val="20"/>
        </w:rPr>
        <w:t>.</w:t>
      </w:r>
      <w:r>
        <w:rPr>
          <w:sz w:val="20"/>
          <w:szCs w:val="20"/>
        </w:rPr>
        <w:t>11</w:t>
      </w:r>
      <w:r w:rsidR="00732DB7" w:rsidRPr="00C50A5C">
        <w:rPr>
          <w:sz w:val="20"/>
          <w:szCs w:val="20"/>
        </w:rPr>
        <w:t>.201</w:t>
      </w:r>
      <w:r>
        <w:rPr>
          <w:sz w:val="20"/>
          <w:szCs w:val="20"/>
        </w:rPr>
        <w:t>3</w:t>
      </w:r>
    </w:p>
    <w:p w:rsidR="00732DB7" w:rsidRDefault="00732DB7" w:rsidP="00732DB7">
      <w:pPr>
        <w:widowControl w:val="0"/>
        <w:rPr>
          <w:sz w:val="20"/>
          <w:szCs w:val="20"/>
        </w:rPr>
      </w:pPr>
    </w:p>
    <w:p w:rsidR="0057263E" w:rsidRPr="004475D0" w:rsidRDefault="0057263E" w:rsidP="0057263E">
      <w:pPr>
        <w:widowControl w:val="0"/>
        <w:ind w:left="720" w:hanging="720"/>
        <w:rPr>
          <w:sz w:val="20"/>
          <w:szCs w:val="20"/>
          <w:u w:val="single"/>
        </w:rPr>
      </w:pPr>
      <w:r w:rsidRPr="004475D0">
        <w:rPr>
          <w:sz w:val="20"/>
          <w:szCs w:val="20"/>
        </w:rPr>
        <w:t xml:space="preserve">Coram: </w:t>
      </w:r>
      <w:r w:rsidRPr="004475D0">
        <w:rPr>
          <w:sz w:val="20"/>
          <w:szCs w:val="20"/>
        </w:rPr>
        <w:tab/>
      </w:r>
      <w:r w:rsidRPr="004475D0">
        <w:rPr>
          <w:sz w:val="20"/>
          <w:szCs w:val="20"/>
          <w:u w:val="single"/>
        </w:rPr>
        <w:t>McLachlin C.J. and Abella, Rothstein, Cromwell, Moldaver,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C50A5C" w:rsidTr="00697C62">
        <w:tc>
          <w:tcPr>
            <w:tcW w:w="4380" w:type="dxa"/>
            <w:tcMar>
              <w:left w:w="0" w:type="dxa"/>
              <w:right w:w="0" w:type="dxa"/>
            </w:tcMar>
          </w:tcPr>
          <w:p w:rsidR="00732DB7" w:rsidRPr="00C50A5C" w:rsidRDefault="0057263E" w:rsidP="00C1697B">
            <w:pPr>
              <w:widowControl w:val="0"/>
              <w:jc w:val="both"/>
              <w:rPr>
                <w:b/>
                <w:sz w:val="20"/>
                <w:szCs w:val="20"/>
              </w:rPr>
            </w:pPr>
            <w:r w:rsidRPr="004475D0">
              <w:rPr>
                <w:b/>
                <w:sz w:val="20"/>
                <w:szCs w:val="20"/>
              </w:rPr>
              <w:t>Craig Jaret Hutchinson</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 xml:space="preserve">v. </w:t>
            </w:r>
            <w:r w:rsidR="0057263E" w:rsidRPr="004475D0">
              <w:rPr>
                <w:sz w:val="20"/>
                <w:szCs w:val="20"/>
              </w:rPr>
              <w:t>(</w:t>
            </w:r>
            <w:hyperlink r:id="rId58" w:history="1">
              <w:r w:rsidR="0057263E" w:rsidRPr="004475D0">
                <w:rPr>
                  <w:rStyle w:val="Hyperlink"/>
                  <w:sz w:val="20"/>
                  <w:szCs w:val="20"/>
                </w:rPr>
                <w:t>35176</w:t>
              </w:r>
            </w:hyperlink>
            <w:r w:rsidR="0057263E" w:rsidRPr="004475D0">
              <w:rPr>
                <w:sz w:val="20"/>
                <w:szCs w:val="20"/>
              </w:rPr>
              <w:t>)</w:t>
            </w:r>
          </w:p>
          <w:p w:rsidR="00732DB7" w:rsidRPr="00C50A5C" w:rsidRDefault="00732DB7" w:rsidP="00C1697B">
            <w:pPr>
              <w:widowControl w:val="0"/>
              <w:jc w:val="both"/>
              <w:rPr>
                <w:b/>
                <w:sz w:val="20"/>
                <w:szCs w:val="20"/>
              </w:rPr>
            </w:pPr>
          </w:p>
          <w:p w:rsidR="00732DB7" w:rsidRPr="0057263E" w:rsidRDefault="0057263E" w:rsidP="0057263E">
            <w:pPr>
              <w:widowControl w:val="0"/>
              <w:jc w:val="both"/>
              <w:rPr>
                <w:sz w:val="20"/>
                <w:szCs w:val="20"/>
              </w:rPr>
            </w:pPr>
            <w:r w:rsidRPr="004475D0">
              <w:rPr>
                <w:b/>
                <w:sz w:val="20"/>
                <w:szCs w:val="20"/>
              </w:rPr>
              <w:t xml:space="preserve">Her Majesty the Queen </w:t>
            </w:r>
            <w:r w:rsidRPr="0057263E">
              <w:rPr>
                <w:b/>
                <w:sz w:val="20"/>
                <w:szCs w:val="20"/>
              </w:rPr>
              <w:t>(N.S.) (Criminal) (As</w:t>
            </w:r>
            <w:r>
              <w:rPr>
                <w:b/>
                <w:sz w:val="20"/>
                <w:szCs w:val="20"/>
              </w:rPr>
              <w:t> </w:t>
            </w:r>
            <w:r w:rsidRPr="0057263E">
              <w:rPr>
                <w:b/>
                <w:sz w:val="20"/>
                <w:szCs w:val="20"/>
              </w:rPr>
              <w:t>of</w:t>
            </w:r>
            <w:r>
              <w:rPr>
                <w:b/>
                <w:sz w:val="20"/>
                <w:szCs w:val="20"/>
              </w:rPr>
              <w:t> </w:t>
            </w:r>
            <w:r w:rsidRPr="0057263E">
              <w:rPr>
                <w:b/>
                <w:sz w:val="20"/>
                <w:szCs w:val="20"/>
              </w:rPr>
              <w:t>Right)</w:t>
            </w:r>
            <w:r w:rsidRPr="004475D0">
              <w:rPr>
                <w:sz w:val="20"/>
                <w:szCs w:val="20"/>
              </w:rPr>
              <w:t xml:space="preserve"> </w:t>
            </w:r>
          </w:p>
        </w:tc>
        <w:tc>
          <w:tcPr>
            <w:tcW w:w="720" w:type="dxa"/>
            <w:tcMar>
              <w:left w:w="0" w:type="dxa"/>
              <w:right w:w="0" w:type="dxa"/>
            </w:tcMar>
          </w:tcPr>
          <w:p w:rsidR="00732DB7" w:rsidRPr="0057263E" w:rsidRDefault="00732DB7" w:rsidP="00732DB7">
            <w:pPr>
              <w:widowControl w:val="0"/>
              <w:jc w:val="center"/>
              <w:rPr>
                <w:sz w:val="20"/>
                <w:szCs w:val="20"/>
              </w:rPr>
            </w:pPr>
          </w:p>
        </w:tc>
        <w:tc>
          <w:tcPr>
            <w:tcW w:w="4380" w:type="dxa"/>
            <w:tcMar>
              <w:left w:w="0" w:type="dxa"/>
              <w:right w:w="0" w:type="dxa"/>
            </w:tcMar>
          </w:tcPr>
          <w:p w:rsidR="00B14309" w:rsidRPr="00AA3206" w:rsidRDefault="00B14309" w:rsidP="00B14309">
            <w:pPr>
              <w:tabs>
                <w:tab w:val="left" w:pos="-2970"/>
              </w:tabs>
              <w:jc w:val="both"/>
              <w:rPr>
                <w:sz w:val="20"/>
                <w:szCs w:val="20"/>
                <w:lang w:val="en-US"/>
              </w:rPr>
            </w:pPr>
            <w:r w:rsidRPr="00AA3206">
              <w:rPr>
                <w:sz w:val="20"/>
                <w:szCs w:val="20"/>
                <w:lang w:val="en-US"/>
              </w:rPr>
              <w:t>Luke A. Craggs</w:t>
            </w:r>
            <w:r>
              <w:rPr>
                <w:sz w:val="20"/>
                <w:szCs w:val="20"/>
                <w:lang w:val="en-US"/>
              </w:rPr>
              <w:t xml:space="preserve"> f</w:t>
            </w:r>
            <w:r w:rsidRPr="00AA3206">
              <w:rPr>
                <w:sz w:val="20"/>
                <w:szCs w:val="20"/>
                <w:lang w:val="en-US"/>
              </w:rPr>
              <w:t xml:space="preserve">or the </w:t>
            </w:r>
            <w:r>
              <w:rPr>
                <w:sz w:val="20"/>
                <w:szCs w:val="20"/>
                <w:lang w:val="en-US"/>
              </w:rPr>
              <w:t>a</w:t>
            </w:r>
            <w:r w:rsidRPr="00AA3206">
              <w:rPr>
                <w:sz w:val="20"/>
                <w:szCs w:val="20"/>
                <w:lang w:val="en-US"/>
              </w:rPr>
              <w:t>ppellant</w:t>
            </w:r>
            <w:r>
              <w:rPr>
                <w:sz w:val="20"/>
                <w:szCs w:val="20"/>
                <w:lang w:val="en-US"/>
              </w:rPr>
              <w:t>.</w:t>
            </w:r>
          </w:p>
          <w:p w:rsidR="00B14309" w:rsidRPr="00AA3206" w:rsidRDefault="00B14309" w:rsidP="00B14309">
            <w:pPr>
              <w:tabs>
                <w:tab w:val="left" w:pos="-2970"/>
              </w:tabs>
              <w:jc w:val="both"/>
              <w:rPr>
                <w:sz w:val="20"/>
                <w:szCs w:val="20"/>
                <w:lang w:val="en-US"/>
              </w:rPr>
            </w:pPr>
          </w:p>
          <w:p w:rsidR="00B14309" w:rsidRPr="00AA3206" w:rsidRDefault="00B14309" w:rsidP="00B14309">
            <w:pPr>
              <w:tabs>
                <w:tab w:val="left" w:pos="-2970"/>
              </w:tabs>
              <w:jc w:val="both"/>
              <w:rPr>
                <w:sz w:val="20"/>
                <w:szCs w:val="20"/>
              </w:rPr>
            </w:pPr>
            <w:r w:rsidRPr="00AA3206">
              <w:rPr>
                <w:sz w:val="20"/>
                <w:szCs w:val="20"/>
                <w:lang w:val="en-US"/>
              </w:rPr>
              <w:t>Jonathan A. Shime</w:t>
            </w:r>
            <w:r>
              <w:rPr>
                <w:sz w:val="20"/>
                <w:szCs w:val="20"/>
                <w:lang w:val="en-US"/>
              </w:rPr>
              <w:t xml:space="preserve">, </w:t>
            </w:r>
            <w:r w:rsidRPr="00AA3206">
              <w:rPr>
                <w:sz w:val="20"/>
                <w:szCs w:val="20"/>
                <w:lang w:val="en-US"/>
              </w:rPr>
              <w:t>Wayne Cunningham</w:t>
            </w:r>
            <w:r>
              <w:rPr>
                <w:sz w:val="20"/>
                <w:szCs w:val="20"/>
                <w:lang w:val="en-US"/>
              </w:rPr>
              <w:t xml:space="preserve"> and </w:t>
            </w:r>
            <w:r w:rsidRPr="00AA3206">
              <w:rPr>
                <w:sz w:val="20"/>
                <w:szCs w:val="20"/>
                <w:lang w:val="en-US"/>
              </w:rPr>
              <w:t>Ryan Peck</w:t>
            </w:r>
            <w:r>
              <w:rPr>
                <w:sz w:val="20"/>
                <w:szCs w:val="20"/>
                <w:lang w:val="en-US"/>
              </w:rPr>
              <w:t xml:space="preserve"> f</w:t>
            </w:r>
            <w:r w:rsidRPr="00AA3206">
              <w:rPr>
                <w:sz w:val="20"/>
                <w:szCs w:val="20"/>
                <w:lang w:val="en-US"/>
              </w:rPr>
              <w:t xml:space="preserve">or the </w:t>
            </w:r>
            <w:r>
              <w:rPr>
                <w:sz w:val="20"/>
                <w:szCs w:val="20"/>
                <w:lang w:val="en-US"/>
              </w:rPr>
              <w:t>i</w:t>
            </w:r>
            <w:r w:rsidRPr="00AA3206">
              <w:rPr>
                <w:sz w:val="20"/>
                <w:szCs w:val="20"/>
                <w:lang w:val="en-US"/>
              </w:rPr>
              <w:t>nterveners</w:t>
            </w:r>
            <w:r>
              <w:rPr>
                <w:sz w:val="20"/>
                <w:szCs w:val="20"/>
                <w:lang w:val="en-US"/>
              </w:rPr>
              <w:t xml:space="preserve"> </w:t>
            </w:r>
            <w:r w:rsidRPr="00AA3206">
              <w:rPr>
                <w:sz w:val="20"/>
                <w:szCs w:val="20"/>
              </w:rPr>
              <w:t>Canadian HIV/AIDS Legal Network et al.</w:t>
            </w:r>
          </w:p>
          <w:p w:rsidR="00B14309" w:rsidRPr="00AA3206" w:rsidRDefault="00B14309" w:rsidP="00B14309">
            <w:pPr>
              <w:tabs>
                <w:tab w:val="left" w:pos="-2970"/>
              </w:tabs>
              <w:jc w:val="both"/>
              <w:rPr>
                <w:sz w:val="20"/>
                <w:szCs w:val="20"/>
                <w:lang w:val="en-US"/>
              </w:rPr>
            </w:pPr>
          </w:p>
          <w:p w:rsidR="00732DB7" w:rsidRPr="00C50A5C" w:rsidRDefault="00B14309" w:rsidP="00635CC3">
            <w:pPr>
              <w:widowControl w:val="0"/>
              <w:jc w:val="both"/>
              <w:rPr>
                <w:sz w:val="20"/>
                <w:szCs w:val="20"/>
              </w:rPr>
            </w:pPr>
            <w:r w:rsidRPr="00AA3206">
              <w:rPr>
                <w:sz w:val="20"/>
                <w:szCs w:val="20"/>
              </w:rPr>
              <w:t xml:space="preserve">James A. Gumpert, Q.C. and </w:t>
            </w:r>
            <w:r w:rsidRPr="00AA3206">
              <w:rPr>
                <w:sz w:val="20"/>
                <w:szCs w:val="20"/>
                <w:lang w:val="en-US"/>
              </w:rPr>
              <w:t>Timothy O’Leary</w:t>
            </w:r>
            <w:r>
              <w:rPr>
                <w:sz w:val="20"/>
                <w:szCs w:val="20"/>
                <w:lang w:val="en-US"/>
              </w:rPr>
              <w:t xml:space="preserve"> f</w:t>
            </w:r>
            <w:r w:rsidRPr="00AA3206">
              <w:rPr>
                <w:sz w:val="20"/>
                <w:szCs w:val="20"/>
                <w:lang w:val="en-US"/>
              </w:rPr>
              <w:t xml:space="preserve">or the </w:t>
            </w:r>
            <w:r>
              <w:rPr>
                <w:sz w:val="20"/>
                <w:szCs w:val="20"/>
                <w:lang w:val="en-US"/>
              </w:rPr>
              <w:t>r</w:t>
            </w:r>
            <w:r w:rsidRPr="00AA3206">
              <w:rPr>
                <w:sz w:val="20"/>
                <w:szCs w:val="20"/>
                <w:lang w:val="en-US"/>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8138B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Default="00C1697B" w:rsidP="00C1697B">
            <w:pPr>
              <w:widowControl w:val="0"/>
              <w:jc w:val="both"/>
              <w:rPr>
                <w:b/>
                <w:sz w:val="20"/>
                <w:szCs w:val="20"/>
              </w:rPr>
            </w:pPr>
          </w:p>
          <w:p w:rsidR="00B14309" w:rsidRPr="008D3663" w:rsidRDefault="00B14309" w:rsidP="00B14309">
            <w:pPr>
              <w:widowControl w:val="0"/>
              <w:jc w:val="both"/>
              <w:rPr>
                <w:smallCaps/>
                <w:sz w:val="20"/>
                <w:szCs w:val="20"/>
              </w:rPr>
            </w:pPr>
            <w:r w:rsidRPr="008D3663">
              <w:rPr>
                <w:smallCaps/>
                <w:sz w:val="20"/>
                <w:szCs w:val="20"/>
              </w:rPr>
              <w:t xml:space="preserve">(Publication </w:t>
            </w:r>
            <w:r>
              <w:rPr>
                <w:smallCaps/>
                <w:sz w:val="20"/>
              </w:rPr>
              <w:t>B</w:t>
            </w:r>
            <w:r w:rsidRPr="008D3663">
              <w:rPr>
                <w:smallCaps/>
                <w:sz w:val="20"/>
                <w:szCs w:val="20"/>
              </w:rPr>
              <w:t xml:space="preserve">an in </w:t>
            </w:r>
            <w:r>
              <w:rPr>
                <w:smallCaps/>
                <w:sz w:val="20"/>
              </w:rPr>
              <w:t>C</w:t>
            </w:r>
            <w:r w:rsidRPr="008D3663">
              <w:rPr>
                <w:smallCaps/>
                <w:sz w:val="20"/>
                <w:szCs w:val="20"/>
              </w:rPr>
              <w:t>ase)</w:t>
            </w:r>
          </w:p>
          <w:p w:rsidR="00B14309" w:rsidRDefault="00B14309" w:rsidP="00B14309">
            <w:pPr>
              <w:widowControl w:val="0"/>
              <w:jc w:val="both"/>
              <w:rPr>
                <w:sz w:val="20"/>
                <w:szCs w:val="20"/>
              </w:rPr>
            </w:pPr>
          </w:p>
          <w:p w:rsidR="00B14309" w:rsidRPr="008D3663" w:rsidRDefault="00B14309" w:rsidP="00B14309">
            <w:pPr>
              <w:widowControl w:val="0"/>
              <w:jc w:val="both"/>
              <w:rPr>
                <w:sz w:val="20"/>
                <w:szCs w:val="20"/>
              </w:rPr>
            </w:pPr>
          </w:p>
          <w:p w:rsidR="00A07D8D" w:rsidRPr="00C1697B" w:rsidRDefault="00B14309" w:rsidP="00B14309">
            <w:pPr>
              <w:widowControl w:val="0"/>
              <w:jc w:val="both"/>
              <w:rPr>
                <w:b/>
                <w:sz w:val="20"/>
                <w:szCs w:val="20"/>
              </w:rPr>
            </w:pPr>
            <w:r w:rsidRPr="008D3663">
              <w:rPr>
                <w:sz w:val="20"/>
                <w:szCs w:val="20"/>
              </w:rPr>
              <w:t xml:space="preserve">Criminal law </w:t>
            </w:r>
            <w:r w:rsidRPr="008D3663">
              <w:rPr>
                <w:sz w:val="20"/>
                <w:szCs w:val="20"/>
              </w:rPr>
              <w:noBreakHyphen/>
              <w:t xml:space="preserve"> Sexual assault </w:t>
            </w:r>
            <w:r w:rsidRPr="008D3663">
              <w:rPr>
                <w:sz w:val="20"/>
                <w:szCs w:val="20"/>
              </w:rPr>
              <w:noBreakHyphen/>
              <w:t xml:space="preserve"> Consent </w:t>
            </w:r>
            <w:r w:rsidRPr="008D3663">
              <w:rPr>
                <w:sz w:val="20"/>
                <w:szCs w:val="20"/>
              </w:rPr>
              <w:noBreakHyphen/>
              <w:t xml:space="preserve"> Meaning of “sexual activity in question” in s. 273.1(1) of </w:t>
            </w:r>
            <w:r w:rsidRPr="008D3663">
              <w:rPr>
                <w:i/>
                <w:sz w:val="20"/>
                <w:szCs w:val="20"/>
              </w:rPr>
              <w:t>Criminal Code</w:t>
            </w:r>
            <w:r w:rsidRPr="008D3663">
              <w:rPr>
                <w:sz w:val="20"/>
                <w:szCs w:val="20"/>
              </w:rPr>
              <w:t xml:space="preserve"> </w:t>
            </w:r>
            <w:r w:rsidRPr="008D3663">
              <w:rPr>
                <w:sz w:val="20"/>
                <w:szCs w:val="20"/>
              </w:rPr>
              <w:noBreakHyphen/>
              <w:t xml:space="preserve"> Whether the Court of Appeal erred in law by incorrectly interpreting the definition of consent in s. 273.1 of the </w:t>
            </w:r>
            <w:r w:rsidRPr="008D3663">
              <w:rPr>
                <w:i/>
                <w:sz w:val="20"/>
                <w:szCs w:val="20"/>
              </w:rPr>
              <w:t>Criminal Code</w:t>
            </w:r>
            <w:r w:rsidRPr="008D3663">
              <w:rPr>
                <w:sz w:val="20"/>
                <w:szCs w:val="20"/>
              </w:rPr>
              <w:t>, R.S.C. 1985, c. C</w:t>
            </w:r>
            <w:r w:rsidRPr="008D3663">
              <w:rPr>
                <w:sz w:val="20"/>
                <w:szCs w:val="20"/>
              </w:rPr>
              <w:noBreakHyphen/>
              <w:t xml:space="preserve">46, and the circumstances in which consent is vitiated, as set out in s. 265(3) of the </w:t>
            </w:r>
            <w:r w:rsidRPr="008D3663">
              <w:rPr>
                <w:i/>
                <w:sz w:val="20"/>
                <w:szCs w:val="20"/>
              </w:rPr>
              <w:t>Criminal Code</w:t>
            </w:r>
            <w:r w:rsidRPr="008D3663">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B14309" w:rsidRPr="00E83E54" w:rsidRDefault="00B14309" w:rsidP="00B14309">
            <w:pPr>
              <w:widowControl w:val="0"/>
              <w:jc w:val="both"/>
              <w:rPr>
                <w:smallCaps/>
                <w:sz w:val="20"/>
                <w:szCs w:val="20"/>
                <w:lang w:val="fr-CA"/>
              </w:rPr>
            </w:pPr>
            <w:r w:rsidRPr="00E83E54">
              <w:rPr>
                <w:smallCaps/>
                <w:sz w:val="20"/>
                <w:szCs w:val="20"/>
                <w:lang w:val="fr-CA"/>
              </w:rPr>
              <w:t>(Ordonnance de non</w:t>
            </w:r>
            <w:r w:rsidRPr="00E83E54">
              <w:rPr>
                <w:smallCaps/>
                <w:sz w:val="20"/>
                <w:szCs w:val="20"/>
                <w:lang w:val="fr-CA"/>
              </w:rPr>
              <w:noBreakHyphen/>
              <w:t>publication dans le dossier)</w:t>
            </w:r>
          </w:p>
          <w:p w:rsidR="00B14309" w:rsidRPr="00E83E54" w:rsidRDefault="00B14309" w:rsidP="00B14309">
            <w:pPr>
              <w:widowControl w:val="0"/>
              <w:jc w:val="both"/>
              <w:rPr>
                <w:sz w:val="20"/>
                <w:szCs w:val="20"/>
                <w:lang w:val="fr-CA"/>
              </w:rPr>
            </w:pPr>
          </w:p>
          <w:p w:rsidR="00C1697B" w:rsidRPr="00C1697B" w:rsidRDefault="00B14309" w:rsidP="00B14309">
            <w:pPr>
              <w:widowControl w:val="0"/>
              <w:jc w:val="both"/>
              <w:rPr>
                <w:sz w:val="20"/>
                <w:szCs w:val="20"/>
                <w:lang w:val="fr-CA"/>
              </w:rPr>
            </w:pPr>
            <w:r w:rsidRPr="00E83E54">
              <w:rPr>
                <w:sz w:val="20"/>
                <w:szCs w:val="20"/>
                <w:lang w:val="fr-CA"/>
              </w:rPr>
              <w:t xml:space="preserve">Droit criminel </w:t>
            </w:r>
            <w:r w:rsidRPr="00E83E54">
              <w:rPr>
                <w:sz w:val="20"/>
                <w:szCs w:val="20"/>
                <w:lang w:val="fr-CA"/>
              </w:rPr>
              <w:noBreakHyphen/>
              <w:t xml:space="preserve"> Agression sexuelle </w:t>
            </w:r>
            <w:r w:rsidRPr="00E83E54">
              <w:rPr>
                <w:sz w:val="20"/>
                <w:szCs w:val="20"/>
                <w:lang w:val="fr-CA"/>
              </w:rPr>
              <w:noBreakHyphen/>
              <w:t xml:space="preserve"> Consentement </w:t>
            </w:r>
            <w:r w:rsidRPr="00E83E54">
              <w:rPr>
                <w:sz w:val="20"/>
                <w:szCs w:val="20"/>
                <w:lang w:val="fr-CA"/>
              </w:rPr>
              <w:noBreakHyphen/>
              <w:t xml:space="preserve"> Sens des mots « activité sexuelle » au par. 273.1(1) du </w:t>
            </w:r>
            <w:r w:rsidRPr="00E83E54">
              <w:rPr>
                <w:i/>
                <w:sz w:val="20"/>
                <w:szCs w:val="20"/>
                <w:lang w:val="fr-CA"/>
              </w:rPr>
              <w:t>Code criminel</w:t>
            </w:r>
            <w:r w:rsidRPr="00E83E54">
              <w:rPr>
                <w:sz w:val="20"/>
                <w:szCs w:val="20"/>
                <w:lang w:val="fr-CA"/>
              </w:rPr>
              <w:t xml:space="preserve"> </w:t>
            </w:r>
            <w:r w:rsidRPr="00E83E54">
              <w:rPr>
                <w:sz w:val="20"/>
                <w:szCs w:val="20"/>
                <w:lang w:val="fr-CA"/>
              </w:rPr>
              <w:noBreakHyphen/>
              <w:t xml:space="preserve"> La Cour d’appel a</w:t>
            </w:r>
            <w:r w:rsidRPr="00E83E54">
              <w:rPr>
                <w:sz w:val="20"/>
                <w:szCs w:val="20"/>
                <w:lang w:val="fr-CA"/>
              </w:rPr>
              <w:noBreakHyphen/>
              <w:t>t</w:t>
            </w:r>
            <w:r w:rsidRPr="00E83E54">
              <w:rPr>
                <w:sz w:val="20"/>
                <w:szCs w:val="20"/>
                <w:lang w:val="fr-CA"/>
              </w:rPr>
              <w:noBreakHyphen/>
              <w:t xml:space="preserve">elle commis une erreur de droit en interprétant mal la définition du consentement à l’art. 273.1 du </w:t>
            </w:r>
            <w:r w:rsidRPr="00E83E54">
              <w:rPr>
                <w:i/>
                <w:sz w:val="20"/>
                <w:szCs w:val="20"/>
                <w:lang w:val="fr-CA"/>
              </w:rPr>
              <w:t>Code criminel</w:t>
            </w:r>
            <w:r w:rsidRPr="00E83E54">
              <w:rPr>
                <w:sz w:val="20"/>
                <w:szCs w:val="20"/>
                <w:lang w:val="fr-CA"/>
              </w:rPr>
              <w:t>, L.R.C. 1985, ch. C</w:t>
            </w:r>
            <w:r w:rsidRPr="00E83E54">
              <w:rPr>
                <w:sz w:val="20"/>
                <w:szCs w:val="20"/>
                <w:lang w:val="fr-CA"/>
              </w:rPr>
              <w:noBreakHyphen/>
              <w:t xml:space="preserve">46, et les circonstances dans lesquelles le consentement est vicié, aux termes du par. 265(3) du </w:t>
            </w:r>
            <w:r w:rsidRPr="00E83E54">
              <w:rPr>
                <w:i/>
                <w:sz w:val="20"/>
                <w:szCs w:val="20"/>
                <w:lang w:val="fr-CA"/>
              </w:rPr>
              <w:t>Code criminel</w:t>
            </w:r>
            <w:r w:rsidRPr="00E83E54">
              <w:rPr>
                <w:sz w:val="20"/>
                <w:szCs w:val="20"/>
                <w:lang w:val="fr-CA"/>
              </w:rPr>
              <w:t>?</w:t>
            </w:r>
          </w:p>
        </w:tc>
      </w:tr>
    </w:tbl>
    <w:p w:rsidR="00732DB7" w:rsidRDefault="00732DB7" w:rsidP="00732DB7">
      <w:pPr>
        <w:widowControl w:val="0"/>
        <w:rPr>
          <w:sz w:val="20"/>
          <w:szCs w:val="20"/>
          <w:lang w:val="fr-CA"/>
        </w:rPr>
      </w:pPr>
    </w:p>
    <w:p w:rsidR="002A27D1" w:rsidRDefault="008138B5" w:rsidP="002A27D1">
      <w:pPr>
        <w:widowControl w:val="0"/>
        <w:rPr>
          <w:sz w:val="20"/>
          <w:szCs w:val="20"/>
        </w:rPr>
      </w:pPr>
      <w:r>
        <w:rPr>
          <w:sz w:val="20"/>
          <w:szCs w:val="20"/>
          <w:lang w:val="fr-CA"/>
        </w:rPr>
        <w:pict>
          <v:rect id="_x0000_i1069" style="width:2in;height:1pt" o:hrpct="0" o:hralign="center" o:hrstd="t" o:hrnoshade="t" o:hr="t" fillcolor="black [3213]" stroked="f"/>
        </w:pict>
      </w:r>
    </w:p>
    <w:p w:rsidR="002A27D1" w:rsidRDefault="002A27D1" w:rsidP="002A27D1">
      <w:pPr>
        <w:widowControl w:val="0"/>
        <w:rPr>
          <w:sz w:val="20"/>
          <w:szCs w:val="20"/>
        </w:rPr>
      </w:pPr>
    </w:p>
    <w:p w:rsidR="007F3337" w:rsidRPr="00C50A5C" w:rsidRDefault="007F3337" w:rsidP="007F3337">
      <w:pPr>
        <w:widowControl w:val="0"/>
        <w:rPr>
          <w:sz w:val="20"/>
          <w:szCs w:val="20"/>
        </w:rPr>
      </w:pPr>
      <w:r>
        <w:rPr>
          <w:sz w:val="20"/>
          <w:szCs w:val="20"/>
        </w:rPr>
        <w:t>08</w:t>
      </w:r>
      <w:r w:rsidRPr="00C50A5C">
        <w:rPr>
          <w:sz w:val="20"/>
          <w:szCs w:val="20"/>
        </w:rPr>
        <w:t>.</w:t>
      </w:r>
      <w:r>
        <w:rPr>
          <w:sz w:val="20"/>
          <w:szCs w:val="20"/>
        </w:rPr>
        <w:t>11</w:t>
      </w:r>
      <w:r w:rsidRPr="00C50A5C">
        <w:rPr>
          <w:sz w:val="20"/>
          <w:szCs w:val="20"/>
        </w:rPr>
        <w:t>.201</w:t>
      </w:r>
      <w:r>
        <w:rPr>
          <w:sz w:val="20"/>
          <w:szCs w:val="20"/>
        </w:rPr>
        <w:t>3</w:t>
      </w:r>
    </w:p>
    <w:p w:rsidR="007F3337" w:rsidRDefault="007F3337" w:rsidP="007F3337">
      <w:pPr>
        <w:widowControl w:val="0"/>
        <w:rPr>
          <w:sz w:val="20"/>
          <w:szCs w:val="20"/>
        </w:rPr>
      </w:pPr>
    </w:p>
    <w:p w:rsidR="0057263E" w:rsidRPr="004475D0" w:rsidRDefault="0057263E" w:rsidP="0057263E">
      <w:pPr>
        <w:widowControl w:val="0"/>
        <w:ind w:left="720" w:hanging="720"/>
        <w:rPr>
          <w:sz w:val="20"/>
          <w:szCs w:val="20"/>
          <w:u w:val="single"/>
        </w:rPr>
      </w:pPr>
      <w:r w:rsidRPr="004475D0">
        <w:rPr>
          <w:sz w:val="20"/>
          <w:szCs w:val="20"/>
        </w:rPr>
        <w:t xml:space="preserve">Coram: </w:t>
      </w:r>
      <w:r w:rsidRPr="004475D0">
        <w:rPr>
          <w:sz w:val="20"/>
          <w:szCs w:val="20"/>
        </w:rPr>
        <w:tab/>
      </w:r>
      <w:r w:rsidRPr="004475D0">
        <w:rPr>
          <w:sz w:val="20"/>
          <w:szCs w:val="20"/>
          <w:u w:val="single"/>
        </w:rPr>
        <w:t>McLachlin C.J. and LeBel, Abella, Rothstein, Moldaver, Karakatsanis and Wagner JJ.</w:t>
      </w:r>
    </w:p>
    <w:p w:rsidR="007F3337" w:rsidRPr="00C50A5C" w:rsidRDefault="007F3337" w:rsidP="007F333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F3337" w:rsidRPr="00C50A5C" w:rsidTr="0081384E">
        <w:tc>
          <w:tcPr>
            <w:tcW w:w="4380" w:type="dxa"/>
            <w:tcMar>
              <w:left w:w="0" w:type="dxa"/>
              <w:right w:w="0" w:type="dxa"/>
            </w:tcMar>
          </w:tcPr>
          <w:p w:rsidR="007F3337" w:rsidRPr="00C50A5C" w:rsidRDefault="0057263E" w:rsidP="0081384E">
            <w:pPr>
              <w:widowControl w:val="0"/>
              <w:jc w:val="both"/>
              <w:rPr>
                <w:b/>
                <w:sz w:val="20"/>
                <w:szCs w:val="20"/>
              </w:rPr>
            </w:pPr>
            <w:r w:rsidRPr="004475D0">
              <w:rPr>
                <w:b/>
                <w:sz w:val="20"/>
                <w:szCs w:val="20"/>
              </w:rPr>
              <w:t>Ajitpal Singh Sekhon</w:t>
            </w:r>
          </w:p>
          <w:p w:rsidR="007F3337" w:rsidRPr="00C50A5C" w:rsidRDefault="007F3337" w:rsidP="0081384E">
            <w:pPr>
              <w:widowControl w:val="0"/>
              <w:jc w:val="both"/>
              <w:rPr>
                <w:b/>
                <w:sz w:val="20"/>
                <w:szCs w:val="20"/>
              </w:rPr>
            </w:pPr>
          </w:p>
          <w:p w:rsidR="007F3337" w:rsidRPr="00C50A5C" w:rsidRDefault="007F3337" w:rsidP="0081384E">
            <w:pPr>
              <w:widowControl w:val="0"/>
              <w:tabs>
                <w:tab w:val="left" w:pos="736"/>
              </w:tabs>
              <w:jc w:val="both"/>
              <w:rPr>
                <w:b/>
                <w:sz w:val="20"/>
                <w:szCs w:val="20"/>
              </w:rPr>
            </w:pPr>
            <w:r w:rsidRPr="00C50A5C">
              <w:rPr>
                <w:b/>
                <w:sz w:val="20"/>
                <w:szCs w:val="20"/>
              </w:rPr>
              <w:tab/>
              <w:t xml:space="preserve">v. </w:t>
            </w:r>
            <w:r w:rsidR="0057263E" w:rsidRPr="004475D0">
              <w:rPr>
                <w:sz w:val="20"/>
                <w:szCs w:val="20"/>
              </w:rPr>
              <w:t>(</w:t>
            </w:r>
            <w:hyperlink r:id="rId59" w:history="1">
              <w:r w:rsidR="0057263E" w:rsidRPr="004475D0">
                <w:rPr>
                  <w:rStyle w:val="Hyperlink"/>
                  <w:sz w:val="20"/>
                  <w:szCs w:val="20"/>
                </w:rPr>
                <w:t>35180</w:t>
              </w:r>
            </w:hyperlink>
            <w:r w:rsidR="0057263E" w:rsidRPr="004475D0">
              <w:rPr>
                <w:sz w:val="20"/>
                <w:szCs w:val="20"/>
              </w:rPr>
              <w:t>)</w:t>
            </w:r>
          </w:p>
          <w:p w:rsidR="007F3337" w:rsidRPr="00C50A5C" w:rsidRDefault="007F3337" w:rsidP="0081384E">
            <w:pPr>
              <w:widowControl w:val="0"/>
              <w:jc w:val="both"/>
              <w:rPr>
                <w:b/>
                <w:sz w:val="20"/>
                <w:szCs w:val="20"/>
              </w:rPr>
            </w:pPr>
          </w:p>
          <w:p w:rsidR="007F3337" w:rsidRPr="0057263E" w:rsidRDefault="0057263E" w:rsidP="0057263E">
            <w:pPr>
              <w:widowControl w:val="0"/>
              <w:tabs>
                <w:tab w:val="left" w:pos="720"/>
                <w:tab w:val="left" w:pos="1440"/>
                <w:tab w:val="left" w:pos="2851"/>
                <w:tab w:val="left" w:pos="4320"/>
                <w:tab w:val="left" w:pos="10224"/>
                <w:tab w:val="left" w:pos="11376"/>
              </w:tabs>
              <w:jc w:val="both"/>
              <w:rPr>
                <w:sz w:val="20"/>
                <w:szCs w:val="20"/>
              </w:rPr>
            </w:pPr>
            <w:r w:rsidRPr="004475D0">
              <w:rPr>
                <w:b/>
                <w:sz w:val="20"/>
                <w:szCs w:val="20"/>
              </w:rPr>
              <w:t xml:space="preserve">v. Her Majesty the Queen </w:t>
            </w:r>
            <w:r w:rsidRPr="0057263E">
              <w:rPr>
                <w:b/>
                <w:sz w:val="20"/>
                <w:szCs w:val="20"/>
              </w:rPr>
              <w:t>(B.C.) (Criminal) (As</w:t>
            </w:r>
            <w:r>
              <w:rPr>
                <w:b/>
                <w:sz w:val="20"/>
                <w:szCs w:val="20"/>
              </w:rPr>
              <w:t> </w:t>
            </w:r>
            <w:r w:rsidRPr="0057263E">
              <w:rPr>
                <w:b/>
                <w:sz w:val="20"/>
                <w:szCs w:val="20"/>
              </w:rPr>
              <w:t>of</w:t>
            </w:r>
            <w:r>
              <w:rPr>
                <w:b/>
                <w:sz w:val="20"/>
                <w:szCs w:val="20"/>
              </w:rPr>
              <w:t> </w:t>
            </w:r>
            <w:r w:rsidRPr="0057263E">
              <w:rPr>
                <w:b/>
                <w:sz w:val="20"/>
                <w:szCs w:val="20"/>
              </w:rPr>
              <w:t>Right)</w:t>
            </w:r>
            <w:r w:rsidRPr="004475D0">
              <w:rPr>
                <w:sz w:val="20"/>
                <w:szCs w:val="20"/>
              </w:rPr>
              <w:t xml:space="preserve"> </w:t>
            </w:r>
          </w:p>
        </w:tc>
        <w:tc>
          <w:tcPr>
            <w:tcW w:w="720" w:type="dxa"/>
            <w:tcMar>
              <w:left w:w="0" w:type="dxa"/>
              <w:right w:w="0" w:type="dxa"/>
            </w:tcMar>
          </w:tcPr>
          <w:p w:rsidR="007F3337" w:rsidRPr="0057263E" w:rsidRDefault="007F3337" w:rsidP="0081384E">
            <w:pPr>
              <w:widowControl w:val="0"/>
              <w:jc w:val="center"/>
              <w:rPr>
                <w:sz w:val="20"/>
                <w:szCs w:val="20"/>
              </w:rPr>
            </w:pPr>
          </w:p>
        </w:tc>
        <w:tc>
          <w:tcPr>
            <w:tcW w:w="4380" w:type="dxa"/>
            <w:tcMar>
              <w:left w:w="0" w:type="dxa"/>
              <w:right w:w="0" w:type="dxa"/>
            </w:tcMar>
          </w:tcPr>
          <w:p w:rsidR="00B14309" w:rsidRPr="00895CE0" w:rsidRDefault="00B14309" w:rsidP="00B14309">
            <w:pPr>
              <w:tabs>
                <w:tab w:val="left" w:pos="-2970"/>
              </w:tabs>
              <w:jc w:val="both"/>
              <w:rPr>
                <w:sz w:val="20"/>
                <w:szCs w:val="20"/>
                <w:lang w:val="en-US"/>
              </w:rPr>
            </w:pPr>
            <w:r w:rsidRPr="00895CE0">
              <w:rPr>
                <w:sz w:val="20"/>
                <w:szCs w:val="20"/>
                <w:lang w:val="en-US"/>
              </w:rPr>
              <w:t>Eric V. Gottardi</w:t>
            </w:r>
            <w:r>
              <w:rPr>
                <w:sz w:val="20"/>
                <w:szCs w:val="20"/>
                <w:lang w:val="en-US"/>
              </w:rPr>
              <w:t xml:space="preserve"> and </w:t>
            </w:r>
            <w:r w:rsidRPr="00895CE0">
              <w:rPr>
                <w:sz w:val="20"/>
                <w:szCs w:val="20"/>
                <w:lang w:val="en-US"/>
              </w:rPr>
              <w:t>Kathleen M. Bradley</w:t>
            </w:r>
            <w:r>
              <w:rPr>
                <w:sz w:val="20"/>
                <w:szCs w:val="20"/>
                <w:lang w:val="en-US"/>
              </w:rPr>
              <w:t xml:space="preserve"> f</w:t>
            </w:r>
            <w:r w:rsidRPr="00895CE0">
              <w:rPr>
                <w:sz w:val="20"/>
                <w:szCs w:val="20"/>
                <w:lang w:val="en-US"/>
              </w:rPr>
              <w:t xml:space="preserve">or the </w:t>
            </w:r>
            <w:r>
              <w:rPr>
                <w:sz w:val="20"/>
                <w:szCs w:val="20"/>
                <w:lang w:val="en-US"/>
              </w:rPr>
              <w:t>a</w:t>
            </w:r>
            <w:r w:rsidRPr="00895CE0">
              <w:rPr>
                <w:sz w:val="20"/>
                <w:szCs w:val="20"/>
                <w:lang w:val="en-US"/>
              </w:rPr>
              <w:t>ppellant.</w:t>
            </w:r>
          </w:p>
          <w:p w:rsidR="00B14309" w:rsidRPr="00895CE0" w:rsidRDefault="00B14309" w:rsidP="00B14309">
            <w:pPr>
              <w:tabs>
                <w:tab w:val="left" w:pos="-2970"/>
              </w:tabs>
              <w:jc w:val="both"/>
              <w:rPr>
                <w:sz w:val="20"/>
                <w:szCs w:val="20"/>
                <w:lang w:val="en-US"/>
              </w:rPr>
            </w:pPr>
          </w:p>
          <w:p w:rsidR="007F3337" w:rsidRPr="00C50A5C" w:rsidRDefault="00B14309" w:rsidP="00B14309">
            <w:pPr>
              <w:widowControl w:val="0"/>
              <w:jc w:val="both"/>
              <w:rPr>
                <w:sz w:val="20"/>
                <w:szCs w:val="20"/>
              </w:rPr>
            </w:pPr>
            <w:r w:rsidRPr="00895CE0">
              <w:rPr>
                <w:sz w:val="20"/>
                <w:szCs w:val="20"/>
                <w:lang w:val="en-US"/>
              </w:rPr>
              <w:t>Martha M. Devlin, Q.C.</w:t>
            </w:r>
            <w:r>
              <w:rPr>
                <w:sz w:val="20"/>
                <w:szCs w:val="20"/>
                <w:lang w:val="en-US"/>
              </w:rPr>
              <w:t xml:space="preserve"> and </w:t>
            </w:r>
            <w:r w:rsidRPr="00895CE0">
              <w:rPr>
                <w:rFonts w:cs="Times New Roman"/>
                <w:sz w:val="20"/>
                <w:szCs w:val="20"/>
              </w:rPr>
              <w:t>Chris Greenwood</w:t>
            </w:r>
            <w:r>
              <w:rPr>
                <w:rFonts w:cs="Times New Roman"/>
                <w:sz w:val="20"/>
                <w:szCs w:val="20"/>
              </w:rPr>
              <w:t xml:space="preserve"> f</w:t>
            </w:r>
            <w:r w:rsidRPr="00895CE0">
              <w:rPr>
                <w:sz w:val="20"/>
                <w:szCs w:val="20"/>
                <w:lang w:val="en-US"/>
              </w:rPr>
              <w:t xml:space="preserve">or the </w:t>
            </w:r>
            <w:r>
              <w:rPr>
                <w:sz w:val="20"/>
                <w:szCs w:val="20"/>
                <w:lang w:val="en-US"/>
              </w:rPr>
              <w:t>r</w:t>
            </w:r>
            <w:r w:rsidRPr="00895CE0">
              <w:rPr>
                <w:sz w:val="20"/>
                <w:szCs w:val="20"/>
                <w:lang w:val="en-US"/>
              </w:rPr>
              <w:t>espondent.</w:t>
            </w:r>
          </w:p>
        </w:tc>
      </w:tr>
    </w:tbl>
    <w:p w:rsidR="007F3337" w:rsidRDefault="007F3337" w:rsidP="007F3337">
      <w:pPr>
        <w:widowControl w:val="0"/>
      </w:pPr>
    </w:p>
    <w:p w:rsidR="007F3337" w:rsidRPr="0085476B" w:rsidRDefault="007F3337" w:rsidP="007F3337">
      <w:pPr>
        <w:widowControl w:val="0"/>
        <w:rPr>
          <w:sz w:val="20"/>
          <w:szCs w:val="20"/>
        </w:rPr>
      </w:pPr>
      <w:r w:rsidRPr="0085476B">
        <w:rPr>
          <w:b/>
          <w:sz w:val="20"/>
          <w:szCs w:val="20"/>
        </w:rPr>
        <w:t xml:space="preserve">RESERVED / </w:t>
      </w:r>
      <w:r w:rsidRPr="0085476B">
        <w:rPr>
          <w:b/>
          <w:sz w:val="20"/>
          <w:szCs w:val="20"/>
          <w:lang w:val="fr-CA"/>
        </w:rPr>
        <w:t>EN DÉLIBÉRÉ</w:t>
      </w:r>
    </w:p>
    <w:p w:rsidR="007F3337" w:rsidRDefault="007F3337" w:rsidP="007F333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F3337" w:rsidRPr="008138B5" w:rsidTr="0081384E">
        <w:tc>
          <w:tcPr>
            <w:tcW w:w="4380" w:type="dxa"/>
            <w:tcMar>
              <w:left w:w="0" w:type="dxa"/>
              <w:right w:w="0" w:type="dxa"/>
            </w:tcMar>
          </w:tcPr>
          <w:p w:rsidR="007F3337" w:rsidRPr="00CC4D84" w:rsidRDefault="007F3337" w:rsidP="0081384E">
            <w:pPr>
              <w:widowControl w:val="0"/>
              <w:jc w:val="both"/>
              <w:rPr>
                <w:b/>
                <w:sz w:val="20"/>
                <w:szCs w:val="20"/>
                <w:u w:val="single"/>
              </w:rPr>
            </w:pPr>
            <w:r w:rsidRPr="00CC4D84">
              <w:rPr>
                <w:b/>
                <w:sz w:val="20"/>
                <w:szCs w:val="20"/>
                <w:u w:val="single"/>
              </w:rPr>
              <w:t>Nature of the case:</w:t>
            </w:r>
          </w:p>
          <w:p w:rsidR="007F3337" w:rsidRDefault="007F3337" w:rsidP="0081384E">
            <w:pPr>
              <w:widowControl w:val="0"/>
              <w:jc w:val="both"/>
              <w:rPr>
                <w:b/>
                <w:sz w:val="20"/>
                <w:szCs w:val="20"/>
              </w:rPr>
            </w:pPr>
          </w:p>
          <w:p w:rsidR="007F3337" w:rsidRPr="00C1697B" w:rsidRDefault="0081384E" w:rsidP="0081384E">
            <w:pPr>
              <w:widowControl w:val="0"/>
              <w:jc w:val="both"/>
              <w:rPr>
                <w:b/>
                <w:sz w:val="20"/>
                <w:szCs w:val="20"/>
              </w:rPr>
            </w:pPr>
            <w:r w:rsidRPr="00467986">
              <w:rPr>
                <w:sz w:val="20"/>
                <w:szCs w:val="20"/>
              </w:rPr>
              <w:t xml:space="preserve">Criminal law </w:t>
            </w:r>
            <w:r w:rsidRPr="00467986">
              <w:rPr>
                <w:sz w:val="20"/>
                <w:szCs w:val="20"/>
              </w:rPr>
              <w:noBreakHyphen/>
              <w:t xml:space="preserve"> Expert evidence </w:t>
            </w:r>
            <w:r w:rsidRPr="00467986">
              <w:rPr>
                <w:sz w:val="20"/>
                <w:szCs w:val="20"/>
              </w:rPr>
              <w:noBreakHyphen/>
              <w:t xml:space="preserve"> Admissibility </w:t>
            </w:r>
            <w:r w:rsidRPr="00467986">
              <w:rPr>
                <w:sz w:val="20"/>
                <w:szCs w:val="20"/>
              </w:rPr>
              <w:noBreakHyphen/>
              <w:t xml:space="preserve"> Whether the trial judge erred in admitting and relying on the expert evidence of the police officer. </w:t>
            </w:r>
          </w:p>
        </w:tc>
        <w:tc>
          <w:tcPr>
            <w:tcW w:w="720" w:type="dxa"/>
            <w:tcMar>
              <w:left w:w="0" w:type="dxa"/>
              <w:right w:w="0" w:type="dxa"/>
            </w:tcMar>
          </w:tcPr>
          <w:p w:rsidR="007F3337" w:rsidRPr="00C1697B" w:rsidRDefault="007F3337" w:rsidP="0081384E">
            <w:pPr>
              <w:widowControl w:val="0"/>
              <w:jc w:val="center"/>
              <w:rPr>
                <w:sz w:val="20"/>
                <w:szCs w:val="20"/>
              </w:rPr>
            </w:pPr>
          </w:p>
        </w:tc>
        <w:tc>
          <w:tcPr>
            <w:tcW w:w="4380" w:type="dxa"/>
            <w:tcMar>
              <w:left w:w="0" w:type="dxa"/>
              <w:right w:w="0" w:type="dxa"/>
            </w:tcMar>
          </w:tcPr>
          <w:p w:rsidR="007F3337" w:rsidRPr="00CC4D84" w:rsidRDefault="007F3337" w:rsidP="0081384E">
            <w:pPr>
              <w:widowControl w:val="0"/>
              <w:jc w:val="both"/>
              <w:rPr>
                <w:b/>
                <w:sz w:val="20"/>
                <w:szCs w:val="20"/>
                <w:u w:val="single"/>
                <w:lang w:val="fr-CA"/>
              </w:rPr>
            </w:pPr>
            <w:r w:rsidRPr="00CC4D84">
              <w:rPr>
                <w:b/>
                <w:sz w:val="20"/>
                <w:szCs w:val="20"/>
                <w:u w:val="single"/>
                <w:lang w:val="fr-CA"/>
              </w:rPr>
              <w:t>Nature de la cause :</w:t>
            </w:r>
          </w:p>
          <w:p w:rsidR="007F3337" w:rsidRPr="00C1697B" w:rsidRDefault="007F3337" w:rsidP="0081384E">
            <w:pPr>
              <w:widowControl w:val="0"/>
              <w:jc w:val="both"/>
              <w:rPr>
                <w:sz w:val="20"/>
                <w:szCs w:val="20"/>
                <w:lang w:val="fr-CA"/>
              </w:rPr>
            </w:pPr>
          </w:p>
          <w:p w:rsidR="007F3337" w:rsidRPr="0081384E" w:rsidRDefault="0081384E" w:rsidP="0081384E">
            <w:pPr>
              <w:widowControl w:val="0"/>
              <w:jc w:val="both"/>
              <w:rPr>
                <w:b/>
                <w:sz w:val="20"/>
                <w:szCs w:val="20"/>
                <w:lang w:val="fr-CA"/>
              </w:rPr>
            </w:pPr>
            <w:r w:rsidRPr="00C51D62">
              <w:rPr>
                <w:sz w:val="20"/>
                <w:szCs w:val="20"/>
                <w:lang w:val="fr-CA"/>
              </w:rPr>
              <w:t xml:space="preserve">Droit criminel </w:t>
            </w:r>
            <w:r w:rsidRPr="00C51D62">
              <w:rPr>
                <w:sz w:val="20"/>
                <w:szCs w:val="20"/>
                <w:lang w:val="fr-CA"/>
              </w:rPr>
              <w:noBreakHyphen/>
              <w:t xml:space="preserve"> Preuve d’expert </w:t>
            </w:r>
            <w:r w:rsidRPr="00C51D62">
              <w:rPr>
                <w:sz w:val="20"/>
                <w:szCs w:val="20"/>
                <w:lang w:val="fr-CA"/>
              </w:rPr>
              <w:noBreakHyphen/>
              <w:t xml:space="preserve"> Admissibilité </w:t>
            </w:r>
            <w:r w:rsidRPr="00C51D62">
              <w:rPr>
                <w:sz w:val="20"/>
                <w:szCs w:val="20"/>
                <w:lang w:val="fr-CA"/>
              </w:rPr>
              <w:noBreakHyphen/>
              <w:t xml:space="preserve"> Le juge du procès a</w:t>
            </w:r>
            <w:r w:rsidRPr="00C51D62">
              <w:rPr>
                <w:sz w:val="20"/>
                <w:szCs w:val="20"/>
                <w:lang w:val="fr-CA"/>
              </w:rPr>
              <w:noBreakHyphen/>
              <w:t>t</w:t>
            </w:r>
            <w:r w:rsidRPr="00C51D62">
              <w:rPr>
                <w:sz w:val="20"/>
                <w:szCs w:val="20"/>
                <w:lang w:val="fr-CA"/>
              </w:rPr>
              <w:noBreakHyphen/>
              <w:t>il eu tort d’admettre la preuve d’expert du policier et de se fonder sur cette preuve?</w:t>
            </w:r>
          </w:p>
        </w:tc>
      </w:tr>
    </w:tbl>
    <w:p w:rsidR="007F3337" w:rsidRDefault="007F3337" w:rsidP="007F3337">
      <w:pPr>
        <w:widowControl w:val="0"/>
        <w:rPr>
          <w:sz w:val="20"/>
          <w:szCs w:val="20"/>
          <w:lang w:val="fr-CA"/>
        </w:rPr>
      </w:pPr>
    </w:p>
    <w:p w:rsidR="007F3337" w:rsidRDefault="008138B5" w:rsidP="007F3337">
      <w:pPr>
        <w:widowControl w:val="0"/>
        <w:rPr>
          <w:sz w:val="20"/>
          <w:szCs w:val="20"/>
        </w:rPr>
      </w:pPr>
      <w:r>
        <w:rPr>
          <w:sz w:val="20"/>
          <w:szCs w:val="20"/>
          <w:lang w:val="fr-CA"/>
        </w:rPr>
        <w:pict>
          <v:rect id="_x0000_i1070" style="width:2in;height:1pt" o:hrpct="0" o:hralign="center" o:hrstd="t" o:hrnoshade="t" o:hr="t" fillcolor="black [3213]" stroked="f"/>
        </w:pict>
      </w:r>
    </w:p>
    <w:p w:rsidR="007F3337" w:rsidRDefault="007F3337" w:rsidP="007F3337">
      <w:pPr>
        <w:widowControl w:val="0"/>
        <w:rPr>
          <w:sz w:val="20"/>
          <w:szCs w:val="20"/>
        </w:rPr>
      </w:pPr>
    </w:p>
    <w:p w:rsidR="00E774E5" w:rsidRPr="00C50A5C" w:rsidRDefault="00E774E5" w:rsidP="00E774E5">
      <w:pPr>
        <w:widowControl w:val="0"/>
        <w:rPr>
          <w:sz w:val="20"/>
          <w:szCs w:val="20"/>
        </w:rPr>
      </w:pPr>
      <w:r>
        <w:rPr>
          <w:sz w:val="20"/>
          <w:szCs w:val="20"/>
        </w:rPr>
        <w:lastRenderedPageBreak/>
        <w:t>12/13/14</w:t>
      </w:r>
      <w:r w:rsidRPr="00C50A5C">
        <w:rPr>
          <w:sz w:val="20"/>
          <w:szCs w:val="20"/>
        </w:rPr>
        <w:t>.</w:t>
      </w:r>
      <w:r>
        <w:rPr>
          <w:sz w:val="20"/>
          <w:szCs w:val="20"/>
        </w:rPr>
        <w:t>11</w:t>
      </w:r>
      <w:r w:rsidRPr="00C50A5C">
        <w:rPr>
          <w:sz w:val="20"/>
          <w:szCs w:val="20"/>
        </w:rPr>
        <w:t>.201</w:t>
      </w:r>
      <w:r>
        <w:rPr>
          <w:sz w:val="20"/>
          <w:szCs w:val="20"/>
        </w:rPr>
        <w:t>3</w:t>
      </w:r>
    </w:p>
    <w:p w:rsidR="00E774E5" w:rsidRDefault="00E774E5" w:rsidP="00E774E5">
      <w:pPr>
        <w:widowControl w:val="0"/>
        <w:rPr>
          <w:sz w:val="20"/>
          <w:szCs w:val="20"/>
        </w:rPr>
      </w:pPr>
    </w:p>
    <w:p w:rsidR="00E774E5" w:rsidRPr="004475D0" w:rsidRDefault="00E774E5" w:rsidP="00E774E5">
      <w:pPr>
        <w:widowControl w:val="0"/>
        <w:ind w:left="720" w:hanging="720"/>
        <w:rPr>
          <w:sz w:val="20"/>
          <w:szCs w:val="20"/>
          <w:u w:val="single"/>
        </w:rPr>
      </w:pPr>
      <w:r w:rsidRPr="004475D0">
        <w:rPr>
          <w:sz w:val="20"/>
          <w:szCs w:val="20"/>
        </w:rPr>
        <w:t xml:space="preserve">Coram: </w:t>
      </w:r>
      <w:r w:rsidRPr="004475D0">
        <w:rPr>
          <w:sz w:val="20"/>
          <w:szCs w:val="20"/>
        </w:rPr>
        <w:tab/>
      </w:r>
      <w:r w:rsidRPr="004475D0">
        <w:rPr>
          <w:sz w:val="20"/>
          <w:szCs w:val="20"/>
          <w:u w:val="single"/>
        </w:rPr>
        <w:t xml:space="preserve">McLachlin C.J. and LeBel, Abella, Rothstein, </w:t>
      </w:r>
      <w:r>
        <w:rPr>
          <w:sz w:val="20"/>
          <w:szCs w:val="20"/>
          <w:u w:val="single"/>
        </w:rPr>
        <w:t xml:space="preserve">Cromwell, </w:t>
      </w:r>
      <w:r w:rsidRPr="004475D0">
        <w:rPr>
          <w:sz w:val="20"/>
          <w:szCs w:val="20"/>
          <w:u w:val="single"/>
        </w:rPr>
        <w:t>Moldaver, Karakatsanis and Wagner JJ.</w:t>
      </w:r>
    </w:p>
    <w:p w:rsidR="00E774E5" w:rsidRPr="00C50A5C" w:rsidRDefault="00E774E5" w:rsidP="00E774E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F1BDA" w:rsidRPr="00D27FF2" w:rsidTr="008F1BDA">
        <w:tc>
          <w:tcPr>
            <w:tcW w:w="4380" w:type="dxa"/>
            <w:tcMar>
              <w:left w:w="0" w:type="dxa"/>
              <w:right w:w="0" w:type="dxa"/>
            </w:tcMar>
          </w:tcPr>
          <w:p w:rsidR="008F1BDA" w:rsidRPr="0031725E" w:rsidRDefault="00550B1F" w:rsidP="0031725E">
            <w:pPr>
              <w:jc w:val="both"/>
              <w:rPr>
                <w:sz w:val="20"/>
                <w:szCs w:val="20"/>
              </w:rPr>
            </w:pPr>
            <w:r w:rsidRPr="00550B1F">
              <w:rPr>
                <w:b/>
                <w:sz w:val="20"/>
                <w:szCs w:val="20"/>
              </w:rPr>
              <w:t>In the Matter of a Reference by the Governor in Council concerning reform of the Senate, as set out in Order P.C. 2013-70, dated February 1, 2013</w:t>
            </w:r>
            <w:r w:rsidR="0031725E">
              <w:rPr>
                <w:b/>
                <w:sz w:val="20"/>
                <w:szCs w:val="20"/>
              </w:rPr>
              <w:t xml:space="preserve"> (Can.) </w:t>
            </w:r>
            <w:r w:rsidR="0031725E" w:rsidRPr="0031725E">
              <w:rPr>
                <w:b/>
                <w:sz w:val="20"/>
                <w:szCs w:val="20"/>
                <w:lang w:val="fr-CA"/>
              </w:rPr>
              <w:t>(Civil) (Reference</w:t>
            </w:r>
            <w:r w:rsidR="0031725E">
              <w:rPr>
                <w:b/>
                <w:sz w:val="20"/>
                <w:szCs w:val="20"/>
                <w:lang w:val="fr-CA"/>
              </w:rPr>
              <w:t>)</w:t>
            </w:r>
            <w:r w:rsidRPr="0031725E">
              <w:rPr>
                <w:sz w:val="20"/>
                <w:szCs w:val="20"/>
                <w:lang w:val="fr-CA"/>
              </w:rPr>
              <w:t xml:space="preserve"> / </w:t>
            </w:r>
            <w:r w:rsidRPr="0031725E">
              <w:rPr>
                <w:b/>
                <w:sz w:val="20"/>
                <w:szCs w:val="20"/>
                <w:lang w:val="fr-CA"/>
              </w:rPr>
              <w:t>Dans l'affaire d'un renvoi par le Gouverneur en conseil concernant la réforme du Sénat tel que formulé dans le décret C.P. 2013-70 en date du 1er février 2013</w:t>
            </w:r>
            <w:r w:rsidRPr="0031725E">
              <w:rPr>
                <w:sz w:val="20"/>
                <w:szCs w:val="20"/>
                <w:lang w:val="fr-CA"/>
              </w:rPr>
              <w:t xml:space="preserve"> </w:t>
            </w:r>
            <w:r w:rsidRPr="0031725E">
              <w:rPr>
                <w:b/>
                <w:sz w:val="20"/>
                <w:szCs w:val="20"/>
                <w:lang w:val="fr-CA"/>
              </w:rPr>
              <w:t xml:space="preserve">(Can.) </w:t>
            </w:r>
            <w:r w:rsidRPr="0031725E">
              <w:rPr>
                <w:b/>
                <w:sz w:val="20"/>
                <w:szCs w:val="20"/>
              </w:rPr>
              <w:t>(Civil</w:t>
            </w:r>
            <w:r w:rsidR="0031725E">
              <w:rPr>
                <w:b/>
                <w:sz w:val="20"/>
                <w:szCs w:val="20"/>
              </w:rPr>
              <w:t>e</w:t>
            </w:r>
            <w:r w:rsidRPr="0031725E">
              <w:rPr>
                <w:b/>
                <w:sz w:val="20"/>
                <w:szCs w:val="20"/>
              </w:rPr>
              <w:t>) (Ren</w:t>
            </w:r>
            <w:r w:rsidR="0031725E">
              <w:rPr>
                <w:b/>
                <w:sz w:val="20"/>
                <w:szCs w:val="20"/>
              </w:rPr>
              <w:t>voi</w:t>
            </w:r>
            <w:r w:rsidRPr="0031725E">
              <w:rPr>
                <w:b/>
                <w:sz w:val="20"/>
                <w:szCs w:val="20"/>
              </w:rPr>
              <w:t>)</w:t>
            </w:r>
            <w:r w:rsidRPr="0031725E">
              <w:rPr>
                <w:sz w:val="20"/>
                <w:szCs w:val="20"/>
              </w:rPr>
              <w:t xml:space="preserve"> (</w:t>
            </w:r>
            <w:hyperlink r:id="rId60" w:history="1">
              <w:r w:rsidRPr="0031725E">
                <w:rPr>
                  <w:rStyle w:val="Hyperlink"/>
                  <w:sz w:val="20"/>
                  <w:szCs w:val="20"/>
                </w:rPr>
                <w:t>35203</w:t>
              </w:r>
            </w:hyperlink>
            <w:r w:rsidRPr="0031725E">
              <w:rPr>
                <w:sz w:val="20"/>
                <w:szCs w:val="20"/>
              </w:rPr>
              <w:t xml:space="preserve">) </w:t>
            </w:r>
          </w:p>
        </w:tc>
        <w:tc>
          <w:tcPr>
            <w:tcW w:w="720" w:type="dxa"/>
            <w:tcMar>
              <w:left w:w="0" w:type="dxa"/>
              <w:right w:w="0" w:type="dxa"/>
            </w:tcMar>
          </w:tcPr>
          <w:p w:rsidR="008F1BDA" w:rsidRPr="0031725E" w:rsidRDefault="008F1BDA" w:rsidP="008F1BDA">
            <w:pPr>
              <w:widowControl w:val="0"/>
              <w:jc w:val="center"/>
              <w:rPr>
                <w:sz w:val="20"/>
                <w:szCs w:val="20"/>
              </w:rPr>
            </w:pPr>
          </w:p>
        </w:tc>
        <w:tc>
          <w:tcPr>
            <w:tcW w:w="4380" w:type="dxa"/>
            <w:tcMar>
              <w:left w:w="0" w:type="dxa"/>
              <w:right w:w="0" w:type="dxa"/>
            </w:tcMar>
          </w:tcPr>
          <w:p w:rsidR="00550B1F" w:rsidRPr="00491640" w:rsidRDefault="00550B1F" w:rsidP="00550B1F">
            <w:pPr>
              <w:spacing w:line="233" w:lineRule="auto"/>
              <w:jc w:val="both"/>
              <w:rPr>
                <w:rFonts w:cs="Times New Roman"/>
                <w:b/>
                <w:sz w:val="20"/>
                <w:szCs w:val="20"/>
                <w:u w:val="single"/>
              </w:rPr>
            </w:pPr>
            <w:r w:rsidRPr="00491640">
              <w:rPr>
                <w:rFonts w:cs="Times New Roman"/>
                <w:b/>
                <w:sz w:val="20"/>
                <w:szCs w:val="20"/>
                <w:u w:val="single"/>
              </w:rPr>
              <w:t xml:space="preserve">November 12, 2013 / </w:t>
            </w:r>
            <w:r w:rsidRPr="00491640">
              <w:rPr>
                <w:rFonts w:cs="Times New Roman"/>
                <w:b/>
                <w:bCs/>
                <w:sz w:val="20"/>
                <w:szCs w:val="20"/>
                <w:u w:val="single"/>
              </w:rPr>
              <w:t>Le 12 novembre 2013</w:t>
            </w:r>
          </w:p>
          <w:p w:rsidR="008F1BDA" w:rsidRPr="00DF0123" w:rsidRDefault="008F1BDA" w:rsidP="008F1BDA">
            <w:pPr>
              <w:widowControl w:val="0"/>
              <w:jc w:val="both"/>
              <w:rPr>
                <w:sz w:val="20"/>
                <w:szCs w:val="20"/>
              </w:rPr>
            </w:pPr>
          </w:p>
          <w:p w:rsidR="00D27FF2" w:rsidRPr="00491640" w:rsidRDefault="00D27FF2" w:rsidP="00D27FF2">
            <w:pPr>
              <w:spacing w:line="233" w:lineRule="auto"/>
              <w:jc w:val="both"/>
              <w:rPr>
                <w:rFonts w:cs="Times New Roman"/>
                <w:sz w:val="20"/>
                <w:szCs w:val="20"/>
              </w:rPr>
            </w:pPr>
            <w:r w:rsidRPr="00491640">
              <w:rPr>
                <w:rFonts w:cs="Times New Roman"/>
                <w:sz w:val="20"/>
                <w:szCs w:val="20"/>
                <w:lang w:val="en-US"/>
              </w:rPr>
              <w:t>Robert J. Frater</w:t>
            </w:r>
            <w:r>
              <w:rPr>
                <w:rFonts w:cs="Times New Roman"/>
                <w:sz w:val="20"/>
                <w:szCs w:val="20"/>
                <w:lang w:val="en-US"/>
              </w:rPr>
              <w:t xml:space="preserve">, </w:t>
            </w:r>
            <w:r w:rsidRPr="00491640">
              <w:rPr>
                <w:rFonts w:cs="Times New Roman"/>
                <w:sz w:val="20"/>
                <w:szCs w:val="20"/>
                <w:lang w:val="en-US"/>
              </w:rPr>
              <w:t>Christopher M. Rupar</w:t>
            </w:r>
            <w:r>
              <w:rPr>
                <w:rFonts w:cs="Times New Roman"/>
                <w:sz w:val="20"/>
                <w:szCs w:val="20"/>
                <w:lang w:val="en-US"/>
              </w:rPr>
              <w:t xml:space="preserve"> and </w:t>
            </w:r>
            <w:r w:rsidRPr="00491640">
              <w:rPr>
                <w:rFonts w:cs="Times New Roman"/>
                <w:sz w:val="20"/>
                <w:szCs w:val="20"/>
              </w:rPr>
              <w:t>Warren J. Newman</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a</w:t>
            </w:r>
            <w:r w:rsidRPr="00491640">
              <w:rPr>
                <w:rFonts w:cs="Times New Roman"/>
                <w:sz w:val="20"/>
                <w:szCs w:val="20"/>
                <w:lang w:val="en-US"/>
              </w:rPr>
              <w:t>ppellant</w:t>
            </w:r>
            <w:r>
              <w:rPr>
                <w:rFonts w:cs="Times New Roman"/>
                <w:sz w:val="20"/>
                <w:szCs w:val="20"/>
                <w:lang w:val="en-US"/>
              </w:rPr>
              <w:t xml:space="preserve"> </w:t>
            </w:r>
            <w:r w:rsidRPr="00491640">
              <w:rPr>
                <w:rFonts w:cs="Times New Roman"/>
                <w:sz w:val="20"/>
                <w:szCs w:val="20"/>
              </w:rPr>
              <w:t>Attorney General of Canada</w:t>
            </w:r>
            <w:r>
              <w:rPr>
                <w:rFonts w:cs="Times New Roman"/>
                <w:sz w:val="20"/>
                <w:szCs w:val="20"/>
              </w:rPr>
              <w:t>.</w:t>
            </w:r>
          </w:p>
          <w:p w:rsidR="00D27FF2" w:rsidRPr="00491640" w:rsidRDefault="00D27FF2" w:rsidP="00D27FF2">
            <w:pPr>
              <w:spacing w:line="233" w:lineRule="auto"/>
              <w:jc w:val="both"/>
              <w:rPr>
                <w:rFonts w:cs="Times New Roman"/>
                <w:sz w:val="20"/>
                <w:szCs w:val="20"/>
              </w:rPr>
            </w:pPr>
          </w:p>
          <w:p w:rsidR="00D27FF2" w:rsidRPr="00491640" w:rsidRDefault="00D27FF2" w:rsidP="00D27FF2">
            <w:pPr>
              <w:spacing w:line="233" w:lineRule="auto"/>
              <w:jc w:val="both"/>
              <w:rPr>
                <w:rFonts w:cs="Times New Roman"/>
                <w:sz w:val="20"/>
                <w:szCs w:val="20"/>
              </w:rPr>
            </w:pPr>
            <w:r w:rsidRPr="00491640">
              <w:rPr>
                <w:rFonts w:cs="Times New Roman"/>
                <w:sz w:val="20"/>
                <w:szCs w:val="20"/>
                <w:lang w:val="en-US"/>
              </w:rPr>
              <w:t>Michel Y. Hélie</w:t>
            </w:r>
            <w:r>
              <w:rPr>
                <w:rFonts w:cs="Times New Roman"/>
                <w:sz w:val="20"/>
                <w:szCs w:val="20"/>
                <w:lang w:val="en-US"/>
              </w:rPr>
              <w:t xml:space="preserve"> and </w:t>
            </w:r>
            <w:r w:rsidRPr="00491640">
              <w:rPr>
                <w:rFonts w:cs="Times New Roman"/>
                <w:sz w:val="20"/>
                <w:szCs w:val="20"/>
                <w:lang w:val="en-US"/>
              </w:rPr>
              <w:t>Josh Hunter</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Ontario</w:t>
            </w:r>
            <w:r>
              <w:rPr>
                <w:rFonts w:cs="Times New Roman"/>
                <w:sz w:val="20"/>
                <w:szCs w:val="20"/>
              </w:rPr>
              <w:t>.</w:t>
            </w:r>
          </w:p>
          <w:p w:rsidR="00D27FF2" w:rsidRPr="00491640" w:rsidRDefault="00D27FF2" w:rsidP="00D27FF2">
            <w:pPr>
              <w:spacing w:line="233" w:lineRule="auto"/>
              <w:jc w:val="both"/>
              <w:rPr>
                <w:rFonts w:cs="Times New Roman"/>
                <w:sz w:val="20"/>
                <w:szCs w:val="20"/>
              </w:rPr>
            </w:pPr>
          </w:p>
          <w:p w:rsidR="00D27FF2" w:rsidRPr="00491640" w:rsidRDefault="00D27FF2" w:rsidP="00D27FF2">
            <w:pPr>
              <w:spacing w:line="233" w:lineRule="auto"/>
              <w:jc w:val="both"/>
              <w:rPr>
                <w:rFonts w:cs="Times New Roman"/>
                <w:sz w:val="20"/>
                <w:szCs w:val="20"/>
                <w:lang w:val="fr-CA"/>
              </w:rPr>
            </w:pPr>
            <w:r w:rsidRPr="00491640">
              <w:rPr>
                <w:rFonts w:cs="Times New Roman"/>
                <w:sz w:val="20"/>
                <w:szCs w:val="20"/>
                <w:lang w:val="fr-CA"/>
              </w:rPr>
              <w:t>Jean-Yves Bernard</w:t>
            </w:r>
            <w:r>
              <w:rPr>
                <w:rFonts w:cs="Times New Roman"/>
                <w:sz w:val="20"/>
                <w:szCs w:val="20"/>
                <w:lang w:val="fr-CA"/>
              </w:rPr>
              <w:t xml:space="preserve"> et </w:t>
            </w:r>
            <w:r w:rsidRPr="00491640">
              <w:rPr>
                <w:rFonts w:cs="Times New Roman"/>
                <w:sz w:val="20"/>
                <w:szCs w:val="20"/>
                <w:lang w:val="fr-CA"/>
              </w:rPr>
              <w:t>Jean-François Beaupré</w:t>
            </w:r>
            <w:r>
              <w:rPr>
                <w:rFonts w:cs="Times New Roman"/>
                <w:sz w:val="20"/>
                <w:szCs w:val="20"/>
                <w:lang w:val="fr-CA"/>
              </w:rPr>
              <w:t xml:space="preserve"> po</w:t>
            </w:r>
            <w:r w:rsidRPr="00491640">
              <w:rPr>
                <w:rFonts w:cs="Times New Roman"/>
                <w:sz w:val="20"/>
                <w:szCs w:val="20"/>
                <w:lang w:val="fr-CA"/>
              </w:rPr>
              <w:t>ur l’intervenant</w:t>
            </w:r>
            <w:r>
              <w:rPr>
                <w:rFonts w:cs="Times New Roman"/>
                <w:sz w:val="20"/>
                <w:szCs w:val="20"/>
                <w:lang w:val="fr-CA"/>
              </w:rPr>
              <w:t xml:space="preserve"> </w:t>
            </w:r>
            <w:r w:rsidRPr="00491640">
              <w:rPr>
                <w:rFonts w:cs="Times New Roman"/>
                <w:sz w:val="20"/>
                <w:szCs w:val="20"/>
                <w:lang w:val="fr-CA"/>
              </w:rPr>
              <w:t>Procureur général du Québec</w:t>
            </w:r>
            <w:r>
              <w:rPr>
                <w:rFonts w:cs="Times New Roman"/>
                <w:sz w:val="20"/>
                <w:szCs w:val="20"/>
                <w:lang w:val="fr-CA"/>
              </w:rPr>
              <w:t>.</w:t>
            </w:r>
          </w:p>
          <w:p w:rsidR="00D27FF2" w:rsidRPr="00491640" w:rsidRDefault="00D27FF2" w:rsidP="00D27FF2">
            <w:pPr>
              <w:spacing w:line="233" w:lineRule="auto"/>
              <w:jc w:val="both"/>
              <w:rPr>
                <w:rFonts w:cs="Times New Roman"/>
                <w:sz w:val="20"/>
                <w:szCs w:val="20"/>
                <w:lang w:val="fr-CA"/>
              </w:rPr>
            </w:pPr>
          </w:p>
          <w:p w:rsidR="00D27FF2" w:rsidRPr="00491640" w:rsidRDefault="00D27FF2" w:rsidP="00D27FF2">
            <w:pPr>
              <w:spacing w:line="233" w:lineRule="auto"/>
              <w:jc w:val="both"/>
              <w:rPr>
                <w:rFonts w:cs="Times New Roman"/>
                <w:sz w:val="20"/>
                <w:szCs w:val="20"/>
              </w:rPr>
            </w:pPr>
            <w:r w:rsidRPr="00491640">
              <w:rPr>
                <w:rFonts w:cs="Times New Roman"/>
                <w:sz w:val="20"/>
                <w:szCs w:val="20"/>
                <w:lang w:val="en-US"/>
              </w:rPr>
              <w:t>Edward A. Gores, Q.C.</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Nova Scotia</w:t>
            </w:r>
            <w:r>
              <w:rPr>
                <w:rFonts w:cs="Times New Roman"/>
                <w:sz w:val="20"/>
                <w:szCs w:val="20"/>
              </w:rPr>
              <w:t>.</w:t>
            </w:r>
          </w:p>
          <w:p w:rsidR="00D27FF2" w:rsidRPr="00491640" w:rsidRDefault="00D27FF2" w:rsidP="00D27FF2">
            <w:pPr>
              <w:spacing w:line="233" w:lineRule="auto"/>
              <w:jc w:val="both"/>
              <w:rPr>
                <w:rFonts w:cs="Times New Roman"/>
                <w:sz w:val="20"/>
                <w:szCs w:val="20"/>
              </w:rPr>
            </w:pPr>
          </w:p>
          <w:p w:rsidR="00D27FF2" w:rsidRPr="00491640" w:rsidRDefault="00D27FF2" w:rsidP="00D27FF2">
            <w:pPr>
              <w:spacing w:line="233" w:lineRule="auto"/>
              <w:jc w:val="both"/>
              <w:rPr>
                <w:rFonts w:cs="Times New Roman"/>
                <w:sz w:val="20"/>
                <w:szCs w:val="20"/>
              </w:rPr>
            </w:pPr>
            <w:r w:rsidRPr="00491640">
              <w:rPr>
                <w:rFonts w:cs="Times New Roman"/>
                <w:sz w:val="20"/>
                <w:szCs w:val="20"/>
                <w:lang w:val="en-US"/>
              </w:rPr>
              <w:t>Heather S. Leonoff, Q.C.</w:t>
            </w:r>
            <w:r>
              <w:rPr>
                <w:rFonts w:cs="Times New Roman"/>
                <w:sz w:val="20"/>
                <w:szCs w:val="20"/>
                <w:lang w:val="en-US"/>
              </w:rPr>
              <w:t xml:space="preserve"> and </w:t>
            </w:r>
            <w:r w:rsidRPr="00491640">
              <w:rPr>
                <w:rFonts w:cs="Times New Roman"/>
                <w:sz w:val="20"/>
                <w:szCs w:val="20"/>
                <w:lang w:val="en-US"/>
              </w:rPr>
              <w:t>Charles Murray</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Manitoba</w:t>
            </w:r>
            <w:r>
              <w:rPr>
                <w:rFonts w:cs="Times New Roman"/>
                <w:sz w:val="20"/>
                <w:szCs w:val="20"/>
              </w:rPr>
              <w:t>.</w:t>
            </w:r>
          </w:p>
          <w:p w:rsidR="00D27FF2" w:rsidRPr="00491640" w:rsidRDefault="00D27FF2" w:rsidP="00D27FF2">
            <w:pPr>
              <w:spacing w:line="233" w:lineRule="auto"/>
              <w:jc w:val="both"/>
              <w:rPr>
                <w:rFonts w:cs="Times New Roman"/>
                <w:sz w:val="20"/>
                <w:szCs w:val="20"/>
              </w:rPr>
            </w:pPr>
          </w:p>
          <w:p w:rsidR="00D27FF2" w:rsidRDefault="00D27FF2" w:rsidP="00D27FF2">
            <w:pPr>
              <w:spacing w:line="233" w:lineRule="auto"/>
              <w:jc w:val="both"/>
              <w:rPr>
                <w:rFonts w:cs="Times New Roman"/>
                <w:sz w:val="20"/>
                <w:szCs w:val="20"/>
              </w:rPr>
            </w:pPr>
            <w:r w:rsidRPr="00491640">
              <w:rPr>
                <w:rFonts w:cs="Times New Roman"/>
                <w:sz w:val="20"/>
                <w:szCs w:val="20"/>
                <w:lang w:val="en-US"/>
              </w:rPr>
              <w:t>Denis Thériault</w:t>
            </w:r>
            <w:r>
              <w:rPr>
                <w:rFonts w:cs="Times New Roman"/>
                <w:sz w:val="20"/>
                <w:szCs w:val="20"/>
                <w:lang w:val="en-US"/>
              </w:rPr>
              <w:t xml:space="preserve"> and </w:t>
            </w:r>
            <w:r w:rsidRPr="00491640">
              <w:rPr>
                <w:rFonts w:cs="Times New Roman"/>
                <w:sz w:val="20"/>
                <w:szCs w:val="20"/>
                <w:lang w:val="en-US"/>
              </w:rPr>
              <w:t>David D. Eidt</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New Brunswick</w:t>
            </w:r>
            <w:r>
              <w:rPr>
                <w:rFonts w:cs="Times New Roman"/>
                <w:sz w:val="20"/>
                <w:szCs w:val="20"/>
              </w:rPr>
              <w:t>.</w:t>
            </w:r>
          </w:p>
          <w:p w:rsidR="00550B1F" w:rsidRDefault="00550B1F" w:rsidP="008F1BDA">
            <w:pPr>
              <w:widowControl w:val="0"/>
              <w:jc w:val="both"/>
              <w:rPr>
                <w:sz w:val="20"/>
                <w:szCs w:val="20"/>
              </w:rPr>
            </w:pPr>
          </w:p>
          <w:p w:rsidR="00D27FF2" w:rsidRPr="00DF0123" w:rsidRDefault="00D27FF2" w:rsidP="00D27FF2">
            <w:pPr>
              <w:spacing w:line="233" w:lineRule="auto"/>
              <w:jc w:val="both"/>
              <w:rPr>
                <w:rFonts w:cs="Times New Roman"/>
                <w:b/>
                <w:sz w:val="20"/>
                <w:szCs w:val="20"/>
                <w:u w:val="single"/>
              </w:rPr>
            </w:pPr>
            <w:r w:rsidRPr="00DF0123">
              <w:rPr>
                <w:rFonts w:cs="Times New Roman"/>
                <w:b/>
                <w:sz w:val="20"/>
                <w:szCs w:val="20"/>
                <w:u w:val="single"/>
              </w:rPr>
              <w:t xml:space="preserve">November 13, 2013 / </w:t>
            </w:r>
            <w:r w:rsidRPr="00DF0123">
              <w:rPr>
                <w:rFonts w:cs="Times New Roman"/>
                <w:b/>
                <w:bCs/>
                <w:sz w:val="20"/>
                <w:szCs w:val="20"/>
                <w:u w:val="single"/>
              </w:rPr>
              <w:t>Le 13 novembre 2013</w:t>
            </w:r>
          </w:p>
          <w:p w:rsidR="00D27FF2" w:rsidRDefault="00D27FF2" w:rsidP="008F1BDA">
            <w:pPr>
              <w:widowControl w:val="0"/>
              <w:jc w:val="both"/>
              <w:rPr>
                <w:sz w:val="20"/>
                <w:szCs w:val="20"/>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Nancy E. Brown</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British Columbia</w:t>
            </w:r>
            <w:r>
              <w:rPr>
                <w:rFonts w:cs="Times New Roman"/>
                <w:sz w:val="20"/>
                <w:szCs w:val="20"/>
              </w:rPr>
              <w:t>.</w:t>
            </w:r>
          </w:p>
          <w:p w:rsidR="00567C72" w:rsidRPr="00491640" w:rsidRDefault="00567C72" w:rsidP="00567C72">
            <w:pPr>
              <w:spacing w:line="233" w:lineRule="auto"/>
              <w:jc w:val="both"/>
              <w:rPr>
                <w:rFonts w:cs="Times New Roman"/>
                <w:sz w:val="20"/>
                <w:szCs w:val="20"/>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D. Spencer Campbell, Q.C.</w:t>
            </w:r>
            <w:r>
              <w:rPr>
                <w:rFonts w:cs="Times New Roman"/>
                <w:sz w:val="20"/>
                <w:szCs w:val="20"/>
                <w:lang w:val="en-US"/>
              </w:rPr>
              <w:t xml:space="preserve">, </w:t>
            </w:r>
            <w:r w:rsidRPr="00491640">
              <w:rPr>
                <w:rFonts w:cs="Times New Roman"/>
                <w:sz w:val="20"/>
                <w:szCs w:val="20"/>
              </w:rPr>
              <w:t>Rosemary S. Scott, Q.C.</w:t>
            </w:r>
            <w:r>
              <w:rPr>
                <w:rFonts w:cs="Times New Roman"/>
                <w:sz w:val="20"/>
                <w:szCs w:val="20"/>
              </w:rPr>
              <w:t xml:space="preserve"> and </w:t>
            </w:r>
            <w:r w:rsidRPr="00491640">
              <w:rPr>
                <w:rFonts w:cs="Times New Roman"/>
                <w:sz w:val="20"/>
                <w:szCs w:val="20"/>
              </w:rPr>
              <w:t>Jonathan M. Coady</w:t>
            </w:r>
            <w:r>
              <w:rPr>
                <w:rFonts w:cs="Times New Roman"/>
                <w:sz w:val="20"/>
                <w:szCs w:val="20"/>
              </w:rPr>
              <w:t xml:space="preserve"> f</w:t>
            </w:r>
            <w:r w:rsidRPr="00491640">
              <w:rPr>
                <w:rFonts w:cs="Times New Roman"/>
                <w:sz w:val="20"/>
                <w:szCs w:val="20"/>
                <w:lang w:val="en-US"/>
              </w:rPr>
              <w:t>or the Intervener</w:t>
            </w:r>
            <w:r>
              <w:rPr>
                <w:rFonts w:cs="Times New Roman"/>
                <w:sz w:val="20"/>
                <w:szCs w:val="20"/>
                <w:lang w:val="en-US"/>
              </w:rPr>
              <w:t xml:space="preserve"> </w:t>
            </w:r>
            <w:r w:rsidRPr="00491640">
              <w:rPr>
                <w:rFonts w:cs="Times New Roman"/>
                <w:sz w:val="20"/>
                <w:szCs w:val="20"/>
              </w:rPr>
              <w:t>Attorney General of Prince Edward Island</w:t>
            </w:r>
            <w:r>
              <w:rPr>
                <w:rFonts w:cs="Times New Roman"/>
                <w:sz w:val="20"/>
                <w:szCs w:val="20"/>
              </w:rPr>
              <w:t>.</w:t>
            </w:r>
          </w:p>
          <w:p w:rsidR="00567C72" w:rsidRPr="00491640" w:rsidRDefault="00567C72" w:rsidP="00567C72">
            <w:pPr>
              <w:spacing w:line="233" w:lineRule="auto"/>
              <w:jc w:val="both"/>
              <w:rPr>
                <w:rFonts w:cs="Times New Roman"/>
                <w:sz w:val="20"/>
                <w:szCs w:val="20"/>
                <w:lang w:val="en-US"/>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Graeme G.Mitchell, Q.C.</w:t>
            </w:r>
            <w:r>
              <w:rPr>
                <w:rFonts w:cs="Times New Roman"/>
                <w:sz w:val="20"/>
                <w:szCs w:val="20"/>
                <w:lang w:val="en-US"/>
              </w:rPr>
              <w:t xml:space="preserve"> and </w:t>
            </w:r>
            <w:r w:rsidRPr="00491640">
              <w:rPr>
                <w:rFonts w:cs="Times New Roman"/>
                <w:sz w:val="20"/>
                <w:szCs w:val="20"/>
              </w:rPr>
              <w:t>J. Thomson Irvine</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for Saskatchewan</w:t>
            </w:r>
            <w:r>
              <w:rPr>
                <w:rFonts w:cs="Times New Roman"/>
                <w:sz w:val="20"/>
                <w:szCs w:val="20"/>
              </w:rPr>
              <w:t>.</w:t>
            </w:r>
          </w:p>
          <w:p w:rsidR="00567C72" w:rsidRPr="00491640" w:rsidRDefault="00567C72" w:rsidP="00567C72">
            <w:pPr>
              <w:spacing w:line="233" w:lineRule="auto"/>
              <w:jc w:val="both"/>
              <w:rPr>
                <w:rFonts w:cs="Times New Roman"/>
                <w:sz w:val="20"/>
                <w:szCs w:val="20"/>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Margaret Unsworth, Q.C.</w:t>
            </w:r>
            <w:r>
              <w:rPr>
                <w:rFonts w:cs="Times New Roman"/>
                <w:sz w:val="20"/>
                <w:szCs w:val="20"/>
                <w:lang w:val="en-US"/>
              </w:rPr>
              <w:t xml:space="preserve">, </w:t>
            </w:r>
            <w:r w:rsidRPr="00491640">
              <w:rPr>
                <w:rFonts w:cs="Times New Roman"/>
                <w:sz w:val="20"/>
                <w:szCs w:val="20"/>
              </w:rPr>
              <w:t>Randy Steele</w:t>
            </w:r>
            <w:r>
              <w:rPr>
                <w:rFonts w:cs="Times New Roman"/>
                <w:sz w:val="20"/>
                <w:szCs w:val="20"/>
              </w:rPr>
              <w:t xml:space="preserve"> and </w:t>
            </w:r>
            <w:r w:rsidRPr="00491640">
              <w:rPr>
                <w:rFonts w:cs="Times New Roman"/>
                <w:sz w:val="20"/>
                <w:szCs w:val="20"/>
              </w:rPr>
              <w:t>Donald Padget</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Alberta</w:t>
            </w:r>
            <w:r>
              <w:rPr>
                <w:rFonts w:cs="Times New Roman"/>
                <w:sz w:val="20"/>
                <w:szCs w:val="20"/>
              </w:rPr>
              <w:t>.</w:t>
            </w:r>
          </w:p>
          <w:p w:rsidR="00567C72" w:rsidRPr="00491640" w:rsidRDefault="00567C72" w:rsidP="00567C72">
            <w:pPr>
              <w:spacing w:line="233" w:lineRule="auto"/>
              <w:jc w:val="both"/>
              <w:rPr>
                <w:rFonts w:cs="Times New Roman"/>
                <w:sz w:val="20"/>
                <w:szCs w:val="20"/>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Philip Osborne</w:t>
            </w:r>
            <w:r>
              <w:rPr>
                <w:rFonts w:cs="Times New Roman"/>
                <w:sz w:val="20"/>
                <w:szCs w:val="20"/>
                <w:lang w:val="en-US"/>
              </w:rPr>
              <w:t xml:space="preserve"> and </w:t>
            </w:r>
            <w:r w:rsidRPr="00491640">
              <w:rPr>
                <w:rFonts w:cs="Times New Roman"/>
                <w:sz w:val="20"/>
                <w:szCs w:val="20"/>
                <w:lang w:val="en-US"/>
              </w:rPr>
              <w:t>Barbara G. Barrowman</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rPr>
              <w:t>Attorney General of Newfoundland and Labrador</w:t>
            </w:r>
            <w:r>
              <w:rPr>
                <w:rFonts w:cs="Times New Roman"/>
                <w:sz w:val="20"/>
                <w:szCs w:val="20"/>
              </w:rPr>
              <w:t>.</w:t>
            </w:r>
          </w:p>
          <w:p w:rsidR="00567C72" w:rsidRPr="00491640" w:rsidRDefault="00567C72" w:rsidP="00567C72">
            <w:pPr>
              <w:spacing w:line="233" w:lineRule="auto"/>
              <w:jc w:val="both"/>
              <w:rPr>
                <w:rFonts w:cs="Times New Roman"/>
                <w:sz w:val="20"/>
                <w:szCs w:val="20"/>
              </w:rPr>
            </w:pPr>
          </w:p>
          <w:p w:rsidR="00567C72" w:rsidRPr="00491640" w:rsidRDefault="00567C72" w:rsidP="00567C72">
            <w:pPr>
              <w:spacing w:line="233" w:lineRule="auto"/>
              <w:jc w:val="both"/>
              <w:rPr>
                <w:rFonts w:cs="Times New Roman"/>
                <w:sz w:val="20"/>
                <w:szCs w:val="20"/>
              </w:rPr>
            </w:pPr>
            <w:r w:rsidRPr="00491640">
              <w:rPr>
                <w:rFonts w:cs="Times New Roman"/>
                <w:sz w:val="20"/>
                <w:szCs w:val="20"/>
                <w:lang w:val="en-US"/>
              </w:rPr>
              <w:t>Bradley E. Patzer</w:t>
            </w:r>
            <w:r>
              <w:rPr>
                <w:rFonts w:cs="Times New Roman"/>
                <w:sz w:val="20"/>
                <w:szCs w:val="20"/>
                <w:lang w:val="en-US"/>
              </w:rPr>
              <w:t xml:space="preserve"> and </w:t>
            </w:r>
            <w:r w:rsidRPr="00491640">
              <w:rPr>
                <w:rFonts w:cs="Times New Roman"/>
                <w:sz w:val="20"/>
                <w:szCs w:val="20"/>
              </w:rPr>
              <w:t>Anne F. Walker</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A</w:t>
            </w:r>
            <w:r w:rsidRPr="00491640">
              <w:rPr>
                <w:rFonts w:cs="Times New Roman"/>
                <w:sz w:val="20"/>
                <w:szCs w:val="20"/>
              </w:rPr>
              <w:t xml:space="preserve">ttorney General of Northwest </w:t>
            </w:r>
            <w:r w:rsidRPr="00491640">
              <w:rPr>
                <w:rFonts w:cs="Times New Roman"/>
                <w:sz w:val="20"/>
                <w:szCs w:val="20"/>
                <w:lang w:val="en-US"/>
              </w:rPr>
              <w:t>Territories</w:t>
            </w:r>
            <w:r>
              <w:rPr>
                <w:rFonts w:cs="Times New Roman"/>
                <w:sz w:val="20"/>
                <w:szCs w:val="20"/>
                <w:lang w:val="en-US"/>
              </w:rPr>
              <w:t>.</w:t>
            </w:r>
          </w:p>
          <w:p w:rsidR="00567C72" w:rsidRPr="00491640" w:rsidRDefault="00567C72" w:rsidP="00567C72">
            <w:pPr>
              <w:spacing w:line="233" w:lineRule="auto"/>
              <w:jc w:val="both"/>
              <w:rPr>
                <w:rFonts w:cs="Times New Roman"/>
                <w:sz w:val="20"/>
                <w:szCs w:val="20"/>
              </w:rPr>
            </w:pPr>
          </w:p>
          <w:p w:rsidR="00567C72" w:rsidRPr="00491640" w:rsidRDefault="00567C72" w:rsidP="00567C72">
            <w:pPr>
              <w:spacing w:line="233" w:lineRule="auto"/>
              <w:jc w:val="both"/>
              <w:rPr>
                <w:rFonts w:cs="Times New Roman"/>
                <w:sz w:val="20"/>
                <w:szCs w:val="20"/>
                <w:lang w:val="en-US"/>
              </w:rPr>
            </w:pPr>
            <w:r w:rsidRPr="00491640">
              <w:rPr>
                <w:rFonts w:cs="Times New Roman"/>
                <w:sz w:val="20"/>
                <w:szCs w:val="20"/>
                <w:lang w:val="en-US"/>
              </w:rPr>
              <w:t>Norman M. Tarnow</w:t>
            </w:r>
            <w:r>
              <w:rPr>
                <w:rFonts w:cs="Times New Roman"/>
                <w:sz w:val="20"/>
                <w:szCs w:val="20"/>
                <w:lang w:val="en-US"/>
              </w:rPr>
              <w:t xml:space="preserve"> and </w:t>
            </w:r>
            <w:r w:rsidRPr="00491640">
              <w:rPr>
                <w:rFonts w:cs="Times New Roman"/>
                <w:sz w:val="20"/>
                <w:szCs w:val="20"/>
              </w:rPr>
              <w:t>Adrienne E. Silk</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A</w:t>
            </w:r>
            <w:r w:rsidRPr="00491640">
              <w:rPr>
                <w:rFonts w:cs="Times New Roman"/>
                <w:sz w:val="20"/>
                <w:szCs w:val="20"/>
              </w:rPr>
              <w:t xml:space="preserve">ttorney General of </w:t>
            </w:r>
            <w:r w:rsidRPr="00491640">
              <w:rPr>
                <w:rFonts w:cs="Times New Roman"/>
                <w:sz w:val="20"/>
                <w:szCs w:val="20"/>
                <w:lang w:val="en-US"/>
              </w:rPr>
              <w:t>Nunavut</w:t>
            </w:r>
            <w:r>
              <w:rPr>
                <w:rFonts w:cs="Times New Roman"/>
                <w:sz w:val="20"/>
                <w:szCs w:val="20"/>
                <w:lang w:val="en-US"/>
              </w:rPr>
              <w:t>.</w:t>
            </w:r>
          </w:p>
          <w:p w:rsidR="00567C72" w:rsidRPr="00491640" w:rsidRDefault="00567C72" w:rsidP="00567C72">
            <w:pPr>
              <w:spacing w:line="233" w:lineRule="auto"/>
              <w:jc w:val="both"/>
              <w:rPr>
                <w:rFonts w:cs="Times New Roman"/>
                <w:sz w:val="20"/>
                <w:szCs w:val="20"/>
                <w:lang w:val="en-US"/>
              </w:rPr>
            </w:pPr>
          </w:p>
          <w:p w:rsidR="00567C72" w:rsidRPr="00491640" w:rsidRDefault="00567C72" w:rsidP="00567C72">
            <w:pPr>
              <w:spacing w:line="233" w:lineRule="auto"/>
              <w:jc w:val="both"/>
              <w:rPr>
                <w:rFonts w:cs="Times New Roman"/>
                <w:sz w:val="20"/>
                <w:szCs w:val="20"/>
                <w:lang w:val="fr-CA"/>
              </w:rPr>
            </w:pPr>
            <w:r w:rsidRPr="00491640">
              <w:rPr>
                <w:rFonts w:cs="Times New Roman"/>
                <w:sz w:val="20"/>
                <w:szCs w:val="20"/>
                <w:lang w:val="fr-CA"/>
              </w:rPr>
              <w:t>Sébastien Grammond</w:t>
            </w:r>
            <w:r>
              <w:rPr>
                <w:rFonts w:cs="Times New Roman"/>
                <w:sz w:val="20"/>
                <w:szCs w:val="20"/>
                <w:lang w:val="fr-CA"/>
              </w:rPr>
              <w:t xml:space="preserve">, </w:t>
            </w:r>
            <w:r w:rsidRPr="00491640">
              <w:rPr>
                <w:rFonts w:cs="Times New Roman"/>
                <w:sz w:val="20"/>
                <w:szCs w:val="20"/>
                <w:lang w:val="fr-CA"/>
              </w:rPr>
              <w:t>Mark C. Power</w:t>
            </w:r>
            <w:r>
              <w:rPr>
                <w:rFonts w:cs="Times New Roman"/>
                <w:sz w:val="20"/>
                <w:szCs w:val="20"/>
                <w:lang w:val="fr-CA"/>
              </w:rPr>
              <w:t xml:space="preserve">, </w:t>
            </w:r>
            <w:r w:rsidRPr="00491640">
              <w:rPr>
                <w:rFonts w:cs="Times New Roman"/>
                <w:sz w:val="20"/>
                <w:szCs w:val="20"/>
                <w:lang w:val="fr-CA"/>
              </w:rPr>
              <w:t>Jennifer Klinck</w:t>
            </w:r>
            <w:r>
              <w:rPr>
                <w:rFonts w:cs="Times New Roman"/>
                <w:sz w:val="20"/>
                <w:szCs w:val="20"/>
                <w:lang w:val="fr-CA"/>
              </w:rPr>
              <w:t xml:space="preserve"> and </w:t>
            </w:r>
            <w:r w:rsidRPr="00491640">
              <w:rPr>
                <w:rFonts w:cs="Times New Roman"/>
                <w:sz w:val="20"/>
                <w:szCs w:val="20"/>
                <w:lang w:val="fr-CA"/>
              </w:rPr>
              <w:t>Perri Ravon</w:t>
            </w:r>
            <w:r>
              <w:rPr>
                <w:rFonts w:cs="Times New Roman"/>
                <w:sz w:val="20"/>
                <w:szCs w:val="20"/>
                <w:lang w:val="fr-CA"/>
              </w:rPr>
              <w:t xml:space="preserve"> p</w:t>
            </w:r>
            <w:r w:rsidRPr="00491640">
              <w:rPr>
                <w:rFonts w:cs="Times New Roman"/>
                <w:sz w:val="20"/>
                <w:szCs w:val="20"/>
                <w:lang w:val="fr-CA"/>
              </w:rPr>
              <w:t>our l’intervenante</w:t>
            </w:r>
            <w:r>
              <w:rPr>
                <w:rFonts w:cs="Times New Roman"/>
                <w:sz w:val="20"/>
                <w:szCs w:val="20"/>
                <w:lang w:val="fr-CA"/>
              </w:rPr>
              <w:t xml:space="preserve"> </w:t>
            </w:r>
            <w:r w:rsidRPr="00491640">
              <w:rPr>
                <w:rFonts w:cs="Times New Roman"/>
                <w:sz w:val="20"/>
                <w:szCs w:val="20"/>
                <w:lang w:val="fr-CA"/>
              </w:rPr>
              <w:t>Fédération des communautés Francophones et acadienne du Canada</w:t>
            </w:r>
            <w:r>
              <w:rPr>
                <w:rFonts w:cs="Times New Roman"/>
                <w:sz w:val="20"/>
                <w:szCs w:val="20"/>
                <w:lang w:val="fr-CA"/>
              </w:rPr>
              <w:t>.</w:t>
            </w:r>
          </w:p>
          <w:p w:rsidR="00567C72" w:rsidRPr="00491640" w:rsidRDefault="00567C72" w:rsidP="00567C72">
            <w:pPr>
              <w:spacing w:line="233" w:lineRule="auto"/>
              <w:jc w:val="both"/>
              <w:rPr>
                <w:rFonts w:cs="Times New Roman"/>
                <w:sz w:val="20"/>
                <w:szCs w:val="20"/>
                <w:lang w:val="fr-CA"/>
              </w:rPr>
            </w:pPr>
          </w:p>
          <w:p w:rsidR="00567C72" w:rsidRPr="00491640" w:rsidRDefault="00567C72" w:rsidP="00233DB4">
            <w:pPr>
              <w:spacing w:line="233" w:lineRule="auto"/>
              <w:jc w:val="both"/>
              <w:rPr>
                <w:rFonts w:cs="Times New Roman"/>
                <w:sz w:val="20"/>
                <w:szCs w:val="20"/>
                <w:lang w:val="fr-CA"/>
              </w:rPr>
            </w:pPr>
            <w:r w:rsidRPr="00491640">
              <w:rPr>
                <w:rFonts w:cs="Times New Roman"/>
                <w:sz w:val="20"/>
                <w:szCs w:val="20"/>
                <w:lang w:val="fr-CA"/>
              </w:rPr>
              <w:t>Serge Rousselle</w:t>
            </w:r>
            <w:r>
              <w:rPr>
                <w:rFonts w:cs="Times New Roman"/>
                <w:sz w:val="20"/>
                <w:szCs w:val="20"/>
                <w:lang w:val="fr-CA"/>
              </w:rPr>
              <w:t xml:space="preserve"> p</w:t>
            </w:r>
            <w:r w:rsidRPr="00491640">
              <w:rPr>
                <w:rFonts w:cs="Times New Roman"/>
                <w:sz w:val="20"/>
                <w:szCs w:val="20"/>
                <w:lang w:val="fr-CA"/>
              </w:rPr>
              <w:t>our l’intervenante</w:t>
            </w:r>
            <w:r w:rsidRPr="00491640">
              <w:rPr>
                <w:rFonts w:cs="Times New Roman"/>
                <w:sz w:val="20"/>
                <w:szCs w:val="20"/>
                <w:lang w:val="fr-CA"/>
              </w:rPr>
              <w:tab/>
            </w:r>
            <w:r>
              <w:rPr>
                <w:rFonts w:cs="Times New Roman"/>
                <w:sz w:val="20"/>
                <w:szCs w:val="20"/>
                <w:lang w:val="fr-CA"/>
              </w:rPr>
              <w:t xml:space="preserve"> </w:t>
            </w:r>
            <w:r w:rsidRPr="00491640">
              <w:rPr>
                <w:rFonts w:cs="Times New Roman"/>
                <w:sz w:val="20"/>
                <w:szCs w:val="20"/>
                <w:lang w:val="fr-CA"/>
              </w:rPr>
              <w:t>Société</w:t>
            </w:r>
            <w:r w:rsidR="00233DB4">
              <w:rPr>
                <w:rFonts w:cs="Times New Roman"/>
                <w:sz w:val="20"/>
                <w:szCs w:val="20"/>
                <w:lang w:val="fr-CA"/>
              </w:rPr>
              <w:t> </w:t>
            </w:r>
            <w:r w:rsidR="0031725E">
              <w:rPr>
                <w:rFonts w:cs="Times New Roman"/>
                <w:sz w:val="20"/>
                <w:szCs w:val="20"/>
                <w:lang w:val="fr-CA"/>
              </w:rPr>
              <w:t>d</w:t>
            </w:r>
            <w:r w:rsidRPr="00491640">
              <w:rPr>
                <w:rFonts w:cs="Times New Roman"/>
                <w:sz w:val="20"/>
                <w:szCs w:val="20"/>
                <w:lang w:val="fr-CA"/>
              </w:rPr>
              <w:t xml:space="preserve">e </w:t>
            </w:r>
            <w:r w:rsidRPr="00491640">
              <w:rPr>
                <w:rFonts w:cs="Times New Roman"/>
                <w:sz w:val="20"/>
                <w:szCs w:val="20"/>
                <w:lang w:val="fr-CA"/>
              </w:rPr>
              <w:lastRenderedPageBreak/>
              <w:t>l</w:t>
            </w:r>
            <w:r w:rsidR="0031725E">
              <w:rPr>
                <w:rFonts w:cs="Times New Roman"/>
                <w:sz w:val="20"/>
                <w:szCs w:val="20"/>
                <w:lang w:val="fr-CA"/>
              </w:rPr>
              <w:t>’</w:t>
            </w:r>
            <w:r w:rsidRPr="00491640">
              <w:rPr>
                <w:rFonts w:cs="Times New Roman"/>
                <w:sz w:val="20"/>
                <w:szCs w:val="20"/>
                <w:lang w:val="fr-CA"/>
              </w:rPr>
              <w:t>Acadie du Nouveau-Brunswick Inc.</w:t>
            </w:r>
          </w:p>
          <w:p w:rsidR="00567C72" w:rsidRPr="00491640" w:rsidRDefault="00567C72" w:rsidP="00567C72">
            <w:pPr>
              <w:spacing w:line="233" w:lineRule="auto"/>
              <w:jc w:val="both"/>
              <w:rPr>
                <w:rFonts w:cs="Times New Roman"/>
                <w:sz w:val="20"/>
                <w:szCs w:val="20"/>
                <w:lang w:val="fr-CA"/>
              </w:rPr>
            </w:pPr>
          </w:p>
          <w:p w:rsidR="00567C72" w:rsidRPr="00491640" w:rsidRDefault="00567C72" w:rsidP="00567C72">
            <w:pPr>
              <w:spacing w:line="233" w:lineRule="auto"/>
              <w:jc w:val="both"/>
              <w:rPr>
                <w:rFonts w:cs="Times New Roman"/>
                <w:sz w:val="20"/>
                <w:szCs w:val="20"/>
                <w:lang w:val="en-US"/>
              </w:rPr>
            </w:pPr>
            <w:r w:rsidRPr="00491640">
              <w:rPr>
                <w:rFonts w:cs="Times New Roman"/>
                <w:sz w:val="20"/>
                <w:szCs w:val="20"/>
                <w:lang w:val="en-US"/>
              </w:rPr>
              <w:t>Hon. Serge Joyal, P.C.</w:t>
            </w:r>
            <w:r>
              <w:rPr>
                <w:rFonts w:cs="Times New Roman"/>
                <w:sz w:val="20"/>
                <w:szCs w:val="20"/>
                <w:lang w:val="en-US"/>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lang w:val="en-US"/>
              </w:rPr>
              <w:t>Hon. Serge Joyal, P.C.</w:t>
            </w:r>
          </w:p>
          <w:p w:rsidR="00567C72" w:rsidRPr="00491640" w:rsidRDefault="00567C72" w:rsidP="00567C72">
            <w:pPr>
              <w:spacing w:line="233" w:lineRule="auto"/>
              <w:jc w:val="both"/>
              <w:rPr>
                <w:rFonts w:cs="Times New Roman"/>
                <w:sz w:val="20"/>
                <w:szCs w:val="20"/>
                <w:lang w:val="en-US"/>
              </w:rPr>
            </w:pPr>
          </w:p>
          <w:p w:rsidR="00567C72" w:rsidRDefault="00567C72" w:rsidP="00567C72">
            <w:pPr>
              <w:spacing w:line="233" w:lineRule="auto"/>
              <w:jc w:val="both"/>
              <w:rPr>
                <w:rFonts w:cs="Times New Roman"/>
                <w:sz w:val="20"/>
                <w:szCs w:val="20"/>
                <w:lang w:val="en-US"/>
              </w:rPr>
            </w:pPr>
            <w:r w:rsidRPr="00491640">
              <w:rPr>
                <w:rFonts w:cs="Times New Roman"/>
                <w:sz w:val="20"/>
                <w:szCs w:val="20"/>
                <w:lang w:val="en-US"/>
              </w:rPr>
              <w:t>Nicholas Peter McHaffie</w:t>
            </w:r>
            <w:r>
              <w:rPr>
                <w:rFonts w:cs="Times New Roman"/>
                <w:sz w:val="20"/>
                <w:szCs w:val="20"/>
                <w:lang w:val="en-US"/>
              </w:rPr>
              <w:t xml:space="preserve"> and </w:t>
            </w:r>
            <w:r w:rsidRPr="00491640">
              <w:rPr>
                <w:rFonts w:cs="Times New Roman"/>
                <w:sz w:val="20"/>
                <w:szCs w:val="20"/>
              </w:rPr>
              <w:t>Paul Beaudry</w:t>
            </w:r>
            <w:r>
              <w:rPr>
                <w:rFonts w:cs="Times New Roman"/>
                <w:sz w:val="20"/>
                <w:szCs w:val="20"/>
              </w:rPr>
              <w:t xml:space="preserve"> f</w:t>
            </w:r>
            <w:r w:rsidRPr="00491640">
              <w:rPr>
                <w:rFonts w:cs="Times New Roman"/>
                <w:sz w:val="20"/>
                <w:szCs w:val="20"/>
                <w:lang w:val="en-US"/>
              </w:rPr>
              <w:t xml:space="preserve">or the </w:t>
            </w:r>
            <w:r>
              <w:rPr>
                <w:rFonts w:cs="Times New Roman"/>
                <w:sz w:val="20"/>
                <w:szCs w:val="20"/>
                <w:lang w:val="en-US"/>
              </w:rPr>
              <w:t>i</w:t>
            </w:r>
            <w:r w:rsidRPr="00491640">
              <w:rPr>
                <w:rFonts w:cs="Times New Roman"/>
                <w:sz w:val="20"/>
                <w:szCs w:val="20"/>
                <w:lang w:val="en-US"/>
              </w:rPr>
              <w:t>ntervener</w:t>
            </w:r>
            <w:r>
              <w:rPr>
                <w:rFonts w:cs="Times New Roman"/>
                <w:sz w:val="20"/>
                <w:szCs w:val="20"/>
                <w:lang w:val="en-US"/>
              </w:rPr>
              <w:t xml:space="preserve"> </w:t>
            </w:r>
            <w:r w:rsidRPr="00491640">
              <w:rPr>
                <w:rFonts w:cs="Times New Roman"/>
                <w:sz w:val="20"/>
                <w:szCs w:val="20"/>
                <w:lang w:val="en-US"/>
              </w:rPr>
              <w:t>Hon. Anne C. Cools</w:t>
            </w:r>
            <w:r>
              <w:rPr>
                <w:rFonts w:cs="Times New Roman"/>
                <w:sz w:val="20"/>
                <w:szCs w:val="20"/>
                <w:lang w:val="en-US"/>
              </w:rPr>
              <w:t>.</w:t>
            </w:r>
          </w:p>
          <w:p w:rsidR="00D27FF2" w:rsidRDefault="00D27FF2" w:rsidP="008F1BDA">
            <w:pPr>
              <w:widowControl w:val="0"/>
              <w:jc w:val="both"/>
              <w:rPr>
                <w:sz w:val="20"/>
                <w:szCs w:val="20"/>
                <w:lang w:val="en-US"/>
              </w:rPr>
            </w:pPr>
          </w:p>
          <w:p w:rsidR="00567C72" w:rsidRPr="00DF0123" w:rsidRDefault="00567C72" w:rsidP="00567C72">
            <w:pPr>
              <w:spacing w:line="233" w:lineRule="auto"/>
              <w:rPr>
                <w:rFonts w:cs="Times New Roman"/>
                <w:b/>
                <w:sz w:val="20"/>
                <w:szCs w:val="20"/>
                <w:u w:val="single"/>
                <w:lang w:val="en-US"/>
              </w:rPr>
            </w:pPr>
            <w:r w:rsidRPr="00DF0123">
              <w:rPr>
                <w:rFonts w:cs="Times New Roman"/>
                <w:b/>
                <w:sz w:val="20"/>
                <w:szCs w:val="20"/>
                <w:u w:val="single"/>
                <w:lang w:val="en-US"/>
              </w:rPr>
              <w:t>November 14, 2013 / Le 14 novembre 2013</w:t>
            </w:r>
          </w:p>
          <w:p w:rsidR="00567C72" w:rsidRDefault="00567C72" w:rsidP="008F1BDA">
            <w:pPr>
              <w:widowControl w:val="0"/>
              <w:jc w:val="both"/>
              <w:rPr>
                <w:sz w:val="20"/>
                <w:szCs w:val="20"/>
                <w:lang w:val="en-US"/>
              </w:rPr>
            </w:pPr>
          </w:p>
          <w:p w:rsidR="00567C72" w:rsidRPr="00567C72" w:rsidRDefault="00567C72" w:rsidP="00567C72">
            <w:pPr>
              <w:spacing w:line="233" w:lineRule="auto"/>
              <w:jc w:val="both"/>
              <w:rPr>
                <w:sz w:val="20"/>
                <w:szCs w:val="20"/>
              </w:rPr>
            </w:pPr>
            <w:r w:rsidRPr="004622AD">
              <w:rPr>
                <w:rFonts w:cs="Times New Roman"/>
                <w:sz w:val="20"/>
                <w:szCs w:val="20"/>
              </w:rPr>
              <w:t xml:space="preserve">Daniel Jutras, </w:t>
            </w:r>
            <w:r w:rsidRPr="004622AD">
              <w:rPr>
                <w:rFonts w:cs="Times New Roman"/>
                <w:sz w:val="20"/>
                <w:szCs w:val="20"/>
                <w:lang w:val="en-US"/>
              </w:rPr>
              <w:t>John J.L. Hunter, Q.C.</w:t>
            </w:r>
            <w:r>
              <w:rPr>
                <w:rFonts w:cs="Times New Roman"/>
                <w:sz w:val="20"/>
                <w:szCs w:val="20"/>
                <w:lang w:val="en-US"/>
              </w:rPr>
              <w:t xml:space="preserve">, </w:t>
            </w:r>
            <w:r w:rsidRPr="004622AD">
              <w:rPr>
                <w:rFonts w:cs="Times New Roman"/>
                <w:sz w:val="20"/>
                <w:szCs w:val="20"/>
              </w:rPr>
              <w:t xml:space="preserve">Brent B. Olthuis, Claire E. Hunter and </w:t>
            </w:r>
            <w:r w:rsidRPr="004622AD">
              <w:rPr>
                <w:rFonts w:cs="Times New Roman"/>
                <w:sz w:val="20"/>
                <w:szCs w:val="20"/>
                <w:lang w:val="en-US"/>
              </w:rPr>
              <w:t>Kate Glover</w:t>
            </w:r>
            <w:r>
              <w:rPr>
                <w:rFonts w:cs="Times New Roman"/>
                <w:sz w:val="20"/>
                <w:szCs w:val="20"/>
                <w:lang w:val="en-US"/>
              </w:rPr>
              <w:t xml:space="preserve"> </w:t>
            </w:r>
            <w:r w:rsidRPr="004622AD">
              <w:rPr>
                <w:rFonts w:cs="Times New Roman"/>
                <w:sz w:val="20"/>
                <w:szCs w:val="20"/>
              </w:rPr>
              <w:t>Amicus Curiae.</w:t>
            </w:r>
          </w:p>
        </w:tc>
      </w:tr>
    </w:tbl>
    <w:p w:rsidR="00E774E5" w:rsidRPr="00D27FF2" w:rsidRDefault="00E774E5" w:rsidP="00E774E5">
      <w:pPr>
        <w:widowControl w:val="0"/>
        <w:rPr>
          <w:sz w:val="20"/>
          <w:szCs w:val="20"/>
        </w:rPr>
      </w:pPr>
    </w:p>
    <w:p w:rsidR="00E774E5" w:rsidRPr="0085476B" w:rsidRDefault="00E774E5" w:rsidP="00E774E5">
      <w:pPr>
        <w:widowControl w:val="0"/>
        <w:rPr>
          <w:sz w:val="20"/>
          <w:szCs w:val="20"/>
        </w:rPr>
      </w:pPr>
      <w:r w:rsidRPr="0085476B">
        <w:rPr>
          <w:b/>
          <w:sz w:val="20"/>
          <w:szCs w:val="20"/>
        </w:rPr>
        <w:t xml:space="preserve">RESERVED / </w:t>
      </w:r>
      <w:r w:rsidRPr="0085476B">
        <w:rPr>
          <w:b/>
          <w:sz w:val="20"/>
          <w:szCs w:val="20"/>
          <w:lang w:val="fr-CA"/>
        </w:rPr>
        <w:t>EN DÉLIBÉRÉ</w:t>
      </w:r>
    </w:p>
    <w:p w:rsidR="00E774E5" w:rsidRDefault="00E774E5" w:rsidP="00E774E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774E5" w:rsidRPr="008138B5" w:rsidTr="008F1BDA">
        <w:tc>
          <w:tcPr>
            <w:tcW w:w="4380" w:type="dxa"/>
            <w:tcMar>
              <w:left w:w="0" w:type="dxa"/>
              <w:right w:w="0" w:type="dxa"/>
            </w:tcMar>
          </w:tcPr>
          <w:p w:rsidR="00E774E5" w:rsidRPr="00CC4D84" w:rsidRDefault="00E774E5" w:rsidP="008F1BDA">
            <w:pPr>
              <w:widowControl w:val="0"/>
              <w:jc w:val="both"/>
              <w:rPr>
                <w:b/>
                <w:sz w:val="20"/>
                <w:szCs w:val="20"/>
                <w:u w:val="single"/>
              </w:rPr>
            </w:pPr>
            <w:r w:rsidRPr="00CC4D84">
              <w:rPr>
                <w:b/>
                <w:sz w:val="20"/>
                <w:szCs w:val="20"/>
                <w:u w:val="single"/>
              </w:rPr>
              <w:t>Nature of the case:</w:t>
            </w:r>
          </w:p>
          <w:p w:rsidR="00E774E5" w:rsidRDefault="00E774E5" w:rsidP="008F1BDA">
            <w:pPr>
              <w:widowControl w:val="0"/>
              <w:jc w:val="both"/>
              <w:rPr>
                <w:b/>
                <w:sz w:val="20"/>
                <w:szCs w:val="20"/>
              </w:rPr>
            </w:pPr>
          </w:p>
          <w:p w:rsidR="00E774E5" w:rsidRPr="00C1697B" w:rsidRDefault="00550B1F" w:rsidP="00550B1F">
            <w:pPr>
              <w:widowControl w:val="0"/>
              <w:jc w:val="both"/>
              <w:rPr>
                <w:b/>
                <w:sz w:val="20"/>
                <w:szCs w:val="20"/>
              </w:rPr>
            </w:pPr>
            <w:r w:rsidRPr="004F212C">
              <w:rPr>
                <w:sz w:val="20"/>
                <w:szCs w:val="20"/>
              </w:rPr>
              <w:t xml:space="preserve">Constitutional law </w:t>
            </w:r>
            <w:r w:rsidRPr="004F212C">
              <w:rPr>
                <w:sz w:val="20"/>
                <w:szCs w:val="20"/>
              </w:rPr>
              <w:noBreakHyphen/>
              <w:t xml:space="preserve"> Amendment procedures </w:t>
            </w:r>
            <w:r w:rsidRPr="004F212C">
              <w:rPr>
                <w:sz w:val="20"/>
                <w:szCs w:val="20"/>
              </w:rPr>
              <w:noBreakHyphen/>
              <w:t xml:space="preserve"> Senate </w:t>
            </w:r>
            <w:r>
              <w:rPr>
                <w:sz w:val="20"/>
                <w:szCs w:val="20"/>
              </w:rPr>
              <w:t>–</w:t>
            </w:r>
            <w:r w:rsidRPr="004F212C">
              <w:rPr>
                <w:sz w:val="20"/>
                <w:szCs w:val="20"/>
              </w:rPr>
              <w:t xml:space="preserve"> Reference</w:t>
            </w:r>
            <w:r>
              <w:rPr>
                <w:sz w:val="20"/>
                <w:szCs w:val="20"/>
              </w:rPr>
              <w:t>.</w:t>
            </w:r>
          </w:p>
        </w:tc>
        <w:tc>
          <w:tcPr>
            <w:tcW w:w="720" w:type="dxa"/>
            <w:tcMar>
              <w:left w:w="0" w:type="dxa"/>
              <w:right w:w="0" w:type="dxa"/>
            </w:tcMar>
          </w:tcPr>
          <w:p w:rsidR="00E774E5" w:rsidRPr="00C1697B" w:rsidRDefault="00E774E5" w:rsidP="008F1BDA">
            <w:pPr>
              <w:widowControl w:val="0"/>
              <w:jc w:val="center"/>
              <w:rPr>
                <w:sz w:val="20"/>
                <w:szCs w:val="20"/>
              </w:rPr>
            </w:pPr>
          </w:p>
        </w:tc>
        <w:tc>
          <w:tcPr>
            <w:tcW w:w="4380" w:type="dxa"/>
            <w:tcMar>
              <w:left w:w="0" w:type="dxa"/>
              <w:right w:w="0" w:type="dxa"/>
            </w:tcMar>
          </w:tcPr>
          <w:p w:rsidR="00E774E5" w:rsidRPr="00CC4D84" w:rsidRDefault="00E774E5" w:rsidP="008F1BDA">
            <w:pPr>
              <w:widowControl w:val="0"/>
              <w:jc w:val="both"/>
              <w:rPr>
                <w:b/>
                <w:sz w:val="20"/>
                <w:szCs w:val="20"/>
                <w:u w:val="single"/>
                <w:lang w:val="fr-CA"/>
              </w:rPr>
            </w:pPr>
            <w:r w:rsidRPr="00CC4D84">
              <w:rPr>
                <w:b/>
                <w:sz w:val="20"/>
                <w:szCs w:val="20"/>
                <w:u w:val="single"/>
                <w:lang w:val="fr-CA"/>
              </w:rPr>
              <w:t>Nature de la cause :</w:t>
            </w:r>
          </w:p>
          <w:p w:rsidR="00E774E5" w:rsidRPr="00C1697B" w:rsidRDefault="00E774E5" w:rsidP="008F1BDA">
            <w:pPr>
              <w:widowControl w:val="0"/>
              <w:jc w:val="both"/>
              <w:rPr>
                <w:sz w:val="20"/>
                <w:szCs w:val="20"/>
                <w:lang w:val="fr-CA"/>
              </w:rPr>
            </w:pPr>
          </w:p>
          <w:p w:rsidR="00E774E5" w:rsidRPr="0081384E" w:rsidRDefault="00550B1F" w:rsidP="00550B1F">
            <w:pPr>
              <w:widowControl w:val="0"/>
              <w:jc w:val="both"/>
              <w:rPr>
                <w:b/>
                <w:sz w:val="20"/>
                <w:szCs w:val="20"/>
                <w:lang w:val="fr-CA"/>
              </w:rPr>
            </w:pPr>
            <w:r w:rsidRPr="00F8461A">
              <w:rPr>
                <w:sz w:val="20"/>
                <w:szCs w:val="20"/>
                <w:lang w:val="fr-CA"/>
              </w:rPr>
              <w:t xml:space="preserve">Droit constitutionnel </w:t>
            </w:r>
            <w:r w:rsidRPr="00F8461A">
              <w:rPr>
                <w:sz w:val="20"/>
                <w:szCs w:val="20"/>
                <w:lang w:val="fr-CA"/>
              </w:rPr>
              <w:noBreakHyphen/>
              <w:t xml:space="preserve"> Procédures d’amendement </w:t>
            </w:r>
            <w:r w:rsidRPr="00F8461A">
              <w:rPr>
                <w:sz w:val="20"/>
                <w:szCs w:val="20"/>
                <w:lang w:val="fr-CA"/>
              </w:rPr>
              <w:noBreakHyphen/>
              <w:t xml:space="preserve"> Sénat </w:t>
            </w:r>
            <w:r>
              <w:rPr>
                <w:sz w:val="20"/>
                <w:szCs w:val="20"/>
                <w:lang w:val="fr-CA"/>
              </w:rPr>
              <w:t>–</w:t>
            </w:r>
            <w:r w:rsidRPr="00F8461A">
              <w:rPr>
                <w:sz w:val="20"/>
                <w:szCs w:val="20"/>
                <w:lang w:val="fr-CA"/>
              </w:rPr>
              <w:t xml:space="preserve"> Renvoi</w:t>
            </w:r>
            <w:r>
              <w:rPr>
                <w:sz w:val="20"/>
                <w:szCs w:val="20"/>
                <w:lang w:val="fr-CA"/>
              </w:rPr>
              <w:t>.</w:t>
            </w:r>
          </w:p>
        </w:tc>
      </w:tr>
    </w:tbl>
    <w:p w:rsidR="00E774E5" w:rsidRDefault="00E774E5" w:rsidP="00E774E5">
      <w:pPr>
        <w:widowControl w:val="0"/>
        <w:rPr>
          <w:sz w:val="20"/>
          <w:szCs w:val="20"/>
          <w:lang w:val="fr-CA"/>
        </w:rPr>
      </w:pPr>
    </w:p>
    <w:p w:rsidR="00A07D8D" w:rsidRPr="00E774E5" w:rsidRDefault="008138B5" w:rsidP="002A27D1">
      <w:pPr>
        <w:widowControl w:val="0"/>
        <w:rPr>
          <w:sz w:val="20"/>
          <w:szCs w:val="20"/>
          <w:lang w:val="fr-CA"/>
        </w:rPr>
      </w:pPr>
      <w:r>
        <w:rPr>
          <w:sz w:val="20"/>
          <w:szCs w:val="20"/>
          <w:lang w:val="fr-CA"/>
        </w:rPr>
        <w:pict>
          <v:rect id="_x0000_i1071" style="width:2in;height:1pt" o:hrpct="0" o:hralign="center" o:hrstd="t" o:hrnoshade="t" o:hr="t" fillcolor="black [3213]" stroked="f"/>
        </w:pict>
      </w:r>
    </w:p>
    <w:p w:rsidR="00A07D8D" w:rsidRPr="00E774E5" w:rsidRDefault="00A07D8D" w:rsidP="002A27D1">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138B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E774E5" w:rsidP="00AF1715">
      <w:pPr>
        <w:rPr>
          <w:b/>
          <w:sz w:val="20"/>
          <w:szCs w:val="20"/>
        </w:rPr>
      </w:pPr>
      <w:r>
        <w:rPr>
          <w:b/>
          <w:sz w:val="20"/>
          <w:szCs w:val="20"/>
        </w:rPr>
        <w:t>N</w:t>
      </w:r>
      <w:r w:rsidR="00AF1715" w:rsidRPr="003B3977">
        <w:rPr>
          <w:b/>
          <w:sz w:val="20"/>
          <w:szCs w:val="20"/>
        </w:rPr>
        <w:t>O</w:t>
      </w:r>
      <w:r>
        <w:rPr>
          <w:b/>
          <w:sz w:val="20"/>
          <w:szCs w:val="20"/>
        </w:rPr>
        <w:t>VEM</w:t>
      </w:r>
      <w:r w:rsidR="00AF1715" w:rsidRPr="003B3977">
        <w:rPr>
          <w:b/>
          <w:sz w:val="20"/>
          <w:szCs w:val="20"/>
        </w:rPr>
        <w:t xml:space="preserve">BER </w:t>
      </w:r>
      <w:r>
        <w:rPr>
          <w:b/>
          <w:sz w:val="20"/>
          <w:szCs w:val="20"/>
        </w:rPr>
        <w:t>1</w:t>
      </w:r>
      <w:r w:rsidR="004E1E0A">
        <w:rPr>
          <w:b/>
          <w:sz w:val="20"/>
          <w:szCs w:val="20"/>
        </w:rPr>
        <w:t>5</w:t>
      </w:r>
      <w:r w:rsidR="00AF1715" w:rsidRPr="003B3977">
        <w:rPr>
          <w:b/>
          <w:sz w:val="20"/>
          <w:szCs w:val="20"/>
        </w:rPr>
        <w:t>, 201</w:t>
      </w:r>
      <w:r>
        <w:rPr>
          <w:b/>
          <w:sz w:val="20"/>
          <w:szCs w:val="20"/>
        </w:rPr>
        <w:t>3</w:t>
      </w:r>
      <w:r w:rsidR="00AF1715" w:rsidRPr="003B3977">
        <w:rPr>
          <w:b/>
          <w:sz w:val="20"/>
          <w:szCs w:val="20"/>
        </w:rPr>
        <w:t xml:space="preserve"> / LE </w:t>
      </w:r>
      <w:r>
        <w:rPr>
          <w:b/>
          <w:sz w:val="20"/>
          <w:szCs w:val="20"/>
        </w:rPr>
        <w:t>1</w:t>
      </w:r>
      <w:r w:rsidR="004E1E0A">
        <w:rPr>
          <w:b/>
          <w:sz w:val="20"/>
          <w:szCs w:val="20"/>
        </w:rPr>
        <w:t>5</w:t>
      </w:r>
      <w:r w:rsidR="00AF1715" w:rsidRPr="003B3977">
        <w:rPr>
          <w:b/>
          <w:sz w:val="20"/>
          <w:szCs w:val="20"/>
        </w:rPr>
        <w:t xml:space="preserve"> </w:t>
      </w:r>
      <w:r>
        <w:rPr>
          <w:b/>
          <w:sz w:val="20"/>
          <w:szCs w:val="20"/>
        </w:rPr>
        <w:t>N</w:t>
      </w:r>
      <w:r w:rsidR="00AF1715" w:rsidRPr="003B3977">
        <w:rPr>
          <w:b/>
          <w:sz w:val="20"/>
          <w:szCs w:val="20"/>
        </w:rPr>
        <w:t>O</w:t>
      </w:r>
      <w:r>
        <w:rPr>
          <w:b/>
          <w:sz w:val="20"/>
          <w:szCs w:val="20"/>
        </w:rPr>
        <w:t>VEM</w:t>
      </w:r>
      <w:r w:rsidR="00AF1715" w:rsidRPr="003B3977">
        <w:rPr>
          <w:b/>
          <w:sz w:val="20"/>
          <w:szCs w:val="20"/>
        </w:rPr>
        <w:t>BRE 201</w:t>
      </w:r>
      <w:r>
        <w:rPr>
          <w:b/>
          <w:sz w:val="20"/>
          <w:szCs w:val="20"/>
        </w:rPr>
        <w:t>3</w:t>
      </w:r>
    </w:p>
    <w:p w:rsidR="00AF1715" w:rsidRPr="003B3977" w:rsidRDefault="00AF1715" w:rsidP="00AF1715">
      <w:pPr>
        <w:rPr>
          <w:sz w:val="20"/>
          <w:szCs w:val="20"/>
        </w:rPr>
      </w:pPr>
    </w:p>
    <w:p w:rsidR="00E151AD" w:rsidRPr="005743BC" w:rsidRDefault="00F425BC" w:rsidP="00E151AD">
      <w:pPr>
        <w:ind w:left="1440" w:hanging="1440"/>
        <w:jc w:val="both"/>
        <w:rPr>
          <w:sz w:val="20"/>
          <w:szCs w:val="20"/>
        </w:rPr>
      </w:pPr>
      <w:r w:rsidRPr="005743BC">
        <w:rPr>
          <w:b/>
          <w:sz w:val="20"/>
          <w:szCs w:val="20"/>
        </w:rPr>
        <w:fldChar w:fldCharType="begin"/>
      </w:r>
      <w:r w:rsidR="00E151AD" w:rsidRPr="005743BC">
        <w:rPr>
          <w:b/>
          <w:sz w:val="20"/>
          <w:szCs w:val="20"/>
        </w:rPr>
        <w:instrText xml:space="preserve"> SEQ CHAPTER \h \r 1</w:instrText>
      </w:r>
      <w:r w:rsidRPr="005743BC">
        <w:rPr>
          <w:b/>
          <w:sz w:val="20"/>
          <w:szCs w:val="20"/>
        </w:rPr>
        <w:fldChar w:fldCharType="end"/>
      </w:r>
      <w:r w:rsidR="00E151AD" w:rsidRPr="005743BC">
        <w:rPr>
          <w:b/>
          <w:sz w:val="20"/>
          <w:szCs w:val="20"/>
        </w:rPr>
        <w:t>34890</w:t>
      </w:r>
      <w:r w:rsidR="00E151AD" w:rsidRPr="005743BC">
        <w:rPr>
          <w:sz w:val="20"/>
          <w:szCs w:val="20"/>
        </w:rPr>
        <w:tab/>
      </w:r>
      <w:r w:rsidR="00E151AD" w:rsidRPr="005743BC">
        <w:rPr>
          <w:b/>
          <w:sz w:val="20"/>
          <w:szCs w:val="20"/>
          <w:u w:val="single"/>
        </w:rPr>
        <w:t>Information and Privacy Commissioner of Alberta v. United Food and Commercial Workers, Local 401 – and between – Attorney General of Alberta v. United Food and Commercial Workers, Local 401 – and – Attorney General of Canada, Attorney General of Ontario, Privacy Commissioner of Canada, Canadian Civil Liberties Association, British Columbia Civil Liberties Association, Information and Privacy Commissioner of Ontario, Coalition of British Columbia Businesses, Merit Canada, Information and Privacy Commissioner of British Columbia and Alberta Federation of Labour</w:t>
      </w:r>
      <w:r w:rsidR="00E151AD" w:rsidRPr="005743BC">
        <w:rPr>
          <w:iCs/>
          <w:sz w:val="20"/>
          <w:szCs w:val="20"/>
        </w:rPr>
        <w:t xml:space="preserve"> (Alta.)</w:t>
      </w:r>
    </w:p>
    <w:p w:rsidR="00E151AD" w:rsidRPr="005743BC" w:rsidRDefault="00E151AD" w:rsidP="00E151AD">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743BC">
        <w:rPr>
          <w:b/>
          <w:sz w:val="20"/>
          <w:szCs w:val="20"/>
        </w:rPr>
        <w:t>2013 SCC 62 / 2013 CSC 62</w:t>
      </w:r>
    </w:p>
    <w:p w:rsidR="00E151AD" w:rsidRPr="005743BC" w:rsidRDefault="00E151AD" w:rsidP="00E151A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151AD" w:rsidRPr="005743BC" w:rsidRDefault="00E151AD" w:rsidP="00E151AD">
      <w:pPr>
        <w:ind w:left="1440" w:hanging="1440"/>
        <w:jc w:val="both"/>
        <w:rPr>
          <w:sz w:val="20"/>
          <w:szCs w:val="20"/>
          <w:u w:val="single"/>
        </w:rPr>
      </w:pPr>
      <w:r w:rsidRPr="005743BC">
        <w:rPr>
          <w:sz w:val="20"/>
          <w:szCs w:val="20"/>
        </w:rPr>
        <w:t>Coram:</w:t>
      </w:r>
      <w:r w:rsidRPr="005743BC">
        <w:rPr>
          <w:sz w:val="20"/>
          <w:szCs w:val="20"/>
        </w:rPr>
        <w:tab/>
      </w:r>
      <w:r w:rsidRPr="005743BC">
        <w:rPr>
          <w:sz w:val="20"/>
          <w:szCs w:val="20"/>
          <w:u w:val="single"/>
        </w:rPr>
        <w:t xml:space="preserve">McLachlin C.J. and LeBel, Fish, Abella, Rothstein, Cromwell, Moldaver, Karakatsanis and Wagner JJ. </w:t>
      </w:r>
    </w:p>
    <w:p w:rsidR="00E151AD" w:rsidRPr="005743BC" w:rsidRDefault="00E151AD" w:rsidP="00E151AD">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sz w:val="20"/>
          <w:szCs w:val="20"/>
          <w:u w:val="single"/>
        </w:rPr>
      </w:pPr>
    </w:p>
    <w:p w:rsidR="00E151AD" w:rsidRPr="005743BC" w:rsidRDefault="00E151AD" w:rsidP="00E151AD">
      <w:pPr>
        <w:jc w:val="both"/>
        <w:rPr>
          <w:rFonts w:eastAsia="Calibri"/>
          <w:sz w:val="20"/>
          <w:szCs w:val="20"/>
        </w:rPr>
      </w:pPr>
      <w:r w:rsidRPr="005743BC">
        <w:rPr>
          <w:rFonts w:eastAsia="Calibri"/>
          <w:sz w:val="20"/>
          <w:szCs w:val="20"/>
        </w:rPr>
        <w:t xml:space="preserve">The appeal from the judgment </w:t>
      </w:r>
      <w:bookmarkStart w:id="2" w:name="BM_1_"/>
      <w:bookmarkEnd w:id="2"/>
      <w:r w:rsidRPr="005743BC">
        <w:rPr>
          <w:rFonts w:eastAsia="Calibri"/>
          <w:sz w:val="20"/>
          <w:szCs w:val="20"/>
        </w:rPr>
        <w:t xml:space="preserve">of the Court of Appeal of Alberta (Edmonton), Number 1103-0211AC, 2012 ABCA 130, dated April 30, 2012, heard on June 11, 2013, is substantially dismissed with costs awarded to the respondent throughout. </w:t>
      </w:r>
    </w:p>
    <w:p w:rsidR="00E151AD" w:rsidRPr="005743BC" w:rsidRDefault="00E151AD" w:rsidP="00E151AD">
      <w:pPr>
        <w:jc w:val="both"/>
        <w:rPr>
          <w:rFonts w:eastAsia="Calibri"/>
          <w:sz w:val="20"/>
          <w:szCs w:val="20"/>
        </w:rPr>
      </w:pPr>
    </w:p>
    <w:p w:rsidR="00E151AD" w:rsidRPr="005743BC" w:rsidRDefault="00E151AD" w:rsidP="00E151AD">
      <w:pPr>
        <w:jc w:val="both"/>
        <w:rPr>
          <w:rFonts w:eastAsia="Calibri"/>
          <w:sz w:val="20"/>
          <w:szCs w:val="20"/>
        </w:rPr>
      </w:pPr>
      <w:r w:rsidRPr="005743BC">
        <w:rPr>
          <w:rFonts w:eastAsia="Calibri"/>
          <w:sz w:val="20"/>
          <w:szCs w:val="20"/>
        </w:rPr>
        <w:t xml:space="preserve">The </w:t>
      </w:r>
      <w:r w:rsidRPr="005743BC">
        <w:rPr>
          <w:rFonts w:eastAsia="Calibri"/>
          <w:i/>
          <w:sz w:val="20"/>
          <w:szCs w:val="20"/>
        </w:rPr>
        <w:t>Personal Information Protection Act</w:t>
      </w:r>
      <w:r w:rsidRPr="005743BC">
        <w:rPr>
          <w:rFonts w:eastAsia="Calibri"/>
          <w:sz w:val="20"/>
          <w:szCs w:val="20"/>
        </w:rPr>
        <w:t>, S.A. 2003, c. P-6.5, is declared invalid.  The declaration of invalidity is suspended for a period of 12 months. Rather than sustain the constitutional exemption ordered by the Court of Appeal, the adjudicator’s order is quashed.</w:t>
      </w:r>
    </w:p>
    <w:p w:rsidR="00E151AD" w:rsidRPr="005743BC" w:rsidRDefault="00E151AD" w:rsidP="00E151AD">
      <w:pPr>
        <w:jc w:val="both"/>
        <w:rPr>
          <w:rFonts w:eastAsia="Calibri"/>
          <w:sz w:val="20"/>
          <w:szCs w:val="20"/>
        </w:rPr>
      </w:pPr>
    </w:p>
    <w:p w:rsidR="00E151AD" w:rsidRPr="005743BC" w:rsidRDefault="00E151AD" w:rsidP="00E151AD">
      <w:pPr>
        <w:jc w:val="both"/>
        <w:rPr>
          <w:rFonts w:eastAsia="Calibri"/>
          <w:sz w:val="20"/>
          <w:szCs w:val="20"/>
        </w:rPr>
      </w:pPr>
      <w:r w:rsidRPr="005743BC">
        <w:rPr>
          <w:rFonts w:eastAsia="Calibri"/>
          <w:sz w:val="20"/>
          <w:szCs w:val="20"/>
        </w:rPr>
        <w:t>The constitutional questions are answered as follows:</w:t>
      </w:r>
    </w:p>
    <w:p w:rsidR="00E151AD" w:rsidRPr="005743BC" w:rsidRDefault="00E151AD" w:rsidP="00E151AD">
      <w:pPr>
        <w:jc w:val="both"/>
        <w:rPr>
          <w:rFonts w:eastAsia="Calibri"/>
          <w:sz w:val="20"/>
          <w:szCs w:val="20"/>
        </w:rPr>
      </w:pPr>
    </w:p>
    <w:p w:rsidR="00E151AD" w:rsidRPr="005743BC" w:rsidRDefault="00E151AD" w:rsidP="00E151AD">
      <w:pPr>
        <w:spacing w:after="720"/>
        <w:contextualSpacing/>
        <w:jc w:val="both"/>
        <w:rPr>
          <w:sz w:val="20"/>
          <w:szCs w:val="20"/>
          <w:lang w:eastAsia="en-CA"/>
        </w:rPr>
      </w:pPr>
      <w:r w:rsidRPr="005743BC">
        <w:rPr>
          <w:sz w:val="20"/>
          <w:szCs w:val="20"/>
          <w:lang w:eastAsia="en-CA"/>
        </w:rPr>
        <w:t xml:space="preserve">1. Do the </w:t>
      </w:r>
      <w:r w:rsidRPr="005743BC">
        <w:rPr>
          <w:i/>
          <w:sz w:val="20"/>
          <w:szCs w:val="20"/>
          <w:lang w:eastAsia="en-CA"/>
        </w:rPr>
        <w:t>Personal Information Protection Act</w:t>
      </w:r>
      <w:r w:rsidRPr="005743BC">
        <w:rPr>
          <w:sz w:val="20"/>
          <w:szCs w:val="20"/>
          <w:lang w:eastAsia="en-CA"/>
        </w:rPr>
        <w:t xml:space="preserve">, S.A. 2003, c. P-6.5 and the </w:t>
      </w:r>
      <w:r w:rsidRPr="005743BC">
        <w:rPr>
          <w:i/>
          <w:sz w:val="20"/>
          <w:szCs w:val="20"/>
          <w:lang w:eastAsia="en-CA"/>
        </w:rPr>
        <w:t>Personal Information Protection Act Regulation</w:t>
      </w:r>
      <w:r w:rsidRPr="005743BC">
        <w:rPr>
          <w:sz w:val="20"/>
          <w:szCs w:val="20"/>
          <w:lang w:eastAsia="en-CA"/>
        </w:rPr>
        <w:t>, Alta Reg. 366/2003 violate s. 2(</w:t>
      </w:r>
      <w:r w:rsidRPr="005743BC">
        <w:rPr>
          <w:i/>
          <w:sz w:val="20"/>
          <w:szCs w:val="20"/>
          <w:lang w:eastAsia="en-CA"/>
        </w:rPr>
        <w:t>b</w:t>
      </w:r>
      <w:r w:rsidRPr="005743BC">
        <w:rPr>
          <w:sz w:val="20"/>
          <w:szCs w:val="20"/>
          <w:lang w:eastAsia="en-CA"/>
        </w:rPr>
        <w:t xml:space="preserve">) of the </w:t>
      </w:r>
      <w:r w:rsidRPr="005743BC">
        <w:rPr>
          <w:i/>
          <w:sz w:val="20"/>
          <w:szCs w:val="20"/>
          <w:lang w:eastAsia="en-CA"/>
        </w:rPr>
        <w:t>Canadian Charter of Rights and Freedoms</w:t>
      </w:r>
      <w:r w:rsidRPr="005743BC">
        <w:rPr>
          <w:sz w:val="20"/>
          <w:szCs w:val="20"/>
          <w:lang w:eastAsia="en-CA"/>
        </w:rPr>
        <w:t xml:space="preserve"> insofar as they restrict a union’s ability to collect, use or disclose personal information during the course of a lawful strike?</w:t>
      </w:r>
    </w:p>
    <w:p w:rsidR="00E151AD" w:rsidRPr="005743BC" w:rsidRDefault="00E151AD" w:rsidP="00E151AD">
      <w:pPr>
        <w:contextualSpacing/>
        <w:jc w:val="both"/>
        <w:rPr>
          <w:sz w:val="20"/>
          <w:szCs w:val="20"/>
          <w:lang w:eastAsia="en-CA"/>
        </w:rPr>
      </w:pPr>
    </w:p>
    <w:p w:rsidR="00E151AD" w:rsidRPr="005743BC" w:rsidRDefault="00E151AD" w:rsidP="00E151AD">
      <w:pPr>
        <w:contextualSpacing/>
        <w:jc w:val="both"/>
        <w:rPr>
          <w:sz w:val="20"/>
          <w:szCs w:val="20"/>
          <w:lang w:eastAsia="en-CA"/>
        </w:rPr>
      </w:pPr>
      <w:r w:rsidRPr="005743BC">
        <w:rPr>
          <w:sz w:val="20"/>
          <w:szCs w:val="20"/>
          <w:lang w:eastAsia="en-CA"/>
        </w:rPr>
        <w:t>Yes.</w:t>
      </w:r>
    </w:p>
    <w:p w:rsidR="00E151AD" w:rsidRPr="005743BC" w:rsidRDefault="00E151AD" w:rsidP="00E151AD">
      <w:pPr>
        <w:contextualSpacing/>
        <w:jc w:val="both"/>
        <w:rPr>
          <w:sz w:val="20"/>
          <w:szCs w:val="20"/>
          <w:lang w:eastAsia="en-CA"/>
        </w:rPr>
      </w:pPr>
    </w:p>
    <w:p w:rsidR="00E151AD" w:rsidRPr="005743BC" w:rsidRDefault="00E151AD" w:rsidP="00E151AD">
      <w:pPr>
        <w:contextualSpacing/>
        <w:jc w:val="both"/>
        <w:rPr>
          <w:sz w:val="20"/>
          <w:szCs w:val="20"/>
          <w:lang w:eastAsia="en-CA"/>
        </w:rPr>
      </w:pPr>
      <w:r w:rsidRPr="005743BC">
        <w:rPr>
          <w:sz w:val="20"/>
          <w:szCs w:val="20"/>
          <w:lang w:eastAsia="en-CA"/>
        </w:rPr>
        <w:t xml:space="preserve">2. If so, is the infringement a reasonable limit prescribed by law, which can be demonstrably justified in a free and democratic society under s. 1 of the </w:t>
      </w:r>
      <w:r w:rsidRPr="005743BC">
        <w:rPr>
          <w:i/>
          <w:sz w:val="20"/>
          <w:szCs w:val="20"/>
          <w:lang w:eastAsia="en-CA"/>
        </w:rPr>
        <w:t>Canadian Charter of Rights and Freedoms</w:t>
      </w:r>
      <w:r w:rsidRPr="005743BC">
        <w:rPr>
          <w:sz w:val="20"/>
          <w:szCs w:val="20"/>
          <w:lang w:eastAsia="en-CA"/>
        </w:rPr>
        <w:t>?</w:t>
      </w:r>
    </w:p>
    <w:p w:rsidR="00E151AD" w:rsidRPr="005743BC" w:rsidRDefault="00E151AD" w:rsidP="00E151AD">
      <w:pPr>
        <w:contextualSpacing/>
        <w:jc w:val="both"/>
        <w:rPr>
          <w:sz w:val="20"/>
          <w:szCs w:val="20"/>
          <w:lang w:eastAsia="en-CA"/>
        </w:rPr>
      </w:pPr>
    </w:p>
    <w:p w:rsidR="00E151AD" w:rsidRPr="00E151AD" w:rsidRDefault="00E151AD" w:rsidP="00E151AD">
      <w:pPr>
        <w:jc w:val="both"/>
        <w:rPr>
          <w:rFonts w:eastAsia="Calibri"/>
          <w:sz w:val="20"/>
          <w:szCs w:val="20"/>
          <w:lang w:val="fr-CA"/>
        </w:rPr>
      </w:pPr>
      <w:r w:rsidRPr="00E151AD">
        <w:rPr>
          <w:rFonts w:eastAsia="Calibri"/>
          <w:sz w:val="20"/>
          <w:szCs w:val="20"/>
          <w:lang w:val="fr-CA"/>
        </w:rPr>
        <w:t>No.</w:t>
      </w:r>
    </w:p>
    <w:p w:rsidR="00E151AD" w:rsidRPr="00E151AD" w:rsidRDefault="00E151AD" w:rsidP="00E151AD">
      <w:pPr>
        <w:jc w:val="both"/>
        <w:rPr>
          <w:rFonts w:eastAsia="Calibri"/>
          <w:sz w:val="20"/>
          <w:szCs w:val="20"/>
          <w:lang w:val="fr-CA"/>
        </w:rPr>
      </w:pPr>
    </w:p>
    <w:p w:rsidR="00E151AD" w:rsidRPr="00E151AD" w:rsidRDefault="00E151AD" w:rsidP="00E151AD">
      <w:pPr>
        <w:jc w:val="both"/>
        <w:rPr>
          <w:sz w:val="20"/>
          <w:szCs w:val="20"/>
          <w:lang w:val="fr-CA"/>
        </w:rPr>
      </w:pPr>
    </w:p>
    <w:p w:rsidR="00E151AD" w:rsidRPr="00E151AD" w:rsidRDefault="00E151AD" w:rsidP="00E151AD">
      <w:pPr>
        <w:jc w:val="both"/>
        <w:rPr>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L’appel interjeté contre l’arrêt de la Cour d'appel de l’Alberta (Edmonton), numéro 1103-0211AC, 2012 ABCA 130, en date du 30 avril 2012, entendu le 11 juin 2013, est rejeté en grande partie.  L’intimée a droit aux dépens devant toutes les cours.</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 xml:space="preserve">La </w:t>
      </w:r>
      <w:r w:rsidRPr="005743BC">
        <w:rPr>
          <w:rFonts w:eastAsia="Calibri"/>
          <w:i/>
          <w:sz w:val="20"/>
          <w:szCs w:val="20"/>
          <w:lang w:val="fr-CA"/>
        </w:rPr>
        <w:t>Personal Information Protection Act</w:t>
      </w:r>
      <w:r w:rsidRPr="005743BC">
        <w:rPr>
          <w:rFonts w:eastAsia="Calibri"/>
          <w:sz w:val="20"/>
          <w:szCs w:val="20"/>
          <w:lang w:val="fr-CA"/>
        </w:rPr>
        <w:t>, S.A. 2003, ch. P-6.5, est déclarée invalide.  Cette déclaration d’invalidité est suspendue durant 12 mois.  Plutôt que de confirmer l’exemption constitutionnelle décrétée par la Cour d’appel, la Cour annule l’ordonnance de l’arbitre.</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Les questions constitutionnelles reçoivent les réponses suivantes :</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 xml:space="preserve">1. La </w:t>
      </w:r>
      <w:r w:rsidRPr="005743BC">
        <w:rPr>
          <w:rFonts w:eastAsia="Calibri"/>
          <w:i/>
          <w:sz w:val="20"/>
          <w:szCs w:val="20"/>
          <w:lang w:val="fr-CA"/>
        </w:rPr>
        <w:t>Personal Information Protection Act</w:t>
      </w:r>
      <w:r w:rsidRPr="005743BC">
        <w:rPr>
          <w:rFonts w:eastAsia="Calibri"/>
          <w:sz w:val="20"/>
          <w:szCs w:val="20"/>
          <w:lang w:val="fr-CA"/>
        </w:rPr>
        <w:t>, S.A. 2003, ch. P</w:t>
      </w:r>
      <w:r w:rsidRPr="005743BC">
        <w:rPr>
          <w:rFonts w:eastAsia="Calibri"/>
          <w:sz w:val="20"/>
          <w:szCs w:val="20"/>
          <w:lang w:val="fr-CA"/>
        </w:rPr>
        <w:noBreakHyphen/>
        <w:t xml:space="preserve">6.5, et le </w:t>
      </w:r>
      <w:r w:rsidRPr="005743BC">
        <w:rPr>
          <w:rFonts w:eastAsia="Calibri"/>
          <w:i/>
          <w:iCs/>
          <w:sz w:val="20"/>
          <w:szCs w:val="20"/>
          <w:lang w:val="fr-CA"/>
        </w:rPr>
        <w:t>Personal Information Protection Regulation</w:t>
      </w:r>
      <w:r w:rsidRPr="005743BC">
        <w:rPr>
          <w:rFonts w:eastAsia="Calibri"/>
          <w:sz w:val="20"/>
          <w:szCs w:val="20"/>
          <w:lang w:val="fr-CA"/>
        </w:rPr>
        <w:t>, Alta Reg. 366/2003, portent</w:t>
      </w:r>
      <w:r w:rsidRPr="005743BC">
        <w:rPr>
          <w:rFonts w:eastAsia="Calibri"/>
          <w:sz w:val="20"/>
          <w:szCs w:val="20"/>
          <w:lang w:val="fr-CA"/>
        </w:rPr>
        <w:noBreakHyphen/>
        <w:t>ils atteinte aux droits protégés par l’al. 2</w:t>
      </w:r>
      <w:r w:rsidRPr="005743BC">
        <w:rPr>
          <w:rFonts w:eastAsia="Calibri"/>
          <w:i/>
          <w:sz w:val="20"/>
          <w:szCs w:val="20"/>
          <w:lang w:val="fr-CA"/>
        </w:rPr>
        <w:t>b</w:t>
      </w:r>
      <w:r w:rsidRPr="005743BC">
        <w:rPr>
          <w:rFonts w:eastAsia="Calibri"/>
          <w:sz w:val="20"/>
          <w:szCs w:val="20"/>
          <w:lang w:val="fr-CA"/>
        </w:rPr>
        <w:t xml:space="preserve">) de la </w:t>
      </w:r>
      <w:r w:rsidRPr="005743BC">
        <w:rPr>
          <w:rFonts w:eastAsia="Calibri"/>
          <w:i/>
          <w:sz w:val="20"/>
          <w:szCs w:val="20"/>
          <w:lang w:val="fr-CA"/>
        </w:rPr>
        <w:t xml:space="preserve">Charte canadienne des droits et libertés </w:t>
      </w:r>
      <w:r w:rsidRPr="005743BC">
        <w:rPr>
          <w:rFonts w:eastAsia="Calibri"/>
          <w:sz w:val="20"/>
          <w:szCs w:val="20"/>
          <w:lang w:val="fr-CA"/>
        </w:rPr>
        <w:t xml:space="preserve">dans la </w:t>
      </w:r>
      <w:r w:rsidRPr="005743BC">
        <w:rPr>
          <w:rFonts w:eastAsia="Calibri"/>
          <w:sz w:val="20"/>
          <w:szCs w:val="20"/>
          <w:lang w:val="fr-CA"/>
        </w:rPr>
        <w:lastRenderedPageBreak/>
        <w:t>mesure où ils limitent la capacité d’un syndicat de recueillir, d’utiliser et de communiquer des renseignements personnels pendant une grève légale?</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Oui.</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2. Dans l’affirmative, cette atteinte constitue</w:t>
      </w:r>
      <w:r w:rsidRPr="005743BC">
        <w:rPr>
          <w:rFonts w:eastAsia="Calibri"/>
          <w:sz w:val="20"/>
          <w:szCs w:val="20"/>
          <w:lang w:val="fr-CA"/>
        </w:rPr>
        <w:noBreakHyphen/>
        <w:t>t</w:t>
      </w:r>
      <w:r w:rsidRPr="005743BC">
        <w:rPr>
          <w:rFonts w:eastAsia="Calibri"/>
          <w:sz w:val="20"/>
          <w:szCs w:val="20"/>
          <w:lang w:val="fr-CA"/>
        </w:rPr>
        <w:noBreakHyphen/>
        <w:t xml:space="preserve">elle une limite raisonnable, prescrite par une règle de droit, dont la justification peut être démontrée dans une société libre et démocratique au sens de l’article premier de la </w:t>
      </w:r>
      <w:r w:rsidRPr="005743BC">
        <w:rPr>
          <w:rFonts w:eastAsia="Calibri"/>
          <w:i/>
          <w:sz w:val="20"/>
          <w:szCs w:val="20"/>
          <w:lang w:val="fr-CA"/>
        </w:rPr>
        <w:t>Charte canadienne des droits et libertés</w:t>
      </w:r>
      <w:r w:rsidRPr="005743BC">
        <w:rPr>
          <w:rFonts w:eastAsia="Calibri"/>
          <w:sz w:val="20"/>
          <w:szCs w:val="20"/>
          <w:lang w:val="fr-CA"/>
        </w:rPr>
        <w:t>?</w:t>
      </w:r>
    </w:p>
    <w:p w:rsidR="00E151AD" w:rsidRPr="005743BC" w:rsidRDefault="00E151AD" w:rsidP="00E151AD">
      <w:pPr>
        <w:jc w:val="both"/>
        <w:rPr>
          <w:rFonts w:eastAsia="Calibri"/>
          <w:sz w:val="20"/>
          <w:szCs w:val="20"/>
          <w:lang w:val="fr-CA"/>
        </w:rPr>
      </w:pPr>
    </w:p>
    <w:p w:rsidR="00E151AD" w:rsidRPr="005743BC" w:rsidRDefault="00E151AD" w:rsidP="00E151AD">
      <w:pPr>
        <w:jc w:val="both"/>
        <w:rPr>
          <w:rFonts w:eastAsia="Calibri"/>
          <w:sz w:val="20"/>
          <w:szCs w:val="20"/>
          <w:lang w:val="fr-CA"/>
        </w:rPr>
      </w:pPr>
      <w:r w:rsidRPr="005743BC">
        <w:rPr>
          <w:rFonts w:eastAsia="Calibri"/>
          <w:sz w:val="20"/>
          <w:szCs w:val="20"/>
          <w:lang w:val="fr-CA"/>
        </w:rPr>
        <w:t>Non.</w:t>
      </w:r>
    </w:p>
    <w:p w:rsidR="00E151AD" w:rsidRPr="005743BC" w:rsidRDefault="00E151AD" w:rsidP="00E151AD">
      <w:pPr>
        <w:jc w:val="both"/>
        <w:rPr>
          <w:rFonts w:eastAsia="Calibri"/>
          <w:sz w:val="20"/>
          <w:szCs w:val="20"/>
          <w:lang w:val="fr-CA"/>
        </w:rPr>
      </w:pPr>
    </w:p>
    <w:p w:rsidR="00AF1715" w:rsidRPr="003B3977" w:rsidRDefault="00AF1715" w:rsidP="00AF1715">
      <w:pPr>
        <w:rPr>
          <w:sz w:val="20"/>
          <w:szCs w:val="20"/>
          <w:lang w:val="fr-CA"/>
        </w:rPr>
      </w:pPr>
    </w:p>
    <w:p w:rsidR="00AF1715" w:rsidRPr="003B3977" w:rsidRDefault="008138B5" w:rsidP="00AF1715">
      <w:pPr>
        <w:spacing w:line="0" w:lineRule="atLeast"/>
        <w:rPr>
          <w:sz w:val="20"/>
          <w:szCs w:val="20"/>
        </w:rPr>
      </w:pPr>
      <w:r>
        <w:rPr>
          <w:b/>
          <w:sz w:val="20"/>
          <w:szCs w:val="20"/>
        </w:rPr>
        <w:pict>
          <v:rect id="_x0000_i1074"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E774E5" w:rsidRDefault="00E774E5" w:rsidP="005C6840">
      <w:pPr>
        <w:rPr>
          <w:rFonts w:cs="Times New Roman"/>
          <w:i/>
          <w:sz w:val="20"/>
          <w:szCs w:val="20"/>
        </w:rPr>
      </w:pPr>
      <w:r w:rsidRPr="00A130C8">
        <w:rPr>
          <w:i/>
          <w:sz w:val="20"/>
          <w:szCs w:val="20"/>
        </w:rPr>
        <w:t xml:space="preserve">Information and Privacy Commissioner et al v. United Food and Commercial Workers, Local 401 </w:t>
      </w:r>
      <w:r w:rsidRPr="00A130C8">
        <w:rPr>
          <w:sz w:val="20"/>
          <w:szCs w:val="20"/>
        </w:rPr>
        <w:t>(Alta.) (</w:t>
      </w:r>
      <w:hyperlink r:id="rId73" w:history="1">
        <w:r w:rsidRPr="00A130C8">
          <w:rPr>
            <w:rStyle w:val="Hyperlink"/>
            <w:sz w:val="20"/>
            <w:szCs w:val="20"/>
          </w:rPr>
          <w:t>34890</w:t>
        </w:r>
      </w:hyperlink>
      <w:r w:rsidRPr="00A130C8">
        <w:rPr>
          <w:sz w:val="20"/>
          <w:szCs w:val="20"/>
        </w:rPr>
        <w:t>)</w:t>
      </w:r>
    </w:p>
    <w:p w:rsidR="00F17714" w:rsidRDefault="00DF0123" w:rsidP="00DF0123">
      <w:pPr>
        <w:jc w:val="both"/>
        <w:rPr>
          <w:b/>
          <w:sz w:val="20"/>
        </w:rPr>
      </w:pPr>
      <w:r w:rsidRPr="00DE471B">
        <w:rPr>
          <w:b/>
          <w:sz w:val="20"/>
        </w:rPr>
        <w:t xml:space="preserve">Indexed as:  Alberta (Information and Privacy Commissioner) </w:t>
      </w:r>
      <w:r w:rsidRPr="00DE471B">
        <w:rPr>
          <w:b/>
          <w:i/>
          <w:sz w:val="20"/>
        </w:rPr>
        <w:t>v.</w:t>
      </w:r>
      <w:r w:rsidRPr="00DE471B">
        <w:rPr>
          <w:b/>
          <w:sz w:val="20"/>
        </w:rPr>
        <w:t xml:space="preserve"> United Food and Commercial Workers, Local 401</w:t>
      </w:r>
      <w:r>
        <w:rPr>
          <w:b/>
          <w:sz w:val="20"/>
        </w:rPr>
        <w:t xml:space="preserve"> / </w:t>
      </w:r>
    </w:p>
    <w:p w:rsidR="00DF0123" w:rsidRPr="00F17714" w:rsidRDefault="00DF0123" w:rsidP="00DF0123">
      <w:pPr>
        <w:jc w:val="both"/>
        <w:rPr>
          <w:b/>
          <w:sz w:val="20"/>
          <w:szCs w:val="20"/>
          <w:lang w:val="fr-CA"/>
        </w:rPr>
      </w:pPr>
      <w:r w:rsidRPr="00F17714">
        <w:rPr>
          <w:b/>
          <w:sz w:val="20"/>
          <w:szCs w:val="20"/>
          <w:lang w:val="fr-CA"/>
        </w:rPr>
        <w:t xml:space="preserve">Répertorié : Alberta (Information and Privacy Commissioner) </w:t>
      </w:r>
      <w:r w:rsidRPr="00F17714">
        <w:rPr>
          <w:b/>
          <w:i/>
          <w:sz w:val="20"/>
          <w:szCs w:val="20"/>
          <w:lang w:val="fr-CA"/>
        </w:rPr>
        <w:t>c.</w:t>
      </w:r>
      <w:r w:rsidRPr="00F17714">
        <w:rPr>
          <w:b/>
          <w:sz w:val="20"/>
          <w:szCs w:val="20"/>
          <w:lang w:val="fr-CA"/>
        </w:rPr>
        <w:t xml:space="preserve"> Travailleurs et travailleuses unis de l’alimentation et du commerce, section locale 401</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E774E5">
        <w:rPr>
          <w:sz w:val="20"/>
        </w:rPr>
        <w:t>62</w:t>
      </w:r>
      <w:r w:rsidRPr="003B3977">
        <w:rPr>
          <w:sz w:val="20"/>
        </w:rPr>
        <w:t xml:space="preserve"> / Référence neutre : 201</w:t>
      </w:r>
      <w:r w:rsidR="00F761A3">
        <w:rPr>
          <w:sz w:val="20"/>
        </w:rPr>
        <w:t>3</w:t>
      </w:r>
      <w:r w:rsidRPr="003B3977">
        <w:rPr>
          <w:sz w:val="20"/>
        </w:rPr>
        <w:t xml:space="preserve"> CSC </w:t>
      </w:r>
      <w:r w:rsidR="00E774E5">
        <w:rPr>
          <w:sz w:val="20"/>
        </w:rPr>
        <w:t>62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DF0123">
        <w:rPr>
          <w:rFonts w:cs="Times New Roman"/>
          <w:sz w:val="20"/>
          <w:szCs w:val="20"/>
          <w:lang w:val="fr-CA"/>
        </w:rPr>
        <w:t>Jun</w:t>
      </w:r>
      <w:r w:rsidRPr="003B3977">
        <w:rPr>
          <w:rFonts w:cs="Times New Roman"/>
          <w:sz w:val="20"/>
          <w:szCs w:val="20"/>
          <w:lang w:val="fr-CA"/>
        </w:rPr>
        <w:t xml:space="preserve">e </w:t>
      </w:r>
      <w:r w:rsidR="00E774E5">
        <w:rPr>
          <w:rFonts w:cs="Times New Roman"/>
          <w:sz w:val="20"/>
          <w:szCs w:val="20"/>
          <w:lang w:val="fr-CA"/>
        </w:rPr>
        <w:t>1</w:t>
      </w:r>
      <w:r w:rsidR="00DF0123">
        <w:rPr>
          <w:rFonts w:cs="Times New Roman"/>
          <w:sz w:val="20"/>
          <w:szCs w:val="20"/>
          <w:lang w:val="fr-CA"/>
        </w:rPr>
        <w:t>1</w:t>
      </w:r>
      <w:r w:rsidRPr="003B3977">
        <w:rPr>
          <w:rFonts w:cs="Times New Roman"/>
          <w:sz w:val="20"/>
          <w:szCs w:val="20"/>
          <w:lang w:val="fr-CA"/>
        </w:rPr>
        <w:t>, 201</w:t>
      </w:r>
      <w:r w:rsidR="00E774E5">
        <w:rPr>
          <w:rFonts w:cs="Times New Roman"/>
          <w:sz w:val="20"/>
          <w:szCs w:val="20"/>
          <w:lang w:val="fr-CA"/>
        </w:rPr>
        <w:t>3</w:t>
      </w:r>
      <w:r w:rsidRPr="003B3977">
        <w:rPr>
          <w:rFonts w:cs="Times New Roman"/>
          <w:sz w:val="20"/>
          <w:szCs w:val="20"/>
          <w:lang w:val="fr-CA"/>
        </w:rPr>
        <w:t xml:space="preserve"> / Judgment:  </w:t>
      </w:r>
      <w:r w:rsidR="00E774E5">
        <w:rPr>
          <w:rFonts w:cs="Times New Roman"/>
          <w:sz w:val="20"/>
          <w:szCs w:val="20"/>
          <w:lang w:val="fr-CA"/>
        </w:rPr>
        <w:t>Novem</w:t>
      </w:r>
      <w:r w:rsidRPr="003B3977">
        <w:rPr>
          <w:rFonts w:cs="Times New Roman"/>
          <w:sz w:val="20"/>
          <w:szCs w:val="20"/>
          <w:lang w:val="fr-CA"/>
        </w:rPr>
        <w:t xml:space="preserve">ber </w:t>
      </w:r>
      <w:r w:rsidR="00E774E5">
        <w:rPr>
          <w:rFonts w:cs="Times New Roman"/>
          <w:sz w:val="20"/>
          <w:szCs w:val="20"/>
          <w:lang w:val="fr-CA"/>
        </w:rPr>
        <w:t>15</w:t>
      </w:r>
      <w:r w:rsidRPr="003B3977">
        <w:rPr>
          <w:rFonts w:cs="Times New Roman"/>
          <w:sz w:val="20"/>
          <w:szCs w:val="20"/>
          <w:lang w:val="fr-CA"/>
        </w:rPr>
        <w:t>, 201</w:t>
      </w:r>
      <w:r w:rsidR="00E774E5">
        <w:rPr>
          <w:rFonts w:cs="Times New Roman"/>
          <w:sz w:val="20"/>
          <w:szCs w:val="20"/>
          <w:lang w:val="fr-CA"/>
        </w:rPr>
        <w:t>3</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DF0123">
        <w:rPr>
          <w:rFonts w:cs="Times New Roman"/>
          <w:sz w:val="20"/>
          <w:szCs w:val="20"/>
          <w:lang w:val="fr-CA"/>
        </w:rPr>
        <w:t>11 juin</w:t>
      </w:r>
      <w:r w:rsidRPr="003B3977">
        <w:rPr>
          <w:rFonts w:cs="Times New Roman"/>
          <w:sz w:val="20"/>
          <w:szCs w:val="20"/>
          <w:lang w:val="fr-CA"/>
        </w:rPr>
        <w:t xml:space="preserve"> 201</w:t>
      </w:r>
      <w:r w:rsidR="00DF0123">
        <w:rPr>
          <w:rFonts w:cs="Times New Roman"/>
          <w:sz w:val="20"/>
          <w:szCs w:val="20"/>
          <w:lang w:val="fr-CA"/>
        </w:rPr>
        <w:t>3</w:t>
      </w:r>
      <w:r w:rsidRPr="003B3977">
        <w:rPr>
          <w:rFonts w:cs="Times New Roman"/>
          <w:sz w:val="20"/>
          <w:szCs w:val="20"/>
          <w:lang w:val="fr-CA"/>
        </w:rPr>
        <w:t xml:space="preserve"> / Jugement : Le </w:t>
      </w:r>
      <w:r w:rsidR="00E774E5">
        <w:rPr>
          <w:rFonts w:cs="Times New Roman"/>
          <w:sz w:val="20"/>
          <w:szCs w:val="20"/>
          <w:lang w:val="fr-CA"/>
        </w:rPr>
        <w:t>15</w:t>
      </w:r>
      <w:r w:rsidRPr="003B3977">
        <w:rPr>
          <w:rFonts w:cs="Times New Roman"/>
          <w:sz w:val="20"/>
          <w:szCs w:val="20"/>
          <w:lang w:val="fr-CA"/>
        </w:rPr>
        <w:t xml:space="preserve"> </w:t>
      </w:r>
      <w:r w:rsidR="00E774E5">
        <w:rPr>
          <w:rFonts w:cs="Times New Roman"/>
          <w:sz w:val="20"/>
          <w:szCs w:val="20"/>
          <w:lang w:val="fr-CA"/>
        </w:rPr>
        <w:t>n</w:t>
      </w:r>
      <w:r w:rsidRPr="003B3977">
        <w:rPr>
          <w:rFonts w:cs="Times New Roman"/>
          <w:sz w:val="20"/>
          <w:szCs w:val="20"/>
          <w:lang w:val="fr-CA"/>
        </w:rPr>
        <w:t>o</w:t>
      </w:r>
      <w:r w:rsidR="00E774E5">
        <w:rPr>
          <w:rFonts w:cs="Times New Roman"/>
          <w:sz w:val="20"/>
          <w:szCs w:val="20"/>
          <w:lang w:val="fr-CA"/>
        </w:rPr>
        <w:t>vem</w:t>
      </w:r>
      <w:r w:rsidRPr="003B3977">
        <w:rPr>
          <w:rFonts w:cs="Times New Roman"/>
          <w:sz w:val="20"/>
          <w:szCs w:val="20"/>
          <w:lang w:val="fr-CA"/>
        </w:rPr>
        <w:t>bre 201</w:t>
      </w:r>
      <w:r w:rsidR="00E774E5">
        <w:rPr>
          <w:rFonts w:cs="Times New Roman"/>
          <w:sz w:val="20"/>
          <w:szCs w:val="20"/>
          <w:lang w:val="fr-CA"/>
        </w:rPr>
        <w:t>3</w:t>
      </w:r>
    </w:p>
    <w:p w:rsidR="005C6840" w:rsidRPr="003B3977" w:rsidRDefault="008138B5" w:rsidP="005C6840">
      <w:pPr>
        <w:rPr>
          <w:rFonts w:cs="Times New Roman"/>
          <w:sz w:val="20"/>
          <w:szCs w:val="20"/>
          <w:lang w:val="fr-CA"/>
        </w:rPr>
      </w:pPr>
      <w:r>
        <w:rPr>
          <w:rFonts w:cs="Times New Roman"/>
          <w:i/>
          <w:sz w:val="20"/>
          <w:szCs w:val="20"/>
        </w:rPr>
        <w:pict>
          <v:rect id="_x0000_i107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F0123" w:rsidRPr="00DE471B" w:rsidRDefault="00DF0123" w:rsidP="00DF0123">
      <w:pPr>
        <w:jc w:val="both"/>
        <w:rPr>
          <w:sz w:val="20"/>
        </w:rPr>
      </w:pPr>
      <w:r w:rsidRPr="00DE471B">
        <w:rPr>
          <w:sz w:val="20"/>
        </w:rPr>
        <w:t>Present:  McLachlin C.J. and LeBel, Fish, Abella, Rothstein, Cromwell, Moldaver, Karakatsanis and Wagner JJ.</w:t>
      </w:r>
    </w:p>
    <w:p w:rsidR="00DF0123" w:rsidRDefault="00DF0123" w:rsidP="00DF0123">
      <w:pPr>
        <w:pStyle w:val="SCCNormalDoubleSpacing"/>
        <w:spacing w:line="240" w:lineRule="auto"/>
        <w:rPr>
          <w:sz w:val="20"/>
        </w:rPr>
      </w:pPr>
    </w:p>
    <w:p w:rsidR="00DF0123" w:rsidRPr="00DE471B" w:rsidRDefault="00DF0123" w:rsidP="00DF0123">
      <w:pPr>
        <w:pStyle w:val="SCCNormalDoubleSpacing"/>
        <w:spacing w:line="240" w:lineRule="auto"/>
        <w:rPr>
          <w:iCs/>
          <w:sz w:val="20"/>
        </w:rPr>
      </w:pPr>
      <w:r w:rsidRPr="00DE471B">
        <w:rPr>
          <w:sz w:val="20"/>
        </w:rPr>
        <w:tab/>
      </w:r>
      <w:r w:rsidRPr="00DE471B">
        <w:rPr>
          <w:i/>
          <w:iCs/>
          <w:sz w:val="20"/>
        </w:rPr>
        <w:t>Constitutional law — Charter of Rights — Freedom of expression — Labour relations — Privacy — Union video</w:t>
      </w:r>
      <w:r w:rsidRPr="00DE471B">
        <w:rPr>
          <w:i/>
          <w:iCs/>
          <w:sz w:val="20"/>
        </w:rPr>
        <w:noBreakHyphen/>
        <w:t>taping and photographing individuals crossing its picket line for use in its labour dispute — Whether legislation restricting the collection, use and disclosure of personal information violates union’s expressive right under s. 2(b) of Charter and, if so, whether violation is justified — Canadian Charter of Rights and Freedoms, ss. 1, 2(b) — Personal Information Protection Act, S.A. 2003, c. P</w:t>
      </w:r>
      <w:r w:rsidRPr="00DE471B">
        <w:rPr>
          <w:i/>
          <w:iCs/>
          <w:sz w:val="20"/>
        </w:rPr>
        <w:noBreakHyphen/>
        <w:t>6.5</w:t>
      </w:r>
      <w:r w:rsidRPr="00DE471B">
        <w:rPr>
          <w:i/>
          <w:sz w:val="20"/>
        </w:rPr>
        <w:t xml:space="preserve"> </w:t>
      </w:r>
      <w:r w:rsidRPr="00DE471B">
        <w:rPr>
          <w:i/>
          <w:iCs/>
          <w:sz w:val="20"/>
        </w:rPr>
        <w:t xml:space="preserve">— </w:t>
      </w:r>
      <w:r w:rsidRPr="00DE471B">
        <w:rPr>
          <w:i/>
          <w:sz w:val="20"/>
        </w:rPr>
        <w:t>Personal Information Protection Act Regulation</w:t>
      </w:r>
      <w:r w:rsidRPr="00DE471B">
        <w:rPr>
          <w:sz w:val="20"/>
        </w:rPr>
        <w:t>, Alta Reg. 366/2003.</w:t>
      </w:r>
    </w:p>
    <w:p w:rsidR="00DF0123" w:rsidRDefault="00DF0123" w:rsidP="00DF0123">
      <w:pPr>
        <w:pStyle w:val="SCCNormalDoubleSpacing"/>
        <w:spacing w:line="240" w:lineRule="auto"/>
        <w:rPr>
          <w:sz w:val="20"/>
        </w:rPr>
      </w:pPr>
    </w:p>
    <w:p w:rsidR="00DF0123" w:rsidRPr="00DE471B" w:rsidRDefault="00DF0123" w:rsidP="00DF0123">
      <w:pPr>
        <w:pStyle w:val="SCCNormalDoubleSpacing"/>
        <w:spacing w:line="240" w:lineRule="auto"/>
        <w:rPr>
          <w:sz w:val="20"/>
        </w:rPr>
      </w:pPr>
      <w:r w:rsidRPr="00DE471B">
        <w:rPr>
          <w:sz w:val="20"/>
        </w:rPr>
        <w:tab/>
        <w:t>During a lawful strike lasting 305 days, both the Union and the employer video</w:t>
      </w:r>
      <w:r w:rsidRPr="00DE471B">
        <w:rPr>
          <w:sz w:val="20"/>
        </w:rPr>
        <w:noBreakHyphen/>
        <w:t>taped and photographed individuals crossing the picketline.  The Union posted signs in the area of the picketing stating that images of persons crossing the picketline</w:t>
      </w:r>
      <w:r w:rsidRPr="00DE471B">
        <w:rPr>
          <w:b/>
          <w:sz w:val="20"/>
        </w:rPr>
        <w:t xml:space="preserve"> </w:t>
      </w:r>
      <w:r w:rsidRPr="00DE471B">
        <w:rPr>
          <w:sz w:val="20"/>
        </w:rPr>
        <w:t>might be placed on a website.  Several individuals who were recorded crossing the picketline filed complaints with the Alberta Information and Privacy Commissioner</w:t>
      </w:r>
      <w:r w:rsidRPr="00DE471B">
        <w:rPr>
          <w:iCs/>
          <w:sz w:val="20"/>
        </w:rPr>
        <w:t xml:space="preserve">.  </w:t>
      </w:r>
      <w:r w:rsidRPr="00DE471B">
        <w:rPr>
          <w:sz w:val="20"/>
        </w:rPr>
        <w:t xml:space="preserve">The Commissioner appointed an Adjudicator to decide whether the Union had contravened the </w:t>
      </w:r>
      <w:r w:rsidRPr="00DE471B">
        <w:rPr>
          <w:i/>
          <w:iCs/>
          <w:sz w:val="20"/>
        </w:rPr>
        <w:t>Personal Information Protection Act</w:t>
      </w:r>
      <w:r w:rsidRPr="00DE471B">
        <w:rPr>
          <w:iCs/>
          <w:sz w:val="20"/>
        </w:rPr>
        <w:t xml:space="preserve"> (</w:t>
      </w:r>
      <w:r w:rsidRPr="00DE471B">
        <w:rPr>
          <w:i/>
          <w:iCs/>
          <w:sz w:val="20"/>
        </w:rPr>
        <w:t>PIPA</w:t>
      </w:r>
      <w:r w:rsidRPr="00DE471B">
        <w:rPr>
          <w:iCs/>
          <w:sz w:val="20"/>
        </w:rPr>
        <w:t>)</w:t>
      </w:r>
      <w:r w:rsidRPr="00DE471B">
        <w:rPr>
          <w:sz w:val="20"/>
        </w:rPr>
        <w:t xml:space="preserve">.  The Adjudicator concluded that the Union’s collection, use and disclosure of the information was not authorized by </w:t>
      </w:r>
      <w:r w:rsidRPr="00DE471B">
        <w:rPr>
          <w:i/>
          <w:sz w:val="20"/>
        </w:rPr>
        <w:t>PIPA</w:t>
      </w:r>
      <w:r w:rsidRPr="00DE471B">
        <w:rPr>
          <w:sz w:val="20"/>
        </w:rPr>
        <w:t xml:space="preserve">.  On judicial review, </w:t>
      </w:r>
      <w:r w:rsidRPr="00DE471B">
        <w:rPr>
          <w:i/>
          <w:sz w:val="20"/>
        </w:rPr>
        <w:t xml:space="preserve">PIPA </w:t>
      </w:r>
      <w:r w:rsidRPr="00DE471B">
        <w:rPr>
          <w:sz w:val="20"/>
        </w:rPr>
        <w:t>was found to violate the Union’s rights under s. 2(</w:t>
      </w:r>
      <w:r w:rsidRPr="00DE471B">
        <w:rPr>
          <w:i/>
          <w:sz w:val="20"/>
        </w:rPr>
        <w:t>b</w:t>
      </w:r>
      <w:r w:rsidRPr="00DE471B">
        <w:rPr>
          <w:sz w:val="20"/>
        </w:rPr>
        <w:t xml:space="preserve">) of the </w:t>
      </w:r>
      <w:r w:rsidRPr="00DE471B">
        <w:rPr>
          <w:i/>
          <w:sz w:val="20"/>
        </w:rPr>
        <w:t>Charter</w:t>
      </w:r>
      <w:r w:rsidRPr="00DE471B">
        <w:rPr>
          <w:sz w:val="20"/>
        </w:rPr>
        <w:t xml:space="preserve">.  The Court of Appeal agreed and granted the Union a constitutional exemption from the application of </w:t>
      </w:r>
      <w:r w:rsidRPr="00DE471B">
        <w:rPr>
          <w:i/>
          <w:sz w:val="20"/>
        </w:rPr>
        <w:t>PIPA</w:t>
      </w:r>
      <w:r w:rsidRPr="00DE471B">
        <w:rPr>
          <w:sz w:val="20"/>
        </w:rPr>
        <w:t xml:space="preserve">.  </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 xml:space="preserve">Held:  </w:t>
      </w:r>
      <w:r w:rsidRPr="00DE471B">
        <w:rPr>
          <w:sz w:val="20"/>
        </w:rPr>
        <w:t>The appeal is substantially dismissed.</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PIPA</w:t>
      </w:r>
      <w:r w:rsidRPr="00DE471B">
        <w:rPr>
          <w:sz w:val="20"/>
        </w:rPr>
        <w:t xml:space="preserve"> establishes a general rule that organizations cannot collect, use or disclose personal information without consent.  None of </w:t>
      </w:r>
      <w:r w:rsidRPr="00DE471B">
        <w:rPr>
          <w:i/>
          <w:sz w:val="20"/>
        </w:rPr>
        <w:t>PIPA’s</w:t>
      </w:r>
      <w:r w:rsidRPr="00DE471B">
        <w:rPr>
          <w:sz w:val="20"/>
        </w:rPr>
        <w:t xml:space="preserve"> exemptions permit the Union to collect, use and disclose personal information for the purpose of advancing its interests in a labour dispute.  The central issue is whether </w:t>
      </w:r>
      <w:r w:rsidRPr="00DE471B">
        <w:rPr>
          <w:i/>
          <w:sz w:val="20"/>
        </w:rPr>
        <w:t>PIPA</w:t>
      </w:r>
      <w:r w:rsidRPr="00DE471B">
        <w:rPr>
          <w:sz w:val="20"/>
        </w:rPr>
        <w:t xml:space="preserve"> achieves a constitutionally acceptable balance between the interests of individuals in controlling the collection, use and disclosure of their personal information and a union’s freedom of expression.  To the extent that </w:t>
      </w:r>
      <w:r w:rsidRPr="00DE471B">
        <w:rPr>
          <w:i/>
          <w:sz w:val="20"/>
        </w:rPr>
        <w:t xml:space="preserve">PIPA </w:t>
      </w:r>
      <w:r w:rsidRPr="00DE471B">
        <w:rPr>
          <w:sz w:val="20"/>
        </w:rPr>
        <w:t>restricts collection for legitimate labour relations purposes, it is in breach of s. 2(</w:t>
      </w:r>
      <w:r w:rsidRPr="00DE471B">
        <w:rPr>
          <w:i/>
          <w:sz w:val="20"/>
        </w:rPr>
        <w:t>b</w:t>
      </w:r>
      <w:r w:rsidRPr="00DE471B">
        <w:rPr>
          <w:sz w:val="20"/>
        </w:rPr>
        <w:t xml:space="preserve">) of the </w:t>
      </w:r>
      <w:r w:rsidRPr="00DE471B">
        <w:rPr>
          <w:i/>
          <w:sz w:val="20"/>
        </w:rPr>
        <w:t xml:space="preserve">Charter </w:t>
      </w:r>
      <w:r w:rsidRPr="00DE471B">
        <w:rPr>
          <w:sz w:val="20"/>
        </w:rPr>
        <w:t xml:space="preserve">and cannot be justified under s. 1.  </w:t>
      </w:r>
    </w:p>
    <w:p w:rsidR="00DF0123" w:rsidRDefault="00DF0123" w:rsidP="00DF0123">
      <w:pPr>
        <w:pStyle w:val="SCCNormalDoubleSpacing"/>
        <w:spacing w:line="240" w:lineRule="auto"/>
        <w:rPr>
          <w:sz w:val="20"/>
        </w:rPr>
      </w:pPr>
    </w:p>
    <w:p w:rsidR="00DF0123" w:rsidRPr="00DE471B" w:rsidRDefault="00DF0123" w:rsidP="00DF0123">
      <w:pPr>
        <w:pStyle w:val="SCCNormalDoubleSpacing"/>
        <w:spacing w:line="240" w:lineRule="auto"/>
        <w:rPr>
          <w:sz w:val="20"/>
        </w:rPr>
      </w:pPr>
      <w:r w:rsidRPr="00DE471B">
        <w:rPr>
          <w:sz w:val="20"/>
        </w:rPr>
        <w:tab/>
        <w:t xml:space="preserve">The purpose of </w:t>
      </w:r>
      <w:r w:rsidRPr="00DE471B">
        <w:rPr>
          <w:i/>
          <w:sz w:val="20"/>
        </w:rPr>
        <w:t>PIPA</w:t>
      </w:r>
      <w:r w:rsidRPr="00DE471B">
        <w:rPr>
          <w:sz w:val="20"/>
        </w:rPr>
        <w:t xml:space="preserve"> is to enhance an individual’s control over his or her personal information by restricting the collection, use and disclosure of personal information without that individual’s consent.  The objective of providing an individual with this measure of control is intimately connected to individual autonomy, dignity and privacy, self</w:t>
      </w:r>
      <w:r w:rsidRPr="00DE471B">
        <w:rPr>
          <w:sz w:val="20"/>
        </w:rPr>
        <w:noBreakHyphen/>
        <w:t xml:space="preserve">evidently significant social values.  </w:t>
      </w:r>
    </w:p>
    <w:p w:rsidR="00DF0123" w:rsidRDefault="00DF0123" w:rsidP="00DF0123">
      <w:pPr>
        <w:pStyle w:val="SCCNormalDoubleSpacing"/>
        <w:spacing w:line="240" w:lineRule="auto"/>
        <w:rPr>
          <w:sz w:val="20"/>
        </w:rPr>
      </w:pPr>
    </w:p>
    <w:p w:rsidR="00DF0123" w:rsidRPr="00DE471B" w:rsidRDefault="00DF0123" w:rsidP="00DF0123">
      <w:pPr>
        <w:pStyle w:val="SCCNormalDoubleSpacing"/>
        <w:spacing w:line="240" w:lineRule="auto"/>
        <w:rPr>
          <w:sz w:val="20"/>
        </w:rPr>
      </w:pPr>
      <w:r w:rsidRPr="00DE471B">
        <w:rPr>
          <w:sz w:val="20"/>
        </w:rPr>
        <w:tab/>
        <w:t xml:space="preserve">But the </w:t>
      </w:r>
      <w:r w:rsidRPr="00DE471B">
        <w:rPr>
          <w:i/>
          <w:sz w:val="20"/>
        </w:rPr>
        <w:t xml:space="preserve">Act </w:t>
      </w:r>
      <w:r w:rsidRPr="00DE471B">
        <w:rPr>
          <w:sz w:val="20"/>
        </w:rPr>
        <w:t xml:space="preserve">does not include any mechanisms by which a union’s constitutional right to freedom of expression may be balanced with the interests protected by the legislation.  This Court has long recognized the fundamental importance of freedom of expression in the context of labour disputes. </w:t>
      </w:r>
      <w:r w:rsidRPr="00DE471B">
        <w:rPr>
          <w:i/>
          <w:sz w:val="20"/>
        </w:rPr>
        <w:t xml:space="preserve"> PIPA</w:t>
      </w:r>
      <w:r w:rsidRPr="00DE471B">
        <w:rPr>
          <w:sz w:val="20"/>
        </w:rPr>
        <w:t xml:space="preserve"> prohibits the collection, use, or disclosure of personal information for many legitimate, expressive purposes related to labour relations.  Picketing represents a particularly crucial form of expression with strong historical roots.  </w:t>
      </w:r>
      <w:r w:rsidRPr="00DE471B">
        <w:rPr>
          <w:i/>
          <w:sz w:val="20"/>
        </w:rPr>
        <w:t>PIPA</w:t>
      </w:r>
      <w:r w:rsidRPr="00DE471B">
        <w:rPr>
          <w:sz w:val="20"/>
        </w:rPr>
        <w:t xml:space="preserve"> imposes restrictions on a union’s ability to communicate and persuade the public of its cause, impairing its ability to use one of its most effective bargaining strategies in the course of a lawful strike.  This infringement of the right to freedom of expression is disproportionate to the government’s objective of providing individuals with control over the personal information that they expose by crossing a picket line.  It is therefore not justified under s. 1 of the </w:t>
      </w:r>
      <w:r w:rsidRPr="00DE471B">
        <w:rPr>
          <w:i/>
          <w:sz w:val="20"/>
        </w:rPr>
        <w:t>Charter</w:t>
      </w:r>
      <w:r w:rsidRPr="00DE471B">
        <w:rPr>
          <w:sz w:val="20"/>
        </w:rPr>
        <w:t>.</w:t>
      </w:r>
    </w:p>
    <w:p w:rsidR="00DF0123" w:rsidRDefault="00DF0123" w:rsidP="00DF0123">
      <w:pPr>
        <w:pStyle w:val="SCCNormalDoubleSpacing"/>
        <w:spacing w:line="240" w:lineRule="auto"/>
        <w:rPr>
          <w:sz w:val="20"/>
        </w:rPr>
      </w:pPr>
    </w:p>
    <w:p w:rsidR="00DF0123" w:rsidRDefault="00DF0123" w:rsidP="00DF0123">
      <w:pPr>
        <w:pStyle w:val="SCCNormalDoubleSpacing"/>
        <w:spacing w:line="240" w:lineRule="auto"/>
        <w:rPr>
          <w:sz w:val="20"/>
        </w:rPr>
      </w:pPr>
      <w:r w:rsidRPr="00DE471B">
        <w:rPr>
          <w:sz w:val="20"/>
        </w:rPr>
        <w:lastRenderedPageBreak/>
        <w:tab/>
        <w:t xml:space="preserve">Given the comprehensive and integrated structure of the statute, the Government of Alberta and the Information and Privacy Commissioner requested that the Court not select specific amendments, requesting instead that the entire statute be declared invalid so that the legislature can consider the </w:t>
      </w:r>
      <w:r w:rsidRPr="00DE471B">
        <w:rPr>
          <w:i/>
          <w:sz w:val="20"/>
        </w:rPr>
        <w:t>Act</w:t>
      </w:r>
      <w:r w:rsidRPr="00DE471B">
        <w:rPr>
          <w:sz w:val="20"/>
        </w:rPr>
        <w:t xml:space="preserve"> as a whole.  The declaration of invalidity is therefore granted but is suspended for a period of 12 months to give the legislature the opportunity to decide how best to make the legislation constitutionally compliant.</w:t>
      </w:r>
    </w:p>
    <w:p w:rsidR="00DF0123" w:rsidRDefault="00DF0123" w:rsidP="00DF0123">
      <w:pPr>
        <w:pStyle w:val="SCCNormalDoubleSpacing"/>
        <w:spacing w:line="240" w:lineRule="auto"/>
        <w:rPr>
          <w:sz w:val="20"/>
        </w:rPr>
      </w:pPr>
    </w:p>
    <w:p w:rsidR="00DF0123" w:rsidRPr="00DE471B" w:rsidRDefault="00DF0123" w:rsidP="00DF0123">
      <w:pPr>
        <w:pStyle w:val="SCCNormalDoubleSpacing"/>
        <w:spacing w:line="240" w:lineRule="auto"/>
        <w:rPr>
          <w:sz w:val="20"/>
        </w:rPr>
      </w:pPr>
      <w:r w:rsidRPr="00DE471B">
        <w:rPr>
          <w:sz w:val="20"/>
        </w:rPr>
        <w:tab/>
        <w:t>APPEAL from a judgment of the Alberta Court of Appeal (Slatter and McDonald JJ.A. and Read J. (</w:t>
      </w:r>
      <w:r w:rsidRPr="00DE471B">
        <w:rPr>
          <w:i/>
          <w:sz w:val="20"/>
        </w:rPr>
        <w:t>ad hoc</w:t>
      </w:r>
      <w:r w:rsidRPr="00DE471B">
        <w:rPr>
          <w:sz w:val="20"/>
        </w:rPr>
        <w:t>)), 2012 ABCA 130, 57 Alta. L.R. (5th) 249, 522 A.R. 197, 544 W.A.C. 197, 349 D.L.R. (4th) 654, 258 C.R.R. (2d) 110, 33 Admin. L.R. (5th) 321, [2012] 6 W.W.R. 211, 2012 CLLC ¶210</w:t>
      </w:r>
      <w:r w:rsidRPr="00DE471B">
        <w:rPr>
          <w:sz w:val="20"/>
        </w:rPr>
        <w:noBreakHyphen/>
        <w:t>025, [2012] A.J. No. 427 (QL), 2012 CarswellAlta 760, allowing in part (only to the extent the remedy was varied) a decision of Goss J., 2011 ABQB 415, 53 Alta. L.R. (5th) 235, 509 A.R. 150, 339 D.L.R. (4th) 279, 32 Admin. L.R. (5th) 107, [2012] 4 W.W.R. 324, 2011 CLLC ¶210</w:t>
      </w:r>
      <w:r w:rsidRPr="00DE471B">
        <w:rPr>
          <w:sz w:val="20"/>
        </w:rPr>
        <w:noBreakHyphen/>
        <w:t xml:space="preserve">055, [2011] A.J. No. 940 (QL), 2011 CarswellAlta 1486, setting aside a decision of the Information and Privacy Commissioner, Order P2008-008, 2009 CanLII 90942.  Appeal substantially dismissed. </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Glenn Solomon, Q.C.,</w:t>
      </w:r>
      <w:r w:rsidRPr="00DE471B">
        <w:rPr>
          <w:sz w:val="20"/>
        </w:rPr>
        <w:t xml:space="preserve"> and </w:t>
      </w:r>
      <w:r w:rsidRPr="00DE471B">
        <w:rPr>
          <w:i/>
          <w:sz w:val="20"/>
        </w:rPr>
        <w:t>Robert W. Armstrong</w:t>
      </w:r>
      <w:r w:rsidRPr="00DE471B">
        <w:rPr>
          <w:sz w:val="20"/>
        </w:rPr>
        <w:t>, for the appellant the Information and Privacy Commissioner of Alberta.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Roderick Wiltshire</w:t>
      </w:r>
      <w:r w:rsidRPr="00DE471B">
        <w:rPr>
          <w:sz w:val="20"/>
        </w:rPr>
        <w:t>, for the appellant the Attorney General of Alberta.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Gwen J. Gray, Q.C.,</w:t>
      </w:r>
      <w:r w:rsidRPr="00DE471B">
        <w:rPr>
          <w:sz w:val="20"/>
        </w:rPr>
        <w:t xml:space="preserve"> and </w:t>
      </w:r>
      <w:r w:rsidRPr="00DE471B">
        <w:rPr>
          <w:i/>
          <w:sz w:val="20"/>
        </w:rPr>
        <w:t>Vanessa Cosco</w:t>
      </w:r>
      <w:r w:rsidRPr="00DE471B">
        <w:rPr>
          <w:sz w:val="20"/>
        </w:rPr>
        <w:t>, for the respondent.</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Sean Gaudet</w:t>
      </w:r>
      <w:r w:rsidRPr="00DE471B">
        <w:rPr>
          <w:sz w:val="20"/>
        </w:rPr>
        <w:t>, for the intervener the Attorney General of Canada.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Rochelle S. Fox</w:t>
      </w:r>
      <w:r w:rsidRPr="00DE471B">
        <w:rPr>
          <w:sz w:val="20"/>
        </w:rPr>
        <w:t xml:space="preserve"> and </w:t>
      </w:r>
      <w:r w:rsidRPr="00DE471B">
        <w:rPr>
          <w:i/>
          <w:sz w:val="20"/>
        </w:rPr>
        <w:t>Sara Weinrib</w:t>
      </w:r>
      <w:r w:rsidRPr="00DE471B">
        <w:rPr>
          <w:sz w:val="20"/>
        </w:rPr>
        <w:t>, for the intervener the Attorney General of Ontario.</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Mahmud Jamal</w:t>
      </w:r>
      <w:r w:rsidRPr="00DE471B">
        <w:rPr>
          <w:sz w:val="20"/>
        </w:rPr>
        <w:t xml:space="preserve">, </w:t>
      </w:r>
      <w:r w:rsidRPr="00DE471B">
        <w:rPr>
          <w:i/>
          <w:sz w:val="20"/>
        </w:rPr>
        <w:t>Patricia Kosseim, Regan Morris</w:t>
      </w:r>
      <w:r w:rsidRPr="00DE471B">
        <w:rPr>
          <w:sz w:val="20"/>
        </w:rPr>
        <w:t xml:space="preserve"> and </w:t>
      </w:r>
      <w:r w:rsidRPr="00DE471B">
        <w:rPr>
          <w:i/>
          <w:sz w:val="20"/>
        </w:rPr>
        <w:t>Kirk Shannon</w:t>
      </w:r>
      <w:r w:rsidRPr="00DE471B">
        <w:rPr>
          <w:sz w:val="20"/>
        </w:rPr>
        <w:t>, for the intervener the Privacy Commissioner of Canada.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Patricia D. S. Jackson</w:t>
      </w:r>
      <w:r w:rsidRPr="00DE471B">
        <w:rPr>
          <w:sz w:val="20"/>
        </w:rPr>
        <w:t xml:space="preserve"> and </w:t>
      </w:r>
      <w:r w:rsidRPr="00DE471B">
        <w:rPr>
          <w:i/>
          <w:sz w:val="20"/>
        </w:rPr>
        <w:t>Sarah Whitmore</w:t>
      </w:r>
      <w:r w:rsidRPr="00DE471B">
        <w:rPr>
          <w:sz w:val="20"/>
        </w:rPr>
        <w:t>, for the intervener the Canadian Civil Liberties Association.</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Lindsay M. Lyster</w:t>
      </w:r>
      <w:r w:rsidRPr="00DE471B">
        <w:rPr>
          <w:sz w:val="20"/>
        </w:rPr>
        <w:t>, for the intervener the British Columbia Civil Liberties Association.</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William S. Challis</w:t>
      </w:r>
      <w:r w:rsidRPr="00DE471B">
        <w:rPr>
          <w:sz w:val="20"/>
        </w:rPr>
        <w:t>, for the intervener the Information and Privacy Commissioner of Ontario.</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Simon Ruel</w:t>
      </w:r>
      <w:r w:rsidRPr="00DE471B">
        <w:rPr>
          <w:sz w:val="20"/>
        </w:rPr>
        <w:t>, for the interveners the Coalition of British Columbia Businesses and Merit Canada.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Written submissions only by Nitya Iyer</w:t>
      </w:r>
      <w:r w:rsidRPr="00DE471B">
        <w:rPr>
          <w:sz w:val="20"/>
        </w:rPr>
        <w:t>, for the intervener the Information and Privacy Commissioner of British Columbia.</w:t>
      </w:r>
    </w:p>
    <w:p w:rsidR="00DF0123" w:rsidRDefault="00DF0123" w:rsidP="00DF0123">
      <w:pPr>
        <w:pStyle w:val="SCCNormalDoubleSpacing"/>
        <w:spacing w:line="240" w:lineRule="auto"/>
        <w:rPr>
          <w:i/>
          <w:sz w:val="20"/>
        </w:rPr>
      </w:pPr>
    </w:p>
    <w:p w:rsidR="00DF0123" w:rsidRPr="00DE471B" w:rsidRDefault="00DF0123" w:rsidP="00DF0123">
      <w:pPr>
        <w:pStyle w:val="SCCNormalDoubleSpacing"/>
        <w:spacing w:line="240" w:lineRule="auto"/>
        <w:rPr>
          <w:sz w:val="20"/>
        </w:rPr>
      </w:pPr>
      <w:r w:rsidRPr="00DE471B">
        <w:rPr>
          <w:i/>
          <w:sz w:val="20"/>
        </w:rPr>
        <w:tab/>
        <w:t>David Williams</w:t>
      </w:r>
      <w:r w:rsidRPr="00DE471B">
        <w:rPr>
          <w:sz w:val="20"/>
        </w:rPr>
        <w:t xml:space="preserve"> and </w:t>
      </w:r>
      <w:r w:rsidRPr="00DE471B">
        <w:rPr>
          <w:i/>
          <w:sz w:val="20"/>
        </w:rPr>
        <w:t>Kristan McLeod</w:t>
      </w:r>
      <w:r w:rsidRPr="00DE471B">
        <w:rPr>
          <w:sz w:val="20"/>
        </w:rPr>
        <w:t>, for the intervener the Alberta Federation of Labour.</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appellant the Information and Privacy Commissioner of Alberta:  Jensen Shawa Solomon Duguid Hawkes, Calgary.</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 for the appellant the Attorney General of Alberta:  Attorney General of Alberta, Edmonton.</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respondent:  Chivers Carpenter, Edmonton.</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 for the intervener the Attorney General of Canada:  Attorney General of Canada, Toronto.</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 for the intervener the Attorney General of Ontario:  Attorney General of Ontario, Toronto.</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intervener the Privacy Commissioner of Canada:  Osler, Hoskin &amp; Harcourt, Toronto; Office of the Privacy Commissioner of Canada, Ottawa.</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lastRenderedPageBreak/>
        <w:tab/>
        <w:t>Solicitors for the intervener the Canadian Civil Liberties Association:  Torys, Toronto.</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intervener the British Columbia Civil Liberties Association:  Moore, Edgar, Lyster, Vancouver.</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 for the intervener the Information and Privacy Commissioner of Ontario:  Information and Privacy Commissioner of Ontario, Toronto.</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interveners the Coalition of British Columbia Businesses and Merit Canada:  Heenan Blaikie, Ottawa.</w:t>
      </w:r>
    </w:p>
    <w:p w:rsidR="00DF0123" w:rsidRDefault="00DF0123" w:rsidP="00DF0123">
      <w:pPr>
        <w:pStyle w:val="SCCLawFirm"/>
        <w:spacing w:line="240" w:lineRule="auto"/>
        <w:rPr>
          <w:sz w:val="20"/>
        </w:rPr>
      </w:pPr>
    </w:p>
    <w:p w:rsidR="00DF0123" w:rsidRPr="00DE471B" w:rsidRDefault="00DF0123" w:rsidP="00DF0123">
      <w:pPr>
        <w:pStyle w:val="SCCLawFirm"/>
        <w:spacing w:line="240" w:lineRule="auto"/>
        <w:rPr>
          <w:sz w:val="20"/>
        </w:rPr>
      </w:pPr>
      <w:r w:rsidRPr="00DE471B">
        <w:rPr>
          <w:sz w:val="20"/>
        </w:rPr>
        <w:tab/>
        <w:t>Solicitors for the intervener the Information and Privacy Commissioner of British Columbia:  Lovett Westmacott, Vancouver.</w:t>
      </w:r>
    </w:p>
    <w:p w:rsidR="00DF0123" w:rsidRDefault="00DF0123" w:rsidP="00DF0123">
      <w:pPr>
        <w:pStyle w:val="SCCLawFirm"/>
        <w:spacing w:line="240" w:lineRule="auto"/>
        <w:rPr>
          <w:sz w:val="20"/>
        </w:rPr>
      </w:pPr>
    </w:p>
    <w:p w:rsidR="00DF0123" w:rsidRPr="00E151AD" w:rsidRDefault="00DF0123" w:rsidP="00DF0123">
      <w:pPr>
        <w:rPr>
          <w:i/>
          <w:sz w:val="20"/>
        </w:rPr>
      </w:pPr>
      <w:r w:rsidRPr="00DE471B">
        <w:rPr>
          <w:sz w:val="20"/>
        </w:rPr>
        <w:tab/>
      </w:r>
      <w:r w:rsidRPr="00E151AD">
        <w:rPr>
          <w:i/>
          <w:sz w:val="20"/>
        </w:rPr>
        <w:t>Solicitors for the intervener the Alberta Federation of Labour:  Chivers Carpenter, Edmonton.</w:t>
      </w:r>
    </w:p>
    <w:p w:rsidR="00DD0B49" w:rsidRPr="00DF0123" w:rsidRDefault="00DD0B49" w:rsidP="00DF0123">
      <w:pPr>
        <w:rPr>
          <w:rFonts w:cs="Times New Roman"/>
          <w:sz w:val="20"/>
          <w:szCs w:val="20"/>
          <w:lang w:val="fr-CA"/>
        </w:rPr>
      </w:pPr>
      <w:r w:rsidRPr="00DF0123">
        <w:rPr>
          <w:rFonts w:cs="Times New Roman"/>
          <w:sz w:val="20"/>
          <w:szCs w:val="20"/>
          <w:lang w:val="fr-CA"/>
        </w:rPr>
        <w:t>________________________</w:t>
      </w:r>
    </w:p>
    <w:p w:rsidR="00DD0B49" w:rsidRPr="00DF0123" w:rsidRDefault="00DD0B49" w:rsidP="00DD0B49">
      <w:pPr>
        <w:rPr>
          <w:rFonts w:cs="Times New Roman"/>
          <w:sz w:val="20"/>
          <w:szCs w:val="20"/>
          <w:lang w:val="fr-CA"/>
        </w:rPr>
      </w:pPr>
    </w:p>
    <w:p w:rsidR="00DF0123" w:rsidRPr="00C11535" w:rsidRDefault="00DF0123" w:rsidP="00DF0123">
      <w:pPr>
        <w:jc w:val="both"/>
        <w:rPr>
          <w:sz w:val="20"/>
          <w:szCs w:val="20"/>
          <w:lang w:val="fr-CA"/>
        </w:rPr>
      </w:pPr>
      <w:r w:rsidRPr="00C11535">
        <w:rPr>
          <w:sz w:val="20"/>
          <w:szCs w:val="20"/>
          <w:lang w:val="fr-CA"/>
        </w:rPr>
        <w:t>Présents : La juge en chef McLachlin et les juges LeBel, Fish, Abella, Rothstein, Cromwell, Moldaver, Karakatsanis et Wagner.</w:t>
      </w:r>
    </w:p>
    <w:p w:rsidR="00DF0123" w:rsidRDefault="00DF0123" w:rsidP="00DF0123">
      <w:pPr>
        <w:pStyle w:val="SCCNormalDoubleSpacing"/>
        <w:spacing w:line="240" w:lineRule="auto"/>
        <w:rPr>
          <w:sz w:val="20"/>
          <w:lang w:val="fr-CA"/>
        </w:rPr>
      </w:pPr>
    </w:p>
    <w:p w:rsidR="00DF0123" w:rsidRPr="00C11535" w:rsidRDefault="00DF0123" w:rsidP="00DF0123">
      <w:pPr>
        <w:pStyle w:val="SCCNormalDoubleSpacing"/>
        <w:spacing w:line="240" w:lineRule="auto"/>
        <w:rPr>
          <w:i/>
          <w:iCs/>
          <w:sz w:val="20"/>
          <w:lang w:val="fr-CA"/>
        </w:rPr>
      </w:pPr>
      <w:r w:rsidRPr="00C11535">
        <w:rPr>
          <w:sz w:val="20"/>
          <w:lang w:val="fr-CA"/>
        </w:rPr>
        <w:tab/>
      </w:r>
      <w:r w:rsidRPr="00C11535">
        <w:rPr>
          <w:i/>
          <w:iCs/>
          <w:sz w:val="20"/>
          <w:lang w:val="fr-CA"/>
        </w:rPr>
        <w:t>Droit constitutionnel — Charte des droits — Liberté d’expression — Relations de travail — Droit à la vie privée — Syndicat filme et photographie des personnes franchissant sa ligne de piquetage pour se servir des enregistrements dans le cadre du conflit de travail en cours — La loi qui restreint la collecte, l’utilisation et la communication de renseignements personnels porte</w:t>
      </w:r>
      <w:r w:rsidRPr="00C11535">
        <w:rPr>
          <w:i/>
          <w:iCs/>
          <w:sz w:val="20"/>
          <w:lang w:val="fr-CA"/>
        </w:rPr>
        <w:noBreakHyphen/>
        <w:t>t</w:t>
      </w:r>
      <w:r w:rsidRPr="00C11535">
        <w:rPr>
          <w:i/>
          <w:iCs/>
          <w:sz w:val="20"/>
          <w:lang w:val="fr-CA"/>
        </w:rPr>
        <w:noBreakHyphen/>
        <w:t>elle atteinte au droit à la liberté d’expression du syndicat protégée par l’al. 2b) de la Charte et, dans l’affirmative, l’atteinte est</w:t>
      </w:r>
      <w:r w:rsidRPr="00C11535">
        <w:rPr>
          <w:i/>
          <w:iCs/>
          <w:sz w:val="20"/>
          <w:lang w:val="fr-CA"/>
        </w:rPr>
        <w:noBreakHyphen/>
        <w:t>elle justifiée? — Charte canadienne des droits et libertés, art. 1 et 2b) — Personal Information Protection Act, S.A. 2003, ch. P</w:t>
      </w:r>
      <w:r w:rsidRPr="00C11535">
        <w:rPr>
          <w:i/>
          <w:iCs/>
          <w:sz w:val="20"/>
          <w:lang w:val="fr-CA"/>
        </w:rPr>
        <w:noBreakHyphen/>
        <w:t>6.5</w:t>
      </w:r>
      <w:r w:rsidRPr="00C11535">
        <w:rPr>
          <w:i/>
          <w:sz w:val="20"/>
          <w:lang w:val="fr-CA"/>
        </w:rPr>
        <w:t xml:space="preserve"> </w:t>
      </w:r>
      <w:r w:rsidRPr="00C11535">
        <w:rPr>
          <w:i/>
          <w:iCs/>
          <w:sz w:val="20"/>
          <w:lang w:val="fr-CA"/>
        </w:rPr>
        <w:t xml:space="preserve">— </w:t>
      </w:r>
      <w:r w:rsidRPr="00C11535">
        <w:rPr>
          <w:i/>
          <w:sz w:val="20"/>
          <w:lang w:val="fr-CA"/>
        </w:rPr>
        <w:t>Personal Information Protection Act Regulation</w:t>
      </w:r>
      <w:r w:rsidRPr="00C11535">
        <w:rPr>
          <w:sz w:val="20"/>
          <w:lang w:val="fr-CA"/>
        </w:rPr>
        <w:t>, Alta Reg. 366/2003.</w:t>
      </w:r>
    </w:p>
    <w:p w:rsidR="00DF0123" w:rsidRDefault="00DF0123" w:rsidP="00DF0123">
      <w:pPr>
        <w:pStyle w:val="SCCNormalDoubleSpacing"/>
        <w:spacing w:line="240" w:lineRule="auto"/>
        <w:rPr>
          <w:sz w:val="20"/>
          <w:lang w:val="fr-CA"/>
        </w:rPr>
      </w:pPr>
    </w:p>
    <w:p w:rsidR="00DF0123" w:rsidRPr="00C11535" w:rsidRDefault="00DF0123" w:rsidP="00DF0123">
      <w:pPr>
        <w:pStyle w:val="SCCNormalDoubleSpacing"/>
        <w:spacing w:line="240" w:lineRule="auto"/>
        <w:rPr>
          <w:sz w:val="20"/>
          <w:lang w:val="fr-CA"/>
        </w:rPr>
      </w:pPr>
      <w:r w:rsidRPr="00C11535">
        <w:rPr>
          <w:sz w:val="20"/>
          <w:lang w:val="fr-CA"/>
        </w:rPr>
        <w:tab/>
        <w:t xml:space="preserve">À l’occasion d’une grève légale qui a duré 305 jours, tant le syndicat que l’employeur ont </w:t>
      </w:r>
      <w:r w:rsidRPr="00C11535">
        <w:rPr>
          <w:bCs/>
          <w:sz w:val="20"/>
          <w:lang w:val="fr-CA"/>
        </w:rPr>
        <w:t xml:space="preserve">enregistré des vidéos et pris des </w:t>
      </w:r>
      <w:r w:rsidRPr="00C11535">
        <w:rPr>
          <w:sz w:val="20"/>
          <w:lang w:val="fr-CA"/>
        </w:rPr>
        <w:t>photos de personnes en train de franchir la ligne de piquetage.  Le syndicat a installé des affiches à l’intérieur de la zone de piquetage annonçant que les images des personnes qui franchissaient la ligne étaient susceptibles d’être publiées sur un site Web.  Plusieurs des personnes filmées ou photographiées en train de franchir la ligne de piquetage ont déposé une plainte auprès du commissaire à l’information et à la protection de la vie privée de l’Alberta</w:t>
      </w:r>
      <w:r w:rsidRPr="00C11535">
        <w:rPr>
          <w:iCs/>
          <w:sz w:val="20"/>
          <w:lang w:val="fr-CA"/>
        </w:rPr>
        <w:t xml:space="preserve">.  </w:t>
      </w:r>
      <w:r w:rsidRPr="00C11535">
        <w:rPr>
          <w:sz w:val="20"/>
          <w:lang w:val="fr-CA"/>
        </w:rPr>
        <w:t xml:space="preserve">Ce dernier a désigné une arbitre chargée de décider si le syndicat avait contrevenu à la </w:t>
      </w:r>
      <w:r w:rsidRPr="00C11535">
        <w:rPr>
          <w:i/>
          <w:iCs/>
          <w:sz w:val="20"/>
          <w:lang w:val="fr-CA"/>
        </w:rPr>
        <w:t>Personal Information Protection Act</w:t>
      </w:r>
      <w:r w:rsidRPr="00C11535">
        <w:rPr>
          <w:iCs/>
          <w:sz w:val="20"/>
          <w:lang w:val="fr-CA"/>
        </w:rPr>
        <w:t xml:space="preserve"> (</w:t>
      </w:r>
      <w:r w:rsidRPr="00C11535">
        <w:rPr>
          <w:i/>
          <w:iCs/>
          <w:sz w:val="20"/>
          <w:lang w:val="fr-CA"/>
        </w:rPr>
        <w:t>PIPA</w:t>
      </w:r>
      <w:r w:rsidRPr="00C11535">
        <w:rPr>
          <w:iCs/>
          <w:sz w:val="20"/>
          <w:lang w:val="fr-CA"/>
        </w:rPr>
        <w:t>)</w:t>
      </w:r>
      <w:r w:rsidRPr="00C11535">
        <w:rPr>
          <w:sz w:val="20"/>
          <w:lang w:val="fr-CA"/>
        </w:rPr>
        <w:t xml:space="preserve">.  L’arbitre a conclu que la collecte, l’utilisation et la communication des renseignements par le syndicat n’étaient pas autorisées par la </w:t>
      </w:r>
      <w:r w:rsidRPr="00C11535">
        <w:rPr>
          <w:i/>
          <w:sz w:val="20"/>
          <w:lang w:val="fr-CA"/>
        </w:rPr>
        <w:t>PIPA</w:t>
      </w:r>
      <w:r w:rsidRPr="00C11535">
        <w:rPr>
          <w:sz w:val="20"/>
          <w:lang w:val="fr-CA"/>
        </w:rPr>
        <w:t xml:space="preserve">. Lors d’un contrôle judiciaire, il a été jugé que la </w:t>
      </w:r>
      <w:r w:rsidRPr="00C11535">
        <w:rPr>
          <w:i/>
          <w:sz w:val="20"/>
          <w:lang w:val="fr-CA"/>
        </w:rPr>
        <w:t xml:space="preserve">PIPA </w:t>
      </w:r>
      <w:r w:rsidRPr="00C11535">
        <w:rPr>
          <w:sz w:val="20"/>
          <w:lang w:val="fr-CA"/>
        </w:rPr>
        <w:t>portait atteinte aux droits du syndicat protégés par l’al. 2</w:t>
      </w:r>
      <w:r w:rsidRPr="00C11535">
        <w:rPr>
          <w:i/>
          <w:sz w:val="20"/>
          <w:lang w:val="fr-CA"/>
        </w:rPr>
        <w:t>b</w:t>
      </w:r>
      <w:r w:rsidRPr="00C11535">
        <w:rPr>
          <w:sz w:val="20"/>
          <w:lang w:val="fr-CA"/>
        </w:rPr>
        <w:t xml:space="preserve">) de la </w:t>
      </w:r>
      <w:r w:rsidRPr="00C11535">
        <w:rPr>
          <w:i/>
          <w:sz w:val="20"/>
          <w:lang w:val="fr-CA"/>
        </w:rPr>
        <w:t>Charte</w:t>
      </w:r>
      <w:r w:rsidRPr="00C11535">
        <w:rPr>
          <w:sz w:val="20"/>
          <w:lang w:val="fr-CA"/>
        </w:rPr>
        <w:t xml:space="preserve">.  La Cour d’appel s’est dite d’accord et a accordé au syndicat une exemption constitutionnelle quant à l’application de la </w:t>
      </w:r>
      <w:r w:rsidRPr="00C11535">
        <w:rPr>
          <w:i/>
          <w:sz w:val="20"/>
          <w:lang w:val="fr-CA"/>
        </w:rPr>
        <w:t>PIPA</w:t>
      </w:r>
      <w:r w:rsidRPr="00C11535">
        <w:rPr>
          <w:sz w:val="20"/>
          <w:lang w:val="fr-CA"/>
        </w:rPr>
        <w:t xml:space="preserve">.  </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 xml:space="preserve">Arrêt : </w:t>
      </w:r>
      <w:r w:rsidRPr="00C11535">
        <w:rPr>
          <w:sz w:val="20"/>
          <w:lang w:val="fr-CA"/>
        </w:rPr>
        <w:t>Le pourvoi est rejeté en grande partie.</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r>
      <w:r w:rsidRPr="00C11535">
        <w:rPr>
          <w:sz w:val="20"/>
          <w:lang w:val="fr-CA"/>
        </w:rPr>
        <w:t xml:space="preserve">La </w:t>
      </w:r>
      <w:r w:rsidRPr="00C11535">
        <w:rPr>
          <w:i/>
          <w:sz w:val="20"/>
          <w:lang w:val="fr-CA"/>
        </w:rPr>
        <w:t>PIPA</w:t>
      </w:r>
      <w:r w:rsidRPr="00C11535">
        <w:rPr>
          <w:sz w:val="20"/>
          <w:lang w:val="fr-CA"/>
        </w:rPr>
        <w:t xml:space="preserve"> pose comme règle générale que les organisations ne peuvent recueillir, utiliser ou communiquer des renseignements personnels sans le consentement des intéressés.  Aucune des exceptions prévues par la </w:t>
      </w:r>
      <w:r w:rsidRPr="00C11535">
        <w:rPr>
          <w:i/>
          <w:sz w:val="20"/>
          <w:lang w:val="fr-CA"/>
        </w:rPr>
        <w:t>PIPA</w:t>
      </w:r>
      <w:r w:rsidRPr="00C11535">
        <w:rPr>
          <w:sz w:val="20"/>
          <w:lang w:val="fr-CA"/>
        </w:rPr>
        <w:t xml:space="preserve"> ne permet au syndicat de recueillir, d’utiliser ou de communiquer des renseignements personnels en vue de faire valoir ses intérêts dans le cadre d’un conflit de travail.  La question principale est celle de savoir si la </w:t>
      </w:r>
      <w:r w:rsidRPr="00C11535">
        <w:rPr>
          <w:i/>
          <w:sz w:val="20"/>
          <w:lang w:val="fr-CA"/>
        </w:rPr>
        <w:t>PIPA</w:t>
      </w:r>
      <w:r w:rsidRPr="00C11535">
        <w:rPr>
          <w:sz w:val="20"/>
          <w:lang w:val="fr-CA"/>
        </w:rPr>
        <w:t xml:space="preserve"> atteint un équilibre acceptable sur le plan constitutionnel entre, d’une part, le droit des personnes d’exercer un droit de regard sur la collecte, l’utilisation et la communication des renseignements personnels les concernant et, d’autre part, la liberté d’expression d’un syndicat.  Dans la mesure où la </w:t>
      </w:r>
      <w:r w:rsidRPr="00C11535">
        <w:rPr>
          <w:i/>
          <w:sz w:val="20"/>
          <w:lang w:val="fr-CA"/>
        </w:rPr>
        <w:t xml:space="preserve">PIPA </w:t>
      </w:r>
      <w:r w:rsidRPr="00C11535">
        <w:rPr>
          <w:iCs/>
          <w:sz w:val="20"/>
          <w:lang w:val="fr-CA"/>
        </w:rPr>
        <w:t xml:space="preserve">empêche la collecte de renseignements personnels </w:t>
      </w:r>
      <w:r w:rsidRPr="00C11535">
        <w:rPr>
          <w:sz w:val="20"/>
          <w:lang w:val="fr-CA"/>
        </w:rPr>
        <w:t>à des fins légitimes de relations du travail, elle viole l’al. 2</w:t>
      </w:r>
      <w:r w:rsidRPr="00C11535">
        <w:rPr>
          <w:i/>
          <w:sz w:val="20"/>
          <w:lang w:val="fr-CA"/>
        </w:rPr>
        <w:t>b</w:t>
      </w:r>
      <w:r w:rsidRPr="00C11535">
        <w:rPr>
          <w:sz w:val="20"/>
          <w:lang w:val="fr-CA"/>
        </w:rPr>
        <w:t xml:space="preserve">) de la </w:t>
      </w:r>
      <w:r w:rsidRPr="00C11535">
        <w:rPr>
          <w:i/>
          <w:sz w:val="20"/>
          <w:lang w:val="fr-CA"/>
        </w:rPr>
        <w:t xml:space="preserve">Charte </w:t>
      </w:r>
      <w:r w:rsidRPr="00C11535">
        <w:rPr>
          <w:iCs/>
          <w:sz w:val="20"/>
          <w:lang w:val="fr-CA"/>
        </w:rPr>
        <w:t xml:space="preserve">et cette violation ne saurait se justifier </w:t>
      </w:r>
      <w:r w:rsidRPr="00C11535">
        <w:rPr>
          <w:sz w:val="20"/>
          <w:lang w:val="fr-CA"/>
        </w:rPr>
        <w:t xml:space="preserve">au sens de l’article premier.  </w:t>
      </w:r>
    </w:p>
    <w:p w:rsidR="00DF0123" w:rsidRDefault="00DF0123" w:rsidP="00DF0123">
      <w:pPr>
        <w:pStyle w:val="SCCNormalDoubleSpacing"/>
        <w:spacing w:line="240" w:lineRule="auto"/>
        <w:rPr>
          <w:sz w:val="20"/>
          <w:lang w:val="fr-CA"/>
        </w:rPr>
      </w:pPr>
    </w:p>
    <w:p w:rsidR="00DF0123" w:rsidRPr="00C11535" w:rsidRDefault="00DF0123" w:rsidP="00DF0123">
      <w:pPr>
        <w:pStyle w:val="SCCNormalDoubleSpacing"/>
        <w:spacing w:line="240" w:lineRule="auto"/>
        <w:rPr>
          <w:sz w:val="20"/>
          <w:lang w:val="fr-CA"/>
        </w:rPr>
      </w:pPr>
      <w:r w:rsidRPr="00C11535">
        <w:rPr>
          <w:sz w:val="20"/>
          <w:lang w:val="fr-CA"/>
        </w:rPr>
        <w:tab/>
        <w:t xml:space="preserve">La </w:t>
      </w:r>
      <w:r w:rsidRPr="00C11535">
        <w:rPr>
          <w:i/>
          <w:sz w:val="20"/>
          <w:lang w:val="fr-CA"/>
        </w:rPr>
        <w:t xml:space="preserve">PIPA </w:t>
      </w:r>
      <w:r w:rsidRPr="00C11535">
        <w:rPr>
          <w:sz w:val="20"/>
          <w:lang w:val="fr-CA"/>
        </w:rPr>
        <w:t>vise à renforcer le droit de regard d’une personne sur les renseignements personnels la concernant en restreignant leur collecte, leur utilisation et leur communication sans son consentement.  L’objectif de fournir à une personne ce droit de regard est intimement lié à son autonomie, à sa dignité et à son droit à la vie privée, des valeurs sociales dont l’importance va de soi.</w:t>
      </w:r>
    </w:p>
    <w:p w:rsidR="00DF0123" w:rsidRDefault="00DF0123" w:rsidP="00DF0123">
      <w:pPr>
        <w:pStyle w:val="SCCNormalDoubleSpacing"/>
        <w:spacing w:line="240" w:lineRule="auto"/>
        <w:rPr>
          <w:sz w:val="20"/>
          <w:lang w:val="fr-CA"/>
        </w:rPr>
      </w:pPr>
    </w:p>
    <w:p w:rsidR="00DF0123" w:rsidRPr="00C11535" w:rsidRDefault="00DF0123" w:rsidP="00DF0123">
      <w:pPr>
        <w:pStyle w:val="SCCNormalDoubleSpacing"/>
        <w:spacing w:line="240" w:lineRule="auto"/>
        <w:rPr>
          <w:sz w:val="20"/>
          <w:lang w:val="fr-CA"/>
        </w:rPr>
      </w:pPr>
      <w:r w:rsidRPr="00C11535">
        <w:rPr>
          <w:sz w:val="20"/>
          <w:lang w:val="fr-CA"/>
        </w:rPr>
        <w:lastRenderedPageBreak/>
        <w:tab/>
        <w:t xml:space="preserve">Mais la </w:t>
      </w:r>
      <w:r w:rsidRPr="00C11535">
        <w:rPr>
          <w:i/>
          <w:sz w:val="20"/>
          <w:lang w:val="fr-CA"/>
        </w:rPr>
        <w:t xml:space="preserve">Loi </w:t>
      </w:r>
      <w:r w:rsidRPr="00C11535">
        <w:rPr>
          <w:iCs/>
          <w:sz w:val="20"/>
          <w:lang w:val="fr-CA"/>
        </w:rPr>
        <w:t xml:space="preserve">ne prévoit aucun mécanisme permettant de trouver un équilibre entre </w:t>
      </w:r>
      <w:r w:rsidRPr="00C11535">
        <w:rPr>
          <w:sz w:val="20"/>
          <w:lang w:val="fr-CA"/>
        </w:rPr>
        <w:t>les intérêts qu’elle protège</w:t>
      </w:r>
      <w:r w:rsidRPr="00C11535">
        <w:rPr>
          <w:iCs/>
          <w:sz w:val="20"/>
          <w:lang w:val="fr-CA"/>
        </w:rPr>
        <w:t xml:space="preserve"> et le droit constitutionnel </w:t>
      </w:r>
      <w:r w:rsidRPr="00C11535">
        <w:rPr>
          <w:sz w:val="20"/>
          <w:lang w:val="fr-CA"/>
        </w:rPr>
        <w:t xml:space="preserve">du syndicat </w:t>
      </w:r>
      <w:r w:rsidRPr="00C11535">
        <w:rPr>
          <w:iCs/>
          <w:sz w:val="20"/>
          <w:lang w:val="fr-CA"/>
        </w:rPr>
        <w:t xml:space="preserve">à la </w:t>
      </w:r>
      <w:r w:rsidRPr="00C11535">
        <w:rPr>
          <w:sz w:val="20"/>
          <w:lang w:val="fr-CA"/>
        </w:rPr>
        <w:t xml:space="preserve">liberté d’expression.  La Cour reconnaît depuis longtemps l’importance fondamentale que revêt la liberté d’expression dans le contexte des conflits de travail. </w:t>
      </w:r>
      <w:r w:rsidRPr="00C11535">
        <w:rPr>
          <w:i/>
          <w:sz w:val="20"/>
          <w:lang w:val="fr-CA"/>
        </w:rPr>
        <w:t xml:space="preserve"> </w:t>
      </w:r>
      <w:r w:rsidRPr="00C11535">
        <w:rPr>
          <w:sz w:val="20"/>
          <w:lang w:val="fr-CA"/>
        </w:rPr>
        <w:t>L</w:t>
      </w:r>
      <w:r w:rsidRPr="00C11535">
        <w:rPr>
          <w:iCs/>
          <w:sz w:val="20"/>
          <w:lang w:val="fr-CA"/>
        </w:rPr>
        <w:t xml:space="preserve">a </w:t>
      </w:r>
      <w:r w:rsidRPr="00C11535">
        <w:rPr>
          <w:i/>
          <w:iCs/>
          <w:sz w:val="20"/>
          <w:lang w:val="fr-CA"/>
        </w:rPr>
        <w:t>PIPA</w:t>
      </w:r>
      <w:r w:rsidRPr="00C11535">
        <w:rPr>
          <w:iCs/>
          <w:sz w:val="20"/>
          <w:lang w:val="fr-CA"/>
        </w:rPr>
        <w:t xml:space="preserve"> interdit </w:t>
      </w:r>
      <w:r w:rsidRPr="00C11535">
        <w:rPr>
          <w:sz w:val="20"/>
          <w:lang w:val="fr-CA"/>
        </w:rPr>
        <w:t xml:space="preserve">la collecte, l’utilisation et la communication de renseignements personnels qui serviraient de nombreux objectifs expressifs légitimes relatifs aux relations de travail.  Le piquetage constitue une forme d’expression particulièrement vitale et fermement ancrée dans l’histoire.  </w:t>
      </w:r>
      <w:r w:rsidRPr="00C11535">
        <w:rPr>
          <w:iCs/>
          <w:sz w:val="20"/>
          <w:lang w:val="fr-CA"/>
        </w:rPr>
        <w:t xml:space="preserve">La </w:t>
      </w:r>
      <w:r w:rsidRPr="00C11535">
        <w:rPr>
          <w:i/>
          <w:sz w:val="20"/>
          <w:lang w:val="fr-CA"/>
        </w:rPr>
        <w:t>PIPA</w:t>
      </w:r>
      <w:r w:rsidRPr="00C11535">
        <w:rPr>
          <w:sz w:val="20"/>
          <w:lang w:val="fr-CA"/>
        </w:rPr>
        <w:t xml:space="preserve"> restreint la faculté du syndicat de communiquer avec le public et de le convaincre du bien</w:t>
      </w:r>
      <w:r w:rsidRPr="00C11535">
        <w:rPr>
          <w:sz w:val="20"/>
          <w:lang w:val="fr-CA"/>
        </w:rPr>
        <w:noBreakHyphen/>
        <w:t xml:space="preserve">fondé de sa cause, compromettant ainsi sa capacité de recourir à une de ses stratégies de négociation les plus efficaces au cours d’une grève légale.  Cette atteinte au droit à la liberté d’expression est disproportionnée par rapport à l’objectif du gouvernement d’accorder aux personnes un droit de regard sur les renseignements personnels qu’ils exposent en franchissant une ligne de piquetage.  Cette atteinte n’est donc pas justifiée au sens de l’article premier de la </w:t>
      </w:r>
      <w:r w:rsidRPr="00C11535">
        <w:rPr>
          <w:i/>
          <w:sz w:val="20"/>
          <w:lang w:val="fr-CA"/>
        </w:rPr>
        <w:t>Charte</w:t>
      </w:r>
      <w:r w:rsidRPr="00C11535">
        <w:rPr>
          <w:sz w:val="20"/>
          <w:lang w:val="fr-CA"/>
        </w:rPr>
        <w:t xml:space="preserve">.  </w:t>
      </w:r>
    </w:p>
    <w:p w:rsidR="00DF0123" w:rsidRDefault="00DF0123" w:rsidP="00DF0123">
      <w:pPr>
        <w:pStyle w:val="SCCNormalDoubleSpacing"/>
        <w:spacing w:line="240" w:lineRule="auto"/>
        <w:rPr>
          <w:sz w:val="20"/>
          <w:lang w:val="fr-CA"/>
        </w:rPr>
      </w:pPr>
    </w:p>
    <w:p w:rsidR="00DF0123" w:rsidRDefault="00DF0123" w:rsidP="00DF0123">
      <w:pPr>
        <w:pStyle w:val="SCCNormalDoubleSpacing"/>
        <w:spacing w:line="240" w:lineRule="auto"/>
        <w:rPr>
          <w:sz w:val="20"/>
          <w:lang w:val="fr-CA"/>
        </w:rPr>
      </w:pPr>
      <w:r w:rsidRPr="00C11535">
        <w:rPr>
          <w:sz w:val="20"/>
          <w:lang w:val="fr-CA"/>
        </w:rPr>
        <w:tab/>
        <w:t xml:space="preserve">Compte tenu de l’économie exhaustive et intégrée de la </w:t>
      </w:r>
      <w:r w:rsidRPr="00C11535">
        <w:rPr>
          <w:i/>
          <w:sz w:val="20"/>
          <w:lang w:val="fr-CA"/>
        </w:rPr>
        <w:t>Loi</w:t>
      </w:r>
      <w:r w:rsidRPr="00C11535">
        <w:rPr>
          <w:sz w:val="20"/>
          <w:lang w:val="fr-CA"/>
        </w:rPr>
        <w:t xml:space="preserve">, le gouvernement de l’Alberta et le commissaire à l’information et à la protection de la vie privée ont demandé à ce que la Cour ne fasse pas un tri parmi des modifications précises, mais qu’elle déclare plutôt l’invalidité de la totalité de la </w:t>
      </w:r>
      <w:r w:rsidRPr="00C11535">
        <w:rPr>
          <w:i/>
          <w:sz w:val="20"/>
          <w:lang w:val="fr-CA"/>
        </w:rPr>
        <w:t>Loi</w:t>
      </w:r>
      <w:r w:rsidRPr="00C11535">
        <w:rPr>
          <w:sz w:val="20"/>
          <w:lang w:val="fr-CA"/>
        </w:rPr>
        <w:t xml:space="preserve"> de sorte que la législature puisse en traiter comme d’un tout.  La déclaration d’invalidité est donc prononcée, mais suspendue pendant 12 mois afin de donner à la législature le temps nécessaire pour décider de la meilleure façon de rendre la loi constitutionnelle.</w:t>
      </w:r>
    </w:p>
    <w:p w:rsidR="00DF0123" w:rsidRDefault="00DF0123" w:rsidP="00DF0123">
      <w:pPr>
        <w:pStyle w:val="SCCNormalDoubleSpacing"/>
        <w:spacing w:line="240" w:lineRule="auto"/>
        <w:rPr>
          <w:sz w:val="20"/>
          <w:lang w:val="fr-CA"/>
        </w:rPr>
      </w:pPr>
    </w:p>
    <w:p w:rsidR="00DF0123" w:rsidRPr="00C11535" w:rsidRDefault="00DF0123" w:rsidP="00DF0123">
      <w:pPr>
        <w:pStyle w:val="SCCNormalDoubleSpacing"/>
        <w:spacing w:line="240" w:lineRule="auto"/>
        <w:rPr>
          <w:sz w:val="20"/>
          <w:lang w:val="fr-CA"/>
        </w:rPr>
      </w:pPr>
      <w:r w:rsidRPr="00C11535">
        <w:rPr>
          <w:sz w:val="20"/>
          <w:lang w:val="fr-CA"/>
        </w:rPr>
        <w:tab/>
        <w:t>POURVOI contre un arrêt de la Cour d’appel de l’Alberta (les juges Slatter, McDonald et Read (</w:t>
      </w:r>
      <w:r w:rsidRPr="00C11535">
        <w:rPr>
          <w:i/>
          <w:sz w:val="20"/>
          <w:lang w:val="fr-CA"/>
        </w:rPr>
        <w:t>ad hoc</w:t>
      </w:r>
      <w:r w:rsidRPr="00C11535">
        <w:rPr>
          <w:sz w:val="20"/>
          <w:lang w:val="fr-CA"/>
        </w:rPr>
        <w:t>)), 2012 ABCA 130, 57 Alta. L.R. (5th) 249, 522 A.R. 197, 544 W.A.C. 197, 349 D.L.R. (4th) 654, 258 C.R.R. (2d) 110, 33 Admin. L.R. (5th) 321, [2012] 6 W.W.R. 211, 2012 CLLC ¶210</w:t>
      </w:r>
      <w:r w:rsidRPr="00C11535">
        <w:rPr>
          <w:sz w:val="20"/>
          <w:lang w:val="fr-CA"/>
        </w:rPr>
        <w:noBreakHyphen/>
        <w:t>025, [2012] A.J. No. 427 (QL), 2012 CarswellAlta 760, qui a accueilli en partie (seulement dans la mesure où la réparation a été modifiée) une décision de la juge Goss, 2011 ABQB 415, 53 Alta. L.R. (5th) 235, 509 A.R. 150, 339 D.L.R. (4th) 279, 32 Admin. L.R. (5th) 107, [2012] 4 W.W.R. 324, 2011 CLLC ¶210</w:t>
      </w:r>
      <w:r w:rsidRPr="00C11535">
        <w:rPr>
          <w:sz w:val="20"/>
          <w:lang w:val="fr-CA"/>
        </w:rPr>
        <w:noBreakHyphen/>
        <w:t>055, [2011] A.J. No. 940 (QL), 2011 CarswellAlta 1486, qui a infirmé une décision de l’Information and Privacy Commissioner, Order P2008</w:t>
      </w:r>
      <w:r w:rsidRPr="00C11535">
        <w:rPr>
          <w:sz w:val="20"/>
          <w:lang w:val="fr-CA"/>
        </w:rPr>
        <w:noBreakHyphen/>
        <w:t>008, 2009 CANLII 90942.  Pourvoi rejeté en grande partie.</w:t>
      </w:r>
    </w:p>
    <w:p w:rsidR="00DF0123" w:rsidRDefault="00DF0123" w:rsidP="00DF0123">
      <w:pPr>
        <w:pStyle w:val="SCCNormalDoubleSpacing"/>
        <w:spacing w:line="240" w:lineRule="auto"/>
        <w:rPr>
          <w:i/>
          <w:sz w:val="20"/>
          <w:lang w:val="fr-CA"/>
        </w:rPr>
      </w:pPr>
    </w:p>
    <w:p w:rsidR="00DF0123" w:rsidRPr="00DF0123" w:rsidRDefault="00DF0123" w:rsidP="00DF0123">
      <w:pPr>
        <w:pStyle w:val="SCCNormalDoubleSpacing"/>
        <w:spacing w:line="240" w:lineRule="auto"/>
        <w:rPr>
          <w:sz w:val="20"/>
          <w:lang w:val="fr-CA"/>
        </w:rPr>
      </w:pPr>
      <w:r w:rsidRPr="00C11535">
        <w:rPr>
          <w:i/>
          <w:sz w:val="20"/>
          <w:lang w:val="fr-CA"/>
        </w:rPr>
        <w:tab/>
      </w:r>
      <w:r w:rsidRPr="00DF0123">
        <w:rPr>
          <w:i/>
          <w:sz w:val="20"/>
          <w:lang w:val="fr-CA"/>
        </w:rPr>
        <w:t>Glenn Solomon, c.r.,</w:t>
      </w:r>
      <w:r w:rsidRPr="00DF0123">
        <w:rPr>
          <w:sz w:val="20"/>
          <w:lang w:val="fr-CA"/>
        </w:rPr>
        <w:t xml:space="preserve"> et </w:t>
      </w:r>
      <w:r w:rsidRPr="00DF0123">
        <w:rPr>
          <w:i/>
          <w:sz w:val="20"/>
          <w:lang w:val="fr-CA"/>
        </w:rPr>
        <w:t>Robert W. Armstrong</w:t>
      </w:r>
      <w:r w:rsidRPr="00DF0123">
        <w:rPr>
          <w:sz w:val="20"/>
          <w:lang w:val="fr-CA"/>
        </w:rPr>
        <w:t>, pour l’appelant Information and Privacy Commissioner of Alberta.</w:t>
      </w:r>
    </w:p>
    <w:p w:rsidR="00DF0123" w:rsidRP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DF0123">
        <w:rPr>
          <w:i/>
          <w:sz w:val="20"/>
          <w:lang w:val="fr-CA"/>
        </w:rPr>
        <w:tab/>
      </w:r>
      <w:r w:rsidRPr="00C11535">
        <w:rPr>
          <w:i/>
          <w:sz w:val="20"/>
          <w:lang w:val="fr-CA"/>
        </w:rPr>
        <w:t>Roderick Wiltshire</w:t>
      </w:r>
      <w:r w:rsidRPr="00C11535">
        <w:rPr>
          <w:sz w:val="20"/>
          <w:lang w:val="fr-CA"/>
        </w:rPr>
        <w:t>, pour l’appelant le procureur général de l’Alberta.</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Gwen J. Gray, c.r.</w:t>
      </w:r>
      <w:r w:rsidRPr="00C11535">
        <w:rPr>
          <w:sz w:val="20"/>
          <w:lang w:val="fr-CA"/>
        </w:rPr>
        <w:t>,</w:t>
      </w:r>
      <w:r w:rsidRPr="00C11535">
        <w:rPr>
          <w:i/>
          <w:sz w:val="20"/>
          <w:lang w:val="fr-CA"/>
        </w:rPr>
        <w:t xml:space="preserve"> </w:t>
      </w:r>
      <w:r w:rsidRPr="00C11535">
        <w:rPr>
          <w:sz w:val="20"/>
          <w:lang w:val="fr-CA"/>
        </w:rPr>
        <w:t xml:space="preserve">et </w:t>
      </w:r>
      <w:r w:rsidRPr="00C11535">
        <w:rPr>
          <w:i/>
          <w:sz w:val="20"/>
          <w:lang w:val="fr-CA"/>
        </w:rPr>
        <w:t>Vanessa Cosco</w:t>
      </w:r>
      <w:r w:rsidRPr="00C11535">
        <w:rPr>
          <w:sz w:val="20"/>
          <w:lang w:val="fr-CA"/>
        </w:rPr>
        <w:t>, pour l’intimée.</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Sean Gaudet</w:t>
      </w:r>
      <w:r w:rsidRPr="00C11535">
        <w:rPr>
          <w:sz w:val="20"/>
          <w:lang w:val="fr-CA"/>
        </w:rPr>
        <w:t>, pour l’intervenant le procureur général du Canada.</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Rochelle S. Fox</w:t>
      </w:r>
      <w:r w:rsidRPr="00C11535">
        <w:rPr>
          <w:sz w:val="20"/>
          <w:lang w:val="fr-CA"/>
        </w:rPr>
        <w:t xml:space="preserve"> et </w:t>
      </w:r>
      <w:r w:rsidRPr="00C11535">
        <w:rPr>
          <w:i/>
          <w:sz w:val="20"/>
          <w:lang w:val="fr-CA"/>
        </w:rPr>
        <w:t>Sara Weinrib</w:t>
      </w:r>
      <w:r w:rsidRPr="00C11535">
        <w:rPr>
          <w:sz w:val="20"/>
          <w:lang w:val="fr-CA"/>
        </w:rPr>
        <w:t>, pour l’intervenant le procureur général de l’Ontario.</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Mahmud Jamal</w:t>
      </w:r>
      <w:r w:rsidRPr="00C11535">
        <w:rPr>
          <w:sz w:val="20"/>
          <w:lang w:val="fr-CA"/>
        </w:rPr>
        <w:t xml:space="preserve">, </w:t>
      </w:r>
      <w:r w:rsidRPr="00C11535">
        <w:rPr>
          <w:i/>
          <w:sz w:val="20"/>
          <w:lang w:val="fr-CA"/>
        </w:rPr>
        <w:t>Patricia Kosseim, Regan Morris</w:t>
      </w:r>
      <w:r w:rsidRPr="00C11535">
        <w:rPr>
          <w:sz w:val="20"/>
          <w:lang w:val="fr-CA"/>
        </w:rPr>
        <w:t xml:space="preserve"> et </w:t>
      </w:r>
      <w:r w:rsidRPr="00C11535">
        <w:rPr>
          <w:i/>
          <w:sz w:val="20"/>
          <w:lang w:val="fr-CA"/>
        </w:rPr>
        <w:t>Kirk Shannon</w:t>
      </w:r>
      <w:r w:rsidRPr="00C11535">
        <w:rPr>
          <w:sz w:val="20"/>
          <w:lang w:val="fr-CA"/>
        </w:rPr>
        <w:t>, pour l’intervenant le Commissaire à la protection de la vie privée du Canada.</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Patricia D. S. Jackson</w:t>
      </w:r>
      <w:r w:rsidRPr="00C11535">
        <w:rPr>
          <w:sz w:val="20"/>
          <w:lang w:val="fr-CA"/>
        </w:rPr>
        <w:t xml:space="preserve"> et </w:t>
      </w:r>
      <w:r w:rsidRPr="00C11535">
        <w:rPr>
          <w:i/>
          <w:sz w:val="20"/>
          <w:lang w:val="fr-CA"/>
        </w:rPr>
        <w:t>Sarah Whitmore</w:t>
      </w:r>
      <w:r w:rsidRPr="00C11535">
        <w:rPr>
          <w:sz w:val="20"/>
          <w:lang w:val="fr-CA"/>
        </w:rPr>
        <w:t>, pour l’intervenante l’Association canadienne des libertés civiles.</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Lindsay M. Lyster</w:t>
      </w:r>
      <w:r w:rsidRPr="00C11535">
        <w:rPr>
          <w:sz w:val="20"/>
          <w:lang w:val="fr-CA"/>
        </w:rPr>
        <w:t>, pour l’intervenante l’Association des libertés civiles de la Colombie</w:t>
      </w:r>
      <w:r w:rsidRPr="00C11535">
        <w:rPr>
          <w:sz w:val="20"/>
          <w:lang w:val="fr-CA"/>
        </w:rPr>
        <w:noBreakHyphen/>
        <w:t>Britannique.</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William S. Challis</w:t>
      </w:r>
      <w:r w:rsidRPr="00C11535">
        <w:rPr>
          <w:sz w:val="20"/>
          <w:lang w:val="fr-CA"/>
        </w:rPr>
        <w:t>, pour l’intervenant le Commissaire à l’information et à la protection de la vie privée de l’Ontario.</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Simon Ruel</w:t>
      </w:r>
      <w:r w:rsidRPr="00C11535">
        <w:rPr>
          <w:sz w:val="20"/>
          <w:lang w:val="fr-CA"/>
        </w:rPr>
        <w:t>, pour les intervenantes Coalition of British Columbia Businesses et Merit Canada.</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fr-CA"/>
        </w:rPr>
      </w:pPr>
      <w:r w:rsidRPr="00C11535">
        <w:rPr>
          <w:i/>
          <w:sz w:val="20"/>
          <w:lang w:val="fr-CA"/>
        </w:rPr>
        <w:tab/>
        <w:t>Argumentation écrite seulement par Nitya Iyer</w:t>
      </w:r>
      <w:r w:rsidRPr="00C11535">
        <w:rPr>
          <w:sz w:val="20"/>
          <w:lang w:val="fr-CA"/>
        </w:rPr>
        <w:t>, pour l’intervenant Information and Privacy Commissioner of British Columbia.</w:t>
      </w:r>
    </w:p>
    <w:p w:rsidR="00DF0123" w:rsidRDefault="00DF0123" w:rsidP="00DF0123">
      <w:pPr>
        <w:pStyle w:val="SCCNormalDoubleSpacing"/>
        <w:spacing w:line="240" w:lineRule="auto"/>
        <w:rPr>
          <w:i/>
          <w:sz w:val="20"/>
          <w:lang w:val="fr-CA"/>
        </w:rPr>
      </w:pPr>
    </w:p>
    <w:p w:rsidR="00DF0123" w:rsidRPr="00C11535" w:rsidRDefault="00DF0123" w:rsidP="00DF0123">
      <w:pPr>
        <w:pStyle w:val="SCCNormalDoubleSpacing"/>
        <w:spacing w:line="240" w:lineRule="auto"/>
        <w:rPr>
          <w:sz w:val="20"/>
          <w:lang w:val="en-US"/>
        </w:rPr>
      </w:pPr>
      <w:r w:rsidRPr="00C11535">
        <w:rPr>
          <w:i/>
          <w:sz w:val="20"/>
          <w:lang w:val="fr-CA"/>
        </w:rPr>
        <w:tab/>
      </w:r>
      <w:r w:rsidRPr="00C11535">
        <w:rPr>
          <w:i/>
          <w:sz w:val="20"/>
          <w:lang w:val="en-US"/>
        </w:rPr>
        <w:t>David Williams</w:t>
      </w:r>
      <w:r w:rsidRPr="00C11535">
        <w:rPr>
          <w:sz w:val="20"/>
          <w:lang w:val="en-US"/>
        </w:rPr>
        <w:t xml:space="preserve"> et </w:t>
      </w:r>
      <w:r w:rsidRPr="00C11535">
        <w:rPr>
          <w:i/>
          <w:sz w:val="20"/>
          <w:lang w:val="en-US"/>
        </w:rPr>
        <w:t>Kristan McLeod</w:t>
      </w:r>
      <w:r w:rsidRPr="00C11535">
        <w:rPr>
          <w:sz w:val="20"/>
          <w:lang w:val="en-US"/>
        </w:rPr>
        <w:t>, pour l’intervenante Alberta Federation of Labour.</w:t>
      </w:r>
    </w:p>
    <w:p w:rsidR="00DF0123" w:rsidRDefault="00DF0123" w:rsidP="00DF0123">
      <w:pPr>
        <w:pStyle w:val="SCCLawFirm"/>
        <w:spacing w:line="240" w:lineRule="auto"/>
        <w:rPr>
          <w:sz w:val="20"/>
          <w:lang w:val="en-US"/>
        </w:rPr>
      </w:pPr>
    </w:p>
    <w:p w:rsidR="00DF0123" w:rsidRPr="00C11535" w:rsidRDefault="00DF0123" w:rsidP="00DF0123">
      <w:pPr>
        <w:pStyle w:val="SCCLawFirm"/>
        <w:spacing w:line="240" w:lineRule="auto"/>
        <w:rPr>
          <w:sz w:val="20"/>
          <w:lang w:val="fr-CA"/>
        </w:rPr>
      </w:pPr>
      <w:r w:rsidRPr="00C11535">
        <w:rPr>
          <w:sz w:val="20"/>
          <w:lang w:val="en-US"/>
        </w:rPr>
        <w:lastRenderedPageBreak/>
        <w:tab/>
      </w:r>
      <w:r w:rsidRPr="00C11535">
        <w:rPr>
          <w:sz w:val="20"/>
          <w:lang w:val="fr-CA"/>
        </w:rPr>
        <w:t>Procureurs de l’appelant Information and Privacy Commissioner of Alberta : Jensen Shawa Solomon Duguid Hawkes, Calgary.</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 de l’appelant le procureur général de l’Alberta : Procureur général de l’Alberta, Edmonton.</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Procureurs de l’intimée : Chivers Carpenter, Edmonton.</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 de l’intervenant le procureur général du Canada : Procureur général du Canada, Toronto.</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Procureurs de l’intervenant le procureur général de l’Ontario : Procureur général de l’Ontario, Toronto.</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Procureurs de l’intervenant le Commissaire à la protection de la vie privée du Canada : Osler, Hoskin &amp; Harcourt, Toronto; Commissariat à la protection de la vie privée du Canada, Ottawa.</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Procureurs de l’intervenante l’Association canadienne des libertés civiles : Torys, Toronto.</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Procureurs de l’intervenante l’Association des libertés civiles de la Colombie</w:t>
      </w:r>
      <w:r w:rsidRPr="00C11535">
        <w:rPr>
          <w:sz w:val="20"/>
          <w:lang w:val="fr-CA"/>
        </w:rPr>
        <w:noBreakHyphen/>
        <w:t>Britannique : Moore, Edgar, Lyster, Vancouver.</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fr-CA"/>
        </w:rPr>
      </w:pPr>
      <w:r w:rsidRPr="00C11535">
        <w:rPr>
          <w:sz w:val="20"/>
          <w:lang w:val="fr-CA"/>
        </w:rPr>
        <w:tab/>
        <w:t>Procureur de l’intervenant le Commissaire à l'information et à la protection de la vie privée de l’Ontario : Commissaire à l'information et à la protection de la vie privée de l’Ontario, Toronto.</w:t>
      </w:r>
    </w:p>
    <w:p w:rsidR="00DF0123" w:rsidRDefault="00DF0123" w:rsidP="00DF0123">
      <w:pPr>
        <w:pStyle w:val="SCCLawFirm"/>
        <w:spacing w:line="240" w:lineRule="auto"/>
        <w:rPr>
          <w:sz w:val="20"/>
          <w:lang w:val="fr-CA"/>
        </w:rPr>
      </w:pPr>
    </w:p>
    <w:p w:rsidR="00DF0123" w:rsidRPr="00C11535" w:rsidRDefault="00DF0123" w:rsidP="00DF0123">
      <w:pPr>
        <w:pStyle w:val="SCCLawFirm"/>
        <w:spacing w:line="240" w:lineRule="auto"/>
        <w:rPr>
          <w:sz w:val="20"/>
          <w:lang w:val="en-US"/>
        </w:rPr>
      </w:pPr>
      <w:r w:rsidRPr="00C11535">
        <w:rPr>
          <w:sz w:val="20"/>
          <w:lang w:val="fr-CA"/>
        </w:rPr>
        <w:tab/>
      </w:r>
      <w:r w:rsidRPr="00C11535">
        <w:rPr>
          <w:sz w:val="20"/>
          <w:lang w:val="en-US"/>
        </w:rPr>
        <w:t>Procureurs des intervenantes Coalition of British Columbia Businesses et Merit Canada : Heenan Blaikie, Ottawa.</w:t>
      </w:r>
    </w:p>
    <w:p w:rsidR="00DF0123" w:rsidRDefault="00DF0123" w:rsidP="00DF0123">
      <w:pPr>
        <w:pStyle w:val="SCCLawFirm"/>
        <w:spacing w:line="240" w:lineRule="auto"/>
        <w:rPr>
          <w:sz w:val="20"/>
          <w:lang w:val="en-US"/>
        </w:rPr>
      </w:pPr>
    </w:p>
    <w:p w:rsidR="00DF0123" w:rsidRPr="00C11535" w:rsidRDefault="00DF0123" w:rsidP="00DF0123">
      <w:pPr>
        <w:pStyle w:val="SCCLawFirm"/>
        <w:spacing w:line="240" w:lineRule="auto"/>
        <w:rPr>
          <w:sz w:val="20"/>
          <w:lang w:val="en-US"/>
        </w:rPr>
      </w:pPr>
      <w:r w:rsidRPr="00C11535">
        <w:rPr>
          <w:sz w:val="20"/>
          <w:lang w:val="en-US"/>
        </w:rPr>
        <w:tab/>
        <w:t>Procureurs de l’intervenant Information and Privacy Commissioner of British Columbia : Lovett Westmacott, Vancouver.</w:t>
      </w:r>
    </w:p>
    <w:p w:rsidR="00DF0123" w:rsidRDefault="00DF0123" w:rsidP="00DF0123">
      <w:pPr>
        <w:pStyle w:val="SCCLawFirm"/>
        <w:spacing w:line="240" w:lineRule="auto"/>
        <w:rPr>
          <w:sz w:val="20"/>
          <w:lang w:val="en-US"/>
        </w:rPr>
      </w:pPr>
    </w:p>
    <w:p w:rsidR="00DF0123" w:rsidRDefault="00DF0123" w:rsidP="00DF0123">
      <w:pPr>
        <w:pStyle w:val="SCCLawFirm"/>
        <w:spacing w:line="240" w:lineRule="auto"/>
        <w:rPr>
          <w:sz w:val="20"/>
          <w:lang w:val="fr-CA"/>
        </w:rPr>
      </w:pPr>
      <w:r w:rsidRPr="00C11535">
        <w:rPr>
          <w:sz w:val="20"/>
          <w:lang w:val="en-US"/>
        </w:rPr>
        <w:tab/>
      </w:r>
      <w:r w:rsidRPr="00C11535">
        <w:rPr>
          <w:sz w:val="20"/>
          <w:lang w:val="fr-CA"/>
        </w:rPr>
        <w:t>Procureurs de l’intervenante Alberta Federation of Labour : Chivers Carpenter, Edmonton.</w:t>
      </w:r>
    </w:p>
    <w:p w:rsidR="003B3977" w:rsidRDefault="003B3977" w:rsidP="005C6840">
      <w:pPr>
        <w:rPr>
          <w:rFonts w:cs="Times New Roman"/>
          <w:sz w:val="20"/>
          <w:szCs w:val="20"/>
          <w:lang w:val="fr-CA"/>
        </w:rPr>
      </w:pPr>
    </w:p>
    <w:p w:rsidR="003B3977" w:rsidRPr="003F4721" w:rsidRDefault="008138B5" w:rsidP="00E774E5">
      <w:pPr>
        <w:rPr>
          <w:sz w:val="20"/>
          <w:szCs w:val="20"/>
        </w:rPr>
      </w:pPr>
      <w:r>
        <w:rPr>
          <w:rFonts w:cs="Times New Roman"/>
          <w:sz w:val="20"/>
          <w:szCs w:val="20"/>
          <w:lang w:val="fr-CA"/>
        </w:rPr>
        <w:pict>
          <v:rect id="_x0000_i1078"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576" w:footer="960" w:gutter="0"/>
          <w:cols w:space="720"/>
          <w:titlePg/>
          <w:docGrid w:linePitch="272"/>
        </w:sectPr>
      </w:pPr>
    </w:p>
    <w:p w:rsidR="0081610A" w:rsidRPr="002E0C7E" w:rsidRDefault="00F425BC"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1B0569">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DECEMBER - DÉCEMBRE</w:t>
            </w:r>
          </w:p>
        </w:tc>
      </w:tr>
      <w:tr w:rsidR="0081610A" w:rsidRPr="002E0C7E" w:rsidTr="001B056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r>
      <w:tr w:rsidR="0081610A" w:rsidRPr="002E0C7E" w:rsidTr="001B056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1B0569">
            <w:pPr>
              <w:widowControl w:val="0"/>
              <w:jc w:val="center"/>
              <w:rPr>
                <w:rFonts w:ascii="Arial" w:hAnsi="Arial"/>
                <w:b/>
                <w:sz w:val="14"/>
              </w:rPr>
            </w:pPr>
            <w:r>
              <w:rPr>
                <w:rFonts w:ascii="Arial" w:hAnsi="Arial"/>
                <w:b/>
                <w:sz w:val="14"/>
              </w:rPr>
              <w:t>M</w:t>
            </w:r>
          </w:p>
          <w:p w:rsidR="0081610A" w:rsidRPr="002E0C7E" w:rsidRDefault="0081610A" w:rsidP="001B0569">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r>
      <w:tr w:rsidR="0081610A" w:rsidRPr="002E0C7E" w:rsidTr="001B056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1B0569">
            <w:pPr>
              <w:widowControl w:val="0"/>
              <w:jc w:val="center"/>
              <w:rPr>
                <w:rFonts w:ascii="Arial" w:hAnsi="Arial"/>
                <w:b/>
                <w:sz w:val="14"/>
              </w:rPr>
            </w:pPr>
            <w:r>
              <w:rPr>
                <w:rFonts w:ascii="Arial" w:hAnsi="Arial"/>
                <w:b/>
                <w:sz w:val="14"/>
              </w:rPr>
              <w:t>M</w:t>
            </w:r>
          </w:p>
          <w:p w:rsidR="0081610A" w:rsidRPr="002E0C7E" w:rsidRDefault="0081610A" w:rsidP="001B0569">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1B0569">
            <w:pPr>
              <w:widowControl w:val="0"/>
              <w:jc w:val="center"/>
              <w:rPr>
                <w:rFonts w:ascii="Arial" w:hAnsi="Arial"/>
                <w:b/>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M</w:t>
            </w: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14</w:t>
            </w:r>
          </w:p>
        </w:tc>
      </w:tr>
      <w:tr w:rsidR="0081610A" w:rsidRPr="002E0C7E" w:rsidTr="001B0569">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1B0569">
            <w:pPr>
              <w:widowControl w:val="0"/>
              <w:jc w:val="center"/>
              <w:rPr>
                <w:rFonts w:ascii="Arial" w:hAnsi="Arial"/>
                <w:sz w:val="14"/>
              </w:rPr>
            </w:pPr>
            <w:r>
              <w:rPr>
                <w:rFonts w:ascii="Arial" w:hAnsi="Arial"/>
                <w:b/>
                <w:sz w:val="14"/>
              </w:rPr>
              <w:t>H</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B0569">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B0569">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1B0569">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MARCH - MARS</w:t>
            </w:r>
          </w:p>
        </w:tc>
      </w:tr>
      <w:tr w:rsidR="0081610A" w:rsidRPr="002E0C7E" w:rsidTr="001B056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1B0569">
            <w:pPr>
              <w:widowControl w:val="0"/>
              <w:jc w:val="center"/>
              <w:rPr>
                <w:rFonts w:ascii="Arial" w:hAnsi="Arial"/>
                <w:b/>
                <w:sz w:val="14"/>
              </w:rPr>
            </w:pPr>
          </w:p>
          <w:p w:rsidR="0081610A" w:rsidRPr="002E0C7E" w:rsidRDefault="0081610A" w:rsidP="001B0569">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1B0569">
            <w:pPr>
              <w:widowControl w:val="0"/>
              <w:jc w:val="center"/>
              <w:rPr>
                <w:rFonts w:ascii="Arial" w:hAnsi="Arial"/>
                <w:b/>
                <w:sz w:val="14"/>
              </w:rPr>
            </w:pPr>
            <w:r>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1B0569">
            <w:pPr>
              <w:widowControl w:val="0"/>
              <w:jc w:val="center"/>
              <w:rPr>
                <w:rFonts w:ascii="Arial" w:hAnsi="Arial"/>
                <w:b/>
                <w:sz w:val="14"/>
              </w:rPr>
            </w:pPr>
            <w:r>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1B0569">
            <w:pPr>
              <w:widowControl w:val="0"/>
              <w:jc w:val="center"/>
              <w:rPr>
                <w:rFonts w:ascii="Arial" w:hAnsi="Arial"/>
                <w:b/>
                <w:sz w:val="14"/>
              </w:rPr>
            </w:pPr>
            <w:r>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1B056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Pr>
                <w:rFonts w:ascii="Arial" w:hAnsi="Arial"/>
                <w:sz w:val="14"/>
              </w:rPr>
              <w:t>23</w:t>
            </w:r>
          </w:p>
          <w:p w:rsidR="0081610A" w:rsidRPr="002E0C7E" w:rsidRDefault="0081610A" w:rsidP="001B0569">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r>
              <w:rPr>
                <w:rFonts w:ascii="Arial" w:hAnsi="Arial"/>
                <w:sz w:val="14"/>
              </w:rPr>
              <w:t>24</w:t>
            </w:r>
          </w:p>
          <w:p w:rsidR="0081610A" w:rsidRPr="002E0C7E" w:rsidRDefault="0081610A" w:rsidP="001B0569">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1B0569">
            <w:pPr>
              <w:widowControl w:val="0"/>
              <w:jc w:val="center"/>
              <w:rPr>
                <w:rFonts w:ascii="Arial" w:hAnsi="Arial"/>
                <w:b/>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1B0569">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B0569">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B0569">
            <w:pPr>
              <w:widowControl w:val="0"/>
              <w:jc w:val="center"/>
              <w:rPr>
                <w:rFonts w:ascii="Arial" w:hAnsi="Arial"/>
                <w:sz w:val="14"/>
              </w:rPr>
            </w:pPr>
            <w:r w:rsidRPr="002E0C7E">
              <w:rPr>
                <w:rFonts w:ascii="Arial" w:hAnsi="Arial"/>
                <w:b/>
                <w:sz w:val="14"/>
              </w:rPr>
              <w:t>JUNE - JUIN</w:t>
            </w:r>
          </w:p>
        </w:tc>
      </w:tr>
      <w:tr w:rsidR="0081610A" w:rsidRPr="002E0C7E" w:rsidTr="001B0569">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S</w:t>
            </w:r>
          </w:p>
          <w:p w:rsidR="0081610A" w:rsidRPr="002E0C7E" w:rsidRDefault="0081610A" w:rsidP="001B0569">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M</w:t>
            </w:r>
          </w:p>
          <w:p w:rsidR="0081610A" w:rsidRPr="002E0C7E" w:rsidRDefault="0081610A" w:rsidP="001B0569">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W</w:t>
            </w:r>
          </w:p>
          <w:p w:rsidR="0081610A" w:rsidRPr="002E0C7E" w:rsidRDefault="0081610A" w:rsidP="001B0569">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T</w:t>
            </w:r>
          </w:p>
          <w:p w:rsidR="0081610A" w:rsidRPr="002E0C7E" w:rsidRDefault="0081610A" w:rsidP="001B0569">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sidRPr="002E0C7E">
              <w:rPr>
                <w:rFonts w:ascii="Arial" w:hAnsi="Arial"/>
                <w:sz w:val="14"/>
              </w:rPr>
              <w:t>F</w:t>
            </w:r>
          </w:p>
          <w:p w:rsidR="0081610A" w:rsidRPr="002E0C7E" w:rsidRDefault="0081610A" w:rsidP="001B0569">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r>
              <w:rPr>
                <w:rFonts w:ascii="Arial" w:hAnsi="Arial"/>
                <w:sz w:val="14"/>
              </w:rPr>
              <w:t>S</w:t>
            </w:r>
          </w:p>
          <w:p w:rsidR="0081610A" w:rsidRPr="002E0C7E" w:rsidRDefault="0081610A" w:rsidP="001B0569">
            <w:pPr>
              <w:widowControl w:val="0"/>
              <w:jc w:val="center"/>
              <w:rPr>
                <w:rFonts w:ascii="Arial" w:hAnsi="Arial"/>
                <w:sz w:val="14"/>
              </w:rPr>
            </w:pPr>
            <w:r>
              <w:rPr>
                <w:rFonts w:ascii="Arial" w:hAnsi="Arial"/>
                <w:sz w:val="14"/>
              </w:rPr>
              <w:t>S</w:t>
            </w:r>
          </w:p>
        </w:tc>
      </w:tr>
      <w:tr w:rsidR="0081610A" w:rsidRPr="002E0C7E" w:rsidTr="001B0569">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b/>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1B0569">
            <w:pPr>
              <w:widowControl w:val="0"/>
              <w:jc w:val="center"/>
              <w:rPr>
                <w:rFonts w:ascii="Arial" w:hAnsi="Arial"/>
                <w:b/>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14</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1B0569">
            <w:pPr>
              <w:widowControl w:val="0"/>
              <w:jc w:val="center"/>
              <w:rPr>
                <w:rFonts w:ascii="Arial" w:hAnsi="Arial"/>
                <w:b/>
                <w:sz w:val="14"/>
              </w:rPr>
            </w:pPr>
            <w:r w:rsidRPr="00DB5777">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1B0569">
            <w:pPr>
              <w:widowControl w:val="0"/>
              <w:jc w:val="center"/>
              <w:rPr>
                <w:rFonts w:ascii="Arial" w:hAnsi="Arial"/>
                <w:b/>
                <w:sz w:val="14"/>
              </w:rPr>
            </w:pPr>
            <w:r w:rsidRPr="002453E3">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1B0569">
            <w:pPr>
              <w:widowControl w:val="0"/>
              <w:jc w:val="center"/>
              <w:rPr>
                <w:rFonts w:ascii="Arial" w:hAnsi="Arial"/>
                <w:b/>
                <w:sz w:val="14"/>
              </w:rPr>
            </w:pPr>
            <w:r w:rsidRPr="006A1E8D">
              <w:rPr>
                <w:rFonts w:ascii="Arial" w:hAnsi="Arial"/>
                <w:b/>
                <w:sz w:val="14"/>
              </w:rPr>
              <w:t>M</w:t>
            </w: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B0569">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1B0569">
            <w:pPr>
              <w:widowControl w:val="0"/>
              <w:jc w:val="center"/>
              <w:rPr>
                <w:rFonts w:ascii="Arial" w:hAnsi="Arial"/>
                <w:b/>
                <w:sz w:val="14"/>
              </w:rPr>
            </w:pPr>
            <w:r w:rsidRPr="00CD57C3">
              <w:rPr>
                <w:rFonts w:ascii="Arial" w:hAnsi="Arial"/>
                <w:b/>
                <w:sz w:val="14"/>
              </w:rPr>
              <w:t>H</w:t>
            </w: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1B0569">
            <w:pPr>
              <w:widowControl w:val="0"/>
              <w:jc w:val="center"/>
              <w:rPr>
                <w:rFonts w:ascii="Arial" w:hAnsi="Arial"/>
                <w:b/>
                <w:sz w:val="14"/>
              </w:rPr>
            </w:pPr>
            <w:r>
              <w:rPr>
                <w:rFonts w:ascii="Arial" w:hAnsi="Arial"/>
                <w:b/>
                <w:sz w:val="14"/>
              </w:rPr>
              <w:t>H</w:t>
            </w:r>
          </w:p>
          <w:p w:rsidR="0081610A" w:rsidRPr="002E0C7E" w:rsidRDefault="0081610A" w:rsidP="001B0569">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B0569">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B0569">
            <w:pPr>
              <w:widowControl w:val="0"/>
              <w:jc w:val="center"/>
              <w:rPr>
                <w:rFonts w:ascii="Arial" w:hAnsi="Arial"/>
                <w:sz w:val="14"/>
              </w:rPr>
            </w:pPr>
          </w:p>
          <w:p w:rsidR="0081610A" w:rsidRPr="002E0C7E" w:rsidRDefault="0081610A" w:rsidP="001B0569">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1B0569">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1B0569">
            <w:pPr>
              <w:widowControl w:val="0"/>
              <w:rPr>
                <w:rFonts w:ascii="Arial" w:hAnsi="Arial"/>
                <w:sz w:val="16"/>
              </w:rPr>
            </w:pPr>
            <w:r w:rsidRPr="002E0C7E">
              <w:rPr>
                <w:rFonts w:ascii="Arial" w:hAnsi="Arial"/>
                <w:sz w:val="16"/>
              </w:rPr>
              <w:t>Sittings of the court:</w:t>
            </w:r>
          </w:p>
          <w:p w:rsidR="0081610A" w:rsidRPr="002E0C7E" w:rsidRDefault="0081610A" w:rsidP="001B0569">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1B0569">
            <w:pPr>
              <w:widowControl w:val="0"/>
              <w:rPr>
                <w:rFonts w:ascii="Arial" w:hAnsi="Arial"/>
                <w:sz w:val="16"/>
              </w:rPr>
            </w:pPr>
          </w:p>
          <w:p w:rsidR="0081610A" w:rsidRPr="002E0C7E" w:rsidRDefault="0081610A" w:rsidP="001B0569">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B056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B0569">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1B0569">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B05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80"/>
      <w:footerReference w:type="default" r:id="rId8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FB" w:rsidRDefault="00484BFB" w:rsidP="00A87207">
      <w:r>
        <w:separator/>
      </w:r>
    </w:p>
  </w:endnote>
  <w:endnote w:type="continuationSeparator" w:id="0">
    <w:p w:rsidR="00484BFB" w:rsidRDefault="00484BF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pStyle w:val="Footer"/>
      <w:rPr>
        <w:lang w:val="fr-CA"/>
      </w:rPr>
    </w:pPr>
    <w:r>
      <w:rPr>
        <w:lang w:val="fr-CA"/>
      </w:rPr>
      <w:pict>
        <v:rect id="_x0000_i1053" style="width:480.95pt;height:1pt" o:hralign="center" o:hrstd="t" o:hrnoshade="t" o:hr="t" fillcolor="black [3213]" stroked="f"/>
      </w:pict>
    </w:r>
  </w:p>
  <w:p w:rsidR="00484BFB" w:rsidRDefault="00484BFB" w:rsidP="00245129">
    <w:pPr>
      <w:tabs>
        <w:tab w:val="center" w:pos="4680"/>
      </w:tabs>
    </w:pPr>
    <w:r>
      <w:tab/>
    </w:r>
    <w:r w:rsidRPr="0009648D">
      <w:t xml:space="preserve">- </w:t>
    </w:r>
    <w:r w:rsidR="008138B5">
      <w:fldChar w:fldCharType="begin"/>
    </w:r>
    <w:r w:rsidR="008138B5">
      <w:instrText xml:space="preserve"> PAGE   \* MERGEFORMAT </w:instrText>
    </w:r>
    <w:r w:rsidR="008138B5">
      <w:fldChar w:fldCharType="separate"/>
    </w:r>
    <w:r w:rsidR="008138B5">
      <w:rPr>
        <w:noProof/>
      </w:rPr>
      <w:t>1834</w:t>
    </w:r>
    <w:r w:rsidR="008138B5">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755F22">
    <w:pPr>
      <w:tabs>
        <w:tab w:val="left" w:pos="-1440"/>
        <w:tab w:val="left" w:pos="-720"/>
      </w:tabs>
    </w:pPr>
    <w:r>
      <w:pict>
        <v:rect id="_x0000_i1061" style="width:480.95pt;height:1pt" o:hralign="center" o:hrstd="t" o:hrnoshade="t" o:hr="t" fillcolor="black [3213]" stroked="f"/>
      </w:pict>
    </w:r>
  </w:p>
  <w:p w:rsidR="00484BFB" w:rsidRDefault="00484BFB" w:rsidP="00EB2B90">
    <w:pPr>
      <w:tabs>
        <w:tab w:val="center" w:pos="4680"/>
      </w:tabs>
    </w:pPr>
    <w:r>
      <w:tab/>
      <w:t xml:space="preserve">- </w:t>
    </w:r>
    <w:r w:rsidR="008138B5">
      <w:fldChar w:fldCharType="begin"/>
    </w:r>
    <w:r w:rsidR="008138B5">
      <w:instrText xml:space="preserve"> PAGE   \* MERGEFORMAT </w:instrText>
    </w:r>
    <w:r w:rsidR="008138B5">
      <w:fldChar w:fldCharType="separate"/>
    </w:r>
    <w:r w:rsidR="008138B5">
      <w:rPr>
        <w:noProof/>
      </w:rPr>
      <w:t>1851</w:t>
    </w:r>
    <w:r w:rsidR="008138B5">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EB2B90">
    <w:pPr>
      <w:tabs>
        <w:tab w:val="center" w:pos="4680"/>
      </w:tabs>
    </w:pPr>
    <w:r>
      <w:pict>
        <v:rect id="_x0000_i1062" style="width:480.95pt;height:1pt" o:hralign="center" o:hrstd="t" o:hrnoshade="t" o:hr="t" fillcolor="black [3213]" stroked="f"/>
      </w:pict>
    </w:r>
  </w:p>
  <w:p w:rsidR="00484BFB" w:rsidRPr="0031432F" w:rsidRDefault="00484BFB" w:rsidP="00EB2B90">
    <w:pPr>
      <w:tabs>
        <w:tab w:val="center" w:pos="4680"/>
      </w:tabs>
    </w:pPr>
    <w:r>
      <w:tab/>
      <w:t xml:space="preserve">- </w:t>
    </w:r>
    <w:r w:rsidR="008138B5">
      <w:fldChar w:fldCharType="begin"/>
    </w:r>
    <w:r w:rsidR="008138B5">
      <w:instrText xml:space="preserve"> PAGE   \* MERGEFORMAT </w:instrText>
    </w:r>
    <w:r w:rsidR="008138B5">
      <w:fldChar w:fldCharType="separate"/>
    </w:r>
    <w:r w:rsidR="008138B5">
      <w:rPr>
        <w:noProof/>
      </w:rPr>
      <w:t>1845</w:t>
    </w:r>
    <w:r w:rsidR="008138B5">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484BFB" w:rsidRDefault="00484BFB" w:rsidP="00EB2B90">
    <w:pPr>
      <w:tabs>
        <w:tab w:val="center" w:pos="4680"/>
      </w:tabs>
    </w:pPr>
    <w:r>
      <w:tab/>
      <w:t xml:space="preserve">- </w:t>
    </w:r>
    <w:r w:rsidR="008138B5">
      <w:fldChar w:fldCharType="begin"/>
    </w:r>
    <w:r w:rsidR="008138B5">
      <w:instrText xml:space="preserve"> PAGE   \* MERGEFORMAT </w:instrText>
    </w:r>
    <w:r w:rsidR="008138B5">
      <w:fldChar w:fldCharType="separate"/>
    </w:r>
    <w:r>
      <w:rPr>
        <w:noProof/>
      </w:rPr>
      <w:t>519</w:t>
    </w:r>
    <w:r w:rsidR="008138B5">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pStyle w:val="Footer"/>
      <w:rPr>
        <w:lang w:val="fr-CA"/>
      </w:rPr>
    </w:pPr>
    <w:r>
      <w:rPr>
        <w:lang w:val="fr-CA"/>
      </w:rPr>
      <w:pict>
        <v:rect id="_x0000_i1068" style="width:480.95pt;height:1pt" o:hralign="center" o:hrstd="t" o:hrnoshade="t" o:hr="t" fillcolor="black [3213]" stroked="f"/>
      </w:pict>
    </w:r>
  </w:p>
  <w:p w:rsidR="00484BFB" w:rsidRDefault="00484BFB" w:rsidP="00EB2B90">
    <w:pPr>
      <w:tabs>
        <w:tab w:val="center" w:pos="4680"/>
      </w:tabs>
    </w:pPr>
    <w:r>
      <w:tab/>
      <w:t xml:space="preserve">- </w:t>
    </w:r>
    <w:r w:rsidR="008138B5">
      <w:fldChar w:fldCharType="begin"/>
    </w:r>
    <w:r w:rsidR="008138B5">
      <w:instrText xml:space="preserve"> PAGE   \* MERGEFORMAT </w:instrText>
    </w:r>
    <w:r w:rsidR="008138B5">
      <w:fldChar w:fldCharType="separate"/>
    </w:r>
    <w:r w:rsidR="008138B5">
      <w:rPr>
        <w:noProof/>
      </w:rPr>
      <w:t>1852</w:t>
    </w:r>
    <w:r w:rsidR="008138B5">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732DB7">
    <w:r>
      <w:pict>
        <v:rect id="_x0000_i1072" style="width:480.95pt;height:1pt" o:hralign="center" o:hrstd="t" o:hrnoshade="t" o:hr="t" fillcolor="black" stroked="f"/>
      </w:pict>
    </w:r>
  </w:p>
  <w:p w:rsidR="00484BFB" w:rsidRDefault="00484BFB">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pStyle w:val="Footer"/>
    </w:pPr>
    <w:r>
      <w:pict>
        <v:rect id="_x0000_i1073" style="width:480.95pt;height:1pt" o:hralign="center" o:hrstd="t" o:hrnoshade="t" o:hr="t" fillcolor="black" stroked="f"/>
      </w:pict>
    </w:r>
  </w:p>
  <w:p w:rsidR="00484BFB" w:rsidRPr="00283C52" w:rsidRDefault="00484BFB">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732DB7">
    <w:r>
      <w:pict>
        <v:rect id="_x0000_i1075" style="width:480.95pt;height:1pt" o:hralign="center" o:hrstd="t" o:hrnoshade="t" o:hr="t" fillcolor="black" stroked="f"/>
      </w:pict>
    </w:r>
  </w:p>
  <w:p w:rsidR="00484BFB" w:rsidRDefault="00484BFB">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pStyle w:val="Footer"/>
    </w:pPr>
    <w:r>
      <w:pict>
        <v:rect id="_x0000_i1076" style="width:480.95pt;height:1pt" o:hralign="center" o:hrstd="t" o:hrnoshade="t" o:hr="t" fillcolor="black [3213]" stroked="f"/>
      </w:pict>
    </w:r>
  </w:p>
  <w:p w:rsidR="00484BFB" w:rsidRPr="003C2C0F" w:rsidRDefault="00484BFB" w:rsidP="00697C62">
    <w:pPr>
      <w:tabs>
        <w:tab w:val="center" w:pos="4680"/>
      </w:tabs>
    </w:pPr>
    <w:r>
      <w:tab/>
      <w:t xml:space="preserve">- </w:t>
    </w:r>
    <w:r w:rsidR="008138B5">
      <w:fldChar w:fldCharType="begin"/>
    </w:r>
    <w:r w:rsidR="008138B5">
      <w:instrText xml:space="preserve"> PAGE   \* MERGEFORMAT </w:instrText>
    </w:r>
    <w:r w:rsidR="008138B5">
      <w:fldChar w:fldCharType="separate"/>
    </w:r>
    <w:r w:rsidR="008138B5">
      <w:rPr>
        <w:noProof/>
      </w:rPr>
      <w:t>1856</w:t>
    </w:r>
    <w:r w:rsidR="008138B5">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84BFB" w:rsidRDefault="00813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484BFB" w:rsidRDefault="00484BFB" w:rsidP="00782AE4">
    <w:pPr>
      <w:tabs>
        <w:tab w:val="center" w:pos="4680"/>
      </w:tabs>
    </w:pPr>
    <w:r>
      <w:tab/>
      <w:t xml:space="preserve">- </w:t>
    </w:r>
    <w:r w:rsidR="00F425BC" w:rsidRPr="001775C1">
      <w:rPr>
        <w:szCs w:val="24"/>
      </w:rPr>
      <w:fldChar w:fldCharType="begin"/>
    </w:r>
    <w:r w:rsidRPr="001775C1">
      <w:rPr>
        <w:szCs w:val="24"/>
      </w:rPr>
      <w:instrText xml:space="preserve"> PAGE   \* MERGEFORMAT </w:instrText>
    </w:r>
    <w:r w:rsidR="00F425BC" w:rsidRPr="001775C1">
      <w:rPr>
        <w:szCs w:val="24"/>
      </w:rPr>
      <w:fldChar w:fldCharType="separate"/>
    </w:r>
    <w:r w:rsidR="008138B5">
      <w:rPr>
        <w:noProof/>
        <w:szCs w:val="24"/>
      </w:rPr>
      <w:t>1862</w:t>
    </w:r>
    <w:r w:rsidR="00F425BC"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782AE4">
    <w:pPr>
      <w:tabs>
        <w:tab w:val="center" w:pos="4680"/>
      </w:tabs>
    </w:pPr>
    <w:r>
      <w:pict>
        <v:rect id="_x0000_i1080" style="width:480.95pt;height:1pt" o:hralign="center" o:hrstd="t" o:hrnoshade="t" o:hr="t" fillcolor="black [3213]" stroked="f"/>
      </w:pict>
    </w:r>
  </w:p>
  <w:p w:rsidR="00484BFB" w:rsidRDefault="00484BFB" w:rsidP="00782AE4">
    <w:pPr>
      <w:tabs>
        <w:tab w:val="center" w:pos="4680"/>
      </w:tabs>
    </w:pPr>
    <w:r>
      <w:tab/>
      <w:t xml:space="preserve">- </w:t>
    </w:r>
    <w:r w:rsidR="00F425BC" w:rsidRPr="001775C1">
      <w:rPr>
        <w:szCs w:val="24"/>
      </w:rPr>
      <w:fldChar w:fldCharType="begin"/>
    </w:r>
    <w:r w:rsidRPr="001775C1">
      <w:rPr>
        <w:szCs w:val="24"/>
      </w:rPr>
      <w:instrText xml:space="preserve"> PAGE   \* MERGEFORMAT </w:instrText>
    </w:r>
    <w:r w:rsidR="00F425BC" w:rsidRPr="001775C1">
      <w:rPr>
        <w:szCs w:val="24"/>
      </w:rPr>
      <w:fldChar w:fldCharType="separate"/>
    </w:r>
    <w:r w:rsidR="008138B5">
      <w:rPr>
        <w:noProof/>
        <w:szCs w:val="24"/>
      </w:rPr>
      <w:t>1858</w:t>
    </w:r>
    <w:r w:rsidR="00F425BC"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Pr="00924065" w:rsidRDefault="00484BF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A87207">
    <w:pPr>
      <w:pStyle w:val="Footer"/>
    </w:pPr>
    <w:r>
      <w:pict>
        <v:rect id="_x0000_i1035" style="width:480.95pt;height:1pt" o:hralign="center" o:hrstd="t" o:hrnoshade="t" o:hr="t" fillcolor="black [3213]" stroked="f"/>
      </w:pict>
    </w:r>
  </w:p>
  <w:p w:rsidR="00484BFB" w:rsidRPr="00B7374B" w:rsidRDefault="00484BFB" w:rsidP="00B7374B">
    <w:pPr>
      <w:tabs>
        <w:tab w:val="center" w:pos="4680"/>
      </w:tabs>
      <w:rPr>
        <w:szCs w:val="24"/>
      </w:rPr>
    </w:pPr>
    <w:r w:rsidRPr="00954D22">
      <w:rPr>
        <w:szCs w:val="24"/>
      </w:rPr>
      <w:tab/>
      <w:t xml:space="preserve">- </w:t>
    </w:r>
    <w:r w:rsidR="00F425BC" w:rsidRPr="00954D22">
      <w:rPr>
        <w:szCs w:val="24"/>
      </w:rPr>
      <w:fldChar w:fldCharType="begin"/>
    </w:r>
    <w:r w:rsidRPr="00954D22">
      <w:rPr>
        <w:szCs w:val="24"/>
      </w:rPr>
      <w:instrText xml:space="preserve"> PAGE   \* MERGEFORMAT </w:instrText>
    </w:r>
    <w:r w:rsidR="00F425BC" w:rsidRPr="00954D22">
      <w:rPr>
        <w:szCs w:val="24"/>
      </w:rPr>
      <w:fldChar w:fldCharType="separate"/>
    </w:r>
    <w:r w:rsidR="008138B5">
      <w:rPr>
        <w:noProof/>
        <w:szCs w:val="24"/>
      </w:rPr>
      <w:t>1832</w:t>
    </w:r>
    <w:r w:rsidR="00F425BC"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755F22">
    <w:pPr>
      <w:tabs>
        <w:tab w:val="left" w:pos="-1440"/>
        <w:tab w:val="left" w:pos="-720"/>
      </w:tabs>
    </w:pPr>
    <w:r>
      <w:pict>
        <v:rect id="_x0000_i1036" style="width:480.95pt;height:1pt" o:hralign="center" o:hrstd="t" o:hrnoshade="t" o:hr="t" fillcolor="black [3213]" stroked="f"/>
      </w:pict>
    </w:r>
  </w:p>
  <w:p w:rsidR="00484BFB" w:rsidRPr="00954D22" w:rsidRDefault="00484BFB" w:rsidP="00B7374B">
    <w:pPr>
      <w:tabs>
        <w:tab w:val="center" w:pos="4680"/>
      </w:tabs>
      <w:rPr>
        <w:szCs w:val="24"/>
      </w:rPr>
    </w:pPr>
    <w:r w:rsidRPr="00954D22">
      <w:rPr>
        <w:szCs w:val="24"/>
      </w:rPr>
      <w:tab/>
      <w:t xml:space="preserve">- </w:t>
    </w:r>
    <w:r w:rsidR="00F425BC">
      <w:rPr>
        <w:szCs w:val="24"/>
      </w:rPr>
      <w:fldChar w:fldCharType="begin"/>
    </w:r>
    <w:r>
      <w:rPr>
        <w:szCs w:val="24"/>
      </w:rPr>
      <w:instrText xml:space="preserve"> PAGE   \* MERGEFORMAT </w:instrText>
    </w:r>
    <w:r w:rsidR="00F425BC">
      <w:rPr>
        <w:szCs w:val="24"/>
      </w:rPr>
      <w:fldChar w:fldCharType="separate"/>
    </w:r>
    <w:r w:rsidR="008138B5">
      <w:rPr>
        <w:noProof/>
        <w:szCs w:val="24"/>
      </w:rPr>
      <w:t>1831</w:t>
    </w:r>
    <w:r w:rsidR="00F425BC">
      <w:rPr>
        <w:szCs w:val="24"/>
      </w:rPr>
      <w:fldChar w:fldCharType="end"/>
    </w:r>
    <w:r w:rsidRPr="00954D22">
      <w:rPr>
        <w:szCs w:val="24"/>
      </w:rPr>
      <w:t xml:space="preserve"> -</w:t>
    </w:r>
  </w:p>
  <w:p w:rsidR="00484BFB" w:rsidRDefault="00484B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A87207">
    <w:pPr>
      <w:pStyle w:val="Footer"/>
    </w:pPr>
    <w:r>
      <w:pict>
        <v:rect id="_x0000_i1038" style="width:480.95pt;height:1pt" o:hralign="center" o:hrstd="t" o:hrnoshade="t" o:hr="t" fillcolor="black [3213]" stroked="f"/>
      </w:pict>
    </w:r>
  </w:p>
  <w:p w:rsidR="00484BFB" w:rsidRPr="00B7374B" w:rsidRDefault="00484BFB" w:rsidP="00B7374B">
    <w:pPr>
      <w:tabs>
        <w:tab w:val="center" w:pos="4680"/>
      </w:tabs>
      <w:rPr>
        <w:szCs w:val="24"/>
      </w:rPr>
    </w:pPr>
    <w:r w:rsidRPr="00954D22">
      <w:rPr>
        <w:szCs w:val="24"/>
      </w:rPr>
      <w:tab/>
      <w:t xml:space="preserve">- </w:t>
    </w:r>
    <w:r w:rsidR="00F425BC" w:rsidRPr="00954D22">
      <w:rPr>
        <w:szCs w:val="24"/>
      </w:rPr>
      <w:fldChar w:fldCharType="begin"/>
    </w:r>
    <w:r w:rsidRPr="00954D22">
      <w:rPr>
        <w:szCs w:val="24"/>
      </w:rPr>
      <w:instrText xml:space="preserve"> PAGE   \* MERGEFORMAT </w:instrText>
    </w:r>
    <w:r w:rsidR="00F425BC" w:rsidRPr="00954D22">
      <w:rPr>
        <w:szCs w:val="24"/>
      </w:rPr>
      <w:fldChar w:fldCharType="separate"/>
    </w:r>
    <w:r>
      <w:rPr>
        <w:noProof/>
        <w:szCs w:val="24"/>
      </w:rPr>
      <w:t>503</w:t>
    </w:r>
    <w:r w:rsidR="00F425BC"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484BFB" w:rsidRPr="00954D22" w:rsidRDefault="00484BFB" w:rsidP="00B7374B">
    <w:pPr>
      <w:tabs>
        <w:tab w:val="center" w:pos="4680"/>
      </w:tabs>
      <w:rPr>
        <w:szCs w:val="24"/>
      </w:rPr>
    </w:pPr>
    <w:r w:rsidRPr="00954D22">
      <w:rPr>
        <w:szCs w:val="24"/>
      </w:rPr>
      <w:tab/>
      <w:t xml:space="preserve">- </w:t>
    </w:r>
    <w:r w:rsidR="00F425BC" w:rsidRPr="00954D22">
      <w:rPr>
        <w:szCs w:val="24"/>
      </w:rPr>
      <w:fldChar w:fldCharType="begin"/>
    </w:r>
    <w:r w:rsidRPr="00954D22">
      <w:rPr>
        <w:szCs w:val="24"/>
      </w:rPr>
      <w:instrText xml:space="preserve"> PAGE   \* MERGEFORMAT </w:instrText>
    </w:r>
    <w:r w:rsidR="00F425BC" w:rsidRPr="00954D22">
      <w:rPr>
        <w:szCs w:val="24"/>
      </w:rPr>
      <w:fldChar w:fldCharType="separate"/>
    </w:r>
    <w:r w:rsidR="008138B5">
      <w:rPr>
        <w:noProof/>
        <w:szCs w:val="24"/>
      </w:rPr>
      <w:t>1833</w:t>
    </w:r>
    <w:r w:rsidR="00F425BC"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84BFB" w:rsidRDefault="00484BF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813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484BFB" w:rsidRPr="0009648D" w:rsidRDefault="00484BFB" w:rsidP="00ED7E83">
    <w:pPr>
      <w:tabs>
        <w:tab w:val="center" w:pos="4680"/>
      </w:tabs>
    </w:pPr>
    <w:r>
      <w:tab/>
    </w:r>
    <w:r w:rsidRPr="0009648D">
      <w:t xml:space="preserve">- </w:t>
    </w:r>
    <w:r w:rsidR="008138B5">
      <w:fldChar w:fldCharType="begin"/>
    </w:r>
    <w:r w:rsidR="008138B5">
      <w:instrText xml:space="preserve"> PAGE   \* MERGEFORMAT </w:instrText>
    </w:r>
    <w:r w:rsidR="008138B5">
      <w:fldChar w:fldCharType="separate"/>
    </w:r>
    <w:r w:rsidR="008138B5">
      <w:rPr>
        <w:noProof/>
      </w:rPr>
      <w:t>1844</w:t>
    </w:r>
    <w:r w:rsidR="008138B5">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FB" w:rsidRDefault="00484BFB" w:rsidP="00A87207">
      <w:r>
        <w:separator/>
      </w:r>
    </w:p>
  </w:footnote>
  <w:footnote w:type="continuationSeparator" w:id="0">
    <w:p w:rsidR="00484BFB" w:rsidRDefault="00484BF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84BFB">
      <w:tc>
        <w:tcPr>
          <w:tcW w:w="423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84BFB"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84BFB"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84BFB">
      <w:trPr>
        <w:gridAfter w:val="2"/>
        <w:wAfter w:w="5250" w:type="dxa"/>
      </w:trPr>
      <w:tc>
        <w:tcPr>
          <w:tcW w:w="4230" w:type="dxa"/>
          <w:tcMar>
            <w:left w:w="0" w:type="dxa"/>
            <w:right w:w="0" w:type="dxa"/>
          </w:tcMar>
        </w:tcPr>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84BFB" w:rsidRPr="00755F22" w:rsidTr="00245129">
      <w:tc>
        <w:tcPr>
          <w:tcW w:w="4230" w:type="dxa"/>
          <w:tcMar>
            <w:left w:w="0" w:type="dxa"/>
            <w:right w:w="0" w:type="dxa"/>
          </w:tcMar>
        </w:tcPr>
        <w:p w:rsidR="00484BFB" w:rsidRPr="00755F22" w:rsidRDefault="00484BFB" w:rsidP="00831CA9">
          <w:pPr>
            <w:keepNext/>
            <w:keepLines/>
            <w:rPr>
              <w:sz w:val="20"/>
              <w:szCs w:val="20"/>
            </w:rPr>
          </w:pPr>
          <w:r w:rsidRPr="00755F22">
            <w:rPr>
              <w:sz w:val="20"/>
              <w:szCs w:val="20"/>
            </w:rPr>
            <w:t>MOTIONS</w:t>
          </w:r>
        </w:p>
      </w:tc>
      <w:tc>
        <w:tcPr>
          <w:tcW w:w="1170" w:type="dxa"/>
          <w:tcMar>
            <w:left w:w="0" w:type="dxa"/>
            <w:right w:w="0" w:type="dxa"/>
          </w:tcMar>
        </w:tcPr>
        <w:p w:rsidR="00484BFB" w:rsidRPr="00755F22" w:rsidRDefault="00484BFB" w:rsidP="00831CA9">
          <w:pPr>
            <w:keepLines/>
            <w:jc w:val="center"/>
            <w:rPr>
              <w:sz w:val="20"/>
              <w:szCs w:val="20"/>
            </w:rPr>
          </w:pPr>
        </w:p>
        <w:p w:rsidR="00484BFB" w:rsidRPr="00755F22" w:rsidRDefault="00484BFB" w:rsidP="00831CA9">
          <w:pPr>
            <w:keepLines/>
            <w:tabs>
              <w:tab w:val="left" w:pos="-1440"/>
              <w:tab w:val="left" w:pos="-720"/>
            </w:tabs>
            <w:jc w:val="center"/>
            <w:rPr>
              <w:sz w:val="20"/>
              <w:szCs w:val="20"/>
            </w:rPr>
          </w:pPr>
        </w:p>
      </w:tc>
      <w:tc>
        <w:tcPr>
          <w:tcW w:w="4080" w:type="dxa"/>
          <w:tcMar>
            <w:left w:w="0" w:type="dxa"/>
            <w:right w:w="0" w:type="dxa"/>
          </w:tcMar>
        </w:tcPr>
        <w:p w:rsidR="00484BFB" w:rsidRPr="00BA6468" w:rsidRDefault="00484BFB" w:rsidP="00BA6468">
          <w:pPr>
            <w:keepLines/>
            <w:rPr>
              <w:sz w:val="20"/>
              <w:szCs w:val="20"/>
              <w:lang w:val="fr-CA"/>
            </w:rPr>
          </w:pPr>
          <w:r w:rsidRPr="00BA6468">
            <w:rPr>
              <w:sz w:val="20"/>
              <w:szCs w:val="20"/>
              <w:lang w:val="fr-CA"/>
            </w:rPr>
            <w:t>REQUÊTES</w:t>
          </w:r>
        </w:p>
      </w:tc>
    </w:tr>
  </w:tbl>
  <w:p w:rsidR="00484BFB" w:rsidRDefault="00484BF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tc>
        <w:tcPr>
          <w:tcW w:w="4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84BFB" w:rsidRPr="00B01A03"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84BFB" w:rsidRPr="00B01A03"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84BFB" w:rsidRPr="00B01A03"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84BFB" w:rsidRPr="00635CC3" w:rsidTr="00245129">
      <w:tc>
        <w:tcPr>
          <w:tcW w:w="4200" w:type="dxa"/>
          <w:tcMar>
            <w:left w:w="0" w:type="dxa"/>
            <w:right w:w="0" w:type="dxa"/>
          </w:tcMar>
        </w:tcPr>
        <w:p w:rsidR="00484BFB" w:rsidRPr="00F40249" w:rsidRDefault="00484BF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84BFB" w:rsidRDefault="00484BFB" w:rsidP="00102926">
          <w:pPr>
            <w:keepNext/>
            <w:keepLines/>
            <w:tabs>
              <w:tab w:val="left" w:pos="-1440"/>
              <w:tab w:val="left" w:pos="-720"/>
            </w:tabs>
            <w:jc w:val="center"/>
            <w:rPr>
              <w:sz w:val="20"/>
              <w:szCs w:val="20"/>
            </w:rPr>
          </w:pPr>
        </w:p>
        <w:p w:rsidR="00484BFB" w:rsidRDefault="00484BFB" w:rsidP="00102926">
          <w:pPr>
            <w:keepNext/>
            <w:keepLines/>
            <w:tabs>
              <w:tab w:val="left" w:pos="-1440"/>
              <w:tab w:val="left" w:pos="-720"/>
            </w:tabs>
            <w:jc w:val="center"/>
            <w:rPr>
              <w:sz w:val="20"/>
              <w:szCs w:val="20"/>
            </w:rPr>
          </w:pPr>
        </w:p>
        <w:p w:rsidR="00484BFB" w:rsidRPr="00F40249" w:rsidRDefault="00484BFB" w:rsidP="00102926">
          <w:pPr>
            <w:keepNext/>
            <w:keepLines/>
            <w:tabs>
              <w:tab w:val="left" w:pos="-1440"/>
              <w:tab w:val="left" w:pos="-720"/>
            </w:tabs>
            <w:jc w:val="center"/>
            <w:rPr>
              <w:sz w:val="20"/>
              <w:szCs w:val="20"/>
            </w:rPr>
          </w:pPr>
        </w:p>
      </w:tc>
      <w:tc>
        <w:tcPr>
          <w:tcW w:w="4230" w:type="dxa"/>
          <w:tcMar>
            <w:left w:w="0" w:type="dxa"/>
            <w:right w:w="0" w:type="dxa"/>
          </w:tcMar>
        </w:tcPr>
        <w:p w:rsidR="00484BFB" w:rsidRPr="00F40249" w:rsidRDefault="00484BF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84BFB" w:rsidRPr="00B01A03" w:rsidRDefault="00484BF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tc>
        <w:tcPr>
          <w:tcW w:w="4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84BFB" w:rsidRPr="00283C52"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84BFB" w:rsidRPr="00283C52"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84BFB" w:rsidRPr="00283C52"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rsidTr="00245129">
      <w:tc>
        <w:tcPr>
          <w:tcW w:w="4200" w:type="dxa"/>
          <w:tcMar>
            <w:left w:w="0" w:type="dxa"/>
            <w:right w:w="0" w:type="dxa"/>
          </w:tcMar>
        </w:tcPr>
        <w:p w:rsidR="00484BFB" w:rsidRPr="00732DB7" w:rsidRDefault="00484BF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84BFB" w:rsidRPr="00732DB7" w:rsidRDefault="00484BFB" w:rsidP="00732DB7">
          <w:pPr>
            <w:keepNext/>
            <w:keepLines/>
            <w:tabs>
              <w:tab w:val="left" w:pos="-1440"/>
              <w:tab w:val="left" w:pos="-720"/>
            </w:tabs>
            <w:jc w:val="center"/>
            <w:rPr>
              <w:sz w:val="20"/>
              <w:szCs w:val="20"/>
            </w:rPr>
          </w:pPr>
        </w:p>
        <w:p w:rsidR="00484BFB" w:rsidRPr="00732DB7" w:rsidRDefault="00484BFB" w:rsidP="00732DB7">
          <w:pPr>
            <w:keepNext/>
            <w:keepLines/>
            <w:tabs>
              <w:tab w:val="left" w:pos="-1440"/>
              <w:tab w:val="left" w:pos="-720"/>
            </w:tabs>
            <w:jc w:val="center"/>
            <w:rPr>
              <w:sz w:val="20"/>
              <w:szCs w:val="20"/>
            </w:rPr>
          </w:pPr>
        </w:p>
        <w:p w:rsidR="00484BFB" w:rsidRPr="00732DB7" w:rsidRDefault="00484BFB" w:rsidP="00732DB7">
          <w:pPr>
            <w:keepNext/>
            <w:keepLines/>
            <w:tabs>
              <w:tab w:val="left" w:pos="-1440"/>
              <w:tab w:val="left" w:pos="-720"/>
            </w:tabs>
            <w:jc w:val="center"/>
            <w:rPr>
              <w:sz w:val="20"/>
              <w:szCs w:val="20"/>
            </w:rPr>
          </w:pPr>
        </w:p>
      </w:tc>
      <w:tc>
        <w:tcPr>
          <w:tcW w:w="4080" w:type="dxa"/>
          <w:tcMar>
            <w:left w:w="0" w:type="dxa"/>
            <w:right w:w="0" w:type="dxa"/>
          </w:tcMar>
        </w:tcPr>
        <w:p w:rsidR="00484BFB" w:rsidRPr="00732DB7" w:rsidRDefault="00484BF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84BFB" w:rsidRPr="00283C52" w:rsidRDefault="00484BF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tc>
        <w:tcPr>
          <w:tcW w:w="4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84BFB" w:rsidRPr="003C2C0F"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84BFB" w:rsidRPr="003C2C0F"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84BFB" w:rsidRPr="003C2C0F"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rsidTr="00245129">
      <w:tc>
        <w:tcPr>
          <w:tcW w:w="4200" w:type="dxa"/>
          <w:tcMar>
            <w:left w:w="0" w:type="dxa"/>
            <w:right w:w="0" w:type="dxa"/>
          </w:tcMar>
        </w:tcPr>
        <w:p w:rsidR="00484BFB" w:rsidRPr="00FF6EEC" w:rsidRDefault="00484BFB" w:rsidP="00FF6EEC">
          <w:pPr>
            <w:rPr>
              <w:sz w:val="20"/>
              <w:szCs w:val="20"/>
            </w:rPr>
          </w:pPr>
          <w:r w:rsidRPr="00FF6EEC">
            <w:rPr>
              <w:sz w:val="20"/>
              <w:szCs w:val="20"/>
            </w:rPr>
            <w:t>PRONOUNCEMENTS OF APPEALS RESERVED</w:t>
          </w:r>
        </w:p>
      </w:tc>
      <w:tc>
        <w:tcPr>
          <w:tcW w:w="1200" w:type="dxa"/>
          <w:tcMar>
            <w:left w:w="0" w:type="dxa"/>
            <w:right w:w="0" w:type="dxa"/>
          </w:tcMar>
        </w:tcPr>
        <w:p w:rsidR="00484BFB" w:rsidRPr="00FF6EEC" w:rsidRDefault="00484BFB" w:rsidP="00FF6EEC">
          <w:pPr>
            <w:jc w:val="center"/>
            <w:rPr>
              <w:sz w:val="20"/>
              <w:szCs w:val="20"/>
            </w:rPr>
          </w:pPr>
        </w:p>
        <w:p w:rsidR="00484BFB" w:rsidRPr="00FF6EEC" w:rsidRDefault="00484BFB" w:rsidP="00FF6EEC">
          <w:pPr>
            <w:jc w:val="center"/>
            <w:rPr>
              <w:sz w:val="20"/>
              <w:szCs w:val="20"/>
            </w:rPr>
          </w:pPr>
        </w:p>
        <w:p w:rsidR="00484BFB" w:rsidRPr="00FF6EEC" w:rsidRDefault="00484BFB" w:rsidP="00FF6EEC">
          <w:pPr>
            <w:jc w:val="center"/>
            <w:rPr>
              <w:sz w:val="20"/>
              <w:szCs w:val="20"/>
            </w:rPr>
          </w:pPr>
        </w:p>
      </w:tc>
      <w:tc>
        <w:tcPr>
          <w:tcW w:w="4080" w:type="dxa"/>
          <w:tcMar>
            <w:left w:w="0" w:type="dxa"/>
            <w:right w:w="0" w:type="dxa"/>
          </w:tcMar>
        </w:tcPr>
        <w:p w:rsidR="00484BFB" w:rsidRPr="00FF6EEC" w:rsidRDefault="00484BFB" w:rsidP="00FF6EEC">
          <w:pPr>
            <w:rPr>
              <w:sz w:val="20"/>
              <w:szCs w:val="20"/>
              <w:lang w:val="fr-CA"/>
            </w:rPr>
          </w:pPr>
          <w:r w:rsidRPr="00FF6EEC">
            <w:rPr>
              <w:sz w:val="20"/>
              <w:szCs w:val="20"/>
              <w:lang w:val="fr-CA"/>
            </w:rPr>
            <w:t>JUGEMENTS RENDUS SUR LES APPELS EN DÉLIBÉRÉ</w:t>
          </w:r>
        </w:p>
      </w:tc>
    </w:tr>
  </w:tbl>
  <w:p w:rsidR="00484BFB" w:rsidRPr="003C2C0F" w:rsidRDefault="00484BF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84BFB">
      <w:tc>
        <w:tcPr>
          <w:tcW w:w="423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84BFB"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84BFB"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84BFB" w:rsidRPr="00782AE4" w:rsidTr="00245129">
      <w:tc>
        <w:tcPr>
          <w:tcW w:w="4230" w:type="dxa"/>
          <w:tcMar>
            <w:left w:w="0" w:type="dxa"/>
            <w:right w:w="0" w:type="dxa"/>
          </w:tcMar>
        </w:tcPr>
        <w:p w:rsidR="00484BFB" w:rsidRPr="00782AE4" w:rsidRDefault="00484BFB" w:rsidP="00102926">
          <w:pPr>
            <w:keepNext/>
            <w:keepLines/>
            <w:tabs>
              <w:tab w:val="left" w:pos="-1440"/>
              <w:tab w:val="left" w:pos="-720"/>
            </w:tabs>
            <w:rPr>
              <w:sz w:val="20"/>
              <w:szCs w:val="20"/>
            </w:rPr>
          </w:pPr>
          <w:r w:rsidRPr="00782AE4">
            <w:rPr>
              <w:sz w:val="20"/>
              <w:szCs w:val="20"/>
            </w:rPr>
            <w:t xml:space="preserve">HEADNOTES OF RECENT </w:t>
          </w:r>
        </w:p>
        <w:p w:rsidR="00484BFB" w:rsidRPr="00782AE4"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84BFB" w:rsidRDefault="00484BFB" w:rsidP="00102926">
          <w:pPr>
            <w:keepNext/>
            <w:keepLines/>
            <w:tabs>
              <w:tab w:val="left" w:pos="-1440"/>
              <w:tab w:val="left" w:pos="-720"/>
            </w:tabs>
            <w:jc w:val="center"/>
            <w:rPr>
              <w:sz w:val="20"/>
              <w:szCs w:val="20"/>
            </w:rPr>
          </w:pPr>
        </w:p>
        <w:p w:rsidR="00484BFB" w:rsidRDefault="00484BFB" w:rsidP="00102926">
          <w:pPr>
            <w:keepNext/>
            <w:keepLines/>
            <w:tabs>
              <w:tab w:val="left" w:pos="-1440"/>
              <w:tab w:val="left" w:pos="-720"/>
            </w:tabs>
            <w:jc w:val="center"/>
            <w:rPr>
              <w:sz w:val="20"/>
              <w:szCs w:val="20"/>
            </w:rPr>
          </w:pPr>
        </w:p>
        <w:p w:rsidR="00484BFB" w:rsidRPr="00782AE4" w:rsidRDefault="00484BFB" w:rsidP="00102926">
          <w:pPr>
            <w:keepNext/>
            <w:keepLines/>
            <w:tabs>
              <w:tab w:val="left" w:pos="-1440"/>
              <w:tab w:val="left" w:pos="-720"/>
            </w:tabs>
            <w:jc w:val="center"/>
            <w:rPr>
              <w:sz w:val="20"/>
              <w:szCs w:val="20"/>
            </w:rPr>
          </w:pPr>
        </w:p>
      </w:tc>
      <w:tc>
        <w:tcPr>
          <w:tcW w:w="4080" w:type="dxa"/>
          <w:tcMar>
            <w:left w:w="0" w:type="dxa"/>
            <w:right w:w="0" w:type="dxa"/>
          </w:tcMar>
        </w:tcPr>
        <w:p w:rsidR="00484BFB" w:rsidRPr="00102926"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84BFB" w:rsidRPr="00782AE4" w:rsidRDefault="00484BFB" w:rsidP="00102926">
          <w:pPr>
            <w:keepLines/>
            <w:tabs>
              <w:tab w:val="left" w:pos="-1440"/>
              <w:tab w:val="left" w:pos="-720"/>
            </w:tabs>
            <w:rPr>
              <w:sz w:val="20"/>
              <w:szCs w:val="20"/>
            </w:rPr>
          </w:pPr>
          <w:r w:rsidRPr="00102926">
            <w:rPr>
              <w:sz w:val="20"/>
              <w:szCs w:val="20"/>
              <w:lang w:val="fr-CA"/>
            </w:rPr>
            <w:t>RÉCENTS</w:t>
          </w:r>
        </w:p>
      </w:tc>
    </w:tr>
  </w:tbl>
  <w:p w:rsidR="00484BFB" w:rsidRDefault="00484BF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84BFB" w:rsidRPr="0044776A" w:rsidTr="00245129">
      <w:tc>
        <w:tcPr>
          <w:tcW w:w="4290" w:type="dxa"/>
          <w:tcMar>
            <w:left w:w="0" w:type="dxa"/>
            <w:right w:w="0" w:type="dxa"/>
          </w:tcMar>
        </w:tcPr>
        <w:p w:rsidR="00484BFB" w:rsidRPr="0044776A" w:rsidRDefault="00484BF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84BFB" w:rsidRPr="0044776A" w:rsidRDefault="00484BFB" w:rsidP="002E2327">
          <w:pPr>
            <w:keepNext/>
            <w:keepLines/>
            <w:tabs>
              <w:tab w:val="left" w:pos="-1440"/>
              <w:tab w:val="left" w:pos="-720"/>
            </w:tabs>
            <w:jc w:val="center"/>
            <w:rPr>
              <w:sz w:val="20"/>
              <w:szCs w:val="20"/>
            </w:rPr>
          </w:pPr>
        </w:p>
        <w:p w:rsidR="00484BFB" w:rsidRPr="0044776A" w:rsidRDefault="00484BFB" w:rsidP="002E2327">
          <w:pPr>
            <w:keepNext/>
            <w:keepLines/>
            <w:tabs>
              <w:tab w:val="left" w:pos="-1440"/>
              <w:tab w:val="left" w:pos="-720"/>
            </w:tabs>
            <w:jc w:val="center"/>
            <w:rPr>
              <w:sz w:val="20"/>
              <w:szCs w:val="20"/>
            </w:rPr>
          </w:pPr>
        </w:p>
        <w:p w:rsidR="00484BFB" w:rsidRPr="0044776A" w:rsidRDefault="00484BFB" w:rsidP="002E2327">
          <w:pPr>
            <w:keepNext/>
            <w:keepLines/>
            <w:tabs>
              <w:tab w:val="left" w:pos="-1440"/>
              <w:tab w:val="left" w:pos="-720"/>
            </w:tabs>
            <w:jc w:val="center"/>
            <w:rPr>
              <w:sz w:val="20"/>
              <w:szCs w:val="20"/>
            </w:rPr>
          </w:pPr>
        </w:p>
      </w:tc>
      <w:tc>
        <w:tcPr>
          <w:tcW w:w="4320" w:type="dxa"/>
          <w:tcMar>
            <w:left w:w="0" w:type="dxa"/>
            <w:right w:w="0" w:type="dxa"/>
          </w:tcMar>
        </w:tcPr>
        <w:p w:rsidR="00484BFB" w:rsidRPr="0044776A" w:rsidRDefault="00484BFB" w:rsidP="002E2327">
          <w:pPr>
            <w:keepLines/>
            <w:rPr>
              <w:sz w:val="20"/>
              <w:szCs w:val="20"/>
              <w:lang w:val="fr-CA"/>
            </w:rPr>
          </w:pPr>
          <w:r w:rsidRPr="0044776A">
            <w:rPr>
              <w:sz w:val="20"/>
              <w:szCs w:val="20"/>
              <w:lang w:val="fr-CA"/>
            </w:rPr>
            <w:t>DEMANDES D'AUTORISATION D'APPEL DÉPOSÉES</w:t>
          </w:r>
        </w:p>
      </w:tc>
    </w:tr>
  </w:tbl>
  <w:p w:rsidR="00484BFB" w:rsidRDefault="00484B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rsidTr="00245129">
      <w:tc>
        <w:tcPr>
          <w:tcW w:w="4200" w:type="dxa"/>
          <w:tcMar>
            <w:left w:w="0" w:type="dxa"/>
            <w:right w:w="0" w:type="dxa"/>
          </w:tcMar>
        </w:tcPr>
        <w:p w:rsidR="00484BFB" w:rsidRPr="0044776A" w:rsidRDefault="00484BFB" w:rsidP="0044776A">
          <w:pPr>
            <w:keepNext/>
            <w:keepLines/>
            <w:widowControl w:val="0"/>
            <w:rPr>
              <w:sz w:val="20"/>
              <w:szCs w:val="20"/>
            </w:rPr>
          </w:pPr>
          <w:r>
            <w:rPr>
              <w:sz w:val="20"/>
              <w:szCs w:val="20"/>
            </w:rPr>
            <w:t>APPLICATIONS FOR LEAVE</w:t>
          </w:r>
        </w:p>
        <w:p w:rsidR="00484BFB" w:rsidRPr="0044776A" w:rsidRDefault="00484BF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84BFB" w:rsidRPr="0044776A" w:rsidRDefault="00484BFB" w:rsidP="0044776A">
          <w:pPr>
            <w:keepNext/>
            <w:keepLines/>
            <w:widowControl w:val="0"/>
            <w:jc w:val="center"/>
            <w:rPr>
              <w:sz w:val="20"/>
              <w:szCs w:val="20"/>
            </w:rPr>
          </w:pPr>
        </w:p>
        <w:p w:rsidR="00484BFB" w:rsidRPr="0044776A" w:rsidRDefault="00484BFB" w:rsidP="0044776A">
          <w:pPr>
            <w:keepNext/>
            <w:keepLines/>
            <w:widowControl w:val="0"/>
            <w:jc w:val="center"/>
            <w:rPr>
              <w:sz w:val="20"/>
              <w:szCs w:val="20"/>
            </w:rPr>
          </w:pPr>
        </w:p>
        <w:p w:rsidR="00484BFB" w:rsidRPr="0044776A" w:rsidRDefault="00484BFB" w:rsidP="0044776A">
          <w:pPr>
            <w:keepNext/>
            <w:keepLines/>
            <w:widowControl w:val="0"/>
            <w:jc w:val="center"/>
            <w:rPr>
              <w:sz w:val="20"/>
              <w:szCs w:val="20"/>
            </w:rPr>
          </w:pPr>
        </w:p>
      </w:tc>
      <w:tc>
        <w:tcPr>
          <w:tcW w:w="4080" w:type="dxa"/>
          <w:tcMar>
            <w:left w:w="0" w:type="dxa"/>
            <w:right w:w="0" w:type="dxa"/>
          </w:tcMar>
        </w:tcPr>
        <w:p w:rsidR="00484BFB" w:rsidRPr="0044776A" w:rsidRDefault="00484BFB" w:rsidP="0044776A">
          <w:pPr>
            <w:keepLines/>
            <w:widowControl w:val="0"/>
            <w:rPr>
              <w:sz w:val="20"/>
              <w:szCs w:val="20"/>
              <w:lang w:val="fr-CA"/>
            </w:rPr>
          </w:pPr>
          <w:r w:rsidRPr="0044776A">
            <w:rPr>
              <w:sz w:val="20"/>
              <w:szCs w:val="20"/>
              <w:lang w:val="fr-CA"/>
            </w:rPr>
            <w:t>DEMANDES SOUMISES À LA COUR DEPUIS LA DERNIÈRE PARUTION</w:t>
          </w:r>
        </w:p>
        <w:p w:rsidR="00484BFB" w:rsidRPr="0044776A" w:rsidRDefault="00484BFB" w:rsidP="0044776A">
          <w:pPr>
            <w:widowControl w:val="0"/>
            <w:rPr>
              <w:sz w:val="20"/>
              <w:szCs w:val="20"/>
              <w:lang w:val="fr-CA"/>
            </w:rPr>
          </w:pPr>
        </w:p>
      </w:tc>
    </w:tr>
  </w:tbl>
  <w:p w:rsidR="00484BFB" w:rsidRPr="002E2327" w:rsidRDefault="00484BF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FB" w:rsidRDefault="00484B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tc>
        <w:tcPr>
          <w:tcW w:w="4200" w:type="dxa"/>
          <w:tcMar>
            <w:left w:w="0" w:type="dxa"/>
            <w:right w:w="0" w:type="dxa"/>
          </w:tcMar>
        </w:tcPr>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84BFB"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84BFB"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84BFB" w:rsidRPr="00FF6BA5"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84BFB" w:rsidRPr="00FF6BA5"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84BFB" w:rsidRPr="00FF6BA5"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84BFB" w:rsidRPr="00FF6BA5" w:rsidRDefault="00484B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84BFB" w:rsidRPr="00635CC3" w:rsidTr="00245129">
      <w:tc>
        <w:tcPr>
          <w:tcW w:w="4200" w:type="dxa"/>
          <w:tcMar>
            <w:left w:w="0" w:type="dxa"/>
            <w:right w:w="0" w:type="dxa"/>
          </w:tcMar>
        </w:tcPr>
        <w:p w:rsidR="00484BFB" w:rsidRPr="00755F22"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84BFB" w:rsidRPr="00755F22" w:rsidRDefault="00484B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84BFB" w:rsidRPr="00755F22" w:rsidRDefault="00484B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84BFB" w:rsidRPr="00755F22" w:rsidRDefault="00484B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84BFB" w:rsidRPr="00755F22" w:rsidRDefault="00484B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84BFB" w:rsidRPr="00755F22" w:rsidRDefault="00484B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84BFB" w:rsidRPr="00FF6BA5" w:rsidRDefault="00484BF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B34E7"/>
    <w:multiLevelType w:val="hybridMultilevel"/>
    <w:tmpl w:val="AB6A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023659"/>
    <w:multiLevelType w:val="hybridMultilevel"/>
    <w:tmpl w:val="BB8A13E8"/>
    <w:lvl w:ilvl="0" w:tplc="FCBED15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0198"/>
    <w:multiLevelType w:val="hybridMultilevel"/>
    <w:tmpl w:val="D514FEB8"/>
    <w:lvl w:ilvl="0" w:tplc="93187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F5777"/>
    <w:multiLevelType w:val="hybridMultilevel"/>
    <w:tmpl w:val="288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66163A"/>
    <w:multiLevelType w:val="hybridMultilevel"/>
    <w:tmpl w:val="A094FDAA"/>
    <w:lvl w:ilvl="0" w:tplc="93187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0020B"/>
    <w:multiLevelType w:val="hybridMultilevel"/>
    <w:tmpl w:val="8A0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58385"/>
  </w:hdrShapeDefaults>
  <w:footnotePr>
    <w:footnote w:id="-1"/>
    <w:footnote w:id="0"/>
  </w:footnotePr>
  <w:endnotePr>
    <w:endnote w:id="-1"/>
    <w:endnote w:id="0"/>
  </w:endnotePr>
  <w:compat>
    <w:compatSetting w:name="compatibilityMode" w:uri="http://schemas.microsoft.com/office/word" w:val="12"/>
  </w:compat>
  <w:rsids>
    <w:rsidRoot w:val="00440045"/>
    <w:rsid w:val="000155DB"/>
    <w:rsid w:val="0003223B"/>
    <w:rsid w:val="000327B2"/>
    <w:rsid w:val="00091FA6"/>
    <w:rsid w:val="00092325"/>
    <w:rsid w:val="00096BD9"/>
    <w:rsid w:val="000B3C9A"/>
    <w:rsid w:val="000B40A2"/>
    <w:rsid w:val="000B4624"/>
    <w:rsid w:val="000C0ACD"/>
    <w:rsid w:val="000C0D2A"/>
    <w:rsid w:val="000C5CE8"/>
    <w:rsid w:val="000E2959"/>
    <w:rsid w:val="000F0B60"/>
    <w:rsid w:val="000F512D"/>
    <w:rsid w:val="00102926"/>
    <w:rsid w:val="0010587F"/>
    <w:rsid w:val="00111C6B"/>
    <w:rsid w:val="0012102B"/>
    <w:rsid w:val="0013369E"/>
    <w:rsid w:val="00164E6D"/>
    <w:rsid w:val="001B0569"/>
    <w:rsid w:val="001B157C"/>
    <w:rsid w:val="001B5C23"/>
    <w:rsid w:val="001C3F1D"/>
    <w:rsid w:val="001D0D5F"/>
    <w:rsid w:val="001D4B16"/>
    <w:rsid w:val="001D6B8C"/>
    <w:rsid w:val="001F1F83"/>
    <w:rsid w:val="001F40DF"/>
    <w:rsid w:val="002021A9"/>
    <w:rsid w:val="002139A7"/>
    <w:rsid w:val="00215F7C"/>
    <w:rsid w:val="0022323B"/>
    <w:rsid w:val="00233DB4"/>
    <w:rsid w:val="00237EDE"/>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0D1"/>
    <w:rsid w:val="002E5576"/>
    <w:rsid w:val="0031725E"/>
    <w:rsid w:val="00331B52"/>
    <w:rsid w:val="003359D3"/>
    <w:rsid w:val="00355967"/>
    <w:rsid w:val="00382C47"/>
    <w:rsid w:val="00384384"/>
    <w:rsid w:val="003866AE"/>
    <w:rsid w:val="003B3977"/>
    <w:rsid w:val="003E4595"/>
    <w:rsid w:val="00432989"/>
    <w:rsid w:val="00440045"/>
    <w:rsid w:val="00440E24"/>
    <w:rsid w:val="0044776A"/>
    <w:rsid w:val="00460AFC"/>
    <w:rsid w:val="0047471F"/>
    <w:rsid w:val="00484BFB"/>
    <w:rsid w:val="004B195E"/>
    <w:rsid w:val="004B66B4"/>
    <w:rsid w:val="004B7F60"/>
    <w:rsid w:val="004C1878"/>
    <w:rsid w:val="004C1AAC"/>
    <w:rsid w:val="004E1E0A"/>
    <w:rsid w:val="004F090E"/>
    <w:rsid w:val="00527CC7"/>
    <w:rsid w:val="00550B1F"/>
    <w:rsid w:val="00567C72"/>
    <w:rsid w:val="00571CA4"/>
    <w:rsid w:val="0057263E"/>
    <w:rsid w:val="00582136"/>
    <w:rsid w:val="005C6840"/>
    <w:rsid w:val="005F263E"/>
    <w:rsid w:val="00600252"/>
    <w:rsid w:val="00612A40"/>
    <w:rsid w:val="0062714A"/>
    <w:rsid w:val="00635CC3"/>
    <w:rsid w:val="00653B19"/>
    <w:rsid w:val="00654303"/>
    <w:rsid w:val="006613BD"/>
    <w:rsid w:val="00674523"/>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181A"/>
    <w:rsid w:val="007820CE"/>
    <w:rsid w:val="00782AE4"/>
    <w:rsid w:val="0079724F"/>
    <w:rsid w:val="007A3EAE"/>
    <w:rsid w:val="007C04FC"/>
    <w:rsid w:val="007D3E0F"/>
    <w:rsid w:val="007E2E7D"/>
    <w:rsid w:val="007E4282"/>
    <w:rsid w:val="007F3337"/>
    <w:rsid w:val="007F387B"/>
    <w:rsid w:val="00802863"/>
    <w:rsid w:val="00812AB7"/>
    <w:rsid w:val="0081384E"/>
    <w:rsid w:val="008138B5"/>
    <w:rsid w:val="00815B3C"/>
    <w:rsid w:val="0081610A"/>
    <w:rsid w:val="0082783A"/>
    <w:rsid w:val="00831CA9"/>
    <w:rsid w:val="00850E1F"/>
    <w:rsid w:val="0085476B"/>
    <w:rsid w:val="00890FEB"/>
    <w:rsid w:val="008A5C1A"/>
    <w:rsid w:val="008A5DB3"/>
    <w:rsid w:val="008B465C"/>
    <w:rsid w:val="008D292F"/>
    <w:rsid w:val="008E03DC"/>
    <w:rsid w:val="008F1BDA"/>
    <w:rsid w:val="00902E51"/>
    <w:rsid w:val="00924065"/>
    <w:rsid w:val="00930D68"/>
    <w:rsid w:val="00932DB4"/>
    <w:rsid w:val="00941431"/>
    <w:rsid w:val="00941A4B"/>
    <w:rsid w:val="00946242"/>
    <w:rsid w:val="0095096B"/>
    <w:rsid w:val="00961001"/>
    <w:rsid w:val="00970CD3"/>
    <w:rsid w:val="009723FA"/>
    <w:rsid w:val="00984546"/>
    <w:rsid w:val="00987FAF"/>
    <w:rsid w:val="00990ADE"/>
    <w:rsid w:val="00991366"/>
    <w:rsid w:val="00996510"/>
    <w:rsid w:val="009D1F15"/>
    <w:rsid w:val="009D555E"/>
    <w:rsid w:val="009F046F"/>
    <w:rsid w:val="009F3024"/>
    <w:rsid w:val="009F47DE"/>
    <w:rsid w:val="00A0355E"/>
    <w:rsid w:val="00A07D8D"/>
    <w:rsid w:val="00A375D1"/>
    <w:rsid w:val="00A51D10"/>
    <w:rsid w:val="00A52A83"/>
    <w:rsid w:val="00A6552C"/>
    <w:rsid w:val="00A87207"/>
    <w:rsid w:val="00A91F22"/>
    <w:rsid w:val="00A935AA"/>
    <w:rsid w:val="00AB2201"/>
    <w:rsid w:val="00AD3259"/>
    <w:rsid w:val="00AF1715"/>
    <w:rsid w:val="00AF3904"/>
    <w:rsid w:val="00B010C0"/>
    <w:rsid w:val="00B14309"/>
    <w:rsid w:val="00B4740D"/>
    <w:rsid w:val="00B52070"/>
    <w:rsid w:val="00B61629"/>
    <w:rsid w:val="00B7374B"/>
    <w:rsid w:val="00B90DC0"/>
    <w:rsid w:val="00BA116A"/>
    <w:rsid w:val="00BA5582"/>
    <w:rsid w:val="00BA6468"/>
    <w:rsid w:val="00BB1D44"/>
    <w:rsid w:val="00BD06DA"/>
    <w:rsid w:val="00BD4217"/>
    <w:rsid w:val="00BF25F3"/>
    <w:rsid w:val="00C1697B"/>
    <w:rsid w:val="00C21CB5"/>
    <w:rsid w:val="00C50A5C"/>
    <w:rsid w:val="00C50FDF"/>
    <w:rsid w:val="00C63381"/>
    <w:rsid w:val="00C73D06"/>
    <w:rsid w:val="00C73E1B"/>
    <w:rsid w:val="00C759B4"/>
    <w:rsid w:val="00C77713"/>
    <w:rsid w:val="00C85BB7"/>
    <w:rsid w:val="00C9245B"/>
    <w:rsid w:val="00CA2DEA"/>
    <w:rsid w:val="00CB43D5"/>
    <w:rsid w:val="00CC48BA"/>
    <w:rsid w:val="00CC4D84"/>
    <w:rsid w:val="00CE198A"/>
    <w:rsid w:val="00CF08C8"/>
    <w:rsid w:val="00D004FC"/>
    <w:rsid w:val="00D27FF2"/>
    <w:rsid w:val="00D64901"/>
    <w:rsid w:val="00D76BDF"/>
    <w:rsid w:val="00D862C1"/>
    <w:rsid w:val="00D93B50"/>
    <w:rsid w:val="00D94028"/>
    <w:rsid w:val="00D94670"/>
    <w:rsid w:val="00DA46F6"/>
    <w:rsid w:val="00DD0B49"/>
    <w:rsid w:val="00DE0502"/>
    <w:rsid w:val="00DE349D"/>
    <w:rsid w:val="00DF0123"/>
    <w:rsid w:val="00E06DFA"/>
    <w:rsid w:val="00E151AD"/>
    <w:rsid w:val="00E20A0A"/>
    <w:rsid w:val="00E229EE"/>
    <w:rsid w:val="00E356C7"/>
    <w:rsid w:val="00E45FE4"/>
    <w:rsid w:val="00E565F6"/>
    <w:rsid w:val="00E64FA7"/>
    <w:rsid w:val="00E770CB"/>
    <w:rsid w:val="00E774E5"/>
    <w:rsid w:val="00E903A1"/>
    <w:rsid w:val="00E940EB"/>
    <w:rsid w:val="00E9703F"/>
    <w:rsid w:val="00EB2B90"/>
    <w:rsid w:val="00ED7E83"/>
    <w:rsid w:val="00EE091F"/>
    <w:rsid w:val="00EE5BFB"/>
    <w:rsid w:val="00EF4B63"/>
    <w:rsid w:val="00F0068D"/>
    <w:rsid w:val="00F0576D"/>
    <w:rsid w:val="00F14E6D"/>
    <w:rsid w:val="00F15EA8"/>
    <w:rsid w:val="00F16C8D"/>
    <w:rsid w:val="00F17714"/>
    <w:rsid w:val="00F26C61"/>
    <w:rsid w:val="00F33CCE"/>
    <w:rsid w:val="00F40249"/>
    <w:rsid w:val="00F425BC"/>
    <w:rsid w:val="00F526C8"/>
    <w:rsid w:val="00F761A3"/>
    <w:rsid w:val="00F81607"/>
    <w:rsid w:val="00F9272D"/>
    <w:rsid w:val="00F92B27"/>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A07D8D"/>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D4B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D4B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D4B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D4B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D4B1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t/fs01k" TargetMode="External"/><Relationship Id="rId39" Type="http://schemas.openxmlformats.org/officeDocument/2006/relationships/hyperlink" Target="http://www.canlii.org/en/on/onca/doc/2013/2013onca337/2013onca337.html?searchUrlHash=AAAAAQAGYm9laG1lAAAAAAE" TargetMode="External"/><Relationship Id="rId21" Type="http://schemas.openxmlformats.org/officeDocument/2006/relationships/footer" Target="footer6.xml"/><Relationship Id="rId34" Type="http://schemas.openxmlformats.org/officeDocument/2006/relationships/hyperlink" Target="http://www.canlii.org/en/bc/bchrt/doc/2011/2011bchrt133/2011bchrt133.html?searchUrlHash=AAAAAQAOMjAxMSBCQ0hSVCAxMzMAAAAAAQ" TargetMode="Externa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5.xml"/><Relationship Id="rId63" Type="http://schemas.openxmlformats.org/officeDocument/2006/relationships/footer" Target="footer17.xml"/><Relationship Id="rId68" Type="http://schemas.openxmlformats.org/officeDocument/2006/relationships/header" Target="header21.xml"/><Relationship Id="rId76"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fxdjd" TargetMode="External"/><Relationship Id="rId11" Type="http://schemas.openxmlformats.org/officeDocument/2006/relationships/header" Target="header2.xml"/><Relationship Id="rId24" Type="http://schemas.openxmlformats.org/officeDocument/2006/relationships/hyperlink" Target="file:///C:\AP%20work\Supreme%20Court\369775\2013%20QCCA%20637" TargetMode="External"/><Relationship Id="rId32" Type="http://schemas.openxmlformats.org/officeDocument/2006/relationships/hyperlink" Target="http://canlii.ca/t/fkp3z" TargetMode="External"/><Relationship Id="rId37" Type="http://schemas.openxmlformats.org/officeDocument/2006/relationships/hyperlink" Target="http://www.canlii.org/en/bc/bcca/doc/2013/2013bcca257/2013bcca257.html?searchUrlHash=AAAAAQANMjAxMyBCQ0NBIDI1NwAAAAAB" TargetMode="Externa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yperlink" Target="http://www.scc-csc.ca/case-dossier/info/sum-som-eng.aspx?cas=35176" TargetMode="External"/><Relationship Id="rId66" Type="http://schemas.openxmlformats.org/officeDocument/2006/relationships/footer" Target="footer19.xml"/><Relationship Id="rId74" Type="http://schemas.openxmlformats.org/officeDocument/2006/relationships/header" Target="header23.xml"/><Relationship Id="rId79" Type="http://schemas.openxmlformats.org/officeDocument/2006/relationships/footer" Target="footer25.xml"/><Relationship Id="rId5" Type="http://schemas.openxmlformats.org/officeDocument/2006/relationships/footnotes" Target="footnotes.xml"/><Relationship Id="rId61" Type="http://schemas.openxmlformats.org/officeDocument/2006/relationships/header" Target="header17.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fxshh"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yperlink" Target="http://www.scc-csc.ca/case-dossier/info/sum-som-eng.aspx?cas=35203" TargetMode="External"/><Relationship Id="rId65" Type="http://schemas.openxmlformats.org/officeDocument/2006/relationships/header" Target="header19.xml"/><Relationship Id="rId73" Type="http://schemas.openxmlformats.org/officeDocument/2006/relationships/hyperlink" Target="http://www.scc-csc.ca/case-dossier/info/sum-som-eng.aspx?cas=34890" TargetMode="External"/><Relationship Id="rId78" Type="http://schemas.openxmlformats.org/officeDocument/2006/relationships/header" Target="header25.xml"/><Relationship Id="rId81"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fxdjd" TargetMode="External"/><Relationship Id="rId30" Type="http://schemas.openxmlformats.org/officeDocument/2006/relationships/hyperlink" Target="http://canlii.ca/t/fkp3z" TargetMode="External"/><Relationship Id="rId35" Type="http://schemas.openxmlformats.org/officeDocument/2006/relationships/hyperlink" Target="http://www.canlii.org/en/bc/bcca/doc/2013/2013bcca257/2013bcca257.html?searchUrlHash=AAAAAQANMjAxMyBCQ0NBIDI1NwAAAAAB"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footer" Target="footer22.xml"/><Relationship Id="rId80"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file:///\\FS-P01V\LegalData$\Communications\LEXUM\NewsRelease\2013\November%202013\2013%20QCCA%20637" TargetMode="External"/><Relationship Id="rId33" Type="http://schemas.openxmlformats.org/officeDocument/2006/relationships/hyperlink" Target="http://canlii.ca/t/fxshh" TargetMode="External"/><Relationship Id="rId38" Type="http://schemas.openxmlformats.org/officeDocument/2006/relationships/hyperlink" Target="http://www.canlii.org/en/on/onca/doc/2013/2013onca337/2013onca337.html?searchUrlHash=AAAAAQAGYm9laG1lAAAAAAE" TargetMode="External"/><Relationship Id="rId46" Type="http://schemas.openxmlformats.org/officeDocument/2006/relationships/header" Target="header11.xml"/><Relationship Id="rId59" Type="http://schemas.openxmlformats.org/officeDocument/2006/relationships/hyperlink" Target="http://www.scc-csc.ca/case-dossier/info/sum-som-eng.aspx?cas=35180" TargetMode="External"/><Relationship Id="rId67" Type="http://schemas.openxmlformats.org/officeDocument/2006/relationships/header" Target="header20.xml"/><Relationship Id="rId20" Type="http://schemas.openxmlformats.org/officeDocument/2006/relationships/header" Target="header6.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eader" Target="header18.xml"/><Relationship Id="rId70" Type="http://schemas.openxmlformats.org/officeDocument/2006/relationships/footer" Target="footer21.xml"/><Relationship Id="rId75" Type="http://schemas.openxmlformats.org/officeDocument/2006/relationships/header" Target="header24.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s01k" TargetMode="External"/><Relationship Id="rId36" Type="http://schemas.openxmlformats.org/officeDocument/2006/relationships/hyperlink" Target="http://www.canlii.org/en/bc/bchrt/doc/2011/2011bchrt133/2011bchrt133.html?searchUrlHash=AAAAAQAOMjAxMSBCQ0hSVCAxMzMAAAAAAQ" TargetMode="External"/><Relationship Id="rId49" Type="http://schemas.openxmlformats.org/officeDocument/2006/relationships/footer" Target="footer12.xml"/><Relationship Id="rId5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10885</Words>
  <Characters>62050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2013-11-12T15:09:00Z</dcterms:created>
  <dcterms:modified xsi:type="dcterms:W3CDTF">2015-12-18T19:25:00Z</dcterms:modified>
</cp:coreProperties>
</file>