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2768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276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2768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276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27688" w:rsidTr="002E5576">
        <w:tc>
          <w:tcPr>
            <w:tcW w:w="4518" w:type="dxa"/>
          </w:tcPr>
          <w:p w:rsidR="00BF25F3" w:rsidRPr="002E2327" w:rsidRDefault="003172C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172C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2768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2768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F2768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F2768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13CF2"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16</w:t>
      </w:r>
      <w:r w:rsidR="00440E24" w:rsidRPr="00675479">
        <w:rPr>
          <w:lang w:val="fr-CA"/>
        </w:rPr>
        <w:t>, 201</w:t>
      </w:r>
      <w:r w:rsidR="00501F3C">
        <w:rPr>
          <w:lang w:val="fr-CA"/>
        </w:rPr>
        <w:t>4</w:t>
      </w:r>
      <w:r w:rsidR="00F0068D" w:rsidRPr="00675479">
        <w:rPr>
          <w:lang w:val="fr-CA"/>
        </w:rPr>
        <w:tab/>
      </w:r>
      <w:r>
        <w:rPr>
          <w:lang w:val="fr-CA"/>
        </w:rPr>
        <w:t>844</w:t>
      </w:r>
      <w:r w:rsidR="00F0068D" w:rsidRPr="00675479">
        <w:rPr>
          <w:lang w:val="fr-CA"/>
        </w:rPr>
        <w:t xml:space="preserve"> - </w:t>
      </w:r>
      <w:r w:rsidR="00873C4B">
        <w:rPr>
          <w:lang w:val="fr-CA"/>
        </w:rPr>
        <w:t>910</w:t>
      </w:r>
      <w:r w:rsidR="00440E24" w:rsidRPr="00675479">
        <w:rPr>
          <w:lang w:val="fr-CA"/>
        </w:rPr>
        <w:tab/>
      </w:r>
      <w:r w:rsidR="00440E24" w:rsidRPr="002E2327">
        <w:rPr>
          <w:lang w:val="fr-CA"/>
        </w:rPr>
        <w:t>Le</w:t>
      </w:r>
      <w:r w:rsidR="00C73D06">
        <w:rPr>
          <w:lang w:val="fr-CA"/>
        </w:rPr>
        <w:t xml:space="preserve"> </w:t>
      </w:r>
      <w:r>
        <w:rPr>
          <w:lang w:val="fr-CA"/>
        </w:rPr>
        <w:t>16</w:t>
      </w:r>
      <w:r w:rsidR="00C73D06">
        <w:rPr>
          <w:lang w:val="fr-CA"/>
        </w:rPr>
        <w:t xml:space="preserve"> </w:t>
      </w:r>
      <w:r>
        <w:rPr>
          <w:lang w:val="fr-CA"/>
        </w:rPr>
        <w:t>m</w:t>
      </w:r>
      <w:r w:rsidR="00440E24" w:rsidRPr="002E2327">
        <w:rPr>
          <w:lang w:val="fr-CA"/>
        </w:rPr>
        <w:t>ai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8216E"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8216E">
            <w:pPr>
              <w:tabs>
                <w:tab w:val="right" w:pos="9360"/>
              </w:tabs>
              <w:rPr>
                <w:rFonts w:cs="Times New Roman"/>
                <w:sz w:val="20"/>
                <w:szCs w:val="20"/>
              </w:rPr>
            </w:pPr>
          </w:p>
        </w:tc>
        <w:tc>
          <w:tcPr>
            <w:tcW w:w="1980" w:type="dxa"/>
          </w:tcPr>
          <w:p w:rsidR="0095096B" w:rsidRPr="002E2327" w:rsidRDefault="00D13CF2" w:rsidP="0095096B">
            <w:pPr>
              <w:jc w:val="center"/>
              <w:rPr>
                <w:rFonts w:cs="Times New Roman"/>
                <w:sz w:val="20"/>
                <w:szCs w:val="20"/>
              </w:rPr>
            </w:pPr>
            <w:r>
              <w:rPr>
                <w:rFonts w:cs="Times New Roman"/>
                <w:sz w:val="20"/>
                <w:szCs w:val="20"/>
              </w:rPr>
              <w:t xml:space="preserve">844 </w:t>
            </w:r>
            <w:r w:rsidR="003172C2" w:rsidRPr="002E2327">
              <w:rPr>
                <w:rFonts w:cs="Times New Roman"/>
                <w:sz w:val="20"/>
                <w:szCs w:val="20"/>
              </w:rPr>
              <w:fldChar w:fldCharType="begin"/>
            </w:r>
            <w:r w:rsidR="0095096B" w:rsidRPr="002E2327">
              <w:rPr>
                <w:rFonts w:cs="Times New Roman"/>
                <w:sz w:val="20"/>
                <w:szCs w:val="20"/>
              </w:rPr>
              <w:instrText xml:space="preserve"> SEQ CHAPTER \h \r 1</w:instrText>
            </w:r>
            <w:r w:rsidR="003172C2" w:rsidRPr="002E2327">
              <w:rPr>
                <w:rFonts w:cs="Times New Roman"/>
                <w:sz w:val="20"/>
                <w:szCs w:val="20"/>
              </w:rPr>
              <w:fldChar w:fldCharType="end"/>
            </w:r>
            <w:r w:rsidR="0095096B" w:rsidRPr="002E2327">
              <w:rPr>
                <w:rFonts w:cs="Times New Roman"/>
                <w:sz w:val="20"/>
                <w:szCs w:val="20"/>
              </w:rPr>
              <w:t>-</w:t>
            </w:r>
            <w:r w:rsidR="00E8216E">
              <w:rPr>
                <w:rFonts w:cs="Times New Roman"/>
                <w:sz w:val="20"/>
                <w:szCs w:val="20"/>
              </w:rPr>
              <w:t xml:space="preserve"> 846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216E" w:rsidP="0095096B">
            <w:pPr>
              <w:jc w:val="center"/>
              <w:rPr>
                <w:rFonts w:cs="Times New Roman"/>
                <w:sz w:val="20"/>
                <w:szCs w:val="20"/>
              </w:rPr>
            </w:pPr>
            <w:r>
              <w:rPr>
                <w:rFonts w:cs="Times New Roman"/>
                <w:sz w:val="20"/>
                <w:szCs w:val="20"/>
              </w:rPr>
              <w:t>847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216E" w:rsidP="0095096B">
            <w:pPr>
              <w:jc w:val="center"/>
              <w:rPr>
                <w:rFonts w:cs="Times New Roman"/>
                <w:sz w:val="20"/>
                <w:szCs w:val="20"/>
              </w:rPr>
            </w:pPr>
            <w:r>
              <w:rPr>
                <w:rFonts w:cs="Times New Roman"/>
                <w:sz w:val="20"/>
                <w:szCs w:val="20"/>
              </w:rPr>
              <w:t xml:space="preserve">848 </w:t>
            </w:r>
            <w:r w:rsidR="0095096B" w:rsidRPr="002E2327">
              <w:rPr>
                <w:rFonts w:cs="Times New Roman"/>
                <w:sz w:val="20"/>
                <w:szCs w:val="20"/>
              </w:rPr>
              <w:t>-</w:t>
            </w:r>
            <w:r w:rsidR="00162E9D">
              <w:rPr>
                <w:rFonts w:cs="Times New Roman"/>
                <w:sz w:val="20"/>
                <w:szCs w:val="20"/>
              </w:rPr>
              <w:t xml:space="preserve"> 877</w:t>
            </w:r>
          </w:p>
          <w:p w:rsidR="0095096B" w:rsidRDefault="0095096B" w:rsidP="0095096B">
            <w:pPr>
              <w:jc w:val="center"/>
              <w:rPr>
                <w:rFonts w:cs="Times New Roman"/>
                <w:sz w:val="20"/>
                <w:szCs w:val="20"/>
              </w:rPr>
            </w:pPr>
          </w:p>
          <w:p w:rsidR="00E8216E" w:rsidRPr="002E2327" w:rsidRDefault="00E8216E" w:rsidP="0095096B">
            <w:pPr>
              <w:jc w:val="center"/>
              <w:rPr>
                <w:rFonts w:cs="Times New Roman"/>
                <w:sz w:val="20"/>
                <w:szCs w:val="20"/>
              </w:rPr>
            </w:pPr>
          </w:p>
          <w:p w:rsidR="0095096B" w:rsidRPr="002E2327" w:rsidRDefault="00162E9D" w:rsidP="0095096B">
            <w:pPr>
              <w:jc w:val="center"/>
              <w:rPr>
                <w:rFonts w:cs="Times New Roman"/>
                <w:sz w:val="20"/>
                <w:szCs w:val="20"/>
              </w:rPr>
            </w:pPr>
            <w:r>
              <w:rPr>
                <w:rFonts w:cs="Times New Roman"/>
                <w:sz w:val="20"/>
                <w:szCs w:val="20"/>
              </w:rPr>
              <w:t>87</w:t>
            </w:r>
            <w:r w:rsidR="00A26320">
              <w:rPr>
                <w:rFonts w:cs="Times New Roman"/>
                <w:sz w:val="20"/>
                <w:szCs w:val="20"/>
              </w:rPr>
              <w:t>8</w:t>
            </w:r>
            <w:r>
              <w:rPr>
                <w:rFonts w:cs="Times New Roman"/>
                <w:sz w:val="20"/>
                <w:szCs w:val="20"/>
              </w:rPr>
              <w:t xml:space="preserve"> </w:t>
            </w:r>
            <w:r w:rsidR="0095096B" w:rsidRPr="002E2327">
              <w:rPr>
                <w:rFonts w:cs="Times New Roman"/>
                <w:sz w:val="20"/>
                <w:szCs w:val="20"/>
              </w:rPr>
              <w:t>-</w:t>
            </w:r>
            <w:r w:rsidR="00E576C5">
              <w:rPr>
                <w:rFonts w:cs="Times New Roman"/>
                <w:sz w:val="20"/>
                <w:szCs w:val="20"/>
              </w:rPr>
              <w:t xml:space="preserve"> 880</w:t>
            </w:r>
          </w:p>
          <w:p w:rsidR="0095096B" w:rsidRPr="002E2327" w:rsidRDefault="0095096B" w:rsidP="0095096B">
            <w:pPr>
              <w:jc w:val="center"/>
              <w:rPr>
                <w:rFonts w:cs="Times New Roman"/>
                <w:sz w:val="20"/>
                <w:szCs w:val="20"/>
              </w:rPr>
            </w:pPr>
          </w:p>
          <w:p w:rsidR="0095096B" w:rsidRPr="002E2327" w:rsidRDefault="00E576C5" w:rsidP="0095096B">
            <w:pPr>
              <w:jc w:val="center"/>
              <w:rPr>
                <w:rFonts w:cs="Times New Roman"/>
                <w:sz w:val="20"/>
                <w:szCs w:val="20"/>
              </w:rPr>
            </w:pPr>
            <w:r>
              <w:rPr>
                <w:rFonts w:cs="Times New Roman"/>
                <w:sz w:val="20"/>
                <w:szCs w:val="20"/>
              </w:rPr>
              <w:t xml:space="preserve">881 </w:t>
            </w:r>
            <w:r w:rsidR="0095096B" w:rsidRPr="002E2327">
              <w:rPr>
                <w:rFonts w:cs="Times New Roman"/>
                <w:sz w:val="20"/>
                <w:szCs w:val="20"/>
              </w:rPr>
              <w:t>-</w:t>
            </w:r>
            <w:r w:rsidR="00817EFC">
              <w:rPr>
                <w:rFonts w:cs="Times New Roman"/>
                <w:sz w:val="20"/>
                <w:szCs w:val="20"/>
              </w:rPr>
              <w:t xml:space="preserve"> 892</w:t>
            </w:r>
          </w:p>
          <w:p w:rsidR="0095096B" w:rsidRPr="002E2327" w:rsidRDefault="0095096B" w:rsidP="0095096B">
            <w:pPr>
              <w:jc w:val="center"/>
              <w:rPr>
                <w:rFonts w:cs="Times New Roman"/>
                <w:sz w:val="20"/>
                <w:szCs w:val="20"/>
              </w:rPr>
            </w:pPr>
          </w:p>
          <w:p w:rsidR="0095096B" w:rsidRDefault="00817EFC" w:rsidP="0095096B">
            <w:pPr>
              <w:jc w:val="center"/>
              <w:rPr>
                <w:rFonts w:cs="Times New Roman"/>
                <w:sz w:val="20"/>
                <w:szCs w:val="20"/>
              </w:rPr>
            </w:pPr>
            <w:r>
              <w:rPr>
                <w:rFonts w:cs="Times New Roman"/>
                <w:sz w:val="20"/>
                <w:szCs w:val="20"/>
              </w:rPr>
              <w:t>893</w:t>
            </w:r>
          </w:p>
          <w:p w:rsidR="00E576C5" w:rsidRDefault="00E576C5" w:rsidP="0095096B">
            <w:pPr>
              <w:jc w:val="center"/>
              <w:rPr>
                <w:rFonts w:cs="Times New Roman"/>
                <w:sz w:val="20"/>
                <w:szCs w:val="20"/>
              </w:rPr>
            </w:pPr>
          </w:p>
          <w:p w:rsidR="00E576C5" w:rsidRPr="002E2327" w:rsidRDefault="00E576C5" w:rsidP="0095096B">
            <w:pPr>
              <w:jc w:val="center"/>
              <w:rPr>
                <w:rFonts w:cs="Times New Roman"/>
                <w:sz w:val="20"/>
                <w:szCs w:val="20"/>
              </w:rPr>
            </w:pPr>
          </w:p>
          <w:p w:rsidR="0095096B" w:rsidRPr="002E2327" w:rsidRDefault="00817EFC" w:rsidP="0095096B">
            <w:pPr>
              <w:jc w:val="center"/>
              <w:rPr>
                <w:rFonts w:cs="Times New Roman"/>
                <w:sz w:val="20"/>
                <w:szCs w:val="20"/>
              </w:rPr>
            </w:pPr>
            <w:r>
              <w:rPr>
                <w:rFonts w:cs="Times New Roman"/>
                <w:sz w:val="20"/>
                <w:szCs w:val="20"/>
              </w:rPr>
              <w:t xml:space="preserve">894 </w:t>
            </w:r>
            <w:r w:rsidR="0095096B" w:rsidRPr="002E2327">
              <w:rPr>
                <w:rFonts w:cs="Times New Roman"/>
                <w:sz w:val="20"/>
                <w:szCs w:val="20"/>
              </w:rPr>
              <w:t>-</w:t>
            </w:r>
            <w:r w:rsidR="00873C4B">
              <w:rPr>
                <w:rFonts w:cs="Times New Roman"/>
                <w:sz w:val="20"/>
                <w:szCs w:val="20"/>
              </w:rPr>
              <w:t xml:space="preserve"> 898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73C4B" w:rsidP="0095096B">
            <w:pPr>
              <w:jc w:val="center"/>
              <w:rPr>
                <w:rFonts w:cs="Times New Roman"/>
                <w:sz w:val="20"/>
                <w:szCs w:val="20"/>
              </w:rPr>
            </w:pPr>
            <w:r>
              <w:rPr>
                <w:rFonts w:cs="Times New Roman"/>
                <w:sz w:val="20"/>
                <w:szCs w:val="20"/>
              </w:rPr>
              <w:t>899</w:t>
            </w:r>
          </w:p>
          <w:p w:rsidR="0095096B" w:rsidRDefault="0095096B" w:rsidP="0095096B">
            <w:pPr>
              <w:jc w:val="center"/>
              <w:rPr>
                <w:rFonts w:cs="Times New Roman"/>
                <w:sz w:val="20"/>
                <w:szCs w:val="20"/>
              </w:rPr>
            </w:pPr>
          </w:p>
          <w:p w:rsidR="00E576C5" w:rsidRPr="002E2327" w:rsidRDefault="00E576C5" w:rsidP="0095096B">
            <w:pPr>
              <w:jc w:val="center"/>
              <w:rPr>
                <w:rFonts w:cs="Times New Roman"/>
                <w:sz w:val="20"/>
                <w:szCs w:val="20"/>
              </w:rPr>
            </w:pPr>
          </w:p>
          <w:p w:rsidR="0095096B" w:rsidRPr="002E2327" w:rsidRDefault="00873C4B" w:rsidP="0095096B">
            <w:pPr>
              <w:jc w:val="center"/>
              <w:rPr>
                <w:rFonts w:cs="Times New Roman"/>
                <w:sz w:val="20"/>
                <w:szCs w:val="20"/>
              </w:rPr>
            </w:pPr>
            <w:r>
              <w:rPr>
                <w:rFonts w:cs="Times New Roman"/>
                <w:sz w:val="20"/>
                <w:szCs w:val="20"/>
              </w:rPr>
              <w:t xml:space="preserve">900 </w:t>
            </w:r>
            <w:r w:rsidR="0095096B" w:rsidRPr="002E2327">
              <w:rPr>
                <w:rFonts w:cs="Times New Roman"/>
                <w:sz w:val="20"/>
                <w:szCs w:val="20"/>
              </w:rPr>
              <w:t>-</w:t>
            </w:r>
            <w:r>
              <w:rPr>
                <w:rFonts w:cs="Times New Roman"/>
                <w:sz w:val="20"/>
                <w:szCs w:val="20"/>
              </w:rPr>
              <w:t xml:space="preserve"> 910</w:t>
            </w:r>
          </w:p>
          <w:p w:rsidR="00E8216E" w:rsidRPr="002E2327" w:rsidRDefault="00E8216E" w:rsidP="00744F78">
            <w:pPr>
              <w:jc w:val="center"/>
              <w:rPr>
                <w:rFonts w:cs="Times New Roman"/>
                <w:sz w:val="20"/>
                <w:szCs w:val="20"/>
              </w:rPr>
            </w:pPr>
          </w:p>
        </w:tc>
        <w:tc>
          <w:tcPr>
            <w:tcW w:w="3888" w:type="dxa"/>
          </w:tcPr>
          <w:p w:rsidR="0095096B" w:rsidRPr="002E2327" w:rsidRDefault="003172C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8216E">
            <w:pPr>
              <w:tabs>
                <w:tab w:val="right" w:pos="9360"/>
              </w:tabs>
              <w:rPr>
                <w:rFonts w:cs="Times New Roman"/>
                <w:sz w:val="20"/>
                <w:szCs w:val="20"/>
                <w:lang w:val="fr-CA"/>
              </w:rPr>
            </w:pPr>
          </w:p>
        </w:tc>
      </w:tr>
    </w:tbl>
    <w:p w:rsidR="0095096B" w:rsidRDefault="0095096B" w:rsidP="0095096B">
      <w:pPr>
        <w:tabs>
          <w:tab w:val="right" w:pos="9360"/>
        </w:tabs>
        <w:rPr>
          <w:sz w:val="20"/>
          <w:szCs w:val="20"/>
          <w:lang w:val="fr-CA"/>
        </w:rPr>
      </w:pPr>
    </w:p>
    <w:p w:rsidR="00E8216E" w:rsidRDefault="00E8216E" w:rsidP="0095096B">
      <w:pPr>
        <w:tabs>
          <w:tab w:val="right" w:pos="9360"/>
        </w:tabs>
        <w:rPr>
          <w:sz w:val="20"/>
          <w:szCs w:val="20"/>
          <w:lang w:val="fr-CA"/>
        </w:rPr>
      </w:pPr>
    </w:p>
    <w:p w:rsidR="00E8216E" w:rsidRDefault="00E8216E" w:rsidP="0095096B">
      <w:pPr>
        <w:tabs>
          <w:tab w:val="right" w:pos="9360"/>
        </w:tabs>
        <w:rPr>
          <w:sz w:val="20"/>
          <w:szCs w:val="20"/>
          <w:lang w:val="fr-CA"/>
        </w:rPr>
      </w:pPr>
    </w:p>
    <w:p w:rsidR="00E8216E" w:rsidRDefault="00E8216E" w:rsidP="0095096B">
      <w:pPr>
        <w:tabs>
          <w:tab w:val="right" w:pos="9360"/>
        </w:tabs>
        <w:rPr>
          <w:sz w:val="20"/>
          <w:szCs w:val="20"/>
          <w:lang w:val="fr-CA"/>
        </w:rPr>
      </w:pPr>
    </w:p>
    <w:p w:rsidR="00E8216E" w:rsidRPr="00E8216E" w:rsidRDefault="00E8216E"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F2768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BD4EFB" w:rsidP="005F1ED8">
            <w:pPr>
              <w:rPr>
                <w:b/>
                <w:sz w:val="20"/>
                <w:szCs w:val="20"/>
              </w:rPr>
            </w:pPr>
            <w:r>
              <w:rPr>
                <w:b/>
                <w:sz w:val="20"/>
                <w:szCs w:val="20"/>
              </w:rPr>
              <w:t>U.A.</w:t>
            </w:r>
            <w:r w:rsidR="00C21644">
              <w:rPr>
                <w:b/>
                <w:sz w:val="20"/>
                <w:szCs w:val="20"/>
              </w:rPr>
              <w:t>S</w:t>
            </w:r>
            <w:r>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D4EFB">
              <w:rPr>
                <w:sz w:val="20"/>
                <w:szCs w:val="20"/>
              </w:rPr>
              <w:t>U.A.</w:t>
            </w:r>
            <w:r>
              <w:rPr>
                <w:sz w:val="20"/>
                <w:szCs w:val="20"/>
              </w:rPr>
              <w:t xml:space="preserve">S. </w:t>
            </w:r>
          </w:p>
          <w:p w:rsidR="00C21644" w:rsidRPr="00C3299A" w:rsidRDefault="00C21644" w:rsidP="005F1ED8">
            <w:pPr>
              <w:tabs>
                <w:tab w:val="left" w:pos="-1440"/>
                <w:tab w:val="left" w:pos="-720"/>
              </w:tabs>
              <w:rPr>
                <w:sz w:val="20"/>
                <w:szCs w:val="20"/>
              </w:rPr>
            </w:pPr>
          </w:p>
          <w:p w:rsidR="00C21644" w:rsidRPr="00BD4EFB" w:rsidRDefault="00C21644" w:rsidP="005F1ED8">
            <w:pPr>
              <w:tabs>
                <w:tab w:val="left" w:pos="-1440"/>
                <w:tab w:val="left" w:pos="-720"/>
              </w:tabs>
              <w:rPr>
                <w:sz w:val="20"/>
                <w:szCs w:val="20"/>
              </w:rPr>
            </w:pPr>
            <w:r w:rsidRPr="00C3299A">
              <w:rPr>
                <w:sz w:val="20"/>
                <w:szCs w:val="20"/>
              </w:rPr>
              <w:tab/>
            </w:r>
            <w:r w:rsidRPr="00BD4EFB">
              <w:rPr>
                <w:sz w:val="20"/>
                <w:szCs w:val="20"/>
              </w:rPr>
              <w:t>v. (358</w:t>
            </w:r>
            <w:r w:rsidR="00BD4EFB" w:rsidRPr="00BD4EFB">
              <w:rPr>
                <w:sz w:val="20"/>
                <w:szCs w:val="20"/>
              </w:rPr>
              <w:t>24</w:t>
            </w:r>
            <w:r w:rsidRPr="00BD4EFB">
              <w:rPr>
                <w:sz w:val="20"/>
                <w:szCs w:val="20"/>
              </w:rPr>
              <w:t>)</w:t>
            </w:r>
          </w:p>
          <w:p w:rsidR="00C21644" w:rsidRPr="00BD4EFB" w:rsidRDefault="00C21644" w:rsidP="005F1ED8">
            <w:pPr>
              <w:tabs>
                <w:tab w:val="left" w:pos="-1440"/>
                <w:tab w:val="left" w:pos="-720"/>
              </w:tabs>
              <w:rPr>
                <w:sz w:val="20"/>
                <w:szCs w:val="20"/>
              </w:rPr>
            </w:pPr>
          </w:p>
          <w:p w:rsidR="00C21644" w:rsidRPr="00A935AA" w:rsidRDefault="00BD4EFB" w:rsidP="005F1ED8">
            <w:pPr>
              <w:tabs>
                <w:tab w:val="left" w:pos="-1440"/>
                <w:tab w:val="left" w:pos="-720"/>
              </w:tabs>
              <w:rPr>
                <w:b/>
                <w:sz w:val="20"/>
                <w:szCs w:val="20"/>
              </w:rPr>
            </w:pPr>
            <w:r w:rsidRPr="00BD4EFB">
              <w:rPr>
                <w:b/>
                <w:sz w:val="20"/>
                <w:szCs w:val="20"/>
              </w:rPr>
              <w:t>A</w:t>
            </w:r>
            <w:r w:rsidR="00C21644" w:rsidRPr="00BD4EFB">
              <w:rPr>
                <w:b/>
                <w:sz w:val="20"/>
                <w:szCs w:val="20"/>
              </w:rPr>
              <w:t>t</w:t>
            </w:r>
            <w:r w:rsidRPr="00BD4EFB">
              <w:rPr>
                <w:b/>
                <w:sz w:val="20"/>
                <w:szCs w:val="20"/>
              </w:rPr>
              <w:t>to</w:t>
            </w:r>
            <w:r w:rsidR="00C21644" w:rsidRPr="00BD4EFB">
              <w:rPr>
                <w:b/>
                <w:sz w:val="20"/>
                <w:szCs w:val="20"/>
              </w:rPr>
              <w:t>r</w:t>
            </w:r>
            <w:r w:rsidRPr="00BD4EFB">
              <w:rPr>
                <w:b/>
                <w:sz w:val="20"/>
                <w:szCs w:val="20"/>
              </w:rPr>
              <w:t>ney General of Canada on behalf of the United S</w:t>
            </w:r>
            <w:r w:rsidR="00C21644" w:rsidRPr="00BD4EFB">
              <w:rPr>
                <w:b/>
                <w:sz w:val="20"/>
                <w:szCs w:val="20"/>
              </w:rPr>
              <w:t>ta</w:t>
            </w:r>
            <w:r w:rsidRPr="00BD4EFB">
              <w:rPr>
                <w:b/>
                <w:sz w:val="20"/>
                <w:szCs w:val="20"/>
              </w:rPr>
              <w:t>tes of America</w:t>
            </w:r>
            <w:r w:rsidR="00C21644" w:rsidRPr="00BD4EFB">
              <w:rPr>
                <w:sz w:val="20"/>
                <w:szCs w:val="20"/>
              </w:rPr>
              <w:t xml:space="preserve">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Pr>
                <w:sz w:val="20"/>
                <w:szCs w:val="20"/>
              </w:rPr>
              <w:t>A</w:t>
            </w:r>
            <w:r w:rsidR="00BD4EFB">
              <w:rPr>
                <w:sz w:val="20"/>
                <w:szCs w:val="20"/>
              </w:rPr>
              <w:t>m</w:t>
            </w:r>
            <w:r>
              <w:rPr>
                <w:sz w:val="20"/>
                <w:szCs w:val="20"/>
              </w:rPr>
              <w:t>an</w:t>
            </w:r>
            <w:r w:rsidR="00BD4EFB">
              <w:rPr>
                <w:sz w:val="20"/>
                <w:szCs w:val="20"/>
              </w:rPr>
              <w:t>da Lord</w:t>
            </w:r>
          </w:p>
          <w:p w:rsidR="00C21644" w:rsidRPr="00A935AA" w:rsidRDefault="00C21644" w:rsidP="005F1ED8">
            <w:pPr>
              <w:tabs>
                <w:tab w:val="left" w:pos="-1440"/>
                <w:tab w:val="left" w:pos="-720"/>
              </w:tabs>
              <w:rPr>
                <w:sz w:val="20"/>
                <w:szCs w:val="20"/>
              </w:rPr>
            </w:pPr>
            <w:r w:rsidRPr="00A935AA">
              <w:rPr>
                <w:sz w:val="20"/>
                <w:szCs w:val="20"/>
              </w:rPr>
              <w:tab/>
            </w:r>
            <w:r w:rsidR="00BD4EFB">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BD4EFB">
              <w:rPr>
                <w:sz w:val="20"/>
                <w:szCs w:val="20"/>
              </w:rPr>
              <w:t>11</w:t>
            </w:r>
            <w:r w:rsidRPr="00A935AA">
              <w:rPr>
                <w:sz w:val="20"/>
                <w:szCs w:val="20"/>
              </w:rPr>
              <w:t>.</w:t>
            </w:r>
            <w:r w:rsidR="00BD4EFB">
              <w:rPr>
                <w:sz w:val="20"/>
                <w:szCs w:val="20"/>
              </w:rPr>
              <w:t>04</w:t>
            </w:r>
            <w:r w:rsidRPr="00A935AA">
              <w:rPr>
                <w:sz w:val="20"/>
                <w:szCs w:val="20"/>
              </w:rPr>
              <w:t>.201</w:t>
            </w:r>
            <w:r w:rsidR="00BD4EFB">
              <w:rPr>
                <w:sz w:val="20"/>
                <w:szCs w:val="20"/>
              </w:rPr>
              <w:t>4</w:t>
            </w:r>
          </w:p>
          <w:p w:rsidR="00C21644" w:rsidRPr="00A935AA" w:rsidRDefault="00F2768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D4EFB" w:rsidRDefault="00BD4EFB" w:rsidP="005F1ED8">
            <w:pPr>
              <w:keepNext/>
              <w:keepLines/>
              <w:tabs>
                <w:tab w:val="left" w:pos="-1440"/>
                <w:tab w:val="left" w:pos="-720"/>
              </w:tabs>
              <w:rPr>
                <w:b/>
                <w:sz w:val="20"/>
                <w:szCs w:val="20"/>
              </w:rPr>
            </w:pPr>
            <w:r w:rsidRPr="00BD4EFB">
              <w:rPr>
                <w:b/>
                <w:sz w:val="20"/>
                <w:szCs w:val="20"/>
              </w:rPr>
              <w:t>Tanya Sietzema</w:t>
            </w:r>
          </w:p>
          <w:p w:rsidR="00C21644" w:rsidRPr="00BD4EFB" w:rsidRDefault="00C21644" w:rsidP="005F1ED8">
            <w:pPr>
              <w:keepNext/>
              <w:keepLines/>
              <w:tabs>
                <w:tab w:val="left" w:pos="-1440"/>
                <w:tab w:val="left" w:pos="-720"/>
              </w:tabs>
              <w:rPr>
                <w:sz w:val="20"/>
                <w:szCs w:val="20"/>
              </w:rPr>
            </w:pPr>
            <w:r w:rsidRPr="00BD4EFB">
              <w:rPr>
                <w:sz w:val="20"/>
                <w:szCs w:val="20"/>
              </w:rPr>
              <w:tab/>
            </w:r>
            <w:r w:rsidR="00BD4EFB" w:rsidRPr="00BD4EFB">
              <w:rPr>
                <w:sz w:val="20"/>
                <w:szCs w:val="20"/>
              </w:rPr>
              <w:t>Jan</w:t>
            </w:r>
            <w:r w:rsidRPr="00BD4EFB">
              <w:rPr>
                <w:sz w:val="20"/>
                <w:szCs w:val="20"/>
              </w:rPr>
              <w:t>e Popr</w:t>
            </w:r>
            <w:r w:rsidR="00BD4EFB" w:rsidRPr="00BD4EFB">
              <w:rPr>
                <w:sz w:val="20"/>
                <w:szCs w:val="20"/>
              </w:rPr>
              <w:t>oski</w:t>
            </w:r>
          </w:p>
          <w:p w:rsidR="00C21644" w:rsidRPr="00BD4EFB" w:rsidRDefault="00C21644" w:rsidP="005F1ED8">
            <w:pPr>
              <w:keepNext/>
              <w:keepLines/>
              <w:tabs>
                <w:tab w:val="left" w:pos="-1440"/>
                <w:tab w:val="left" w:pos="-720"/>
              </w:tabs>
              <w:rPr>
                <w:sz w:val="20"/>
                <w:szCs w:val="20"/>
              </w:rPr>
            </w:pPr>
            <w:r w:rsidRPr="00BD4EFB">
              <w:rPr>
                <w:sz w:val="20"/>
                <w:szCs w:val="20"/>
              </w:rPr>
              <w:tab/>
            </w:r>
            <w:r w:rsidR="00BD4EFB" w:rsidRPr="00BD4EFB">
              <w:rPr>
                <w:sz w:val="20"/>
                <w:szCs w:val="20"/>
              </w:rPr>
              <w:t>Ferr</w:t>
            </w:r>
            <w:r w:rsidRPr="00BD4EFB">
              <w:rPr>
                <w:sz w:val="20"/>
                <w:szCs w:val="20"/>
              </w:rPr>
              <w:t>o</w:t>
            </w:r>
            <w:r w:rsidR="00BD4EFB" w:rsidRPr="00BD4EFB">
              <w:rPr>
                <w:sz w:val="20"/>
                <w:szCs w:val="20"/>
              </w:rPr>
              <w:t xml:space="preserve"> &amp; Com</w:t>
            </w:r>
            <w:r w:rsidRPr="00BD4EFB">
              <w:rPr>
                <w:sz w:val="20"/>
                <w:szCs w:val="20"/>
              </w:rPr>
              <w:t>pa</w:t>
            </w:r>
            <w:r w:rsidR="00BD4EFB" w:rsidRPr="00BD4EFB">
              <w:rPr>
                <w:sz w:val="20"/>
                <w:szCs w:val="20"/>
              </w:rPr>
              <w:t>ny</w:t>
            </w:r>
          </w:p>
          <w:p w:rsidR="00C21644" w:rsidRPr="00BD4EFB" w:rsidRDefault="00C21644" w:rsidP="005F1ED8">
            <w:pPr>
              <w:keepNext/>
              <w:keepLines/>
              <w:tabs>
                <w:tab w:val="left" w:pos="-1440"/>
                <w:tab w:val="left" w:pos="-720"/>
              </w:tabs>
              <w:rPr>
                <w:sz w:val="20"/>
                <w:szCs w:val="20"/>
              </w:rPr>
            </w:pPr>
          </w:p>
          <w:p w:rsidR="00C21644" w:rsidRPr="00BD4EFB" w:rsidRDefault="00C21644" w:rsidP="005F1ED8">
            <w:pPr>
              <w:keepNext/>
              <w:keepLines/>
              <w:tabs>
                <w:tab w:val="left" w:pos="-1440"/>
                <w:tab w:val="left" w:pos="-720"/>
              </w:tabs>
              <w:rPr>
                <w:sz w:val="20"/>
                <w:szCs w:val="20"/>
              </w:rPr>
            </w:pPr>
            <w:r w:rsidRPr="00BD4EFB">
              <w:rPr>
                <w:sz w:val="20"/>
                <w:szCs w:val="20"/>
              </w:rPr>
              <w:tab/>
            </w:r>
            <w:r w:rsidR="00BD4EFB" w:rsidRPr="00BD4EFB">
              <w:rPr>
                <w:sz w:val="20"/>
                <w:szCs w:val="20"/>
              </w:rPr>
              <w:t>v</w:t>
            </w:r>
            <w:r w:rsidRPr="00BD4EFB">
              <w:rPr>
                <w:sz w:val="20"/>
                <w:szCs w:val="20"/>
              </w:rPr>
              <w:t>. (35</w:t>
            </w:r>
            <w:r w:rsidR="00BD4EFB" w:rsidRPr="00BD4EFB">
              <w:rPr>
                <w:sz w:val="20"/>
                <w:szCs w:val="20"/>
              </w:rPr>
              <w:t>82</w:t>
            </w:r>
            <w:r w:rsidRPr="00BD4EFB">
              <w:rPr>
                <w:sz w:val="20"/>
                <w:szCs w:val="20"/>
              </w:rPr>
              <w:t>5)</w:t>
            </w:r>
          </w:p>
          <w:p w:rsidR="00C21644" w:rsidRPr="00BD4EFB" w:rsidRDefault="00C21644" w:rsidP="005F1ED8">
            <w:pPr>
              <w:keepNext/>
              <w:keepLines/>
              <w:tabs>
                <w:tab w:val="left" w:pos="-1440"/>
                <w:tab w:val="left" w:pos="-720"/>
              </w:tabs>
              <w:rPr>
                <w:sz w:val="20"/>
                <w:szCs w:val="20"/>
              </w:rPr>
            </w:pPr>
          </w:p>
          <w:p w:rsidR="00C21644" w:rsidRPr="00BD4EFB" w:rsidRDefault="00BD4EFB" w:rsidP="005F1ED8">
            <w:pPr>
              <w:keepNext/>
              <w:keepLines/>
              <w:tabs>
                <w:tab w:val="left" w:pos="-1440"/>
                <w:tab w:val="left" w:pos="-720"/>
              </w:tabs>
              <w:rPr>
                <w:b/>
                <w:sz w:val="20"/>
                <w:szCs w:val="20"/>
              </w:rPr>
            </w:pPr>
            <w:r w:rsidRPr="00BD4EFB">
              <w:rPr>
                <w:b/>
                <w:sz w:val="20"/>
                <w:szCs w:val="20"/>
              </w:rPr>
              <w:t>Economical Mutu</w:t>
            </w:r>
            <w:r w:rsidR="00C21644" w:rsidRPr="00BD4EFB">
              <w:rPr>
                <w:b/>
                <w:sz w:val="20"/>
                <w:szCs w:val="20"/>
              </w:rPr>
              <w:t>a</w:t>
            </w:r>
            <w:r w:rsidRPr="00BD4EFB">
              <w:rPr>
                <w:b/>
                <w:sz w:val="20"/>
                <w:szCs w:val="20"/>
              </w:rPr>
              <w:t>l In</w:t>
            </w:r>
            <w:r w:rsidR="00C21644" w:rsidRPr="00BD4EFB">
              <w:rPr>
                <w:b/>
                <w:sz w:val="20"/>
                <w:szCs w:val="20"/>
              </w:rPr>
              <w:t>s</w:t>
            </w:r>
            <w:r w:rsidRPr="00BD4EFB">
              <w:rPr>
                <w:b/>
                <w:sz w:val="20"/>
                <w:szCs w:val="20"/>
              </w:rPr>
              <w:t>ur</w:t>
            </w:r>
            <w:r w:rsidR="00C21644" w:rsidRPr="00BD4EFB">
              <w:rPr>
                <w:b/>
                <w:sz w:val="20"/>
                <w:szCs w:val="20"/>
              </w:rPr>
              <w:t>an</w:t>
            </w:r>
            <w:r w:rsidRPr="00BD4EFB">
              <w:rPr>
                <w:b/>
                <w:sz w:val="20"/>
                <w:szCs w:val="20"/>
              </w:rPr>
              <w:t>c</w:t>
            </w:r>
            <w:r w:rsidR="00C21644" w:rsidRPr="00BD4EFB">
              <w:rPr>
                <w:b/>
                <w:sz w:val="20"/>
                <w:szCs w:val="20"/>
              </w:rPr>
              <w:t>e</w:t>
            </w:r>
            <w:r w:rsidRPr="00BD4EFB">
              <w:rPr>
                <w:b/>
                <w:sz w:val="20"/>
                <w:szCs w:val="20"/>
              </w:rPr>
              <w:t xml:space="preserve"> Company</w:t>
            </w:r>
            <w:r w:rsidR="00C21644" w:rsidRPr="00BD4EFB">
              <w:rPr>
                <w:b/>
                <w:sz w:val="20"/>
                <w:szCs w:val="20"/>
              </w:rPr>
              <w:t xml:space="preserve"> (</w:t>
            </w:r>
            <w:r w:rsidRPr="00BD4EFB">
              <w:rPr>
                <w:b/>
                <w:sz w:val="20"/>
                <w:szCs w:val="20"/>
              </w:rPr>
              <w:t>Ont.</w:t>
            </w:r>
            <w:r w:rsidR="00C21644" w:rsidRPr="00BD4EFB">
              <w:rPr>
                <w:b/>
                <w:sz w:val="20"/>
                <w:szCs w:val="20"/>
              </w:rPr>
              <w:t>)</w:t>
            </w:r>
          </w:p>
          <w:p w:rsidR="00C21644" w:rsidRPr="00BD4EFB" w:rsidRDefault="00C21644" w:rsidP="005F1ED8">
            <w:pPr>
              <w:keepNext/>
              <w:keepLines/>
              <w:tabs>
                <w:tab w:val="left" w:pos="-1440"/>
                <w:tab w:val="left" w:pos="-720"/>
              </w:tabs>
              <w:rPr>
                <w:sz w:val="20"/>
                <w:szCs w:val="20"/>
              </w:rPr>
            </w:pPr>
            <w:r w:rsidRPr="00BD4EFB">
              <w:rPr>
                <w:sz w:val="20"/>
                <w:szCs w:val="20"/>
              </w:rPr>
              <w:tab/>
            </w:r>
            <w:r w:rsidR="00BD4EFB">
              <w:rPr>
                <w:sz w:val="20"/>
                <w:szCs w:val="20"/>
              </w:rPr>
              <w:t>L</w:t>
            </w:r>
            <w:r w:rsidRPr="00BD4EFB">
              <w:rPr>
                <w:sz w:val="20"/>
                <w:szCs w:val="20"/>
              </w:rPr>
              <w:t>i</w:t>
            </w:r>
            <w:r w:rsidR="00BD4EFB" w:rsidRPr="00BD4EFB">
              <w:rPr>
                <w:sz w:val="20"/>
                <w:szCs w:val="20"/>
              </w:rPr>
              <w:t>sa Armstr</w:t>
            </w:r>
            <w:r w:rsidRPr="00BD4EFB">
              <w:rPr>
                <w:sz w:val="20"/>
                <w:szCs w:val="20"/>
              </w:rPr>
              <w:t>o</w:t>
            </w:r>
            <w:r w:rsidR="00BD4EFB" w:rsidRPr="00BD4EFB">
              <w:rPr>
                <w:sz w:val="20"/>
                <w:szCs w:val="20"/>
              </w:rPr>
              <w:t>ng</w:t>
            </w:r>
          </w:p>
          <w:p w:rsidR="00C21644" w:rsidRPr="00BD4EFB" w:rsidRDefault="00C21644" w:rsidP="005F1ED8">
            <w:pPr>
              <w:keepNext/>
              <w:keepLines/>
              <w:tabs>
                <w:tab w:val="left" w:pos="-1440"/>
                <w:tab w:val="left" w:pos="-720"/>
              </w:tabs>
              <w:rPr>
                <w:sz w:val="20"/>
                <w:szCs w:val="20"/>
              </w:rPr>
            </w:pPr>
            <w:r w:rsidRPr="00BD4EFB">
              <w:rPr>
                <w:sz w:val="20"/>
                <w:szCs w:val="20"/>
              </w:rPr>
              <w:tab/>
            </w:r>
            <w:r w:rsidR="00BD4EFB" w:rsidRPr="00BD4EFB">
              <w:rPr>
                <w:sz w:val="20"/>
                <w:szCs w:val="20"/>
              </w:rPr>
              <w:t>Sam</w:t>
            </w:r>
            <w:r w:rsidRPr="00BD4EFB">
              <w:rPr>
                <w:sz w:val="20"/>
                <w:szCs w:val="20"/>
              </w:rPr>
              <w:t xml:space="preserve">is </w:t>
            </w:r>
            <w:r w:rsidR="00BD4EFB" w:rsidRPr="00BD4EFB">
              <w:rPr>
                <w:sz w:val="20"/>
                <w:szCs w:val="20"/>
              </w:rPr>
              <w:t>&amp; Co</w:t>
            </w:r>
            <w:r w:rsidRPr="00BD4EFB">
              <w:rPr>
                <w:sz w:val="20"/>
                <w:szCs w:val="20"/>
              </w:rPr>
              <w:t>mpa</w:t>
            </w:r>
            <w:r w:rsidR="00BD4EFB" w:rsidRPr="00BD4EFB">
              <w:rPr>
                <w:sz w:val="20"/>
                <w:szCs w:val="20"/>
              </w:rPr>
              <w:t>ny</w:t>
            </w:r>
          </w:p>
          <w:p w:rsidR="00C21644" w:rsidRPr="00BD4EFB" w:rsidRDefault="00C21644" w:rsidP="005F1ED8">
            <w:pPr>
              <w:keepNext/>
              <w:keepLines/>
              <w:tabs>
                <w:tab w:val="left" w:pos="-1440"/>
                <w:tab w:val="left" w:pos="-720"/>
              </w:tabs>
              <w:rPr>
                <w:sz w:val="20"/>
                <w:szCs w:val="20"/>
              </w:rPr>
            </w:pPr>
          </w:p>
          <w:p w:rsidR="00C21644" w:rsidRPr="00BD4EFB" w:rsidRDefault="00BD4EFB" w:rsidP="00BD4EFB">
            <w:pPr>
              <w:rPr>
                <w:sz w:val="20"/>
                <w:szCs w:val="20"/>
              </w:rPr>
            </w:pPr>
            <w:r w:rsidRPr="00BD4EFB">
              <w:rPr>
                <w:sz w:val="20"/>
                <w:szCs w:val="20"/>
              </w:rPr>
              <w:t xml:space="preserve">FILING </w:t>
            </w:r>
            <w:r w:rsidR="00C21644" w:rsidRPr="00BD4EFB">
              <w:rPr>
                <w:sz w:val="20"/>
                <w:szCs w:val="20"/>
              </w:rPr>
              <w:t>DATE</w:t>
            </w:r>
            <w:r w:rsidRPr="00BD4EFB">
              <w:rPr>
                <w:sz w:val="20"/>
                <w:szCs w:val="20"/>
              </w:rPr>
              <w:t>:</w:t>
            </w:r>
            <w:r w:rsidR="00C21644" w:rsidRPr="00BD4EFB">
              <w:rPr>
                <w:sz w:val="20"/>
                <w:szCs w:val="20"/>
              </w:rPr>
              <w:t xml:space="preserve"> 1</w:t>
            </w:r>
            <w:r w:rsidRPr="00BD4EFB">
              <w:rPr>
                <w:sz w:val="20"/>
                <w:szCs w:val="20"/>
              </w:rPr>
              <w:t>1</w:t>
            </w:r>
            <w:r w:rsidR="00C21644" w:rsidRPr="00BD4EFB">
              <w:rPr>
                <w:sz w:val="20"/>
                <w:szCs w:val="20"/>
              </w:rPr>
              <w:t>.0</w:t>
            </w:r>
            <w:r w:rsidRPr="00BD4EFB">
              <w:rPr>
                <w:sz w:val="20"/>
                <w:szCs w:val="20"/>
              </w:rPr>
              <w:t>4</w:t>
            </w:r>
            <w:r w:rsidR="00C21644" w:rsidRPr="00BD4EFB">
              <w:rPr>
                <w:sz w:val="20"/>
                <w:szCs w:val="20"/>
              </w:rPr>
              <w:t>.2014</w:t>
            </w:r>
            <w:r w:rsidR="00F2768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8D6F14" w:rsidRDefault="00FA68AD" w:rsidP="003B3977">
            <w:pPr>
              <w:rPr>
                <w:b/>
                <w:sz w:val="20"/>
                <w:szCs w:val="20"/>
                <w:lang w:val="fr-CA"/>
              </w:rPr>
            </w:pPr>
            <w:r w:rsidRPr="008D6F14">
              <w:rPr>
                <w:b/>
                <w:sz w:val="20"/>
                <w:szCs w:val="20"/>
                <w:lang w:val="fr-CA"/>
              </w:rPr>
              <w:t>N.R.</w:t>
            </w:r>
          </w:p>
          <w:p w:rsidR="00C21644" w:rsidRPr="008D6F14" w:rsidRDefault="00C21644" w:rsidP="003B3977">
            <w:pPr>
              <w:tabs>
                <w:tab w:val="left" w:pos="-1440"/>
                <w:tab w:val="left" w:pos="-720"/>
              </w:tabs>
              <w:rPr>
                <w:sz w:val="20"/>
                <w:szCs w:val="20"/>
                <w:lang w:val="fr-CA"/>
              </w:rPr>
            </w:pPr>
            <w:r w:rsidRPr="008D6F14">
              <w:rPr>
                <w:sz w:val="20"/>
                <w:szCs w:val="20"/>
                <w:lang w:val="fr-CA"/>
              </w:rPr>
              <w:tab/>
            </w:r>
            <w:r w:rsidR="00FA68AD" w:rsidRPr="008D6F14">
              <w:rPr>
                <w:sz w:val="20"/>
                <w:szCs w:val="20"/>
                <w:lang w:val="fr-CA"/>
              </w:rPr>
              <w:t>N.R.</w:t>
            </w:r>
          </w:p>
          <w:p w:rsidR="00C21644" w:rsidRPr="008D6F14" w:rsidRDefault="00C21644" w:rsidP="003B3977">
            <w:pPr>
              <w:tabs>
                <w:tab w:val="left" w:pos="-1440"/>
                <w:tab w:val="left" w:pos="-720"/>
              </w:tabs>
              <w:rPr>
                <w:sz w:val="20"/>
                <w:szCs w:val="20"/>
                <w:lang w:val="fr-CA"/>
              </w:rPr>
            </w:pPr>
          </w:p>
          <w:p w:rsidR="00C21644" w:rsidRPr="008D6F14" w:rsidRDefault="00C21644" w:rsidP="003B3977">
            <w:pPr>
              <w:tabs>
                <w:tab w:val="left" w:pos="-1440"/>
                <w:tab w:val="left" w:pos="-720"/>
              </w:tabs>
              <w:rPr>
                <w:sz w:val="20"/>
                <w:szCs w:val="20"/>
                <w:lang w:val="fr-CA"/>
              </w:rPr>
            </w:pPr>
            <w:r w:rsidRPr="008D6F14">
              <w:rPr>
                <w:sz w:val="20"/>
                <w:szCs w:val="20"/>
                <w:lang w:val="fr-CA"/>
              </w:rPr>
              <w:tab/>
              <w:t>v. (35</w:t>
            </w:r>
            <w:r w:rsidR="00BD4EFB" w:rsidRPr="008D6F14">
              <w:rPr>
                <w:sz w:val="20"/>
                <w:szCs w:val="20"/>
                <w:lang w:val="fr-CA"/>
              </w:rPr>
              <w:t>848</w:t>
            </w:r>
            <w:r w:rsidRPr="008D6F14">
              <w:rPr>
                <w:sz w:val="20"/>
                <w:szCs w:val="20"/>
                <w:lang w:val="fr-CA"/>
              </w:rPr>
              <w:t>)</w:t>
            </w:r>
          </w:p>
          <w:p w:rsidR="00C21644" w:rsidRPr="008D6F14" w:rsidRDefault="00C21644" w:rsidP="003B3977">
            <w:pPr>
              <w:tabs>
                <w:tab w:val="left" w:pos="-1440"/>
                <w:tab w:val="left" w:pos="-720"/>
              </w:tabs>
              <w:rPr>
                <w:sz w:val="20"/>
                <w:szCs w:val="20"/>
                <w:lang w:val="fr-CA"/>
              </w:rPr>
            </w:pPr>
          </w:p>
          <w:p w:rsidR="00C21644" w:rsidRPr="008D6F14" w:rsidRDefault="00BD4EFB" w:rsidP="003B3977">
            <w:pPr>
              <w:tabs>
                <w:tab w:val="left" w:pos="-1440"/>
                <w:tab w:val="left" w:pos="-720"/>
              </w:tabs>
              <w:rPr>
                <w:b/>
                <w:sz w:val="20"/>
                <w:szCs w:val="20"/>
                <w:lang w:val="fr-CA"/>
              </w:rPr>
            </w:pPr>
            <w:r w:rsidRPr="008D6F14">
              <w:rPr>
                <w:b/>
                <w:sz w:val="20"/>
                <w:szCs w:val="20"/>
                <w:lang w:val="fr-CA"/>
              </w:rPr>
              <w:t xml:space="preserve">St. Michael’s Hospital et al. </w:t>
            </w:r>
            <w:r w:rsidR="00C21644" w:rsidRPr="008D6F14">
              <w:rPr>
                <w:b/>
                <w:sz w:val="20"/>
                <w:szCs w:val="20"/>
                <w:lang w:val="fr-CA"/>
              </w:rPr>
              <w:t>(Ont.)</w:t>
            </w:r>
          </w:p>
          <w:p w:rsidR="00C21644" w:rsidRPr="00A935AA" w:rsidRDefault="00C21644" w:rsidP="003B3977">
            <w:pPr>
              <w:tabs>
                <w:tab w:val="left" w:pos="-1440"/>
                <w:tab w:val="left" w:pos="-720"/>
              </w:tabs>
              <w:rPr>
                <w:sz w:val="20"/>
                <w:szCs w:val="20"/>
              </w:rPr>
            </w:pPr>
            <w:r w:rsidRPr="008D6F14">
              <w:rPr>
                <w:sz w:val="20"/>
                <w:szCs w:val="20"/>
                <w:lang w:val="fr-CA"/>
              </w:rPr>
              <w:tab/>
            </w:r>
            <w:r w:rsidR="00BD4EFB">
              <w:rPr>
                <w:sz w:val="20"/>
                <w:szCs w:val="20"/>
              </w:rPr>
              <w:t>Jonathan Gutman</w:t>
            </w:r>
          </w:p>
          <w:p w:rsidR="00C21644" w:rsidRPr="00A935AA" w:rsidRDefault="00C21644" w:rsidP="003B3977">
            <w:pPr>
              <w:tabs>
                <w:tab w:val="left" w:pos="-1440"/>
                <w:tab w:val="left" w:pos="-720"/>
              </w:tabs>
              <w:rPr>
                <w:sz w:val="20"/>
                <w:szCs w:val="20"/>
              </w:rPr>
            </w:pPr>
            <w:r w:rsidRPr="00A935AA">
              <w:rPr>
                <w:sz w:val="20"/>
                <w:szCs w:val="20"/>
              </w:rPr>
              <w:tab/>
            </w:r>
            <w:r w:rsidR="00BD4EFB">
              <w:rPr>
                <w:sz w:val="20"/>
                <w:szCs w:val="20"/>
              </w:rPr>
              <w:t xml:space="preserve">Healthcare Insurance Reciprocal of </w:t>
            </w:r>
            <w:r w:rsidR="00BD4EFB">
              <w:rPr>
                <w:sz w:val="20"/>
                <w:szCs w:val="20"/>
              </w:rPr>
              <w:tab/>
              <w:t>Canada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136639">
              <w:rPr>
                <w:sz w:val="20"/>
                <w:szCs w:val="20"/>
              </w:rPr>
              <w:t>15</w:t>
            </w:r>
            <w:r w:rsidRPr="00A935AA">
              <w:rPr>
                <w:sz w:val="20"/>
                <w:szCs w:val="20"/>
              </w:rPr>
              <w:t>.0</w:t>
            </w:r>
            <w:r w:rsidR="00136639">
              <w:rPr>
                <w:sz w:val="20"/>
                <w:szCs w:val="20"/>
              </w:rPr>
              <w:t>4</w:t>
            </w:r>
            <w:r w:rsidRPr="00A935AA">
              <w:rPr>
                <w:sz w:val="20"/>
                <w:szCs w:val="20"/>
              </w:rPr>
              <w:t>.201</w:t>
            </w:r>
            <w:r>
              <w:rPr>
                <w:sz w:val="20"/>
                <w:szCs w:val="20"/>
              </w:rPr>
              <w:t>4</w:t>
            </w:r>
          </w:p>
          <w:p w:rsidR="00C21644" w:rsidRPr="00A935AA" w:rsidRDefault="00F27688"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D4EFB" w:rsidRDefault="00136639" w:rsidP="003B3977">
            <w:pPr>
              <w:keepNext/>
              <w:keepLines/>
              <w:tabs>
                <w:tab w:val="left" w:pos="-1440"/>
                <w:tab w:val="left" w:pos="-720"/>
              </w:tabs>
              <w:rPr>
                <w:b/>
                <w:sz w:val="20"/>
                <w:szCs w:val="20"/>
              </w:rPr>
            </w:pPr>
            <w:r>
              <w:rPr>
                <w:b/>
                <w:sz w:val="20"/>
                <w:szCs w:val="20"/>
              </w:rPr>
              <w:t>N.R.</w:t>
            </w:r>
          </w:p>
          <w:p w:rsidR="00C21644" w:rsidRPr="00BD4EFB" w:rsidRDefault="00C21644" w:rsidP="003B3977">
            <w:pPr>
              <w:keepNext/>
              <w:keepLines/>
              <w:tabs>
                <w:tab w:val="left" w:pos="-1440"/>
                <w:tab w:val="left" w:pos="-720"/>
              </w:tabs>
              <w:rPr>
                <w:sz w:val="20"/>
                <w:szCs w:val="20"/>
              </w:rPr>
            </w:pPr>
            <w:r w:rsidRPr="00BD4EFB">
              <w:rPr>
                <w:sz w:val="20"/>
                <w:szCs w:val="20"/>
              </w:rPr>
              <w:tab/>
            </w:r>
            <w:r w:rsidR="00136639">
              <w:rPr>
                <w:sz w:val="20"/>
                <w:szCs w:val="20"/>
              </w:rPr>
              <w:t>N.R.</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136639">
              <w:rPr>
                <w:sz w:val="20"/>
                <w:szCs w:val="20"/>
              </w:rPr>
              <w:t>849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136639" w:rsidRDefault="00136639" w:rsidP="003B3977">
            <w:pPr>
              <w:keepNext/>
              <w:keepLines/>
              <w:tabs>
                <w:tab w:val="left" w:pos="-1440"/>
                <w:tab w:val="left" w:pos="-720"/>
              </w:tabs>
              <w:rPr>
                <w:b/>
                <w:sz w:val="20"/>
                <w:szCs w:val="20"/>
                <w:lang w:val="fr-CA"/>
              </w:rPr>
            </w:pPr>
            <w:r>
              <w:rPr>
                <w:b/>
                <w:sz w:val="20"/>
                <w:szCs w:val="20"/>
              </w:rPr>
              <w:t xml:space="preserve">Children’s Aid Society of Toronto et al. </w:t>
            </w:r>
            <w:r w:rsidR="00C21644" w:rsidRPr="00136639">
              <w:rPr>
                <w:b/>
                <w:sz w:val="20"/>
                <w:szCs w:val="20"/>
                <w:lang w:val="fr-CA"/>
              </w:rPr>
              <w:t>(</w:t>
            </w:r>
            <w:r w:rsidRPr="00136639">
              <w:rPr>
                <w:b/>
                <w:sz w:val="20"/>
                <w:szCs w:val="20"/>
                <w:lang w:val="fr-CA"/>
              </w:rPr>
              <w:t>Ont</w:t>
            </w:r>
            <w:r w:rsidR="00C21644" w:rsidRPr="00136639">
              <w:rPr>
                <w:b/>
                <w:sz w:val="20"/>
                <w:szCs w:val="20"/>
                <w:lang w:val="fr-CA"/>
              </w:rPr>
              <w:t>.)</w:t>
            </w:r>
          </w:p>
          <w:p w:rsidR="00C21644" w:rsidRPr="00136639" w:rsidRDefault="00C21644" w:rsidP="003B3977">
            <w:pPr>
              <w:keepNext/>
              <w:keepLines/>
              <w:tabs>
                <w:tab w:val="left" w:pos="-1440"/>
                <w:tab w:val="left" w:pos="-720"/>
              </w:tabs>
              <w:rPr>
                <w:sz w:val="20"/>
                <w:szCs w:val="20"/>
                <w:lang w:val="fr-CA"/>
              </w:rPr>
            </w:pPr>
            <w:r w:rsidRPr="00136639">
              <w:rPr>
                <w:sz w:val="20"/>
                <w:szCs w:val="20"/>
                <w:lang w:val="fr-CA"/>
              </w:rPr>
              <w:tab/>
            </w:r>
            <w:r w:rsidR="00136639" w:rsidRPr="00136639">
              <w:rPr>
                <w:sz w:val="20"/>
                <w:szCs w:val="20"/>
                <w:lang w:val="fr-CA"/>
              </w:rPr>
              <w:t>James Dakin</w:t>
            </w:r>
          </w:p>
          <w:p w:rsidR="00C21644" w:rsidRPr="00136639" w:rsidRDefault="00C21644" w:rsidP="003B3977">
            <w:pPr>
              <w:keepNext/>
              <w:keepLines/>
              <w:tabs>
                <w:tab w:val="left" w:pos="-1440"/>
                <w:tab w:val="left" w:pos="-720"/>
              </w:tabs>
              <w:rPr>
                <w:sz w:val="20"/>
                <w:szCs w:val="20"/>
                <w:lang w:val="fr-CA"/>
              </w:rPr>
            </w:pPr>
            <w:r w:rsidRPr="00136639">
              <w:rPr>
                <w:sz w:val="20"/>
                <w:szCs w:val="20"/>
                <w:lang w:val="fr-CA"/>
              </w:rPr>
              <w:tab/>
            </w:r>
            <w:r w:rsidR="00136639" w:rsidRPr="00136639">
              <w:rPr>
                <w:sz w:val="20"/>
                <w:szCs w:val="20"/>
                <w:lang w:val="fr-CA"/>
              </w:rPr>
              <w:t>Smockum Zarnett LLP</w:t>
            </w:r>
          </w:p>
          <w:p w:rsidR="00C21644" w:rsidRPr="00136639" w:rsidRDefault="00C21644" w:rsidP="003B3977">
            <w:pPr>
              <w:keepNext/>
              <w:keepLines/>
              <w:tabs>
                <w:tab w:val="left" w:pos="-1440"/>
                <w:tab w:val="left" w:pos="-720"/>
              </w:tabs>
              <w:rPr>
                <w:sz w:val="20"/>
                <w:szCs w:val="20"/>
                <w:lang w:val="fr-CA"/>
              </w:rPr>
            </w:pPr>
          </w:p>
          <w:p w:rsidR="00136639" w:rsidRPr="00A935AA" w:rsidRDefault="00136639" w:rsidP="00136639">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4</w:t>
            </w:r>
            <w:r w:rsidRPr="00A935AA">
              <w:rPr>
                <w:sz w:val="20"/>
                <w:szCs w:val="20"/>
              </w:rPr>
              <w:t>.201</w:t>
            </w:r>
            <w:r>
              <w:rPr>
                <w:sz w:val="20"/>
                <w:szCs w:val="20"/>
              </w:rPr>
              <w:t>4</w:t>
            </w:r>
          </w:p>
          <w:p w:rsidR="00C21644" w:rsidRPr="00A935AA" w:rsidRDefault="00F27688"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136639" w:rsidTr="003B3977">
        <w:tc>
          <w:tcPr>
            <w:tcW w:w="4320" w:type="dxa"/>
            <w:shd w:val="clear" w:color="auto" w:fill="auto"/>
          </w:tcPr>
          <w:p w:rsidR="00C21644" w:rsidRDefault="00C21644" w:rsidP="005F1ED8">
            <w:pPr>
              <w:rPr>
                <w:b/>
                <w:sz w:val="20"/>
                <w:szCs w:val="20"/>
              </w:rPr>
            </w:pPr>
          </w:p>
          <w:p w:rsidR="00136639" w:rsidRPr="008D6F14" w:rsidRDefault="00136639" w:rsidP="005F1ED8">
            <w:pPr>
              <w:rPr>
                <w:b/>
                <w:sz w:val="20"/>
                <w:szCs w:val="20"/>
                <w:lang w:val="fr-CA"/>
              </w:rPr>
            </w:pPr>
            <w:r w:rsidRPr="008D6F14">
              <w:rPr>
                <w:b/>
                <w:sz w:val="20"/>
                <w:szCs w:val="20"/>
                <w:lang w:val="fr-CA"/>
              </w:rPr>
              <w:t>N</w:t>
            </w:r>
            <w:r w:rsidR="00FA68AD" w:rsidRPr="008D6F14">
              <w:rPr>
                <w:b/>
                <w:sz w:val="20"/>
                <w:szCs w:val="20"/>
                <w:lang w:val="fr-CA"/>
              </w:rPr>
              <w:t>.R.</w:t>
            </w:r>
          </w:p>
          <w:p w:rsidR="00C21644" w:rsidRPr="008D6F14" w:rsidRDefault="00C21644" w:rsidP="005F1ED8">
            <w:pPr>
              <w:tabs>
                <w:tab w:val="left" w:pos="-1440"/>
                <w:tab w:val="left" w:pos="-720"/>
              </w:tabs>
              <w:rPr>
                <w:sz w:val="20"/>
                <w:szCs w:val="20"/>
                <w:lang w:val="fr-CA"/>
              </w:rPr>
            </w:pPr>
            <w:r w:rsidRPr="008D6F14">
              <w:rPr>
                <w:sz w:val="20"/>
                <w:szCs w:val="20"/>
                <w:lang w:val="fr-CA"/>
              </w:rPr>
              <w:tab/>
            </w:r>
            <w:r w:rsidR="00136639" w:rsidRPr="008D6F14">
              <w:rPr>
                <w:sz w:val="20"/>
                <w:szCs w:val="20"/>
                <w:lang w:val="fr-CA"/>
              </w:rPr>
              <w:t>N</w:t>
            </w:r>
            <w:r w:rsidR="00FA68AD" w:rsidRPr="008D6F14">
              <w:rPr>
                <w:sz w:val="20"/>
                <w:szCs w:val="20"/>
                <w:lang w:val="fr-CA"/>
              </w:rPr>
              <w:t>.R.</w:t>
            </w:r>
          </w:p>
          <w:p w:rsidR="00C21644" w:rsidRPr="008D6F14" w:rsidRDefault="00C21644" w:rsidP="005F1ED8">
            <w:pPr>
              <w:tabs>
                <w:tab w:val="left" w:pos="-1440"/>
                <w:tab w:val="left" w:pos="-720"/>
              </w:tabs>
              <w:rPr>
                <w:sz w:val="20"/>
                <w:szCs w:val="20"/>
                <w:lang w:val="fr-CA"/>
              </w:rPr>
            </w:pPr>
          </w:p>
          <w:p w:rsidR="00C21644" w:rsidRPr="008D6F14" w:rsidRDefault="00C21644" w:rsidP="005F1ED8">
            <w:pPr>
              <w:tabs>
                <w:tab w:val="left" w:pos="-1440"/>
                <w:tab w:val="left" w:pos="-720"/>
              </w:tabs>
              <w:rPr>
                <w:sz w:val="20"/>
                <w:szCs w:val="20"/>
                <w:lang w:val="fr-CA"/>
              </w:rPr>
            </w:pPr>
            <w:r w:rsidRPr="008D6F14">
              <w:rPr>
                <w:sz w:val="20"/>
                <w:szCs w:val="20"/>
                <w:lang w:val="fr-CA"/>
              </w:rPr>
              <w:tab/>
              <w:t>v. (35</w:t>
            </w:r>
            <w:r w:rsidR="00136639" w:rsidRPr="008D6F14">
              <w:rPr>
                <w:sz w:val="20"/>
                <w:szCs w:val="20"/>
                <w:lang w:val="fr-CA"/>
              </w:rPr>
              <w:t>850</w:t>
            </w:r>
            <w:r w:rsidRPr="008D6F14">
              <w:rPr>
                <w:sz w:val="20"/>
                <w:szCs w:val="20"/>
                <w:lang w:val="fr-CA"/>
              </w:rPr>
              <w:t>)</w:t>
            </w:r>
          </w:p>
          <w:p w:rsidR="00C21644" w:rsidRPr="008D6F14" w:rsidRDefault="00C21644" w:rsidP="005F1ED8">
            <w:pPr>
              <w:tabs>
                <w:tab w:val="left" w:pos="-1440"/>
                <w:tab w:val="left" w:pos="-720"/>
              </w:tabs>
              <w:rPr>
                <w:sz w:val="20"/>
                <w:szCs w:val="20"/>
                <w:lang w:val="fr-CA"/>
              </w:rPr>
            </w:pPr>
          </w:p>
          <w:p w:rsidR="00C21644" w:rsidRPr="008D6F14" w:rsidRDefault="00136639" w:rsidP="005F1ED8">
            <w:pPr>
              <w:tabs>
                <w:tab w:val="left" w:pos="-1440"/>
                <w:tab w:val="left" w:pos="-720"/>
              </w:tabs>
              <w:rPr>
                <w:b/>
                <w:sz w:val="20"/>
                <w:szCs w:val="20"/>
                <w:lang w:val="fr-CA"/>
              </w:rPr>
            </w:pPr>
            <w:r w:rsidRPr="008D6F14">
              <w:rPr>
                <w:b/>
                <w:sz w:val="20"/>
                <w:szCs w:val="20"/>
                <w:lang w:val="fr-CA"/>
              </w:rPr>
              <w:t xml:space="preserve">Renata Leong </w:t>
            </w:r>
            <w:r w:rsidR="00C21644" w:rsidRPr="008D6F14">
              <w:rPr>
                <w:b/>
                <w:sz w:val="20"/>
                <w:szCs w:val="20"/>
                <w:lang w:val="fr-CA"/>
              </w:rPr>
              <w:t>(Ont.)</w:t>
            </w:r>
          </w:p>
          <w:p w:rsidR="00C21644" w:rsidRPr="00A935AA" w:rsidRDefault="00C21644" w:rsidP="005F1ED8">
            <w:pPr>
              <w:tabs>
                <w:tab w:val="left" w:pos="-1440"/>
                <w:tab w:val="left" w:pos="-720"/>
              </w:tabs>
              <w:rPr>
                <w:sz w:val="20"/>
                <w:szCs w:val="20"/>
              </w:rPr>
            </w:pPr>
            <w:r w:rsidRPr="008D6F14">
              <w:rPr>
                <w:sz w:val="20"/>
                <w:szCs w:val="20"/>
                <w:lang w:val="fr-CA"/>
              </w:rPr>
              <w:tab/>
            </w:r>
            <w:r w:rsidR="00136639">
              <w:rPr>
                <w:sz w:val="20"/>
                <w:szCs w:val="20"/>
              </w:rPr>
              <w:t>Christopher Hubbard</w:t>
            </w:r>
          </w:p>
          <w:p w:rsidR="00C21644" w:rsidRPr="00A935AA" w:rsidRDefault="00C21644" w:rsidP="005F1ED8">
            <w:pPr>
              <w:tabs>
                <w:tab w:val="left" w:pos="-1440"/>
                <w:tab w:val="left" w:pos="-720"/>
              </w:tabs>
              <w:rPr>
                <w:sz w:val="20"/>
                <w:szCs w:val="20"/>
              </w:rPr>
            </w:pPr>
            <w:r w:rsidRPr="00A935AA">
              <w:rPr>
                <w:sz w:val="20"/>
                <w:szCs w:val="20"/>
              </w:rPr>
              <w:tab/>
            </w:r>
            <w:r w:rsidR="00136639">
              <w:rPr>
                <w:sz w:val="20"/>
                <w:szCs w:val="20"/>
              </w:rPr>
              <w:t>McCarthy Tétrault LLP</w:t>
            </w:r>
          </w:p>
          <w:p w:rsidR="00C21644" w:rsidRPr="00A935AA" w:rsidRDefault="00C21644" w:rsidP="005F1ED8">
            <w:pPr>
              <w:tabs>
                <w:tab w:val="left" w:pos="-1440"/>
                <w:tab w:val="left" w:pos="-720"/>
              </w:tabs>
              <w:rPr>
                <w:sz w:val="20"/>
                <w:szCs w:val="20"/>
              </w:rPr>
            </w:pPr>
          </w:p>
          <w:p w:rsidR="00136639" w:rsidRPr="00A935AA" w:rsidRDefault="00136639" w:rsidP="00136639">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4</w:t>
            </w:r>
            <w:r w:rsidRPr="00A935AA">
              <w:rPr>
                <w:sz w:val="20"/>
                <w:szCs w:val="20"/>
              </w:rPr>
              <w:t>.201</w:t>
            </w:r>
            <w:r>
              <w:rPr>
                <w:sz w:val="20"/>
                <w:szCs w:val="20"/>
              </w:rPr>
              <w:t>4</w:t>
            </w:r>
          </w:p>
          <w:p w:rsidR="00C21644" w:rsidRPr="00A935AA" w:rsidRDefault="00F27688"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3299A" w:rsidRDefault="00136639" w:rsidP="005F1ED8">
            <w:pPr>
              <w:rPr>
                <w:b/>
                <w:sz w:val="20"/>
                <w:szCs w:val="20"/>
              </w:rPr>
            </w:pPr>
            <w:r w:rsidRPr="00C3299A">
              <w:rPr>
                <w:b/>
                <w:sz w:val="20"/>
                <w:szCs w:val="20"/>
              </w:rPr>
              <w:t>Hugo Michel Nicolas Kotar</w:t>
            </w:r>
          </w:p>
          <w:p w:rsidR="00C21644" w:rsidRPr="00136639" w:rsidRDefault="00C21644" w:rsidP="005F1ED8">
            <w:pPr>
              <w:tabs>
                <w:tab w:val="left" w:pos="-1440"/>
                <w:tab w:val="left" w:pos="-720"/>
              </w:tabs>
              <w:rPr>
                <w:sz w:val="20"/>
                <w:szCs w:val="20"/>
              </w:rPr>
            </w:pPr>
            <w:r w:rsidRPr="00C3299A">
              <w:rPr>
                <w:sz w:val="20"/>
                <w:szCs w:val="20"/>
              </w:rPr>
              <w:tab/>
            </w:r>
            <w:r w:rsidR="00136639" w:rsidRPr="00136639">
              <w:rPr>
                <w:sz w:val="20"/>
                <w:szCs w:val="20"/>
              </w:rPr>
              <w:t>Ian B. Hayward</w:t>
            </w:r>
          </w:p>
          <w:p w:rsidR="00C21644" w:rsidRPr="00136639" w:rsidRDefault="00C21644" w:rsidP="005F1ED8">
            <w:pPr>
              <w:tabs>
                <w:tab w:val="left" w:pos="-1440"/>
                <w:tab w:val="left" w:pos="-720"/>
              </w:tabs>
              <w:rPr>
                <w:sz w:val="20"/>
                <w:szCs w:val="20"/>
              </w:rPr>
            </w:pPr>
            <w:r w:rsidRPr="00136639">
              <w:rPr>
                <w:sz w:val="20"/>
                <w:szCs w:val="20"/>
              </w:rPr>
              <w:tab/>
            </w:r>
            <w:r w:rsidR="00136639" w:rsidRPr="00136639">
              <w:rPr>
                <w:sz w:val="20"/>
                <w:szCs w:val="20"/>
              </w:rPr>
              <w:t>Hayward &amp; Sheppard</w:t>
            </w:r>
          </w:p>
          <w:p w:rsidR="00C21644" w:rsidRPr="00136639" w:rsidRDefault="00C21644" w:rsidP="005F1ED8">
            <w:pPr>
              <w:tabs>
                <w:tab w:val="left" w:pos="-1440"/>
                <w:tab w:val="left" w:pos="-720"/>
              </w:tabs>
              <w:rPr>
                <w:sz w:val="20"/>
                <w:szCs w:val="20"/>
              </w:rPr>
            </w:pPr>
          </w:p>
          <w:p w:rsidR="00C21644" w:rsidRPr="00136639" w:rsidRDefault="00C21644" w:rsidP="005F1ED8">
            <w:pPr>
              <w:tabs>
                <w:tab w:val="left" w:pos="-1440"/>
                <w:tab w:val="left" w:pos="-720"/>
              </w:tabs>
              <w:rPr>
                <w:sz w:val="20"/>
                <w:szCs w:val="20"/>
              </w:rPr>
            </w:pPr>
            <w:r w:rsidRPr="00136639">
              <w:rPr>
                <w:sz w:val="20"/>
                <w:szCs w:val="20"/>
              </w:rPr>
              <w:tab/>
              <w:t>v. (35</w:t>
            </w:r>
            <w:r w:rsidR="00136639" w:rsidRPr="00136639">
              <w:rPr>
                <w:sz w:val="20"/>
                <w:szCs w:val="20"/>
              </w:rPr>
              <w:t>841</w:t>
            </w:r>
            <w:r w:rsidRPr="00136639">
              <w:rPr>
                <w:sz w:val="20"/>
                <w:szCs w:val="20"/>
              </w:rPr>
              <w:t>)</w:t>
            </w:r>
          </w:p>
          <w:p w:rsidR="00C21644" w:rsidRPr="00136639" w:rsidRDefault="00C21644" w:rsidP="005F1ED8">
            <w:pPr>
              <w:tabs>
                <w:tab w:val="left" w:pos="-1440"/>
                <w:tab w:val="left" w:pos="-720"/>
              </w:tabs>
              <w:rPr>
                <w:sz w:val="20"/>
                <w:szCs w:val="20"/>
              </w:rPr>
            </w:pPr>
          </w:p>
          <w:p w:rsidR="00C21644" w:rsidRPr="00136639" w:rsidRDefault="00136639" w:rsidP="005F1ED8">
            <w:pPr>
              <w:tabs>
                <w:tab w:val="left" w:pos="-1440"/>
                <w:tab w:val="left" w:pos="-720"/>
              </w:tabs>
              <w:rPr>
                <w:b/>
                <w:sz w:val="20"/>
                <w:szCs w:val="20"/>
              </w:rPr>
            </w:pPr>
            <w:r w:rsidRPr="00136639">
              <w:rPr>
                <w:b/>
                <w:sz w:val="20"/>
                <w:szCs w:val="20"/>
              </w:rPr>
              <w:t xml:space="preserve">Elizabeth Jane Lightle </w:t>
            </w:r>
            <w:r w:rsidR="00C21644" w:rsidRPr="00136639">
              <w:rPr>
                <w:b/>
                <w:sz w:val="20"/>
                <w:szCs w:val="20"/>
              </w:rPr>
              <w:t>(</w:t>
            </w:r>
            <w:r w:rsidRPr="00136639">
              <w:rPr>
                <w:b/>
                <w:sz w:val="20"/>
                <w:szCs w:val="20"/>
              </w:rPr>
              <w:t>B.C</w:t>
            </w:r>
            <w:r w:rsidR="00C21644" w:rsidRPr="00136639">
              <w:rPr>
                <w:b/>
                <w:sz w:val="20"/>
                <w:szCs w:val="20"/>
              </w:rPr>
              <w:t>.)</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Lorne N. McLean, Q.C.</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MacLean Family Law Group</w:t>
            </w:r>
          </w:p>
          <w:p w:rsidR="00C21644" w:rsidRPr="00136639" w:rsidRDefault="00C21644" w:rsidP="005F1ED8">
            <w:pPr>
              <w:tabs>
                <w:tab w:val="left" w:pos="-1440"/>
                <w:tab w:val="left" w:pos="-720"/>
              </w:tabs>
              <w:rPr>
                <w:sz w:val="20"/>
                <w:szCs w:val="20"/>
              </w:rPr>
            </w:pPr>
          </w:p>
          <w:p w:rsidR="00136639" w:rsidRPr="00136639" w:rsidRDefault="00136639" w:rsidP="00136639">
            <w:pPr>
              <w:rPr>
                <w:sz w:val="20"/>
                <w:szCs w:val="20"/>
                <w:lang w:val="fr-CA"/>
              </w:rPr>
            </w:pPr>
            <w:r w:rsidRPr="00136639">
              <w:rPr>
                <w:sz w:val="20"/>
                <w:szCs w:val="20"/>
                <w:lang w:val="fr-CA"/>
              </w:rPr>
              <w:t>FILING DATE: 1</w:t>
            </w:r>
            <w:r>
              <w:rPr>
                <w:sz w:val="20"/>
                <w:szCs w:val="20"/>
                <w:lang w:val="fr-CA"/>
              </w:rPr>
              <w:t>7</w:t>
            </w:r>
            <w:r w:rsidRPr="00136639">
              <w:rPr>
                <w:sz w:val="20"/>
                <w:szCs w:val="20"/>
                <w:lang w:val="fr-CA"/>
              </w:rPr>
              <w:t>.04.2014</w:t>
            </w:r>
          </w:p>
          <w:p w:rsidR="00C21644" w:rsidRPr="00136639" w:rsidRDefault="00F27688"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C21644" w:rsidRPr="00136639" w:rsidTr="003B3977">
        <w:trPr>
          <w:cantSplit/>
        </w:trPr>
        <w:tc>
          <w:tcPr>
            <w:tcW w:w="4320" w:type="dxa"/>
            <w:shd w:val="clear" w:color="auto" w:fill="auto"/>
          </w:tcPr>
          <w:p w:rsidR="00C21644" w:rsidRPr="00136639" w:rsidRDefault="00136639" w:rsidP="005F1ED8">
            <w:pPr>
              <w:rPr>
                <w:b/>
                <w:sz w:val="20"/>
                <w:szCs w:val="20"/>
              </w:rPr>
            </w:pPr>
            <w:r w:rsidRPr="00136639">
              <w:rPr>
                <w:b/>
                <w:sz w:val="20"/>
                <w:szCs w:val="20"/>
              </w:rPr>
              <w:t>Anita Endean, as representative plaintiff</w:t>
            </w:r>
          </w:p>
          <w:p w:rsidR="00C21644" w:rsidRPr="00136639" w:rsidRDefault="00C21644" w:rsidP="005F1ED8">
            <w:pPr>
              <w:tabs>
                <w:tab w:val="left" w:pos="-1440"/>
                <w:tab w:val="left" w:pos="-720"/>
              </w:tabs>
              <w:rPr>
                <w:sz w:val="20"/>
                <w:szCs w:val="20"/>
              </w:rPr>
            </w:pPr>
            <w:r w:rsidRPr="00136639">
              <w:rPr>
                <w:sz w:val="20"/>
                <w:szCs w:val="20"/>
              </w:rPr>
              <w:tab/>
            </w:r>
            <w:r w:rsidR="00136639" w:rsidRPr="00136639">
              <w:rPr>
                <w:sz w:val="20"/>
                <w:szCs w:val="20"/>
              </w:rPr>
              <w:t>J.J. Camp, Q.C.</w:t>
            </w:r>
          </w:p>
          <w:p w:rsidR="00C21644" w:rsidRPr="00136639" w:rsidRDefault="00C21644" w:rsidP="005F1ED8">
            <w:pPr>
              <w:tabs>
                <w:tab w:val="left" w:pos="-1440"/>
                <w:tab w:val="left" w:pos="-720"/>
              </w:tabs>
              <w:rPr>
                <w:sz w:val="20"/>
                <w:szCs w:val="20"/>
              </w:rPr>
            </w:pPr>
            <w:r w:rsidRPr="00136639">
              <w:rPr>
                <w:sz w:val="20"/>
                <w:szCs w:val="20"/>
              </w:rPr>
              <w:tab/>
            </w:r>
            <w:r w:rsidR="00136639" w:rsidRPr="00136639">
              <w:rPr>
                <w:sz w:val="20"/>
                <w:szCs w:val="20"/>
              </w:rPr>
              <w:t>Camp Fiorante Matthews Mogerman</w:t>
            </w:r>
          </w:p>
          <w:p w:rsidR="00C21644" w:rsidRPr="00136639" w:rsidRDefault="00C21644" w:rsidP="005F1ED8">
            <w:pPr>
              <w:tabs>
                <w:tab w:val="left" w:pos="-1440"/>
                <w:tab w:val="left" w:pos="-720"/>
              </w:tabs>
              <w:rPr>
                <w:sz w:val="20"/>
                <w:szCs w:val="20"/>
              </w:rPr>
            </w:pPr>
          </w:p>
          <w:p w:rsidR="00C21644" w:rsidRPr="00136639" w:rsidRDefault="00C21644" w:rsidP="005F1ED8">
            <w:pPr>
              <w:tabs>
                <w:tab w:val="left" w:pos="-1440"/>
                <w:tab w:val="left" w:pos="-720"/>
              </w:tabs>
              <w:rPr>
                <w:sz w:val="20"/>
                <w:szCs w:val="20"/>
              </w:rPr>
            </w:pPr>
            <w:r w:rsidRPr="00136639">
              <w:rPr>
                <w:sz w:val="20"/>
                <w:szCs w:val="20"/>
              </w:rPr>
              <w:tab/>
              <w:t>v. (35</w:t>
            </w:r>
            <w:r w:rsidR="00136639" w:rsidRPr="00136639">
              <w:rPr>
                <w:sz w:val="20"/>
                <w:szCs w:val="20"/>
              </w:rPr>
              <w:t>843</w:t>
            </w:r>
            <w:r w:rsidRPr="00136639">
              <w:rPr>
                <w:sz w:val="20"/>
                <w:szCs w:val="20"/>
              </w:rPr>
              <w:t>)</w:t>
            </w:r>
          </w:p>
          <w:p w:rsidR="00C21644" w:rsidRPr="00136639" w:rsidRDefault="00C21644" w:rsidP="005F1ED8">
            <w:pPr>
              <w:tabs>
                <w:tab w:val="left" w:pos="-1440"/>
                <w:tab w:val="left" w:pos="-720"/>
              </w:tabs>
              <w:rPr>
                <w:sz w:val="20"/>
                <w:szCs w:val="20"/>
              </w:rPr>
            </w:pPr>
          </w:p>
          <w:p w:rsidR="00C21644" w:rsidRPr="00136639" w:rsidRDefault="00136639" w:rsidP="005F1ED8">
            <w:pPr>
              <w:tabs>
                <w:tab w:val="left" w:pos="-1440"/>
                <w:tab w:val="left" w:pos="-720"/>
              </w:tabs>
              <w:rPr>
                <w:b/>
                <w:sz w:val="20"/>
                <w:szCs w:val="20"/>
              </w:rPr>
            </w:pPr>
            <w:r w:rsidRPr="00136639">
              <w:rPr>
                <w:b/>
                <w:sz w:val="20"/>
                <w:szCs w:val="20"/>
              </w:rPr>
              <w:t>Her Majesty the Queen in Right of the Province of British Columbia et al.</w:t>
            </w:r>
            <w:r>
              <w:rPr>
                <w:b/>
                <w:sz w:val="20"/>
                <w:szCs w:val="20"/>
              </w:rPr>
              <w:t xml:space="preserve"> </w:t>
            </w:r>
            <w:r w:rsidR="00C21644" w:rsidRPr="00136639">
              <w:rPr>
                <w:b/>
                <w:sz w:val="20"/>
                <w:szCs w:val="20"/>
              </w:rPr>
              <w:t>(</w:t>
            </w:r>
            <w:r>
              <w:rPr>
                <w:b/>
                <w:sz w:val="20"/>
                <w:szCs w:val="20"/>
              </w:rPr>
              <w:t>B.C</w:t>
            </w:r>
            <w:r w:rsidR="00C21644" w:rsidRPr="00136639">
              <w:rPr>
                <w:b/>
                <w:sz w:val="20"/>
                <w:szCs w:val="20"/>
              </w:rPr>
              <w:t>.)</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Keith L. Johnston</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A.G. of British Columbia</w:t>
            </w:r>
          </w:p>
          <w:p w:rsidR="00C21644" w:rsidRPr="00136639" w:rsidRDefault="00C21644" w:rsidP="005F1ED8">
            <w:pPr>
              <w:tabs>
                <w:tab w:val="left" w:pos="-1440"/>
                <w:tab w:val="left" w:pos="-720"/>
              </w:tabs>
              <w:rPr>
                <w:sz w:val="20"/>
                <w:szCs w:val="20"/>
              </w:rPr>
            </w:pPr>
          </w:p>
          <w:p w:rsidR="00136639" w:rsidRPr="00136639" w:rsidRDefault="00136639" w:rsidP="00136639">
            <w:pPr>
              <w:rPr>
                <w:sz w:val="20"/>
                <w:szCs w:val="20"/>
              </w:rPr>
            </w:pPr>
            <w:r w:rsidRPr="00136639">
              <w:rPr>
                <w:sz w:val="20"/>
                <w:szCs w:val="20"/>
              </w:rPr>
              <w:t xml:space="preserve">FILING DATE: </w:t>
            </w:r>
            <w:r>
              <w:rPr>
                <w:sz w:val="20"/>
                <w:szCs w:val="20"/>
              </w:rPr>
              <w:t>22</w:t>
            </w:r>
            <w:r w:rsidRPr="00136639">
              <w:rPr>
                <w:sz w:val="20"/>
                <w:szCs w:val="20"/>
              </w:rPr>
              <w:t>.04.2014</w:t>
            </w:r>
          </w:p>
          <w:p w:rsidR="00C21644" w:rsidRPr="00136639" w:rsidRDefault="00F27688"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p w:rsidR="00C21644" w:rsidRPr="00136639" w:rsidRDefault="00C21644" w:rsidP="00242AEE">
            <w:pPr>
              <w:jc w:val="center"/>
              <w:rPr>
                <w:sz w:val="20"/>
                <w:szCs w:val="20"/>
              </w:rPr>
            </w:pPr>
          </w:p>
        </w:tc>
        <w:tc>
          <w:tcPr>
            <w:tcW w:w="4320" w:type="dxa"/>
            <w:shd w:val="clear" w:color="auto" w:fill="auto"/>
          </w:tcPr>
          <w:p w:rsidR="00C21644" w:rsidRPr="00136639" w:rsidRDefault="00136639" w:rsidP="005F1ED8">
            <w:pPr>
              <w:rPr>
                <w:b/>
                <w:sz w:val="20"/>
                <w:szCs w:val="20"/>
              </w:rPr>
            </w:pPr>
            <w:r>
              <w:rPr>
                <w:b/>
                <w:sz w:val="20"/>
                <w:szCs w:val="20"/>
              </w:rPr>
              <w:t>One West Holdings Ltd.</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Brad Cramer</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Shapray Cramer Fitterman Lamer LLP</w:t>
            </w:r>
          </w:p>
          <w:p w:rsidR="00C21644" w:rsidRPr="00136639" w:rsidRDefault="00C21644" w:rsidP="005F1ED8">
            <w:pPr>
              <w:tabs>
                <w:tab w:val="left" w:pos="-1440"/>
                <w:tab w:val="left" w:pos="-720"/>
              </w:tabs>
              <w:rPr>
                <w:sz w:val="20"/>
                <w:szCs w:val="20"/>
              </w:rPr>
            </w:pP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v</w:t>
            </w:r>
            <w:r w:rsidRPr="00136639">
              <w:rPr>
                <w:sz w:val="20"/>
                <w:szCs w:val="20"/>
              </w:rPr>
              <w:t>. (35</w:t>
            </w:r>
            <w:r w:rsidR="00136639">
              <w:rPr>
                <w:sz w:val="20"/>
                <w:szCs w:val="20"/>
              </w:rPr>
              <w:t>844</w:t>
            </w:r>
            <w:r w:rsidRPr="00136639">
              <w:rPr>
                <w:sz w:val="20"/>
                <w:szCs w:val="20"/>
              </w:rPr>
              <w:t>)</w:t>
            </w:r>
          </w:p>
          <w:p w:rsidR="00C21644" w:rsidRPr="00136639" w:rsidRDefault="00C21644" w:rsidP="005F1ED8">
            <w:pPr>
              <w:tabs>
                <w:tab w:val="left" w:pos="-1440"/>
                <w:tab w:val="left" w:pos="-720"/>
              </w:tabs>
              <w:rPr>
                <w:sz w:val="20"/>
                <w:szCs w:val="20"/>
              </w:rPr>
            </w:pPr>
          </w:p>
          <w:p w:rsidR="00C21644" w:rsidRPr="00136639" w:rsidRDefault="00136639" w:rsidP="005F1ED8">
            <w:pPr>
              <w:tabs>
                <w:tab w:val="left" w:pos="-1440"/>
                <w:tab w:val="left" w:pos="-720"/>
              </w:tabs>
              <w:rPr>
                <w:b/>
                <w:sz w:val="20"/>
                <w:szCs w:val="20"/>
              </w:rPr>
            </w:pPr>
            <w:r>
              <w:rPr>
                <w:b/>
                <w:sz w:val="20"/>
                <w:szCs w:val="20"/>
              </w:rPr>
              <w:t xml:space="preserve">Greata Ranch Holdings Corp. et al. </w:t>
            </w:r>
            <w:r w:rsidR="00C21644" w:rsidRPr="00136639">
              <w:rPr>
                <w:b/>
                <w:sz w:val="20"/>
                <w:szCs w:val="20"/>
              </w:rPr>
              <w:t>(</w:t>
            </w:r>
            <w:r>
              <w:rPr>
                <w:b/>
                <w:sz w:val="20"/>
                <w:szCs w:val="20"/>
              </w:rPr>
              <w:t>B.C</w:t>
            </w:r>
            <w:r w:rsidR="00C21644" w:rsidRPr="00136639">
              <w:rPr>
                <w:b/>
                <w:sz w:val="20"/>
                <w:szCs w:val="20"/>
              </w:rPr>
              <w:t>.)</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Geoffrey B. Gomery</w:t>
            </w:r>
          </w:p>
          <w:p w:rsidR="00C21644" w:rsidRPr="00136639" w:rsidRDefault="00C21644" w:rsidP="005F1ED8">
            <w:pPr>
              <w:tabs>
                <w:tab w:val="left" w:pos="-1440"/>
                <w:tab w:val="left" w:pos="-720"/>
              </w:tabs>
              <w:rPr>
                <w:sz w:val="20"/>
                <w:szCs w:val="20"/>
              </w:rPr>
            </w:pPr>
            <w:r w:rsidRPr="00136639">
              <w:rPr>
                <w:sz w:val="20"/>
                <w:szCs w:val="20"/>
              </w:rPr>
              <w:tab/>
            </w:r>
            <w:r w:rsidR="00136639">
              <w:rPr>
                <w:sz w:val="20"/>
                <w:szCs w:val="20"/>
              </w:rPr>
              <w:t>Nathanson, Schachter &amp; Thompson</w:t>
            </w:r>
          </w:p>
          <w:p w:rsidR="00C21644" w:rsidRPr="00136639" w:rsidRDefault="00C21644" w:rsidP="005F1ED8">
            <w:pPr>
              <w:tabs>
                <w:tab w:val="left" w:pos="-1440"/>
                <w:tab w:val="left" w:pos="-720"/>
              </w:tabs>
              <w:rPr>
                <w:sz w:val="20"/>
                <w:szCs w:val="20"/>
              </w:rPr>
            </w:pPr>
          </w:p>
          <w:p w:rsidR="00136639" w:rsidRPr="00136639" w:rsidRDefault="00136639" w:rsidP="00136639">
            <w:pPr>
              <w:rPr>
                <w:sz w:val="20"/>
                <w:szCs w:val="20"/>
                <w:lang w:val="fr-CA"/>
              </w:rPr>
            </w:pPr>
            <w:r w:rsidRPr="00136639">
              <w:rPr>
                <w:sz w:val="20"/>
                <w:szCs w:val="20"/>
                <w:lang w:val="fr-CA"/>
              </w:rPr>
              <w:t xml:space="preserve">FILING DATE: </w:t>
            </w:r>
            <w:r>
              <w:rPr>
                <w:sz w:val="20"/>
                <w:szCs w:val="20"/>
                <w:lang w:val="fr-CA"/>
              </w:rPr>
              <w:t>22</w:t>
            </w:r>
            <w:r w:rsidRPr="00136639">
              <w:rPr>
                <w:sz w:val="20"/>
                <w:szCs w:val="20"/>
                <w:lang w:val="fr-CA"/>
              </w:rPr>
              <w:t>.04.2014</w:t>
            </w:r>
          </w:p>
          <w:p w:rsidR="00C21644" w:rsidRPr="00136639" w:rsidRDefault="00F27688"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35E3C" w:rsidTr="003B3977">
        <w:trPr>
          <w:cantSplit/>
        </w:trPr>
        <w:tc>
          <w:tcPr>
            <w:tcW w:w="4320" w:type="dxa"/>
            <w:shd w:val="clear" w:color="auto" w:fill="auto"/>
          </w:tcPr>
          <w:p w:rsidR="00C21644" w:rsidRPr="00DB1173" w:rsidRDefault="00DB1173" w:rsidP="005F1ED8">
            <w:pPr>
              <w:rPr>
                <w:b/>
                <w:sz w:val="20"/>
                <w:szCs w:val="20"/>
                <w:lang w:val="fr-CA"/>
              </w:rPr>
            </w:pPr>
            <w:r>
              <w:rPr>
                <w:b/>
                <w:sz w:val="20"/>
                <w:szCs w:val="20"/>
                <w:lang w:val="fr-CA"/>
              </w:rPr>
              <w:lastRenderedPageBreak/>
              <w:t>Julien Labrie</w:t>
            </w:r>
          </w:p>
          <w:p w:rsidR="00C21644" w:rsidRPr="00DB1173" w:rsidRDefault="00C21644" w:rsidP="005F1ED8">
            <w:pPr>
              <w:tabs>
                <w:tab w:val="left" w:pos="-1440"/>
                <w:tab w:val="left" w:pos="-720"/>
              </w:tabs>
              <w:rPr>
                <w:sz w:val="20"/>
                <w:szCs w:val="20"/>
                <w:lang w:val="fr-CA"/>
              </w:rPr>
            </w:pPr>
            <w:r w:rsidRPr="00DB1173">
              <w:rPr>
                <w:sz w:val="20"/>
                <w:szCs w:val="20"/>
                <w:lang w:val="fr-CA"/>
              </w:rPr>
              <w:tab/>
            </w:r>
            <w:r w:rsidR="00DB1173">
              <w:rPr>
                <w:sz w:val="20"/>
                <w:szCs w:val="20"/>
                <w:lang w:val="fr-CA"/>
              </w:rPr>
              <w:t>Rita Magloé</w:t>
            </w:r>
          </w:p>
          <w:p w:rsidR="00C21644" w:rsidRPr="00DB1173" w:rsidRDefault="00C21644" w:rsidP="005F1ED8">
            <w:pPr>
              <w:tabs>
                <w:tab w:val="left" w:pos="-1440"/>
                <w:tab w:val="left" w:pos="-720"/>
              </w:tabs>
              <w:rPr>
                <w:sz w:val="20"/>
                <w:szCs w:val="20"/>
                <w:lang w:val="fr-CA"/>
              </w:rPr>
            </w:pPr>
          </w:p>
          <w:p w:rsidR="00C21644" w:rsidRPr="00DB1173" w:rsidRDefault="00C21644" w:rsidP="005F1ED8">
            <w:pPr>
              <w:tabs>
                <w:tab w:val="left" w:pos="-1440"/>
                <w:tab w:val="left" w:pos="-720"/>
              </w:tabs>
              <w:rPr>
                <w:sz w:val="20"/>
                <w:szCs w:val="20"/>
                <w:lang w:val="fr-CA"/>
              </w:rPr>
            </w:pPr>
            <w:r w:rsidRPr="00DB1173">
              <w:rPr>
                <w:sz w:val="20"/>
                <w:szCs w:val="20"/>
                <w:lang w:val="fr-CA"/>
              </w:rPr>
              <w:tab/>
            </w:r>
            <w:r w:rsidR="00DB1173">
              <w:rPr>
                <w:sz w:val="20"/>
                <w:szCs w:val="20"/>
                <w:lang w:val="fr-CA"/>
              </w:rPr>
              <w:t>c</w:t>
            </w:r>
            <w:r w:rsidRPr="00DB1173">
              <w:rPr>
                <w:sz w:val="20"/>
                <w:szCs w:val="20"/>
                <w:lang w:val="fr-CA"/>
              </w:rPr>
              <w:t>. (35</w:t>
            </w:r>
            <w:r w:rsidR="00A35E3C">
              <w:rPr>
                <w:sz w:val="20"/>
                <w:szCs w:val="20"/>
                <w:lang w:val="fr-CA"/>
              </w:rPr>
              <w:t>846</w:t>
            </w:r>
            <w:r w:rsidRPr="00DB1173">
              <w:rPr>
                <w:sz w:val="20"/>
                <w:szCs w:val="20"/>
                <w:lang w:val="fr-CA"/>
              </w:rPr>
              <w:t>)</w:t>
            </w:r>
          </w:p>
          <w:p w:rsidR="00C21644" w:rsidRPr="00DB1173" w:rsidRDefault="00C21644" w:rsidP="005F1ED8">
            <w:pPr>
              <w:tabs>
                <w:tab w:val="left" w:pos="-1440"/>
                <w:tab w:val="left" w:pos="-720"/>
              </w:tabs>
              <w:rPr>
                <w:sz w:val="20"/>
                <w:szCs w:val="20"/>
                <w:lang w:val="fr-CA"/>
              </w:rPr>
            </w:pPr>
          </w:p>
          <w:p w:rsidR="00C21644" w:rsidRPr="00DB1173" w:rsidRDefault="00A35E3C" w:rsidP="005F1ED8">
            <w:pPr>
              <w:tabs>
                <w:tab w:val="left" w:pos="-1440"/>
                <w:tab w:val="left" w:pos="-720"/>
              </w:tabs>
              <w:rPr>
                <w:b/>
                <w:sz w:val="20"/>
                <w:szCs w:val="20"/>
                <w:lang w:val="fr-CA"/>
              </w:rPr>
            </w:pPr>
            <w:r>
              <w:rPr>
                <w:b/>
                <w:sz w:val="20"/>
                <w:szCs w:val="20"/>
                <w:lang w:val="fr-CA"/>
              </w:rPr>
              <w:t xml:space="preserve">Sa Majesté la Reine </w:t>
            </w:r>
            <w:r w:rsidR="00C21644" w:rsidRPr="00DB1173">
              <w:rPr>
                <w:b/>
                <w:sz w:val="20"/>
                <w:szCs w:val="20"/>
                <w:lang w:val="fr-CA"/>
              </w:rPr>
              <w:t>(</w:t>
            </w:r>
            <w:r>
              <w:rPr>
                <w:b/>
                <w:sz w:val="20"/>
                <w:szCs w:val="20"/>
                <w:lang w:val="fr-CA"/>
              </w:rPr>
              <w:t>Qc</w:t>
            </w:r>
            <w:r w:rsidR="00C21644" w:rsidRPr="00DB1173">
              <w:rPr>
                <w:b/>
                <w:sz w:val="20"/>
                <w:szCs w:val="20"/>
                <w:lang w:val="fr-CA"/>
              </w:rPr>
              <w:t>)</w:t>
            </w:r>
          </w:p>
          <w:p w:rsidR="00C21644" w:rsidRPr="00DB1173" w:rsidRDefault="00C21644" w:rsidP="005F1ED8">
            <w:pPr>
              <w:tabs>
                <w:tab w:val="left" w:pos="-1440"/>
                <w:tab w:val="left" w:pos="-720"/>
              </w:tabs>
              <w:rPr>
                <w:sz w:val="20"/>
                <w:szCs w:val="20"/>
                <w:lang w:val="fr-CA"/>
              </w:rPr>
            </w:pPr>
            <w:r w:rsidRPr="00DB1173">
              <w:rPr>
                <w:sz w:val="20"/>
                <w:szCs w:val="20"/>
                <w:lang w:val="fr-CA"/>
              </w:rPr>
              <w:tab/>
            </w:r>
            <w:r w:rsidR="00A35E3C">
              <w:rPr>
                <w:sz w:val="20"/>
                <w:szCs w:val="20"/>
                <w:lang w:val="fr-CA"/>
              </w:rPr>
              <w:t>Benoit Lauzon</w:t>
            </w:r>
          </w:p>
          <w:p w:rsidR="00C21644" w:rsidRPr="00DB1173" w:rsidRDefault="00C21644" w:rsidP="005F1ED8">
            <w:pPr>
              <w:tabs>
                <w:tab w:val="left" w:pos="-1440"/>
                <w:tab w:val="left" w:pos="-720"/>
              </w:tabs>
              <w:rPr>
                <w:sz w:val="20"/>
                <w:szCs w:val="20"/>
                <w:lang w:val="fr-CA"/>
              </w:rPr>
            </w:pPr>
            <w:r w:rsidRPr="00DB1173">
              <w:rPr>
                <w:sz w:val="20"/>
                <w:szCs w:val="20"/>
                <w:lang w:val="fr-CA"/>
              </w:rPr>
              <w:tab/>
            </w:r>
            <w:r w:rsidR="00A35E3C">
              <w:rPr>
                <w:sz w:val="20"/>
                <w:szCs w:val="20"/>
                <w:lang w:val="fr-CA"/>
              </w:rPr>
              <w:t xml:space="preserve">Poursuites criminelles et pénales du </w:t>
            </w:r>
            <w:r w:rsidR="00A35E3C">
              <w:rPr>
                <w:sz w:val="20"/>
                <w:szCs w:val="20"/>
                <w:lang w:val="fr-CA"/>
              </w:rPr>
              <w:tab/>
              <w:t>Québec</w:t>
            </w:r>
          </w:p>
          <w:p w:rsidR="00C21644" w:rsidRPr="00DB1173" w:rsidRDefault="00C21644" w:rsidP="005F1ED8">
            <w:pPr>
              <w:tabs>
                <w:tab w:val="left" w:pos="-1440"/>
                <w:tab w:val="left" w:pos="-720"/>
              </w:tabs>
              <w:rPr>
                <w:sz w:val="20"/>
                <w:szCs w:val="20"/>
                <w:lang w:val="fr-CA"/>
              </w:rPr>
            </w:pPr>
          </w:p>
          <w:p w:rsidR="00C21644" w:rsidRPr="00DB1173" w:rsidRDefault="00DB1173" w:rsidP="00A35E3C">
            <w:pPr>
              <w:rPr>
                <w:sz w:val="20"/>
                <w:szCs w:val="20"/>
                <w:lang w:val="fr-CA"/>
              </w:rPr>
            </w:pPr>
            <w:r w:rsidRPr="00136639">
              <w:rPr>
                <w:sz w:val="20"/>
                <w:szCs w:val="20"/>
                <w:lang w:val="fr-CA"/>
              </w:rPr>
              <w:t xml:space="preserve">DATE DE PRODUCTION: </w:t>
            </w:r>
            <w:r w:rsidR="00A35E3C">
              <w:rPr>
                <w:sz w:val="20"/>
                <w:szCs w:val="20"/>
                <w:lang w:val="fr-CA"/>
              </w:rPr>
              <w:t>22</w:t>
            </w:r>
            <w:r w:rsidRPr="00136639">
              <w:rPr>
                <w:sz w:val="20"/>
                <w:szCs w:val="20"/>
                <w:lang w:val="fr-CA"/>
              </w:rPr>
              <w:t>.0</w:t>
            </w:r>
            <w:r w:rsidR="00A35E3C">
              <w:rPr>
                <w:sz w:val="20"/>
                <w:szCs w:val="20"/>
                <w:lang w:val="fr-CA"/>
              </w:rPr>
              <w:t>4</w:t>
            </w:r>
            <w:r w:rsidRPr="00136639">
              <w:rPr>
                <w:sz w:val="20"/>
                <w:szCs w:val="20"/>
                <w:lang w:val="fr-CA"/>
              </w:rPr>
              <w:t>.2014</w:t>
            </w:r>
            <w:r w:rsidR="00F2768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p w:rsidR="00C21644" w:rsidRPr="00DB1173" w:rsidRDefault="00C21644" w:rsidP="00242AEE">
            <w:pPr>
              <w:jc w:val="center"/>
              <w:rPr>
                <w:sz w:val="20"/>
                <w:szCs w:val="20"/>
                <w:lang w:val="fr-CA"/>
              </w:rPr>
            </w:pPr>
          </w:p>
        </w:tc>
        <w:tc>
          <w:tcPr>
            <w:tcW w:w="4320" w:type="dxa"/>
            <w:shd w:val="clear" w:color="auto" w:fill="auto"/>
          </w:tcPr>
          <w:p w:rsidR="00C21644" w:rsidRPr="00C3299A" w:rsidRDefault="00A35E3C" w:rsidP="005F1ED8">
            <w:pPr>
              <w:rPr>
                <w:b/>
                <w:sz w:val="20"/>
                <w:szCs w:val="20"/>
              </w:rPr>
            </w:pPr>
            <w:r w:rsidRPr="00C3299A">
              <w:rPr>
                <w:b/>
                <w:sz w:val="20"/>
                <w:szCs w:val="20"/>
              </w:rPr>
              <w:t xml:space="preserve">Henry Jung et al. </w:t>
            </w:r>
          </w:p>
          <w:p w:rsidR="00C21644" w:rsidRPr="00A35E3C" w:rsidRDefault="00C21644" w:rsidP="005F1ED8">
            <w:pPr>
              <w:tabs>
                <w:tab w:val="left" w:pos="-1440"/>
                <w:tab w:val="left" w:pos="-720"/>
              </w:tabs>
              <w:rPr>
                <w:sz w:val="20"/>
                <w:szCs w:val="20"/>
              </w:rPr>
            </w:pPr>
            <w:r w:rsidRPr="00C3299A">
              <w:rPr>
                <w:sz w:val="20"/>
                <w:szCs w:val="20"/>
              </w:rPr>
              <w:tab/>
            </w:r>
            <w:r w:rsidR="00A35E3C" w:rsidRPr="00A35E3C">
              <w:rPr>
                <w:sz w:val="20"/>
                <w:szCs w:val="20"/>
              </w:rPr>
              <w:t>Terry Corsianos</w:t>
            </w:r>
          </w:p>
          <w:p w:rsidR="00C21644" w:rsidRPr="00A35E3C" w:rsidRDefault="00C21644" w:rsidP="005F1ED8">
            <w:pPr>
              <w:tabs>
                <w:tab w:val="left" w:pos="-1440"/>
                <w:tab w:val="left" w:pos="-720"/>
              </w:tabs>
              <w:rPr>
                <w:sz w:val="20"/>
                <w:szCs w:val="20"/>
              </w:rPr>
            </w:pPr>
            <w:r w:rsidRPr="00A35E3C">
              <w:rPr>
                <w:sz w:val="20"/>
                <w:szCs w:val="20"/>
              </w:rPr>
              <w:tab/>
            </w:r>
            <w:r w:rsidR="00A35E3C" w:rsidRPr="00A35E3C">
              <w:rPr>
                <w:sz w:val="20"/>
                <w:szCs w:val="20"/>
              </w:rPr>
              <w:t>Law Office of Terry Corsianos</w:t>
            </w:r>
          </w:p>
          <w:p w:rsidR="00C21644" w:rsidRPr="00A35E3C" w:rsidRDefault="00C21644" w:rsidP="005F1ED8">
            <w:pPr>
              <w:tabs>
                <w:tab w:val="left" w:pos="-1440"/>
                <w:tab w:val="left" w:pos="-720"/>
              </w:tabs>
              <w:rPr>
                <w:sz w:val="20"/>
                <w:szCs w:val="20"/>
              </w:rPr>
            </w:pPr>
          </w:p>
          <w:p w:rsidR="00C21644" w:rsidRPr="00C3299A" w:rsidRDefault="00C21644" w:rsidP="005F1ED8">
            <w:pPr>
              <w:tabs>
                <w:tab w:val="left" w:pos="-1440"/>
                <w:tab w:val="left" w:pos="-720"/>
              </w:tabs>
              <w:rPr>
                <w:sz w:val="20"/>
                <w:szCs w:val="20"/>
              </w:rPr>
            </w:pPr>
            <w:r w:rsidRPr="00A35E3C">
              <w:rPr>
                <w:sz w:val="20"/>
                <w:szCs w:val="20"/>
              </w:rPr>
              <w:tab/>
            </w:r>
            <w:r w:rsidRPr="00C3299A">
              <w:rPr>
                <w:sz w:val="20"/>
                <w:szCs w:val="20"/>
              </w:rPr>
              <w:t>v. (35</w:t>
            </w:r>
            <w:r w:rsidR="00A35E3C" w:rsidRPr="00C3299A">
              <w:rPr>
                <w:sz w:val="20"/>
                <w:szCs w:val="20"/>
              </w:rPr>
              <w:t>845</w:t>
            </w:r>
            <w:r w:rsidRPr="00C3299A">
              <w:rPr>
                <w:sz w:val="20"/>
                <w:szCs w:val="20"/>
              </w:rPr>
              <w:t>)</w:t>
            </w:r>
          </w:p>
          <w:p w:rsidR="00C21644" w:rsidRPr="00C3299A" w:rsidRDefault="00C21644" w:rsidP="005F1ED8">
            <w:pPr>
              <w:tabs>
                <w:tab w:val="left" w:pos="-1440"/>
                <w:tab w:val="left" w:pos="-720"/>
              </w:tabs>
              <w:rPr>
                <w:sz w:val="20"/>
                <w:szCs w:val="20"/>
              </w:rPr>
            </w:pPr>
          </w:p>
          <w:p w:rsidR="00C21644" w:rsidRPr="00A35E3C" w:rsidRDefault="00A35E3C" w:rsidP="005F1ED8">
            <w:pPr>
              <w:tabs>
                <w:tab w:val="left" w:pos="-1440"/>
                <w:tab w:val="left" w:pos="-720"/>
              </w:tabs>
              <w:rPr>
                <w:b/>
                <w:sz w:val="20"/>
                <w:szCs w:val="20"/>
                <w:lang w:val="fr-CA"/>
              </w:rPr>
            </w:pPr>
            <w:r>
              <w:rPr>
                <w:b/>
                <w:sz w:val="20"/>
                <w:szCs w:val="20"/>
                <w:lang w:val="fr-CA"/>
              </w:rPr>
              <w:t xml:space="preserve">Talon International Inc. </w:t>
            </w:r>
            <w:r w:rsidR="00C21644" w:rsidRPr="00A35E3C">
              <w:rPr>
                <w:b/>
                <w:sz w:val="20"/>
                <w:szCs w:val="20"/>
                <w:lang w:val="fr-CA"/>
              </w:rPr>
              <w:t>(Ont.)</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Mark A. Klaiman</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Klaiman, Edmonds</w:t>
            </w:r>
          </w:p>
          <w:p w:rsidR="00C21644" w:rsidRPr="00A35E3C" w:rsidRDefault="00C21644" w:rsidP="005F1ED8">
            <w:pPr>
              <w:tabs>
                <w:tab w:val="left" w:pos="-1440"/>
                <w:tab w:val="left" w:pos="-720"/>
              </w:tabs>
              <w:rPr>
                <w:sz w:val="20"/>
                <w:szCs w:val="20"/>
                <w:lang w:val="fr-CA"/>
              </w:rPr>
            </w:pPr>
          </w:p>
          <w:p w:rsidR="00136639" w:rsidRPr="00A35E3C" w:rsidRDefault="00136639" w:rsidP="00136639">
            <w:pPr>
              <w:rPr>
                <w:sz w:val="20"/>
                <w:szCs w:val="20"/>
                <w:lang w:val="fr-CA"/>
              </w:rPr>
            </w:pPr>
            <w:r w:rsidRPr="00A35E3C">
              <w:rPr>
                <w:sz w:val="20"/>
                <w:szCs w:val="20"/>
                <w:lang w:val="fr-CA"/>
              </w:rPr>
              <w:t xml:space="preserve">FILING DATE: </w:t>
            </w:r>
            <w:r w:rsidR="00A35E3C">
              <w:rPr>
                <w:sz w:val="20"/>
                <w:szCs w:val="20"/>
                <w:lang w:val="fr-CA"/>
              </w:rPr>
              <w:t>23</w:t>
            </w:r>
            <w:r w:rsidRPr="00A35E3C">
              <w:rPr>
                <w:sz w:val="20"/>
                <w:szCs w:val="20"/>
                <w:lang w:val="fr-CA"/>
              </w:rPr>
              <w:t>.04.2014</w:t>
            </w:r>
          </w:p>
          <w:p w:rsidR="00C21644" w:rsidRPr="00A35E3C" w:rsidRDefault="00F27688"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C21644" w:rsidRPr="00A35E3C" w:rsidTr="003B3977">
        <w:trPr>
          <w:cantSplit/>
        </w:trPr>
        <w:tc>
          <w:tcPr>
            <w:tcW w:w="4320" w:type="dxa"/>
            <w:shd w:val="clear" w:color="auto" w:fill="auto"/>
          </w:tcPr>
          <w:p w:rsidR="00C21644" w:rsidRPr="00A35E3C" w:rsidRDefault="00A35E3C" w:rsidP="005F1ED8">
            <w:pPr>
              <w:rPr>
                <w:b/>
                <w:sz w:val="20"/>
                <w:szCs w:val="20"/>
              </w:rPr>
            </w:pPr>
            <w:r w:rsidRPr="00A35E3C">
              <w:rPr>
                <w:b/>
                <w:sz w:val="20"/>
                <w:szCs w:val="20"/>
              </w:rPr>
              <w:t>Donald Best</w:t>
            </w:r>
          </w:p>
          <w:p w:rsidR="00C21644" w:rsidRPr="00A35E3C" w:rsidRDefault="00C21644" w:rsidP="005F1ED8">
            <w:pPr>
              <w:tabs>
                <w:tab w:val="left" w:pos="-1440"/>
                <w:tab w:val="left" w:pos="-720"/>
              </w:tabs>
              <w:rPr>
                <w:sz w:val="20"/>
                <w:szCs w:val="20"/>
              </w:rPr>
            </w:pPr>
            <w:r w:rsidRPr="00A35E3C">
              <w:rPr>
                <w:sz w:val="20"/>
                <w:szCs w:val="20"/>
              </w:rPr>
              <w:tab/>
            </w:r>
            <w:r w:rsidR="00A35E3C" w:rsidRPr="00A35E3C">
              <w:rPr>
                <w:sz w:val="20"/>
                <w:szCs w:val="20"/>
              </w:rPr>
              <w:t>Paul Slansky</w:t>
            </w:r>
          </w:p>
          <w:p w:rsidR="00C21644" w:rsidRPr="00A35E3C" w:rsidRDefault="00C21644" w:rsidP="005F1ED8">
            <w:pPr>
              <w:tabs>
                <w:tab w:val="left" w:pos="-1440"/>
                <w:tab w:val="left" w:pos="-720"/>
              </w:tabs>
              <w:rPr>
                <w:sz w:val="20"/>
                <w:szCs w:val="20"/>
              </w:rPr>
            </w:pPr>
            <w:r w:rsidRPr="00A35E3C">
              <w:rPr>
                <w:sz w:val="20"/>
                <w:szCs w:val="20"/>
              </w:rPr>
              <w:tab/>
            </w:r>
            <w:r w:rsidR="00A35E3C" w:rsidRPr="00A35E3C">
              <w:rPr>
                <w:sz w:val="20"/>
                <w:szCs w:val="20"/>
              </w:rPr>
              <w:t>Slansky Law Professional Corporation</w:t>
            </w:r>
          </w:p>
          <w:p w:rsidR="00C21644" w:rsidRPr="00A35E3C" w:rsidRDefault="00C21644" w:rsidP="005F1ED8">
            <w:pPr>
              <w:tabs>
                <w:tab w:val="left" w:pos="-1440"/>
                <w:tab w:val="left" w:pos="-720"/>
              </w:tabs>
              <w:rPr>
                <w:sz w:val="20"/>
                <w:szCs w:val="20"/>
              </w:rPr>
            </w:pPr>
          </w:p>
          <w:p w:rsidR="00C21644" w:rsidRPr="00A35E3C" w:rsidRDefault="00C21644" w:rsidP="005F1ED8">
            <w:pPr>
              <w:tabs>
                <w:tab w:val="left" w:pos="-1440"/>
                <w:tab w:val="left" w:pos="-720"/>
              </w:tabs>
              <w:rPr>
                <w:sz w:val="20"/>
                <w:szCs w:val="20"/>
                <w:lang w:val="fr-CA"/>
              </w:rPr>
            </w:pPr>
            <w:r w:rsidRPr="00A35E3C">
              <w:rPr>
                <w:sz w:val="20"/>
                <w:szCs w:val="20"/>
              </w:rPr>
              <w:tab/>
            </w:r>
            <w:r w:rsidRPr="00A35E3C">
              <w:rPr>
                <w:sz w:val="20"/>
                <w:szCs w:val="20"/>
                <w:lang w:val="fr-CA"/>
              </w:rPr>
              <w:t>v. (35</w:t>
            </w:r>
            <w:r w:rsidR="00A35E3C">
              <w:rPr>
                <w:sz w:val="20"/>
                <w:szCs w:val="20"/>
                <w:lang w:val="fr-CA"/>
              </w:rPr>
              <w:t>785</w:t>
            </w:r>
            <w:r w:rsidRPr="00A35E3C">
              <w:rPr>
                <w:sz w:val="20"/>
                <w:szCs w:val="20"/>
                <w:lang w:val="fr-CA"/>
              </w:rPr>
              <w:t>)</w:t>
            </w:r>
          </w:p>
          <w:p w:rsidR="00C21644" w:rsidRPr="00A35E3C" w:rsidRDefault="00C21644" w:rsidP="005F1ED8">
            <w:pPr>
              <w:tabs>
                <w:tab w:val="left" w:pos="-1440"/>
                <w:tab w:val="left" w:pos="-720"/>
              </w:tabs>
              <w:rPr>
                <w:sz w:val="20"/>
                <w:szCs w:val="20"/>
                <w:lang w:val="fr-CA"/>
              </w:rPr>
            </w:pPr>
          </w:p>
          <w:p w:rsidR="00C21644" w:rsidRPr="00A35E3C" w:rsidRDefault="00A35E3C" w:rsidP="005F1ED8">
            <w:pPr>
              <w:tabs>
                <w:tab w:val="left" w:pos="-1440"/>
                <w:tab w:val="left" w:pos="-720"/>
              </w:tabs>
              <w:rPr>
                <w:b/>
                <w:sz w:val="20"/>
                <w:szCs w:val="20"/>
                <w:lang w:val="fr-CA"/>
              </w:rPr>
            </w:pPr>
            <w:r>
              <w:rPr>
                <w:b/>
                <w:sz w:val="20"/>
                <w:szCs w:val="20"/>
                <w:lang w:val="fr-CA"/>
              </w:rPr>
              <w:t xml:space="preserve">Kingsland Estates Limited et al. </w:t>
            </w:r>
            <w:r w:rsidR="00C21644" w:rsidRPr="00A35E3C">
              <w:rPr>
                <w:b/>
                <w:sz w:val="20"/>
                <w:szCs w:val="20"/>
                <w:lang w:val="fr-CA"/>
              </w:rPr>
              <w:t>(Ont.)</w:t>
            </w:r>
          </w:p>
          <w:p w:rsidR="00C21644" w:rsidRPr="00C3299A" w:rsidRDefault="00C21644" w:rsidP="005F1ED8">
            <w:pPr>
              <w:tabs>
                <w:tab w:val="left" w:pos="-1440"/>
                <w:tab w:val="left" w:pos="-720"/>
              </w:tabs>
              <w:rPr>
                <w:sz w:val="20"/>
                <w:szCs w:val="20"/>
              </w:rPr>
            </w:pPr>
            <w:r w:rsidRPr="00A35E3C">
              <w:rPr>
                <w:sz w:val="20"/>
                <w:szCs w:val="20"/>
                <w:lang w:val="fr-CA"/>
              </w:rPr>
              <w:tab/>
            </w:r>
            <w:r w:rsidR="00A35E3C" w:rsidRPr="00C3299A">
              <w:rPr>
                <w:sz w:val="20"/>
                <w:szCs w:val="20"/>
              </w:rPr>
              <w:t>Lorne S. Silver</w:t>
            </w:r>
          </w:p>
          <w:p w:rsidR="00C21644" w:rsidRPr="00A35E3C" w:rsidRDefault="00C21644" w:rsidP="005F1ED8">
            <w:pPr>
              <w:tabs>
                <w:tab w:val="left" w:pos="-1440"/>
                <w:tab w:val="left" w:pos="-720"/>
              </w:tabs>
              <w:rPr>
                <w:sz w:val="20"/>
                <w:szCs w:val="20"/>
              </w:rPr>
            </w:pPr>
            <w:r w:rsidRPr="00C3299A">
              <w:rPr>
                <w:sz w:val="20"/>
                <w:szCs w:val="20"/>
              </w:rPr>
              <w:tab/>
            </w:r>
            <w:r w:rsidR="00A35E3C" w:rsidRPr="00A35E3C">
              <w:rPr>
                <w:sz w:val="20"/>
                <w:szCs w:val="20"/>
              </w:rPr>
              <w:t>Cassels Brock &amp; Blackwell LLP</w:t>
            </w:r>
          </w:p>
          <w:p w:rsidR="00C21644" w:rsidRPr="00A35E3C" w:rsidRDefault="00C21644" w:rsidP="005F1ED8">
            <w:pPr>
              <w:tabs>
                <w:tab w:val="left" w:pos="-1440"/>
                <w:tab w:val="left" w:pos="-720"/>
              </w:tabs>
              <w:rPr>
                <w:sz w:val="20"/>
                <w:szCs w:val="20"/>
              </w:rPr>
            </w:pPr>
          </w:p>
          <w:p w:rsidR="00C21644" w:rsidRPr="00A35E3C" w:rsidRDefault="00C21644" w:rsidP="005F1ED8">
            <w:pPr>
              <w:rPr>
                <w:sz w:val="20"/>
                <w:szCs w:val="20"/>
              </w:rPr>
            </w:pPr>
            <w:r w:rsidRPr="00A35E3C">
              <w:rPr>
                <w:sz w:val="20"/>
                <w:szCs w:val="20"/>
              </w:rPr>
              <w:t>FILING DATE: 28.0</w:t>
            </w:r>
            <w:r w:rsidR="00A35E3C" w:rsidRPr="00A35E3C">
              <w:rPr>
                <w:sz w:val="20"/>
                <w:szCs w:val="20"/>
              </w:rPr>
              <w:t>4</w:t>
            </w:r>
            <w:r w:rsidRPr="00A35E3C">
              <w:rPr>
                <w:sz w:val="20"/>
                <w:szCs w:val="20"/>
              </w:rPr>
              <w:t>.2014</w:t>
            </w:r>
          </w:p>
          <w:p w:rsidR="00C21644" w:rsidRPr="00A35E3C" w:rsidRDefault="00F27688"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p w:rsidR="00C21644" w:rsidRPr="00A35E3C" w:rsidRDefault="00C21644" w:rsidP="00242AEE">
            <w:pPr>
              <w:jc w:val="center"/>
              <w:rPr>
                <w:sz w:val="20"/>
                <w:szCs w:val="20"/>
              </w:rPr>
            </w:pPr>
          </w:p>
        </w:tc>
        <w:tc>
          <w:tcPr>
            <w:tcW w:w="4320" w:type="dxa"/>
            <w:shd w:val="clear" w:color="auto" w:fill="auto"/>
          </w:tcPr>
          <w:p w:rsidR="00C21644" w:rsidRPr="00A35E3C" w:rsidRDefault="00A35E3C" w:rsidP="005F1ED8">
            <w:pPr>
              <w:rPr>
                <w:b/>
                <w:sz w:val="20"/>
                <w:szCs w:val="20"/>
                <w:lang w:val="fr-CA"/>
              </w:rPr>
            </w:pPr>
            <w:r w:rsidRPr="00A35E3C">
              <w:rPr>
                <w:b/>
                <w:sz w:val="20"/>
                <w:szCs w:val="20"/>
                <w:lang w:val="fr-CA"/>
              </w:rPr>
              <w:t>6250424 Canada Inc.</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Bernard Jacob</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Morency Société d’Avocats, s.e.n.c.r.l.</w:t>
            </w:r>
          </w:p>
          <w:p w:rsidR="00C21644" w:rsidRPr="00A35E3C" w:rsidRDefault="00C21644" w:rsidP="005F1ED8">
            <w:pPr>
              <w:tabs>
                <w:tab w:val="left" w:pos="-1440"/>
                <w:tab w:val="left" w:pos="-720"/>
              </w:tabs>
              <w:rPr>
                <w:sz w:val="20"/>
                <w:szCs w:val="20"/>
                <w:lang w:val="fr-CA"/>
              </w:rPr>
            </w:pP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sidRPr="00A35E3C">
              <w:rPr>
                <w:sz w:val="20"/>
                <w:szCs w:val="20"/>
                <w:lang w:val="fr-CA"/>
              </w:rPr>
              <w:t>c</w:t>
            </w:r>
            <w:r w:rsidRPr="00A35E3C">
              <w:rPr>
                <w:sz w:val="20"/>
                <w:szCs w:val="20"/>
                <w:lang w:val="fr-CA"/>
              </w:rPr>
              <w:t>. (35</w:t>
            </w:r>
            <w:r w:rsidR="00A35E3C">
              <w:rPr>
                <w:sz w:val="20"/>
                <w:szCs w:val="20"/>
                <w:lang w:val="fr-CA"/>
              </w:rPr>
              <w:t>853</w:t>
            </w:r>
            <w:r w:rsidRPr="00A35E3C">
              <w:rPr>
                <w:sz w:val="20"/>
                <w:szCs w:val="20"/>
                <w:lang w:val="fr-CA"/>
              </w:rPr>
              <w:t>)</w:t>
            </w:r>
          </w:p>
          <w:p w:rsidR="00C21644" w:rsidRPr="00A35E3C" w:rsidRDefault="00C21644" w:rsidP="005F1ED8">
            <w:pPr>
              <w:tabs>
                <w:tab w:val="left" w:pos="-1440"/>
                <w:tab w:val="left" w:pos="-720"/>
              </w:tabs>
              <w:rPr>
                <w:sz w:val="20"/>
                <w:szCs w:val="20"/>
                <w:lang w:val="fr-CA"/>
              </w:rPr>
            </w:pPr>
          </w:p>
          <w:p w:rsidR="00C21644" w:rsidRPr="00A35E3C" w:rsidRDefault="00A35E3C" w:rsidP="005F1ED8">
            <w:pPr>
              <w:tabs>
                <w:tab w:val="left" w:pos="-1440"/>
                <w:tab w:val="left" w:pos="-720"/>
              </w:tabs>
              <w:rPr>
                <w:b/>
                <w:sz w:val="20"/>
                <w:szCs w:val="20"/>
                <w:lang w:val="fr-CA"/>
              </w:rPr>
            </w:pPr>
            <w:r>
              <w:rPr>
                <w:b/>
                <w:sz w:val="20"/>
                <w:szCs w:val="20"/>
                <w:lang w:val="fr-CA"/>
              </w:rPr>
              <w:t xml:space="preserve">Ville de Gatineau </w:t>
            </w:r>
            <w:r w:rsidR="00C21644" w:rsidRPr="00A35E3C">
              <w:rPr>
                <w:b/>
                <w:sz w:val="20"/>
                <w:szCs w:val="20"/>
                <w:lang w:val="fr-CA"/>
              </w:rPr>
              <w:t>(</w:t>
            </w:r>
            <w:r>
              <w:rPr>
                <w:b/>
                <w:sz w:val="20"/>
                <w:szCs w:val="20"/>
                <w:lang w:val="fr-CA"/>
              </w:rPr>
              <w:t>Qc</w:t>
            </w:r>
            <w:r w:rsidR="00C21644" w:rsidRPr="00A35E3C">
              <w:rPr>
                <w:b/>
                <w:sz w:val="20"/>
                <w:szCs w:val="20"/>
                <w:lang w:val="fr-CA"/>
              </w:rPr>
              <w:t>)</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Francis Gervais, Ad. E.</w:t>
            </w:r>
          </w:p>
          <w:p w:rsidR="00C21644" w:rsidRPr="00A35E3C" w:rsidRDefault="00C21644" w:rsidP="005F1ED8">
            <w:pPr>
              <w:tabs>
                <w:tab w:val="left" w:pos="-1440"/>
                <w:tab w:val="left" w:pos="-720"/>
              </w:tabs>
              <w:rPr>
                <w:sz w:val="20"/>
                <w:szCs w:val="20"/>
                <w:lang w:val="fr-CA"/>
              </w:rPr>
            </w:pPr>
            <w:r w:rsidRPr="00A35E3C">
              <w:rPr>
                <w:sz w:val="20"/>
                <w:szCs w:val="20"/>
                <w:lang w:val="fr-CA"/>
              </w:rPr>
              <w:tab/>
            </w:r>
            <w:r w:rsidR="00A35E3C">
              <w:rPr>
                <w:sz w:val="20"/>
                <w:szCs w:val="20"/>
                <w:lang w:val="fr-CA"/>
              </w:rPr>
              <w:t xml:space="preserve">Deveau, Bourgeois, Gagné, Hébert &amp; </w:t>
            </w:r>
            <w:r w:rsidR="00A35E3C">
              <w:rPr>
                <w:sz w:val="20"/>
                <w:szCs w:val="20"/>
                <w:lang w:val="fr-CA"/>
              </w:rPr>
              <w:tab/>
              <w:t>associés, s.e.n.c.r.l.</w:t>
            </w:r>
          </w:p>
          <w:p w:rsidR="00C21644" w:rsidRPr="00A35E3C" w:rsidRDefault="00C21644" w:rsidP="005F1ED8">
            <w:pPr>
              <w:tabs>
                <w:tab w:val="left" w:pos="-1440"/>
                <w:tab w:val="left" w:pos="-720"/>
              </w:tabs>
              <w:rPr>
                <w:sz w:val="20"/>
                <w:szCs w:val="20"/>
                <w:lang w:val="fr-CA"/>
              </w:rPr>
            </w:pPr>
          </w:p>
          <w:p w:rsidR="00C21644" w:rsidRPr="00A35E3C" w:rsidRDefault="00A35E3C" w:rsidP="00A35E3C">
            <w:pPr>
              <w:rPr>
                <w:sz w:val="20"/>
                <w:szCs w:val="20"/>
                <w:lang w:val="fr-CA"/>
              </w:rPr>
            </w:pPr>
            <w:r w:rsidRPr="00136639">
              <w:rPr>
                <w:sz w:val="20"/>
                <w:szCs w:val="20"/>
                <w:lang w:val="fr-CA"/>
              </w:rPr>
              <w:t xml:space="preserve">DATE DE PRODUCTION: </w:t>
            </w:r>
            <w:r>
              <w:rPr>
                <w:sz w:val="20"/>
                <w:szCs w:val="20"/>
                <w:lang w:val="fr-CA"/>
              </w:rPr>
              <w:t>28</w:t>
            </w:r>
            <w:r w:rsidRPr="00136639">
              <w:rPr>
                <w:sz w:val="20"/>
                <w:szCs w:val="20"/>
                <w:lang w:val="fr-CA"/>
              </w:rPr>
              <w:t>.0</w:t>
            </w:r>
            <w:r>
              <w:rPr>
                <w:sz w:val="20"/>
                <w:szCs w:val="20"/>
                <w:lang w:val="fr-CA"/>
              </w:rPr>
              <w:t>4</w:t>
            </w:r>
            <w:r w:rsidRPr="00136639">
              <w:rPr>
                <w:sz w:val="20"/>
                <w:szCs w:val="20"/>
                <w:lang w:val="fr-CA"/>
              </w:rPr>
              <w:t>.2014</w:t>
            </w:r>
            <w:r w:rsidR="00F27688">
              <w:rPr>
                <w:sz w:val="20"/>
                <w:szCs w:val="20"/>
                <w:lang w:val="fr-CA"/>
              </w:rPr>
              <w:pict>
                <v:rect id="_x0000_i1036" style="width:108pt;height:1pt" o:hrpct="0" o:hralign="center" o:hrstd="t" o:hrnoshade="t" o:hr="t" fillcolor="black [3213]" stroked="f"/>
              </w:pict>
            </w:r>
          </w:p>
        </w:tc>
      </w:tr>
      <w:tr w:rsidR="00BD4EFB" w:rsidRPr="00136639" w:rsidTr="003B3977">
        <w:trPr>
          <w:cantSplit/>
        </w:trPr>
        <w:tc>
          <w:tcPr>
            <w:tcW w:w="4320" w:type="dxa"/>
            <w:shd w:val="clear" w:color="auto" w:fill="auto"/>
          </w:tcPr>
          <w:p w:rsidR="00BD4EFB" w:rsidRPr="00A35E3C" w:rsidRDefault="00A25F6E" w:rsidP="00BD4EFB">
            <w:pPr>
              <w:rPr>
                <w:b/>
                <w:sz w:val="20"/>
                <w:szCs w:val="20"/>
              </w:rPr>
            </w:pPr>
            <w:r>
              <w:rPr>
                <w:b/>
                <w:sz w:val="20"/>
                <w:szCs w:val="20"/>
              </w:rPr>
              <w:t>Je</w:t>
            </w:r>
            <w:r w:rsidR="00A35E3C" w:rsidRPr="00A35E3C">
              <w:rPr>
                <w:b/>
                <w:sz w:val="20"/>
                <w:szCs w:val="20"/>
              </w:rPr>
              <w:t>nn</w:t>
            </w:r>
            <w:r>
              <w:rPr>
                <w:b/>
                <w:sz w:val="20"/>
                <w:szCs w:val="20"/>
              </w:rPr>
              <w:t>y Tr</w:t>
            </w:r>
            <w:r w:rsidR="00A35E3C" w:rsidRPr="00A35E3C">
              <w:rPr>
                <w:b/>
                <w:sz w:val="20"/>
                <w:szCs w:val="20"/>
              </w:rPr>
              <w:t>an</w:t>
            </w:r>
          </w:p>
          <w:p w:rsidR="00BD4EFB" w:rsidRPr="00A35E3C" w:rsidRDefault="00BD4EFB" w:rsidP="00BD4EFB">
            <w:pPr>
              <w:tabs>
                <w:tab w:val="left" w:pos="-1440"/>
                <w:tab w:val="left" w:pos="-720"/>
              </w:tabs>
              <w:rPr>
                <w:sz w:val="20"/>
                <w:szCs w:val="20"/>
              </w:rPr>
            </w:pPr>
            <w:r w:rsidRPr="00A35E3C">
              <w:rPr>
                <w:sz w:val="20"/>
                <w:szCs w:val="20"/>
              </w:rPr>
              <w:tab/>
            </w:r>
            <w:r w:rsidR="00A25F6E">
              <w:rPr>
                <w:sz w:val="20"/>
                <w:szCs w:val="20"/>
              </w:rPr>
              <w:t>Jenny Tr</w:t>
            </w:r>
            <w:r w:rsidR="00A35E3C">
              <w:rPr>
                <w:sz w:val="20"/>
                <w:szCs w:val="20"/>
              </w:rPr>
              <w:t>an</w:t>
            </w:r>
          </w:p>
          <w:p w:rsidR="00BD4EFB" w:rsidRPr="00A35E3C" w:rsidRDefault="00BD4EFB" w:rsidP="00BD4EFB">
            <w:pPr>
              <w:tabs>
                <w:tab w:val="left" w:pos="-1440"/>
                <w:tab w:val="left" w:pos="-720"/>
              </w:tabs>
              <w:rPr>
                <w:sz w:val="20"/>
                <w:szCs w:val="20"/>
              </w:rPr>
            </w:pPr>
          </w:p>
          <w:p w:rsidR="00BD4EFB" w:rsidRPr="00A935AA" w:rsidRDefault="00BD4EFB" w:rsidP="00BD4EFB">
            <w:pPr>
              <w:tabs>
                <w:tab w:val="left" w:pos="-1440"/>
                <w:tab w:val="left" w:pos="-720"/>
              </w:tabs>
              <w:rPr>
                <w:sz w:val="20"/>
                <w:szCs w:val="20"/>
              </w:rPr>
            </w:pPr>
            <w:r w:rsidRPr="00A35E3C">
              <w:rPr>
                <w:sz w:val="20"/>
                <w:szCs w:val="20"/>
              </w:rPr>
              <w:tab/>
            </w:r>
            <w:r w:rsidRPr="00A935AA">
              <w:rPr>
                <w:sz w:val="20"/>
                <w:szCs w:val="20"/>
              </w:rPr>
              <w:t>v. (3</w:t>
            </w:r>
            <w:r>
              <w:rPr>
                <w:sz w:val="20"/>
                <w:szCs w:val="20"/>
              </w:rPr>
              <w:t>5</w:t>
            </w:r>
            <w:r w:rsidR="00A25F6E">
              <w:rPr>
                <w:sz w:val="20"/>
                <w:szCs w:val="20"/>
              </w:rPr>
              <w:t>855</w:t>
            </w:r>
            <w:r w:rsidRPr="00A935AA">
              <w:rPr>
                <w:sz w:val="20"/>
                <w:szCs w:val="20"/>
              </w:rPr>
              <w:t>)</w:t>
            </w:r>
          </w:p>
          <w:p w:rsidR="00BD4EFB" w:rsidRPr="00A935AA" w:rsidRDefault="00BD4EFB" w:rsidP="00BD4EFB">
            <w:pPr>
              <w:tabs>
                <w:tab w:val="left" w:pos="-1440"/>
                <w:tab w:val="left" w:pos="-720"/>
              </w:tabs>
              <w:rPr>
                <w:sz w:val="20"/>
                <w:szCs w:val="20"/>
              </w:rPr>
            </w:pPr>
          </w:p>
          <w:p w:rsidR="00BD4EFB" w:rsidRPr="00A935AA" w:rsidRDefault="00A35E3C" w:rsidP="00BD4EFB">
            <w:pPr>
              <w:tabs>
                <w:tab w:val="left" w:pos="-1440"/>
                <w:tab w:val="left" w:pos="-720"/>
              </w:tabs>
              <w:rPr>
                <w:b/>
                <w:sz w:val="20"/>
                <w:szCs w:val="20"/>
              </w:rPr>
            </w:pPr>
            <w:r>
              <w:rPr>
                <w:b/>
                <w:sz w:val="20"/>
                <w:szCs w:val="20"/>
              </w:rPr>
              <w:t xml:space="preserve">Her Majesty the Queen </w:t>
            </w:r>
            <w:r w:rsidR="00BD4EFB" w:rsidRPr="00A935AA">
              <w:rPr>
                <w:b/>
                <w:sz w:val="20"/>
                <w:szCs w:val="20"/>
              </w:rPr>
              <w:t>(</w:t>
            </w:r>
            <w:r w:rsidR="00BD4EFB">
              <w:rPr>
                <w:b/>
                <w:sz w:val="20"/>
                <w:szCs w:val="20"/>
              </w:rPr>
              <w:t>Ont</w:t>
            </w:r>
            <w:r w:rsidR="00BD4EFB" w:rsidRPr="00A935AA">
              <w:rPr>
                <w:b/>
                <w:sz w:val="20"/>
                <w:szCs w:val="20"/>
              </w:rPr>
              <w:t>.)</w:t>
            </w:r>
          </w:p>
          <w:p w:rsidR="00BD4EFB" w:rsidRPr="00A935AA" w:rsidRDefault="00BD4EFB" w:rsidP="00BD4EFB">
            <w:pPr>
              <w:tabs>
                <w:tab w:val="left" w:pos="-1440"/>
                <w:tab w:val="left" w:pos="-720"/>
              </w:tabs>
              <w:rPr>
                <w:sz w:val="20"/>
                <w:szCs w:val="20"/>
              </w:rPr>
            </w:pPr>
            <w:r w:rsidRPr="00A935AA">
              <w:rPr>
                <w:sz w:val="20"/>
                <w:szCs w:val="20"/>
              </w:rPr>
              <w:tab/>
            </w:r>
            <w:r w:rsidR="00A25F6E">
              <w:rPr>
                <w:sz w:val="20"/>
                <w:szCs w:val="20"/>
              </w:rPr>
              <w:t>Sean D</w:t>
            </w:r>
            <w:r w:rsidR="00A35E3C">
              <w:rPr>
                <w:sz w:val="20"/>
                <w:szCs w:val="20"/>
              </w:rPr>
              <w:t>o</w:t>
            </w:r>
            <w:r w:rsidR="00A25F6E">
              <w:rPr>
                <w:sz w:val="20"/>
                <w:szCs w:val="20"/>
              </w:rPr>
              <w:t>y</w:t>
            </w:r>
            <w:r w:rsidR="00A35E3C">
              <w:rPr>
                <w:sz w:val="20"/>
                <w:szCs w:val="20"/>
              </w:rPr>
              <w:t>le</w:t>
            </w:r>
          </w:p>
          <w:p w:rsidR="00BD4EFB" w:rsidRPr="00A935AA" w:rsidRDefault="00BD4EFB" w:rsidP="00BD4EFB">
            <w:pPr>
              <w:tabs>
                <w:tab w:val="left" w:pos="-1440"/>
                <w:tab w:val="left" w:pos="-720"/>
              </w:tabs>
              <w:rPr>
                <w:sz w:val="20"/>
                <w:szCs w:val="20"/>
              </w:rPr>
            </w:pPr>
            <w:r w:rsidRPr="00A935AA">
              <w:rPr>
                <w:sz w:val="20"/>
                <w:szCs w:val="20"/>
              </w:rPr>
              <w:tab/>
            </w:r>
            <w:r w:rsidR="00A25F6E">
              <w:rPr>
                <w:sz w:val="20"/>
                <w:szCs w:val="20"/>
              </w:rPr>
              <w:t xml:space="preserve">Ministry of the Attorney General of </w:t>
            </w:r>
            <w:r w:rsidR="00A25F6E">
              <w:rPr>
                <w:sz w:val="20"/>
                <w:szCs w:val="20"/>
              </w:rPr>
              <w:tab/>
              <w:t>Oatario</w:t>
            </w:r>
          </w:p>
          <w:p w:rsidR="00BD4EFB" w:rsidRPr="00A935AA" w:rsidRDefault="00BD4EFB" w:rsidP="00BD4EFB">
            <w:pPr>
              <w:tabs>
                <w:tab w:val="left" w:pos="-1440"/>
                <w:tab w:val="left" w:pos="-720"/>
              </w:tabs>
              <w:rPr>
                <w:sz w:val="20"/>
                <w:szCs w:val="20"/>
              </w:rPr>
            </w:pPr>
          </w:p>
          <w:p w:rsidR="00A35E3C" w:rsidRPr="00A35E3C" w:rsidRDefault="00A35E3C" w:rsidP="00A35E3C">
            <w:pPr>
              <w:rPr>
                <w:sz w:val="20"/>
                <w:szCs w:val="20"/>
              </w:rPr>
            </w:pPr>
            <w:r w:rsidRPr="00A35E3C">
              <w:rPr>
                <w:sz w:val="20"/>
                <w:szCs w:val="20"/>
              </w:rPr>
              <w:t>FILING DATE: 28.04.2014</w:t>
            </w:r>
          </w:p>
          <w:p w:rsidR="00BD4EFB" w:rsidRPr="00A935AA" w:rsidRDefault="00F27688" w:rsidP="00BD4EFB">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Pr="00A935AA" w:rsidRDefault="00BD4EFB" w:rsidP="00242AEE">
            <w:pPr>
              <w:jc w:val="center"/>
              <w:rPr>
                <w:sz w:val="20"/>
                <w:szCs w:val="20"/>
              </w:rPr>
            </w:pPr>
          </w:p>
        </w:tc>
        <w:tc>
          <w:tcPr>
            <w:tcW w:w="4320" w:type="dxa"/>
            <w:shd w:val="clear" w:color="auto" w:fill="auto"/>
          </w:tcPr>
          <w:p w:rsidR="00BD4EFB" w:rsidRDefault="00BD4EFB" w:rsidP="00BD4EFB">
            <w:pPr>
              <w:rPr>
                <w:b/>
                <w:sz w:val="20"/>
                <w:szCs w:val="20"/>
              </w:rPr>
            </w:pPr>
          </w:p>
          <w:p w:rsidR="00A25F6E" w:rsidRPr="00C3299A" w:rsidRDefault="00A25F6E" w:rsidP="00BD4EFB">
            <w:pPr>
              <w:rPr>
                <w:b/>
                <w:sz w:val="20"/>
                <w:szCs w:val="20"/>
                <w:lang w:val="fr-CA"/>
              </w:rPr>
            </w:pPr>
            <w:r w:rsidRPr="00C3299A">
              <w:rPr>
                <w:b/>
                <w:sz w:val="20"/>
                <w:szCs w:val="20"/>
                <w:lang w:val="fr-CA"/>
              </w:rPr>
              <w:t>Clinton Valentine</w:t>
            </w:r>
          </w:p>
          <w:p w:rsidR="00A25F6E" w:rsidRPr="00C3299A" w:rsidRDefault="00BD4EFB" w:rsidP="00A25F6E">
            <w:pPr>
              <w:tabs>
                <w:tab w:val="left" w:pos="-1440"/>
                <w:tab w:val="left" w:pos="-720"/>
              </w:tabs>
              <w:rPr>
                <w:sz w:val="20"/>
                <w:szCs w:val="20"/>
                <w:lang w:val="fr-CA"/>
              </w:rPr>
            </w:pPr>
            <w:r w:rsidRPr="00C3299A">
              <w:rPr>
                <w:sz w:val="20"/>
                <w:szCs w:val="20"/>
                <w:lang w:val="fr-CA"/>
              </w:rPr>
              <w:tab/>
            </w:r>
            <w:r w:rsidR="00A25F6E" w:rsidRPr="00C3299A">
              <w:rPr>
                <w:sz w:val="20"/>
                <w:szCs w:val="20"/>
                <w:lang w:val="fr-CA"/>
              </w:rPr>
              <w:t>Najma Jamaldin</w:t>
            </w:r>
          </w:p>
          <w:p w:rsidR="00BD4EFB" w:rsidRPr="00C3299A" w:rsidRDefault="00BD4EFB" w:rsidP="00BD4EFB">
            <w:pPr>
              <w:tabs>
                <w:tab w:val="left" w:pos="-1440"/>
                <w:tab w:val="left" w:pos="-720"/>
              </w:tabs>
              <w:rPr>
                <w:sz w:val="20"/>
                <w:szCs w:val="20"/>
                <w:lang w:val="fr-CA"/>
              </w:rPr>
            </w:pPr>
          </w:p>
          <w:p w:rsidR="00BD4EFB" w:rsidRPr="00C3299A" w:rsidRDefault="00BD4EFB" w:rsidP="00BD4EFB">
            <w:pPr>
              <w:tabs>
                <w:tab w:val="left" w:pos="-1440"/>
                <w:tab w:val="left" w:pos="-720"/>
              </w:tabs>
              <w:rPr>
                <w:sz w:val="20"/>
                <w:szCs w:val="20"/>
                <w:lang w:val="fr-CA"/>
              </w:rPr>
            </w:pPr>
            <w:r w:rsidRPr="00C3299A">
              <w:rPr>
                <w:sz w:val="20"/>
                <w:szCs w:val="20"/>
                <w:lang w:val="fr-CA"/>
              </w:rPr>
              <w:tab/>
            </w:r>
            <w:r w:rsidR="00136639" w:rsidRPr="00C3299A">
              <w:rPr>
                <w:sz w:val="20"/>
                <w:szCs w:val="20"/>
                <w:lang w:val="fr-CA"/>
              </w:rPr>
              <w:t>c</w:t>
            </w:r>
            <w:r w:rsidRPr="00C3299A">
              <w:rPr>
                <w:sz w:val="20"/>
                <w:szCs w:val="20"/>
                <w:lang w:val="fr-CA"/>
              </w:rPr>
              <w:t>. (35</w:t>
            </w:r>
            <w:r w:rsidR="00A25F6E" w:rsidRPr="00C3299A">
              <w:rPr>
                <w:sz w:val="20"/>
                <w:szCs w:val="20"/>
                <w:lang w:val="fr-CA"/>
              </w:rPr>
              <w:t>856</w:t>
            </w:r>
            <w:r w:rsidRPr="00C3299A">
              <w:rPr>
                <w:sz w:val="20"/>
                <w:szCs w:val="20"/>
                <w:lang w:val="fr-CA"/>
              </w:rPr>
              <w:t>)</w:t>
            </w:r>
          </w:p>
          <w:p w:rsidR="00BD4EFB" w:rsidRPr="00C3299A" w:rsidRDefault="00BD4EFB" w:rsidP="00BD4EFB">
            <w:pPr>
              <w:tabs>
                <w:tab w:val="left" w:pos="-1440"/>
                <w:tab w:val="left" w:pos="-720"/>
              </w:tabs>
              <w:rPr>
                <w:sz w:val="20"/>
                <w:szCs w:val="20"/>
                <w:lang w:val="fr-CA"/>
              </w:rPr>
            </w:pPr>
          </w:p>
          <w:p w:rsidR="00A25F6E" w:rsidRPr="00A935AA" w:rsidRDefault="00A25F6E" w:rsidP="00A25F6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25F6E" w:rsidRPr="00A935AA" w:rsidRDefault="00A25F6E" w:rsidP="00A25F6E">
            <w:pPr>
              <w:tabs>
                <w:tab w:val="left" w:pos="-1440"/>
                <w:tab w:val="left" w:pos="-720"/>
              </w:tabs>
              <w:rPr>
                <w:sz w:val="20"/>
                <w:szCs w:val="20"/>
              </w:rPr>
            </w:pPr>
            <w:r w:rsidRPr="00A935AA">
              <w:rPr>
                <w:sz w:val="20"/>
                <w:szCs w:val="20"/>
              </w:rPr>
              <w:tab/>
            </w:r>
            <w:r>
              <w:rPr>
                <w:sz w:val="20"/>
                <w:szCs w:val="20"/>
              </w:rPr>
              <w:t>Nicolas E. Devlin</w:t>
            </w:r>
          </w:p>
          <w:p w:rsidR="00A25F6E" w:rsidRPr="00A935AA" w:rsidRDefault="00A25F6E" w:rsidP="00A25F6E">
            <w:pPr>
              <w:tabs>
                <w:tab w:val="left" w:pos="-1440"/>
                <w:tab w:val="left" w:pos="-720"/>
              </w:tabs>
              <w:rPr>
                <w:sz w:val="20"/>
                <w:szCs w:val="20"/>
              </w:rPr>
            </w:pPr>
            <w:r w:rsidRPr="00A935AA">
              <w:rPr>
                <w:sz w:val="20"/>
                <w:szCs w:val="20"/>
              </w:rPr>
              <w:tab/>
            </w:r>
            <w:r>
              <w:rPr>
                <w:sz w:val="20"/>
                <w:szCs w:val="20"/>
              </w:rPr>
              <w:t>Public Prosecution Service of Canada</w:t>
            </w:r>
          </w:p>
          <w:p w:rsidR="00BD4EFB" w:rsidRPr="00A25F6E" w:rsidRDefault="00BD4EFB" w:rsidP="00BD4EFB">
            <w:pPr>
              <w:tabs>
                <w:tab w:val="left" w:pos="-1440"/>
                <w:tab w:val="left" w:pos="-720"/>
              </w:tabs>
              <w:rPr>
                <w:sz w:val="20"/>
                <w:szCs w:val="20"/>
              </w:rPr>
            </w:pPr>
          </w:p>
          <w:p w:rsidR="00A25F6E" w:rsidRPr="00A35E3C" w:rsidRDefault="00A25F6E" w:rsidP="00A25F6E">
            <w:pPr>
              <w:rPr>
                <w:sz w:val="20"/>
                <w:szCs w:val="20"/>
              </w:rPr>
            </w:pPr>
            <w:r w:rsidRPr="00A35E3C">
              <w:rPr>
                <w:sz w:val="20"/>
                <w:szCs w:val="20"/>
              </w:rPr>
              <w:t>FILING DATE: 28.04.2014</w:t>
            </w:r>
          </w:p>
          <w:p w:rsidR="00BD4EFB" w:rsidRPr="00136639" w:rsidRDefault="00F27688" w:rsidP="00BD4EFB">
            <w:pPr>
              <w:rPr>
                <w:sz w:val="20"/>
                <w:szCs w:val="20"/>
                <w:lang w:val="fr-CA"/>
              </w:rPr>
            </w:pPr>
            <w:r>
              <w:rPr>
                <w:sz w:val="20"/>
                <w:szCs w:val="20"/>
                <w:lang w:val="fr-CA"/>
              </w:rPr>
              <w:pict>
                <v:rect id="_x0000_i1038" style="width:108pt;height:1pt" o:hrpct="0" o:hralign="center" o:hrstd="t" o:hrnoshade="t" o:hr="t" fillcolor="black [3213]" stroked="f"/>
              </w:pict>
            </w:r>
          </w:p>
        </w:tc>
      </w:tr>
      <w:tr w:rsidR="00BD4EFB" w:rsidRPr="00A935AA" w:rsidTr="003B3977">
        <w:trPr>
          <w:cantSplit/>
        </w:trPr>
        <w:tc>
          <w:tcPr>
            <w:tcW w:w="4320" w:type="dxa"/>
            <w:shd w:val="clear" w:color="auto" w:fill="auto"/>
          </w:tcPr>
          <w:p w:rsidR="00BD4EFB" w:rsidRPr="00A25F6E" w:rsidRDefault="00A25F6E" w:rsidP="00BD4EFB">
            <w:pPr>
              <w:rPr>
                <w:b/>
                <w:sz w:val="20"/>
                <w:szCs w:val="20"/>
              </w:rPr>
            </w:pPr>
            <w:r w:rsidRPr="00A25F6E">
              <w:rPr>
                <w:b/>
                <w:sz w:val="20"/>
                <w:szCs w:val="20"/>
              </w:rPr>
              <w:t>Jason Kyle Severight</w:t>
            </w:r>
          </w:p>
          <w:p w:rsidR="00BD4EFB" w:rsidRPr="00A25F6E" w:rsidRDefault="00BD4EFB" w:rsidP="00BD4EFB">
            <w:pPr>
              <w:tabs>
                <w:tab w:val="left" w:pos="-1440"/>
                <w:tab w:val="left" w:pos="-720"/>
              </w:tabs>
              <w:rPr>
                <w:sz w:val="20"/>
                <w:szCs w:val="20"/>
              </w:rPr>
            </w:pPr>
            <w:r w:rsidRPr="00A25F6E">
              <w:rPr>
                <w:sz w:val="20"/>
                <w:szCs w:val="20"/>
              </w:rPr>
              <w:tab/>
            </w:r>
            <w:r w:rsidR="00A25F6E" w:rsidRPr="00A25F6E">
              <w:rPr>
                <w:sz w:val="20"/>
                <w:szCs w:val="20"/>
              </w:rPr>
              <w:t>Scott Newman</w:t>
            </w:r>
          </w:p>
          <w:p w:rsidR="00BD4EFB" w:rsidRPr="00A25F6E" w:rsidRDefault="00BD4EFB" w:rsidP="00BD4EFB">
            <w:pPr>
              <w:tabs>
                <w:tab w:val="left" w:pos="-1440"/>
                <w:tab w:val="left" w:pos="-720"/>
              </w:tabs>
              <w:rPr>
                <w:sz w:val="20"/>
                <w:szCs w:val="20"/>
              </w:rPr>
            </w:pPr>
            <w:r w:rsidRPr="00A25F6E">
              <w:rPr>
                <w:sz w:val="20"/>
                <w:szCs w:val="20"/>
              </w:rPr>
              <w:tab/>
            </w:r>
            <w:r w:rsidR="00A25F6E" w:rsidRPr="00A25F6E">
              <w:rPr>
                <w:sz w:val="20"/>
                <w:szCs w:val="20"/>
              </w:rPr>
              <w:t>Martin White Manning Newman LLP</w:t>
            </w:r>
          </w:p>
          <w:p w:rsidR="00BD4EFB" w:rsidRPr="00A25F6E" w:rsidRDefault="00BD4EFB" w:rsidP="00BD4EFB">
            <w:pPr>
              <w:tabs>
                <w:tab w:val="left" w:pos="-1440"/>
                <w:tab w:val="left" w:pos="-720"/>
              </w:tabs>
              <w:rPr>
                <w:sz w:val="20"/>
                <w:szCs w:val="20"/>
              </w:rPr>
            </w:pPr>
          </w:p>
          <w:p w:rsidR="00BD4EFB" w:rsidRPr="00A935AA" w:rsidRDefault="00BD4EFB" w:rsidP="00BD4EFB">
            <w:pPr>
              <w:tabs>
                <w:tab w:val="left" w:pos="-1440"/>
                <w:tab w:val="left" w:pos="-720"/>
              </w:tabs>
              <w:rPr>
                <w:sz w:val="20"/>
                <w:szCs w:val="20"/>
              </w:rPr>
            </w:pPr>
            <w:r w:rsidRPr="00A25F6E">
              <w:rPr>
                <w:sz w:val="20"/>
                <w:szCs w:val="20"/>
              </w:rPr>
              <w:tab/>
            </w:r>
            <w:r w:rsidRPr="00A935AA">
              <w:rPr>
                <w:sz w:val="20"/>
                <w:szCs w:val="20"/>
              </w:rPr>
              <w:t>v. (3</w:t>
            </w:r>
            <w:r>
              <w:rPr>
                <w:sz w:val="20"/>
                <w:szCs w:val="20"/>
              </w:rPr>
              <w:t>5</w:t>
            </w:r>
            <w:r w:rsidR="00A25F6E">
              <w:rPr>
                <w:sz w:val="20"/>
                <w:szCs w:val="20"/>
              </w:rPr>
              <w:t>859</w:t>
            </w:r>
            <w:r w:rsidRPr="00A935AA">
              <w:rPr>
                <w:sz w:val="20"/>
                <w:szCs w:val="20"/>
              </w:rPr>
              <w:t>)</w:t>
            </w:r>
          </w:p>
          <w:p w:rsidR="00BD4EFB" w:rsidRPr="00A935AA" w:rsidRDefault="00BD4EFB" w:rsidP="00BD4EFB">
            <w:pPr>
              <w:tabs>
                <w:tab w:val="left" w:pos="-1440"/>
                <w:tab w:val="left" w:pos="-720"/>
              </w:tabs>
              <w:rPr>
                <w:sz w:val="20"/>
                <w:szCs w:val="20"/>
              </w:rPr>
            </w:pPr>
          </w:p>
          <w:p w:rsidR="00BD4EFB" w:rsidRPr="00A935AA" w:rsidRDefault="00A25F6E" w:rsidP="00BD4EFB">
            <w:pPr>
              <w:tabs>
                <w:tab w:val="left" w:pos="-1440"/>
                <w:tab w:val="left" w:pos="-720"/>
              </w:tabs>
              <w:rPr>
                <w:b/>
                <w:sz w:val="20"/>
                <w:szCs w:val="20"/>
              </w:rPr>
            </w:pPr>
            <w:r>
              <w:rPr>
                <w:b/>
                <w:sz w:val="20"/>
                <w:szCs w:val="20"/>
              </w:rPr>
              <w:t xml:space="preserve">Her Majesty the Queen </w:t>
            </w:r>
            <w:r w:rsidR="00BD4EFB" w:rsidRPr="00A935AA">
              <w:rPr>
                <w:b/>
                <w:sz w:val="20"/>
                <w:szCs w:val="20"/>
              </w:rPr>
              <w:t>(</w:t>
            </w:r>
            <w:r>
              <w:rPr>
                <w:b/>
                <w:sz w:val="20"/>
                <w:szCs w:val="20"/>
              </w:rPr>
              <w:t>Al</w:t>
            </w:r>
            <w:r w:rsidR="00BD4EFB">
              <w:rPr>
                <w:b/>
                <w:sz w:val="20"/>
                <w:szCs w:val="20"/>
              </w:rPr>
              <w:t>t</w:t>
            </w:r>
            <w:r>
              <w:rPr>
                <w:b/>
                <w:sz w:val="20"/>
                <w:szCs w:val="20"/>
              </w:rPr>
              <w:t>a</w:t>
            </w:r>
            <w:r w:rsidR="00BD4EFB" w:rsidRPr="00A935AA">
              <w:rPr>
                <w:b/>
                <w:sz w:val="20"/>
                <w:szCs w:val="20"/>
              </w:rPr>
              <w:t>.)</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Maureen McGuire</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A.G. of Alberta</w:t>
            </w:r>
          </w:p>
          <w:p w:rsidR="00BD4EFB" w:rsidRPr="00A935AA" w:rsidRDefault="00BD4EFB" w:rsidP="00BD4EFB">
            <w:pPr>
              <w:tabs>
                <w:tab w:val="left" w:pos="-1440"/>
                <w:tab w:val="left" w:pos="-720"/>
              </w:tabs>
              <w:rPr>
                <w:sz w:val="20"/>
                <w:szCs w:val="20"/>
              </w:rPr>
            </w:pPr>
          </w:p>
          <w:p w:rsidR="00BD4EFB" w:rsidRPr="00A935AA" w:rsidRDefault="00A25F6E" w:rsidP="00BD4EFB">
            <w:pPr>
              <w:rPr>
                <w:sz w:val="20"/>
                <w:szCs w:val="20"/>
              </w:rPr>
            </w:pPr>
            <w:r w:rsidRPr="00A35E3C">
              <w:rPr>
                <w:sz w:val="20"/>
                <w:szCs w:val="20"/>
              </w:rPr>
              <w:t>FILING DATE: 28.04.2014</w:t>
            </w:r>
            <w:r w:rsidR="00F27688">
              <w:rPr>
                <w:sz w:val="20"/>
                <w:szCs w:val="20"/>
                <w:lang w:val="fr-CA"/>
              </w:rPr>
              <w:pict>
                <v:rect id="_x0000_i1039" style="width:108pt;height:1pt" o:hrpct="0" o:hralign="center" o:hrstd="t" o:hrnoshade="t" o:hr="t" fillcolor="black [3213]" stroked="f"/>
              </w:pict>
            </w:r>
          </w:p>
        </w:tc>
        <w:tc>
          <w:tcPr>
            <w:tcW w:w="1181" w:type="dxa"/>
            <w:shd w:val="clear" w:color="auto" w:fill="auto"/>
          </w:tcPr>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Pr="00A935AA" w:rsidRDefault="00BD4EFB" w:rsidP="00242AEE">
            <w:pPr>
              <w:jc w:val="center"/>
              <w:rPr>
                <w:sz w:val="20"/>
                <w:szCs w:val="20"/>
              </w:rPr>
            </w:pPr>
          </w:p>
        </w:tc>
        <w:tc>
          <w:tcPr>
            <w:tcW w:w="4320" w:type="dxa"/>
            <w:shd w:val="clear" w:color="auto" w:fill="auto"/>
          </w:tcPr>
          <w:p w:rsidR="00BD4EFB" w:rsidRPr="00A935AA" w:rsidRDefault="009A36D5" w:rsidP="00BD4EFB">
            <w:pPr>
              <w:rPr>
                <w:b/>
                <w:sz w:val="20"/>
                <w:szCs w:val="20"/>
              </w:rPr>
            </w:pPr>
            <w:r>
              <w:rPr>
                <w:b/>
                <w:sz w:val="20"/>
                <w:szCs w:val="20"/>
              </w:rPr>
              <w:t>Tyler Curry</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Ian M. Carter</w:t>
            </w:r>
          </w:p>
          <w:p w:rsidR="00BD4EFB" w:rsidRDefault="00B86316" w:rsidP="00BD4EFB">
            <w:pPr>
              <w:tabs>
                <w:tab w:val="left" w:pos="-1440"/>
                <w:tab w:val="left" w:pos="-720"/>
              </w:tabs>
              <w:rPr>
                <w:sz w:val="20"/>
                <w:szCs w:val="20"/>
              </w:rPr>
            </w:pPr>
            <w:r>
              <w:rPr>
                <w:sz w:val="20"/>
                <w:szCs w:val="20"/>
              </w:rPr>
              <w:tab/>
              <w:t>Bayne, Sellar, Boxall</w:t>
            </w:r>
          </w:p>
          <w:p w:rsidR="00B86316" w:rsidRPr="00A935AA" w:rsidRDefault="00B86316" w:rsidP="00BD4EFB">
            <w:pPr>
              <w:tabs>
                <w:tab w:val="left" w:pos="-1440"/>
                <w:tab w:val="left" w:pos="-720"/>
              </w:tabs>
              <w:rPr>
                <w:sz w:val="20"/>
                <w:szCs w:val="20"/>
              </w:rPr>
            </w:pPr>
          </w:p>
          <w:p w:rsidR="00BD4EFB" w:rsidRPr="00A935AA" w:rsidRDefault="00BD4EFB" w:rsidP="00BD4EFB">
            <w:pPr>
              <w:tabs>
                <w:tab w:val="left" w:pos="-1440"/>
                <w:tab w:val="left" w:pos="-720"/>
              </w:tabs>
              <w:rPr>
                <w:sz w:val="20"/>
                <w:szCs w:val="20"/>
              </w:rPr>
            </w:pPr>
            <w:r w:rsidRPr="00A935AA">
              <w:rPr>
                <w:sz w:val="20"/>
                <w:szCs w:val="20"/>
              </w:rPr>
              <w:tab/>
              <w:t>v. (3</w:t>
            </w:r>
            <w:r>
              <w:rPr>
                <w:sz w:val="20"/>
                <w:szCs w:val="20"/>
              </w:rPr>
              <w:t>5</w:t>
            </w:r>
            <w:r w:rsidR="009A36D5">
              <w:rPr>
                <w:sz w:val="20"/>
                <w:szCs w:val="20"/>
              </w:rPr>
              <w:t>863</w:t>
            </w:r>
            <w:r w:rsidRPr="00A935AA">
              <w:rPr>
                <w:sz w:val="20"/>
                <w:szCs w:val="20"/>
              </w:rPr>
              <w:t>)</w:t>
            </w:r>
          </w:p>
          <w:p w:rsidR="00BD4EFB" w:rsidRPr="00A935AA" w:rsidRDefault="00BD4EFB" w:rsidP="00BD4EFB">
            <w:pPr>
              <w:tabs>
                <w:tab w:val="left" w:pos="-1440"/>
                <w:tab w:val="left" w:pos="-720"/>
              </w:tabs>
              <w:rPr>
                <w:sz w:val="20"/>
                <w:szCs w:val="20"/>
              </w:rPr>
            </w:pPr>
          </w:p>
          <w:p w:rsidR="00BD4EFB" w:rsidRPr="00A935AA" w:rsidRDefault="009A36D5" w:rsidP="00BD4EFB">
            <w:pPr>
              <w:tabs>
                <w:tab w:val="left" w:pos="-1440"/>
                <w:tab w:val="left" w:pos="-720"/>
              </w:tabs>
              <w:rPr>
                <w:b/>
                <w:sz w:val="20"/>
                <w:szCs w:val="20"/>
              </w:rPr>
            </w:pPr>
            <w:r>
              <w:rPr>
                <w:b/>
                <w:sz w:val="20"/>
                <w:szCs w:val="20"/>
              </w:rPr>
              <w:t xml:space="preserve">Her Majesty the Queen </w:t>
            </w:r>
            <w:r w:rsidR="00BD4EFB" w:rsidRPr="00A935AA">
              <w:rPr>
                <w:b/>
                <w:sz w:val="20"/>
                <w:szCs w:val="20"/>
              </w:rPr>
              <w:t>(</w:t>
            </w:r>
            <w:r w:rsidR="00BD4EFB">
              <w:rPr>
                <w:b/>
                <w:sz w:val="20"/>
                <w:szCs w:val="20"/>
              </w:rPr>
              <w:t>Ont</w:t>
            </w:r>
            <w:r w:rsidR="00BD4EFB" w:rsidRPr="00A935AA">
              <w:rPr>
                <w:b/>
                <w:sz w:val="20"/>
                <w:szCs w:val="20"/>
              </w:rPr>
              <w:t>.)</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Philip Perlmutter</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A.G. of Ontario</w:t>
            </w:r>
          </w:p>
          <w:p w:rsidR="00BD4EFB" w:rsidRPr="00A935AA" w:rsidRDefault="00BD4EFB" w:rsidP="00BD4EFB">
            <w:pPr>
              <w:tabs>
                <w:tab w:val="left" w:pos="-1440"/>
                <w:tab w:val="left" w:pos="-720"/>
              </w:tabs>
              <w:rPr>
                <w:sz w:val="20"/>
                <w:szCs w:val="20"/>
              </w:rPr>
            </w:pPr>
          </w:p>
          <w:p w:rsidR="00BD4EFB" w:rsidRPr="00A935AA" w:rsidRDefault="00A25F6E" w:rsidP="009A36D5">
            <w:pPr>
              <w:rPr>
                <w:sz w:val="20"/>
                <w:szCs w:val="20"/>
              </w:rPr>
            </w:pPr>
            <w:r w:rsidRPr="00A35E3C">
              <w:rPr>
                <w:sz w:val="20"/>
                <w:szCs w:val="20"/>
              </w:rPr>
              <w:t xml:space="preserve">FILING DATE: </w:t>
            </w:r>
            <w:r w:rsidR="009A36D5">
              <w:rPr>
                <w:sz w:val="20"/>
                <w:szCs w:val="20"/>
              </w:rPr>
              <w:t>01</w:t>
            </w:r>
            <w:r w:rsidRPr="00A35E3C">
              <w:rPr>
                <w:sz w:val="20"/>
                <w:szCs w:val="20"/>
              </w:rPr>
              <w:t>.0</w:t>
            </w:r>
            <w:r w:rsidR="009A36D5">
              <w:rPr>
                <w:sz w:val="20"/>
                <w:szCs w:val="20"/>
              </w:rPr>
              <w:t>5</w:t>
            </w:r>
            <w:r w:rsidRPr="00A35E3C">
              <w:rPr>
                <w:sz w:val="20"/>
                <w:szCs w:val="20"/>
              </w:rPr>
              <w:t>.2014</w:t>
            </w:r>
            <w:r w:rsidR="00F27688">
              <w:rPr>
                <w:sz w:val="20"/>
                <w:szCs w:val="20"/>
                <w:lang w:val="fr-CA"/>
              </w:rPr>
              <w:pict>
                <v:rect id="_x0000_i1040" style="width:108pt;height:1pt" o:hrpct="0" o:hralign="center" o:hrstd="t" o:hrnoshade="t" o:hr="t" fillcolor="black [3213]" stroked="f"/>
              </w:pict>
            </w:r>
          </w:p>
        </w:tc>
      </w:tr>
      <w:tr w:rsidR="00BD4EFB" w:rsidRPr="009A36D5" w:rsidTr="003B3977">
        <w:trPr>
          <w:cantSplit/>
        </w:trPr>
        <w:tc>
          <w:tcPr>
            <w:tcW w:w="4320" w:type="dxa"/>
            <w:shd w:val="clear" w:color="auto" w:fill="auto"/>
          </w:tcPr>
          <w:p w:rsidR="00BD4EFB" w:rsidRPr="00A935AA" w:rsidRDefault="009A36D5" w:rsidP="00BD4EFB">
            <w:pPr>
              <w:rPr>
                <w:b/>
                <w:sz w:val="20"/>
                <w:szCs w:val="20"/>
              </w:rPr>
            </w:pPr>
            <w:r>
              <w:rPr>
                <w:b/>
                <w:sz w:val="20"/>
                <w:szCs w:val="20"/>
              </w:rPr>
              <w:lastRenderedPageBreak/>
              <w:t>Richard James Goodwin</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Howard A. Mickelson, Q.C.</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Gudmundseth Mickelson LLP</w:t>
            </w:r>
          </w:p>
          <w:p w:rsidR="00BD4EFB" w:rsidRPr="00A935AA" w:rsidRDefault="00BD4EFB" w:rsidP="00BD4EFB">
            <w:pPr>
              <w:tabs>
                <w:tab w:val="left" w:pos="-1440"/>
                <w:tab w:val="left" w:pos="-720"/>
              </w:tabs>
              <w:rPr>
                <w:sz w:val="20"/>
                <w:szCs w:val="20"/>
              </w:rPr>
            </w:pPr>
          </w:p>
          <w:p w:rsidR="00BD4EFB" w:rsidRPr="00A935AA" w:rsidRDefault="00BD4EFB" w:rsidP="00BD4EFB">
            <w:pPr>
              <w:tabs>
                <w:tab w:val="left" w:pos="-1440"/>
                <w:tab w:val="left" w:pos="-720"/>
              </w:tabs>
              <w:rPr>
                <w:sz w:val="20"/>
                <w:szCs w:val="20"/>
              </w:rPr>
            </w:pPr>
            <w:r w:rsidRPr="00A935AA">
              <w:rPr>
                <w:sz w:val="20"/>
                <w:szCs w:val="20"/>
              </w:rPr>
              <w:tab/>
              <w:t>v. (3</w:t>
            </w:r>
            <w:r>
              <w:rPr>
                <w:sz w:val="20"/>
                <w:szCs w:val="20"/>
              </w:rPr>
              <w:t>5</w:t>
            </w:r>
            <w:r w:rsidR="009A36D5">
              <w:rPr>
                <w:sz w:val="20"/>
                <w:szCs w:val="20"/>
              </w:rPr>
              <w:t>864</w:t>
            </w:r>
            <w:r w:rsidRPr="00A935AA">
              <w:rPr>
                <w:sz w:val="20"/>
                <w:szCs w:val="20"/>
              </w:rPr>
              <w:t>)</w:t>
            </w:r>
          </w:p>
          <w:p w:rsidR="00BD4EFB" w:rsidRPr="00A935AA" w:rsidRDefault="00BD4EFB" w:rsidP="00BD4EFB">
            <w:pPr>
              <w:tabs>
                <w:tab w:val="left" w:pos="-1440"/>
                <w:tab w:val="left" w:pos="-720"/>
              </w:tabs>
              <w:rPr>
                <w:sz w:val="20"/>
                <w:szCs w:val="20"/>
              </w:rPr>
            </w:pPr>
          </w:p>
          <w:p w:rsidR="00BD4EFB" w:rsidRPr="00A935AA" w:rsidRDefault="009A36D5" w:rsidP="00BD4EFB">
            <w:pPr>
              <w:tabs>
                <w:tab w:val="left" w:pos="-1440"/>
                <w:tab w:val="left" w:pos="-720"/>
              </w:tabs>
              <w:rPr>
                <w:b/>
                <w:sz w:val="20"/>
                <w:szCs w:val="20"/>
              </w:rPr>
            </w:pPr>
            <w:r>
              <w:rPr>
                <w:b/>
                <w:sz w:val="20"/>
                <w:szCs w:val="20"/>
              </w:rPr>
              <w:t xml:space="preserve">Superintendent of Motor Vehicles et al. </w:t>
            </w:r>
            <w:r w:rsidR="00BD4EFB" w:rsidRPr="00A935AA">
              <w:rPr>
                <w:b/>
                <w:sz w:val="20"/>
                <w:szCs w:val="20"/>
              </w:rPr>
              <w:t>(</w:t>
            </w:r>
            <w:r>
              <w:rPr>
                <w:b/>
                <w:sz w:val="20"/>
                <w:szCs w:val="20"/>
              </w:rPr>
              <w:t>B.C</w:t>
            </w:r>
            <w:r w:rsidR="00BD4EFB" w:rsidRPr="00A935AA">
              <w:rPr>
                <w:b/>
                <w:sz w:val="20"/>
                <w:szCs w:val="20"/>
              </w:rPr>
              <w:t>.)</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Tyna Mason</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A.G. of British Columbia</w:t>
            </w:r>
          </w:p>
          <w:p w:rsidR="00BD4EFB" w:rsidRPr="00A935AA" w:rsidRDefault="00BD4EFB" w:rsidP="00BD4EFB">
            <w:pPr>
              <w:tabs>
                <w:tab w:val="left" w:pos="-1440"/>
                <w:tab w:val="left" w:pos="-720"/>
              </w:tabs>
              <w:rPr>
                <w:sz w:val="20"/>
                <w:szCs w:val="20"/>
              </w:rPr>
            </w:pPr>
          </w:p>
          <w:p w:rsidR="00BD4EFB" w:rsidRPr="00A935AA" w:rsidRDefault="00BD4EFB" w:rsidP="00BD4EFB">
            <w:pPr>
              <w:rPr>
                <w:sz w:val="20"/>
                <w:szCs w:val="20"/>
              </w:rPr>
            </w:pPr>
            <w:r w:rsidRPr="00A935AA">
              <w:rPr>
                <w:sz w:val="20"/>
                <w:szCs w:val="20"/>
              </w:rPr>
              <w:t xml:space="preserve">FILING DATE: </w:t>
            </w:r>
            <w:r w:rsidR="009A36D5">
              <w:rPr>
                <w:sz w:val="20"/>
                <w:szCs w:val="20"/>
              </w:rPr>
              <w:t>01</w:t>
            </w:r>
            <w:r w:rsidRPr="00A935AA">
              <w:rPr>
                <w:sz w:val="20"/>
                <w:szCs w:val="20"/>
              </w:rPr>
              <w:t>.0</w:t>
            </w:r>
            <w:r w:rsidR="009A36D5">
              <w:rPr>
                <w:sz w:val="20"/>
                <w:szCs w:val="20"/>
              </w:rPr>
              <w:t>5</w:t>
            </w:r>
            <w:r w:rsidRPr="00A935AA">
              <w:rPr>
                <w:sz w:val="20"/>
                <w:szCs w:val="20"/>
              </w:rPr>
              <w:t>.201</w:t>
            </w:r>
            <w:r>
              <w:rPr>
                <w:sz w:val="20"/>
                <w:szCs w:val="20"/>
              </w:rPr>
              <w:t>4</w:t>
            </w:r>
          </w:p>
          <w:p w:rsidR="00BD4EFB" w:rsidRDefault="00BD4EFB" w:rsidP="00BD4EFB">
            <w:pPr>
              <w:rPr>
                <w:sz w:val="20"/>
                <w:szCs w:val="20"/>
                <w:lang w:val="fr-CA"/>
              </w:rPr>
            </w:pPr>
          </w:p>
          <w:p w:rsidR="009A36D5" w:rsidRPr="00A935AA" w:rsidRDefault="009A36D5" w:rsidP="00BD4EFB">
            <w:pPr>
              <w:rPr>
                <w:sz w:val="20"/>
                <w:szCs w:val="20"/>
              </w:rPr>
            </w:pPr>
            <w:r>
              <w:rPr>
                <w:sz w:val="20"/>
                <w:szCs w:val="20"/>
                <w:lang w:val="fr-CA"/>
              </w:rPr>
              <w:t>and between</w:t>
            </w:r>
          </w:p>
        </w:tc>
        <w:tc>
          <w:tcPr>
            <w:tcW w:w="1181" w:type="dxa"/>
            <w:shd w:val="clear" w:color="auto" w:fill="auto"/>
          </w:tcPr>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Default="00BD4EFB" w:rsidP="00242AEE">
            <w:pPr>
              <w:jc w:val="center"/>
              <w:rPr>
                <w:sz w:val="20"/>
                <w:szCs w:val="20"/>
              </w:rPr>
            </w:pPr>
          </w:p>
          <w:p w:rsidR="00BD4EFB" w:rsidRPr="00A935AA" w:rsidRDefault="00BD4EFB" w:rsidP="00242AEE">
            <w:pPr>
              <w:jc w:val="center"/>
              <w:rPr>
                <w:sz w:val="20"/>
                <w:szCs w:val="20"/>
              </w:rPr>
            </w:pPr>
          </w:p>
        </w:tc>
        <w:tc>
          <w:tcPr>
            <w:tcW w:w="4320" w:type="dxa"/>
            <w:shd w:val="clear" w:color="auto" w:fill="auto"/>
          </w:tcPr>
          <w:p w:rsidR="00BD4EFB" w:rsidRPr="00A935AA" w:rsidRDefault="009A36D5" w:rsidP="00BD4EFB">
            <w:pPr>
              <w:rPr>
                <w:b/>
                <w:sz w:val="20"/>
                <w:szCs w:val="20"/>
              </w:rPr>
            </w:pPr>
            <w:r>
              <w:rPr>
                <w:b/>
                <w:sz w:val="20"/>
                <w:szCs w:val="20"/>
              </w:rPr>
              <w:t>Medoc Properties Limited et al.</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Michael J. Crosbie, Q.C.</w:t>
            </w:r>
          </w:p>
          <w:p w:rsidR="00BD4EFB" w:rsidRPr="00A935AA" w:rsidRDefault="00BD4EFB" w:rsidP="00BD4EFB">
            <w:pPr>
              <w:tabs>
                <w:tab w:val="left" w:pos="-1440"/>
                <w:tab w:val="left" w:pos="-720"/>
              </w:tabs>
              <w:rPr>
                <w:sz w:val="20"/>
                <w:szCs w:val="20"/>
              </w:rPr>
            </w:pPr>
            <w:r w:rsidRPr="00A935AA">
              <w:rPr>
                <w:sz w:val="20"/>
                <w:szCs w:val="20"/>
              </w:rPr>
              <w:tab/>
            </w:r>
            <w:r w:rsidR="009A36D5">
              <w:rPr>
                <w:sz w:val="20"/>
                <w:szCs w:val="20"/>
              </w:rPr>
              <w:t>McInnes Cooper</w:t>
            </w:r>
          </w:p>
          <w:p w:rsidR="00BD4EFB" w:rsidRPr="00A935AA" w:rsidRDefault="00BD4EFB" w:rsidP="00BD4EFB">
            <w:pPr>
              <w:tabs>
                <w:tab w:val="left" w:pos="-1440"/>
                <w:tab w:val="left" w:pos="-720"/>
              </w:tabs>
              <w:rPr>
                <w:sz w:val="20"/>
                <w:szCs w:val="20"/>
              </w:rPr>
            </w:pPr>
          </w:p>
          <w:p w:rsidR="00BD4EFB" w:rsidRPr="009A36D5" w:rsidRDefault="00BD4EFB" w:rsidP="00BD4EFB">
            <w:pPr>
              <w:tabs>
                <w:tab w:val="left" w:pos="-1440"/>
                <w:tab w:val="left" w:pos="-720"/>
              </w:tabs>
              <w:rPr>
                <w:sz w:val="20"/>
                <w:szCs w:val="20"/>
              </w:rPr>
            </w:pPr>
            <w:r w:rsidRPr="00A935AA">
              <w:rPr>
                <w:sz w:val="20"/>
                <w:szCs w:val="20"/>
              </w:rPr>
              <w:tab/>
            </w:r>
            <w:r w:rsidRPr="009A36D5">
              <w:rPr>
                <w:sz w:val="20"/>
                <w:szCs w:val="20"/>
              </w:rPr>
              <w:t>v. (35</w:t>
            </w:r>
            <w:r w:rsidR="009A36D5">
              <w:rPr>
                <w:sz w:val="20"/>
                <w:szCs w:val="20"/>
              </w:rPr>
              <w:t>869</w:t>
            </w:r>
            <w:r w:rsidRPr="009A36D5">
              <w:rPr>
                <w:sz w:val="20"/>
                <w:szCs w:val="20"/>
              </w:rPr>
              <w:t>)</w:t>
            </w:r>
          </w:p>
          <w:p w:rsidR="00BD4EFB" w:rsidRPr="009A36D5" w:rsidRDefault="00BD4EFB" w:rsidP="00BD4EFB">
            <w:pPr>
              <w:tabs>
                <w:tab w:val="left" w:pos="-1440"/>
                <w:tab w:val="left" w:pos="-720"/>
              </w:tabs>
              <w:rPr>
                <w:sz w:val="20"/>
                <w:szCs w:val="20"/>
              </w:rPr>
            </w:pPr>
          </w:p>
          <w:p w:rsidR="00BD4EFB" w:rsidRPr="009A36D5" w:rsidRDefault="00D747B2" w:rsidP="00BD4EFB">
            <w:pPr>
              <w:tabs>
                <w:tab w:val="left" w:pos="-1440"/>
                <w:tab w:val="left" w:pos="-720"/>
              </w:tabs>
              <w:rPr>
                <w:b/>
                <w:sz w:val="20"/>
                <w:szCs w:val="20"/>
              </w:rPr>
            </w:pPr>
            <w:r>
              <w:rPr>
                <w:b/>
                <w:sz w:val="20"/>
                <w:szCs w:val="20"/>
              </w:rPr>
              <w:t xml:space="preserve">Standard Trust Company et al. </w:t>
            </w:r>
            <w:r w:rsidR="00BD4EFB" w:rsidRPr="009A36D5">
              <w:rPr>
                <w:b/>
                <w:sz w:val="20"/>
                <w:szCs w:val="20"/>
              </w:rPr>
              <w:t>(</w:t>
            </w:r>
            <w:r>
              <w:rPr>
                <w:b/>
                <w:sz w:val="20"/>
                <w:szCs w:val="20"/>
              </w:rPr>
              <w:t>N.L</w:t>
            </w:r>
            <w:r w:rsidR="00BD4EFB" w:rsidRPr="009A36D5">
              <w:rPr>
                <w:b/>
                <w:sz w:val="20"/>
                <w:szCs w:val="20"/>
              </w:rPr>
              <w:t>.)</w:t>
            </w:r>
          </w:p>
          <w:p w:rsidR="00BD4EFB" w:rsidRPr="009A36D5" w:rsidRDefault="00BD4EFB" w:rsidP="00BD4EFB">
            <w:pPr>
              <w:tabs>
                <w:tab w:val="left" w:pos="-1440"/>
                <w:tab w:val="left" w:pos="-720"/>
              </w:tabs>
              <w:rPr>
                <w:sz w:val="20"/>
                <w:szCs w:val="20"/>
              </w:rPr>
            </w:pPr>
            <w:r w:rsidRPr="009A36D5">
              <w:rPr>
                <w:sz w:val="20"/>
                <w:szCs w:val="20"/>
              </w:rPr>
              <w:tab/>
            </w:r>
            <w:r w:rsidR="00D747B2">
              <w:rPr>
                <w:sz w:val="20"/>
                <w:szCs w:val="20"/>
              </w:rPr>
              <w:t>Paul M. McDonald</w:t>
            </w:r>
          </w:p>
          <w:p w:rsidR="00BD4EFB" w:rsidRPr="009A36D5" w:rsidRDefault="00BD4EFB" w:rsidP="00BD4EFB">
            <w:pPr>
              <w:tabs>
                <w:tab w:val="left" w:pos="-1440"/>
                <w:tab w:val="left" w:pos="-720"/>
              </w:tabs>
              <w:rPr>
                <w:sz w:val="20"/>
                <w:szCs w:val="20"/>
              </w:rPr>
            </w:pPr>
            <w:r w:rsidRPr="009A36D5">
              <w:rPr>
                <w:sz w:val="20"/>
                <w:szCs w:val="20"/>
              </w:rPr>
              <w:tab/>
            </w:r>
            <w:r w:rsidR="00D747B2">
              <w:rPr>
                <w:sz w:val="20"/>
                <w:szCs w:val="20"/>
              </w:rPr>
              <w:t>Cox &amp; Palmer</w:t>
            </w:r>
          </w:p>
          <w:p w:rsidR="00BD4EFB" w:rsidRPr="009A36D5" w:rsidRDefault="00BD4EFB" w:rsidP="00BD4EFB">
            <w:pPr>
              <w:tabs>
                <w:tab w:val="left" w:pos="-1440"/>
                <w:tab w:val="left" w:pos="-720"/>
              </w:tabs>
              <w:rPr>
                <w:sz w:val="20"/>
                <w:szCs w:val="20"/>
              </w:rPr>
            </w:pPr>
          </w:p>
          <w:p w:rsidR="00D747B2" w:rsidRPr="00D747B2" w:rsidRDefault="00D747B2" w:rsidP="00D747B2">
            <w:pPr>
              <w:rPr>
                <w:sz w:val="20"/>
                <w:szCs w:val="20"/>
              </w:rPr>
            </w:pPr>
            <w:r w:rsidRPr="00D747B2">
              <w:rPr>
                <w:sz w:val="20"/>
                <w:szCs w:val="20"/>
              </w:rPr>
              <w:t>FILING DATE: 0</w:t>
            </w:r>
            <w:r>
              <w:rPr>
                <w:sz w:val="20"/>
                <w:szCs w:val="20"/>
              </w:rPr>
              <w:t>5</w:t>
            </w:r>
            <w:r w:rsidRPr="00D747B2">
              <w:rPr>
                <w:sz w:val="20"/>
                <w:szCs w:val="20"/>
              </w:rPr>
              <w:t>.05.2014</w:t>
            </w:r>
          </w:p>
          <w:p w:rsidR="00BD4EFB" w:rsidRPr="009A36D5" w:rsidRDefault="00F27688" w:rsidP="00BD4EFB">
            <w:pPr>
              <w:rPr>
                <w:sz w:val="20"/>
                <w:szCs w:val="20"/>
              </w:rPr>
            </w:pPr>
            <w:r>
              <w:rPr>
                <w:sz w:val="20"/>
                <w:szCs w:val="20"/>
                <w:lang w:val="fr-CA"/>
              </w:rPr>
              <w:pict>
                <v:rect id="_x0000_i1041" style="width:108pt;height:1pt" o:hrpct="0" o:hralign="center" o:hrstd="t" o:hrnoshade="t" o:hr="t" fillcolor="black [3213]" stroked="f"/>
              </w:pict>
            </w:r>
          </w:p>
        </w:tc>
      </w:tr>
      <w:tr w:rsidR="00A25F6E" w:rsidRPr="00A25F6E" w:rsidTr="003B3977">
        <w:trPr>
          <w:cantSplit/>
        </w:trPr>
        <w:tc>
          <w:tcPr>
            <w:tcW w:w="4320" w:type="dxa"/>
            <w:shd w:val="clear" w:color="auto" w:fill="auto"/>
          </w:tcPr>
          <w:p w:rsidR="00A25F6E" w:rsidRDefault="00A25F6E" w:rsidP="00A25F6E">
            <w:pPr>
              <w:rPr>
                <w:b/>
                <w:sz w:val="20"/>
                <w:szCs w:val="20"/>
              </w:rPr>
            </w:pPr>
          </w:p>
          <w:p w:rsidR="009A36D5" w:rsidRPr="00A935AA" w:rsidRDefault="009A36D5" w:rsidP="00A25F6E">
            <w:pPr>
              <w:rPr>
                <w:b/>
                <w:sz w:val="20"/>
                <w:szCs w:val="20"/>
              </w:rPr>
            </w:pPr>
            <w:r>
              <w:rPr>
                <w:b/>
                <w:sz w:val="20"/>
                <w:szCs w:val="20"/>
              </w:rPr>
              <w:t xml:space="preserve">British Columbia </w:t>
            </w:r>
            <w:r w:rsidR="007D58BB">
              <w:rPr>
                <w:b/>
                <w:sz w:val="20"/>
                <w:szCs w:val="20"/>
              </w:rPr>
              <w:t>(</w:t>
            </w:r>
            <w:r>
              <w:rPr>
                <w:b/>
                <w:sz w:val="20"/>
                <w:szCs w:val="20"/>
              </w:rPr>
              <w:t>Superintendent of Motor Vehicles</w:t>
            </w:r>
            <w:r w:rsidR="00B86316">
              <w:rPr>
                <w:b/>
                <w:sz w:val="20"/>
                <w:szCs w:val="20"/>
              </w:rPr>
              <w:t>)</w:t>
            </w:r>
            <w:r>
              <w:rPr>
                <w:b/>
                <w:sz w:val="20"/>
                <w:szCs w:val="20"/>
              </w:rPr>
              <w:t xml:space="preserve"> et al. </w:t>
            </w:r>
          </w:p>
          <w:p w:rsidR="00A25F6E" w:rsidRPr="00A935AA" w:rsidRDefault="00A25F6E" w:rsidP="00A25F6E">
            <w:pPr>
              <w:tabs>
                <w:tab w:val="left" w:pos="-1440"/>
                <w:tab w:val="left" w:pos="-720"/>
              </w:tabs>
              <w:rPr>
                <w:sz w:val="20"/>
                <w:szCs w:val="20"/>
              </w:rPr>
            </w:pPr>
            <w:r w:rsidRPr="00A935AA">
              <w:rPr>
                <w:sz w:val="20"/>
                <w:szCs w:val="20"/>
              </w:rPr>
              <w:tab/>
            </w:r>
            <w:r w:rsidR="009A36D5">
              <w:rPr>
                <w:sz w:val="20"/>
                <w:szCs w:val="20"/>
              </w:rPr>
              <w:t>Tyna Mason</w:t>
            </w:r>
          </w:p>
          <w:p w:rsidR="00A25F6E" w:rsidRPr="00A935AA" w:rsidRDefault="00A25F6E" w:rsidP="00A25F6E">
            <w:pPr>
              <w:tabs>
                <w:tab w:val="left" w:pos="-1440"/>
                <w:tab w:val="left" w:pos="-720"/>
              </w:tabs>
              <w:rPr>
                <w:sz w:val="20"/>
                <w:szCs w:val="20"/>
              </w:rPr>
            </w:pPr>
            <w:r w:rsidRPr="00A935AA">
              <w:rPr>
                <w:sz w:val="20"/>
                <w:szCs w:val="20"/>
              </w:rPr>
              <w:tab/>
            </w:r>
            <w:r w:rsidR="009A36D5">
              <w:rPr>
                <w:sz w:val="20"/>
                <w:szCs w:val="20"/>
              </w:rPr>
              <w:t>A.G. of British Columbia</w:t>
            </w:r>
          </w:p>
          <w:p w:rsidR="00A25F6E" w:rsidRPr="00A935AA" w:rsidRDefault="00A25F6E" w:rsidP="00A25F6E">
            <w:pPr>
              <w:tabs>
                <w:tab w:val="left" w:pos="-1440"/>
                <w:tab w:val="left" w:pos="-720"/>
              </w:tabs>
              <w:rPr>
                <w:sz w:val="20"/>
                <w:szCs w:val="20"/>
              </w:rPr>
            </w:pPr>
          </w:p>
          <w:p w:rsidR="00A25F6E" w:rsidRPr="00C3299A" w:rsidRDefault="00A25F6E" w:rsidP="00A25F6E">
            <w:pPr>
              <w:tabs>
                <w:tab w:val="left" w:pos="-1440"/>
                <w:tab w:val="left" w:pos="-720"/>
              </w:tabs>
              <w:rPr>
                <w:sz w:val="20"/>
                <w:szCs w:val="20"/>
                <w:lang w:val="fr-CA"/>
              </w:rPr>
            </w:pPr>
            <w:r w:rsidRPr="00A935AA">
              <w:rPr>
                <w:sz w:val="20"/>
                <w:szCs w:val="20"/>
              </w:rPr>
              <w:tab/>
            </w:r>
            <w:r w:rsidRPr="00C3299A">
              <w:rPr>
                <w:sz w:val="20"/>
                <w:szCs w:val="20"/>
                <w:lang w:val="fr-CA"/>
              </w:rPr>
              <w:t>v. (35</w:t>
            </w:r>
            <w:r w:rsidR="009A36D5" w:rsidRPr="00C3299A">
              <w:rPr>
                <w:sz w:val="20"/>
                <w:szCs w:val="20"/>
                <w:lang w:val="fr-CA"/>
              </w:rPr>
              <w:t>864</w:t>
            </w:r>
            <w:r w:rsidRPr="00C3299A">
              <w:rPr>
                <w:sz w:val="20"/>
                <w:szCs w:val="20"/>
                <w:lang w:val="fr-CA"/>
              </w:rPr>
              <w:t>)</w:t>
            </w:r>
          </w:p>
          <w:p w:rsidR="00A25F6E" w:rsidRPr="00C3299A" w:rsidRDefault="00A25F6E" w:rsidP="00A25F6E">
            <w:pPr>
              <w:tabs>
                <w:tab w:val="left" w:pos="-1440"/>
                <w:tab w:val="left" w:pos="-720"/>
              </w:tabs>
              <w:rPr>
                <w:sz w:val="20"/>
                <w:szCs w:val="20"/>
                <w:lang w:val="fr-CA"/>
              </w:rPr>
            </w:pPr>
          </w:p>
          <w:p w:rsidR="00A25F6E" w:rsidRPr="009A36D5" w:rsidRDefault="009A36D5" w:rsidP="00A25F6E">
            <w:pPr>
              <w:tabs>
                <w:tab w:val="left" w:pos="-1440"/>
                <w:tab w:val="left" w:pos="-720"/>
              </w:tabs>
              <w:rPr>
                <w:b/>
                <w:sz w:val="20"/>
                <w:szCs w:val="20"/>
              </w:rPr>
            </w:pPr>
            <w:r w:rsidRPr="00C3299A">
              <w:rPr>
                <w:b/>
                <w:sz w:val="20"/>
                <w:szCs w:val="20"/>
                <w:lang w:val="fr-CA"/>
              </w:rPr>
              <w:t>Jamie Al</w:t>
            </w:r>
            <w:r w:rsidRPr="009A36D5">
              <w:rPr>
                <w:b/>
                <w:sz w:val="20"/>
                <w:szCs w:val="20"/>
                <w:lang w:val="fr-CA"/>
              </w:rPr>
              <w:t>len Chisholm et al.</w:t>
            </w:r>
            <w:r>
              <w:rPr>
                <w:b/>
                <w:sz w:val="20"/>
                <w:szCs w:val="20"/>
                <w:lang w:val="fr-CA"/>
              </w:rPr>
              <w:t xml:space="preserve"> </w:t>
            </w:r>
            <w:r w:rsidR="00A25F6E" w:rsidRPr="009A36D5">
              <w:rPr>
                <w:b/>
                <w:sz w:val="20"/>
                <w:szCs w:val="20"/>
              </w:rPr>
              <w:t>(</w:t>
            </w:r>
            <w:r w:rsidRPr="009A36D5">
              <w:rPr>
                <w:b/>
                <w:sz w:val="20"/>
                <w:szCs w:val="20"/>
              </w:rPr>
              <w:t>B</w:t>
            </w:r>
            <w:r w:rsidR="00A25F6E" w:rsidRPr="009A36D5">
              <w:rPr>
                <w:b/>
                <w:sz w:val="20"/>
                <w:szCs w:val="20"/>
              </w:rPr>
              <w:t>.</w:t>
            </w:r>
            <w:r w:rsidRPr="009A36D5">
              <w:rPr>
                <w:b/>
                <w:sz w:val="20"/>
                <w:szCs w:val="20"/>
              </w:rPr>
              <w:t>C.</w:t>
            </w:r>
            <w:r w:rsidR="00A25F6E" w:rsidRPr="009A36D5">
              <w:rPr>
                <w:b/>
                <w:sz w:val="20"/>
                <w:szCs w:val="20"/>
              </w:rPr>
              <w:t>)</w:t>
            </w:r>
          </w:p>
          <w:p w:rsidR="00A25F6E" w:rsidRPr="009A36D5" w:rsidRDefault="00A25F6E" w:rsidP="00A25F6E">
            <w:pPr>
              <w:tabs>
                <w:tab w:val="left" w:pos="-1440"/>
                <w:tab w:val="left" w:pos="-720"/>
              </w:tabs>
              <w:rPr>
                <w:sz w:val="20"/>
                <w:szCs w:val="20"/>
              </w:rPr>
            </w:pPr>
            <w:r w:rsidRPr="009A36D5">
              <w:rPr>
                <w:sz w:val="20"/>
                <w:szCs w:val="20"/>
              </w:rPr>
              <w:tab/>
            </w:r>
            <w:r w:rsidR="009A36D5" w:rsidRPr="009A36D5">
              <w:rPr>
                <w:sz w:val="20"/>
                <w:szCs w:val="20"/>
              </w:rPr>
              <w:t>Jeremy Carr</w:t>
            </w:r>
          </w:p>
          <w:p w:rsidR="00A25F6E" w:rsidRPr="009A36D5" w:rsidRDefault="00A25F6E" w:rsidP="00A25F6E">
            <w:pPr>
              <w:tabs>
                <w:tab w:val="left" w:pos="-1440"/>
                <w:tab w:val="left" w:pos="-720"/>
              </w:tabs>
              <w:rPr>
                <w:sz w:val="20"/>
                <w:szCs w:val="20"/>
              </w:rPr>
            </w:pPr>
            <w:r w:rsidRPr="009A36D5">
              <w:rPr>
                <w:sz w:val="20"/>
                <w:szCs w:val="20"/>
              </w:rPr>
              <w:tab/>
            </w:r>
            <w:r w:rsidR="009A36D5" w:rsidRPr="009A36D5">
              <w:rPr>
                <w:sz w:val="20"/>
                <w:szCs w:val="20"/>
              </w:rPr>
              <w:t>Carr, Buchan &amp; Company</w:t>
            </w:r>
          </w:p>
          <w:p w:rsidR="00A25F6E" w:rsidRPr="009A36D5" w:rsidRDefault="00A25F6E" w:rsidP="00A25F6E">
            <w:pPr>
              <w:tabs>
                <w:tab w:val="left" w:pos="-1440"/>
                <w:tab w:val="left" w:pos="-720"/>
              </w:tabs>
              <w:rPr>
                <w:sz w:val="20"/>
                <w:szCs w:val="20"/>
              </w:rPr>
            </w:pPr>
          </w:p>
          <w:p w:rsidR="00A25F6E" w:rsidRPr="009A36D5" w:rsidRDefault="00A25F6E" w:rsidP="00A25F6E">
            <w:pPr>
              <w:rPr>
                <w:sz w:val="20"/>
                <w:szCs w:val="20"/>
                <w:lang w:val="fr-CA"/>
              </w:rPr>
            </w:pPr>
            <w:r w:rsidRPr="009A36D5">
              <w:rPr>
                <w:sz w:val="20"/>
                <w:szCs w:val="20"/>
                <w:lang w:val="fr-CA"/>
              </w:rPr>
              <w:t xml:space="preserve">FILING DATE: </w:t>
            </w:r>
            <w:r w:rsidR="009A36D5">
              <w:rPr>
                <w:sz w:val="20"/>
                <w:szCs w:val="20"/>
                <w:lang w:val="fr-CA"/>
              </w:rPr>
              <w:t>0</w:t>
            </w:r>
            <w:r w:rsidRPr="009A36D5">
              <w:rPr>
                <w:sz w:val="20"/>
                <w:szCs w:val="20"/>
                <w:lang w:val="fr-CA"/>
              </w:rPr>
              <w:t>2.0</w:t>
            </w:r>
            <w:r w:rsidR="009A36D5">
              <w:rPr>
                <w:sz w:val="20"/>
                <w:szCs w:val="20"/>
                <w:lang w:val="fr-CA"/>
              </w:rPr>
              <w:t>5</w:t>
            </w:r>
            <w:r w:rsidRPr="009A36D5">
              <w:rPr>
                <w:sz w:val="20"/>
                <w:szCs w:val="20"/>
                <w:lang w:val="fr-CA"/>
              </w:rPr>
              <w:t>.2014</w:t>
            </w:r>
          </w:p>
          <w:p w:rsidR="00A25F6E" w:rsidRPr="009A36D5" w:rsidRDefault="00F27688" w:rsidP="00A25F6E">
            <w:pPr>
              <w:rPr>
                <w:sz w:val="20"/>
                <w:szCs w:val="20"/>
                <w:lang w:val="fr-CA"/>
              </w:rPr>
            </w:pPr>
            <w:r>
              <w:rPr>
                <w:sz w:val="20"/>
                <w:szCs w:val="20"/>
                <w:lang w:val="fr-CA"/>
              </w:rPr>
              <w:pict>
                <v:rect id="_x0000_i1042" style="width:108pt;height:1pt" o:hrpct="0" o:hralign="center" o:hrstd="t" o:hrnoshade="t" o:hr="t" fillcolor="black [3213]" stroked="f"/>
              </w:pict>
            </w:r>
          </w:p>
        </w:tc>
        <w:tc>
          <w:tcPr>
            <w:tcW w:w="1181" w:type="dxa"/>
            <w:shd w:val="clear" w:color="auto" w:fill="auto"/>
          </w:tcPr>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Pr="009A36D5" w:rsidRDefault="00A25F6E" w:rsidP="00242AEE">
            <w:pPr>
              <w:jc w:val="center"/>
              <w:rPr>
                <w:sz w:val="20"/>
                <w:szCs w:val="20"/>
                <w:lang w:val="fr-CA"/>
              </w:rPr>
            </w:pPr>
          </w:p>
          <w:p w:rsidR="00A25F6E" w:rsidRDefault="00A25F6E" w:rsidP="00242AEE">
            <w:pPr>
              <w:jc w:val="center"/>
              <w:rPr>
                <w:sz w:val="20"/>
                <w:szCs w:val="20"/>
                <w:lang w:val="fr-CA"/>
              </w:rPr>
            </w:pPr>
          </w:p>
          <w:p w:rsidR="00C3299A" w:rsidRPr="009A36D5" w:rsidRDefault="00C3299A" w:rsidP="00242AEE">
            <w:pPr>
              <w:jc w:val="center"/>
              <w:rPr>
                <w:sz w:val="20"/>
                <w:szCs w:val="20"/>
                <w:lang w:val="fr-CA"/>
              </w:rPr>
            </w:pPr>
          </w:p>
          <w:p w:rsidR="00A25F6E" w:rsidRPr="009A36D5" w:rsidRDefault="00A25F6E" w:rsidP="00242AEE">
            <w:pPr>
              <w:jc w:val="center"/>
              <w:rPr>
                <w:sz w:val="20"/>
                <w:szCs w:val="20"/>
                <w:lang w:val="fr-CA"/>
              </w:rPr>
            </w:pPr>
          </w:p>
        </w:tc>
        <w:tc>
          <w:tcPr>
            <w:tcW w:w="4320" w:type="dxa"/>
            <w:shd w:val="clear" w:color="auto" w:fill="auto"/>
          </w:tcPr>
          <w:p w:rsidR="00A25F6E" w:rsidRPr="009A36D5" w:rsidRDefault="00D747B2" w:rsidP="00A25F6E">
            <w:pPr>
              <w:rPr>
                <w:b/>
                <w:sz w:val="20"/>
                <w:szCs w:val="20"/>
                <w:lang w:val="fr-CA"/>
              </w:rPr>
            </w:pPr>
            <w:r>
              <w:rPr>
                <w:b/>
                <w:sz w:val="20"/>
                <w:szCs w:val="20"/>
                <w:lang w:val="fr-CA"/>
              </w:rPr>
              <w:t>Private Alexandra Vezina</w:t>
            </w:r>
          </w:p>
          <w:p w:rsidR="00A25F6E" w:rsidRPr="009A36D5" w:rsidRDefault="00A25F6E" w:rsidP="00A25F6E">
            <w:pPr>
              <w:tabs>
                <w:tab w:val="left" w:pos="-1440"/>
                <w:tab w:val="left" w:pos="-720"/>
              </w:tabs>
              <w:rPr>
                <w:sz w:val="20"/>
                <w:szCs w:val="20"/>
                <w:lang w:val="fr-CA"/>
              </w:rPr>
            </w:pPr>
            <w:r w:rsidRPr="009A36D5">
              <w:rPr>
                <w:sz w:val="20"/>
                <w:szCs w:val="20"/>
                <w:lang w:val="fr-CA"/>
              </w:rPr>
              <w:tab/>
            </w:r>
            <w:r w:rsidR="00D747B2">
              <w:rPr>
                <w:sz w:val="20"/>
                <w:szCs w:val="20"/>
                <w:lang w:val="fr-CA"/>
              </w:rPr>
              <w:t>Mark Létourneau</w:t>
            </w:r>
          </w:p>
          <w:p w:rsidR="00A25F6E" w:rsidRPr="009A36D5" w:rsidRDefault="00A25F6E" w:rsidP="00A25F6E">
            <w:pPr>
              <w:tabs>
                <w:tab w:val="left" w:pos="-1440"/>
                <w:tab w:val="left" w:pos="-720"/>
              </w:tabs>
              <w:rPr>
                <w:sz w:val="20"/>
                <w:szCs w:val="20"/>
                <w:lang w:val="fr-CA"/>
              </w:rPr>
            </w:pPr>
            <w:r w:rsidRPr="009A36D5">
              <w:rPr>
                <w:sz w:val="20"/>
                <w:szCs w:val="20"/>
                <w:lang w:val="fr-CA"/>
              </w:rPr>
              <w:tab/>
            </w:r>
            <w:r w:rsidR="00D747B2">
              <w:rPr>
                <w:sz w:val="20"/>
                <w:szCs w:val="20"/>
                <w:lang w:val="fr-CA"/>
              </w:rPr>
              <w:t>Defence Counsel Services</w:t>
            </w:r>
          </w:p>
          <w:p w:rsidR="00A25F6E" w:rsidRPr="009A36D5" w:rsidRDefault="00A25F6E" w:rsidP="00A25F6E">
            <w:pPr>
              <w:tabs>
                <w:tab w:val="left" w:pos="-1440"/>
                <w:tab w:val="left" w:pos="-720"/>
              </w:tabs>
              <w:rPr>
                <w:sz w:val="20"/>
                <w:szCs w:val="20"/>
                <w:lang w:val="fr-CA"/>
              </w:rPr>
            </w:pPr>
          </w:p>
          <w:p w:rsidR="00A25F6E" w:rsidRPr="00C3299A" w:rsidRDefault="00A25F6E" w:rsidP="00A25F6E">
            <w:pPr>
              <w:tabs>
                <w:tab w:val="left" w:pos="-1440"/>
                <w:tab w:val="left" w:pos="-720"/>
              </w:tabs>
              <w:rPr>
                <w:sz w:val="20"/>
                <w:szCs w:val="20"/>
              </w:rPr>
            </w:pPr>
            <w:r w:rsidRPr="009A36D5">
              <w:rPr>
                <w:sz w:val="20"/>
                <w:szCs w:val="20"/>
                <w:lang w:val="fr-CA"/>
              </w:rPr>
              <w:tab/>
            </w:r>
            <w:r w:rsidRPr="00C3299A">
              <w:rPr>
                <w:sz w:val="20"/>
                <w:szCs w:val="20"/>
              </w:rPr>
              <w:t>v. (35</w:t>
            </w:r>
            <w:r w:rsidR="00D747B2" w:rsidRPr="00C3299A">
              <w:rPr>
                <w:sz w:val="20"/>
                <w:szCs w:val="20"/>
              </w:rPr>
              <w:t>873</w:t>
            </w:r>
            <w:r w:rsidRPr="00C3299A">
              <w:rPr>
                <w:sz w:val="20"/>
                <w:szCs w:val="20"/>
              </w:rPr>
              <w:t>)</w:t>
            </w:r>
          </w:p>
          <w:p w:rsidR="00A25F6E" w:rsidRPr="00C3299A" w:rsidRDefault="00A25F6E" w:rsidP="00A25F6E">
            <w:pPr>
              <w:tabs>
                <w:tab w:val="left" w:pos="-1440"/>
                <w:tab w:val="left" w:pos="-720"/>
              </w:tabs>
              <w:rPr>
                <w:sz w:val="20"/>
                <w:szCs w:val="20"/>
              </w:rPr>
            </w:pPr>
          </w:p>
          <w:p w:rsidR="00A25F6E" w:rsidRPr="00C3299A" w:rsidRDefault="00D747B2" w:rsidP="00A25F6E">
            <w:pPr>
              <w:tabs>
                <w:tab w:val="left" w:pos="-1440"/>
                <w:tab w:val="left" w:pos="-720"/>
              </w:tabs>
              <w:rPr>
                <w:b/>
                <w:sz w:val="20"/>
                <w:szCs w:val="20"/>
              </w:rPr>
            </w:pPr>
            <w:r w:rsidRPr="00C3299A">
              <w:rPr>
                <w:b/>
                <w:sz w:val="20"/>
                <w:szCs w:val="20"/>
              </w:rPr>
              <w:t xml:space="preserve">Her Majesty the Queen </w:t>
            </w:r>
            <w:r w:rsidR="00A25F6E" w:rsidRPr="00C3299A">
              <w:rPr>
                <w:b/>
                <w:sz w:val="20"/>
                <w:szCs w:val="20"/>
              </w:rPr>
              <w:t>(</w:t>
            </w:r>
            <w:r w:rsidR="00A85397">
              <w:rPr>
                <w:b/>
                <w:sz w:val="20"/>
                <w:szCs w:val="20"/>
              </w:rPr>
              <w:t>F.C</w:t>
            </w:r>
            <w:r w:rsidR="00A25F6E" w:rsidRPr="00C3299A">
              <w:rPr>
                <w:b/>
                <w:sz w:val="20"/>
                <w:szCs w:val="20"/>
              </w:rPr>
              <w:t>.)</w:t>
            </w:r>
          </w:p>
          <w:p w:rsidR="00A25F6E" w:rsidRPr="00C3299A" w:rsidRDefault="00A25F6E" w:rsidP="00A25F6E">
            <w:pPr>
              <w:tabs>
                <w:tab w:val="left" w:pos="-1440"/>
                <w:tab w:val="left" w:pos="-720"/>
              </w:tabs>
              <w:rPr>
                <w:sz w:val="20"/>
                <w:szCs w:val="20"/>
              </w:rPr>
            </w:pPr>
            <w:r w:rsidRPr="00C3299A">
              <w:rPr>
                <w:sz w:val="20"/>
                <w:szCs w:val="20"/>
              </w:rPr>
              <w:tab/>
            </w:r>
            <w:r w:rsidR="00C3299A" w:rsidRPr="00C3299A">
              <w:rPr>
                <w:sz w:val="20"/>
                <w:szCs w:val="20"/>
              </w:rPr>
              <w:t>Anthony M. Tamburro</w:t>
            </w:r>
          </w:p>
          <w:p w:rsidR="00A25F6E" w:rsidRPr="00C3299A" w:rsidRDefault="00A25F6E" w:rsidP="00A25F6E">
            <w:pPr>
              <w:tabs>
                <w:tab w:val="left" w:pos="-1440"/>
                <w:tab w:val="left" w:pos="-720"/>
              </w:tabs>
              <w:rPr>
                <w:sz w:val="20"/>
                <w:szCs w:val="20"/>
              </w:rPr>
            </w:pPr>
            <w:r w:rsidRPr="00C3299A">
              <w:rPr>
                <w:sz w:val="20"/>
                <w:szCs w:val="20"/>
              </w:rPr>
              <w:tab/>
            </w:r>
            <w:r w:rsidR="00C3299A" w:rsidRPr="00C3299A">
              <w:rPr>
                <w:sz w:val="20"/>
                <w:szCs w:val="20"/>
              </w:rPr>
              <w:t>D</w:t>
            </w:r>
            <w:r w:rsidR="00C3299A">
              <w:rPr>
                <w:sz w:val="20"/>
                <w:szCs w:val="20"/>
              </w:rPr>
              <w:t xml:space="preserve">irector of Military Prosecutions </w:t>
            </w:r>
          </w:p>
          <w:p w:rsidR="00A25F6E" w:rsidRPr="00C3299A" w:rsidRDefault="00A25F6E" w:rsidP="00A25F6E">
            <w:pPr>
              <w:tabs>
                <w:tab w:val="left" w:pos="-1440"/>
                <w:tab w:val="left" w:pos="-720"/>
              </w:tabs>
              <w:rPr>
                <w:sz w:val="20"/>
                <w:szCs w:val="20"/>
              </w:rPr>
            </w:pPr>
          </w:p>
          <w:p w:rsidR="00D747B2" w:rsidRPr="00C3299A" w:rsidRDefault="00D747B2" w:rsidP="00D747B2">
            <w:pPr>
              <w:rPr>
                <w:sz w:val="20"/>
                <w:szCs w:val="20"/>
              </w:rPr>
            </w:pPr>
            <w:r w:rsidRPr="00C3299A">
              <w:rPr>
                <w:sz w:val="20"/>
                <w:szCs w:val="20"/>
              </w:rPr>
              <w:t>FILING DATE: 0</w:t>
            </w:r>
            <w:r w:rsidR="00C3299A" w:rsidRPr="00C3299A">
              <w:rPr>
                <w:sz w:val="20"/>
                <w:szCs w:val="20"/>
              </w:rPr>
              <w:t>5</w:t>
            </w:r>
            <w:r w:rsidRPr="00C3299A">
              <w:rPr>
                <w:sz w:val="20"/>
                <w:szCs w:val="20"/>
              </w:rPr>
              <w:t>.05.2014</w:t>
            </w:r>
          </w:p>
          <w:p w:rsidR="00A25F6E" w:rsidRPr="00A25F6E" w:rsidRDefault="00F27688" w:rsidP="00A25F6E">
            <w:pPr>
              <w:rPr>
                <w:sz w:val="20"/>
                <w:szCs w:val="20"/>
                <w:lang w:val="fr-CA"/>
              </w:rPr>
            </w:pPr>
            <w:r>
              <w:rPr>
                <w:sz w:val="20"/>
                <w:szCs w:val="20"/>
                <w:lang w:val="fr-CA"/>
              </w:rPr>
              <w:pict>
                <v:rect id="_x0000_i1043" style="width:108pt;height:1pt" o:hrpct="0" o:hralign="center" o:hrstd="t" o:hrnoshade="t" o:hr="t" fillcolor="black [3213]" stroked="f"/>
              </w:pict>
            </w:r>
          </w:p>
        </w:tc>
      </w:tr>
    </w:tbl>
    <w:p w:rsidR="006C3F47" w:rsidRPr="00A25F6E" w:rsidRDefault="006C3F47" w:rsidP="0095096B">
      <w:pPr>
        <w:tabs>
          <w:tab w:val="right" w:pos="9360"/>
        </w:tabs>
        <w:rPr>
          <w:sz w:val="20"/>
          <w:szCs w:val="20"/>
          <w:lang w:val="fr-CA"/>
        </w:rPr>
      </w:pPr>
    </w:p>
    <w:p w:rsidR="00D94028" w:rsidRPr="00A25F6E" w:rsidRDefault="00D94028" w:rsidP="0095096B">
      <w:pPr>
        <w:tabs>
          <w:tab w:val="right" w:pos="9360"/>
        </w:tabs>
        <w:rPr>
          <w:sz w:val="20"/>
          <w:szCs w:val="20"/>
          <w:lang w:val="fr-CA"/>
        </w:rPr>
      </w:pPr>
    </w:p>
    <w:p w:rsidR="00242AEE" w:rsidRPr="00A25F6E" w:rsidRDefault="00242AEE" w:rsidP="0095096B">
      <w:pPr>
        <w:tabs>
          <w:tab w:val="right" w:pos="9360"/>
        </w:tabs>
        <w:rPr>
          <w:sz w:val="20"/>
          <w:szCs w:val="20"/>
          <w:lang w:val="fr-CA"/>
        </w:rPr>
      </w:pPr>
    </w:p>
    <w:p w:rsidR="00242AEE" w:rsidRPr="00A25F6E" w:rsidRDefault="00242AEE" w:rsidP="0095096B">
      <w:pPr>
        <w:tabs>
          <w:tab w:val="right" w:pos="9360"/>
        </w:tabs>
        <w:rPr>
          <w:sz w:val="20"/>
          <w:szCs w:val="20"/>
          <w:lang w:val="fr-CA"/>
        </w:rPr>
        <w:sectPr w:rsidR="00242AEE" w:rsidRPr="00A25F6E" w:rsidSect="003F192B">
          <w:headerReference w:type="default" r:id="rId16"/>
          <w:footerReference w:type="default" r:id="rId17"/>
          <w:headerReference w:type="first" r:id="rId18"/>
          <w:footerReference w:type="first" r:id="rId19"/>
          <w:pgSz w:w="12240" w:h="15840"/>
          <w:pgMar w:top="720" w:right="965" w:bottom="1080" w:left="1656" w:header="706" w:footer="706" w:gutter="0"/>
          <w:pgNumType w:start="84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2768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C3299A">
              <w:rPr>
                <w:b/>
                <w:szCs w:val="24"/>
              </w:rPr>
              <w:lastRenderedPageBreak/>
              <w:t>APPLICATIONS FOR LEA</w:t>
            </w:r>
            <w:r w:rsidRPr="001D0D5F">
              <w:rPr>
                <w:b/>
                <w:szCs w:val="24"/>
              </w:rPr>
              <w:t>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6B7E8F" w:rsidP="00CB3520">
      <w:pPr>
        <w:widowControl w:val="0"/>
        <w:rPr>
          <w:b/>
          <w:sz w:val="20"/>
          <w:szCs w:val="20"/>
        </w:rPr>
      </w:pPr>
      <w:r>
        <w:rPr>
          <w:b/>
          <w:sz w:val="20"/>
          <w:szCs w:val="20"/>
        </w:rPr>
        <w:t>M</w:t>
      </w:r>
      <w:r w:rsidR="00CB3520">
        <w:rPr>
          <w:b/>
          <w:sz w:val="20"/>
          <w:szCs w:val="20"/>
        </w:rPr>
        <w:t xml:space="preserve">AY </w:t>
      </w:r>
      <w:r>
        <w:rPr>
          <w:b/>
          <w:sz w:val="20"/>
          <w:szCs w:val="20"/>
        </w:rPr>
        <w:t>12</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1</w:t>
      </w:r>
      <w:r w:rsidR="00CB3520">
        <w:rPr>
          <w:b/>
          <w:sz w:val="20"/>
          <w:szCs w:val="20"/>
        </w:rPr>
        <w:t xml:space="preserve">2 </w:t>
      </w:r>
      <w:r>
        <w:rPr>
          <w:b/>
          <w:sz w:val="20"/>
          <w:szCs w:val="20"/>
        </w:rPr>
        <w:t>M</w:t>
      </w:r>
      <w:r w:rsidR="00CB3520">
        <w:rPr>
          <w:b/>
          <w:sz w:val="20"/>
          <w:szCs w:val="20"/>
        </w:rPr>
        <w:t>AI</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C81BAD" w:rsidP="00CB3520">
      <w:pPr>
        <w:pStyle w:val="ListParagraph"/>
        <w:widowControl w:val="0"/>
        <w:numPr>
          <w:ilvl w:val="0"/>
          <w:numId w:val="1"/>
        </w:numPr>
        <w:ind w:hanging="720"/>
        <w:jc w:val="both"/>
        <w:rPr>
          <w:sz w:val="20"/>
          <w:szCs w:val="20"/>
        </w:rPr>
      </w:pPr>
      <w:r w:rsidRPr="00C81BAD">
        <w:rPr>
          <w:i/>
          <w:sz w:val="20"/>
          <w:szCs w:val="20"/>
        </w:rPr>
        <w:t>Second Lieutenant Moriarity et al. v. Her Majesty the Queen</w:t>
      </w:r>
      <w:r w:rsidRPr="00CE456F">
        <w:rPr>
          <w:sz w:val="20"/>
          <w:szCs w:val="20"/>
        </w:rPr>
        <w:t xml:space="preserve"> (F.C.) (Crim</w:t>
      </w:r>
      <w:r w:rsidR="00943277">
        <w:rPr>
          <w:sz w:val="20"/>
          <w:szCs w:val="20"/>
        </w:rPr>
        <w:t>.</w:t>
      </w:r>
      <w:r w:rsidRPr="00CE456F">
        <w:rPr>
          <w:sz w:val="20"/>
          <w:szCs w:val="20"/>
        </w:rPr>
        <w:t>) (By Leave)</w:t>
      </w:r>
      <w:r w:rsidRPr="00C50A5C">
        <w:rPr>
          <w:sz w:val="20"/>
          <w:szCs w:val="20"/>
        </w:rPr>
        <w:t xml:space="preserve"> </w:t>
      </w:r>
      <w:r w:rsidR="00CB3520" w:rsidRPr="00C50A5C">
        <w:rPr>
          <w:sz w:val="20"/>
          <w:szCs w:val="20"/>
        </w:rPr>
        <w:t>(3</w:t>
      </w:r>
      <w:r w:rsidR="00CB3520">
        <w:rPr>
          <w:sz w:val="20"/>
          <w:szCs w:val="20"/>
        </w:rPr>
        <w:t>5</w:t>
      </w:r>
      <w:r w:rsidR="00CE456F">
        <w:rPr>
          <w:sz w:val="20"/>
          <w:szCs w:val="20"/>
        </w:rPr>
        <w:t>755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C81BAD" w:rsidP="00CB3520">
      <w:pPr>
        <w:pStyle w:val="ListParagraph"/>
        <w:widowControl w:val="0"/>
        <w:numPr>
          <w:ilvl w:val="0"/>
          <w:numId w:val="1"/>
        </w:numPr>
        <w:ind w:hanging="720"/>
        <w:jc w:val="both"/>
        <w:rPr>
          <w:sz w:val="20"/>
          <w:szCs w:val="20"/>
        </w:rPr>
      </w:pPr>
      <w:r w:rsidRPr="00C81BAD">
        <w:rPr>
          <w:i/>
          <w:sz w:val="20"/>
          <w:szCs w:val="20"/>
        </w:rPr>
        <w:t>Gurdev Singh Mann v. Gurpal Singh Saini et al.</w:t>
      </w:r>
      <w:r w:rsidRPr="00CE456F">
        <w:rPr>
          <w:sz w:val="20"/>
          <w:szCs w:val="20"/>
        </w:rPr>
        <w:t xml:space="preserve"> (Ont.) (Civil) (By Leave)</w:t>
      </w:r>
      <w:r w:rsidRPr="00C612D0">
        <w:rPr>
          <w:sz w:val="20"/>
          <w:szCs w:val="20"/>
        </w:rPr>
        <w:t xml:space="preserve"> </w:t>
      </w:r>
      <w:r w:rsidR="00CB3520" w:rsidRPr="00C612D0">
        <w:rPr>
          <w:sz w:val="20"/>
          <w:szCs w:val="20"/>
        </w:rPr>
        <w:t>(3</w:t>
      </w:r>
      <w:r w:rsidR="00CB3520">
        <w:rPr>
          <w:sz w:val="20"/>
          <w:szCs w:val="20"/>
        </w:rPr>
        <w:t>5</w:t>
      </w:r>
      <w:r w:rsidR="00CE456F">
        <w:rPr>
          <w:sz w:val="20"/>
          <w:szCs w:val="20"/>
        </w:rPr>
        <w:t>7</w:t>
      </w:r>
      <w:r w:rsidR="00CB3520">
        <w:rPr>
          <w:sz w:val="20"/>
          <w:szCs w:val="20"/>
        </w:rPr>
        <w:t>8</w:t>
      </w:r>
      <w:r w:rsidR="00CE456F">
        <w:rPr>
          <w:sz w:val="20"/>
          <w:szCs w:val="20"/>
        </w:rPr>
        <w:t>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C81BAD" w:rsidP="00CB3520">
      <w:pPr>
        <w:pStyle w:val="ListParagraph"/>
        <w:widowControl w:val="0"/>
        <w:numPr>
          <w:ilvl w:val="0"/>
          <w:numId w:val="1"/>
        </w:numPr>
        <w:ind w:hanging="720"/>
        <w:jc w:val="both"/>
        <w:rPr>
          <w:sz w:val="20"/>
          <w:szCs w:val="20"/>
        </w:rPr>
      </w:pPr>
      <w:r w:rsidRPr="00C81BAD">
        <w:rPr>
          <w:i/>
          <w:sz w:val="20"/>
          <w:szCs w:val="20"/>
        </w:rPr>
        <w:t>Inco Limited v. Ellen Smith et al.</w:t>
      </w:r>
      <w:r w:rsidRPr="00CE456F">
        <w:rPr>
          <w:sz w:val="20"/>
          <w:szCs w:val="20"/>
        </w:rPr>
        <w:t xml:space="preserve"> (Ont.) (Civil) (By Leave)</w:t>
      </w:r>
      <w:r w:rsidRPr="00940CAD">
        <w:rPr>
          <w:sz w:val="20"/>
          <w:szCs w:val="20"/>
        </w:rPr>
        <w:t xml:space="preserve"> </w:t>
      </w:r>
      <w:r w:rsidR="00CB3520" w:rsidRPr="00940CAD">
        <w:rPr>
          <w:sz w:val="20"/>
          <w:szCs w:val="20"/>
        </w:rPr>
        <w:t>(3</w:t>
      </w:r>
      <w:r w:rsidR="00CB3520">
        <w:rPr>
          <w:sz w:val="20"/>
          <w:szCs w:val="20"/>
        </w:rPr>
        <w:t>5</w:t>
      </w:r>
      <w:r w:rsidR="00CE456F">
        <w:rPr>
          <w:sz w:val="20"/>
          <w:szCs w:val="20"/>
        </w:rPr>
        <w:t>7</w:t>
      </w:r>
      <w:r w:rsidR="00CB3520">
        <w:rPr>
          <w:sz w:val="20"/>
          <w:szCs w:val="20"/>
        </w:rPr>
        <w:t>0</w:t>
      </w:r>
      <w:r w:rsidR="00CE456F">
        <w:rPr>
          <w:sz w:val="20"/>
          <w:szCs w:val="20"/>
        </w:rPr>
        <w:t>3</w:t>
      </w:r>
      <w:r w:rsidR="00CB3520" w:rsidRPr="00940CAD">
        <w:rPr>
          <w:sz w:val="20"/>
          <w:szCs w:val="20"/>
        </w:rPr>
        <w:t>)</w:t>
      </w:r>
    </w:p>
    <w:p w:rsidR="00CB3520" w:rsidRPr="00C50A5C" w:rsidRDefault="00CB3520" w:rsidP="00CB3520">
      <w:pPr>
        <w:widowControl w:val="0"/>
        <w:rPr>
          <w:sz w:val="20"/>
          <w:szCs w:val="20"/>
        </w:rPr>
      </w:pPr>
    </w:p>
    <w:p w:rsidR="00CB3520" w:rsidRPr="00C81BAD" w:rsidRDefault="00C81BAD" w:rsidP="00CB3520">
      <w:pPr>
        <w:pStyle w:val="ListParagraph"/>
        <w:widowControl w:val="0"/>
        <w:numPr>
          <w:ilvl w:val="0"/>
          <w:numId w:val="1"/>
        </w:numPr>
        <w:ind w:hanging="720"/>
        <w:jc w:val="both"/>
        <w:rPr>
          <w:sz w:val="20"/>
          <w:szCs w:val="20"/>
          <w:lang w:val="fr-CA"/>
        </w:rPr>
      </w:pPr>
      <w:r w:rsidRPr="00C81BAD">
        <w:rPr>
          <w:i/>
          <w:sz w:val="20"/>
          <w:szCs w:val="20"/>
          <w:lang w:val="fr-CA"/>
        </w:rPr>
        <w:t>Recherche NeuroRX inc. c. Elias Gedamu et a</w:t>
      </w:r>
      <w:r w:rsidR="00943277">
        <w:rPr>
          <w:i/>
          <w:sz w:val="20"/>
          <w:szCs w:val="20"/>
          <w:lang w:val="fr-CA"/>
        </w:rPr>
        <w:t>utres</w:t>
      </w:r>
      <w:r w:rsidRPr="00CE456F">
        <w:rPr>
          <w:sz w:val="20"/>
          <w:szCs w:val="20"/>
          <w:lang w:val="fr-CA"/>
        </w:rPr>
        <w:t xml:space="preserve"> (Qc) (Civile) (Autorisation)</w:t>
      </w:r>
      <w:r w:rsidRPr="00C81BAD">
        <w:rPr>
          <w:sz w:val="20"/>
          <w:szCs w:val="20"/>
          <w:lang w:val="fr-CA"/>
        </w:rPr>
        <w:t xml:space="preserve"> </w:t>
      </w:r>
      <w:r w:rsidR="00CB3520" w:rsidRPr="00C81BAD">
        <w:rPr>
          <w:sz w:val="20"/>
          <w:szCs w:val="20"/>
          <w:lang w:val="fr-CA"/>
        </w:rPr>
        <w:t>(35</w:t>
      </w:r>
      <w:r w:rsidR="00CE456F" w:rsidRPr="00C81BAD">
        <w:rPr>
          <w:sz w:val="20"/>
          <w:szCs w:val="20"/>
          <w:lang w:val="fr-CA"/>
        </w:rPr>
        <w:t>78</w:t>
      </w:r>
      <w:r w:rsidR="00CB3520" w:rsidRPr="00C81BAD">
        <w:rPr>
          <w:sz w:val="20"/>
          <w:szCs w:val="20"/>
          <w:lang w:val="fr-CA"/>
        </w:rPr>
        <w:t>1)</w:t>
      </w:r>
    </w:p>
    <w:p w:rsidR="00CB3520" w:rsidRPr="00C81BAD" w:rsidRDefault="00CB3520" w:rsidP="00CB3520">
      <w:pPr>
        <w:widowControl w:val="0"/>
        <w:jc w:val="both"/>
        <w:rPr>
          <w:sz w:val="20"/>
          <w:szCs w:val="20"/>
          <w:lang w:val="fr-CA"/>
        </w:rPr>
      </w:pPr>
    </w:p>
    <w:p w:rsidR="00CE456F" w:rsidRPr="00C81BAD" w:rsidRDefault="00CE456F" w:rsidP="00CB3520">
      <w:pPr>
        <w:widowControl w:val="0"/>
        <w:jc w:val="both"/>
        <w:rPr>
          <w:sz w:val="20"/>
          <w:szCs w:val="20"/>
          <w:lang w:val="fr-CA"/>
        </w:rPr>
      </w:pPr>
    </w:p>
    <w:p w:rsidR="00CE456F" w:rsidRPr="00C50A5C" w:rsidRDefault="00CE456F" w:rsidP="00CE456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E456F" w:rsidRPr="00C50A5C" w:rsidRDefault="00CE456F" w:rsidP="00CE456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E456F" w:rsidRPr="00CE456F" w:rsidRDefault="00CE456F" w:rsidP="00CB3520">
      <w:pPr>
        <w:widowControl w:val="0"/>
        <w:jc w:val="both"/>
        <w:rPr>
          <w:sz w:val="20"/>
          <w:szCs w:val="20"/>
          <w:lang w:val="fr-CA"/>
        </w:rPr>
      </w:pPr>
    </w:p>
    <w:p w:rsidR="00CB3520" w:rsidRPr="009C5D38" w:rsidRDefault="00C81BAD" w:rsidP="00CB3520">
      <w:pPr>
        <w:pStyle w:val="ListParagraph"/>
        <w:widowControl w:val="0"/>
        <w:numPr>
          <w:ilvl w:val="0"/>
          <w:numId w:val="1"/>
        </w:numPr>
        <w:ind w:hanging="720"/>
        <w:jc w:val="both"/>
        <w:rPr>
          <w:sz w:val="20"/>
          <w:szCs w:val="20"/>
        </w:rPr>
      </w:pPr>
      <w:r w:rsidRPr="00C81BAD">
        <w:rPr>
          <w:i/>
          <w:sz w:val="20"/>
          <w:szCs w:val="20"/>
        </w:rPr>
        <w:t>Nuwan Dilusha Jayamaha Mudalige Don v. Minister of Citizenship and Immigration et al.</w:t>
      </w:r>
      <w:r w:rsidRPr="00C81BAD">
        <w:rPr>
          <w:sz w:val="20"/>
          <w:szCs w:val="20"/>
        </w:rPr>
        <w:t xml:space="preserve"> </w:t>
      </w:r>
      <w:r w:rsidRPr="00CE456F">
        <w:rPr>
          <w:sz w:val="20"/>
          <w:szCs w:val="20"/>
          <w:lang w:val="fr-CA"/>
        </w:rPr>
        <w:t xml:space="preserve">(F.C.) </w:t>
      </w:r>
      <w:r w:rsidRPr="00CE456F">
        <w:rPr>
          <w:sz w:val="20"/>
          <w:szCs w:val="20"/>
        </w:rPr>
        <w:t>(Civil) (By</w:t>
      </w:r>
      <w:r w:rsidR="00943277">
        <w:rPr>
          <w:sz w:val="20"/>
          <w:szCs w:val="20"/>
        </w:rPr>
        <w:t> </w:t>
      </w:r>
      <w:r w:rsidRPr="00CE456F">
        <w:rPr>
          <w:sz w:val="20"/>
          <w:szCs w:val="20"/>
        </w:rPr>
        <w:t>Leave)</w:t>
      </w:r>
      <w:r w:rsidRPr="009C5D38">
        <w:rPr>
          <w:sz w:val="20"/>
          <w:szCs w:val="20"/>
        </w:rPr>
        <w:t xml:space="preserve"> </w:t>
      </w:r>
      <w:r w:rsidR="00CB3520" w:rsidRPr="009C5D38">
        <w:rPr>
          <w:sz w:val="20"/>
          <w:szCs w:val="20"/>
        </w:rPr>
        <w:t>(35</w:t>
      </w:r>
      <w:r w:rsidR="00CE456F">
        <w:rPr>
          <w:sz w:val="20"/>
          <w:szCs w:val="20"/>
        </w:rPr>
        <w:t>7</w:t>
      </w:r>
      <w:r w:rsidR="00CB3520" w:rsidRPr="009C5D38">
        <w:rPr>
          <w:sz w:val="20"/>
          <w:szCs w:val="20"/>
        </w:rPr>
        <w:t>6</w:t>
      </w:r>
      <w:r w:rsidR="00CE456F">
        <w:rPr>
          <w:sz w:val="20"/>
          <w:szCs w:val="20"/>
        </w:rPr>
        <w:t>0</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115C9E" w:rsidRDefault="00C81BAD" w:rsidP="00CB3520">
      <w:pPr>
        <w:pStyle w:val="ListParagraph"/>
        <w:widowControl w:val="0"/>
        <w:numPr>
          <w:ilvl w:val="0"/>
          <w:numId w:val="1"/>
        </w:numPr>
        <w:ind w:hanging="720"/>
        <w:jc w:val="both"/>
        <w:rPr>
          <w:sz w:val="20"/>
          <w:szCs w:val="20"/>
          <w:lang w:val="fr-CA"/>
        </w:rPr>
      </w:pPr>
      <w:r w:rsidRPr="00C81BAD">
        <w:rPr>
          <w:i/>
          <w:sz w:val="20"/>
          <w:szCs w:val="20"/>
          <w:lang w:val="fr-CA"/>
        </w:rPr>
        <w:t>I.F. c. J.Fr.</w:t>
      </w:r>
      <w:r w:rsidRPr="00CE456F">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(35</w:t>
      </w:r>
      <w:r w:rsidR="00CE456F">
        <w:rPr>
          <w:sz w:val="20"/>
          <w:szCs w:val="20"/>
          <w:lang w:val="fr-CA"/>
        </w:rPr>
        <w:t>7</w:t>
      </w:r>
      <w:r w:rsidR="00CB3520">
        <w:rPr>
          <w:sz w:val="20"/>
          <w:szCs w:val="20"/>
          <w:lang w:val="fr-CA"/>
        </w:rPr>
        <w:t>6</w:t>
      </w:r>
      <w:r w:rsidR="00CE456F">
        <w:rPr>
          <w:sz w:val="20"/>
          <w:szCs w:val="20"/>
          <w:lang w:val="fr-CA"/>
        </w:rPr>
        <w:t>7</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C81BAD" w:rsidP="00CB3520">
      <w:pPr>
        <w:pStyle w:val="ListParagraph"/>
        <w:widowControl w:val="0"/>
        <w:numPr>
          <w:ilvl w:val="0"/>
          <w:numId w:val="1"/>
        </w:numPr>
        <w:ind w:hanging="720"/>
        <w:jc w:val="both"/>
        <w:rPr>
          <w:sz w:val="20"/>
          <w:szCs w:val="20"/>
        </w:rPr>
      </w:pPr>
      <w:r w:rsidRPr="00C81BAD">
        <w:rPr>
          <w:i/>
          <w:sz w:val="20"/>
          <w:szCs w:val="20"/>
        </w:rPr>
        <w:t>Peter Schober v. Tyson Creek Hydro Corporation</w:t>
      </w:r>
      <w:r w:rsidRPr="00CE456F">
        <w:rPr>
          <w:sz w:val="20"/>
          <w:szCs w:val="20"/>
        </w:rPr>
        <w:t xml:space="preserve"> (B.C.) (Civil) (By Leave)</w:t>
      </w:r>
      <w:r w:rsidRPr="009C5D38">
        <w:rPr>
          <w:sz w:val="20"/>
          <w:szCs w:val="20"/>
        </w:rPr>
        <w:t xml:space="preserve"> </w:t>
      </w:r>
      <w:r w:rsidR="00CB3520" w:rsidRPr="009C5D38">
        <w:rPr>
          <w:sz w:val="20"/>
          <w:szCs w:val="20"/>
        </w:rPr>
        <w:t>(35</w:t>
      </w:r>
      <w:r w:rsidR="00CE456F">
        <w:rPr>
          <w:sz w:val="20"/>
          <w:szCs w:val="20"/>
        </w:rPr>
        <w:t>742</w:t>
      </w:r>
      <w:r w:rsidR="00CB3520" w:rsidRPr="009C5D38">
        <w:rPr>
          <w:sz w:val="20"/>
          <w:szCs w:val="20"/>
        </w:rPr>
        <w:t>)</w:t>
      </w:r>
    </w:p>
    <w:p w:rsidR="00CB3520" w:rsidRPr="009C5D38" w:rsidRDefault="00CB3520" w:rsidP="00CB3520">
      <w:pPr>
        <w:widowControl w:val="0"/>
        <w:jc w:val="both"/>
        <w:rPr>
          <w:sz w:val="20"/>
          <w:szCs w:val="20"/>
        </w:rPr>
      </w:pPr>
    </w:p>
    <w:p w:rsidR="00CB3520" w:rsidRPr="00C81BAD" w:rsidRDefault="00C81BAD" w:rsidP="00CB3520">
      <w:pPr>
        <w:pStyle w:val="ListParagraph"/>
        <w:widowControl w:val="0"/>
        <w:numPr>
          <w:ilvl w:val="0"/>
          <w:numId w:val="1"/>
        </w:numPr>
        <w:ind w:hanging="720"/>
        <w:jc w:val="both"/>
        <w:rPr>
          <w:sz w:val="20"/>
          <w:szCs w:val="20"/>
        </w:rPr>
      </w:pPr>
      <w:r w:rsidRPr="00C81BAD">
        <w:rPr>
          <w:i/>
          <w:sz w:val="20"/>
          <w:szCs w:val="20"/>
        </w:rPr>
        <w:t>Michael Melchior Trupei v. City of Toronto Inc. et al.</w:t>
      </w:r>
      <w:r w:rsidRPr="00CE456F">
        <w:rPr>
          <w:sz w:val="20"/>
          <w:szCs w:val="20"/>
        </w:rPr>
        <w:t xml:space="preserve"> (Ont.) (Civil) (By Leave)</w:t>
      </w:r>
      <w:r w:rsidRPr="00C81BAD">
        <w:rPr>
          <w:sz w:val="20"/>
          <w:szCs w:val="20"/>
        </w:rPr>
        <w:t xml:space="preserve"> </w:t>
      </w:r>
      <w:r w:rsidR="00CB3520" w:rsidRPr="00C81BAD">
        <w:rPr>
          <w:sz w:val="20"/>
          <w:szCs w:val="20"/>
        </w:rPr>
        <w:t>(35</w:t>
      </w:r>
      <w:r w:rsidR="00CE456F" w:rsidRPr="00C81BAD">
        <w:rPr>
          <w:sz w:val="20"/>
          <w:szCs w:val="20"/>
        </w:rPr>
        <w:t>783</w:t>
      </w:r>
      <w:r w:rsidR="00CB3520" w:rsidRPr="00C81BAD">
        <w:rPr>
          <w:sz w:val="20"/>
          <w:szCs w:val="20"/>
        </w:rPr>
        <w:t>)</w:t>
      </w:r>
    </w:p>
    <w:p w:rsidR="00CB3520" w:rsidRPr="00C81BAD" w:rsidRDefault="00CB3520" w:rsidP="00CB3520">
      <w:pPr>
        <w:widowControl w:val="0"/>
        <w:rPr>
          <w:sz w:val="20"/>
          <w:szCs w:val="20"/>
        </w:rPr>
      </w:pPr>
    </w:p>
    <w:p w:rsidR="00CE456F" w:rsidRPr="00C81BAD" w:rsidRDefault="00CE456F" w:rsidP="00CB3520">
      <w:pPr>
        <w:widowControl w:val="0"/>
        <w:rPr>
          <w:sz w:val="20"/>
          <w:szCs w:val="20"/>
        </w:rPr>
      </w:pPr>
    </w:p>
    <w:p w:rsidR="00CE456F" w:rsidRPr="00C50A5C" w:rsidRDefault="00CE456F" w:rsidP="00CE456F">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E456F" w:rsidRPr="00C50A5C" w:rsidRDefault="00CE456F" w:rsidP="00CE456F">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E456F" w:rsidRDefault="00CE456F" w:rsidP="00CB3520">
      <w:pPr>
        <w:widowControl w:val="0"/>
        <w:rPr>
          <w:sz w:val="20"/>
          <w:szCs w:val="20"/>
          <w:lang w:val="fr-CA"/>
        </w:rPr>
      </w:pPr>
    </w:p>
    <w:p w:rsidR="00CB3520" w:rsidRPr="009C5D38" w:rsidRDefault="00C81BAD" w:rsidP="00CB3520">
      <w:pPr>
        <w:pStyle w:val="ListParagraph"/>
        <w:widowControl w:val="0"/>
        <w:numPr>
          <w:ilvl w:val="0"/>
          <w:numId w:val="1"/>
        </w:numPr>
        <w:ind w:hanging="720"/>
        <w:jc w:val="both"/>
        <w:rPr>
          <w:sz w:val="20"/>
          <w:szCs w:val="20"/>
          <w:lang w:val="fr-CA"/>
        </w:rPr>
      </w:pPr>
      <w:r w:rsidRPr="00C81BAD">
        <w:rPr>
          <w:i/>
          <w:sz w:val="20"/>
          <w:szCs w:val="20"/>
        </w:rPr>
        <w:t>Appliance Recycling Centers of America v. Amtim Capital Inc.</w:t>
      </w:r>
      <w:r w:rsidRPr="00CE456F">
        <w:rPr>
          <w:sz w:val="20"/>
          <w:szCs w:val="20"/>
        </w:rPr>
        <w:t xml:space="preserve"> (Ont.) (Civil) (By Leave)</w:t>
      </w:r>
      <w:r w:rsidRPr="009C5D38">
        <w:rPr>
          <w:sz w:val="20"/>
          <w:szCs w:val="20"/>
          <w:lang w:val="fr-CA"/>
        </w:rPr>
        <w:t xml:space="preserve"> </w:t>
      </w:r>
      <w:r w:rsidR="00CB3520" w:rsidRPr="009C5D38">
        <w:rPr>
          <w:sz w:val="20"/>
          <w:szCs w:val="20"/>
          <w:lang w:val="fr-CA"/>
        </w:rPr>
        <w:t>(35</w:t>
      </w:r>
      <w:r w:rsidR="00CE456F">
        <w:rPr>
          <w:sz w:val="20"/>
          <w:szCs w:val="20"/>
          <w:lang w:val="fr-CA"/>
        </w:rPr>
        <w:t>7</w:t>
      </w:r>
      <w:r w:rsidR="00CB3520" w:rsidRPr="009C5D38">
        <w:rPr>
          <w:sz w:val="20"/>
          <w:szCs w:val="20"/>
          <w:lang w:val="fr-CA"/>
        </w:rPr>
        <w:t>6</w:t>
      </w:r>
      <w:r w:rsidR="00CE456F">
        <w:rPr>
          <w:sz w:val="20"/>
          <w:szCs w:val="20"/>
          <w:lang w:val="fr-CA"/>
        </w:rPr>
        <w:t>4</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C81BAD" w:rsidP="00CB3520">
      <w:pPr>
        <w:pStyle w:val="ListParagraph"/>
        <w:widowControl w:val="0"/>
        <w:numPr>
          <w:ilvl w:val="0"/>
          <w:numId w:val="1"/>
        </w:numPr>
        <w:ind w:hanging="720"/>
        <w:jc w:val="both"/>
        <w:rPr>
          <w:sz w:val="20"/>
          <w:szCs w:val="20"/>
        </w:rPr>
      </w:pPr>
      <w:r w:rsidRPr="00C81BAD">
        <w:rPr>
          <w:i/>
          <w:sz w:val="20"/>
          <w:szCs w:val="20"/>
        </w:rPr>
        <w:t>6470360 Canada Inc., c.o.b. Energyshop Consulting Inc./Powerhouse Energy Management Inc. et al. v. Shoppers Drug Mart Inc.</w:t>
      </w:r>
      <w:r w:rsidRPr="00CE456F">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5</w:t>
      </w:r>
      <w:r w:rsidR="00CE456F">
        <w:rPr>
          <w:sz w:val="20"/>
          <w:szCs w:val="20"/>
        </w:rPr>
        <w:t>796</w:t>
      </w:r>
      <w:r w:rsidR="00CB3520" w:rsidRPr="00115C9E">
        <w:rPr>
          <w:sz w:val="20"/>
          <w:szCs w:val="20"/>
        </w:rPr>
        <w:t>)</w:t>
      </w:r>
    </w:p>
    <w:p w:rsidR="00CB3520" w:rsidRPr="00A8251C" w:rsidRDefault="00CB3520" w:rsidP="00CB3520">
      <w:pPr>
        <w:widowControl w:val="0"/>
        <w:jc w:val="both"/>
        <w:rPr>
          <w:sz w:val="20"/>
          <w:szCs w:val="20"/>
          <w:lang w:val="fr-CA"/>
        </w:rPr>
      </w:pPr>
    </w:p>
    <w:p w:rsidR="00CB3520" w:rsidRPr="00115C9E" w:rsidRDefault="00C81BAD" w:rsidP="00CB3520">
      <w:pPr>
        <w:pStyle w:val="ListParagraph"/>
        <w:widowControl w:val="0"/>
        <w:numPr>
          <w:ilvl w:val="0"/>
          <w:numId w:val="1"/>
        </w:numPr>
        <w:ind w:hanging="720"/>
        <w:jc w:val="both"/>
        <w:rPr>
          <w:sz w:val="20"/>
          <w:szCs w:val="20"/>
        </w:rPr>
      </w:pPr>
      <w:r w:rsidRPr="00C81BAD">
        <w:rPr>
          <w:i/>
          <w:sz w:val="20"/>
          <w:szCs w:val="20"/>
        </w:rPr>
        <w:t>Potash Corporation of Saskatchewan Inc. et al. v. Keith Barton</w:t>
      </w:r>
      <w:r w:rsidRPr="00CE456F">
        <w:rPr>
          <w:sz w:val="20"/>
          <w:szCs w:val="20"/>
        </w:rPr>
        <w:t xml:space="preserve"> (Sask.) (Civil) (By Leave)</w:t>
      </w:r>
      <w:r w:rsidRPr="00115C9E">
        <w:rPr>
          <w:sz w:val="20"/>
          <w:szCs w:val="20"/>
        </w:rPr>
        <w:t xml:space="preserve"> </w:t>
      </w:r>
      <w:r w:rsidR="00CB3520" w:rsidRPr="00115C9E">
        <w:rPr>
          <w:sz w:val="20"/>
          <w:szCs w:val="20"/>
        </w:rPr>
        <w:t>(3</w:t>
      </w:r>
      <w:r w:rsidR="00CB3520">
        <w:rPr>
          <w:sz w:val="20"/>
          <w:szCs w:val="20"/>
        </w:rPr>
        <w:t>5</w:t>
      </w:r>
      <w:r w:rsidR="00CE456F">
        <w:rPr>
          <w:sz w:val="20"/>
          <w:szCs w:val="20"/>
        </w:rPr>
        <w:t>729</w:t>
      </w:r>
      <w:r w:rsidR="00CB3520" w:rsidRPr="00115C9E">
        <w:rPr>
          <w:sz w:val="20"/>
          <w:szCs w:val="20"/>
        </w:rPr>
        <w:t>)</w:t>
      </w:r>
    </w:p>
    <w:p w:rsidR="002E2327" w:rsidRPr="00CB3520" w:rsidRDefault="002E2327" w:rsidP="002E2327">
      <w:pPr>
        <w:widowControl w:val="0"/>
        <w:rPr>
          <w:sz w:val="20"/>
          <w:szCs w:val="20"/>
        </w:rPr>
      </w:pPr>
    </w:p>
    <w:p w:rsidR="002E2327" w:rsidRDefault="00F27688" w:rsidP="002E2327">
      <w:pPr>
        <w:widowControl w:val="0"/>
        <w:rPr>
          <w:sz w:val="20"/>
          <w:szCs w:val="20"/>
        </w:rPr>
      </w:pPr>
      <w:r>
        <w:rPr>
          <w:sz w:val="20"/>
          <w:szCs w:val="20"/>
        </w:rPr>
        <w:pict>
          <v:rect id="_x0000_i1046" style="width:2in;height:1pt" o:hrpct="0" o:hralign="center" o:hrstd="t" o:hrnoshade="t" o:hr="t" fillcolor="black [3213]" stroked="f"/>
        </w:pict>
      </w:r>
    </w:p>
    <w:p w:rsidR="00CE456F" w:rsidRDefault="00CE456F" w:rsidP="002E2327">
      <w:pPr>
        <w:widowControl w:val="0"/>
        <w:rPr>
          <w:sz w:val="20"/>
          <w:szCs w:val="20"/>
        </w:rPr>
      </w:pPr>
    </w:p>
    <w:p w:rsidR="00CE456F" w:rsidRDefault="00CE456F"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2768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w:t>
      </w:r>
      <w:r w:rsidR="0096146C">
        <w:rPr>
          <w:b/>
          <w:sz w:val="20"/>
          <w:szCs w:val="20"/>
        </w:rPr>
        <w:t>15</w:t>
      </w:r>
      <w:r w:rsidRPr="00C50A5C">
        <w:rPr>
          <w:b/>
          <w:sz w:val="20"/>
          <w:szCs w:val="20"/>
        </w:rPr>
        <w:t>, 201</w:t>
      </w:r>
      <w:r w:rsidR="0096146C">
        <w:rPr>
          <w:b/>
          <w:sz w:val="20"/>
          <w:szCs w:val="20"/>
        </w:rPr>
        <w:t>4</w:t>
      </w:r>
      <w:r w:rsidRPr="00C50A5C">
        <w:rPr>
          <w:b/>
          <w:sz w:val="20"/>
          <w:szCs w:val="20"/>
        </w:rPr>
        <w:t xml:space="preserve"> / LE </w:t>
      </w:r>
      <w:r w:rsidR="0096146C">
        <w:rPr>
          <w:b/>
          <w:sz w:val="20"/>
          <w:szCs w:val="20"/>
        </w:rPr>
        <w:t>15</w:t>
      </w:r>
      <w:r w:rsidRPr="00C50A5C">
        <w:rPr>
          <w:b/>
          <w:sz w:val="20"/>
          <w:szCs w:val="20"/>
        </w:rPr>
        <w:t xml:space="preserve"> </w:t>
      </w:r>
      <w:r>
        <w:rPr>
          <w:b/>
          <w:sz w:val="20"/>
          <w:szCs w:val="20"/>
        </w:rPr>
        <w:t>M</w:t>
      </w:r>
      <w:r w:rsidRPr="00C50A5C">
        <w:rPr>
          <w:b/>
          <w:sz w:val="20"/>
          <w:szCs w:val="20"/>
        </w:rPr>
        <w:t>AI 201</w:t>
      </w:r>
      <w:r w:rsidR="0096146C">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32B3" w:rsidRPr="001F32B3" w:rsidTr="00C87D55">
        <w:trPr>
          <w:cantSplit/>
        </w:trPr>
        <w:tc>
          <w:tcPr>
            <w:tcW w:w="1458" w:type="dxa"/>
          </w:tcPr>
          <w:p w:rsidR="001F32B3" w:rsidRPr="001F32B3" w:rsidRDefault="001F32B3" w:rsidP="001F32B3">
            <w:pPr>
              <w:rPr>
                <w:sz w:val="20"/>
              </w:rPr>
            </w:pPr>
            <w:r w:rsidRPr="001F32B3">
              <w:rPr>
                <w:b/>
                <w:sz w:val="20"/>
                <w:lang w:val="fr-CA"/>
              </w:rPr>
              <w:t>35657</w:t>
            </w:r>
          </w:p>
          <w:p w:rsidR="001F32B3" w:rsidRPr="001F32B3" w:rsidRDefault="001F32B3" w:rsidP="001F32B3">
            <w:pPr>
              <w:rPr>
                <w:b/>
                <w:sz w:val="20"/>
                <w:lang w:val="fr-CA"/>
              </w:rPr>
            </w:pPr>
          </w:p>
        </w:tc>
        <w:tc>
          <w:tcPr>
            <w:tcW w:w="8118" w:type="dxa"/>
          </w:tcPr>
          <w:p w:rsidR="001F32B3" w:rsidRPr="001F32B3" w:rsidRDefault="001F32B3" w:rsidP="001F32B3">
            <w:pPr>
              <w:jc w:val="both"/>
              <w:rPr>
                <w:sz w:val="20"/>
              </w:rPr>
            </w:pPr>
            <w:r w:rsidRPr="001F32B3">
              <w:rPr>
                <w:b/>
                <w:sz w:val="20"/>
                <w:u w:val="single"/>
              </w:rPr>
              <w:t>Wanda Cummings v. Her Majesty the Queen in Right of the Province of Nova Scotia, Provincial Court of Nova Scotia, Attorney General of Nova Scotia, Attorney General of Nova Scotia representing Her Majesty the Queen in Right of the Province of Nova Scotia</w:t>
            </w:r>
            <w:r>
              <w:rPr>
                <w:b/>
                <w:sz w:val="20"/>
                <w:u w:val="single"/>
              </w:rPr>
              <w:t xml:space="preserve"> and</w:t>
            </w:r>
            <w:r w:rsidRPr="001F32B3">
              <w:rPr>
                <w:b/>
                <w:sz w:val="20"/>
                <w:u w:val="single"/>
              </w:rPr>
              <w:t xml:space="preserve"> Nova Scotia Department of Justice</w:t>
            </w:r>
            <w:r w:rsidRPr="001F32B3">
              <w:rPr>
                <w:sz w:val="20"/>
              </w:rPr>
              <w:t xml:space="preserve"> (N.S.) (Criminal) (By Leave)</w:t>
            </w:r>
          </w:p>
          <w:p w:rsidR="001F32B3" w:rsidRPr="001F32B3" w:rsidRDefault="001F32B3" w:rsidP="001F32B3">
            <w:pPr>
              <w:jc w:val="both"/>
              <w:rPr>
                <w:sz w:val="20"/>
              </w:rPr>
            </w:pPr>
          </w:p>
        </w:tc>
      </w:tr>
      <w:tr w:rsidR="001F32B3" w:rsidRPr="001F32B3" w:rsidTr="00C87D55">
        <w:trPr>
          <w:cantSplit/>
        </w:trPr>
        <w:tc>
          <w:tcPr>
            <w:tcW w:w="1458" w:type="dxa"/>
          </w:tcPr>
          <w:p w:rsidR="001F32B3" w:rsidRPr="001F32B3" w:rsidRDefault="001F32B3" w:rsidP="001F32B3">
            <w:pPr>
              <w:rPr>
                <w:sz w:val="20"/>
              </w:rPr>
            </w:pPr>
            <w:r w:rsidRPr="001F32B3">
              <w:rPr>
                <w:sz w:val="20"/>
              </w:rPr>
              <w:t>Coram :</w:t>
            </w:r>
          </w:p>
        </w:tc>
        <w:tc>
          <w:tcPr>
            <w:tcW w:w="8118" w:type="dxa"/>
          </w:tcPr>
          <w:p w:rsidR="001F32B3" w:rsidRPr="001F32B3" w:rsidRDefault="001F32B3" w:rsidP="001F32B3">
            <w:pPr>
              <w:rPr>
                <w:sz w:val="20"/>
              </w:rPr>
            </w:pPr>
            <w:r w:rsidRPr="001F32B3">
              <w:rPr>
                <w:sz w:val="20"/>
                <w:u w:val="single"/>
              </w:rPr>
              <w:t>Abella, Rothstein and Moldaver JJ.</w:t>
            </w:r>
          </w:p>
          <w:p w:rsidR="001F32B3" w:rsidRPr="001F32B3" w:rsidRDefault="001F32B3" w:rsidP="001F32B3">
            <w:pPr>
              <w:rPr>
                <w:sz w:val="20"/>
                <w:u w:val="single"/>
              </w:rPr>
            </w:pPr>
          </w:p>
        </w:tc>
      </w:tr>
      <w:tr w:rsidR="001F32B3" w:rsidRPr="00F27688" w:rsidTr="00C87D55">
        <w:trPr>
          <w:cantSplit/>
        </w:trPr>
        <w:tc>
          <w:tcPr>
            <w:tcW w:w="9576" w:type="dxa"/>
            <w:gridSpan w:val="2"/>
          </w:tcPr>
          <w:p w:rsidR="001F32B3" w:rsidRPr="001F32B3" w:rsidRDefault="001F32B3" w:rsidP="001F32B3">
            <w:pPr>
              <w:ind w:firstLine="720"/>
              <w:jc w:val="both"/>
              <w:rPr>
                <w:sz w:val="20"/>
              </w:rPr>
            </w:pPr>
            <w:r w:rsidRPr="001F32B3">
              <w:rPr>
                <w:sz w:val="20"/>
              </w:rPr>
              <w:t>The application for leave to appeal from the judgment of the Nova Scotia Court of Appeal, Number CAC 416755, 2013 NSCA 112, dated October 8, 2013, and all other ancillary motions are dismissed without costs.</w:t>
            </w:r>
          </w:p>
          <w:p w:rsidR="001F32B3" w:rsidRPr="001F32B3" w:rsidRDefault="001F32B3" w:rsidP="001F32B3">
            <w:pPr>
              <w:jc w:val="both"/>
              <w:rPr>
                <w:sz w:val="20"/>
              </w:rPr>
            </w:pPr>
          </w:p>
          <w:p w:rsidR="001F32B3" w:rsidRPr="001F32B3" w:rsidRDefault="001F32B3" w:rsidP="001F32B3">
            <w:pPr>
              <w:ind w:firstLine="720"/>
              <w:jc w:val="both"/>
              <w:rPr>
                <w:sz w:val="20"/>
                <w:lang w:val="fr-CA"/>
              </w:rPr>
            </w:pPr>
            <w:r w:rsidRPr="001F32B3">
              <w:rPr>
                <w:sz w:val="20"/>
                <w:lang w:val="fr-CA"/>
              </w:rPr>
              <w:t>La demande d’autorisation d’appel de l’arrêt de la Cour d’appel de la Nouvelle-Écosse, numéro CAC 416755, 2013 NSCA 112, daté du 8 octobre 2013, et toutes les requêtes accessoires sont rejetées sans dépens.</w:t>
            </w:r>
          </w:p>
        </w:tc>
      </w:tr>
    </w:tbl>
    <w:p w:rsidR="0096146C" w:rsidRPr="001F32B3" w:rsidRDefault="0096146C" w:rsidP="000E2959">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46C" w:rsidRPr="00CA7C76" w:rsidTr="0096146C">
        <w:tc>
          <w:tcPr>
            <w:tcW w:w="5000" w:type="pct"/>
            <w:gridSpan w:val="3"/>
          </w:tcPr>
          <w:p w:rsidR="0096146C" w:rsidRPr="00CA7C76" w:rsidRDefault="0096146C" w:rsidP="0096146C">
            <w:pPr>
              <w:jc w:val="both"/>
              <w:rPr>
                <w:rFonts w:eastAsia="Calibri"/>
                <w:smallCaps/>
                <w:sz w:val="20"/>
              </w:rPr>
            </w:pPr>
            <w:r w:rsidRPr="00CA7C76">
              <w:rPr>
                <w:rFonts w:eastAsia="Calibri"/>
                <w:smallCaps/>
                <w:sz w:val="20"/>
              </w:rPr>
              <w:t>(</w:t>
            </w:r>
            <w:r>
              <w:rPr>
                <w:rFonts w:eastAsia="Calibri"/>
                <w:smallCaps/>
                <w:sz w:val="20"/>
              </w:rPr>
              <w:t>P</w:t>
            </w:r>
            <w:r w:rsidRPr="00CA7C76">
              <w:rPr>
                <w:rFonts w:eastAsia="Calibri"/>
                <w:smallCaps/>
                <w:sz w:val="20"/>
              </w:rPr>
              <w:t xml:space="preserve">ublication </w:t>
            </w:r>
            <w:r>
              <w:rPr>
                <w:rFonts w:eastAsia="Calibri"/>
                <w:smallCaps/>
                <w:sz w:val="20"/>
              </w:rPr>
              <w:t>B</w:t>
            </w:r>
            <w:r w:rsidRPr="00CA7C76">
              <w:rPr>
                <w:rFonts w:eastAsia="Calibri"/>
                <w:smallCaps/>
                <w:sz w:val="20"/>
              </w:rPr>
              <w:t xml:space="preserve">an in </w:t>
            </w:r>
            <w:r>
              <w:rPr>
                <w:rFonts w:eastAsia="Calibri"/>
                <w:smallCaps/>
                <w:sz w:val="20"/>
              </w:rPr>
              <w:t>C</w:t>
            </w:r>
            <w:r w:rsidRPr="00CA7C76">
              <w:rPr>
                <w:rFonts w:eastAsia="Calibri"/>
                <w:smallCaps/>
                <w:sz w:val="20"/>
              </w:rPr>
              <w:t xml:space="preserve">ase) (Publication </w:t>
            </w:r>
            <w:r>
              <w:rPr>
                <w:rFonts w:eastAsia="Calibri"/>
                <w:smallCaps/>
                <w:sz w:val="20"/>
              </w:rPr>
              <w:t>B</w:t>
            </w:r>
            <w:r w:rsidRPr="00CA7C76">
              <w:rPr>
                <w:rFonts w:eastAsia="Calibri"/>
                <w:smallCaps/>
                <w:sz w:val="20"/>
              </w:rPr>
              <w:t xml:space="preserve">an on </w:t>
            </w:r>
            <w:r>
              <w:rPr>
                <w:rFonts w:eastAsia="Calibri"/>
                <w:smallCaps/>
                <w:sz w:val="20"/>
              </w:rPr>
              <w:t>P</w:t>
            </w:r>
            <w:r w:rsidRPr="00CA7C76">
              <w:rPr>
                <w:rFonts w:eastAsia="Calibri"/>
                <w:smallCaps/>
                <w:sz w:val="20"/>
              </w:rPr>
              <w:t>arty) (</w:t>
            </w:r>
            <w:r>
              <w:rPr>
                <w:rFonts w:eastAsia="Calibri"/>
                <w:smallCaps/>
                <w:sz w:val="20"/>
              </w:rPr>
              <w:t>C</w:t>
            </w:r>
            <w:r w:rsidRPr="00CA7C76">
              <w:rPr>
                <w:rFonts w:eastAsia="Calibri"/>
                <w:smallCaps/>
                <w:sz w:val="20"/>
              </w:rPr>
              <w:t xml:space="preserve">ourt </w:t>
            </w:r>
            <w:r>
              <w:rPr>
                <w:rFonts w:eastAsia="Calibri"/>
                <w:smallCaps/>
                <w:sz w:val="20"/>
              </w:rPr>
              <w:t>F</w:t>
            </w:r>
            <w:r w:rsidRPr="00CA7C76">
              <w:rPr>
                <w:rFonts w:eastAsia="Calibri"/>
                <w:smallCaps/>
                <w:sz w:val="20"/>
              </w:rPr>
              <w:t xml:space="preserve">ile </w:t>
            </w:r>
            <w:r>
              <w:rPr>
                <w:rFonts w:eastAsia="Calibri"/>
                <w:smallCaps/>
                <w:sz w:val="20"/>
              </w:rPr>
              <w:t>C</w:t>
            </w:r>
            <w:r w:rsidRPr="00CA7C76">
              <w:rPr>
                <w:rFonts w:eastAsia="Calibri"/>
                <w:smallCaps/>
                <w:sz w:val="20"/>
              </w:rPr>
              <w:t xml:space="preserve">ontains </w:t>
            </w:r>
            <w:r>
              <w:rPr>
                <w:rFonts w:eastAsia="Calibri"/>
                <w:smallCaps/>
                <w:sz w:val="20"/>
              </w:rPr>
              <w:t>I</w:t>
            </w:r>
            <w:r w:rsidRPr="00CA7C76">
              <w:rPr>
                <w:rFonts w:eastAsia="Calibri"/>
                <w:smallCaps/>
                <w:sz w:val="20"/>
              </w:rPr>
              <w:t xml:space="preserve">nformation </w:t>
            </w:r>
            <w:r>
              <w:rPr>
                <w:rFonts w:eastAsia="Calibri"/>
                <w:smallCaps/>
                <w:sz w:val="20"/>
              </w:rPr>
              <w:t>T</w:t>
            </w:r>
            <w:r w:rsidRPr="00CA7C76">
              <w:rPr>
                <w:rFonts w:eastAsia="Calibri"/>
                <w:smallCaps/>
                <w:sz w:val="20"/>
              </w:rPr>
              <w:t xml:space="preserve">hat is not </w:t>
            </w:r>
            <w:r>
              <w:rPr>
                <w:rFonts w:eastAsia="Calibri"/>
                <w:smallCaps/>
                <w:sz w:val="20"/>
              </w:rPr>
              <w:t>A</w:t>
            </w:r>
            <w:r w:rsidRPr="00CA7C76">
              <w:rPr>
                <w:rFonts w:eastAsia="Calibri"/>
                <w:smallCaps/>
                <w:sz w:val="20"/>
              </w:rPr>
              <w:t xml:space="preserve">vailable for </w:t>
            </w:r>
            <w:r>
              <w:rPr>
                <w:rFonts w:eastAsia="Calibri"/>
                <w:smallCaps/>
                <w:sz w:val="20"/>
              </w:rPr>
              <w:t>I</w:t>
            </w:r>
            <w:r w:rsidRPr="00CA7C76">
              <w:rPr>
                <w:rFonts w:eastAsia="Calibri"/>
                <w:smallCaps/>
                <w:sz w:val="20"/>
              </w:rPr>
              <w:t xml:space="preserve">nspection by the </w:t>
            </w:r>
            <w:r>
              <w:rPr>
                <w:rFonts w:eastAsia="Calibri"/>
                <w:smallCaps/>
                <w:sz w:val="20"/>
              </w:rPr>
              <w:t>P</w:t>
            </w:r>
            <w:r w:rsidRPr="00CA7C76">
              <w:rPr>
                <w:rFonts w:eastAsia="Calibri"/>
                <w:smallCaps/>
                <w:sz w:val="20"/>
              </w:rPr>
              <w:t>ublic)</w:t>
            </w:r>
          </w:p>
          <w:p w:rsidR="0096146C" w:rsidRPr="00CA7C76" w:rsidRDefault="0096146C" w:rsidP="0096146C">
            <w:pPr>
              <w:jc w:val="both"/>
              <w:rPr>
                <w:rFonts w:eastAsia="Calibri"/>
                <w:sz w:val="20"/>
              </w:rPr>
            </w:pPr>
          </w:p>
        </w:tc>
      </w:tr>
      <w:tr w:rsidR="0096146C" w:rsidRPr="00CA7C76" w:rsidTr="0096146C">
        <w:tc>
          <w:tcPr>
            <w:tcW w:w="5000" w:type="pct"/>
            <w:gridSpan w:val="3"/>
          </w:tcPr>
          <w:p w:rsidR="0096146C" w:rsidRPr="00CA7C76" w:rsidRDefault="0096146C" w:rsidP="0096146C">
            <w:pPr>
              <w:jc w:val="both"/>
              <w:rPr>
                <w:rFonts w:eastAsia="Calibri"/>
                <w:sz w:val="20"/>
              </w:rPr>
            </w:pPr>
            <w:r w:rsidRPr="00CA7C76">
              <w:rPr>
                <w:rFonts w:eastAsia="Calibri"/>
                <w:sz w:val="20"/>
              </w:rPr>
              <w:t>Criminal law — Procedure — Notices of appeal filed in the Nova Scotia Court of Appeal — Motions seeking various remedies dismissed in part by judge sitting in chambers — Whether judge erred and applicant victim of injustice.</w:t>
            </w:r>
          </w:p>
        </w:tc>
      </w:tr>
      <w:tr w:rsidR="0096146C" w:rsidRPr="00CA7C76" w:rsidTr="0096146C">
        <w:tc>
          <w:tcPr>
            <w:tcW w:w="5000" w:type="pct"/>
            <w:gridSpan w:val="3"/>
          </w:tcPr>
          <w:p w:rsidR="0096146C" w:rsidRPr="00CA7C76" w:rsidRDefault="0096146C" w:rsidP="0096146C">
            <w:pPr>
              <w:jc w:val="both"/>
              <w:rPr>
                <w:rFonts w:eastAsia="Calibri"/>
                <w:sz w:val="20"/>
              </w:rPr>
            </w:pP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October 8, 2013</w:t>
            </w:r>
          </w:p>
          <w:p w:rsidR="0096146C" w:rsidRPr="00CA7C76" w:rsidRDefault="0096146C" w:rsidP="0096146C">
            <w:pPr>
              <w:jc w:val="both"/>
              <w:rPr>
                <w:rFonts w:eastAsia="Calibri"/>
                <w:sz w:val="20"/>
              </w:rPr>
            </w:pPr>
            <w:r w:rsidRPr="00CA7C76">
              <w:rPr>
                <w:rFonts w:eastAsia="Calibri"/>
                <w:sz w:val="20"/>
              </w:rPr>
              <w:t>Nova Scotia Court of Appeal</w:t>
            </w:r>
          </w:p>
          <w:p w:rsidR="0096146C" w:rsidRPr="00CA7C76" w:rsidRDefault="0096146C" w:rsidP="0096146C">
            <w:pPr>
              <w:jc w:val="both"/>
              <w:rPr>
                <w:rFonts w:eastAsia="Calibri"/>
                <w:sz w:val="20"/>
                <w:lang w:val="fr-FR"/>
              </w:rPr>
            </w:pPr>
            <w:r w:rsidRPr="00CA7C76">
              <w:rPr>
                <w:rFonts w:eastAsia="Calibri"/>
                <w:sz w:val="20"/>
                <w:lang w:val="fr-FR"/>
              </w:rPr>
              <w:t>(Fichaud J.A.)</w:t>
            </w:r>
          </w:p>
          <w:p w:rsidR="0096146C" w:rsidRPr="00CA7C76" w:rsidRDefault="0096146C" w:rsidP="0096146C">
            <w:pPr>
              <w:jc w:val="both"/>
              <w:rPr>
                <w:rFonts w:eastAsia="Calibri"/>
                <w:sz w:val="20"/>
                <w:lang w:val="fr-FR"/>
              </w:rPr>
            </w:pPr>
            <w:r w:rsidRPr="00CA7C76">
              <w:rPr>
                <w:rFonts w:eastAsia="Calibri"/>
                <w:sz w:val="20"/>
                <w:lang w:val="fr-FR"/>
              </w:rPr>
              <w:t xml:space="preserve">CAC 416755; </w:t>
            </w:r>
            <w:hyperlink r:id="rId24" w:history="1">
              <w:r w:rsidRPr="004C6EEE">
                <w:rPr>
                  <w:rFonts w:eastAsia="Calibri"/>
                  <w:color w:val="0000FF"/>
                  <w:sz w:val="20"/>
                  <w:u w:val="single"/>
                  <w:lang w:val="fr-FR"/>
                </w:rPr>
                <w:t>2013 NSCA 112</w:t>
              </w:r>
            </w:hyperlink>
          </w:p>
          <w:p w:rsidR="0096146C" w:rsidRPr="00CA7C76" w:rsidRDefault="0096146C" w:rsidP="0096146C">
            <w:pPr>
              <w:jc w:val="both"/>
              <w:rPr>
                <w:rFonts w:eastAsia="Calibri"/>
                <w:sz w:val="20"/>
                <w:lang w:val="fr-FR"/>
              </w:rPr>
            </w:pPr>
          </w:p>
        </w:tc>
        <w:tc>
          <w:tcPr>
            <w:tcW w:w="243" w:type="pct"/>
          </w:tcPr>
          <w:p w:rsidR="0096146C" w:rsidRPr="00CA7C76" w:rsidRDefault="0096146C" w:rsidP="0096146C">
            <w:pPr>
              <w:jc w:val="both"/>
              <w:rPr>
                <w:rFonts w:eastAsia="Calibri"/>
                <w:sz w:val="20"/>
                <w:lang w:val="fr-FR"/>
              </w:rPr>
            </w:pPr>
          </w:p>
        </w:tc>
        <w:tc>
          <w:tcPr>
            <w:tcW w:w="2330" w:type="pct"/>
          </w:tcPr>
          <w:p w:rsidR="0096146C" w:rsidRPr="00CA7C76" w:rsidRDefault="0096146C" w:rsidP="0096146C">
            <w:pPr>
              <w:jc w:val="both"/>
              <w:rPr>
                <w:rFonts w:eastAsia="Calibri"/>
                <w:sz w:val="20"/>
              </w:rPr>
            </w:pPr>
            <w:r w:rsidRPr="00CA7C76">
              <w:rPr>
                <w:rFonts w:eastAsia="Calibri"/>
                <w:sz w:val="20"/>
              </w:rPr>
              <w:t xml:space="preserve">Motions dismissed </w:t>
            </w:r>
          </w:p>
          <w:p w:rsidR="0096146C" w:rsidRPr="00CA7C76" w:rsidRDefault="0096146C" w:rsidP="0096146C">
            <w:pPr>
              <w:jc w:val="both"/>
              <w:rPr>
                <w:rFonts w:eastAsia="Calibri"/>
                <w:sz w:val="20"/>
              </w:rPr>
            </w:pP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December 11, 2013</w:t>
            </w:r>
          </w:p>
          <w:p w:rsidR="0096146C" w:rsidRPr="00CA7C76" w:rsidRDefault="0096146C" w:rsidP="0096146C">
            <w:pPr>
              <w:jc w:val="both"/>
              <w:rPr>
                <w:rFonts w:eastAsia="Calibri"/>
                <w:sz w:val="20"/>
              </w:rPr>
            </w:pPr>
            <w:r w:rsidRPr="00CA7C76">
              <w:rPr>
                <w:rFonts w:eastAsia="Calibri"/>
                <w:sz w:val="20"/>
              </w:rPr>
              <w:t>Supreme Court of Canada</w:t>
            </w:r>
          </w:p>
          <w:p w:rsidR="0096146C" w:rsidRPr="00CA7C76" w:rsidRDefault="0096146C" w:rsidP="0096146C">
            <w:pPr>
              <w:jc w:val="both"/>
              <w:rPr>
                <w:rFonts w:eastAsia="Calibri"/>
                <w:sz w:val="20"/>
              </w:rPr>
            </w:pP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Notice of appeal as of right filed</w:t>
            </w: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January 29, 2014</w:t>
            </w:r>
          </w:p>
          <w:p w:rsidR="0096146C" w:rsidRPr="00CA7C76" w:rsidRDefault="0096146C" w:rsidP="0096146C">
            <w:pPr>
              <w:jc w:val="both"/>
              <w:rPr>
                <w:rFonts w:eastAsia="Calibri"/>
                <w:sz w:val="20"/>
              </w:rPr>
            </w:pPr>
            <w:r w:rsidRPr="00CA7C76">
              <w:rPr>
                <w:rFonts w:eastAsia="Calibri"/>
                <w:sz w:val="20"/>
              </w:rPr>
              <w:t xml:space="preserve">Supreme Court of Canada </w:t>
            </w:r>
          </w:p>
          <w:p w:rsidR="0096146C" w:rsidRPr="00CA7C76" w:rsidRDefault="0096146C" w:rsidP="0096146C">
            <w:pPr>
              <w:jc w:val="both"/>
              <w:rPr>
                <w:rFonts w:eastAsia="Calibri"/>
                <w:sz w:val="20"/>
              </w:rPr>
            </w:pPr>
            <w:r w:rsidRPr="00CA7C76">
              <w:rPr>
                <w:rFonts w:eastAsia="Calibri"/>
                <w:sz w:val="20"/>
              </w:rPr>
              <w:t>(Abella J.)</w:t>
            </w:r>
          </w:p>
          <w:p w:rsidR="0096146C" w:rsidRPr="00CA7C76" w:rsidRDefault="0096146C" w:rsidP="0096146C">
            <w:pPr>
              <w:jc w:val="both"/>
              <w:rPr>
                <w:rFonts w:eastAsia="Calibri"/>
                <w:sz w:val="20"/>
              </w:rPr>
            </w:pP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Motion for an order allowing the filing of a notice of appeal as of right dismissed</w:t>
            </w: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February 14, 2014</w:t>
            </w:r>
          </w:p>
          <w:p w:rsidR="0096146C" w:rsidRPr="00CA7C76" w:rsidRDefault="0096146C" w:rsidP="0096146C">
            <w:pPr>
              <w:jc w:val="both"/>
              <w:rPr>
                <w:rFonts w:eastAsia="Calibri"/>
                <w:sz w:val="20"/>
              </w:rPr>
            </w:pPr>
            <w:r w:rsidRPr="00CA7C76">
              <w:rPr>
                <w:rFonts w:eastAsia="Calibri"/>
                <w:sz w:val="20"/>
              </w:rPr>
              <w:t>Supreme Court of Canada</w:t>
            </w: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 xml:space="preserve">Application for leave to appeal filed </w:t>
            </w:r>
          </w:p>
        </w:tc>
      </w:tr>
    </w:tbl>
    <w:p w:rsidR="0096146C" w:rsidRDefault="0096146C" w:rsidP="000E2959">
      <w:pPr>
        <w:rPr>
          <w:sz w:val="20"/>
          <w:szCs w:val="20"/>
        </w:rPr>
      </w:pPr>
    </w:p>
    <w:p w:rsidR="0096146C" w:rsidRPr="00C50A5C" w:rsidRDefault="00F27688" w:rsidP="0096146C">
      <w:pPr>
        <w:rPr>
          <w:sz w:val="20"/>
          <w:szCs w:val="20"/>
        </w:rPr>
      </w:pPr>
      <w:r>
        <w:rPr>
          <w:sz w:val="20"/>
          <w:szCs w:val="20"/>
          <w:lang w:val="fr-CA"/>
        </w:rPr>
        <w:pict>
          <v:rect id="_x0000_i1049"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46C" w:rsidRPr="00F27688" w:rsidTr="0096146C">
        <w:tc>
          <w:tcPr>
            <w:tcW w:w="5000" w:type="pct"/>
            <w:gridSpan w:val="3"/>
          </w:tcPr>
          <w:p w:rsidR="0096146C" w:rsidRPr="00CA7C76" w:rsidRDefault="0096146C" w:rsidP="0096146C">
            <w:pPr>
              <w:jc w:val="both"/>
              <w:rPr>
                <w:rFonts w:eastAsia="Calibri"/>
                <w:smallCaps/>
                <w:sz w:val="20"/>
                <w:lang w:val="fr-CA"/>
              </w:rPr>
            </w:pPr>
            <w:r w:rsidRPr="00CA7C76">
              <w:rPr>
                <w:rFonts w:eastAsia="Calibri"/>
                <w:smallCaps/>
                <w:sz w:val="20"/>
                <w:lang w:val="fr-CA"/>
              </w:rPr>
              <w:t>(</w:t>
            </w:r>
            <w:r>
              <w:rPr>
                <w:rFonts w:eastAsia="Calibri"/>
                <w:smallCaps/>
                <w:sz w:val="20"/>
                <w:lang w:val="fr-CA"/>
              </w:rPr>
              <w:t>O</w:t>
            </w:r>
            <w:r w:rsidRPr="00CA7C76">
              <w:rPr>
                <w:rFonts w:eastAsia="Calibri"/>
                <w:smallCaps/>
                <w:sz w:val="20"/>
                <w:lang w:val="fr-CA"/>
              </w:rPr>
              <w:t>rdonnance de non-publication dans le dossier) (</w:t>
            </w:r>
            <w:r>
              <w:rPr>
                <w:rFonts w:eastAsia="Calibri"/>
                <w:smallCaps/>
                <w:sz w:val="20"/>
                <w:lang w:val="fr-CA"/>
              </w:rPr>
              <w:t>O</w:t>
            </w:r>
            <w:r w:rsidRPr="00CA7C76">
              <w:rPr>
                <w:rFonts w:eastAsia="Calibri"/>
                <w:smallCaps/>
                <w:sz w:val="20"/>
                <w:lang w:val="fr-CA"/>
              </w:rPr>
              <w:t>rdonnance de non-publication visant une partie) (Le dossier de la Cour contient des données que le public n’est pas autorisé à consulter)</w:t>
            </w:r>
          </w:p>
          <w:p w:rsidR="0096146C" w:rsidRPr="00CA7C76" w:rsidRDefault="0096146C" w:rsidP="0096146C">
            <w:pPr>
              <w:jc w:val="both"/>
              <w:rPr>
                <w:rFonts w:eastAsia="Calibri"/>
                <w:sz w:val="20"/>
                <w:lang w:val="fr-CA"/>
              </w:rPr>
            </w:pPr>
          </w:p>
        </w:tc>
      </w:tr>
      <w:tr w:rsidR="0096146C" w:rsidRPr="00F27688" w:rsidTr="0096146C">
        <w:tc>
          <w:tcPr>
            <w:tcW w:w="5000" w:type="pct"/>
            <w:gridSpan w:val="3"/>
          </w:tcPr>
          <w:p w:rsidR="0096146C" w:rsidRPr="00CA7C76" w:rsidRDefault="0096146C" w:rsidP="0096146C">
            <w:pPr>
              <w:jc w:val="both"/>
              <w:rPr>
                <w:rFonts w:eastAsia="Calibri"/>
                <w:sz w:val="20"/>
                <w:lang w:val="fr-CA"/>
              </w:rPr>
            </w:pPr>
            <w:r w:rsidRPr="00CA7C76">
              <w:rPr>
                <w:rFonts w:eastAsia="Calibri"/>
                <w:sz w:val="20"/>
                <w:lang w:val="fr-CA"/>
              </w:rPr>
              <w:t xml:space="preserve">Droit criminel — Procédure — Avis d’appel déposés en Cour d’appel de la Nouvelle-Écosse — Requêtes visant à obtenir différentes réparations rejetées en partie par le juge siégeant en chambre — Le juge a-t-il commis une erreur et </w:t>
            </w:r>
            <w:r w:rsidRPr="00CA7C76">
              <w:rPr>
                <w:rFonts w:eastAsia="Calibri"/>
                <w:sz w:val="20"/>
                <w:lang w:val="fr-CA"/>
              </w:rPr>
              <w:lastRenderedPageBreak/>
              <w:t>le demandeur a-t-il subi une injustice?</w:t>
            </w:r>
          </w:p>
        </w:tc>
      </w:tr>
      <w:tr w:rsidR="0096146C" w:rsidRPr="00F27688" w:rsidTr="0096146C">
        <w:tc>
          <w:tcPr>
            <w:tcW w:w="5000" w:type="pct"/>
            <w:gridSpan w:val="3"/>
          </w:tcPr>
          <w:p w:rsidR="0096146C" w:rsidRPr="00CA7C76" w:rsidRDefault="0096146C" w:rsidP="0096146C">
            <w:pPr>
              <w:jc w:val="both"/>
              <w:rPr>
                <w:rFonts w:eastAsia="Calibri"/>
                <w:sz w:val="20"/>
                <w:lang w:val="fr-CA"/>
              </w:rPr>
            </w:pPr>
          </w:p>
        </w:tc>
      </w:tr>
      <w:tr w:rsidR="0096146C" w:rsidRPr="00CA7C76" w:rsidTr="0096146C">
        <w:tc>
          <w:tcPr>
            <w:tcW w:w="2427" w:type="pct"/>
          </w:tcPr>
          <w:p w:rsidR="0096146C" w:rsidRPr="00CA7C76" w:rsidRDefault="0096146C" w:rsidP="0096146C">
            <w:pPr>
              <w:jc w:val="both"/>
              <w:rPr>
                <w:rFonts w:eastAsia="Calibri"/>
                <w:sz w:val="20"/>
                <w:lang w:val="fr-CA"/>
              </w:rPr>
            </w:pPr>
            <w:r w:rsidRPr="00CA7C76">
              <w:rPr>
                <w:rFonts w:eastAsia="Calibri"/>
                <w:sz w:val="20"/>
                <w:lang w:val="fr-CA"/>
              </w:rPr>
              <w:t>8 octobre 2013</w:t>
            </w:r>
          </w:p>
          <w:p w:rsidR="0096146C" w:rsidRPr="00CA7C76" w:rsidRDefault="0096146C" w:rsidP="0096146C">
            <w:pPr>
              <w:jc w:val="both"/>
              <w:rPr>
                <w:rFonts w:eastAsia="Calibri"/>
                <w:sz w:val="20"/>
                <w:lang w:val="fr-CA"/>
              </w:rPr>
            </w:pPr>
            <w:r w:rsidRPr="00CA7C76">
              <w:rPr>
                <w:rFonts w:eastAsia="Calibri"/>
                <w:sz w:val="20"/>
                <w:lang w:val="fr-CA"/>
              </w:rPr>
              <w:t>Cour d’appel de la Nouvelle-Écosse</w:t>
            </w:r>
          </w:p>
          <w:p w:rsidR="0096146C" w:rsidRPr="00CA7C76" w:rsidRDefault="0096146C" w:rsidP="0096146C">
            <w:pPr>
              <w:jc w:val="both"/>
              <w:rPr>
                <w:rFonts w:eastAsia="Calibri"/>
                <w:sz w:val="20"/>
                <w:lang w:val="fr-FR"/>
              </w:rPr>
            </w:pPr>
            <w:r w:rsidRPr="00CA7C76">
              <w:rPr>
                <w:rFonts w:eastAsia="Calibri"/>
                <w:sz w:val="20"/>
                <w:lang w:val="fr-FR"/>
              </w:rPr>
              <w:t>(Juge Fichaud)</w:t>
            </w:r>
          </w:p>
          <w:p w:rsidR="0096146C" w:rsidRPr="00CA7C76" w:rsidRDefault="0096146C" w:rsidP="0096146C">
            <w:pPr>
              <w:jc w:val="both"/>
              <w:rPr>
                <w:rFonts w:eastAsia="Calibri"/>
                <w:sz w:val="20"/>
                <w:lang w:val="fr-FR"/>
              </w:rPr>
            </w:pPr>
            <w:r w:rsidRPr="00CA7C76">
              <w:rPr>
                <w:rFonts w:eastAsia="Calibri"/>
                <w:sz w:val="20"/>
                <w:lang w:val="fr-FR"/>
              </w:rPr>
              <w:t xml:space="preserve">CAC 416755; </w:t>
            </w:r>
            <w:hyperlink r:id="rId25" w:history="1">
              <w:r w:rsidRPr="004C6EEE">
                <w:rPr>
                  <w:rFonts w:eastAsia="Calibri"/>
                  <w:color w:val="0000FF"/>
                  <w:sz w:val="20"/>
                  <w:u w:val="single"/>
                  <w:lang w:val="fr-FR"/>
                </w:rPr>
                <w:t>2013 NSCA 112</w:t>
              </w:r>
            </w:hyperlink>
          </w:p>
          <w:p w:rsidR="0096146C" w:rsidRPr="00CA7C76" w:rsidRDefault="0096146C" w:rsidP="0096146C">
            <w:pPr>
              <w:jc w:val="both"/>
              <w:rPr>
                <w:rFonts w:eastAsia="Calibri"/>
                <w:sz w:val="20"/>
                <w:lang w:val="fr-FR"/>
              </w:rPr>
            </w:pPr>
          </w:p>
        </w:tc>
        <w:tc>
          <w:tcPr>
            <w:tcW w:w="243" w:type="pct"/>
          </w:tcPr>
          <w:p w:rsidR="0096146C" w:rsidRPr="00CA7C76" w:rsidRDefault="0096146C" w:rsidP="0096146C">
            <w:pPr>
              <w:jc w:val="both"/>
              <w:rPr>
                <w:rFonts w:eastAsia="Calibri"/>
                <w:sz w:val="20"/>
                <w:lang w:val="fr-FR"/>
              </w:rPr>
            </w:pPr>
          </w:p>
        </w:tc>
        <w:tc>
          <w:tcPr>
            <w:tcW w:w="2330" w:type="pct"/>
          </w:tcPr>
          <w:p w:rsidR="0096146C" w:rsidRPr="00CA7C76" w:rsidRDefault="0096146C" w:rsidP="0096146C">
            <w:pPr>
              <w:jc w:val="both"/>
              <w:rPr>
                <w:rFonts w:eastAsia="Calibri"/>
                <w:sz w:val="20"/>
              </w:rPr>
            </w:pPr>
            <w:r w:rsidRPr="00CA7C76">
              <w:rPr>
                <w:rFonts w:eastAsia="Calibri"/>
                <w:sz w:val="20"/>
              </w:rPr>
              <w:t xml:space="preserve">Requêtes rejetées </w:t>
            </w:r>
          </w:p>
          <w:p w:rsidR="0096146C" w:rsidRPr="00CA7C76" w:rsidRDefault="0096146C" w:rsidP="0096146C">
            <w:pPr>
              <w:jc w:val="both"/>
              <w:rPr>
                <w:rFonts w:eastAsia="Calibri"/>
                <w:sz w:val="20"/>
              </w:rPr>
            </w:pPr>
          </w:p>
        </w:tc>
      </w:tr>
      <w:tr w:rsidR="0096146C" w:rsidRPr="00F27688" w:rsidTr="0096146C">
        <w:tc>
          <w:tcPr>
            <w:tcW w:w="2427" w:type="pct"/>
          </w:tcPr>
          <w:p w:rsidR="0096146C" w:rsidRPr="00CA7C76" w:rsidRDefault="0096146C" w:rsidP="0096146C">
            <w:pPr>
              <w:jc w:val="both"/>
              <w:rPr>
                <w:rFonts w:eastAsia="Calibri"/>
                <w:sz w:val="20"/>
              </w:rPr>
            </w:pPr>
            <w:r w:rsidRPr="00CA7C76">
              <w:rPr>
                <w:rFonts w:eastAsia="Calibri"/>
                <w:sz w:val="20"/>
              </w:rPr>
              <w:t>11 décembre 2013</w:t>
            </w:r>
          </w:p>
          <w:p w:rsidR="0096146C" w:rsidRPr="00CA7C76" w:rsidRDefault="0096146C" w:rsidP="0096146C">
            <w:pPr>
              <w:jc w:val="both"/>
              <w:rPr>
                <w:rFonts w:eastAsia="Calibri"/>
                <w:sz w:val="20"/>
              </w:rPr>
            </w:pPr>
            <w:r w:rsidRPr="00CA7C76">
              <w:rPr>
                <w:rFonts w:eastAsia="Calibri"/>
                <w:sz w:val="20"/>
              </w:rPr>
              <w:t>Cour suprême du Canada</w:t>
            </w:r>
          </w:p>
          <w:p w:rsidR="0096146C" w:rsidRPr="00CA7C76" w:rsidRDefault="0096146C" w:rsidP="0096146C">
            <w:pPr>
              <w:jc w:val="both"/>
              <w:rPr>
                <w:rFonts w:eastAsia="Calibri"/>
                <w:sz w:val="20"/>
              </w:rPr>
            </w:pP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lang w:val="fr-CA"/>
              </w:rPr>
            </w:pPr>
            <w:r w:rsidRPr="00CA7C76">
              <w:rPr>
                <w:rFonts w:eastAsia="Calibri"/>
                <w:sz w:val="20"/>
                <w:lang w:val="fr-CA"/>
              </w:rPr>
              <w:t xml:space="preserve">Avis d’appel de plein droit déposé </w:t>
            </w:r>
          </w:p>
        </w:tc>
      </w:tr>
      <w:tr w:rsidR="0096146C" w:rsidRPr="00F27688" w:rsidTr="0096146C">
        <w:tc>
          <w:tcPr>
            <w:tcW w:w="2427" w:type="pct"/>
          </w:tcPr>
          <w:p w:rsidR="0096146C" w:rsidRPr="00CA7C76" w:rsidRDefault="0096146C" w:rsidP="0096146C">
            <w:pPr>
              <w:jc w:val="both"/>
              <w:rPr>
                <w:rFonts w:eastAsia="Calibri"/>
                <w:sz w:val="20"/>
                <w:lang w:val="fr-CA"/>
              </w:rPr>
            </w:pPr>
            <w:r w:rsidRPr="00CA7C76">
              <w:rPr>
                <w:rFonts w:eastAsia="Calibri"/>
                <w:sz w:val="20"/>
                <w:lang w:val="fr-CA"/>
              </w:rPr>
              <w:t>29 janvier 2014</w:t>
            </w:r>
          </w:p>
          <w:p w:rsidR="0096146C" w:rsidRPr="00CA7C76" w:rsidRDefault="0096146C" w:rsidP="0096146C">
            <w:pPr>
              <w:jc w:val="both"/>
              <w:rPr>
                <w:rFonts w:eastAsia="Calibri"/>
                <w:sz w:val="20"/>
                <w:lang w:val="fr-CA"/>
              </w:rPr>
            </w:pPr>
            <w:r w:rsidRPr="00CA7C76">
              <w:rPr>
                <w:rFonts w:eastAsia="Calibri"/>
                <w:sz w:val="20"/>
                <w:lang w:val="fr-CA"/>
              </w:rPr>
              <w:t xml:space="preserve">Cour suprême du Canada </w:t>
            </w:r>
          </w:p>
          <w:p w:rsidR="0096146C" w:rsidRPr="00CA7C76" w:rsidRDefault="0096146C" w:rsidP="0096146C">
            <w:pPr>
              <w:jc w:val="both"/>
              <w:rPr>
                <w:rFonts w:eastAsia="Calibri"/>
                <w:sz w:val="20"/>
                <w:lang w:val="fr-CA"/>
              </w:rPr>
            </w:pPr>
            <w:r w:rsidRPr="00CA7C76">
              <w:rPr>
                <w:rFonts w:eastAsia="Calibri"/>
                <w:sz w:val="20"/>
                <w:lang w:val="fr-CA"/>
              </w:rPr>
              <w:t>(Juge Abella)</w:t>
            </w:r>
          </w:p>
          <w:p w:rsidR="0096146C" w:rsidRPr="00CA7C76" w:rsidRDefault="0096146C" w:rsidP="0096146C">
            <w:pPr>
              <w:jc w:val="both"/>
              <w:rPr>
                <w:rFonts w:eastAsia="Calibri"/>
                <w:sz w:val="20"/>
                <w:lang w:val="fr-CA"/>
              </w:rPr>
            </w:pPr>
          </w:p>
        </w:tc>
        <w:tc>
          <w:tcPr>
            <w:tcW w:w="243" w:type="pct"/>
          </w:tcPr>
          <w:p w:rsidR="0096146C" w:rsidRPr="00CA7C76" w:rsidRDefault="0096146C" w:rsidP="0096146C">
            <w:pPr>
              <w:jc w:val="both"/>
              <w:rPr>
                <w:rFonts w:eastAsia="Calibri"/>
                <w:sz w:val="20"/>
                <w:lang w:val="fr-CA"/>
              </w:rPr>
            </w:pPr>
          </w:p>
        </w:tc>
        <w:tc>
          <w:tcPr>
            <w:tcW w:w="2330" w:type="pct"/>
          </w:tcPr>
          <w:p w:rsidR="0096146C" w:rsidRPr="00CA7C76" w:rsidRDefault="0096146C" w:rsidP="0096146C">
            <w:pPr>
              <w:jc w:val="both"/>
              <w:rPr>
                <w:rFonts w:eastAsia="Calibri"/>
                <w:sz w:val="20"/>
                <w:lang w:val="fr-CA"/>
              </w:rPr>
            </w:pPr>
            <w:r w:rsidRPr="00CA7C76">
              <w:rPr>
                <w:rFonts w:eastAsia="Calibri"/>
                <w:sz w:val="20"/>
                <w:lang w:val="fr-CA"/>
              </w:rPr>
              <w:t xml:space="preserve">Requête sollicitant l’autorisation de déposer un avis d’appel de plein droit rejetée </w:t>
            </w:r>
          </w:p>
        </w:tc>
      </w:tr>
      <w:tr w:rsidR="0096146C" w:rsidRPr="00CA7C76" w:rsidTr="0096146C">
        <w:tc>
          <w:tcPr>
            <w:tcW w:w="2427" w:type="pct"/>
          </w:tcPr>
          <w:p w:rsidR="0096146C" w:rsidRPr="00CA7C76" w:rsidRDefault="0096146C" w:rsidP="0096146C">
            <w:pPr>
              <w:jc w:val="both"/>
              <w:rPr>
                <w:rFonts w:eastAsia="Calibri"/>
                <w:sz w:val="20"/>
                <w:lang w:val="fr-CA"/>
              </w:rPr>
            </w:pPr>
            <w:r w:rsidRPr="00CA7C76">
              <w:rPr>
                <w:rFonts w:eastAsia="Calibri"/>
                <w:sz w:val="20"/>
                <w:lang w:val="fr-CA"/>
              </w:rPr>
              <w:t>14 février 2014</w:t>
            </w:r>
          </w:p>
          <w:p w:rsidR="0096146C" w:rsidRPr="00CA7C76" w:rsidRDefault="0096146C" w:rsidP="0096146C">
            <w:pPr>
              <w:jc w:val="both"/>
              <w:rPr>
                <w:rFonts w:eastAsia="Calibri"/>
                <w:sz w:val="20"/>
                <w:lang w:val="fr-CA"/>
              </w:rPr>
            </w:pPr>
            <w:r w:rsidRPr="00CA7C76">
              <w:rPr>
                <w:rFonts w:eastAsia="Calibri"/>
                <w:sz w:val="20"/>
                <w:lang w:val="fr-CA"/>
              </w:rPr>
              <w:t>Cour suprême du Canada</w:t>
            </w:r>
          </w:p>
        </w:tc>
        <w:tc>
          <w:tcPr>
            <w:tcW w:w="243" w:type="pct"/>
          </w:tcPr>
          <w:p w:rsidR="0096146C" w:rsidRPr="00CA7C76" w:rsidRDefault="0096146C" w:rsidP="0096146C">
            <w:pPr>
              <w:jc w:val="both"/>
              <w:rPr>
                <w:rFonts w:eastAsia="Calibri"/>
                <w:sz w:val="20"/>
                <w:lang w:val="fr-CA"/>
              </w:rPr>
            </w:pPr>
          </w:p>
        </w:tc>
        <w:tc>
          <w:tcPr>
            <w:tcW w:w="2330" w:type="pct"/>
          </w:tcPr>
          <w:p w:rsidR="0096146C" w:rsidRPr="00CA7C76" w:rsidRDefault="0096146C" w:rsidP="0096146C">
            <w:pPr>
              <w:jc w:val="both"/>
              <w:rPr>
                <w:rFonts w:eastAsia="Calibri"/>
                <w:sz w:val="20"/>
              </w:rPr>
            </w:pPr>
            <w:r w:rsidRPr="00CA7C76">
              <w:rPr>
                <w:rFonts w:eastAsia="Calibri"/>
                <w:sz w:val="20"/>
                <w:lang w:val="fr-CA"/>
              </w:rPr>
              <w:t xml:space="preserve">Demande d’autorisation d’appel déposée </w:t>
            </w:r>
            <w:r w:rsidRPr="00CA7C76">
              <w:rPr>
                <w:rFonts w:eastAsia="Calibri"/>
                <w:sz w:val="20"/>
              </w:rPr>
              <w:t xml:space="preserve"> </w:t>
            </w:r>
          </w:p>
        </w:tc>
      </w:tr>
    </w:tbl>
    <w:p w:rsidR="0096146C" w:rsidRDefault="0096146C" w:rsidP="000E2959">
      <w:pPr>
        <w:rPr>
          <w:sz w:val="20"/>
          <w:szCs w:val="20"/>
        </w:rPr>
      </w:pPr>
    </w:p>
    <w:p w:rsidR="0096146C" w:rsidRDefault="00F27688" w:rsidP="000E2959">
      <w:pPr>
        <w:rPr>
          <w:sz w:val="20"/>
          <w:szCs w:val="20"/>
          <w:lang w:val="fr-CA"/>
        </w:rPr>
      </w:pPr>
      <w:r>
        <w:rPr>
          <w:sz w:val="20"/>
          <w:szCs w:val="20"/>
          <w:lang w:val="fr-CA"/>
        </w:rPr>
        <w:pict>
          <v:rect id="_x0000_i1050" style="width:2in;height:1pt" o:hrpct="0" o:hralign="center" o:hrstd="t" o:hrnoshade="t" o:hr="t" fillcolor="black [3213]" stroked="f"/>
        </w:pict>
      </w:r>
    </w:p>
    <w:p w:rsidR="0096146C" w:rsidRDefault="0096146C"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32B3" w:rsidRPr="001F32B3" w:rsidTr="00C87D55">
        <w:trPr>
          <w:cantSplit/>
        </w:trPr>
        <w:tc>
          <w:tcPr>
            <w:tcW w:w="1458" w:type="dxa"/>
          </w:tcPr>
          <w:p w:rsidR="001F32B3" w:rsidRPr="001F32B3" w:rsidRDefault="001F32B3" w:rsidP="001F32B3">
            <w:pPr>
              <w:rPr>
                <w:sz w:val="20"/>
              </w:rPr>
            </w:pPr>
            <w:r w:rsidRPr="001F32B3">
              <w:rPr>
                <w:b/>
                <w:sz w:val="20"/>
                <w:lang w:val="fr-CA"/>
              </w:rPr>
              <w:t>35681</w:t>
            </w:r>
          </w:p>
          <w:p w:rsidR="001F32B3" w:rsidRPr="001F32B3" w:rsidRDefault="001F32B3" w:rsidP="001F32B3">
            <w:pPr>
              <w:rPr>
                <w:b/>
                <w:sz w:val="20"/>
                <w:lang w:val="fr-CA"/>
              </w:rPr>
            </w:pPr>
          </w:p>
        </w:tc>
        <w:tc>
          <w:tcPr>
            <w:tcW w:w="8118" w:type="dxa"/>
          </w:tcPr>
          <w:p w:rsidR="001F32B3" w:rsidRPr="001F32B3" w:rsidRDefault="001F32B3" w:rsidP="001F32B3">
            <w:pPr>
              <w:jc w:val="both"/>
              <w:rPr>
                <w:sz w:val="20"/>
              </w:rPr>
            </w:pPr>
            <w:r w:rsidRPr="001F32B3">
              <w:rPr>
                <w:b/>
                <w:sz w:val="20"/>
                <w:u w:val="single"/>
              </w:rPr>
              <w:t>ACE INA Insurance v. Associated Electric &amp; Gas Insurance Services Limited</w:t>
            </w:r>
            <w:r w:rsidRPr="001F32B3">
              <w:rPr>
                <w:sz w:val="20"/>
              </w:rPr>
              <w:t xml:space="preserve"> (Ont.) (Civil) (By Leave)</w:t>
            </w:r>
          </w:p>
          <w:p w:rsidR="001F32B3" w:rsidRPr="001F32B3" w:rsidRDefault="001F32B3" w:rsidP="001F32B3">
            <w:pPr>
              <w:jc w:val="both"/>
              <w:rPr>
                <w:sz w:val="20"/>
              </w:rPr>
            </w:pPr>
          </w:p>
        </w:tc>
      </w:tr>
      <w:tr w:rsidR="001F32B3" w:rsidRPr="001F32B3" w:rsidTr="00C87D55">
        <w:trPr>
          <w:cantSplit/>
        </w:trPr>
        <w:tc>
          <w:tcPr>
            <w:tcW w:w="1458" w:type="dxa"/>
          </w:tcPr>
          <w:p w:rsidR="001F32B3" w:rsidRPr="001F32B3" w:rsidRDefault="001F32B3" w:rsidP="001F32B3">
            <w:pPr>
              <w:rPr>
                <w:sz w:val="20"/>
              </w:rPr>
            </w:pPr>
            <w:r w:rsidRPr="001F32B3">
              <w:rPr>
                <w:sz w:val="20"/>
              </w:rPr>
              <w:t>Coram :</w:t>
            </w:r>
          </w:p>
        </w:tc>
        <w:tc>
          <w:tcPr>
            <w:tcW w:w="8118" w:type="dxa"/>
          </w:tcPr>
          <w:p w:rsidR="001F32B3" w:rsidRPr="001F32B3" w:rsidRDefault="001F32B3" w:rsidP="001F32B3">
            <w:pPr>
              <w:rPr>
                <w:sz w:val="20"/>
              </w:rPr>
            </w:pPr>
            <w:r w:rsidRPr="001F32B3">
              <w:rPr>
                <w:sz w:val="20"/>
                <w:u w:val="single"/>
              </w:rPr>
              <w:t>Abella, Rothstein and Moldaver JJ.</w:t>
            </w:r>
          </w:p>
          <w:p w:rsidR="001F32B3" w:rsidRPr="001F32B3" w:rsidRDefault="001F32B3" w:rsidP="001F32B3">
            <w:pPr>
              <w:rPr>
                <w:sz w:val="20"/>
                <w:u w:val="single"/>
              </w:rPr>
            </w:pPr>
          </w:p>
        </w:tc>
      </w:tr>
      <w:tr w:rsidR="001F32B3" w:rsidRPr="00F27688" w:rsidTr="00C87D55">
        <w:trPr>
          <w:cantSplit/>
        </w:trPr>
        <w:tc>
          <w:tcPr>
            <w:tcW w:w="9576" w:type="dxa"/>
            <w:gridSpan w:val="2"/>
          </w:tcPr>
          <w:p w:rsidR="001F32B3" w:rsidRPr="001F32B3" w:rsidRDefault="001F32B3" w:rsidP="001F32B3">
            <w:pPr>
              <w:ind w:firstLine="720"/>
              <w:jc w:val="both"/>
              <w:rPr>
                <w:sz w:val="20"/>
              </w:rPr>
            </w:pPr>
            <w:r w:rsidRPr="001F32B3">
              <w:rPr>
                <w:sz w:val="20"/>
              </w:rPr>
              <w:t>The application for leave to appeal from the judgment of the Court of Appeal for Ontario, Number C56418, 2013 ONCA 685, dated November 14, 2013, is dismissed with costs.</w:t>
            </w:r>
          </w:p>
          <w:p w:rsidR="001F32B3" w:rsidRPr="001F32B3" w:rsidRDefault="001F32B3" w:rsidP="001F32B3">
            <w:pPr>
              <w:jc w:val="both"/>
              <w:rPr>
                <w:sz w:val="20"/>
              </w:rPr>
            </w:pPr>
          </w:p>
          <w:p w:rsidR="001F32B3" w:rsidRPr="001F32B3" w:rsidRDefault="001F32B3" w:rsidP="001F32B3">
            <w:pPr>
              <w:ind w:firstLine="720"/>
              <w:jc w:val="both"/>
              <w:rPr>
                <w:sz w:val="20"/>
                <w:lang w:val="fr-CA"/>
              </w:rPr>
            </w:pPr>
            <w:r w:rsidRPr="001F32B3">
              <w:rPr>
                <w:sz w:val="20"/>
                <w:lang w:val="fr-CA"/>
              </w:rPr>
              <w:t>La demande d’autorisation d’appel de l’arrêt de la Cour d’appel de l’Ontario, numéro C56418, 2013 ONCA 685, daté du 14 novembre 2013, est rejetée avec dépens.</w:t>
            </w:r>
          </w:p>
        </w:tc>
      </w:tr>
    </w:tbl>
    <w:p w:rsidR="0096146C" w:rsidRPr="001F32B3"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46C" w:rsidRPr="00CA7C76" w:rsidTr="0096146C">
        <w:tc>
          <w:tcPr>
            <w:tcW w:w="5000" w:type="pct"/>
            <w:gridSpan w:val="3"/>
          </w:tcPr>
          <w:p w:rsidR="0096146C" w:rsidRPr="00CA7C76" w:rsidRDefault="0096146C" w:rsidP="0096146C">
            <w:pPr>
              <w:jc w:val="both"/>
              <w:rPr>
                <w:rFonts w:eastAsia="Calibri"/>
                <w:sz w:val="20"/>
              </w:rPr>
            </w:pPr>
            <w:r w:rsidRPr="00CA7C76">
              <w:rPr>
                <w:rFonts w:eastAsia="Calibri"/>
                <w:sz w:val="20"/>
              </w:rPr>
              <w:t>Insurance — Liability insurance — Insurer’s duty to defend — Whether the doctrine of equitable contribution between insurers extends to excess insurance policies containing a duty to indemnify for defence costs — Whether an excess insurer may contract out of the equitable duty to contribute to defence costs through the use of “other insurance” clauses — Does equitable contribution apply to policies that do not cover the same peril.</w:t>
            </w:r>
          </w:p>
        </w:tc>
      </w:tr>
      <w:tr w:rsidR="0096146C" w:rsidRPr="00CA7C76" w:rsidTr="0096146C">
        <w:tc>
          <w:tcPr>
            <w:tcW w:w="5000" w:type="pct"/>
            <w:gridSpan w:val="3"/>
          </w:tcPr>
          <w:p w:rsidR="0096146C" w:rsidRPr="00CA7C76" w:rsidRDefault="0096146C" w:rsidP="0096146C">
            <w:pPr>
              <w:jc w:val="both"/>
              <w:rPr>
                <w:rFonts w:eastAsia="Calibri"/>
                <w:sz w:val="20"/>
              </w:rPr>
            </w:pPr>
          </w:p>
        </w:tc>
      </w:tr>
      <w:tr w:rsidR="0096146C" w:rsidRPr="00CA7C76" w:rsidTr="0096146C">
        <w:tc>
          <w:tcPr>
            <w:tcW w:w="5000" w:type="pct"/>
            <w:gridSpan w:val="3"/>
          </w:tcPr>
          <w:p w:rsidR="0096146C" w:rsidRPr="00CA7C76" w:rsidRDefault="0096146C" w:rsidP="0096146C">
            <w:pPr>
              <w:jc w:val="both"/>
              <w:rPr>
                <w:rFonts w:eastAsia="Calibri"/>
                <w:sz w:val="20"/>
              </w:rPr>
            </w:pPr>
            <w:r w:rsidRPr="00CA7C76">
              <w:rPr>
                <w:rFonts w:eastAsia="Calibri"/>
                <w:sz w:val="20"/>
              </w:rPr>
              <w:t xml:space="preserve">An electrical vault containing transformers owned and operated by Toronto Hydro Corporation (“Hydro”) exploded in a Toronto apartment building, resulting in a fire.  The applicant is Hydro’s primary insurer under a comprehensive general liability policy, with a coverage limit of $1 million per occurrence and a duty to defend clause covering unlimited defence costs without eroding the policy limit.  The respondent is Hydro’s excess liability insurer under an umbrella policy providing a $45 million coverage limit in excess of the primary policy.  The respondent’s policy undertakes liability for defence costs only when they are not included in other valid and collectible insurance, and any defence costs paid out will erode the policy limit.  </w:t>
            </w:r>
          </w:p>
          <w:p w:rsidR="0096146C" w:rsidRPr="00CA7C76" w:rsidRDefault="0096146C" w:rsidP="0096146C">
            <w:pPr>
              <w:jc w:val="both"/>
              <w:rPr>
                <w:rFonts w:eastAsia="Calibri"/>
                <w:sz w:val="20"/>
              </w:rPr>
            </w:pPr>
          </w:p>
          <w:p w:rsidR="0096146C" w:rsidRPr="00CA7C76" w:rsidRDefault="0096146C" w:rsidP="0096146C">
            <w:pPr>
              <w:jc w:val="both"/>
              <w:rPr>
                <w:rFonts w:eastAsia="Calibri"/>
                <w:sz w:val="20"/>
              </w:rPr>
            </w:pPr>
            <w:r w:rsidRPr="00CA7C76">
              <w:rPr>
                <w:rFonts w:eastAsia="Calibri"/>
                <w:sz w:val="20"/>
              </w:rPr>
              <w:t xml:space="preserve">The applicant has defended Hydro against lawsuits commenced in relation to the explosion and fire and has borne the ongoing defence costs.  The applicant brought an application for a declaration that the respondent has a duty to contribute to the defence costs of Hydro, under the principle of equitable contribution.  The respondent denied such obligation.  The Ontario Superior Court of Justice dismissed the application and the Ontario Court of Appeal </w:t>
            </w:r>
            <w:r w:rsidRPr="00CA7C76">
              <w:rPr>
                <w:rFonts w:eastAsia="Calibri"/>
                <w:sz w:val="20"/>
              </w:rPr>
              <w:lastRenderedPageBreak/>
              <w:t>dismissed the applicant’s appeal.</w:t>
            </w:r>
          </w:p>
          <w:p w:rsidR="0096146C" w:rsidRPr="00CA7C76" w:rsidRDefault="0096146C" w:rsidP="0096146C">
            <w:pPr>
              <w:jc w:val="both"/>
              <w:rPr>
                <w:rFonts w:eastAsia="Calibri"/>
                <w:sz w:val="20"/>
              </w:rPr>
            </w:pP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lastRenderedPageBreak/>
              <w:t>November 27, 2012</w:t>
            </w:r>
          </w:p>
          <w:p w:rsidR="0096146C" w:rsidRPr="00CA7C76" w:rsidRDefault="0096146C" w:rsidP="0096146C">
            <w:pPr>
              <w:jc w:val="both"/>
              <w:rPr>
                <w:rFonts w:eastAsia="Calibri"/>
                <w:sz w:val="20"/>
              </w:rPr>
            </w:pPr>
            <w:r w:rsidRPr="00CA7C76">
              <w:rPr>
                <w:rFonts w:eastAsia="Calibri"/>
                <w:sz w:val="20"/>
              </w:rPr>
              <w:t>Ontario Superior Court of Justice</w:t>
            </w:r>
          </w:p>
          <w:p w:rsidR="0096146C" w:rsidRPr="00CA7C76" w:rsidRDefault="0096146C" w:rsidP="0096146C">
            <w:pPr>
              <w:jc w:val="both"/>
              <w:rPr>
                <w:rFonts w:eastAsia="Calibri"/>
                <w:sz w:val="20"/>
              </w:rPr>
            </w:pPr>
            <w:r w:rsidRPr="00CA7C76">
              <w:rPr>
                <w:rFonts w:eastAsia="Calibri"/>
                <w:sz w:val="20"/>
              </w:rPr>
              <w:t>(Brown J.)</w:t>
            </w:r>
          </w:p>
          <w:p w:rsidR="0096146C" w:rsidRPr="00CA7C76" w:rsidRDefault="0096146C" w:rsidP="0096146C">
            <w:pPr>
              <w:jc w:val="both"/>
              <w:rPr>
                <w:rFonts w:eastAsia="Calibri"/>
                <w:sz w:val="20"/>
              </w:rPr>
            </w:pPr>
            <w:r w:rsidRPr="00CA7C76">
              <w:rPr>
                <w:rFonts w:eastAsia="Calibri"/>
                <w:sz w:val="20"/>
              </w:rPr>
              <w:t>2012 ONSC 6248</w:t>
            </w:r>
          </w:p>
          <w:p w:rsidR="0096146C" w:rsidRPr="00CA7C76" w:rsidRDefault="0096146C" w:rsidP="0096146C">
            <w:pPr>
              <w:jc w:val="both"/>
              <w:rPr>
                <w:rFonts w:eastAsia="Calibri"/>
                <w:sz w:val="20"/>
              </w:rPr>
            </w:pP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Application for a declaration that the respondent has a duty to contribute to defence costs incurred on behalf of Toronto Hydro Corporation, dismissed</w:t>
            </w:r>
          </w:p>
          <w:p w:rsidR="0096146C" w:rsidRPr="00CA7C76" w:rsidRDefault="0096146C" w:rsidP="0096146C">
            <w:pPr>
              <w:jc w:val="both"/>
              <w:rPr>
                <w:rFonts w:eastAsia="Calibri"/>
                <w:sz w:val="20"/>
              </w:rPr>
            </w:pP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November 14, 2013</w:t>
            </w:r>
          </w:p>
          <w:p w:rsidR="0096146C" w:rsidRPr="00CA7C76" w:rsidRDefault="0096146C" w:rsidP="0096146C">
            <w:pPr>
              <w:jc w:val="both"/>
              <w:rPr>
                <w:rFonts w:eastAsia="Calibri"/>
                <w:sz w:val="20"/>
              </w:rPr>
            </w:pPr>
            <w:r w:rsidRPr="00CA7C76">
              <w:rPr>
                <w:rFonts w:eastAsia="Calibri"/>
                <w:sz w:val="20"/>
              </w:rPr>
              <w:t>Court of Appeal for Ontario</w:t>
            </w:r>
          </w:p>
          <w:p w:rsidR="0096146C" w:rsidRPr="00CA7C76" w:rsidRDefault="0096146C" w:rsidP="0096146C">
            <w:pPr>
              <w:jc w:val="both"/>
              <w:rPr>
                <w:rFonts w:eastAsia="Calibri"/>
                <w:sz w:val="20"/>
              </w:rPr>
            </w:pPr>
            <w:r w:rsidRPr="00CA7C76">
              <w:rPr>
                <w:rFonts w:eastAsia="Calibri"/>
                <w:sz w:val="20"/>
              </w:rPr>
              <w:t xml:space="preserve">(Gillese, Juriansz and Strathy J. (ad hoc) </w:t>
            </w:r>
          </w:p>
          <w:p w:rsidR="0096146C" w:rsidRPr="00CA7C76" w:rsidRDefault="0096146C" w:rsidP="0096146C">
            <w:pPr>
              <w:jc w:val="both"/>
              <w:rPr>
                <w:rFonts w:eastAsia="Calibri"/>
                <w:sz w:val="20"/>
              </w:rPr>
            </w:pPr>
            <w:r w:rsidRPr="00CA7C76">
              <w:rPr>
                <w:rFonts w:eastAsia="Calibri"/>
                <w:sz w:val="20"/>
              </w:rPr>
              <w:t>JJ.A.)</w:t>
            </w:r>
          </w:p>
          <w:p w:rsidR="0096146C" w:rsidRPr="00CA7C76" w:rsidRDefault="00F27688" w:rsidP="0096146C">
            <w:pPr>
              <w:jc w:val="both"/>
              <w:rPr>
                <w:rFonts w:eastAsia="Calibri"/>
                <w:sz w:val="20"/>
              </w:rPr>
            </w:pPr>
            <w:hyperlink r:id="rId26" w:history="1">
              <w:r w:rsidR="0096146C" w:rsidRPr="004C6EEE">
                <w:rPr>
                  <w:rFonts w:eastAsia="Calibri"/>
                  <w:color w:val="0000FF"/>
                  <w:sz w:val="20"/>
                  <w:u w:val="single"/>
                </w:rPr>
                <w:t>2013 ONCA 685</w:t>
              </w:r>
            </w:hyperlink>
          </w:p>
          <w:p w:rsidR="0096146C" w:rsidRPr="00CA7C76" w:rsidRDefault="0096146C" w:rsidP="0096146C">
            <w:pPr>
              <w:jc w:val="both"/>
              <w:rPr>
                <w:rFonts w:eastAsia="Calibri"/>
                <w:sz w:val="20"/>
              </w:rPr>
            </w:pP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Appeal dismissed</w:t>
            </w:r>
          </w:p>
          <w:p w:rsidR="0096146C" w:rsidRPr="00CA7C76" w:rsidRDefault="0096146C" w:rsidP="0096146C">
            <w:pPr>
              <w:jc w:val="both"/>
              <w:rPr>
                <w:rFonts w:eastAsia="Calibri"/>
                <w:sz w:val="20"/>
              </w:rPr>
            </w:pPr>
          </w:p>
        </w:tc>
      </w:tr>
      <w:tr w:rsidR="0096146C" w:rsidRPr="00CA7C76" w:rsidTr="0096146C">
        <w:tc>
          <w:tcPr>
            <w:tcW w:w="2427" w:type="pct"/>
          </w:tcPr>
          <w:p w:rsidR="0096146C" w:rsidRPr="00CA7C76" w:rsidRDefault="0096146C" w:rsidP="0096146C">
            <w:pPr>
              <w:jc w:val="both"/>
              <w:rPr>
                <w:rFonts w:eastAsia="Calibri"/>
                <w:sz w:val="20"/>
              </w:rPr>
            </w:pPr>
            <w:r w:rsidRPr="00CA7C76">
              <w:rPr>
                <w:rFonts w:eastAsia="Calibri"/>
                <w:sz w:val="20"/>
              </w:rPr>
              <w:t>January 13, 2014</w:t>
            </w:r>
          </w:p>
          <w:p w:rsidR="0096146C" w:rsidRPr="00CA7C76" w:rsidRDefault="0096146C" w:rsidP="0096146C">
            <w:pPr>
              <w:jc w:val="both"/>
              <w:rPr>
                <w:rFonts w:eastAsia="Calibri"/>
                <w:sz w:val="20"/>
              </w:rPr>
            </w:pPr>
            <w:r w:rsidRPr="00CA7C76">
              <w:rPr>
                <w:rFonts w:eastAsia="Calibri"/>
                <w:sz w:val="20"/>
              </w:rPr>
              <w:t>Supreme Court of Canada</w:t>
            </w:r>
          </w:p>
        </w:tc>
        <w:tc>
          <w:tcPr>
            <w:tcW w:w="243" w:type="pct"/>
          </w:tcPr>
          <w:p w:rsidR="0096146C" w:rsidRPr="00CA7C76" w:rsidRDefault="0096146C" w:rsidP="0096146C">
            <w:pPr>
              <w:jc w:val="both"/>
              <w:rPr>
                <w:rFonts w:eastAsia="Calibri"/>
                <w:sz w:val="20"/>
              </w:rPr>
            </w:pPr>
          </w:p>
        </w:tc>
        <w:tc>
          <w:tcPr>
            <w:tcW w:w="2330" w:type="pct"/>
          </w:tcPr>
          <w:p w:rsidR="0096146C" w:rsidRPr="00CA7C76" w:rsidRDefault="0096146C" w:rsidP="0096146C">
            <w:pPr>
              <w:jc w:val="both"/>
              <w:rPr>
                <w:rFonts w:eastAsia="Calibri"/>
                <w:sz w:val="20"/>
              </w:rPr>
            </w:pPr>
            <w:r w:rsidRPr="00CA7C76">
              <w:rPr>
                <w:rFonts w:eastAsia="Calibri"/>
                <w:sz w:val="20"/>
              </w:rPr>
              <w:t>Application for leave to appeal filed</w:t>
            </w:r>
          </w:p>
          <w:p w:rsidR="0096146C" w:rsidRPr="00CA7C76" w:rsidRDefault="0096146C" w:rsidP="0096146C">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51"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46C" w:rsidRPr="00F27688" w:rsidTr="0096146C">
        <w:tc>
          <w:tcPr>
            <w:tcW w:w="5000" w:type="pct"/>
            <w:gridSpan w:val="3"/>
          </w:tcPr>
          <w:p w:rsidR="0096146C" w:rsidRPr="00CA7C76" w:rsidRDefault="0096146C" w:rsidP="0096146C">
            <w:pPr>
              <w:jc w:val="both"/>
              <w:rPr>
                <w:rFonts w:eastAsia="Calibri"/>
                <w:sz w:val="20"/>
                <w:lang w:val="fr-CA"/>
              </w:rPr>
            </w:pPr>
            <w:r w:rsidRPr="00CA7C76">
              <w:rPr>
                <w:rFonts w:eastAsia="Calibri"/>
                <w:sz w:val="20"/>
                <w:lang w:val="fr-CA"/>
              </w:rPr>
              <w:t>Assurance — Assurance de responsabilité — Obligation de défendre de l’assureur — La doctrine de la contribution équitable entre assureurs s’étend</w:t>
            </w:r>
            <w:r w:rsidRPr="00CA7C76">
              <w:rPr>
                <w:rFonts w:eastAsia="Calibri"/>
                <w:sz w:val="20"/>
                <w:lang w:val="fr-CA"/>
              </w:rPr>
              <w:noBreakHyphen/>
              <w:t>t</w:t>
            </w:r>
            <w:r w:rsidRPr="00CA7C76">
              <w:rPr>
                <w:rFonts w:eastAsia="Calibri"/>
                <w:sz w:val="20"/>
                <w:lang w:val="fr-CA"/>
              </w:rPr>
              <w:noBreakHyphen/>
              <w:t>elle aux polices d’assurance de risques successifs qui renferment une obligation d’indemniser les frais de défense? — L’assureur de risques successifs peut</w:t>
            </w:r>
            <w:r w:rsidRPr="00CA7C76">
              <w:rPr>
                <w:rFonts w:eastAsia="Calibri"/>
                <w:sz w:val="20"/>
                <w:lang w:val="fr-CA"/>
              </w:rPr>
              <w:noBreakHyphen/>
              <w:t>il se soustraire par contrat à l’obligation en equity de contribuer aux frais de défense par le recours à des clauses de « pluralité d’assurances »? — La contribution équitable s’applique</w:t>
            </w:r>
            <w:r w:rsidRPr="00CA7C76">
              <w:rPr>
                <w:rFonts w:eastAsia="Calibri"/>
                <w:sz w:val="20"/>
                <w:lang w:val="fr-CA"/>
              </w:rPr>
              <w:noBreakHyphen/>
              <w:t>t</w:t>
            </w:r>
            <w:r w:rsidRPr="00CA7C76">
              <w:rPr>
                <w:rFonts w:eastAsia="Calibri"/>
                <w:sz w:val="20"/>
                <w:lang w:val="fr-CA"/>
              </w:rPr>
              <w:noBreakHyphen/>
              <w:t>elle aux polices qui n’assurent pas le même risque?</w:t>
            </w:r>
          </w:p>
        </w:tc>
      </w:tr>
      <w:tr w:rsidR="0096146C" w:rsidRPr="00F27688" w:rsidTr="0096146C">
        <w:tc>
          <w:tcPr>
            <w:tcW w:w="5000" w:type="pct"/>
            <w:gridSpan w:val="3"/>
          </w:tcPr>
          <w:p w:rsidR="0096146C" w:rsidRPr="00CA7C76" w:rsidRDefault="0096146C" w:rsidP="0096146C">
            <w:pPr>
              <w:jc w:val="both"/>
              <w:rPr>
                <w:rFonts w:eastAsia="Calibri"/>
                <w:sz w:val="20"/>
                <w:lang w:val="fr-CA"/>
              </w:rPr>
            </w:pPr>
          </w:p>
        </w:tc>
      </w:tr>
      <w:tr w:rsidR="0096146C" w:rsidRPr="00F27688" w:rsidTr="0096146C">
        <w:tc>
          <w:tcPr>
            <w:tcW w:w="5000" w:type="pct"/>
            <w:gridSpan w:val="3"/>
          </w:tcPr>
          <w:p w:rsidR="0096146C" w:rsidRPr="00CA7C76" w:rsidRDefault="0096146C" w:rsidP="0096146C">
            <w:pPr>
              <w:jc w:val="both"/>
              <w:rPr>
                <w:rFonts w:eastAsia="Calibri"/>
                <w:sz w:val="20"/>
                <w:lang w:val="fr-CA"/>
              </w:rPr>
            </w:pPr>
            <w:r w:rsidRPr="00CA7C76">
              <w:rPr>
                <w:rFonts w:eastAsia="Calibri"/>
                <w:sz w:val="20"/>
                <w:lang w:val="fr-CA"/>
              </w:rPr>
              <w:t xml:space="preserve">Une chambre d’appareillage électrique renfermant des transformateurs exploités par Toronto Hydro Corporation (« Hydro »), qui en était également le propriétaire, a explosé dans un immeuble d’habitation de Toronto, causant un incendie.  La demanderesse est l’assureur de premier rang d’Hydro aux termes d’une police d’assurance responsabilité générale, comportant un plafond de garantie d’un million de dollars par événement et une clause relative à l’obligation de défendre, couvrant les frais de défense illimités, sans réduction de la limite de garantie.  L’intimée est l’assureur de responsabilité complémentaire d’Hydro aux termes d’une police d’assurance responsabilité civile complémentaire qui fournit une limite de garantie de 45 millions de dollars en plus de la police de premier rang.  La police de l’intimée assume la responsabilité des frais de défense seulement lorsqu’elles ne sont pas compris dans une autre assurance valide et recouvrable et les frais de défense payés, le cas échéant, réduisent la limite de garantie.  </w:t>
            </w:r>
          </w:p>
          <w:p w:rsidR="0096146C" w:rsidRPr="00CA7C76" w:rsidRDefault="0096146C" w:rsidP="0096146C">
            <w:pPr>
              <w:jc w:val="both"/>
              <w:rPr>
                <w:rFonts w:eastAsia="Calibri"/>
                <w:sz w:val="20"/>
                <w:lang w:val="fr-CA"/>
              </w:rPr>
            </w:pPr>
          </w:p>
          <w:p w:rsidR="0096146C" w:rsidRPr="00CA7C76" w:rsidRDefault="0096146C" w:rsidP="0096146C">
            <w:pPr>
              <w:jc w:val="both"/>
              <w:rPr>
                <w:rFonts w:eastAsia="Calibri"/>
                <w:sz w:val="20"/>
                <w:lang w:val="fr-CA"/>
              </w:rPr>
            </w:pPr>
            <w:r w:rsidRPr="00CA7C76">
              <w:rPr>
                <w:rFonts w:eastAsia="Calibri"/>
                <w:sz w:val="20"/>
                <w:lang w:val="fr-CA"/>
              </w:rPr>
              <w:t>La demanderesse a défendu Hydro contre les poursuites intentées en lien avec l’explosion et l’incendie et a assumé les frais de défense en cours.  La demanderesse a demandé un jugement déclarant que l’intimée avait l’obligation de contribuer aux frais de défense d’Hydro, suivant le principe de la contribution équitable.  L’intimée nie avoir une telle obligation.  La Cour supérieure de justice de l’Ontario a rejeté la demande et la Cour d’appel de l’Ontario a rejeté l’appel de la demanderesse.</w:t>
            </w:r>
          </w:p>
          <w:p w:rsidR="0096146C" w:rsidRPr="00CA7C76" w:rsidRDefault="0096146C" w:rsidP="0096146C">
            <w:pPr>
              <w:jc w:val="both"/>
              <w:rPr>
                <w:rFonts w:eastAsia="Calibri"/>
                <w:sz w:val="20"/>
                <w:lang w:val="fr-CA"/>
              </w:rPr>
            </w:pPr>
          </w:p>
        </w:tc>
      </w:tr>
      <w:tr w:rsidR="0096146C" w:rsidRPr="00F27688" w:rsidTr="0096146C">
        <w:tc>
          <w:tcPr>
            <w:tcW w:w="2427" w:type="pct"/>
          </w:tcPr>
          <w:p w:rsidR="0096146C" w:rsidRPr="00CA7C76" w:rsidRDefault="0096146C" w:rsidP="0096146C">
            <w:pPr>
              <w:jc w:val="both"/>
              <w:rPr>
                <w:rFonts w:eastAsia="Calibri"/>
                <w:sz w:val="20"/>
                <w:lang w:val="fr-CA"/>
              </w:rPr>
            </w:pPr>
            <w:r w:rsidRPr="00CA7C76">
              <w:rPr>
                <w:rFonts w:eastAsia="Calibri"/>
                <w:sz w:val="20"/>
                <w:lang w:val="fr-CA"/>
              </w:rPr>
              <w:t>27 novembre 2012</w:t>
            </w:r>
          </w:p>
          <w:p w:rsidR="0096146C" w:rsidRPr="00CA7C76" w:rsidRDefault="0096146C" w:rsidP="0096146C">
            <w:pPr>
              <w:jc w:val="both"/>
              <w:rPr>
                <w:rFonts w:eastAsia="Calibri"/>
                <w:sz w:val="20"/>
                <w:lang w:val="fr-CA"/>
              </w:rPr>
            </w:pPr>
            <w:r w:rsidRPr="00CA7C76">
              <w:rPr>
                <w:rFonts w:eastAsia="Calibri"/>
                <w:sz w:val="20"/>
                <w:lang w:val="fr-CA"/>
              </w:rPr>
              <w:t>Cour supérieure de justice de l’Ontario</w:t>
            </w:r>
          </w:p>
          <w:p w:rsidR="0096146C" w:rsidRPr="00CA7C76" w:rsidRDefault="0096146C" w:rsidP="0096146C">
            <w:pPr>
              <w:jc w:val="both"/>
              <w:rPr>
                <w:rFonts w:eastAsia="Calibri"/>
                <w:sz w:val="20"/>
                <w:lang w:val="fr-CA"/>
              </w:rPr>
            </w:pPr>
            <w:r w:rsidRPr="00CA7C76">
              <w:rPr>
                <w:rFonts w:eastAsia="Calibri"/>
                <w:sz w:val="20"/>
                <w:lang w:val="fr-CA"/>
              </w:rPr>
              <w:t>(Juge Brown)</w:t>
            </w:r>
          </w:p>
          <w:p w:rsidR="0096146C" w:rsidRPr="00CA7C76" w:rsidRDefault="0096146C" w:rsidP="0096146C">
            <w:pPr>
              <w:jc w:val="both"/>
              <w:rPr>
                <w:rFonts w:eastAsia="Calibri"/>
                <w:sz w:val="20"/>
                <w:lang w:val="fr-CA"/>
              </w:rPr>
            </w:pPr>
            <w:r w:rsidRPr="00CA7C76">
              <w:rPr>
                <w:rFonts w:eastAsia="Calibri"/>
                <w:sz w:val="20"/>
                <w:lang w:val="fr-CA"/>
              </w:rPr>
              <w:t>2012 ONSC 6248</w:t>
            </w:r>
          </w:p>
          <w:p w:rsidR="0096146C" w:rsidRPr="00CA7C76" w:rsidRDefault="0096146C" w:rsidP="0096146C">
            <w:pPr>
              <w:jc w:val="both"/>
              <w:rPr>
                <w:rFonts w:eastAsia="Calibri"/>
                <w:sz w:val="20"/>
                <w:lang w:val="fr-CA"/>
              </w:rPr>
            </w:pPr>
          </w:p>
        </w:tc>
        <w:tc>
          <w:tcPr>
            <w:tcW w:w="243" w:type="pct"/>
          </w:tcPr>
          <w:p w:rsidR="0096146C" w:rsidRPr="00CA7C76" w:rsidRDefault="0096146C" w:rsidP="0096146C">
            <w:pPr>
              <w:jc w:val="both"/>
              <w:rPr>
                <w:rFonts w:eastAsia="Calibri"/>
                <w:sz w:val="20"/>
                <w:lang w:val="fr-CA"/>
              </w:rPr>
            </w:pPr>
          </w:p>
        </w:tc>
        <w:tc>
          <w:tcPr>
            <w:tcW w:w="2330" w:type="pct"/>
          </w:tcPr>
          <w:p w:rsidR="0096146C" w:rsidRPr="00CA7C76" w:rsidRDefault="0096146C" w:rsidP="0096146C">
            <w:pPr>
              <w:jc w:val="both"/>
              <w:rPr>
                <w:rFonts w:eastAsia="Calibri"/>
                <w:sz w:val="20"/>
                <w:lang w:val="fr-CA"/>
              </w:rPr>
            </w:pPr>
            <w:r w:rsidRPr="00CA7C76">
              <w:rPr>
                <w:rFonts w:eastAsia="Calibri"/>
                <w:sz w:val="20"/>
                <w:lang w:val="fr-CA"/>
              </w:rPr>
              <w:t>Demande de jugement déclarant que l’intimée a l’obligation de contribuer aux frais de défense engagés au nom de Toronto Hydro Corporation, rejetée</w:t>
            </w:r>
          </w:p>
          <w:p w:rsidR="0096146C" w:rsidRPr="00CA7C76" w:rsidRDefault="0096146C" w:rsidP="0096146C">
            <w:pPr>
              <w:jc w:val="both"/>
              <w:rPr>
                <w:rFonts w:eastAsia="Calibri"/>
                <w:sz w:val="20"/>
                <w:lang w:val="fr-CA"/>
              </w:rPr>
            </w:pPr>
          </w:p>
        </w:tc>
      </w:tr>
      <w:tr w:rsidR="0096146C" w:rsidRPr="00CA7C76" w:rsidTr="009559D2">
        <w:trPr>
          <w:cantSplit/>
        </w:trPr>
        <w:tc>
          <w:tcPr>
            <w:tcW w:w="2427" w:type="pct"/>
          </w:tcPr>
          <w:p w:rsidR="0096146C" w:rsidRPr="00CA7C76" w:rsidRDefault="0096146C" w:rsidP="0096146C">
            <w:pPr>
              <w:jc w:val="both"/>
              <w:rPr>
                <w:rFonts w:eastAsia="Calibri"/>
                <w:sz w:val="20"/>
                <w:lang w:val="fr-CA"/>
              </w:rPr>
            </w:pPr>
            <w:r w:rsidRPr="00CA7C76">
              <w:rPr>
                <w:rFonts w:eastAsia="Calibri"/>
                <w:sz w:val="20"/>
                <w:lang w:val="fr-CA"/>
              </w:rPr>
              <w:lastRenderedPageBreak/>
              <w:t>14 novembre 2013</w:t>
            </w:r>
          </w:p>
          <w:p w:rsidR="0096146C" w:rsidRPr="00CA7C76" w:rsidRDefault="0096146C" w:rsidP="0096146C">
            <w:pPr>
              <w:jc w:val="both"/>
              <w:rPr>
                <w:rFonts w:eastAsia="Calibri"/>
                <w:sz w:val="20"/>
                <w:lang w:val="fr-CA"/>
              </w:rPr>
            </w:pPr>
            <w:r w:rsidRPr="00CA7C76">
              <w:rPr>
                <w:rFonts w:eastAsia="Calibri"/>
                <w:sz w:val="20"/>
                <w:lang w:val="fr-CA"/>
              </w:rPr>
              <w:t>Cour d’appel de l’Ontario</w:t>
            </w:r>
          </w:p>
          <w:p w:rsidR="0096146C" w:rsidRPr="00CA7C76" w:rsidRDefault="0096146C" w:rsidP="0096146C">
            <w:pPr>
              <w:jc w:val="both"/>
              <w:rPr>
                <w:rFonts w:eastAsia="Calibri"/>
                <w:sz w:val="20"/>
                <w:lang w:val="fr-CA"/>
              </w:rPr>
            </w:pPr>
            <w:r w:rsidRPr="00CA7C76">
              <w:rPr>
                <w:rFonts w:eastAsia="Calibri"/>
                <w:sz w:val="20"/>
                <w:lang w:val="fr-CA"/>
              </w:rPr>
              <w:t>(Juges Gillese, Juriansz et Strathy (ad hoc))</w:t>
            </w:r>
          </w:p>
          <w:p w:rsidR="0096146C" w:rsidRPr="00CA7C76" w:rsidRDefault="00F27688" w:rsidP="0096146C">
            <w:pPr>
              <w:jc w:val="both"/>
              <w:rPr>
                <w:rFonts w:eastAsia="Calibri"/>
                <w:sz w:val="20"/>
                <w:lang w:val="fr-CA"/>
              </w:rPr>
            </w:pPr>
            <w:hyperlink r:id="rId27" w:history="1">
              <w:r w:rsidR="0096146C" w:rsidRPr="004C6EEE">
                <w:rPr>
                  <w:rFonts w:eastAsia="Calibri"/>
                  <w:color w:val="0000FF"/>
                  <w:sz w:val="20"/>
                  <w:u w:val="single"/>
                  <w:lang w:val="fr-CA"/>
                </w:rPr>
                <w:t>2013 ONCA 685</w:t>
              </w:r>
            </w:hyperlink>
          </w:p>
          <w:p w:rsidR="0096146C" w:rsidRPr="00CA7C76" w:rsidRDefault="0096146C" w:rsidP="0096146C">
            <w:pPr>
              <w:jc w:val="both"/>
              <w:rPr>
                <w:rFonts w:eastAsia="Calibri"/>
                <w:sz w:val="20"/>
                <w:lang w:val="fr-CA"/>
              </w:rPr>
            </w:pPr>
          </w:p>
        </w:tc>
        <w:tc>
          <w:tcPr>
            <w:tcW w:w="243" w:type="pct"/>
          </w:tcPr>
          <w:p w:rsidR="0096146C" w:rsidRPr="00CA7C76" w:rsidRDefault="0096146C" w:rsidP="0096146C">
            <w:pPr>
              <w:jc w:val="both"/>
              <w:rPr>
                <w:rFonts w:eastAsia="Calibri"/>
                <w:sz w:val="20"/>
                <w:lang w:val="fr-CA"/>
              </w:rPr>
            </w:pPr>
          </w:p>
        </w:tc>
        <w:tc>
          <w:tcPr>
            <w:tcW w:w="2330" w:type="pct"/>
          </w:tcPr>
          <w:p w:rsidR="0096146C" w:rsidRPr="00CA7C76" w:rsidRDefault="0096146C" w:rsidP="0096146C">
            <w:pPr>
              <w:jc w:val="both"/>
              <w:rPr>
                <w:rFonts w:eastAsia="Calibri"/>
                <w:sz w:val="20"/>
                <w:lang w:val="fr-CA"/>
              </w:rPr>
            </w:pPr>
            <w:r w:rsidRPr="00CA7C76">
              <w:rPr>
                <w:rFonts w:eastAsia="Calibri"/>
                <w:sz w:val="20"/>
                <w:lang w:val="fr-CA"/>
              </w:rPr>
              <w:t>Appel rejeté</w:t>
            </w:r>
          </w:p>
          <w:p w:rsidR="0096146C" w:rsidRPr="00CA7C76" w:rsidRDefault="0096146C" w:rsidP="0096146C">
            <w:pPr>
              <w:jc w:val="both"/>
              <w:rPr>
                <w:rFonts w:eastAsia="Calibri"/>
                <w:sz w:val="20"/>
                <w:lang w:val="fr-CA"/>
              </w:rPr>
            </w:pPr>
          </w:p>
        </w:tc>
      </w:tr>
      <w:tr w:rsidR="0096146C" w:rsidRPr="00CA7C76" w:rsidTr="009559D2">
        <w:trPr>
          <w:cantSplit/>
        </w:trPr>
        <w:tc>
          <w:tcPr>
            <w:tcW w:w="2427" w:type="pct"/>
          </w:tcPr>
          <w:p w:rsidR="0096146C" w:rsidRPr="00CA7C76" w:rsidRDefault="0096146C" w:rsidP="0096146C">
            <w:pPr>
              <w:jc w:val="both"/>
              <w:rPr>
                <w:rFonts w:eastAsia="Calibri"/>
                <w:sz w:val="20"/>
                <w:lang w:val="fr-CA"/>
              </w:rPr>
            </w:pPr>
            <w:r w:rsidRPr="00CA7C76">
              <w:rPr>
                <w:rFonts w:eastAsia="Calibri"/>
                <w:sz w:val="20"/>
                <w:lang w:val="fr-CA"/>
              </w:rPr>
              <w:t>13 janvier 2014</w:t>
            </w:r>
          </w:p>
          <w:p w:rsidR="0096146C" w:rsidRPr="00CA7C76" w:rsidRDefault="0096146C" w:rsidP="0096146C">
            <w:pPr>
              <w:jc w:val="both"/>
              <w:rPr>
                <w:rFonts w:eastAsia="Calibri"/>
                <w:sz w:val="20"/>
                <w:lang w:val="fr-CA"/>
              </w:rPr>
            </w:pPr>
            <w:r w:rsidRPr="00CA7C76">
              <w:rPr>
                <w:rFonts w:eastAsia="Calibri"/>
                <w:sz w:val="20"/>
                <w:lang w:val="fr-CA"/>
              </w:rPr>
              <w:t>Cour suprême du Canada</w:t>
            </w:r>
          </w:p>
        </w:tc>
        <w:tc>
          <w:tcPr>
            <w:tcW w:w="243" w:type="pct"/>
          </w:tcPr>
          <w:p w:rsidR="0096146C" w:rsidRPr="00CA7C76" w:rsidRDefault="0096146C" w:rsidP="0096146C">
            <w:pPr>
              <w:jc w:val="both"/>
              <w:rPr>
                <w:rFonts w:eastAsia="Calibri"/>
                <w:sz w:val="20"/>
                <w:lang w:val="fr-CA"/>
              </w:rPr>
            </w:pPr>
          </w:p>
        </w:tc>
        <w:tc>
          <w:tcPr>
            <w:tcW w:w="2330" w:type="pct"/>
          </w:tcPr>
          <w:p w:rsidR="0096146C" w:rsidRPr="00CA7C76" w:rsidRDefault="0096146C" w:rsidP="0096146C">
            <w:pPr>
              <w:jc w:val="both"/>
              <w:rPr>
                <w:rFonts w:eastAsia="Calibri"/>
                <w:sz w:val="20"/>
                <w:lang w:val="fr-CA"/>
              </w:rPr>
            </w:pPr>
            <w:r w:rsidRPr="00CA7C76">
              <w:rPr>
                <w:rFonts w:eastAsia="Calibri"/>
                <w:sz w:val="20"/>
                <w:lang w:val="fr-CA"/>
              </w:rPr>
              <w:t>Demande d’autorisation d’appel, déposée</w:t>
            </w:r>
          </w:p>
          <w:p w:rsidR="0096146C" w:rsidRPr="00CA7C76" w:rsidRDefault="0096146C" w:rsidP="0096146C">
            <w:pPr>
              <w:jc w:val="both"/>
              <w:rPr>
                <w:rFonts w:eastAsia="Calibri"/>
                <w:sz w:val="20"/>
                <w:lang w:val="fr-CA"/>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52" style="width:2in;height:1pt" o:hrpct="0" o:hralign="center" o:hrstd="t" o:hrnoshade="t" o:hr="t" fillcolor="black [3213]" stroked="f"/>
        </w:pict>
      </w:r>
    </w:p>
    <w:p w:rsidR="0096146C" w:rsidRDefault="0096146C" w:rsidP="0096146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559D2" w:rsidRPr="009559D2" w:rsidTr="00C87D55">
        <w:trPr>
          <w:cantSplit/>
        </w:trPr>
        <w:tc>
          <w:tcPr>
            <w:tcW w:w="1458" w:type="dxa"/>
          </w:tcPr>
          <w:p w:rsidR="009559D2" w:rsidRPr="009559D2" w:rsidRDefault="009559D2" w:rsidP="009559D2">
            <w:pPr>
              <w:rPr>
                <w:sz w:val="20"/>
              </w:rPr>
            </w:pPr>
            <w:r w:rsidRPr="009559D2">
              <w:rPr>
                <w:b/>
                <w:sz w:val="20"/>
                <w:lang w:val="fr-CA"/>
              </w:rPr>
              <w:t>35711</w:t>
            </w:r>
          </w:p>
          <w:p w:rsidR="009559D2" w:rsidRPr="009559D2" w:rsidRDefault="009559D2" w:rsidP="009559D2">
            <w:pPr>
              <w:rPr>
                <w:b/>
                <w:sz w:val="20"/>
                <w:lang w:val="fr-CA"/>
              </w:rPr>
            </w:pPr>
          </w:p>
        </w:tc>
        <w:tc>
          <w:tcPr>
            <w:tcW w:w="8118" w:type="dxa"/>
          </w:tcPr>
          <w:p w:rsidR="009559D2" w:rsidRPr="009559D2" w:rsidRDefault="009559D2" w:rsidP="009559D2">
            <w:pPr>
              <w:jc w:val="both"/>
              <w:rPr>
                <w:sz w:val="20"/>
              </w:rPr>
            </w:pPr>
            <w:r w:rsidRPr="009559D2">
              <w:rPr>
                <w:b/>
                <w:sz w:val="20"/>
                <w:u w:val="single"/>
              </w:rPr>
              <w:t>Wanda Cummings v. Attorney General of Nova Scotia representing Her Majesty the Queen in Right of the Province of Nova Scotia</w:t>
            </w:r>
            <w:r w:rsidRPr="009559D2">
              <w:rPr>
                <w:sz w:val="20"/>
              </w:rPr>
              <w:t xml:space="preserve"> (N.S.) (Criminal) (By Leave)</w:t>
            </w:r>
          </w:p>
          <w:p w:rsidR="009559D2" w:rsidRPr="009559D2" w:rsidRDefault="009559D2" w:rsidP="009559D2">
            <w:pPr>
              <w:jc w:val="both"/>
              <w:rPr>
                <w:sz w:val="20"/>
              </w:rPr>
            </w:pPr>
          </w:p>
        </w:tc>
      </w:tr>
      <w:tr w:rsidR="009559D2" w:rsidRPr="009559D2" w:rsidTr="00C87D55">
        <w:trPr>
          <w:cantSplit/>
        </w:trPr>
        <w:tc>
          <w:tcPr>
            <w:tcW w:w="1458" w:type="dxa"/>
          </w:tcPr>
          <w:p w:rsidR="009559D2" w:rsidRPr="009559D2" w:rsidRDefault="009559D2" w:rsidP="009559D2">
            <w:pPr>
              <w:rPr>
                <w:sz w:val="20"/>
              </w:rPr>
            </w:pPr>
            <w:r w:rsidRPr="009559D2">
              <w:rPr>
                <w:sz w:val="20"/>
              </w:rPr>
              <w:t>Coram :</w:t>
            </w:r>
          </w:p>
        </w:tc>
        <w:tc>
          <w:tcPr>
            <w:tcW w:w="8118" w:type="dxa"/>
          </w:tcPr>
          <w:p w:rsidR="009559D2" w:rsidRPr="009559D2" w:rsidRDefault="009559D2" w:rsidP="009559D2">
            <w:pPr>
              <w:rPr>
                <w:sz w:val="20"/>
              </w:rPr>
            </w:pPr>
            <w:r w:rsidRPr="009559D2">
              <w:rPr>
                <w:sz w:val="20"/>
                <w:u w:val="single"/>
              </w:rPr>
              <w:t>Abella, Rothstein and Moldaver JJ.</w:t>
            </w:r>
          </w:p>
          <w:p w:rsidR="009559D2" w:rsidRPr="009559D2" w:rsidRDefault="009559D2" w:rsidP="009559D2">
            <w:pPr>
              <w:rPr>
                <w:sz w:val="20"/>
                <w:u w:val="single"/>
              </w:rPr>
            </w:pPr>
          </w:p>
        </w:tc>
      </w:tr>
      <w:tr w:rsidR="009559D2" w:rsidRPr="00F27688" w:rsidTr="00C87D55">
        <w:trPr>
          <w:cantSplit/>
        </w:trPr>
        <w:tc>
          <w:tcPr>
            <w:tcW w:w="9576" w:type="dxa"/>
            <w:gridSpan w:val="2"/>
          </w:tcPr>
          <w:p w:rsidR="009559D2" w:rsidRPr="009559D2" w:rsidRDefault="009559D2" w:rsidP="009559D2">
            <w:pPr>
              <w:ind w:firstLine="720"/>
              <w:jc w:val="both"/>
              <w:rPr>
                <w:sz w:val="20"/>
              </w:rPr>
            </w:pPr>
            <w:r w:rsidRPr="009559D2">
              <w:rPr>
                <w:sz w:val="20"/>
              </w:rPr>
              <w:t xml:space="preserve">The motions for an extension of time to serve and file the application for leave to appeal and for dispensing with compliance with the </w:t>
            </w:r>
            <w:r w:rsidRPr="009559D2">
              <w:rPr>
                <w:i/>
                <w:sz w:val="20"/>
              </w:rPr>
              <w:t>Rules of the Supreme Court of Canada</w:t>
            </w:r>
            <w:r w:rsidRPr="009559D2">
              <w:rPr>
                <w:sz w:val="20"/>
              </w:rPr>
              <w:t xml:space="preserve"> are granted. The application for leave to appeal from the judgment of the Nova Scotia Court of Appeal, Number CA 415797, 2013 NSCA 113, dated October 8, 2013, and all ancillary motions are dismissed without costs.</w:t>
            </w:r>
          </w:p>
          <w:p w:rsidR="009559D2" w:rsidRPr="009559D2" w:rsidRDefault="009559D2" w:rsidP="009559D2">
            <w:pPr>
              <w:jc w:val="both"/>
              <w:rPr>
                <w:sz w:val="20"/>
              </w:rPr>
            </w:pPr>
          </w:p>
          <w:p w:rsidR="009559D2" w:rsidRPr="009559D2" w:rsidRDefault="009559D2" w:rsidP="009559D2">
            <w:pPr>
              <w:ind w:firstLine="720"/>
              <w:jc w:val="both"/>
              <w:rPr>
                <w:sz w:val="20"/>
                <w:lang w:val="fr-CA"/>
              </w:rPr>
            </w:pPr>
            <w:r w:rsidRPr="009559D2">
              <w:rPr>
                <w:sz w:val="20"/>
                <w:lang w:val="fr-CA"/>
              </w:rPr>
              <w:t xml:space="preserve">Les requêtes en prorogation du délai de signification et de dépôt de la demande d’autorisation d’appel et pour dispense d’observation des </w:t>
            </w:r>
            <w:r w:rsidRPr="009559D2">
              <w:rPr>
                <w:i/>
                <w:sz w:val="20"/>
                <w:lang w:val="fr-CA"/>
              </w:rPr>
              <w:t>Règles de la Cour suprême du Canada</w:t>
            </w:r>
            <w:r w:rsidRPr="009559D2">
              <w:rPr>
                <w:sz w:val="20"/>
                <w:lang w:val="fr-CA"/>
              </w:rPr>
              <w:t xml:space="preserve"> sont accueillies.  La demande d’autorisation d’appel de l’arrêt de la Cour d’appel de la Nouvelle-Écosse, numéro CA 415797, 2013 NSCA 113, daté du 8 octobre 2013, et toutes les requêtes accessoires sont rejetées sans dépens.</w:t>
            </w:r>
          </w:p>
        </w:tc>
      </w:tr>
    </w:tbl>
    <w:p w:rsidR="0096146C" w:rsidRPr="009559D2"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CA7C76" w:rsidTr="0083184B">
        <w:tc>
          <w:tcPr>
            <w:tcW w:w="5000" w:type="pct"/>
            <w:gridSpan w:val="3"/>
          </w:tcPr>
          <w:p w:rsidR="003F64A6" w:rsidRPr="00CA7C76" w:rsidRDefault="003F64A6" w:rsidP="0083184B">
            <w:pPr>
              <w:jc w:val="both"/>
              <w:rPr>
                <w:rFonts w:eastAsia="Calibri"/>
                <w:smallCaps/>
                <w:sz w:val="20"/>
              </w:rPr>
            </w:pPr>
            <w:r w:rsidRPr="00CA7C76">
              <w:rPr>
                <w:rFonts w:eastAsia="Calibri"/>
                <w:smallCaps/>
                <w:sz w:val="20"/>
              </w:rPr>
              <w:t xml:space="preserve">(Publication </w:t>
            </w:r>
            <w:r>
              <w:rPr>
                <w:rFonts w:eastAsia="Calibri"/>
                <w:smallCaps/>
                <w:sz w:val="20"/>
              </w:rPr>
              <w:t>B</w:t>
            </w:r>
            <w:r w:rsidRPr="00CA7C76">
              <w:rPr>
                <w:rFonts w:eastAsia="Calibri"/>
                <w:smallCaps/>
                <w:sz w:val="20"/>
              </w:rPr>
              <w:t xml:space="preserve">an in </w:t>
            </w:r>
            <w:r>
              <w:rPr>
                <w:rFonts w:eastAsia="Calibri"/>
                <w:smallCaps/>
                <w:sz w:val="20"/>
              </w:rPr>
              <w:t>C</w:t>
            </w:r>
            <w:r w:rsidRPr="00CA7C76">
              <w:rPr>
                <w:rFonts w:eastAsia="Calibri"/>
                <w:smallCaps/>
                <w:sz w:val="20"/>
              </w:rPr>
              <w:t xml:space="preserve">ase) (Publication </w:t>
            </w:r>
            <w:r>
              <w:rPr>
                <w:rFonts w:eastAsia="Calibri"/>
                <w:smallCaps/>
                <w:sz w:val="20"/>
              </w:rPr>
              <w:t>B</w:t>
            </w:r>
            <w:r w:rsidRPr="00CA7C76">
              <w:rPr>
                <w:rFonts w:eastAsia="Calibri"/>
                <w:smallCaps/>
                <w:sz w:val="20"/>
              </w:rPr>
              <w:t xml:space="preserve">an on </w:t>
            </w:r>
            <w:r>
              <w:rPr>
                <w:rFonts w:eastAsia="Calibri"/>
                <w:smallCaps/>
                <w:sz w:val="20"/>
              </w:rPr>
              <w:t>P</w:t>
            </w:r>
            <w:r w:rsidRPr="00CA7C76">
              <w:rPr>
                <w:rFonts w:eastAsia="Calibri"/>
                <w:smallCaps/>
                <w:sz w:val="20"/>
              </w:rPr>
              <w:t>arty) (</w:t>
            </w:r>
            <w:r>
              <w:rPr>
                <w:rFonts w:eastAsia="Calibri"/>
                <w:smallCaps/>
                <w:sz w:val="20"/>
              </w:rPr>
              <w:t>C</w:t>
            </w:r>
            <w:r w:rsidRPr="00CA7C76">
              <w:rPr>
                <w:rFonts w:eastAsia="Calibri"/>
                <w:smallCaps/>
                <w:sz w:val="20"/>
              </w:rPr>
              <w:t xml:space="preserve">ourt </w:t>
            </w:r>
            <w:r>
              <w:rPr>
                <w:rFonts w:eastAsia="Calibri"/>
                <w:smallCaps/>
                <w:sz w:val="20"/>
              </w:rPr>
              <w:t>F</w:t>
            </w:r>
            <w:r w:rsidRPr="00CA7C76">
              <w:rPr>
                <w:rFonts w:eastAsia="Calibri"/>
                <w:smallCaps/>
                <w:sz w:val="20"/>
              </w:rPr>
              <w:t xml:space="preserve">ile </w:t>
            </w:r>
            <w:r>
              <w:rPr>
                <w:rFonts w:eastAsia="Calibri"/>
                <w:smallCaps/>
                <w:sz w:val="20"/>
              </w:rPr>
              <w:t>C</w:t>
            </w:r>
            <w:r w:rsidRPr="00CA7C76">
              <w:rPr>
                <w:rFonts w:eastAsia="Calibri"/>
                <w:smallCaps/>
                <w:sz w:val="20"/>
              </w:rPr>
              <w:t xml:space="preserve">ontains </w:t>
            </w:r>
            <w:r>
              <w:rPr>
                <w:rFonts w:eastAsia="Calibri"/>
                <w:smallCaps/>
                <w:sz w:val="20"/>
              </w:rPr>
              <w:t>I</w:t>
            </w:r>
            <w:r w:rsidRPr="00CA7C76">
              <w:rPr>
                <w:rFonts w:eastAsia="Calibri"/>
                <w:smallCaps/>
                <w:sz w:val="20"/>
              </w:rPr>
              <w:t xml:space="preserve">nformation </w:t>
            </w:r>
            <w:r>
              <w:rPr>
                <w:rFonts w:eastAsia="Calibri"/>
                <w:smallCaps/>
                <w:sz w:val="20"/>
              </w:rPr>
              <w:t>T</w:t>
            </w:r>
            <w:r w:rsidRPr="00CA7C76">
              <w:rPr>
                <w:rFonts w:eastAsia="Calibri"/>
                <w:smallCaps/>
                <w:sz w:val="20"/>
              </w:rPr>
              <w:t xml:space="preserve">hat is not </w:t>
            </w:r>
            <w:r>
              <w:rPr>
                <w:rFonts w:eastAsia="Calibri"/>
                <w:smallCaps/>
                <w:sz w:val="20"/>
              </w:rPr>
              <w:t>A</w:t>
            </w:r>
            <w:r w:rsidRPr="00CA7C76">
              <w:rPr>
                <w:rFonts w:eastAsia="Calibri"/>
                <w:smallCaps/>
                <w:sz w:val="20"/>
              </w:rPr>
              <w:t xml:space="preserve">vailable for </w:t>
            </w:r>
            <w:r>
              <w:rPr>
                <w:rFonts w:eastAsia="Calibri"/>
                <w:smallCaps/>
                <w:sz w:val="20"/>
              </w:rPr>
              <w:t>I</w:t>
            </w:r>
            <w:r w:rsidRPr="00CA7C76">
              <w:rPr>
                <w:rFonts w:eastAsia="Calibri"/>
                <w:smallCaps/>
                <w:sz w:val="20"/>
              </w:rPr>
              <w:t xml:space="preserve">nspection by the </w:t>
            </w:r>
            <w:r>
              <w:rPr>
                <w:rFonts w:eastAsia="Calibri"/>
                <w:smallCaps/>
                <w:sz w:val="20"/>
              </w:rPr>
              <w:t>P</w:t>
            </w:r>
            <w:r w:rsidRPr="00CA7C76">
              <w:rPr>
                <w:rFonts w:eastAsia="Calibri"/>
                <w:smallCaps/>
                <w:sz w:val="20"/>
              </w:rPr>
              <w:t>ublic)</w:t>
            </w:r>
          </w:p>
          <w:p w:rsidR="003F64A6" w:rsidRPr="00CA7C76" w:rsidRDefault="003F64A6" w:rsidP="0083184B">
            <w:pPr>
              <w:jc w:val="both"/>
              <w:rPr>
                <w:rFonts w:eastAsia="Calibri"/>
                <w:sz w:val="20"/>
              </w:rPr>
            </w:pPr>
          </w:p>
        </w:tc>
      </w:tr>
      <w:tr w:rsidR="003F64A6" w:rsidRPr="00CA7C76" w:rsidTr="0083184B">
        <w:tc>
          <w:tcPr>
            <w:tcW w:w="5000" w:type="pct"/>
            <w:gridSpan w:val="3"/>
          </w:tcPr>
          <w:p w:rsidR="003F64A6" w:rsidRPr="00CA7C76" w:rsidRDefault="003F64A6" w:rsidP="0083184B">
            <w:pPr>
              <w:jc w:val="both"/>
              <w:rPr>
                <w:rFonts w:eastAsia="Calibri"/>
                <w:sz w:val="20"/>
              </w:rPr>
            </w:pPr>
            <w:r w:rsidRPr="00CA7C76">
              <w:rPr>
                <w:rFonts w:eastAsia="Calibri"/>
                <w:sz w:val="20"/>
              </w:rPr>
              <w:t>Criminal law — Procedure — Notices of appeal filed in the Nova Scotia Court of Appeal — Motions seeking various remedies dismissed in part by judge sitting in chambers — Whether judge erred and applicant victim of injustice.</w:t>
            </w:r>
          </w:p>
        </w:tc>
      </w:tr>
      <w:tr w:rsidR="003F64A6" w:rsidRPr="00CA7C76" w:rsidTr="0083184B">
        <w:tc>
          <w:tcPr>
            <w:tcW w:w="5000" w:type="pct"/>
            <w:gridSpan w:val="3"/>
          </w:tcPr>
          <w:p w:rsidR="003F64A6" w:rsidRPr="00CA7C76" w:rsidRDefault="003F64A6" w:rsidP="0083184B">
            <w:pPr>
              <w:jc w:val="both"/>
              <w:rPr>
                <w:rFonts w:eastAsia="Calibri"/>
                <w:sz w:val="20"/>
              </w:rPr>
            </w:pPr>
          </w:p>
        </w:tc>
      </w:tr>
      <w:tr w:rsidR="003F64A6" w:rsidRPr="00CA7C76" w:rsidTr="0083184B">
        <w:tc>
          <w:tcPr>
            <w:tcW w:w="2427" w:type="pct"/>
          </w:tcPr>
          <w:p w:rsidR="003F64A6" w:rsidRPr="00CA7C76" w:rsidRDefault="003F64A6" w:rsidP="0083184B">
            <w:pPr>
              <w:jc w:val="both"/>
              <w:rPr>
                <w:rFonts w:eastAsia="Calibri"/>
                <w:sz w:val="20"/>
              </w:rPr>
            </w:pPr>
            <w:r w:rsidRPr="00CA7C76">
              <w:rPr>
                <w:rFonts w:eastAsia="Calibri"/>
                <w:sz w:val="20"/>
              </w:rPr>
              <w:t>October 8, 2013</w:t>
            </w:r>
          </w:p>
          <w:p w:rsidR="003F64A6" w:rsidRPr="00CA7C76" w:rsidRDefault="003F64A6" w:rsidP="0083184B">
            <w:pPr>
              <w:jc w:val="both"/>
              <w:rPr>
                <w:rFonts w:eastAsia="Calibri"/>
                <w:sz w:val="20"/>
              </w:rPr>
            </w:pPr>
            <w:r w:rsidRPr="00CA7C76">
              <w:rPr>
                <w:rFonts w:eastAsia="Calibri"/>
                <w:sz w:val="20"/>
              </w:rPr>
              <w:t>Nova Scotia Court of Appeal</w:t>
            </w:r>
          </w:p>
          <w:p w:rsidR="003F64A6" w:rsidRPr="00CA7C76" w:rsidRDefault="003F64A6" w:rsidP="0083184B">
            <w:pPr>
              <w:jc w:val="both"/>
              <w:rPr>
                <w:rFonts w:eastAsia="Calibri"/>
                <w:sz w:val="20"/>
                <w:lang w:val="fr-FR"/>
              </w:rPr>
            </w:pPr>
            <w:r w:rsidRPr="00CA7C76">
              <w:rPr>
                <w:rFonts w:eastAsia="Calibri"/>
                <w:sz w:val="20"/>
                <w:lang w:val="fr-FR"/>
              </w:rPr>
              <w:t>(Fichaud J.A.)</w:t>
            </w:r>
          </w:p>
          <w:p w:rsidR="003F64A6" w:rsidRPr="00CA7C76" w:rsidRDefault="003F64A6" w:rsidP="0083184B">
            <w:pPr>
              <w:jc w:val="both"/>
              <w:rPr>
                <w:rFonts w:eastAsia="Calibri"/>
                <w:sz w:val="20"/>
                <w:lang w:val="fr-FR"/>
              </w:rPr>
            </w:pPr>
            <w:r w:rsidRPr="00CA7C76">
              <w:rPr>
                <w:rFonts w:eastAsia="Calibri"/>
                <w:sz w:val="20"/>
                <w:lang w:val="fr-FR"/>
              </w:rPr>
              <w:t xml:space="preserve">CA 415797; </w:t>
            </w:r>
            <w:hyperlink r:id="rId28" w:history="1">
              <w:r w:rsidRPr="004C6EEE">
                <w:rPr>
                  <w:rFonts w:eastAsia="Calibri"/>
                  <w:color w:val="0000FF"/>
                  <w:sz w:val="20"/>
                  <w:u w:val="single"/>
                  <w:lang w:val="fr-FR"/>
                </w:rPr>
                <w:t>2013 NSCA 113</w:t>
              </w:r>
            </w:hyperlink>
          </w:p>
          <w:p w:rsidR="003F64A6" w:rsidRPr="00CA7C76" w:rsidRDefault="003F64A6" w:rsidP="0083184B">
            <w:pPr>
              <w:jc w:val="both"/>
              <w:rPr>
                <w:rFonts w:eastAsia="Calibri"/>
                <w:sz w:val="20"/>
                <w:lang w:val="fr-FR"/>
              </w:rPr>
            </w:pPr>
          </w:p>
        </w:tc>
        <w:tc>
          <w:tcPr>
            <w:tcW w:w="243" w:type="pct"/>
          </w:tcPr>
          <w:p w:rsidR="003F64A6" w:rsidRPr="00CA7C76" w:rsidRDefault="003F64A6" w:rsidP="0083184B">
            <w:pPr>
              <w:jc w:val="both"/>
              <w:rPr>
                <w:rFonts w:eastAsia="Calibri"/>
                <w:sz w:val="20"/>
                <w:lang w:val="fr-FR"/>
              </w:rPr>
            </w:pPr>
          </w:p>
        </w:tc>
        <w:tc>
          <w:tcPr>
            <w:tcW w:w="2330" w:type="pct"/>
          </w:tcPr>
          <w:p w:rsidR="003F64A6" w:rsidRPr="00CA7C76" w:rsidRDefault="003F64A6" w:rsidP="0083184B">
            <w:pPr>
              <w:jc w:val="both"/>
              <w:rPr>
                <w:rFonts w:eastAsia="Calibri"/>
                <w:sz w:val="20"/>
              </w:rPr>
            </w:pPr>
            <w:r w:rsidRPr="00CA7C76">
              <w:rPr>
                <w:rFonts w:eastAsia="Calibri"/>
                <w:sz w:val="20"/>
              </w:rPr>
              <w:t>Motions dismissed in part</w:t>
            </w:r>
          </w:p>
          <w:p w:rsidR="003F64A6" w:rsidRPr="00CA7C76" w:rsidRDefault="003F64A6" w:rsidP="0083184B">
            <w:pPr>
              <w:jc w:val="both"/>
              <w:rPr>
                <w:rFonts w:eastAsia="Calibri"/>
                <w:sz w:val="20"/>
              </w:rPr>
            </w:pPr>
          </w:p>
        </w:tc>
      </w:tr>
      <w:tr w:rsidR="003F64A6" w:rsidRPr="00CA7C76" w:rsidTr="0083184B">
        <w:tc>
          <w:tcPr>
            <w:tcW w:w="2427" w:type="pct"/>
          </w:tcPr>
          <w:p w:rsidR="003F64A6" w:rsidRPr="00CA7C76" w:rsidRDefault="003F64A6" w:rsidP="0083184B">
            <w:pPr>
              <w:jc w:val="both"/>
              <w:rPr>
                <w:rFonts w:eastAsia="Calibri"/>
                <w:sz w:val="20"/>
              </w:rPr>
            </w:pPr>
            <w:r w:rsidRPr="00CA7C76">
              <w:rPr>
                <w:rFonts w:eastAsia="Calibri"/>
                <w:sz w:val="20"/>
              </w:rPr>
              <w:t>December 11, 2013</w:t>
            </w:r>
          </w:p>
          <w:p w:rsidR="003F64A6" w:rsidRPr="00CA7C76" w:rsidRDefault="003F64A6" w:rsidP="0083184B">
            <w:pPr>
              <w:jc w:val="both"/>
              <w:rPr>
                <w:rFonts w:eastAsia="Calibri"/>
                <w:sz w:val="20"/>
              </w:rPr>
            </w:pPr>
            <w:r w:rsidRPr="00CA7C76">
              <w:rPr>
                <w:rFonts w:eastAsia="Calibri"/>
                <w:sz w:val="20"/>
              </w:rPr>
              <w:t>Supreme Court of Canada</w:t>
            </w:r>
          </w:p>
          <w:p w:rsidR="003F64A6" w:rsidRPr="00CA7C76" w:rsidRDefault="003F64A6" w:rsidP="0083184B">
            <w:pPr>
              <w:jc w:val="both"/>
              <w:rPr>
                <w:rFonts w:eastAsia="Calibri"/>
                <w:sz w:val="20"/>
              </w:rPr>
            </w:pPr>
          </w:p>
        </w:tc>
        <w:tc>
          <w:tcPr>
            <w:tcW w:w="243" w:type="pct"/>
          </w:tcPr>
          <w:p w:rsidR="003F64A6" w:rsidRPr="00CA7C76" w:rsidRDefault="003F64A6" w:rsidP="0083184B">
            <w:pPr>
              <w:jc w:val="both"/>
              <w:rPr>
                <w:rFonts w:eastAsia="Calibri"/>
                <w:sz w:val="20"/>
              </w:rPr>
            </w:pPr>
          </w:p>
        </w:tc>
        <w:tc>
          <w:tcPr>
            <w:tcW w:w="2330" w:type="pct"/>
          </w:tcPr>
          <w:p w:rsidR="003F64A6" w:rsidRPr="00CA7C76" w:rsidRDefault="003F64A6" w:rsidP="0083184B">
            <w:pPr>
              <w:jc w:val="both"/>
              <w:rPr>
                <w:rFonts w:eastAsia="Calibri"/>
                <w:sz w:val="20"/>
              </w:rPr>
            </w:pPr>
            <w:r w:rsidRPr="00CA7C76">
              <w:rPr>
                <w:rFonts w:eastAsia="Calibri"/>
                <w:sz w:val="20"/>
              </w:rPr>
              <w:t>Application for leave to appeal filed</w:t>
            </w:r>
          </w:p>
          <w:p w:rsidR="003F64A6" w:rsidRPr="00CA7C76" w:rsidRDefault="003F64A6" w:rsidP="0083184B">
            <w:pPr>
              <w:jc w:val="both"/>
              <w:rPr>
                <w:rFonts w:eastAsia="Calibri"/>
                <w:sz w:val="20"/>
              </w:rPr>
            </w:pPr>
          </w:p>
        </w:tc>
      </w:tr>
      <w:tr w:rsidR="003F64A6" w:rsidRPr="00CA7C76" w:rsidTr="0083184B">
        <w:tc>
          <w:tcPr>
            <w:tcW w:w="2427" w:type="pct"/>
          </w:tcPr>
          <w:p w:rsidR="003F64A6" w:rsidRPr="00CA7C76" w:rsidRDefault="003F64A6" w:rsidP="0083184B">
            <w:pPr>
              <w:jc w:val="both"/>
              <w:rPr>
                <w:rFonts w:eastAsia="Calibri"/>
                <w:sz w:val="20"/>
              </w:rPr>
            </w:pPr>
            <w:r w:rsidRPr="00CA7C76">
              <w:rPr>
                <w:rFonts w:eastAsia="Calibri"/>
                <w:sz w:val="20"/>
              </w:rPr>
              <w:t>January 3, 2014</w:t>
            </w:r>
          </w:p>
          <w:p w:rsidR="003F64A6" w:rsidRPr="00CA7C76" w:rsidRDefault="003F64A6" w:rsidP="0083184B">
            <w:pPr>
              <w:jc w:val="both"/>
              <w:rPr>
                <w:rFonts w:eastAsia="Calibri"/>
                <w:sz w:val="20"/>
              </w:rPr>
            </w:pPr>
            <w:r w:rsidRPr="00CA7C76">
              <w:rPr>
                <w:rFonts w:eastAsia="Calibri"/>
                <w:sz w:val="20"/>
              </w:rPr>
              <w:t>Supreme Court of Canada</w:t>
            </w:r>
          </w:p>
        </w:tc>
        <w:tc>
          <w:tcPr>
            <w:tcW w:w="243" w:type="pct"/>
          </w:tcPr>
          <w:p w:rsidR="003F64A6" w:rsidRPr="00CA7C76" w:rsidRDefault="003F64A6" w:rsidP="0083184B">
            <w:pPr>
              <w:jc w:val="both"/>
              <w:rPr>
                <w:rFonts w:eastAsia="Calibri"/>
                <w:sz w:val="20"/>
              </w:rPr>
            </w:pPr>
          </w:p>
        </w:tc>
        <w:tc>
          <w:tcPr>
            <w:tcW w:w="2330" w:type="pct"/>
          </w:tcPr>
          <w:p w:rsidR="003F64A6" w:rsidRPr="00CA7C76" w:rsidRDefault="003F64A6" w:rsidP="0083184B">
            <w:pPr>
              <w:jc w:val="both"/>
              <w:rPr>
                <w:rFonts w:eastAsia="Calibri"/>
                <w:sz w:val="20"/>
              </w:rPr>
            </w:pPr>
            <w:r w:rsidRPr="00CA7C76">
              <w:rPr>
                <w:rFonts w:eastAsia="Calibri"/>
                <w:sz w:val="20"/>
              </w:rPr>
              <w:t>Motion for an extension of time to file and serve the 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53"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F27688" w:rsidTr="0083184B">
        <w:tc>
          <w:tcPr>
            <w:tcW w:w="5000" w:type="pct"/>
            <w:gridSpan w:val="3"/>
          </w:tcPr>
          <w:p w:rsidR="003F64A6" w:rsidRPr="00CA7C76" w:rsidRDefault="003F64A6" w:rsidP="0083184B">
            <w:pPr>
              <w:jc w:val="both"/>
              <w:rPr>
                <w:rFonts w:eastAsia="Calibri"/>
                <w:smallCaps/>
                <w:sz w:val="20"/>
                <w:lang w:val="fr-CA"/>
              </w:rPr>
            </w:pPr>
            <w:r w:rsidRPr="00CA7C76">
              <w:rPr>
                <w:rFonts w:eastAsia="Calibri"/>
                <w:smallCaps/>
                <w:sz w:val="20"/>
                <w:lang w:val="fr-CA"/>
              </w:rPr>
              <w:t>(</w:t>
            </w:r>
            <w:r>
              <w:rPr>
                <w:rFonts w:eastAsia="Calibri"/>
                <w:smallCaps/>
                <w:sz w:val="20"/>
                <w:lang w:val="fr-CA"/>
              </w:rPr>
              <w:t>O</w:t>
            </w:r>
            <w:r w:rsidRPr="00CA7C76">
              <w:rPr>
                <w:rFonts w:eastAsia="Calibri"/>
                <w:smallCaps/>
                <w:sz w:val="20"/>
                <w:lang w:val="fr-CA"/>
              </w:rPr>
              <w:t>rdonnance de non-publication dans le dossier) (</w:t>
            </w:r>
            <w:r>
              <w:rPr>
                <w:rFonts w:eastAsia="Calibri"/>
                <w:smallCaps/>
                <w:sz w:val="20"/>
                <w:lang w:val="fr-CA"/>
              </w:rPr>
              <w:t>O</w:t>
            </w:r>
            <w:r w:rsidRPr="00CA7C76">
              <w:rPr>
                <w:rFonts w:eastAsia="Calibri"/>
                <w:smallCaps/>
                <w:sz w:val="20"/>
                <w:lang w:val="fr-CA"/>
              </w:rPr>
              <w:t>rdonnance de non-publication visant une partie) (</w:t>
            </w:r>
            <w:r>
              <w:rPr>
                <w:rFonts w:eastAsia="Calibri"/>
                <w:smallCaps/>
                <w:sz w:val="20"/>
                <w:lang w:val="fr-CA"/>
              </w:rPr>
              <w:t>L</w:t>
            </w:r>
            <w:r w:rsidRPr="00CA7C76">
              <w:rPr>
                <w:rFonts w:eastAsia="Calibri"/>
                <w:smallCaps/>
                <w:sz w:val="20"/>
                <w:lang w:val="fr-CA"/>
              </w:rPr>
              <w:t xml:space="preserve">e </w:t>
            </w:r>
            <w:r w:rsidRPr="00CA7C76">
              <w:rPr>
                <w:rFonts w:eastAsia="Calibri"/>
                <w:smallCaps/>
                <w:sz w:val="20"/>
                <w:lang w:val="fr-CA"/>
              </w:rPr>
              <w:lastRenderedPageBreak/>
              <w:t>dossier de la Cour contient des données que le public n’est pas autorisé à consulter)</w:t>
            </w:r>
          </w:p>
          <w:p w:rsidR="003F64A6" w:rsidRPr="00CA7C76" w:rsidRDefault="003F64A6" w:rsidP="0083184B">
            <w:pPr>
              <w:jc w:val="both"/>
              <w:rPr>
                <w:rFonts w:eastAsia="Calibri"/>
                <w:sz w:val="20"/>
                <w:lang w:val="fr-CA"/>
              </w:rPr>
            </w:pPr>
          </w:p>
        </w:tc>
      </w:tr>
      <w:tr w:rsidR="003F64A6" w:rsidRPr="00F27688" w:rsidTr="0083184B">
        <w:tc>
          <w:tcPr>
            <w:tcW w:w="5000" w:type="pct"/>
            <w:gridSpan w:val="3"/>
          </w:tcPr>
          <w:p w:rsidR="003F64A6" w:rsidRPr="00CA7C76" w:rsidRDefault="003F64A6" w:rsidP="0083184B">
            <w:pPr>
              <w:jc w:val="both"/>
              <w:rPr>
                <w:rFonts w:eastAsia="Calibri"/>
                <w:sz w:val="20"/>
                <w:lang w:val="fr-CA"/>
              </w:rPr>
            </w:pPr>
            <w:r w:rsidRPr="00CA7C76">
              <w:rPr>
                <w:rFonts w:eastAsia="Calibri"/>
                <w:sz w:val="20"/>
                <w:lang w:val="fr-CA"/>
              </w:rPr>
              <w:lastRenderedPageBreak/>
              <w:t>Droit criminel — Procédure — Avis d’appel déposés en Cour d’appel de la Nouvelle-Écosse — Requêtes visant à obtenir différentes réparations rejetées en partie par le juge siégeant en chambre — Le juge a-t-il commis une erreur et le demandeur a-t-il subi une injustice?</w:t>
            </w:r>
          </w:p>
        </w:tc>
      </w:tr>
      <w:tr w:rsidR="003F64A6" w:rsidRPr="00F27688" w:rsidTr="0083184B">
        <w:tc>
          <w:tcPr>
            <w:tcW w:w="5000" w:type="pct"/>
            <w:gridSpan w:val="3"/>
          </w:tcPr>
          <w:p w:rsidR="003F64A6" w:rsidRPr="00CA7C76" w:rsidRDefault="003F64A6" w:rsidP="0083184B">
            <w:pPr>
              <w:jc w:val="both"/>
              <w:rPr>
                <w:rFonts w:eastAsia="Calibri"/>
                <w:sz w:val="20"/>
                <w:lang w:val="fr-CA"/>
              </w:rPr>
            </w:pPr>
          </w:p>
        </w:tc>
      </w:tr>
      <w:tr w:rsidR="003F64A6" w:rsidRPr="00CA7C76" w:rsidTr="0083184B">
        <w:tc>
          <w:tcPr>
            <w:tcW w:w="2427" w:type="pct"/>
          </w:tcPr>
          <w:p w:rsidR="003F64A6" w:rsidRPr="00CA7C76" w:rsidRDefault="003F64A6" w:rsidP="0083184B">
            <w:pPr>
              <w:jc w:val="both"/>
              <w:rPr>
                <w:rFonts w:eastAsia="Calibri"/>
                <w:sz w:val="20"/>
                <w:lang w:val="fr-CA"/>
              </w:rPr>
            </w:pPr>
            <w:r w:rsidRPr="00CA7C76">
              <w:rPr>
                <w:rFonts w:eastAsia="Calibri"/>
                <w:sz w:val="20"/>
                <w:lang w:val="fr-CA"/>
              </w:rPr>
              <w:t>8 octobre 2013</w:t>
            </w:r>
          </w:p>
          <w:p w:rsidR="003F64A6" w:rsidRPr="00CA7C76" w:rsidRDefault="003F64A6" w:rsidP="0083184B">
            <w:pPr>
              <w:jc w:val="both"/>
              <w:rPr>
                <w:rFonts w:eastAsia="Calibri"/>
                <w:sz w:val="20"/>
                <w:lang w:val="fr-CA"/>
              </w:rPr>
            </w:pPr>
            <w:r w:rsidRPr="00CA7C76">
              <w:rPr>
                <w:rFonts w:eastAsia="Calibri"/>
                <w:sz w:val="20"/>
                <w:lang w:val="fr-CA"/>
              </w:rPr>
              <w:t>Cour d’appel de la Nouvelle-Écosse</w:t>
            </w:r>
          </w:p>
          <w:p w:rsidR="003F64A6" w:rsidRPr="00CA7C76" w:rsidRDefault="003F64A6" w:rsidP="0083184B">
            <w:pPr>
              <w:jc w:val="both"/>
              <w:rPr>
                <w:rFonts w:eastAsia="Calibri"/>
                <w:sz w:val="20"/>
                <w:lang w:val="fr-FR"/>
              </w:rPr>
            </w:pPr>
            <w:r w:rsidRPr="00CA7C76">
              <w:rPr>
                <w:rFonts w:eastAsia="Calibri"/>
                <w:sz w:val="20"/>
                <w:lang w:val="fr-FR"/>
              </w:rPr>
              <w:t>(Juge Fichaud)</w:t>
            </w:r>
          </w:p>
          <w:p w:rsidR="003F64A6" w:rsidRPr="00CA7C76" w:rsidRDefault="003F64A6" w:rsidP="0083184B">
            <w:pPr>
              <w:jc w:val="both"/>
              <w:rPr>
                <w:rFonts w:eastAsia="Calibri"/>
                <w:sz w:val="20"/>
                <w:lang w:val="fr-FR"/>
              </w:rPr>
            </w:pPr>
            <w:r w:rsidRPr="00CA7C76">
              <w:rPr>
                <w:rFonts w:eastAsia="Calibri"/>
                <w:sz w:val="20"/>
                <w:lang w:val="fr-FR"/>
              </w:rPr>
              <w:t xml:space="preserve">CA 415797; </w:t>
            </w:r>
            <w:hyperlink r:id="rId29" w:history="1">
              <w:r w:rsidRPr="004C6EEE">
                <w:rPr>
                  <w:rFonts w:eastAsia="Calibri"/>
                  <w:color w:val="0000FF"/>
                  <w:sz w:val="20"/>
                  <w:u w:val="single"/>
                  <w:lang w:val="fr-FR"/>
                </w:rPr>
                <w:t>2013 NSCA 113</w:t>
              </w:r>
            </w:hyperlink>
          </w:p>
          <w:p w:rsidR="003F64A6" w:rsidRPr="00CA7C76" w:rsidRDefault="003F64A6" w:rsidP="0083184B">
            <w:pPr>
              <w:jc w:val="both"/>
              <w:rPr>
                <w:rFonts w:eastAsia="Calibri"/>
                <w:sz w:val="20"/>
                <w:lang w:val="fr-FR"/>
              </w:rPr>
            </w:pPr>
          </w:p>
        </w:tc>
        <w:tc>
          <w:tcPr>
            <w:tcW w:w="243" w:type="pct"/>
          </w:tcPr>
          <w:p w:rsidR="003F64A6" w:rsidRPr="00CA7C76" w:rsidRDefault="003F64A6" w:rsidP="0083184B">
            <w:pPr>
              <w:jc w:val="both"/>
              <w:rPr>
                <w:rFonts w:eastAsia="Calibri"/>
                <w:sz w:val="20"/>
                <w:lang w:val="fr-FR"/>
              </w:rPr>
            </w:pPr>
          </w:p>
        </w:tc>
        <w:tc>
          <w:tcPr>
            <w:tcW w:w="2330" w:type="pct"/>
          </w:tcPr>
          <w:p w:rsidR="003F64A6" w:rsidRPr="00CA7C76" w:rsidRDefault="003F64A6" w:rsidP="0083184B">
            <w:pPr>
              <w:jc w:val="both"/>
              <w:rPr>
                <w:rFonts w:eastAsia="Calibri"/>
                <w:sz w:val="20"/>
              </w:rPr>
            </w:pPr>
            <w:r w:rsidRPr="00CA7C76">
              <w:rPr>
                <w:rFonts w:eastAsia="Calibri"/>
                <w:sz w:val="20"/>
              </w:rPr>
              <w:t>Requêtes rejetées en partie</w:t>
            </w:r>
          </w:p>
          <w:p w:rsidR="003F64A6" w:rsidRPr="00CA7C76" w:rsidRDefault="003F64A6" w:rsidP="0083184B">
            <w:pPr>
              <w:jc w:val="both"/>
              <w:rPr>
                <w:rFonts w:eastAsia="Calibri"/>
                <w:sz w:val="20"/>
              </w:rPr>
            </w:pPr>
          </w:p>
        </w:tc>
      </w:tr>
      <w:tr w:rsidR="003F64A6" w:rsidRPr="00CA7C76" w:rsidTr="0083184B">
        <w:tc>
          <w:tcPr>
            <w:tcW w:w="2427" w:type="pct"/>
          </w:tcPr>
          <w:p w:rsidR="003F64A6" w:rsidRPr="00CA7C76" w:rsidRDefault="003F64A6" w:rsidP="0083184B">
            <w:pPr>
              <w:jc w:val="both"/>
              <w:rPr>
                <w:rFonts w:eastAsia="Calibri"/>
                <w:sz w:val="20"/>
              </w:rPr>
            </w:pPr>
            <w:r w:rsidRPr="00CA7C76">
              <w:rPr>
                <w:rFonts w:eastAsia="Calibri"/>
                <w:sz w:val="20"/>
              </w:rPr>
              <w:t>11 décembre 2013</w:t>
            </w:r>
          </w:p>
          <w:p w:rsidR="003F64A6" w:rsidRPr="00CA7C76" w:rsidRDefault="003F64A6" w:rsidP="0083184B">
            <w:pPr>
              <w:jc w:val="both"/>
              <w:rPr>
                <w:rFonts w:eastAsia="Calibri"/>
                <w:sz w:val="20"/>
              </w:rPr>
            </w:pPr>
            <w:r w:rsidRPr="00CA7C76">
              <w:rPr>
                <w:rFonts w:eastAsia="Calibri"/>
                <w:sz w:val="20"/>
              </w:rPr>
              <w:t>Cour suprême du Canada</w:t>
            </w:r>
          </w:p>
          <w:p w:rsidR="003F64A6" w:rsidRPr="00CA7C76" w:rsidRDefault="003F64A6" w:rsidP="0083184B">
            <w:pPr>
              <w:jc w:val="both"/>
              <w:rPr>
                <w:rFonts w:eastAsia="Calibri"/>
                <w:sz w:val="20"/>
              </w:rPr>
            </w:pPr>
          </w:p>
        </w:tc>
        <w:tc>
          <w:tcPr>
            <w:tcW w:w="243" w:type="pct"/>
          </w:tcPr>
          <w:p w:rsidR="003F64A6" w:rsidRPr="00CA7C76" w:rsidRDefault="003F64A6" w:rsidP="0083184B">
            <w:pPr>
              <w:jc w:val="both"/>
              <w:rPr>
                <w:rFonts w:eastAsia="Calibri"/>
                <w:sz w:val="20"/>
              </w:rPr>
            </w:pPr>
          </w:p>
        </w:tc>
        <w:tc>
          <w:tcPr>
            <w:tcW w:w="2330" w:type="pct"/>
          </w:tcPr>
          <w:p w:rsidR="003F64A6" w:rsidRPr="00CA7C76" w:rsidRDefault="003F64A6" w:rsidP="0083184B">
            <w:pPr>
              <w:jc w:val="both"/>
              <w:rPr>
                <w:rFonts w:eastAsia="Calibri"/>
                <w:sz w:val="20"/>
              </w:rPr>
            </w:pPr>
            <w:r w:rsidRPr="00CA7C76">
              <w:rPr>
                <w:rFonts w:eastAsia="Calibri"/>
                <w:sz w:val="20"/>
              </w:rPr>
              <w:t xml:space="preserve">Demande d’autorisation d’appel déposée </w:t>
            </w:r>
          </w:p>
          <w:p w:rsidR="003F64A6" w:rsidRPr="00CA7C76" w:rsidRDefault="003F64A6" w:rsidP="0083184B">
            <w:pPr>
              <w:jc w:val="both"/>
              <w:rPr>
                <w:rFonts w:eastAsia="Calibri"/>
                <w:sz w:val="20"/>
              </w:rPr>
            </w:pPr>
          </w:p>
        </w:tc>
      </w:tr>
      <w:tr w:rsidR="003F64A6" w:rsidRPr="00F27688" w:rsidTr="0083184B">
        <w:tc>
          <w:tcPr>
            <w:tcW w:w="2427" w:type="pct"/>
          </w:tcPr>
          <w:p w:rsidR="003F64A6" w:rsidRPr="003F64A6" w:rsidRDefault="003F64A6" w:rsidP="0083184B">
            <w:pPr>
              <w:jc w:val="both"/>
              <w:rPr>
                <w:rFonts w:eastAsia="Calibri"/>
                <w:sz w:val="20"/>
                <w:lang w:val="fr-CA"/>
              </w:rPr>
            </w:pPr>
            <w:r w:rsidRPr="003F64A6">
              <w:rPr>
                <w:rFonts w:eastAsia="Calibri"/>
                <w:sz w:val="20"/>
                <w:lang w:val="fr-CA"/>
              </w:rPr>
              <w:t>3 janvier 2014</w:t>
            </w:r>
          </w:p>
          <w:p w:rsidR="003F64A6" w:rsidRPr="003F64A6" w:rsidRDefault="003F64A6" w:rsidP="0083184B">
            <w:pPr>
              <w:jc w:val="both"/>
              <w:rPr>
                <w:rFonts w:eastAsia="Calibri"/>
                <w:sz w:val="20"/>
                <w:lang w:val="fr-CA"/>
              </w:rPr>
            </w:pPr>
            <w:r w:rsidRPr="003F64A6">
              <w:rPr>
                <w:rFonts w:eastAsia="Calibri"/>
                <w:sz w:val="20"/>
                <w:lang w:val="fr-CA"/>
              </w:rPr>
              <w:t>Cour suprême du Canada</w:t>
            </w:r>
          </w:p>
        </w:tc>
        <w:tc>
          <w:tcPr>
            <w:tcW w:w="243" w:type="pct"/>
          </w:tcPr>
          <w:p w:rsidR="003F64A6" w:rsidRPr="003F64A6" w:rsidRDefault="003F64A6" w:rsidP="0083184B">
            <w:pPr>
              <w:jc w:val="both"/>
              <w:rPr>
                <w:rFonts w:eastAsia="Calibri"/>
                <w:sz w:val="20"/>
                <w:lang w:val="fr-CA"/>
              </w:rPr>
            </w:pPr>
          </w:p>
        </w:tc>
        <w:tc>
          <w:tcPr>
            <w:tcW w:w="2330" w:type="pct"/>
          </w:tcPr>
          <w:p w:rsidR="003F64A6" w:rsidRPr="00CA7C76" w:rsidRDefault="003F64A6" w:rsidP="0083184B">
            <w:pPr>
              <w:jc w:val="both"/>
              <w:rPr>
                <w:rFonts w:eastAsia="Calibri"/>
                <w:sz w:val="20"/>
                <w:lang w:val="fr-CA"/>
              </w:rPr>
            </w:pPr>
            <w:r w:rsidRPr="00CA7C76">
              <w:rPr>
                <w:rFonts w:eastAsia="Calibri"/>
                <w:sz w:val="20"/>
                <w:lang w:val="fr-CA"/>
              </w:rPr>
              <w:t xml:space="preserve">Requête en prorogation du délai pour déposer et signifier la demande d’autorisation d’appel, déposée </w:t>
            </w:r>
          </w:p>
        </w:tc>
      </w:tr>
    </w:tbl>
    <w:p w:rsidR="0096146C" w:rsidRPr="003F64A6"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54" style="width:2in;height:1pt" o:hrpct="0" o:hralign="center" o:hrstd="t" o:hrnoshade="t" o:hr="t" fillcolor="black [3213]" stroked="f"/>
        </w:pict>
      </w:r>
    </w:p>
    <w:p w:rsidR="0096146C" w:rsidRDefault="0096146C" w:rsidP="0096146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87D55" w:rsidRPr="00F27688" w:rsidTr="00C87D55">
        <w:trPr>
          <w:cantSplit/>
        </w:trPr>
        <w:tc>
          <w:tcPr>
            <w:tcW w:w="1458" w:type="dxa"/>
          </w:tcPr>
          <w:p w:rsidR="00C87D55" w:rsidRPr="00C87D55" w:rsidRDefault="00C87D55" w:rsidP="00C87D55">
            <w:pPr>
              <w:rPr>
                <w:sz w:val="20"/>
              </w:rPr>
            </w:pPr>
            <w:r w:rsidRPr="00C87D55">
              <w:rPr>
                <w:b/>
                <w:sz w:val="20"/>
                <w:lang w:val="fr-CA"/>
              </w:rPr>
              <w:t>35713</w:t>
            </w:r>
          </w:p>
          <w:p w:rsidR="00C87D55" w:rsidRPr="00C87D55" w:rsidRDefault="00C87D55" w:rsidP="00C87D55">
            <w:pPr>
              <w:rPr>
                <w:b/>
                <w:sz w:val="20"/>
                <w:lang w:val="fr-CA"/>
              </w:rPr>
            </w:pPr>
          </w:p>
        </w:tc>
        <w:tc>
          <w:tcPr>
            <w:tcW w:w="8118" w:type="dxa"/>
          </w:tcPr>
          <w:p w:rsidR="00C87D55" w:rsidRPr="00C87D55" w:rsidRDefault="00C87D55" w:rsidP="00C87D55">
            <w:pPr>
              <w:rPr>
                <w:sz w:val="20"/>
                <w:lang w:val="fr-CA"/>
              </w:rPr>
            </w:pPr>
            <w:r w:rsidRPr="00C87D55">
              <w:rPr>
                <w:b/>
                <w:sz w:val="20"/>
                <w:u w:val="single"/>
                <w:lang w:val="fr-CA"/>
              </w:rPr>
              <w:t>Lyne Trudeau c. Fraternité des policiers et policières de Montréal</w:t>
            </w:r>
            <w:r w:rsidRPr="00C87D55">
              <w:rPr>
                <w:sz w:val="20"/>
                <w:lang w:val="fr-CA"/>
              </w:rPr>
              <w:t xml:space="preserve"> (Qc) (Civile) (Autorisation)</w:t>
            </w:r>
          </w:p>
          <w:p w:rsidR="00C87D55" w:rsidRPr="00C87D55" w:rsidRDefault="00C87D55" w:rsidP="00C87D55">
            <w:pPr>
              <w:rPr>
                <w:sz w:val="20"/>
                <w:lang w:val="fr-CA"/>
              </w:rPr>
            </w:pPr>
          </w:p>
        </w:tc>
      </w:tr>
      <w:tr w:rsidR="00C87D55" w:rsidRPr="00F27688" w:rsidTr="00C87D55">
        <w:trPr>
          <w:cantSplit/>
        </w:trPr>
        <w:tc>
          <w:tcPr>
            <w:tcW w:w="1458" w:type="dxa"/>
          </w:tcPr>
          <w:p w:rsidR="00C87D55" w:rsidRPr="00C87D55" w:rsidRDefault="00C87D55" w:rsidP="00C87D55">
            <w:pPr>
              <w:rPr>
                <w:sz w:val="20"/>
              </w:rPr>
            </w:pPr>
            <w:r w:rsidRPr="00C87D55">
              <w:rPr>
                <w:sz w:val="20"/>
              </w:rPr>
              <w:t>Coram :</w:t>
            </w:r>
          </w:p>
        </w:tc>
        <w:tc>
          <w:tcPr>
            <w:tcW w:w="8118" w:type="dxa"/>
          </w:tcPr>
          <w:p w:rsidR="00C87D55" w:rsidRPr="00C87D55" w:rsidRDefault="00C87D55" w:rsidP="00C87D55">
            <w:pPr>
              <w:rPr>
                <w:sz w:val="20"/>
                <w:lang w:val="fr-CA"/>
              </w:rPr>
            </w:pPr>
            <w:r w:rsidRPr="00C87D55">
              <w:rPr>
                <w:sz w:val="20"/>
                <w:u w:val="single"/>
                <w:lang w:val="fr-CA"/>
              </w:rPr>
              <w:t>Les juges LeBel, Karakatsanis et Wagner</w:t>
            </w:r>
          </w:p>
          <w:p w:rsidR="00C87D55" w:rsidRPr="00C87D55" w:rsidRDefault="00C87D55" w:rsidP="00C87D55">
            <w:pPr>
              <w:rPr>
                <w:sz w:val="20"/>
                <w:u w:val="single"/>
                <w:lang w:val="fr-CA"/>
              </w:rPr>
            </w:pPr>
          </w:p>
        </w:tc>
      </w:tr>
      <w:tr w:rsidR="00C87D55" w:rsidRPr="00C87D55" w:rsidTr="00C87D55">
        <w:trPr>
          <w:cantSplit/>
        </w:trPr>
        <w:tc>
          <w:tcPr>
            <w:tcW w:w="9576" w:type="dxa"/>
            <w:gridSpan w:val="2"/>
          </w:tcPr>
          <w:p w:rsidR="00C87D55" w:rsidRPr="00C87D55" w:rsidRDefault="00C87D55" w:rsidP="00C87D55">
            <w:pPr>
              <w:ind w:firstLine="720"/>
              <w:jc w:val="both"/>
              <w:rPr>
                <w:sz w:val="20"/>
                <w:lang w:val="fr-CA"/>
              </w:rPr>
            </w:pPr>
            <w:r w:rsidRPr="00C87D55">
              <w:rPr>
                <w:sz w:val="20"/>
                <w:lang w:val="fr-CA"/>
              </w:rPr>
              <w:t>La demande d’autorisation d’appel de l’arrêt de la Cour d’appel du Québec (Montréal), numéro 500-09-023326-135, 2013 QCCA 2079, daté du 5 décembre 2013, est rejetée avec dépens.</w:t>
            </w:r>
          </w:p>
          <w:p w:rsidR="00C87D55" w:rsidRPr="00C87D55" w:rsidRDefault="00C87D55" w:rsidP="00C87D55">
            <w:pPr>
              <w:jc w:val="both"/>
              <w:rPr>
                <w:sz w:val="20"/>
                <w:lang w:val="fr-CA"/>
              </w:rPr>
            </w:pPr>
          </w:p>
          <w:p w:rsidR="00C87D55" w:rsidRPr="00C87D55" w:rsidRDefault="00C87D55" w:rsidP="00C87D55">
            <w:pPr>
              <w:ind w:firstLine="720"/>
              <w:jc w:val="both"/>
              <w:rPr>
                <w:sz w:val="20"/>
              </w:rPr>
            </w:pPr>
            <w:r w:rsidRPr="00C87D55">
              <w:rPr>
                <w:sz w:val="20"/>
              </w:rPr>
              <w:t>The application for leave to appeal from the judgment of the Court of Appeal of Quebec (Montréal), Number 500-09-023326-135, 2013 QCCA 2079, dated December 5, 2013, is dismissed with costs.</w:t>
            </w:r>
          </w:p>
        </w:tc>
      </w:tr>
    </w:tbl>
    <w:p w:rsidR="0096146C" w:rsidRDefault="0096146C" w:rsidP="0096146C">
      <w:pPr>
        <w:rPr>
          <w:sz w:val="20"/>
          <w:szCs w:val="20"/>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D21141" w:rsidTr="0083184B">
        <w:tc>
          <w:tcPr>
            <w:tcW w:w="5000" w:type="pct"/>
            <w:gridSpan w:val="3"/>
          </w:tcPr>
          <w:p w:rsidR="003F64A6" w:rsidRPr="00D21141" w:rsidRDefault="003F64A6" w:rsidP="0083184B">
            <w:pPr>
              <w:jc w:val="both"/>
              <w:rPr>
                <w:rFonts w:eastAsia="Calibri"/>
                <w:sz w:val="20"/>
              </w:rPr>
            </w:pPr>
            <w:r w:rsidRPr="00D21141">
              <w:rPr>
                <w:rFonts w:eastAsia="Calibri"/>
                <w:sz w:val="20"/>
              </w:rPr>
              <w:t xml:space="preserve">Injunctions — Motion to remove director — Applicant elected director of association of employees and then removed by Superior Court on ground that she had repeatedly breached her obligations — Whether applicant justified in raising as defence her freedom of expression and duty to inform herself and to disclose relevant information to members of association — </w:t>
            </w:r>
            <w:r w:rsidRPr="00D21141">
              <w:rPr>
                <w:rFonts w:eastAsia="Calibri"/>
                <w:i/>
                <w:sz w:val="20"/>
              </w:rPr>
              <w:t>Civil Code of Québec</w:t>
            </w:r>
            <w:r w:rsidRPr="00D21141">
              <w:rPr>
                <w:rFonts w:eastAsia="Calibri"/>
                <w:sz w:val="20"/>
              </w:rPr>
              <w:t>, R.S.Q., c. C</w:t>
            </w:r>
            <w:r w:rsidRPr="00D21141">
              <w:rPr>
                <w:rFonts w:eastAsia="Calibri"/>
                <w:sz w:val="20"/>
              </w:rPr>
              <w:noBreakHyphen/>
              <w:t xml:space="preserve">1991, art. 329; </w:t>
            </w:r>
            <w:r w:rsidRPr="00D21141">
              <w:rPr>
                <w:rFonts w:eastAsia="Calibri"/>
                <w:i/>
                <w:sz w:val="20"/>
              </w:rPr>
              <w:t>Code of Civil Procedure</w:t>
            </w:r>
            <w:r w:rsidRPr="00D21141">
              <w:rPr>
                <w:rFonts w:eastAsia="Calibri"/>
                <w:sz w:val="20"/>
              </w:rPr>
              <w:t>, R.S.Q., c. C</w:t>
            </w:r>
            <w:r w:rsidRPr="00D21141">
              <w:rPr>
                <w:rFonts w:eastAsia="Calibri"/>
                <w:sz w:val="20"/>
              </w:rPr>
              <w:noBreakHyphen/>
              <w:t>25, art. 828.</w:t>
            </w:r>
          </w:p>
        </w:tc>
      </w:tr>
      <w:tr w:rsidR="003F64A6" w:rsidRPr="00D21141" w:rsidTr="0083184B">
        <w:tc>
          <w:tcPr>
            <w:tcW w:w="5000" w:type="pct"/>
            <w:gridSpan w:val="3"/>
          </w:tcPr>
          <w:p w:rsidR="003F64A6" w:rsidRPr="00D21141" w:rsidRDefault="003F64A6" w:rsidP="0083184B">
            <w:pPr>
              <w:jc w:val="both"/>
              <w:rPr>
                <w:rFonts w:eastAsia="Calibri"/>
                <w:sz w:val="20"/>
              </w:rPr>
            </w:pPr>
          </w:p>
        </w:tc>
      </w:tr>
      <w:tr w:rsidR="003F64A6" w:rsidRPr="00D21141" w:rsidTr="0083184B">
        <w:tc>
          <w:tcPr>
            <w:tcW w:w="5000" w:type="pct"/>
            <w:gridSpan w:val="3"/>
          </w:tcPr>
          <w:p w:rsidR="003F64A6" w:rsidRPr="00D21141" w:rsidRDefault="003F64A6" w:rsidP="0083184B">
            <w:pPr>
              <w:jc w:val="both"/>
              <w:rPr>
                <w:rFonts w:eastAsia="Calibri"/>
                <w:sz w:val="20"/>
              </w:rPr>
            </w:pPr>
            <w:r w:rsidRPr="00D21141">
              <w:rPr>
                <w:rFonts w:eastAsia="Calibri"/>
                <w:sz w:val="20"/>
              </w:rPr>
              <w:t>In 2010, Ms. Trudeau was elected vice</w:t>
            </w:r>
            <w:r w:rsidRPr="00D21141">
              <w:rPr>
                <w:rFonts w:eastAsia="Calibri"/>
                <w:sz w:val="20"/>
              </w:rPr>
              <w:noBreakHyphen/>
              <w:t>president, labour relations, of the Fraternité des policiers et policières de Montréal for a term of four years.  In 2012, a select committee of the Fraternité’s board of directors of which Ms. Trudeau was not a member decided to restructure the Fraternité’s legal department.  Essentially, legal services were now to be provided by a firm of lawyers in private practice.  The board ratified the agreement with the law firm during its meeting on June 12, 2012.  Ms. Trudeau objected.  Relations then became more acrimonious on the board and within the Fraternité.</w:t>
            </w:r>
          </w:p>
          <w:p w:rsidR="003F64A6" w:rsidRPr="00D21141" w:rsidRDefault="003F64A6" w:rsidP="0083184B">
            <w:pPr>
              <w:jc w:val="both"/>
              <w:rPr>
                <w:rFonts w:eastAsia="Calibri"/>
                <w:sz w:val="20"/>
              </w:rPr>
            </w:pPr>
          </w:p>
          <w:p w:rsidR="003F64A6" w:rsidRPr="00D21141" w:rsidRDefault="003F64A6" w:rsidP="0083184B">
            <w:pPr>
              <w:jc w:val="both"/>
              <w:rPr>
                <w:rFonts w:eastAsia="Calibri"/>
                <w:sz w:val="20"/>
              </w:rPr>
            </w:pPr>
            <w:r w:rsidRPr="00D21141">
              <w:rPr>
                <w:rFonts w:eastAsia="Calibri"/>
                <w:sz w:val="20"/>
              </w:rPr>
              <w:t>On July 24, 2012, the board passed a resolution initiating a disciplinary investigation against Ms. Trudeau and authorizing the bringing of legal proceedings.  The Fraternité then applied to the Superior Court for a permanent injunction removing Ms. Trudeau.  The Fraternité alleged that, following the meeting on June 12, 2012, Ms. Trudeau had broken the law and violated the Fraternité’s articles and by</w:t>
            </w:r>
            <w:r w:rsidRPr="00D21141">
              <w:rPr>
                <w:rFonts w:eastAsia="Calibri"/>
                <w:sz w:val="20"/>
              </w:rPr>
              <w:noBreakHyphen/>
              <w:t xml:space="preserve">laws, had repeatedly breached her obligations as director, had not acted with honesty, loyalty and good faith toward it, had violated the undertakings of confidentiality she had made in her oath of office, had put herself in a conflict of interest situation, had lost the confidence of the </w:t>
            </w:r>
            <w:r w:rsidRPr="00D21141">
              <w:rPr>
                <w:rFonts w:eastAsia="Calibri"/>
                <w:sz w:val="20"/>
              </w:rPr>
              <w:lastRenderedPageBreak/>
              <w:t>Fraternité’s union structure and the board of directors and had caused considerable tension on the board and in the Fraternité.  The Superior Court allowed the Fraternité’s motion and ordered Ms. Trudeau’s removal.  The Court of Appeal dismissed the appeal.</w:t>
            </w:r>
          </w:p>
          <w:p w:rsidR="003F64A6" w:rsidRPr="00D21141" w:rsidRDefault="003F64A6" w:rsidP="0083184B">
            <w:pPr>
              <w:jc w:val="both"/>
              <w:rPr>
                <w:rFonts w:eastAsia="Calibri"/>
                <w:sz w:val="20"/>
              </w:rPr>
            </w:pPr>
          </w:p>
        </w:tc>
      </w:tr>
      <w:tr w:rsidR="003F64A6" w:rsidRPr="00D21141" w:rsidTr="0083184B">
        <w:tc>
          <w:tcPr>
            <w:tcW w:w="2427" w:type="pct"/>
          </w:tcPr>
          <w:p w:rsidR="003F64A6" w:rsidRPr="00D21141" w:rsidRDefault="003F64A6" w:rsidP="0083184B">
            <w:pPr>
              <w:jc w:val="both"/>
              <w:rPr>
                <w:rFonts w:eastAsia="Calibri"/>
                <w:sz w:val="20"/>
              </w:rPr>
            </w:pPr>
            <w:r w:rsidRPr="00D21141">
              <w:rPr>
                <w:rFonts w:eastAsia="Calibri"/>
                <w:sz w:val="20"/>
              </w:rPr>
              <w:lastRenderedPageBreak/>
              <w:t>January 31, 2013</w:t>
            </w:r>
          </w:p>
          <w:p w:rsidR="003F64A6" w:rsidRPr="00D21141" w:rsidRDefault="003F64A6" w:rsidP="0083184B">
            <w:pPr>
              <w:jc w:val="both"/>
              <w:rPr>
                <w:rFonts w:eastAsia="Calibri"/>
                <w:sz w:val="20"/>
              </w:rPr>
            </w:pPr>
            <w:r w:rsidRPr="00D21141">
              <w:rPr>
                <w:rFonts w:eastAsia="Calibri"/>
                <w:sz w:val="20"/>
              </w:rPr>
              <w:t>Quebec Superior Court</w:t>
            </w:r>
          </w:p>
          <w:p w:rsidR="003F64A6" w:rsidRPr="00D21141" w:rsidRDefault="003F64A6" w:rsidP="0083184B">
            <w:pPr>
              <w:jc w:val="both"/>
              <w:rPr>
                <w:rFonts w:eastAsia="Calibri"/>
                <w:sz w:val="20"/>
              </w:rPr>
            </w:pPr>
            <w:r w:rsidRPr="00D21141">
              <w:rPr>
                <w:rFonts w:eastAsia="Calibri"/>
                <w:sz w:val="20"/>
              </w:rPr>
              <w:t>(Cohen J.)</w:t>
            </w:r>
          </w:p>
          <w:p w:rsidR="003F64A6" w:rsidRPr="00D21141" w:rsidRDefault="00F27688" w:rsidP="0083184B">
            <w:pPr>
              <w:jc w:val="both"/>
              <w:rPr>
                <w:rFonts w:eastAsia="Calibri"/>
                <w:sz w:val="20"/>
              </w:rPr>
            </w:pPr>
            <w:hyperlink r:id="rId30" w:history="1">
              <w:r w:rsidR="003F64A6" w:rsidRPr="007A481A">
                <w:rPr>
                  <w:rFonts w:eastAsia="Calibri"/>
                  <w:color w:val="0000FF"/>
                  <w:sz w:val="20"/>
                  <w:u w:val="single"/>
                </w:rPr>
                <w:t>2013 QCCS 348</w:t>
              </w:r>
            </w:hyperlink>
          </w:p>
          <w:p w:rsidR="003F64A6" w:rsidRPr="00D21141" w:rsidRDefault="003F64A6" w:rsidP="0083184B">
            <w:pPr>
              <w:jc w:val="both"/>
              <w:rPr>
                <w:rFonts w:eastAsia="Calibri"/>
                <w:sz w:val="20"/>
              </w:rPr>
            </w:pP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 xml:space="preserve">Respondent’s motion to remove allowed </w:t>
            </w:r>
          </w:p>
          <w:p w:rsidR="003F64A6" w:rsidRPr="00D21141" w:rsidRDefault="003F64A6" w:rsidP="0083184B">
            <w:pPr>
              <w:jc w:val="both"/>
              <w:rPr>
                <w:rFonts w:eastAsia="Calibri"/>
                <w:sz w:val="20"/>
              </w:rPr>
            </w:pPr>
          </w:p>
        </w:tc>
      </w:tr>
      <w:tr w:rsidR="003F64A6" w:rsidRPr="00D21141" w:rsidTr="0083184B">
        <w:tc>
          <w:tcPr>
            <w:tcW w:w="2427" w:type="pct"/>
          </w:tcPr>
          <w:p w:rsidR="003F64A6" w:rsidRPr="00D21141" w:rsidRDefault="003F64A6" w:rsidP="0083184B">
            <w:pPr>
              <w:jc w:val="both"/>
              <w:rPr>
                <w:rFonts w:eastAsia="Calibri"/>
                <w:sz w:val="20"/>
              </w:rPr>
            </w:pPr>
            <w:r w:rsidRPr="00D21141">
              <w:rPr>
                <w:rFonts w:eastAsia="Calibri"/>
                <w:sz w:val="20"/>
              </w:rPr>
              <w:t>December 5, 2013</w:t>
            </w:r>
          </w:p>
          <w:p w:rsidR="003F64A6" w:rsidRPr="00D21141" w:rsidRDefault="003F64A6" w:rsidP="0083184B">
            <w:pPr>
              <w:jc w:val="both"/>
              <w:rPr>
                <w:rFonts w:eastAsia="Calibri"/>
                <w:sz w:val="20"/>
              </w:rPr>
            </w:pPr>
            <w:r w:rsidRPr="00D21141">
              <w:rPr>
                <w:rFonts w:eastAsia="Calibri"/>
                <w:sz w:val="20"/>
              </w:rPr>
              <w:t>Quebec Court of Appeal (Montréal)</w:t>
            </w:r>
          </w:p>
          <w:p w:rsidR="003F64A6" w:rsidRPr="00D21141" w:rsidRDefault="003F64A6" w:rsidP="0083184B">
            <w:pPr>
              <w:jc w:val="both"/>
              <w:rPr>
                <w:rFonts w:eastAsia="Calibri"/>
                <w:sz w:val="20"/>
              </w:rPr>
            </w:pPr>
            <w:r w:rsidRPr="00D21141">
              <w:rPr>
                <w:rFonts w:eastAsia="Calibri"/>
                <w:sz w:val="20"/>
              </w:rPr>
              <w:t>(Morin, Vézina and Fournier JJ.A.)</w:t>
            </w:r>
          </w:p>
          <w:p w:rsidR="003F64A6" w:rsidRPr="00D21141" w:rsidRDefault="00F27688" w:rsidP="0083184B">
            <w:pPr>
              <w:jc w:val="both"/>
              <w:rPr>
                <w:rFonts w:eastAsia="Calibri"/>
                <w:sz w:val="20"/>
              </w:rPr>
            </w:pPr>
            <w:hyperlink r:id="rId31" w:history="1">
              <w:r w:rsidR="003F64A6" w:rsidRPr="007A481A">
                <w:rPr>
                  <w:rFonts w:eastAsia="Calibri"/>
                  <w:color w:val="0000FF"/>
                  <w:sz w:val="20"/>
                  <w:u w:val="single"/>
                </w:rPr>
                <w:t>2013 QCCA 2079</w:t>
              </w:r>
            </w:hyperlink>
            <w:r w:rsidR="003F64A6" w:rsidRPr="00D21141">
              <w:rPr>
                <w:rFonts w:eastAsia="Calibri"/>
                <w:sz w:val="20"/>
              </w:rPr>
              <w:t>; 500</w:t>
            </w:r>
            <w:r w:rsidR="003F64A6" w:rsidRPr="00D21141">
              <w:rPr>
                <w:rFonts w:eastAsia="Calibri"/>
                <w:sz w:val="20"/>
              </w:rPr>
              <w:noBreakHyphen/>
              <w:t>09</w:t>
            </w:r>
            <w:r w:rsidR="003F64A6" w:rsidRPr="00D21141">
              <w:rPr>
                <w:rFonts w:eastAsia="Calibri"/>
                <w:sz w:val="20"/>
              </w:rPr>
              <w:noBreakHyphen/>
              <w:t>023326</w:t>
            </w:r>
            <w:r w:rsidR="003F64A6" w:rsidRPr="00D21141">
              <w:rPr>
                <w:rFonts w:eastAsia="Calibri"/>
                <w:sz w:val="20"/>
              </w:rPr>
              <w:noBreakHyphen/>
              <w:t>135</w:t>
            </w:r>
          </w:p>
          <w:p w:rsidR="003F64A6" w:rsidRPr="00D21141" w:rsidRDefault="003F64A6" w:rsidP="0083184B">
            <w:pPr>
              <w:jc w:val="both"/>
              <w:rPr>
                <w:rFonts w:eastAsia="Calibri"/>
                <w:sz w:val="20"/>
              </w:rPr>
            </w:pP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 xml:space="preserve">Appeal dismissed </w:t>
            </w:r>
          </w:p>
          <w:p w:rsidR="003F64A6" w:rsidRPr="00D21141" w:rsidRDefault="003F64A6" w:rsidP="0083184B">
            <w:pPr>
              <w:jc w:val="both"/>
              <w:rPr>
                <w:rFonts w:eastAsia="Calibri"/>
                <w:sz w:val="20"/>
              </w:rPr>
            </w:pPr>
          </w:p>
        </w:tc>
      </w:tr>
      <w:tr w:rsidR="003F64A6" w:rsidRPr="00D21141" w:rsidTr="0083184B">
        <w:tc>
          <w:tcPr>
            <w:tcW w:w="2427" w:type="pct"/>
          </w:tcPr>
          <w:p w:rsidR="003F64A6" w:rsidRPr="00D21141" w:rsidRDefault="003F64A6" w:rsidP="0083184B">
            <w:pPr>
              <w:jc w:val="both"/>
              <w:rPr>
                <w:rFonts w:eastAsia="Calibri"/>
                <w:sz w:val="20"/>
              </w:rPr>
            </w:pPr>
            <w:r w:rsidRPr="00D21141">
              <w:rPr>
                <w:rFonts w:eastAsia="Calibri"/>
                <w:sz w:val="20"/>
              </w:rPr>
              <w:t>February 3, 2014</w:t>
            </w:r>
          </w:p>
          <w:p w:rsidR="003F64A6" w:rsidRPr="00D21141" w:rsidRDefault="003F64A6" w:rsidP="0083184B">
            <w:pPr>
              <w:jc w:val="both"/>
              <w:rPr>
                <w:rFonts w:eastAsia="Calibri"/>
                <w:sz w:val="20"/>
              </w:rPr>
            </w:pPr>
            <w:r w:rsidRPr="00D21141">
              <w:rPr>
                <w:rFonts w:eastAsia="Calibri"/>
                <w:sz w:val="20"/>
              </w:rPr>
              <w:t>Supreme Court of Canada</w:t>
            </w: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Application for leave to appeal filed</w:t>
            </w:r>
          </w:p>
          <w:p w:rsidR="003F64A6" w:rsidRPr="00D21141" w:rsidRDefault="003F64A6" w:rsidP="0083184B">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55"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D21141" w:rsidTr="0083184B">
        <w:tc>
          <w:tcPr>
            <w:tcW w:w="5000" w:type="pct"/>
            <w:gridSpan w:val="3"/>
          </w:tcPr>
          <w:p w:rsidR="003F64A6" w:rsidRPr="00D21141" w:rsidRDefault="003F64A6" w:rsidP="0083184B">
            <w:pPr>
              <w:jc w:val="both"/>
              <w:rPr>
                <w:rFonts w:eastAsia="Calibri"/>
                <w:sz w:val="20"/>
                <w:lang w:val="fr-CA"/>
              </w:rPr>
            </w:pPr>
            <w:r w:rsidRPr="00D21141">
              <w:rPr>
                <w:rFonts w:eastAsia="Calibri"/>
                <w:sz w:val="20"/>
                <w:lang w:val="fr-CA"/>
              </w:rPr>
              <w:t>Injonctions — Requête en destitution d’un administrateur — Demanderesse élue à un poste d’administrateur d’une association de salariés puis destituée par la Cour supérieure au motif qu’elle avait violé de façon répétée les obligations qui s’imposaient à elle — La demanderesse était</w:t>
            </w:r>
            <w:r w:rsidRPr="00D21141">
              <w:rPr>
                <w:rFonts w:eastAsia="Calibri"/>
                <w:sz w:val="20"/>
                <w:lang w:val="fr-CA"/>
              </w:rPr>
              <w:noBreakHyphen/>
              <w:t xml:space="preserve">elle justifiée d’invoquer en défense sa liberté d’expression et son devoir de s’informer et de divulguer l’information pertinente aux membres de l’association? — </w:t>
            </w:r>
            <w:r w:rsidRPr="00D21141">
              <w:rPr>
                <w:rFonts w:eastAsia="Calibri"/>
                <w:i/>
                <w:sz w:val="20"/>
                <w:lang w:val="fr-CA"/>
              </w:rPr>
              <w:t>Code civil du Québec</w:t>
            </w:r>
            <w:r w:rsidRPr="00D21141">
              <w:rPr>
                <w:rFonts w:eastAsia="Calibri"/>
                <w:sz w:val="20"/>
                <w:lang w:val="fr-CA"/>
              </w:rPr>
              <w:t>, L.R.Q., ch. C</w:t>
            </w:r>
            <w:r w:rsidRPr="00D21141">
              <w:rPr>
                <w:rFonts w:eastAsia="Calibri"/>
                <w:sz w:val="20"/>
                <w:lang w:val="fr-CA"/>
              </w:rPr>
              <w:noBreakHyphen/>
              <w:t xml:space="preserve">1991, art. 329; </w:t>
            </w:r>
            <w:r w:rsidRPr="00D21141">
              <w:rPr>
                <w:rFonts w:eastAsia="Calibri"/>
                <w:i/>
                <w:sz w:val="20"/>
                <w:lang w:val="fr-CA"/>
              </w:rPr>
              <w:t>Code de procédure civile</w:t>
            </w:r>
            <w:r w:rsidRPr="00D21141">
              <w:rPr>
                <w:rFonts w:eastAsia="Calibri"/>
                <w:sz w:val="20"/>
                <w:lang w:val="fr-CA"/>
              </w:rPr>
              <w:t>, L.R.Q., ch. C</w:t>
            </w:r>
            <w:r w:rsidRPr="00D21141">
              <w:rPr>
                <w:rFonts w:eastAsia="Calibri"/>
                <w:sz w:val="20"/>
                <w:lang w:val="fr-CA"/>
              </w:rPr>
              <w:noBreakHyphen/>
              <w:t>25, art. 828.</w:t>
            </w:r>
          </w:p>
        </w:tc>
      </w:tr>
      <w:tr w:rsidR="003F64A6" w:rsidRPr="00D21141" w:rsidTr="0083184B">
        <w:tc>
          <w:tcPr>
            <w:tcW w:w="5000" w:type="pct"/>
            <w:gridSpan w:val="3"/>
          </w:tcPr>
          <w:p w:rsidR="003F64A6" w:rsidRPr="00D21141" w:rsidRDefault="003F64A6" w:rsidP="0083184B">
            <w:pPr>
              <w:jc w:val="both"/>
              <w:rPr>
                <w:rFonts w:eastAsia="Calibri"/>
                <w:sz w:val="20"/>
                <w:lang w:val="fr-CA"/>
              </w:rPr>
            </w:pPr>
          </w:p>
        </w:tc>
      </w:tr>
      <w:tr w:rsidR="003F64A6" w:rsidRPr="00D21141" w:rsidTr="0083184B">
        <w:tc>
          <w:tcPr>
            <w:tcW w:w="5000" w:type="pct"/>
            <w:gridSpan w:val="3"/>
          </w:tcPr>
          <w:p w:rsidR="003F64A6" w:rsidRPr="00D21141" w:rsidRDefault="003F64A6" w:rsidP="0083184B">
            <w:pPr>
              <w:jc w:val="both"/>
              <w:rPr>
                <w:rFonts w:eastAsia="Calibri"/>
                <w:sz w:val="20"/>
                <w:lang w:val="fr-CA"/>
              </w:rPr>
            </w:pPr>
            <w:r w:rsidRPr="00D21141">
              <w:rPr>
                <w:rFonts w:eastAsia="Calibri"/>
                <w:sz w:val="20"/>
                <w:lang w:val="fr-CA"/>
              </w:rPr>
              <w:t>Mme Trudeau est élue en 2010 au poste de vice</w:t>
            </w:r>
            <w:r w:rsidRPr="00D21141">
              <w:rPr>
                <w:rFonts w:eastAsia="Calibri"/>
                <w:sz w:val="20"/>
                <w:lang w:val="fr-CA"/>
              </w:rPr>
              <w:noBreakHyphen/>
              <w:t xml:space="preserve">présidente aux relations de travail de la Fraternité des policiers et policières de Montréal, pour un mandat de quatre ans.  En 2012, un comité restreint du Conseil de direction de la Fraternité et dont Mme Trudeau ne fait pas partie décide de restructurer le service du contentieux de la Fraternité.  Essentiellement, les services juridiques seront désormais assurés par un cabinet d’avocats en pratique privée.  Le Conseil ratifie l’entente avec le cabinet d’avocats lors de sa réunion du 12 juin 2012.  Mme Trudeau s’y oppose.  Par la suite, les relations au sein du Conseil et à la Fraternité s’enveniment. </w:t>
            </w:r>
          </w:p>
          <w:p w:rsidR="003F64A6" w:rsidRPr="00D21141" w:rsidRDefault="003F64A6" w:rsidP="0083184B">
            <w:pPr>
              <w:jc w:val="both"/>
              <w:rPr>
                <w:rFonts w:eastAsia="Calibri"/>
                <w:sz w:val="20"/>
                <w:lang w:val="fr-CA"/>
              </w:rPr>
            </w:pPr>
          </w:p>
          <w:p w:rsidR="003F64A6" w:rsidRPr="00D21141" w:rsidRDefault="003F64A6" w:rsidP="0083184B">
            <w:pPr>
              <w:jc w:val="both"/>
              <w:rPr>
                <w:rFonts w:eastAsia="Calibri"/>
                <w:sz w:val="20"/>
                <w:lang w:val="fr-CA"/>
              </w:rPr>
            </w:pPr>
            <w:r w:rsidRPr="00D21141">
              <w:rPr>
                <w:rFonts w:eastAsia="Calibri"/>
                <w:sz w:val="20"/>
                <w:lang w:val="fr-CA"/>
              </w:rPr>
              <w:t>Le 24 juillet 2012, le Conseil adopte une résolution par laquelle il enclenche une enquête disciplinaire à l’encontre de Mme Trudeau et autorise la prise de procédures judiciaires.  La Fraternité s’adresse par la suite à la Cour supérieure pour obtenir une injonction permanente destituant Mme Trudeau.  La Fraternité allègue qu’après la réunion du 12 juin 2012, Mme Trudeau a enfreint la loi et les statuts et règlements de la Fraternité, qu’elle a manqué à ses obligations d’administratrice de façon répétée, qu’elle n’a pas agi avec honnêteté, loyauté et bonne foi envers elle, qu’elle a contrevenu à ses engagements de confidentialité contenus dans son serment d’office, qu’elle s’est placée dans une situation de conflit d’intérêts, qu’elle a perdu la confiance de la structure syndicale de la Fraternité et du Comité de direction et qu’elle est l’auteure de tensions importantes au sein du Conseil et à la Fraternité.  La Cour supérieure accueille la requête de la Fraternité et ordonne la destitution de Mme Trudeau.  La Cour d’appel rejette l’appel.</w:t>
            </w:r>
          </w:p>
          <w:p w:rsidR="003F64A6" w:rsidRPr="00D21141" w:rsidRDefault="003F64A6" w:rsidP="0083184B">
            <w:pPr>
              <w:jc w:val="both"/>
              <w:rPr>
                <w:rFonts w:eastAsia="Calibri"/>
                <w:sz w:val="20"/>
                <w:lang w:val="fr-CA"/>
              </w:rPr>
            </w:pPr>
          </w:p>
        </w:tc>
      </w:tr>
      <w:tr w:rsidR="003F64A6" w:rsidRPr="00F27688" w:rsidTr="0083184B">
        <w:tc>
          <w:tcPr>
            <w:tcW w:w="2427" w:type="pct"/>
          </w:tcPr>
          <w:p w:rsidR="003F64A6" w:rsidRPr="00D21141" w:rsidRDefault="003F64A6" w:rsidP="0083184B">
            <w:pPr>
              <w:jc w:val="both"/>
              <w:rPr>
                <w:rFonts w:eastAsia="Calibri"/>
                <w:sz w:val="20"/>
                <w:lang w:val="fr-CA"/>
              </w:rPr>
            </w:pPr>
            <w:r w:rsidRPr="00D21141">
              <w:rPr>
                <w:rFonts w:eastAsia="Calibri"/>
                <w:sz w:val="20"/>
                <w:lang w:val="fr-CA"/>
              </w:rPr>
              <w:t>Le 31 janvier 2013</w:t>
            </w:r>
          </w:p>
          <w:p w:rsidR="003F64A6" w:rsidRPr="00D21141" w:rsidRDefault="003F64A6" w:rsidP="0083184B">
            <w:pPr>
              <w:jc w:val="both"/>
              <w:rPr>
                <w:rFonts w:eastAsia="Calibri"/>
                <w:sz w:val="20"/>
                <w:lang w:val="fr-CA"/>
              </w:rPr>
            </w:pPr>
            <w:r w:rsidRPr="00D21141">
              <w:rPr>
                <w:rFonts w:eastAsia="Calibri"/>
                <w:sz w:val="20"/>
                <w:lang w:val="fr-CA"/>
              </w:rPr>
              <w:t>Cour supérieure du Québec</w:t>
            </w:r>
          </w:p>
          <w:p w:rsidR="003F64A6" w:rsidRPr="00D21141" w:rsidRDefault="003F64A6" w:rsidP="0083184B">
            <w:pPr>
              <w:jc w:val="both"/>
              <w:rPr>
                <w:rFonts w:eastAsia="Calibri"/>
                <w:sz w:val="20"/>
                <w:lang w:val="fr-CA"/>
              </w:rPr>
            </w:pPr>
            <w:r w:rsidRPr="00D21141">
              <w:rPr>
                <w:rFonts w:eastAsia="Calibri"/>
                <w:sz w:val="20"/>
                <w:lang w:val="fr-CA"/>
              </w:rPr>
              <w:t>(La juge Cohen)</w:t>
            </w:r>
          </w:p>
          <w:p w:rsidR="003F64A6" w:rsidRPr="00D21141" w:rsidRDefault="00F27688" w:rsidP="0083184B">
            <w:pPr>
              <w:jc w:val="both"/>
              <w:rPr>
                <w:rFonts w:eastAsia="Calibri"/>
                <w:sz w:val="20"/>
                <w:lang w:val="fr-CA"/>
              </w:rPr>
            </w:pPr>
            <w:hyperlink r:id="rId32" w:history="1">
              <w:r w:rsidR="003F64A6" w:rsidRPr="007A481A">
                <w:rPr>
                  <w:rFonts w:eastAsia="Calibri"/>
                  <w:color w:val="0000FF"/>
                  <w:sz w:val="20"/>
                  <w:u w:val="single"/>
                  <w:lang w:val="fr-CA"/>
                </w:rPr>
                <w:t>2013 QCCS 348</w:t>
              </w:r>
            </w:hyperlink>
          </w:p>
          <w:p w:rsidR="003F64A6" w:rsidRPr="00D21141" w:rsidRDefault="003F64A6" w:rsidP="0083184B">
            <w:pPr>
              <w:jc w:val="both"/>
              <w:rPr>
                <w:rFonts w:eastAsia="Calibri"/>
                <w:sz w:val="20"/>
                <w:lang w:val="fr-CA"/>
              </w:rPr>
            </w:pP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 xml:space="preserve">Requête de l’intimée en destitution accueillie </w:t>
            </w:r>
          </w:p>
          <w:p w:rsidR="003F64A6" w:rsidRPr="00D21141" w:rsidRDefault="003F64A6" w:rsidP="0083184B">
            <w:pPr>
              <w:jc w:val="both"/>
              <w:rPr>
                <w:rFonts w:eastAsia="Calibri"/>
                <w:sz w:val="20"/>
                <w:lang w:val="fr-CA"/>
              </w:rPr>
            </w:pPr>
          </w:p>
        </w:tc>
      </w:tr>
      <w:tr w:rsidR="003F64A6" w:rsidRPr="00D21141" w:rsidTr="00C87D55">
        <w:trPr>
          <w:cantSplit/>
        </w:trPr>
        <w:tc>
          <w:tcPr>
            <w:tcW w:w="2427" w:type="pct"/>
          </w:tcPr>
          <w:p w:rsidR="003F64A6" w:rsidRPr="00D21141" w:rsidRDefault="003F64A6" w:rsidP="0083184B">
            <w:pPr>
              <w:jc w:val="both"/>
              <w:rPr>
                <w:rFonts w:eastAsia="Calibri"/>
                <w:sz w:val="20"/>
                <w:lang w:val="fr-CA"/>
              </w:rPr>
            </w:pPr>
            <w:r w:rsidRPr="00D21141">
              <w:rPr>
                <w:rFonts w:eastAsia="Calibri"/>
                <w:sz w:val="20"/>
                <w:lang w:val="fr-CA"/>
              </w:rPr>
              <w:lastRenderedPageBreak/>
              <w:t>Le 5 décembre 2013</w:t>
            </w:r>
          </w:p>
          <w:p w:rsidR="003F64A6" w:rsidRPr="00D21141" w:rsidRDefault="003F64A6" w:rsidP="0083184B">
            <w:pPr>
              <w:jc w:val="both"/>
              <w:rPr>
                <w:rFonts w:eastAsia="Calibri"/>
                <w:sz w:val="20"/>
                <w:lang w:val="fr-CA"/>
              </w:rPr>
            </w:pPr>
            <w:r w:rsidRPr="00D21141">
              <w:rPr>
                <w:rFonts w:eastAsia="Calibri"/>
                <w:sz w:val="20"/>
                <w:lang w:val="fr-CA"/>
              </w:rPr>
              <w:t>Cour d’appel du Québec (Montréal)</w:t>
            </w:r>
          </w:p>
          <w:p w:rsidR="003F64A6" w:rsidRPr="00D21141" w:rsidRDefault="003F64A6" w:rsidP="0083184B">
            <w:pPr>
              <w:jc w:val="both"/>
              <w:rPr>
                <w:rFonts w:eastAsia="Calibri"/>
                <w:sz w:val="20"/>
                <w:lang w:val="fr-CA"/>
              </w:rPr>
            </w:pPr>
            <w:r w:rsidRPr="00D21141">
              <w:rPr>
                <w:rFonts w:eastAsia="Calibri"/>
                <w:sz w:val="20"/>
                <w:lang w:val="fr-CA"/>
              </w:rPr>
              <w:t>(Les juges Morin, Vézina et Fournier)</w:t>
            </w:r>
          </w:p>
          <w:p w:rsidR="003F64A6" w:rsidRPr="00D21141" w:rsidRDefault="00F27688" w:rsidP="0083184B">
            <w:pPr>
              <w:jc w:val="both"/>
              <w:rPr>
                <w:rFonts w:eastAsia="Calibri"/>
                <w:sz w:val="20"/>
                <w:lang w:val="fr-CA"/>
              </w:rPr>
            </w:pPr>
            <w:hyperlink r:id="rId33" w:history="1">
              <w:r w:rsidR="003F64A6" w:rsidRPr="007A481A">
                <w:rPr>
                  <w:rFonts w:eastAsia="Calibri"/>
                  <w:color w:val="0000FF"/>
                  <w:sz w:val="20"/>
                  <w:u w:val="single"/>
                  <w:lang w:val="fr-CA"/>
                </w:rPr>
                <w:t>2013 QCCA 2079</w:t>
              </w:r>
            </w:hyperlink>
            <w:r w:rsidR="003F64A6" w:rsidRPr="00D21141">
              <w:rPr>
                <w:rFonts w:eastAsia="Calibri"/>
                <w:sz w:val="20"/>
                <w:lang w:val="fr-CA"/>
              </w:rPr>
              <w:t>; 500</w:t>
            </w:r>
            <w:r w:rsidR="003F64A6" w:rsidRPr="00D21141">
              <w:rPr>
                <w:rFonts w:eastAsia="Calibri"/>
                <w:sz w:val="20"/>
                <w:lang w:val="fr-CA"/>
              </w:rPr>
              <w:noBreakHyphen/>
              <w:t>09</w:t>
            </w:r>
            <w:r w:rsidR="003F64A6" w:rsidRPr="00D21141">
              <w:rPr>
                <w:rFonts w:eastAsia="Calibri"/>
                <w:sz w:val="20"/>
                <w:lang w:val="fr-CA"/>
              </w:rPr>
              <w:noBreakHyphen/>
              <w:t>023326</w:t>
            </w:r>
            <w:r w:rsidR="003F64A6" w:rsidRPr="00D21141">
              <w:rPr>
                <w:rFonts w:eastAsia="Calibri"/>
                <w:sz w:val="20"/>
                <w:lang w:val="fr-CA"/>
              </w:rPr>
              <w:noBreakHyphen/>
              <w:t>135</w:t>
            </w:r>
          </w:p>
          <w:p w:rsidR="003F64A6" w:rsidRPr="00D21141" w:rsidRDefault="003F64A6" w:rsidP="0083184B">
            <w:pPr>
              <w:jc w:val="both"/>
              <w:rPr>
                <w:rFonts w:eastAsia="Calibri"/>
                <w:sz w:val="20"/>
                <w:lang w:val="fr-CA"/>
              </w:rPr>
            </w:pP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 xml:space="preserve">Appel rejeté </w:t>
            </w:r>
          </w:p>
          <w:p w:rsidR="003F64A6" w:rsidRPr="00D21141" w:rsidRDefault="003F64A6" w:rsidP="0083184B">
            <w:pPr>
              <w:jc w:val="both"/>
              <w:rPr>
                <w:rFonts w:eastAsia="Calibri"/>
                <w:sz w:val="20"/>
                <w:lang w:val="fr-CA"/>
              </w:rPr>
            </w:pPr>
          </w:p>
        </w:tc>
      </w:tr>
      <w:tr w:rsidR="003F64A6" w:rsidRPr="00D21141" w:rsidTr="00C87D55">
        <w:trPr>
          <w:cantSplit/>
        </w:trPr>
        <w:tc>
          <w:tcPr>
            <w:tcW w:w="2427" w:type="pct"/>
          </w:tcPr>
          <w:p w:rsidR="003F64A6" w:rsidRPr="00D21141" w:rsidRDefault="003F64A6" w:rsidP="0083184B">
            <w:pPr>
              <w:jc w:val="both"/>
              <w:rPr>
                <w:rFonts w:eastAsia="Calibri"/>
                <w:sz w:val="20"/>
                <w:lang w:val="fr-CA"/>
              </w:rPr>
            </w:pPr>
            <w:r w:rsidRPr="00D21141">
              <w:rPr>
                <w:rFonts w:eastAsia="Calibri"/>
                <w:sz w:val="20"/>
                <w:lang w:val="fr-CA"/>
              </w:rPr>
              <w:t>Le 3 février 2014</w:t>
            </w:r>
          </w:p>
          <w:p w:rsidR="003F64A6" w:rsidRPr="00D21141" w:rsidRDefault="003F64A6" w:rsidP="0083184B">
            <w:pPr>
              <w:jc w:val="both"/>
              <w:rPr>
                <w:rFonts w:eastAsia="Calibri"/>
                <w:sz w:val="20"/>
                <w:lang w:val="fr-CA"/>
              </w:rPr>
            </w:pPr>
            <w:r w:rsidRPr="00D21141">
              <w:rPr>
                <w:rFonts w:eastAsia="Calibri"/>
                <w:sz w:val="20"/>
                <w:lang w:val="fr-CA"/>
              </w:rPr>
              <w:t>Cour suprême du Canada</w:t>
            </w: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Demande d’autorisation d’appel déposée</w:t>
            </w:r>
          </w:p>
          <w:p w:rsidR="003F64A6" w:rsidRPr="00D21141" w:rsidRDefault="003F64A6" w:rsidP="0083184B">
            <w:pPr>
              <w:jc w:val="both"/>
              <w:rPr>
                <w:rFonts w:eastAsia="Calibri"/>
                <w:sz w:val="20"/>
                <w:lang w:val="fr-CA"/>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56" style="width:2in;height:1pt" o:hrpct="0" o:hralign="center" o:hrstd="t" o:hrnoshade="t" o:hr="t" fillcolor="black [3213]" stroked="f"/>
        </w:pict>
      </w:r>
    </w:p>
    <w:p w:rsidR="0096146C" w:rsidRDefault="0096146C" w:rsidP="0096146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7290A" w:rsidRPr="0007290A" w:rsidTr="00162E9D">
        <w:trPr>
          <w:cantSplit/>
        </w:trPr>
        <w:tc>
          <w:tcPr>
            <w:tcW w:w="1458" w:type="dxa"/>
          </w:tcPr>
          <w:p w:rsidR="0007290A" w:rsidRPr="0007290A" w:rsidRDefault="0007290A" w:rsidP="0007290A">
            <w:pPr>
              <w:rPr>
                <w:sz w:val="20"/>
              </w:rPr>
            </w:pPr>
            <w:r w:rsidRPr="0007290A">
              <w:rPr>
                <w:b/>
                <w:sz w:val="20"/>
                <w:lang w:val="fr-CA"/>
              </w:rPr>
              <w:t>35733</w:t>
            </w:r>
          </w:p>
          <w:p w:rsidR="0007290A" w:rsidRPr="0007290A" w:rsidRDefault="0007290A" w:rsidP="0007290A">
            <w:pPr>
              <w:rPr>
                <w:b/>
                <w:sz w:val="20"/>
                <w:lang w:val="fr-CA"/>
              </w:rPr>
            </w:pPr>
          </w:p>
        </w:tc>
        <w:tc>
          <w:tcPr>
            <w:tcW w:w="8118" w:type="dxa"/>
          </w:tcPr>
          <w:p w:rsidR="0007290A" w:rsidRPr="0007290A" w:rsidRDefault="0007290A" w:rsidP="0007290A">
            <w:pPr>
              <w:jc w:val="both"/>
              <w:rPr>
                <w:sz w:val="20"/>
              </w:rPr>
            </w:pPr>
            <w:r w:rsidRPr="0007290A">
              <w:rPr>
                <w:b/>
                <w:sz w:val="20"/>
                <w:u w:val="single"/>
              </w:rPr>
              <w:t>Cold Lake First Nations v. Her Majesty the Queen in Right of Alberta as represented by the Minister of Tourism, Parks and Recreation</w:t>
            </w:r>
            <w:r w:rsidRPr="0007290A">
              <w:rPr>
                <w:sz w:val="20"/>
              </w:rPr>
              <w:t xml:space="preserve"> (Alta.) (Civil) (By Leave)</w:t>
            </w:r>
          </w:p>
          <w:p w:rsidR="0007290A" w:rsidRPr="0007290A" w:rsidRDefault="0007290A" w:rsidP="0007290A">
            <w:pPr>
              <w:jc w:val="both"/>
              <w:rPr>
                <w:sz w:val="20"/>
              </w:rPr>
            </w:pPr>
          </w:p>
        </w:tc>
      </w:tr>
      <w:tr w:rsidR="0007290A" w:rsidRPr="0007290A" w:rsidTr="00162E9D">
        <w:trPr>
          <w:cantSplit/>
        </w:trPr>
        <w:tc>
          <w:tcPr>
            <w:tcW w:w="1458" w:type="dxa"/>
          </w:tcPr>
          <w:p w:rsidR="0007290A" w:rsidRPr="0007290A" w:rsidRDefault="0007290A" w:rsidP="0007290A">
            <w:pPr>
              <w:rPr>
                <w:sz w:val="20"/>
              </w:rPr>
            </w:pPr>
            <w:r w:rsidRPr="0007290A">
              <w:rPr>
                <w:sz w:val="20"/>
              </w:rPr>
              <w:t>Coram :</w:t>
            </w:r>
          </w:p>
        </w:tc>
        <w:tc>
          <w:tcPr>
            <w:tcW w:w="8118" w:type="dxa"/>
          </w:tcPr>
          <w:p w:rsidR="0007290A" w:rsidRPr="0007290A" w:rsidRDefault="0007290A" w:rsidP="0007290A">
            <w:pPr>
              <w:rPr>
                <w:sz w:val="20"/>
              </w:rPr>
            </w:pPr>
            <w:r w:rsidRPr="0007290A">
              <w:rPr>
                <w:sz w:val="20"/>
                <w:u w:val="single"/>
              </w:rPr>
              <w:t>LeBel, Karakatsanis and Wagner JJ.</w:t>
            </w:r>
          </w:p>
          <w:p w:rsidR="0007290A" w:rsidRPr="0007290A" w:rsidRDefault="0007290A" w:rsidP="0007290A">
            <w:pPr>
              <w:rPr>
                <w:sz w:val="20"/>
                <w:u w:val="single"/>
              </w:rPr>
            </w:pPr>
          </w:p>
        </w:tc>
      </w:tr>
      <w:tr w:rsidR="0007290A" w:rsidRPr="00F27688" w:rsidTr="00162E9D">
        <w:trPr>
          <w:cantSplit/>
        </w:trPr>
        <w:tc>
          <w:tcPr>
            <w:tcW w:w="9576" w:type="dxa"/>
            <w:gridSpan w:val="2"/>
          </w:tcPr>
          <w:p w:rsidR="0007290A" w:rsidRPr="0007290A" w:rsidRDefault="0007290A" w:rsidP="0007290A">
            <w:pPr>
              <w:ind w:firstLine="720"/>
              <w:jc w:val="both"/>
              <w:rPr>
                <w:sz w:val="20"/>
              </w:rPr>
            </w:pPr>
            <w:r w:rsidRPr="0007290A">
              <w:rPr>
                <w:sz w:val="20"/>
              </w:rPr>
              <w:t>The application for leave to appeal from the judgment of the Court of Appeal of Alberta (Edmonton), Number 1203-0254-AC, 2013 ABCA 443, dated December 20, 2013, is dismissed with costs.</w:t>
            </w:r>
          </w:p>
          <w:p w:rsidR="0007290A" w:rsidRPr="0007290A" w:rsidRDefault="0007290A" w:rsidP="0007290A">
            <w:pPr>
              <w:jc w:val="both"/>
              <w:rPr>
                <w:sz w:val="20"/>
              </w:rPr>
            </w:pPr>
          </w:p>
          <w:p w:rsidR="0007290A" w:rsidRPr="0007290A" w:rsidRDefault="0007290A" w:rsidP="0007290A">
            <w:pPr>
              <w:ind w:firstLine="720"/>
              <w:jc w:val="both"/>
              <w:rPr>
                <w:sz w:val="20"/>
                <w:lang w:val="fr-CA"/>
              </w:rPr>
            </w:pPr>
            <w:r w:rsidRPr="0007290A">
              <w:rPr>
                <w:sz w:val="20"/>
                <w:lang w:val="fr-CA"/>
              </w:rPr>
              <w:t>La demande d’autorisation d’appel de l’arrêt de la Cour d'appel de l’Alberta (Edmonton), numéro 1203-0254-AC, 2013 ABCA 443, daté du 20 décembre 2013, est rejetée avec dépens.</w:t>
            </w:r>
          </w:p>
        </w:tc>
      </w:tr>
    </w:tbl>
    <w:p w:rsidR="0096146C" w:rsidRPr="0007290A"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D21141" w:rsidTr="0083184B">
        <w:tc>
          <w:tcPr>
            <w:tcW w:w="5000" w:type="pct"/>
            <w:gridSpan w:val="3"/>
          </w:tcPr>
          <w:p w:rsidR="003F64A6" w:rsidRPr="00D21141" w:rsidRDefault="003F64A6" w:rsidP="0083184B">
            <w:pPr>
              <w:jc w:val="both"/>
              <w:rPr>
                <w:rFonts w:eastAsia="Calibri"/>
                <w:sz w:val="20"/>
              </w:rPr>
            </w:pPr>
            <w:r w:rsidRPr="00D21141">
              <w:rPr>
                <w:rFonts w:eastAsia="Calibri"/>
                <w:sz w:val="20"/>
              </w:rPr>
              <w:t>Aboriginal law — Crown — Duty to consult — What is Crown’s obligation to make disclosure to First Nations during consultation process — What procedural safeguards are required to meet principles of natural justice and Honour of Crown where Crown is project proponent, engaged in consultation, and ultimate decision maker — What steps must Crown take to inform itself of facts or evidence necessary for its decision making?</w:t>
            </w:r>
          </w:p>
        </w:tc>
      </w:tr>
      <w:tr w:rsidR="003F64A6" w:rsidRPr="00D21141" w:rsidTr="0083184B">
        <w:tc>
          <w:tcPr>
            <w:tcW w:w="5000" w:type="pct"/>
            <w:gridSpan w:val="3"/>
          </w:tcPr>
          <w:p w:rsidR="003F64A6" w:rsidRPr="00D21141" w:rsidRDefault="003F64A6" w:rsidP="0083184B">
            <w:pPr>
              <w:jc w:val="both"/>
              <w:rPr>
                <w:rFonts w:eastAsia="Calibri"/>
                <w:sz w:val="20"/>
              </w:rPr>
            </w:pPr>
          </w:p>
        </w:tc>
      </w:tr>
      <w:tr w:rsidR="003F64A6" w:rsidRPr="00D21141" w:rsidTr="0083184B">
        <w:tc>
          <w:tcPr>
            <w:tcW w:w="5000" w:type="pct"/>
            <w:gridSpan w:val="3"/>
          </w:tcPr>
          <w:p w:rsidR="003F64A6" w:rsidRDefault="003F64A6" w:rsidP="0083184B">
            <w:pPr>
              <w:jc w:val="both"/>
              <w:rPr>
                <w:rFonts w:eastAsia="Calibri"/>
                <w:color w:val="000000"/>
                <w:sz w:val="20"/>
              </w:rPr>
            </w:pPr>
            <w:r w:rsidRPr="00D21141">
              <w:rPr>
                <w:rFonts w:eastAsia="Calibri"/>
                <w:sz w:val="20"/>
              </w:rPr>
              <w:t xml:space="preserve">The issue in this case is whether the Alberta government fulfilled its duty to consult the Cold Lake First Nations when Tourism, Parks and Recreation proceeded with a campground redevelopment and expansion at the English Bay Provincial Recreation Area.  The </w:t>
            </w:r>
            <w:r w:rsidRPr="00D21141">
              <w:rPr>
                <w:rFonts w:eastAsia="Calibri"/>
                <w:color w:val="000000"/>
                <w:sz w:val="20"/>
              </w:rPr>
              <w:t xml:space="preserve">Cold Lake First Nations sought judicial review of the decision to end the consultation and the decision to commence construction.  The originating notice sought a declaration that the Minister had breached her duty to consult with Cold Lake First Nations and an order quashing the decision to proceed with construction. </w:t>
            </w:r>
          </w:p>
          <w:p w:rsidR="003F64A6" w:rsidRPr="00D21141" w:rsidRDefault="003F64A6" w:rsidP="0083184B">
            <w:pPr>
              <w:jc w:val="both"/>
              <w:rPr>
                <w:rFonts w:eastAsia="Calibri"/>
                <w:sz w:val="20"/>
              </w:rPr>
            </w:pPr>
          </w:p>
          <w:p w:rsidR="003F64A6" w:rsidRPr="00D21141" w:rsidRDefault="003F64A6" w:rsidP="0083184B">
            <w:pPr>
              <w:jc w:val="both"/>
              <w:rPr>
                <w:sz w:val="20"/>
              </w:rPr>
            </w:pPr>
            <w:r w:rsidRPr="00D21141">
              <w:rPr>
                <w:color w:val="000000"/>
                <w:sz w:val="20"/>
              </w:rPr>
              <w:t xml:space="preserve">The reviewing judge set aside the decision to proceed with construction and ordered that the consultation process continue.  The majority of the Court of Appeal allowed the appeal and the decision to proceed with the development restored.  The dissenting opinion at the Court of Appeal </w:t>
            </w:r>
            <w:r w:rsidRPr="00D21141">
              <w:rPr>
                <w:sz w:val="20"/>
              </w:rPr>
              <w:t xml:space="preserve">would have dismissed the Crown appeal, found the reviewing judge’s decision reasonable and accorded it deference.  </w:t>
            </w:r>
          </w:p>
          <w:p w:rsidR="003F64A6" w:rsidRPr="00D21141" w:rsidRDefault="003F64A6" w:rsidP="0083184B">
            <w:pPr>
              <w:jc w:val="both"/>
              <w:rPr>
                <w:rFonts w:eastAsia="Calibri"/>
                <w:sz w:val="20"/>
              </w:rPr>
            </w:pPr>
          </w:p>
        </w:tc>
      </w:tr>
      <w:tr w:rsidR="003F64A6" w:rsidRPr="00D21141" w:rsidTr="0083184B">
        <w:tc>
          <w:tcPr>
            <w:tcW w:w="2427" w:type="pct"/>
          </w:tcPr>
          <w:p w:rsidR="003F64A6" w:rsidRPr="00D21141" w:rsidRDefault="003F64A6" w:rsidP="0083184B">
            <w:pPr>
              <w:jc w:val="both"/>
              <w:rPr>
                <w:rFonts w:eastAsia="Calibri"/>
                <w:sz w:val="20"/>
              </w:rPr>
            </w:pPr>
            <w:r w:rsidRPr="00D21141">
              <w:rPr>
                <w:rFonts w:eastAsia="Calibri"/>
                <w:sz w:val="20"/>
              </w:rPr>
              <w:t>September 24, 2012</w:t>
            </w:r>
          </w:p>
          <w:p w:rsidR="003F64A6" w:rsidRPr="00D21141" w:rsidRDefault="003F64A6" w:rsidP="0083184B">
            <w:pPr>
              <w:jc w:val="both"/>
              <w:rPr>
                <w:rFonts w:eastAsia="Calibri"/>
                <w:sz w:val="20"/>
              </w:rPr>
            </w:pPr>
            <w:r w:rsidRPr="00D21141">
              <w:rPr>
                <w:rFonts w:eastAsia="Calibri"/>
                <w:sz w:val="20"/>
              </w:rPr>
              <w:t>Court of Queen’s Bench of Alberta</w:t>
            </w:r>
          </w:p>
          <w:p w:rsidR="003F64A6" w:rsidRPr="00D21141" w:rsidRDefault="003F64A6" w:rsidP="0083184B">
            <w:pPr>
              <w:jc w:val="both"/>
              <w:rPr>
                <w:rFonts w:eastAsia="Calibri"/>
                <w:sz w:val="20"/>
              </w:rPr>
            </w:pPr>
            <w:r w:rsidRPr="00D21141">
              <w:rPr>
                <w:rFonts w:eastAsia="Calibri"/>
                <w:sz w:val="20"/>
              </w:rPr>
              <w:t>(Browne J.)</w:t>
            </w:r>
          </w:p>
          <w:p w:rsidR="003F64A6" w:rsidRPr="00D21141" w:rsidRDefault="00F27688" w:rsidP="0083184B">
            <w:pPr>
              <w:jc w:val="both"/>
              <w:rPr>
                <w:rFonts w:eastAsia="Calibri"/>
                <w:sz w:val="20"/>
              </w:rPr>
            </w:pPr>
            <w:hyperlink r:id="rId34" w:history="1">
              <w:r w:rsidR="003F64A6" w:rsidRPr="007A481A">
                <w:rPr>
                  <w:rFonts w:eastAsia="Calibri"/>
                  <w:color w:val="004B91"/>
                  <w:sz w:val="20"/>
                </w:rPr>
                <w:t>2012 ABQB 579</w:t>
              </w:r>
            </w:hyperlink>
          </w:p>
          <w:p w:rsidR="003F64A6" w:rsidRPr="00D21141" w:rsidRDefault="003F64A6" w:rsidP="0083184B">
            <w:pPr>
              <w:jc w:val="both"/>
              <w:rPr>
                <w:rFonts w:eastAsia="Calibri"/>
                <w:sz w:val="20"/>
              </w:rPr>
            </w:pP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Director of Parks decision to terminate discussions and proceed with construction of recreation Area set aside; process of consultation to continue.</w:t>
            </w:r>
          </w:p>
          <w:p w:rsidR="003F64A6" w:rsidRPr="00D21141" w:rsidRDefault="003F64A6" w:rsidP="0083184B">
            <w:pPr>
              <w:jc w:val="both"/>
              <w:rPr>
                <w:rFonts w:eastAsia="Calibri"/>
                <w:sz w:val="20"/>
              </w:rPr>
            </w:pPr>
          </w:p>
        </w:tc>
      </w:tr>
      <w:tr w:rsidR="003F64A6" w:rsidRPr="00D21141" w:rsidTr="0007290A">
        <w:trPr>
          <w:cantSplit/>
        </w:trPr>
        <w:tc>
          <w:tcPr>
            <w:tcW w:w="2427" w:type="pct"/>
          </w:tcPr>
          <w:p w:rsidR="003F64A6" w:rsidRPr="00D21141" w:rsidRDefault="003F64A6" w:rsidP="0083184B">
            <w:pPr>
              <w:jc w:val="both"/>
              <w:rPr>
                <w:rFonts w:eastAsia="Calibri"/>
                <w:sz w:val="20"/>
              </w:rPr>
            </w:pPr>
            <w:r w:rsidRPr="00D21141">
              <w:rPr>
                <w:rFonts w:eastAsia="Calibri"/>
                <w:sz w:val="20"/>
              </w:rPr>
              <w:lastRenderedPageBreak/>
              <w:t>December 20, 2013</w:t>
            </w:r>
          </w:p>
          <w:p w:rsidR="003F64A6" w:rsidRPr="00D21141" w:rsidRDefault="003F64A6" w:rsidP="0083184B">
            <w:pPr>
              <w:jc w:val="both"/>
              <w:rPr>
                <w:rFonts w:eastAsia="Calibri"/>
                <w:sz w:val="20"/>
              </w:rPr>
            </w:pPr>
            <w:r w:rsidRPr="00D21141">
              <w:rPr>
                <w:rFonts w:eastAsia="Calibri"/>
                <w:sz w:val="20"/>
              </w:rPr>
              <w:t>Court of Appeal of Alberta (Edmonton)</w:t>
            </w:r>
          </w:p>
          <w:p w:rsidR="003F64A6" w:rsidRPr="00D21141" w:rsidRDefault="003F64A6" w:rsidP="0083184B">
            <w:pPr>
              <w:jc w:val="both"/>
              <w:rPr>
                <w:rFonts w:eastAsia="Calibri"/>
                <w:sz w:val="20"/>
              </w:rPr>
            </w:pPr>
            <w:r w:rsidRPr="00D21141">
              <w:rPr>
                <w:rFonts w:eastAsia="Calibri"/>
                <w:sz w:val="20"/>
              </w:rPr>
              <w:t xml:space="preserve">(Côté and Rowbotham JJ.A. and O’Ferrall </w:t>
            </w:r>
          </w:p>
          <w:p w:rsidR="003F64A6" w:rsidRPr="00D21141" w:rsidRDefault="003F64A6" w:rsidP="0083184B">
            <w:pPr>
              <w:jc w:val="both"/>
              <w:rPr>
                <w:rFonts w:eastAsia="Calibri"/>
                <w:sz w:val="20"/>
              </w:rPr>
            </w:pPr>
            <w:r w:rsidRPr="00D21141">
              <w:rPr>
                <w:rFonts w:eastAsia="Calibri"/>
                <w:sz w:val="20"/>
              </w:rPr>
              <w:t>J.A. (dissenting))</w:t>
            </w:r>
          </w:p>
          <w:p w:rsidR="003F64A6" w:rsidRPr="00D21141" w:rsidRDefault="00F27688" w:rsidP="0083184B">
            <w:pPr>
              <w:jc w:val="both"/>
              <w:rPr>
                <w:rFonts w:eastAsia="Calibri"/>
                <w:sz w:val="20"/>
              </w:rPr>
            </w:pPr>
            <w:hyperlink r:id="rId35" w:history="1">
              <w:r w:rsidR="003F64A6" w:rsidRPr="007A481A">
                <w:rPr>
                  <w:rFonts w:eastAsia="Calibri"/>
                  <w:color w:val="004B91"/>
                  <w:sz w:val="20"/>
                </w:rPr>
                <w:t>2013 ABCA 443</w:t>
              </w:r>
            </w:hyperlink>
          </w:p>
          <w:p w:rsidR="003F64A6" w:rsidRPr="00D21141" w:rsidRDefault="003F64A6" w:rsidP="0083184B">
            <w:pPr>
              <w:jc w:val="both"/>
              <w:rPr>
                <w:rFonts w:eastAsia="Calibri"/>
                <w:sz w:val="20"/>
              </w:rPr>
            </w:pPr>
            <w:r w:rsidRPr="00D21141">
              <w:rPr>
                <w:rFonts w:eastAsia="Calibri"/>
                <w:sz w:val="20"/>
              </w:rPr>
              <w:t>File No.: 1203</w:t>
            </w:r>
            <w:r w:rsidRPr="00D21141">
              <w:rPr>
                <w:rFonts w:eastAsia="Calibri"/>
                <w:sz w:val="20"/>
              </w:rPr>
              <w:noBreakHyphen/>
              <w:t>0254</w:t>
            </w:r>
            <w:r w:rsidRPr="00D21141">
              <w:rPr>
                <w:rFonts w:eastAsia="Calibri"/>
                <w:sz w:val="20"/>
              </w:rPr>
              <w:noBreakHyphen/>
              <w:t>AC</w:t>
            </w:r>
          </w:p>
          <w:p w:rsidR="003F64A6" w:rsidRPr="00D21141" w:rsidRDefault="003F64A6" w:rsidP="0083184B">
            <w:pPr>
              <w:jc w:val="both"/>
              <w:rPr>
                <w:rFonts w:eastAsia="Calibri"/>
                <w:sz w:val="20"/>
              </w:rPr>
            </w:pP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 xml:space="preserve">Appeal allowed; Director of Parks decision to proceed with development restored. </w:t>
            </w:r>
          </w:p>
          <w:p w:rsidR="003F64A6" w:rsidRPr="00D21141" w:rsidRDefault="003F64A6" w:rsidP="0083184B">
            <w:pPr>
              <w:jc w:val="both"/>
              <w:rPr>
                <w:rFonts w:eastAsia="Calibri"/>
                <w:sz w:val="20"/>
              </w:rPr>
            </w:pPr>
          </w:p>
        </w:tc>
      </w:tr>
      <w:tr w:rsidR="003F64A6" w:rsidRPr="00D21141" w:rsidTr="0007290A">
        <w:trPr>
          <w:cantSplit/>
        </w:trPr>
        <w:tc>
          <w:tcPr>
            <w:tcW w:w="2427" w:type="pct"/>
          </w:tcPr>
          <w:p w:rsidR="003F64A6" w:rsidRPr="00D21141" w:rsidRDefault="003F64A6" w:rsidP="0083184B">
            <w:pPr>
              <w:jc w:val="both"/>
              <w:rPr>
                <w:rFonts w:eastAsia="Calibri"/>
                <w:sz w:val="20"/>
              </w:rPr>
            </w:pPr>
            <w:r w:rsidRPr="00D21141">
              <w:rPr>
                <w:rFonts w:eastAsia="Calibri"/>
                <w:sz w:val="20"/>
              </w:rPr>
              <w:t>February 18, 2014</w:t>
            </w:r>
          </w:p>
          <w:p w:rsidR="003F64A6" w:rsidRPr="00D21141" w:rsidRDefault="003F64A6" w:rsidP="0083184B">
            <w:pPr>
              <w:jc w:val="both"/>
              <w:rPr>
                <w:rFonts w:eastAsia="Calibri"/>
                <w:sz w:val="20"/>
              </w:rPr>
            </w:pPr>
            <w:r w:rsidRPr="00D21141">
              <w:rPr>
                <w:rFonts w:eastAsia="Calibri"/>
                <w:sz w:val="20"/>
              </w:rPr>
              <w:t>Supreme Court of Canada</w:t>
            </w:r>
          </w:p>
        </w:tc>
        <w:tc>
          <w:tcPr>
            <w:tcW w:w="243" w:type="pct"/>
          </w:tcPr>
          <w:p w:rsidR="003F64A6" w:rsidRPr="00D21141" w:rsidRDefault="003F64A6" w:rsidP="0083184B">
            <w:pPr>
              <w:jc w:val="both"/>
              <w:rPr>
                <w:rFonts w:eastAsia="Calibri"/>
                <w:sz w:val="20"/>
              </w:rPr>
            </w:pPr>
          </w:p>
        </w:tc>
        <w:tc>
          <w:tcPr>
            <w:tcW w:w="2330" w:type="pct"/>
          </w:tcPr>
          <w:p w:rsidR="003F64A6" w:rsidRPr="00D21141" w:rsidRDefault="003F64A6" w:rsidP="0083184B">
            <w:pPr>
              <w:jc w:val="both"/>
              <w:rPr>
                <w:rFonts w:eastAsia="Calibri"/>
                <w:sz w:val="20"/>
              </w:rPr>
            </w:pPr>
            <w:r w:rsidRPr="00D21141">
              <w:rPr>
                <w:rFonts w:eastAsia="Calibri"/>
                <w:sz w:val="20"/>
              </w:rPr>
              <w:t>Application for leave to appeal filed.</w:t>
            </w:r>
          </w:p>
          <w:p w:rsidR="003F64A6" w:rsidRPr="00D21141" w:rsidRDefault="003F64A6" w:rsidP="0083184B">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57"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F27688" w:rsidTr="0083184B">
        <w:tc>
          <w:tcPr>
            <w:tcW w:w="5000" w:type="pct"/>
            <w:gridSpan w:val="3"/>
          </w:tcPr>
          <w:p w:rsidR="003F64A6" w:rsidRPr="00D21141" w:rsidRDefault="003F64A6" w:rsidP="0083184B">
            <w:pPr>
              <w:jc w:val="both"/>
              <w:rPr>
                <w:rFonts w:eastAsia="Calibri"/>
                <w:sz w:val="20"/>
                <w:lang w:val="fr-CA"/>
              </w:rPr>
            </w:pPr>
            <w:r w:rsidRPr="00D21141">
              <w:rPr>
                <w:rFonts w:eastAsia="Calibri"/>
                <w:sz w:val="20"/>
                <w:lang w:val="fr-CA"/>
              </w:rPr>
              <w:t xml:space="preserve">Droit des Autochtones — Couronne </w:t>
            </w:r>
            <w:r w:rsidRPr="00D21141">
              <w:rPr>
                <w:rFonts w:eastAsia="Calibri"/>
                <w:sz w:val="20"/>
                <w:lang w:val="fr-CA"/>
              </w:rPr>
              <w:noBreakHyphen/>
              <w:t xml:space="preserve"> Obligation de consulter </w:t>
            </w:r>
            <w:r w:rsidRPr="00D21141">
              <w:rPr>
                <w:rFonts w:eastAsia="Calibri"/>
                <w:sz w:val="20"/>
                <w:lang w:val="fr-CA"/>
              </w:rPr>
              <w:noBreakHyphen/>
              <w:t xml:space="preserve"> Quelle est l’obligation de la Couronne de communiquer avec les Premières Nations pendant le processus de consultation? —Quelles garanties procédurales sont nécessaires pour respecter les principes de justice naturelle et de l’honneur de la Couronne lorsque la Couronne est le promoteur du projet, lorsqu’elle est engagée dans des consultations et lorsqu’elle est le décideur ultime? </w:t>
            </w:r>
            <w:r w:rsidRPr="00D21141">
              <w:rPr>
                <w:rFonts w:eastAsia="Calibri"/>
                <w:sz w:val="20"/>
                <w:lang w:val="fr-CA"/>
              </w:rPr>
              <w:noBreakHyphen/>
              <w:t xml:space="preserve"> Quelles mesures la Couronne doit</w:t>
            </w:r>
            <w:r w:rsidRPr="00D21141">
              <w:rPr>
                <w:rFonts w:eastAsia="Calibri"/>
                <w:sz w:val="20"/>
                <w:lang w:val="fr-CA"/>
              </w:rPr>
              <w:noBreakHyphen/>
              <w:t>elle prendre pour s’informer des faits ou des éléments de preuve nécessaires à sa prise de décision?</w:t>
            </w:r>
          </w:p>
        </w:tc>
      </w:tr>
      <w:tr w:rsidR="003F64A6" w:rsidRPr="00F27688" w:rsidTr="0083184B">
        <w:tc>
          <w:tcPr>
            <w:tcW w:w="5000" w:type="pct"/>
            <w:gridSpan w:val="3"/>
          </w:tcPr>
          <w:p w:rsidR="003F64A6" w:rsidRPr="00D21141" w:rsidRDefault="003F64A6" w:rsidP="0083184B">
            <w:pPr>
              <w:jc w:val="both"/>
              <w:rPr>
                <w:rFonts w:eastAsia="Calibri"/>
                <w:sz w:val="20"/>
                <w:lang w:val="fr-CA"/>
              </w:rPr>
            </w:pPr>
          </w:p>
        </w:tc>
      </w:tr>
      <w:tr w:rsidR="003F64A6" w:rsidRPr="00F27688" w:rsidTr="0083184B">
        <w:tc>
          <w:tcPr>
            <w:tcW w:w="5000" w:type="pct"/>
            <w:gridSpan w:val="3"/>
          </w:tcPr>
          <w:p w:rsidR="003F64A6" w:rsidRDefault="003F64A6" w:rsidP="0083184B">
            <w:pPr>
              <w:jc w:val="both"/>
              <w:rPr>
                <w:rFonts w:eastAsia="Calibri"/>
                <w:color w:val="000000"/>
                <w:sz w:val="20"/>
                <w:lang w:val="fr-CA"/>
              </w:rPr>
            </w:pPr>
            <w:r w:rsidRPr="00D21141">
              <w:rPr>
                <w:rFonts w:eastAsia="Calibri"/>
                <w:sz w:val="20"/>
                <w:lang w:val="fr-CA"/>
              </w:rPr>
              <w:t xml:space="preserve">Il faut décider en l’espèce si le gouvernement de l’Alberta s’est acquitté de son obligation de consulter les Premières Nations de Cold Lake lorsque le ministère du Tourisme, des Parcs et des Loisirs a entrepris le réaménagement et l’agrandissement d’un terrain de camping situé dans l’aire de loisirs provinciale de la baie English.  Les Premières Nations de </w:t>
            </w:r>
            <w:r w:rsidRPr="00D21141">
              <w:rPr>
                <w:rFonts w:eastAsia="Calibri"/>
                <w:color w:val="000000"/>
                <w:sz w:val="20"/>
                <w:lang w:val="fr-CA"/>
              </w:rPr>
              <w:t xml:space="preserve">Cold Lake ont demandé le contrôle judiciaire de la décision de mettre fin à la consultation et la décision d’entreprendre la construction.  Dans leur avis introductif d’instance, elles ont demandé un jugement déclarant que la ministre avait violé son obligation de consulter les Premières Nations de Cold Lake et une ordonnance annulant la décision d’entreprendre les travaux de construction. </w:t>
            </w:r>
          </w:p>
          <w:p w:rsidR="003F64A6" w:rsidRPr="00D21141" w:rsidRDefault="003F64A6" w:rsidP="0083184B">
            <w:pPr>
              <w:jc w:val="both"/>
              <w:rPr>
                <w:rFonts w:eastAsia="Calibri"/>
                <w:sz w:val="20"/>
                <w:lang w:val="fr-CA"/>
              </w:rPr>
            </w:pPr>
          </w:p>
          <w:p w:rsidR="003F64A6" w:rsidRPr="00D21141" w:rsidRDefault="003F64A6" w:rsidP="0083184B">
            <w:pPr>
              <w:jc w:val="both"/>
              <w:rPr>
                <w:sz w:val="20"/>
                <w:lang w:val="fr-CA"/>
              </w:rPr>
            </w:pPr>
            <w:r w:rsidRPr="00D21141">
              <w:rPr>
                <w:color w:val="000000"/>
                <w:sz w:val="20"/>
                <w:lang w:val="fr-CA"/>
              </w:rPr>
              <w:t>La juge saisie de la demande de contrôle judiciaire a annulé la décision d’entreprendre la construction et a ordonné la poursuite du processus de consultation.  Les juges majoritaires de la Cour d’appel ont accueilli l’appel et la décision d’entreprendre l’aménagement a été rétablie. Le juge dissident de la Cour d’appel aurait rejeté l’appel de la Couronne, concluant que la décision de la juge de première instance était raisonnable et qu’il fallait faire preuve de déférence à son égard</w:t>
            </w:r>
            <w:r w:rsidRPr="00D21141">
              <w:rPr>
                <w:sz w:val="20"/>
                <w:lang w:val="fr-CA"/>
              </w:rPr>
              <w:t xml:space="preserve">.  </w:t>
            </w:r>
          </w:p>
          <w:p w:rsidR="003F64A6" w:rsidRPr="00D21141" w:rsidRDefault="003F64A6" w:rsidP="0083184B">
            <w:pPr>
              <w:jc w:val="both"/>
              <w:rPr>
                <w:rFonts w:eastAsia="Calibri"/>
                <w:sz w:val="20"/>
                <w:lang w:val="fr-CA"/>
              </w:rPr>
            </w:pPr>
          </w:p>
        </w:tc>
      </w:tr>
      <w:tr w:rsidR="003F64A6" w:rsidRPr="00F27688" w:rsidTr="0083184B">
        <w:tc>
          <w:tcPr>
            <w:tcW w:w="2427" w:type="pct"/>
          </w:tcPr>
          <w:p w:rsidR="003F64A6" w:rsidRPr="00D21141" w:rsidRDefault="003F64A6" w:rsidP="0083184B">
            <w:pPr>
              <w:jc w:val="both"/>
              <w:rPr>
                <w:rFonts w:eastAsia="Calibri"/>
                <w:sz w:val="20"/>
                <w:lang w:val="fr-CA"/>
              </w:rPr>
            </w:pPr>
            <w:r w:rsidRPr="00D21141">
              <w:rPr>
                <w:rFonts w:eastAsia="Calibri"/>
                <w:sz w:val="20"/>
                <w:lang w:val="fr-CA"/>
              </w:rPr>
              <w:t>24 septembre 2012</w:t>
            </w:r>
          </w:p>
          <w:p w:rsidR="003F64A6" w:rsidRPr="00D21141" w:rsidRDefault="003F64A6" w:rsidP="0083184B">
            <w:pPr>
              <w:jc w:val="both"/>
              <w:rPr>
                <w:rFonts w:eastAsia="Calibri"/>
                <w:sz w:val="20"/>
                <w:lang w:val="fr-CA"/>
              </w:rPr>
            </w:pPr>
            <w:r w:rsidRPr="00D21141">
              <w:rPr>
                <w:rFonts w:eastAsia="Calibri"/>
                <w:sz w:val="20"/>
                <w:lang w:val="fr-CA"/>
              </w:rPr>
              <w:t>Cour du Banc de la Reine de l’Alberta</w:t>
            </w:r>
          </w:p>
          <w:p w:rsidR="003F64A6" w:rsidRPr="00D21141" w:rsidRDefault="003F64A6" w:rsidP="0083184B">
            <w:pPr>
              <w:jc w:val="both"/>
              <w:rPr>
                <w:rFonts w:eastAsia="Calibri"/>
                <w:sz w:val="20"/>
                <w:lang w:val="fr-CA"/>
              </w:rPr>
            </w:pPr>
            <w:r w:rsidRPr="00D21141">
              <w:rPr>
                <w:rFonts w:eastAsia="Calibri"/>
                <w:sz w:val="20"/>
                <w:lang w:val="fr-CA"/>
              </w:rPr>
              <w:t>(Juge Browne)</w:t>
            </w:r>
          </w:p>
          <w:p w:rsidR="003F64A6" w:rsidRPr="00D21141" w:rsidRDefault="00F27688" w:rsidP="0083184B">
            <w:pPr>
              <w:jc w:val="both"/>
              <w:rPr>
                <w:rFonts w:eastAsia="Calibri"/>
                <w:sz w:val="20"/>
                <w:lang w:val="fr-CA"/>
              </w:rPr>
            </w:pPr>
            <w:hyperlink r:id="rId36" w:history="1">
              <w:r w:rsidR="003F64A6" w:rsidRPr="007A481A">
                <w:rPr>
                  <w:rFonts w:eastAsia="Calibri"/>
                  <w:color w:val="004B91"/>
                  <w:sz w:val="20"/>
                  <w:lang w:val="fr-CA"/>
                </w:rPr>
                <w:t>2012 ABQB 579</w:t>
              </w:r>
            </w:hyperlink>
          </w:p>
          <w:p w:rsidR="003F64A6" w:rsidRPr="00D21141" w:rsidRDefault="003F64A6" w:rsidP="0083184B">
            <w:pPr>
              <w:jc w:val="both"/>
              <w:rPr>
                <w:rFonts w:eastAsia="Calibri"/>
                <w:sz w:val="20"/>
                <w:lang w:val="fr-CA"/>
              </w:rPr>
            </w:pP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Décision du directeur des Parcs de mettre fin aux discussions et d’entreprendre la construction de l’aire de loisirs, annulée; le processus de consultation doit continuer.</w:t>
            </w:r>
          </w:p>
          <w:p w:rsidR="003F64A6" w:rsidRPr="00D21141" w:rsidRDefault="003F64A6" w:rsidP="0083184B">
            <w:pPr>
              <w:jc w:val="both"/>
              <w:rPr>
                <w:rFonts w:eastAsia="Calibri"/>
                <w:sz w:val="20"/>
                <w:lang w:val="fr-CA"/>
              </w:rPr>
            </w:pPr>
          </w:p>
        </w:tc>
      </w:tr>
      <w:tr w:rsidR="003F64A6" w:rsidRPr="00F27688" w:rsidTr="0083184B">
        <w:tc>
          <w:tcPr>
            <w:tcW w:w="2427" w:type="pct"/>
          </w:tcPr>
          <w:p w:rsidR="003F64A6" w:rsidRPr="00D21141" w:rsidRDefault="003F64A6" w:rsidP="0083184B">
            <w:pPr>
              <w:jc w:val="both"/>
              <w:rPr>
                <w:rFonts w:eastAsia="Calibri"/>
                <w:sz w:val="20"/>
                <w:lang w:val="fr-CA"/>
              </w:rPr>
            </w:pPr>
            <w:r w:rsidRPr="00D21141">
              <w:rPr>
                <w:rFonts w:eastAsia="Calibri"/>
                <w:sz w:val="20"/>
                <w:lang w:val="fr-CA"/>
              </w:rPr>
              <w:t>20 décembre 2013</w:t>
            </w:r>
          </w:p>
          <w:p w:rsidR="003F64A6" w:rsidRPr="00D21141" w:rsidRDefault="003F64A6" w:rsidP="0083184B">
            <w:pPr>
              <w:jc w:val="both"/>
              <w:rPr>
                <w:rFonts w:eastAsia="Calibri"/>
                <w:sz w:val="20"/>
                <w:lang w:val="fr-CA"/>
              </w:rPr>
            </w:pPr>
            <w:r w:rsidRPr="00D21141">
              <w:rPr>
                <w:rFonts w:eastAsia="Calibri"/>
                <w:sz w:val="20"/>
                <w:lang w:val="fr-CA"/>
              </w:rPr>
              <w:t>Cour d’appel de l’Alberta (Edmonton)</w:t>
            </w:r>
          </w:p>
          <w:p w:rsidR="003F64A6" w:rsidRPr="00D21141" w:rsidRDefault="003F64A6" w:rsidP="0083184B">
            <w:pPr>
              <w:jc w:val="both"/>
              <w:rPr>
                <w:rFonts w:eastAsia="Calibri"/>
                <w:sz w:val="20"/>
                <w:lang w:val="fr-CA"/>
              </w:rPr>
            </w:pPr>
            <w:r w:rsidRPr="00D21141">
              <w:rPr>
                <w:rFonts w:eastAsia="Calibri"/>
                <w:sz w:val="20"/>
                <w:lang w:val="fr-CA"/>
              </w:rPr>
              <w:t xml:space="preserve">(Juges Côté, Rowbotham et O’Ferrall </w:t>
            </w:r>
          </w:p>
          <w:p w:rsidR="003F64A6" w:rsidRPr="00D21141" w:rsidRDefault="003F64A6" w:rsidP="0083184B">
            <w:pPr>
              <w:jc w:val="both"/>
              <w:rPr>
                <w:rFonts w:eastAsia="Calibri"/>
                <w:sz w:val="20"/>
                <w:lang w:val="fr-CA"/>
              </w:rPr>
            </w:pPr>
            <w:r w:rsidRPr="00D21141">
              <w:rPr>
                <w:rFonts w:eastAsia="Calibri"/>
                <w:sz w:val="20"/>
                <w:lang w:val="fr-CA"/>
              </w:rPr>
              <w:t>(dissident))</w:t>
            </w:r>
          </w:p>
          <w:p w:rsidR="003F64A6" w:rsidRPr="00D21141" w:rsidRDefault="00F27688" w:rsidP="0083184B">
            <w:pPr>
              <w:jc w:val="both"/>
              <w:rPr>
                <w:rFonts w:eastAsia="Calibri"/>
                <w:sz w:val="20"/>
                <w:lang w:val="fr-CA"/>
              </w:rPr>
            </w:pPr>
            <w:hyperlink r:id="rId37" w:history="1">
              <w:r w:rsidR="003F64A6" w:rsidRPr="007A481A">
                <w:rPr>
                  <w:rFonts w:eastAsia="Calibri"/>
                  <w:color w:val="004B91"/>
                  <w:sz w:val="20"/>
                  <w:lang w:val="fr-CA"/>
                </w:rPr>
                <w:t>2013 ABCA 443</w:t>
              </w:r>
            </w:hyperlink>
          </w:p>
          <w:p w:rsidR="003F64A6" w:rsidRPr="00D21141" w:rsidRDefault="003F64A6" w:rsidP="0083184B">
            <w:pPr>
              <w:jc w:val="both"/>
              <w:rPr>
                <w:rFonts w:eastAsia="Calibri"/>
                <w:sz w:val="20"/>
                <w:lang w:val="fr-CA"/>
              </w:rPr>
            </w:pPr>
            <w:r w:rsidRPr="00D21141">
              <w:rPr>
                <w:rFonts w:eastAsia="Calibri"/>
                <w:sz w:val="20"/>
                <w:lang w:val="fr-CA"/>
              </w:rPr>
              <w:t>N</w:t>
            </w:r>
            <w:r w:rsidRPr="00D21141">
              <w:rPr>
                <w:rFonts w:eastAsia="Calibri"/>
                <w:sz w:val="20"/>
                <w:vertAlign w:val="superscript"/>
                <w:lang w:val="fr-CA"/>
              </w:rPr>
              <w:t>o</w:t>
            </w:r>
            <w:r w:rsidRPr="00D21141">
              <w:rPr>
                <w:rFonts w:eastAsia="Calibri"/>
                <w:sz w:val="20"/>
                <w:lang w:val="fr-CA"/>
              </w:rPr>
              <w:t xml:space="preserve"> du greffe : 1203</w:t>
            </w:r>
            <w:r w:rsidRPr="00D21141">
              <w:rPr>
                <w:rFonts w:eastAsia="Calibri"/>
                <w:sz w:val="20"/>
                <w:lang w:val="fr-CA"/>
              </w:rPr>
              <w:noBreakHyphen/>
              <w:t>0254</w:t>
            </w:r>
            <w:r w:rsidRPr="00D21141">
              <w:rPr>
                <w:rFonts w:eastAsia="Calibri"/>
                <w:sz w:val="20"/>
                <w:lang w:val="fr-CA"/>
              </w:rPr>
              <w:noBreakHyphen/>
              <w:t>AC</w:t>
            </w:r>
          </w:p>
          <w:p w:rsidR="003F64A6" w:rsidRPr="00D21141" w:rsidRDefault="003F64A6" w:rsidP="0083184B">
            <w:pPr>
              <w:jc w:val="both"/>
              <w:rPr>
                <w:rFonts w:eastAsia="Calibri"/>
                <w:sz w:val="20"/>
                <w:lang w:val="fr-CA"/>
              </w:rPr>
            </w:pP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 xml:space="preserve">Appel accueilli; décision du directeur des Parcs d’entreprendre l’aménagement, rétablie. </w:t>
            </w:r>
          </w:p>
          <w:p w:rsidR="003F64A6" w:rsidRPr="00D21141" w:rsidRDefault="003F64A6" w:rsidP="0083184B">
            <w:pPr>
              <w:jc w:val="both"/>
              <w:rPr>
                <w:rFonts w:eastAsia="Calibri"/>
                <w:sz w:val="20"/>
                <w:lang w:val="fr-CA"/>
              </w:rPr>
            </w:pPr>
          </w:p>
        </w:tc>
      </w:tr>
      <w:tr w:rsidR="003F64A6" w:rsidRPr="00D21141" w:rsidTr="0083184B">
        <w:tc>
          <w:tcPr>
            <w:tcW w:w="2427" w:type="pct"/>
          </w:tcPr>
          <w:p w:rsidR="003F64A6" w:rsidRPr="00D21141" w:rsidRDefault="003F64A6" w:rsidP="0083184B">
            <w:pPr>
              <w:jc w:val="both"/>
              <w:rPr>
                <w:rFonts w:eastAsia="Calibri"/>
                <w:sz w:val="20"/>
                <w:lang w:val="fr-CA"/>
              </w:rPr>
            </w:pPr>
            <w:r w:rsidRPr="00D21141">
              <w:rPr>
                <w:rFonts w:eastAsia="Calibri"/>
                <w:sz w:val="20"/>
                <w:lang w:val="fr-CA"/>
              </w:rPr>
              <w:t>18 février 2014</w:t>
            </w:r>
          </w:p>
          <w:p w:rsidR="003F64A6" w:rsidRPr="00D21141" w:rsidRDefault="003F64A6" w:rsidP="0083184B">
            <w:pPr>
              <w:jc w:val="both"/>
              <w:rPr>
                <w:rFonts w:eastAsia="Calibri"/>
                <w:sz w:val="20"/>
                <w:lang w:val="fr-CA"/>
              </w:rPr>
            </w:pPr>
            <w:r w:rsidRPr="00D21141">
              <w:rPr>
                <w:rFonts w:eastAsia="Calibri"/>
                <w:sz w:val="20"/>
                <w:lang w:val="fr-CA"/>
              </w:rPr>
              <w:t>Cour suprême du Canada</w:t>
            </w:r>
          </w:p>
        </w:tc>
        <w:tc>
          <w:tcPr>
            <w:tcW w:w="243" w:type="pct"/>
          </w:tcPr>
          <w:p w:rsidR="003F64A6" w:rsidRPr="00D21141" w:rsidRDefault="003F64A6" w:rsidP="0083184B">
            <w:pPr>
              <w:jc w:val="both"/>
              <w:rPr>
                <w:rFonts w:eastAsia="Calibri"/>
                <w:sz w:val="20"/>
                <w:lang w:val="fr-CA"/>
              </w:rPr>
            </w:pPr>
          </w:p>
        </w:tc>
        <w:tc>
          <w:tcPr>
            <w:tcW w:w="2330" w:type="pct"/>
          </w:tcPr>
          <w:p w:rsidR="003F64A6" w:rsidRPr="00D21141" w:rsidRDefault="003F64A6" w:rsidP="0083184B">
            <w:pPr>
              <w:jc w:val="both"/>
              <w:rPr>
                <w:rFonts w:eastAsia="Calibri"/>
                <w:sz w:val="20"/>
                <w:lang w:val="fr-CA"/>
              </w:rPr>
            </w:pPr>
            <w:r w:rsidRPr="00D21141">
              <w:rPr>
                <w:rFonts w:eastAsia="Calibri"/>
                <w:sz w:val="20"/>
                <w:lang w:val="fr-CA"/>
              </w:rPr>
              <w:t>Demande d’autorisation d’appel, déposée.</w:t>
            </w:r>
          </w:p>
          <w:p w:rsidR="003F64A6" w:rsidRPr="00D21141" w:rsidRDefault="003F64A6" w:rsidP="0083184B">
            <w:pPr>
              <w:jc w:val="both"/>
              <w:rPr>
                <w:rFonts w:eastAsia="Calibri"/>
                <w:sz w:val="20"/>
                <w:lang w:val="fr-CA"/>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58" style="width:2in;height:1pt" o:hrpct="0" o:hralign="center" o:hrstd="t" o:hrnoshade="t" o:hr="t" fillcolor="black [3213]" stroked="f"/>
        </w:pict>
      </w:r>
    </w:p>
    <w:p w:rsidR="0096146C" w:rsidRDefault="0096146C" w:rsidP="0096146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7290A" w:rsidRPr="0007290A" w:rsidTr="00162E9D">
        <w:trPr>
          <w:cantSplit/>
        </w:trPr>
        <w:tc>
          <w:tcPr>
            <w:tcW w:w="1458" w:type="dxa"/>
          </w:tcPr>
          <w:p w:rsidR="0007290A" w:rsidRPr="0007290A" w:rsidRDefault="0007290A" w:rsidP="0007290A">
            <w:pPr>
              <w:rPr>
                <w:sz w:val="20"/>
              </w:rPr>
            </w:pPr>
            <w:r w:rsidRPr="0007290A">
              <w:rPr>
                <w:b/>
                <w:sz w:val="20"/>
                <w:lang w:val="fr-CA"/>
              </w:rPr>
              <w:t>35735</w:t>
            </w:r>
          </w:p>
          <w:p w:rsidR="0007290A" w:rsidRPr="0007290A" w:rsidRDefault="0007290A" w:rsidP="0007290A">
            <w:pPr>
              <w:rPr>
                <w:b/>
                <w:sz w:val="20"/>
                <w:lang w:val="fr-CA"/>
              </w:rPr>
            </w:pPr>
          </w:p>
        </w:tc>
        <w:tc>
          <w:tcPr>
            <w:tcW w:w="8118" w:type="dxa"/>
          </w:tcPr>
          <w:p w:rsidR="0007290A" w:rsidRPr="0007290A" w:rsidRDefault="0007290A" w:rsidP="0007290A">
            <w:pPr>
              <w:jc w:val="both"/>
              <w:rPr>
                <w:sz w:val="20"/>
              </w:rPr>
            </w:pPr>
            <w:r w:rsidRPr="0007290A">
              <w:rPr>
                <w:b/>
                <w:sz w:val="20"/>
                <w:u w:val="single"/>
              </w:rPr>
              <w:t>James Symington v. Halifax Regional Municipality</w:t>
            </w:r>
            <w:r>
              <w:rPr>
                <w:b/>
                <w:sz w:val="20"/>
                <w:u w:val="single"/>
              </w:rPr>
              <w:t xml:space="preserve"> and</w:t>
            </w:r>
            <w:r w:rsidRPr="0007290A">
              <w:rPr>
                <w:b/>
                <w:sz w:val="20"/>
                <w:u w:val="single"/>
              </w:rPr>
              <w:t xml:space="preserve"> Halifax Regional Police Service</w:t>
            </w:r>
            <w:r w:rsidRPr="0007290A">
              <w:rPr>
                <w:sz w:val="20"/>
              </w:rPr>
              <w:t xml:space="preserve"> (N.S.) (Civil) (By Leave)</w:t>
            </w:r>
          </w:p>
          <w:p w:rsidR="0007290A" w:rsidRPr="0007290A" w:rsidRDefault="0007290A" w:rsidP="0007290A">
            <w:pPr>
              <w:jc w:val="both"/>
              <w:rPr>
                <w:sz w:val="20"/>
              </w:rPr>
            </w:pPr>
          </w:p>
        </w:tc>
      </w:tr>
      <w:tr w:rsidR="0007290A" w:rsidRPr="0007290A" w:rsidTr="00162E9D">
        <w:trPr>
          <w:cantSplit/>
        </w:trPr>
        <w:tc>
          <w:tcPr>
            <w:tcW w:w="1458" w:type="dxa"/>
          </w:tcPr>
          <w:p w:rsidR="0007290A" w:rsidRPr="0007290A" w:rsidRDefault="0007290A" w:rsidP="0007290A">
            <w:pPr>
              <w:rPr>
                <w:sz w:val="20"/>
              </w:rPr>
            </w:pPr>
            <w:r w:rsidRPr="0007290A">
              <w:rPr>
                <w:sz w:val="20"/>
              </w:rPr>
              <w:t>Coram :</w:t>
            </w:r>
          </w:p>
        </w:tc>
        <w:tc>
          <w:tcPr>
            <w:tcW w:w="8118" w:type="dxa"/>
          </w:tcPr>
          <w:p w:rsidR="0007290A" w:rsidRPr="0007290A" w:rsidRDefault="0007290A" w:rsidP="0007290A">
            <w:pPr>
              <w:rPr>
                <w:sz w:val="20"/>
              </w:rPr>
            </w:pPr>
            <w:r w:rsidRPr="0007290A">
              <w:rPr>
                <w:sz w:val="20"/>
                <w:u w:val="single"/>
              </w:rPr>
              <w:t>McLachlin C.J. and Cromwell and Wagner JJ.</w:t>
            </w:r>
          </w:p>
          <w:p w:rsidR="0007290A" w:rsidRPr="0007290A" w:rsidRDefault="0007290A" w:rsidP="0007290A">
            <w:pPr>
              <w:rPr>
                <w:sz w:val="20"/>
                <w:u w:val="single"/>
              </w:rPr>
            </w:pPr>
          </w:p>
        </w:tc>
      </w:tr>
      <w:tr w:rsidR="0007290A" w:rsidRPr="00F27688" w:rsidTr="00162E9D">
        <w:trPr>
          <w:cantSplit/>
        </w:trPr>
        <w:tc>
          <w:tcPr>
            <w:tcW w:w="9576" w:type="dxa"/>
            <w:gridSpan w:val="2"/>
          </w:tcPr>
          <w:p w:rsidR="0007290A" w:rsidRPr="0007290A" w:rsidRDefault="0007290A" w:rsidP="0007290A">
            <w:pPr>
              <w:ind w:firstLine="720"/>
              <w:jc w:val="both"/>
              <w:rPr>
                <w:sz w:val="20"/>
              </w:rPr>
            </w:pPr>
            <w:r w:rsidRPr="0007290A">
              <w:rPr>
                <w:sz w:val="20"/>
              </w:rPr>
              <w:t>The application for leave to appeal from the judgment of the Nova Scotia Court of Appeal, Number CA 374381, 2013 NSCA 152, dated December 20, 2013, is dismissed with costs.</w:t>
            </w:r>
          </w:p>
          <w:p w:rsidR="0007290A" w:rsidRPr="0007290A" w:rsidRDefault="0007290A" w:rsidP="0007290A">
            <w:pPr>
              <w:jc w:val="both"/>
              <w:rPr>
                <w:sz w:val="20"/>
              </w:rPr>
            </w:pPr>
          </w:p>
          <w:p w:rsidR="0007290A" w:rsidRPr="0007290A" w:rsidRDefault="0007290A" w:rsidP="0007290A">
            <w:pPr>
              <w:ind w:firstLine="720"/>
              <w:jc w:val="both"/>
              <w:rPr>
                <w:sz w:val="20"/>
                <w:lang w:val="fr-CA"/>
              </w:rPr>
            </w:pPr>
            <w:r w:rsidRPr="0007290A">
              <w:rPr>
                <w:sz w:val="20"/>
                <w:lang w:val="fr-CA"/>
              </w:rPr>
              <w:t>La demande d’autorisation d’appel de l’arrêt de la Cour d’appel de la Nouvelle-Écosse, numéro CA 374381, 2013 NSCA 152, daté du 20 décembre 2013, est rejetée avec dépens.</w:t>
            </w:r>
          </w:p>
        </w:tc>
      </w:tr>
    </w:tbl>
    <w:p w:rsidR="0096146C" w:rsidRPr="0007290A"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C770E0" w:rsidTr="0083184B">
        <w:tc>
          <w:tcPr>
            <w:tcW w:w="5000" w:type="pct"/>
            <w:gridSpan w:val="3"/>
          </w:tcPr>
          <w:p w:rsidR="003F64A6" w:rsidRPr="00C770E0" w:rsidRDefault="003F64A6" w:rsidP="0083184B">
            <w:pPr>
              <w:jc w:val="both"/>
              <w:rPr>
                <w:rFonts w:eastAsia="Calibri"/>
                <w:sz w:val="20"/>
              </w:rPr>
            </w:pPr>
            <w:r w:rsidRPr="00C770E0">
              <w:rPr>
                <w:rFonts w:eastAsia="Calibri"/>
                <w:sz w:val="20"/>
              </w:rPr>
              <w:t xml:space="preserve">Judgments and orders — Summary judgments — Respondents’ motion to strike applicant’s pleadings and for summary judgment granted — What is the test for obtaining summary judgment under the </w:t>
            </w:r>
            <w:r w:rsidRPr="00C770E0">
              <w:rPr>
                <w:rFonts w:eastAsia="Calibri"/>
                <w:i/>
                <w:sz w:val="20"/>
              </w:rPr>
              <w:t>Rules of Civil Procedure</w:t>
            </w:r>
            <w:r w:rsidRPr="00C770E0">
              <w:rPr>
                <w:rFonts w:eastAsia="Calibri"/>
                <w:sz w:val="20"/>
              </w:rPr>
              <w:t xml:space="preserve"> in effect outside of Ontario? — Should this Court revisit its articulation of the summary judgment test in </w:t>
            </w:r>
            <w:r w:rsidRPr="00C770E0">
              <w:rPr>
                <w:rFonts w:eastAsia="Calibri"/>
                <w:i/>
                <w:sz w:val="20"/>
              </w:rPr>
              <w:t>Canada (Attorney General) v. Lameman</w:t>
            </w:r>
            <w:r w:rsidRPr="00C770E0">
              <w:rPr>
                <w:rFonts w:eastAsia="Calibri"/>
                <w:sz w:val="20"/>
              </w:rPr>
              <w:t xml:space="preserve">, 2008 SCC 14 in light of its recent ruling in </w:t>
            </w:r>
            <w:r w:rsidRPr="00C770E0">
              <w:rPr>
                <w:rFonts w:eastAsia="Calibri"/>
                <w:i/>
                <w:sz w:val="20"/>
              </w:rPr>
              <w:t>Hryniak v. Mauldin</w:t>
            </w:r>
            <w:r w:rsidRPr="00C770E0">
              <w:rPr>
                <w:rFonts w:eastAsia="Calibri"/>
                <w:sz w:val="20"/>
              </w:rPr>
              <w:t>, 2014 SCC 7?</w:t>
            </w:r>
          </w:p>
        </w:tc>
      </w:tr>
      <w:tr w:rsidR="003F64A6" w:rsidRPr="00C770E0" w:rsidTr="0083184B">
        <w:tc>
          <w:tcPr>
            <w:tcW w:w="5000" w:type="pct"/>
            <w:gridSpan w:val="3"/>
          </w:tcPr>
          <w:p w:rsidR="003F64A6" w:rsidRPr="00C770E0" w:rsidRDefault="003F64A6" w:rsidP="0083184B">
            <w:pPr>
              <w:jc w:val="both"/>
              <w:rPr>
                <w:rFonts w:eastAsia="Calibri"/>
                <w:sz w:val="20"/>
              </w:rPr>
            </w:pPr>
          </w:p>
        </w:tc>
      </w:tr>
      <w:tr w:rsidR="003F64A6" w:rsidRPr="00C770E0" w:rsidTr="0083184B">
        <w:tc>
          <w:tcPr>
            <w:tcW w:w="5000" w:type="pct"/>
            <w:gridSpan w:val="3"/>
          </w:tcPr>
          <w:p w:rsidR="003F64A6" w:rsidRPr="00C770E0" w:rsidRDefault="003F64A6" w:rsidP="0083184B">
            <w:pPr>
              <w:jc w:val="both"/>
              <w:rPr>
                <w:rFonts w:eastAsia="Calibri"/>
                <w:sz w:val="20"/>
              </w:rPr>
            </w:pPr>
            <w:r w:rsidRPr="00C770E0">
              <w:rPr>
                <w:rFonts w:eastAsia="Calibri"/>
                <w:sz w:val="20"/>
              </w:rPr>
              <w:t>Mr. Symington was employed by the Halifax Regional Police Service starting in 1988.  In 2001, while on sick leave, he obtained work as an actor and also went to New York City to assist in the rescue mission following the terrorist attack there.  His activities during his sick leave prompted a fraud investigation by his superiors that lasted approximately six weeks, ending in October of 2001 with a decision not to lay any charges.  Mr. Symington launched an action in 2004 against the respondents and two of his superior officers, alleging malicious procurement of a search warrant, malicious prosecution, defamation and intentional infliction of mental suffering.  His action was struck on the basis that it disclosed no cause of action.  His appeal was allowed in part, permitting him to pursue his cause of action for malicious prosecution resulting from alleged abuse of the criminal process.  He filed a second statement of claim in 2009 alleging malicious procurement of a search warrant, malicious prosecution, defamation, negligence and intentional infliction of mental suffering.  The respondents applied for an order striking portions of Mr. Symington’s claim and an order for summary judgment.</w:t>
            </w:r>
          </w:p>
          <w:p w:rsidR="003F64A6" w:rsidRPr="00C770E0" w:rsidRDefault="003F64A6" w:rsidP="0083184B">
            <w:pPr>
              <w:jc w:val="both"/>
              <w:rPr>
                <w:rFonts w:eastAsia="Calibri"/>
                <w:sz w:val="20"/>
              </w:rPr>
            </w:pPr>
          </w:p>
        </w:tc>
      </w:tr>
      <w:tr w:rsidR="003F64A6" w:rsidRPr="00C770E0" w:rsidTr="0083184B">
        <w:tc>
          <w:tcPr>
            <w:tcW w:w="2427" w:type="pct"/>
          </w:tcPr>
          <w:p w:rsidR="003F64A6" w:rsidRPr="00C770E0" w:rsidRDefault="003F64A6" w:rsidP="0083184B">
            <w:pPr>
              <w:jc w:val="both"/>
              <w:rPr>
                <w:rFonts w:eastAsia="Calibri"/>
                <w:sz w:val="20"/>
              </w:rPr>
            </w:pPr>
            <w:r w:rsidRPr="00C770E0">
              <w:rPr>
                <w:rFonts w:eastAsia="Calibri"/>
                <w:sz w:val="20"/>
              </w:rPr>
              <w:t>December 22, 2011</w:t>
            </w:r>
          </w:p>
          <w:p w:rsidR="003F64A6" w:rsidRPr="00C770E0" w:rsidRDefault="003F64A6" w:rsidP="0083184B">
            <w:pPr>
              <w:jc w:val="both"/>
              <w:rPr>
                <w:rFonts w:eastAsia="Calibri"/>
                <w:sz w:val="20"/>
              </w:rPr>
            </w:pPr>
            <w:r w:rsidRPr="00C770E0">
              <w:rPr>
                <w:rFonts w:eastAsia="Calibri"/>
                <w:sz w:val="20"/>
              </w:rPr>
              <w:t>Supreme Court of Nova Scotia, Trial Division</w:t>
            </w:r>
          </w:p>
          <w:p w:rsidR="003F64A6" w:rsidRPr="00C770E0" w:rsidRDefault="003F64A6" w:rsidP="0083184B">
            <w:pPr>
              <w:jc w:val="both"/>
              <w:rPr>
                <w:rFonts w:eastAsia="Calibri"/>
                <w:sz w:val="20"/>
              </w:rPr>
            </w:pPr>
            <w:r w:rsidRPr="00C770E0">
              <w:rPr>
                <w:rFonts w:eastAsia="Calibri"/>
                <w:sz w:val="20"/>
              </w:rPr>
              <w:t>(Robertson J.)</w:t>
            </w:r>
          </w:p>
          <w:p w:rsidR="003F64A6" w:rsidRPr="00C770E0" w:rsidRDefault="00F27688" w:rsidP="0083184B">
            <w:pPr>
              <w:jc w:val="both"/>
              <w:rPr>
                <w:rFonts w:eastAsia="Calibri"/>
                <w:sz w:val="20"/>
              </w:rPr>
            </w:pPr>
            <w:hyperlink r:id="rId38" w:history="1">
              <w:r w:rsidR="003F64A6" w:rsidRPr="007305C9">
                <w:rPr>
                  <w:rFonts w:eastAsia="Calibri"/>
                  <w:color w:val="004B91"/>
                  <w:sz w:val="20"/>
                </w:rPr>
                <w:t>2011 NSSC 474</w:t>
              </w:r>
            </w:hyperlink>
          </w:p>
          <w:p w:rsidR="003F64A6" w:rsidRPr="00C770E0" w:rsidRDefault="003F64A6" w:rsidP="0083184B">
            <w:pPr>
              <w:jc w:val="both"/>
              <w:rPr>
                <w:rFonts w:eastAsia="Calibri"/>
                <w:sz w:val="20"/>
              </w:rPr>
            </w:pPr>
          </w:p>
        </w:tc>
        <w:tc>
          <w:tcPr>
            <w:tcW w:w="243" w:type="pct"/>
          </w:tcPr>
          <w:p w:rsidR="003F64A6" w:rsidRPr="00C770E0" w:rsidRDefault="003F64A6" w:rsidP="0083184B">
            <w:pPr>
              <w:jc w:val="both"/>
              <w:rPr>
                <w:rFonts w:eastAsia="Calibri"/>
                <w:sz w:val="20"/>
              </w:rPr>
            </w:pPr>
          </w:p>
        </w:tc>
        <w:tc>
          <w:tcPr>
            <w:tcW w:w="2330" w:type="pct"/>
          </w:tcPr>
          <w:p w:rsidR="003F64A6" w:rsidRPr="00C770E0" w:rsidRDefault="003F64A6" w:rsidP="0083184B">
            <w:pPr>
              <w:jc w:val="both"/>
              <w:rPr>
                <w:rFonts w:eastAsia="Calibri"/>
                <w:sz w:val="20"/>
              </w:rPr>
            </w:pPr>
            <w:r w:rsidRPr="00C770E0">
              <w:rPr>
                <w:rFonts w:eastAsia="Calibri"/>
                <w:sz w:val="20"/>
              </w:rPr>
              <w:t>Respondents’ motion to strike applicant’s pleadings and for summary judgment granted.</w:t>
            </w:r>
          </w:p>
          <w:p w:rsidR="003F64A6" w:rsidRPr="00C770E0" w:rsidRDefault="003F64A6" w:rsidP="0083184B">
            <w:pPr>
              <w:jc w:val="both"/>
              <w:rPr>
                <w:rFonts w:eastAsia="Calibri"/>
                <w:sz w:val="20"/>
              </w:rPr>
            </w:pPr>
          </w:p>
        </w:tc>
      </w:tr>
      <w:tr w:rsidR="003F64A6" w:rsidRPr="00C770E0" w:rsidTr="0083184B">
        <w:tc>
          <w:tcPr>
            <w:tcW w:w="2427" w:type="pct"/>
          </w:tcPr>
          <w:p w:rsidR="003F64A6" w:rsidRPr="00C770E0" w:rsidRDefault="003F64A6" w:rsidP="0083184B">
            <w:pPr>
              <w:jc w:val="both"/>
              <w:rPr>
                <w:rFonts w:eastAsia="Calibri"/>
                <w:sz w:val="20"/>
              </w:rPr>
            </w:pPr>
            <w:r w:rsidRPr="00C770E0">
              <w:rPr>
                <w:rFonts w:eastAsia="Calibri"/>
                <w:sz w:val="20"/>
              </w:rPr>
              <w:t>December 20, 2013</w:t>
            </w:r>
          </w:p>
          <w:p w:rsidR="003F64A6" w:rsidRPr="00C770E0" w:rsidRDefault="003F64A6" w:rsidP="0083184B">
            <w:pPr>
              <w:jc w:val="both"/>
              <w:rPr>
                <w:rFonts w:eastAsia="Calibri"/>
                <w:sz w:val="20"/>
              </w:rPr>
            </w:pPr>
            <w:r w:rsidRPr="00C770E0">
              <w:rPr>
                <w:rFonts w:eastAsia="Calibri"/>
                <w:sz w:val="20"/>
              </w:rPr>
              <w:t>Nova Scotia Court of Appeal</w:t>
            </w:r>
          </w:p>
          <w:p w:rsidR="003F64A6" w:rsidRPr="00C770E0" w:rsidRDefault="003F64A6" w:rsidP="0083184B">
            <w:pPr>
              <w:jc w:val="both"/>
              <w:rPr>
                <w:rFonts w:eastAsia="Calibri"/>
                <w:sz w:val="20"/>
              </w:rPr>
            </w:pPr>
            <w:r w:rsidRPr="00C770E0">
              <w:rPr>
                <w:rFonts w:eastAsia="Calibri"/>
                <w:sz w:val="20"/>
              </w:rPr>
              <w:t>(MacDonald, Saunders and Hamilton JJ.A.)</w:t>
            </w:r>
          </w:p>
          <w:p w:rsidR="003F64A6" w:rsidRPr="00C770E0" w:rsidRDefault="00F27688" w:rsidP="0083184B">
            <w:pPr>
              <w:jc w:val="both"/>
              <w:rPr>
                <w:rFonts w:eastAsia="Calibri"/>
                <w:sz w:val="20"/>
              </w:rPr>
            </w:pPr>
            <w:hyperlink r:id="rId39" w:history="1">
              <w:r w:rsidR="003F64A6" w:rsidRPr="007305C9">
                <w:rPr>
                  <w:rFonts w:eastAsia="Calibri"/>
                  <w:color w:val="004B91"/>
                  <w:sz w:val="20"/>
                </w:rPr>
                <w:t>2013 NSCA 152</w:t>
              </w:r>
            </w:hyperlink>
          </w:p>
          <w:p w:rsidR="003F64A6" w:rsidRPr="00C770E0" w:rsidRDefault="003F64A6" w:rsidP="0083184B">
            <w:pPr>
              <w:jc w:val="both"/>
              <w:rPr>
                <w:rFonts w:eastAsia="Calibri"/>
                <w:sz w:val="20"/>
              </w:rPr>
            </w:pPr>
          </w:p>
        </w:tc>
        <w:tc>
          <w:tcPr>
            <w:tcW w:w="243" w:type="pct"/>
          </w:tcPr>
          <w:p w:rsidR="003F64A6" w:rsidRPr="00C770E0" w:rsidRDefault="003F64A6" w:rsidP="0083184B">
            <w:pPr>
              <w:jc w:val="both"/>
              <w:rPr>
                <w:rFonts w:eastAsia="Calibri"/>
                <w:sz w:val="20"/>
              </w:rPr>
            </w:pPr>
          </w:p>
        </w:tc>
        <w:tc>
          <w:tcPr>
            <w:tcW w:w="2330" w:type="pct"/>
          </w:tcPr>
          <w:p w:rsidR="003F64A6" w:rsidRPr="00C770E0" w:rsidRDefault="003F64A6" w:rsidP="0083184B">
            <w:pPr>
              <w:jc w:val="both"/>
              <w:rPr>
                <w:rFonts w:eastAsia="Calibri"/>
                <w:sz w:val="20"/>
              </w:rPr>
            </w:pPr>
            <w:r w:rsidRPr="00C770E0">
              <w:rPr>
                <w:rFonts w:eastAsia="Calibri"/>
                <w:sz w:val="20"/>
              </w:rPr>
              <w:t>Appeal dismissed</w:t>
            </w:r>
          </w:p>
          <w:p w:rsidR="003F64A6" w:rsidRPr="00C770E0" w:rsidRDefault="003F64A6" w:rsidP="0083184B">
            <w:pPr>
              <w:jc w:val="both"/>
              <w:rPr>
                <w:rFonts w:eastAsia="Calibri"/>
                <w:sz w:val="20"/>
              </w:rPr>
            </w:pPr>
          </w:p>
        </w:tc>
      </w:tr>
      <w:tr w:rsidR="003F64A6" w:rsidRPr="00C770E0" w:rsidTr="0083184B">
        <w:tc>
          <w:tcPr>
            <w:tcW w:w="2427" w:type="pct"/>
          </w:tcPr>
          <w:p w:rsidR="003F64A6" w:rsidRPr="00C770E0" w:rsidRDefault="003F64A6" w:rsidP="0083184B">
            <w:pPr>
              <w:jc w:val="both"/>
              <w:rPr>
                <w:rFonts w:eastAsia="Calibri"/>
                <w:sz w:val="20"/>
              </w:rPr>
            </w:pPr>
            <w:r w:rsidRPr="00C770E0">
              <w:rPr>
                <w:rFonts w:eastAsia="Calibri"/>
                <w:sz w:val="20"/>
              </w:rPr>
              <w:t>February 18, 2014</w:t>
            </w:r>
          </w:p>
          <w:p w:rsidR="003F64A6" w:rsidRPr="00C770E0" w:rsidRDefault="003F64A6" w:rsidP="0083184B">
            <w:pPr>
              <w:jc w:val="both"/>
              <w:rPr>
                <w:rFonts w:eastAsia="Calibri"/>
                <w:sz w:val="20"/>
              </w:rPr>
            </w:pPr>
            <w:r w:rsidRPr="00C770E0">
              <w:rPr>
                <w:rFonts w:eastAsia="Calibri"/>
                <w:sz w:val="20"/>
              </w:rPr>
              <w:t>Supreme Court of Canada</w:t>
            </w:r>
          </w:p>
        </w:tc>
        <w:tc>
          <w:tcPr>
            <w:tcW w:w="243" w:type="pct"/>
          </w:tcPr>
          <w:p w:rsidR="003F64A6" w:rsidRPr="00C770E0" w:rsidRDefault="003F64A6" w:rsidP="0083184B">
            <w:pPr>
              <w:jc w:val="both"/>
              <w:rPr>
                <w:rFonts w:eastAsia="Calibri"/>
                <w:sz w:val="20"/>
              </w:rPr>
            </w:pPr>
          </w:p>
        </w:tc>
        <w:tc>
          <w:tcPr>
            <w:tcW w:w="2330" w:type="pct"/>
          </w:tcPr>
          <w:p w:rsidR="003F64A6" w:rsidRPr="00C770E0" w:rsidRDefault="003F64A6" w:rsidP="0083184B">
            <w:pPr>
              <w:jc w:val="both"/>
              <w:rPr>
                <w:rFonts w:eastAsia="Calibri"/>
                <w:sz w:val="20"/>
              </w:rPr>
            </w:pPr>
            <w:r w:rsidRPr="00C770E0">
              <w:rPr>
                <w:rFonts w:eastAsia="Calibri"/>
                <w:sz w:val="20"/>
              </w:rPr>
              <w:t>Application for leave to appeal filed</w:t>
            </w:r>
          </w:p>
          <w:p w:rsidR="003F64A6" w:rsidRPr="00C770E0" w:rsidRDefault="003F64A6" w:rsidP="0083184B">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59"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64A6" w:rsidRPr="00F27688" w:rsidTr="0083184B">
        <w:tc>
          <w:tcPr>
            <w:tcW w:w="5000" w:type="pct"/>
            <w:gridSpan w:val="3"/>
          </w:tcPr>
          <w:p w:rsidR="003F64A6" w:rsidRPr="00C770E0" w:rsidRDefault="003F64A6" w:rsidP="0083184B">
            <w:pPr>
              <w:jc w:val="both"/>
              <w:rPr>
                <w:rFonts w:eastAsia="Calibri"/>
                <w:sz w:val="20"/>
                <w:lang w:val="fr-CA"/>
              </w:rPr>
            </w:pPr>
            <w:r w:rsidRPr="00C770E0">
              <w:rPr>
                <w:rFonts w:eastAsia="Calibri"/>
                <w:sz w:val="20"/>
                <w:lang w:val="fr-CA"/>
              </w:rPr>
              <w:t xml:space="preserve">Jugements et ordonnances — Jugements sommaires — Requête des intimés en radiation des actes de procédure du demandeur et en jugement sommaire, accueillie — Quel est le critère pour obtenir un jugement sommaire en </w:t>
            </w:r>
            <w:r w:rsidRPr="00C770E0">
              <w:rPr>
                <w:rFonts w:eastAsia="Calibri"/>
                <w:sz w:val="20"/>
                <w:lang w:val="fr-CA"/>
              </w:rPr>
              <w:lastRenderedPageBreak/>
              <w:t>application des règles de procédure civile en vigueur à l’extérieur de l’Ontario? — Cette Cour doit</w:t>
            </w:r>
            <w:r w:rsidRPr="00C770E0">
              <w:rPr>
                <w:rFonts w:eastAsia="Calibri"/>
                <w:sz w:val="20"/>
                <w:lang w:val="fr-CA"/>
              </w:rPr>
              <w:noBreakHyphen/>
              <w:t xml:space="preserve">elle revoir la manière dont elle a formulé le critère relatif au jugement sommaire dans l’arrêt </w:t>
            </w:r>
            <w:r w:rsidRPr="00C770E0">
              <w:rPr>
                <w:rFonts w:eastAsia="Calibri"/>
                <w:i/>
                <w:sz w:val="20"/>
                <w:lang w:val="fr-CA"/>
              </w:rPr>
              <w:t>Canada (Procureur général) c. Lameman</w:t>
            </w:r>
            <w:r w:rsidRPr="00C770E0">
              <w:rPr>
                <w:rFonts w:eastAsia="Calibri"/>
                <w:sz w:val="20"/>
                <w:lang w:val="fr-CA"/>
              </w:rPr>
              <w:t xml:space="preserve">, 2008 CSC 14 à la lumière de l’arrêt qu’elle a rendu récemment dans l’affaire </w:t>
            </w:r>
            <w:r w:rsidRPr="00C770E0">
              <w:rPr>
                <w:rFonts w:eastAsia="Calibri"/>
                <w:i/>
                <w:sz w:val="20"/>
                <w:lang w:val="fr-CA"/>
              </w:rPr>
              <w:t>Hryniak c. Mauldin</w:t>
            </w:r>
            <w:r w:rsidRPr="00C770E0">
              <w:rPr>
                <w:rFonts w:eastAsia="Calibri"/>
                <w:sz w:val="20"/>
                <w:lang w:val="fr-CA"/>
              </w:rPr>
              <w:t>, 2014 CSC 7?</w:t>
            </w:r>
          </w:p>
        </w:tc>
      </w:tr>
      <w:tr w:rsidR="003F64A6" w:rsidRPr="00F27688" w:rsidTr="0083184B">
        <w:tc>
          <w:tcPr>
            <w:tcW w:w="5000" w:type="pct"/>
            <w:gridSpan w:val="3"/>
          </w:tcPr>
          <w:p w:rsidR="003F64A6" w:rsidRPr="00C770E0" w:rsidRDefault="003F64A6" w:rsidP="0083184B">
            <w:pPr>
              <w:jc w:val="both"/>
              <w:rPr>
                <w:rFonts w:eastAsia="Calibri"/>
                <w:sz w:val="20"/>
                <w:lang w:val="fr-CA"/>
              </w:rPr>
            </w:pPr>
          </w:p>
        </w:tc>
      </w:tr>
      <w:tr w:rsidR="003F64A6" w:rsidRPr="00F27688" w:rsidTr="0083184B">
        <w:tc>
          <w:tcPr>
            <w:tcW w:w="5000" w:type="pct"/>
            <w:gridSpan w:val="3"/>
          </w:tcPr>
          <w:p w:rsidR="003F64A6" w:rsidRPr="00C770E0" w:rsidRDefault="003F64A6" w:rsidP="0083184B">
            <w:pPr>
              <w:jc w:val="both"/>
              <w:rPr>
                <w:rFonts w:eastAsia="Calibri"/>
                <w:sz w:val="20"/>
                <w:lang w:val="fr-CA"/>
              </w:rPr>
            </w:pPr>
            <w:r w:rsidRPr="00C770E0">
              <w:rPr>
                <w:rFonts w:eastAsia="Calibri"/>
                <w:sz w:val="20"/>
                <w:lang w:val="fr-CA"/>
              </w:rPr>
              <w:t>Monsieur Symington a commencé à travailler au service de police régionale d’Halifax en 1988.  En 2001, pendant qu’il était en congé de maladie, il a obtenu du travail comme comédien et il s’est également rendu à New York pour prendre part à la mission de sauvetage à la suite de l’attentat terroriste perpétré dans cette ville.  Ses activités pendant son congé de maladie ont amené ses supérieurs à lancer une enquête pour fraude qui a duré environ six semaines, prenant fin en octobre 2001 avec la décision de ne pas porter d’accusations.  En 2004, M. Symington a intenté une action contre les intimés et deux de ses officiers supérieurs, alléguant l’obtention malveillante d’un mandat de perquisition, la poursuite malveillante, la diffamation et l’infliction intentionnelle de souffrance morale.  Son action a été radiée au motif qu’elle ne révélait aucune cause d’action.  Son appel a été accueilli en partie, l’autorisant à poursuivre sa cause d’action en poursuite malveillante résultant d’un abus présumé du processus criminel.  Il a déposé une deuxième déclaration en 2009, alléguant l’obtention malveillante d’un mandat de perquisition, la poursuite malveillante, la diffamation, la négligence et l’infliction intentionnelle de souffrance morale.  Les intimés ont demandé une ordonnance en radiation de certaines parties de la demande de M. Symington et une ordonnance de jugement sommaire.</w:t>
            </w:r>
          </w:p>
          <w:p w:rsidR="003F64A6" w:rsidRPr="00C770E0" w:rsidRDefault="003F64A6" w:rsidP="0083184B">
            <w:pPr>
              <w:jc w:val="both"/>
              <w:rPr>
                <w:rFonts w:eastAsia="Calibri"/>
                <w:sz w:val="20"/>
                <w:lang w:val="fr-CA"/>
              </w:rPr>
            </w:pPr>
          </w:p>
        </w:tc>
      </w:tr>
      <w:tr w:rsidR="003F64A6" w:rsidRPr="00F27688" w:rsidTr="0083184B">
        <w:tc>
          <w:tcPr>
            <w:tcW w:w="2427" w:type="pct"/>
          </w:tcPr>
          <w:p w:rsidR="003F64A6" w:rsidRPr="00C770E0" w:rsidRDefault="003F64A6" w:rsidP="0083184B">
            <w:pPr>
              <w:jc w:val="both"/>
              <w:rPr>
                <w:rFonts w:eastAsia="Calibri"/>
                <w:sz w:val="20"/>
                <w:lang w:val="fr-CA"/>
              </w:rPr>
            </w:pPr>
            <w:r w:rsidRPr="00C770E0">
              <w:rPr>
                <w:rFonts w:eastAsia="Calibri"/>
                <w:sz w:val="20"/>
                <w:lang w:val="fr-CA"/>
              </w:rPr>
              <w:t>22 décembre 2011</w:t>
            </w:r>
          </w:p>
          <w:p w:rsidR="003F64A6" w:rsidRPr="00C770E0" w:rsidRDefault="003F64A6" w:rsidP="0083184B">
            <w:pPr>
              <w:jc w:val="both"/>
              <w:rPr>
                <w:rFonts w:eastAsia="Calibri"/>
                <w:sz w:val="20"/>
                <w:lang w:val="fr-CA"/>
              </w:rPr>
            </w:pPr>
            <w:r w:rsidRPr="00C770E0">
              <w:rPr>
                <w:rFonts w:eastAsia="Calibri"/>
                <w:sz w:val="20"/>
                <w:lang w:val="fr-CA"/>
              </w:rPr>
              <w:t>Cour suprême de la Nouvelle</w:t>
            </w:r>
            <w:r w:rsidRPr="00C770E0">
              <w:rPr>
                <w:rFonts w:eastAsia="Calibri"/>
                <w:sz w:val="20"/>
                <w:lang w:val="fr-CA"/>
              </w:rPr>
              <w:noBreakHyphen/>
              <w:t xml:space="preserve">Écosse, Section de première instance </w:t>
            </w:r>
          </w:p>
          <w:p w:rsidR="003F64A6" w:rsidRPr="00C770E0" w:rsidRDefault="003F64A6" w:rsidP="0083184B">
            <w:pPr>
              <w:jc w:val="both"/>
              <w:rPr>
                <w:rFonts w:eastAsia="Calibri"/>
                <w:sz w:val="20"/>
                <w:lang w:val="fr-CA"/>
              </w:rPr>
            </w:pPr>
            <w:r w:rsidRPr="00C770E0">
              <w:rPr>
                <w:rFonts w:eastAsia="Calibri"/>
                <w:sz w:val="20"/>
                <w:lang w:val="fr-CA"/>
              </w:rPr>
              <w:t>(Juge Robertson)</w:t>
            </w:r>
          </w:p>
          <w:p w:rsidR="003F64A6" w:rsidRPr="00C770E0" w:rsidRDefault="00F27688" w:rsidP="0083184B">
            <w:pPr>
              <w:jc w:val="both"/>
              <w:rPr>
                <w:rFonts w:eastAsia="Calibri"/>
                <w:sz w:val="20"/>
                <w:lang w:val="fr-CA"/>
              </w:rPr>
            </w:pPr>
            <w:hyperlink r:id="rId40" w:history="1">
              <w:r w:rsidR="003F64A6" w:rsidRPr="007305C9">
                <w:rPr>
                  <w:rFonts w:eastAsia="Calibri"/>
                  <w:color w:val="004B91"/>
                  <w:sz w:val="20"/>
                  <w:lang w:val="fr-CA"/>
                </w:rPr>
                <w:t>2011 NSSC 474</w:t>
              </w:r>
            </w:hyperlink>
          </w:p>
          <w:p w:rsidR="003F64A6" w:rsidRPr="00C770E0" w:rsidRDefault="003F64A6" w:rsidP="0083184B">
            <w:pPr>
              <w:jc w:val="both"/>
              <w:rPr>
                <w:rFonts w:eastAsia="Calibri"/>
                <w:sz w:val="20"/>
                <w:lang w:val="fr-CA"/>
              </w:rPr>
            </w:pPr>
          </w:p>
        </w:tc>
        <w:tc>
          <w:tcPr>
            <w:tcW w:w="243" w:type="pct"/>
          </w:tcPr>
          <w:p w:rsidR="003F64A6" w:rsidRPr="00C770E0" w:rsidRDefault="003F64A6" w:rsidP="0083184B">
            <w:pPr>
              <w:jc w:val="both"/>
              <w:rPr>
                <w:rFonts w:eastAsia="Calibri"/>
                <w:sz w:val="20"/>
                <w:lang w:val="fr-CA"/>
              </w:rPr>
            </w:pPr>
          </w:p>
        </w:tc>
        <w:tc>
          <w:tcPr>
            <w:tcW w:w="2330" w:type="pct"/>
          </w:tcPr>
          <w:p w:rsidR="003F64A6" w:rsidRPr="00C770E0" w:rsidRDefault="003F64A6" w:rsidP="0083184B">
            <w:pPr>
              <w:jc w:val="both"/>
              <w:rPr>
                <w:rFonts w:eastAsia="Calibri"/>
                <w:sz w:val="20"/>
                <w:lang w:val="fr-CA"/>
              </w:rPr>
            </w:pPr>
            <w:r w:rsidRPr="00C770E0">
              <w:rPr>
                <w:rFonts w:eastAsia="Calibri"/>
                <w:sz w:val="20"/>
                <w:lang w:val="fr-CA"/>
              </w:rPr>
              <w:t>Requête des intimés en radiation des actes de procédure du demandeur et en jugement sommaire, accueillie.</w:t>
            </w:r>
          </w:p>
          <w:p w:rsidR="003F64A6" w:rsidRPr="00C770E0" w:rsidRDefault="003F64A6" w:rsidP="0083184B">
            <w:pPr>
              <w:jc w:val="both"/>
              <w:rPr>
                <w:rFonts w:eastAsia="Calibri"/>
                <w:sz w:val="20"/>
                <w:lang w:val="fr-CA"/>
              </w:rPr>
            </w:pPr>
          </w:p>
        </w:tc>
      </w:tr>
      <w:tr w:rsidR="003F64A6" w:rsidRPr="00C770E0" w:rsidTr="0083184B">
        <w:tc>
          <w:tcPr>
            <w:tcW w:w="2427" w:type="pct"/>
          </w:tcPr>
          <w:p w:rsidR="003F64A6" w:rsidRPr="00C770E0" w:rsidRDefault="003F64A6" w:rsidP="0083184B">
            <w:pPr>
              <w:jc w:val="both"/>
              <w:rPr>
                <w:rFonts w:eastAsia="Calibri"/>
                <w:sz w:val="20"/>
                <w:lang w:val="fr-CA"/>
              </w:rPr>
            </w:pPr>
            <w:r w:rsidRPr="00C770E0">
              <w:rPr>
                <w:rFonts w:eastAsia="Calibri"/>
                <w:sz w:val="20"/>
                <w:lang w:val="fr-CA"/>
              </w:rPr>
              <w:t>20 décembre 2013</w:t>
            </w:r>
          </w:p>
          <w:p w:rsidR="003F64A6" w:rsidRPr="00C770E0" w:rsidRDefault="003F64A6" w:rsidP="0083184B">
            <w:pPr>
              <w:jc w:val="both"/>
              <w:rPr>
                <w:rFonts w:eastAsia="Calibri"/>
                <w:sz w:val="20"/>
                <w:lang w:val="fr-CA"/>
              </w:rPr>
            </w:pPr>
            <w:r w:rsidRPr="00C770E0">
              <w:rPr>
                <w:rFonts w:eastAsia="Calibri"/>
                <w:sz w:val="20"/>
                <w:lang w:val="fr-CA"/>
              </w:rPr>
              <w:t>Cour d’appel de la Nouvelle</w:t>
            </w:r>
            <w:r w:rsidRPr="00C770E0">
              <w:rPr>
                <w:rFonts w:eastAsia="Calibri"/>
                <w:sz w:val="20"/>
                <w:lang w:val="fr-CA"/>
              </w:rPr>
              <w:noBreakHyphen/>
              <w:t xml:space="preserve">Écosse </w:t>
            </w:r>
          </w:p>
          <w:p w:rsidR="003F64A6" w:rsidRPr="00C770E0" w:rsidRDefault="003F64A6" w:rsidP="0083184B">
            <w:pPr>
              <w:jc w:val="both"/>
              <w:rPr>
                <w:rFonts w:eastAsia="Calibri"/>
                <w:sz w:val="20"/>
                <w:lang w:val="fr-CA"/>
              </w:rPr>
            </w:pPr>
            <w:r w:rsidRPr="00C770E0">
              <w:rPr>
                <w:rFonts w:eastAsia="Calibri"/>
                <w:sz w:val="20"/>
                <w:lang w:val="fr-CA"/>
              </w:rPr>
              <w:t>(Juges MacDonald, Saunders et Hamilton)</w:t>
            </w:r>
          </w:p>
          <w:p w:rsidR="003F64A6" w:rsidRPr="00C770E0" w:rsidRDefault="00F27688" w:rsidP="0083184B">
            <w:pPr>
              <w:jc w:val="both"/>
              <w:rPr>
                <w:rFonts w:eastAsia="Calibri"/>
                <w:sz w:val="20"/>
                <w:lang w:val="fr-CA"/>
              </w:rPr>
            </w:pPr>
            <w:hyperlink r:id="rId41" w:history="1">
              <w:r w:rsidR="003F64A6" w:rsidRPr="007305C9">
                <w:rPr>
                  <w:rFonts w:eastAsia="Calibri"/>
                  <w:color w:val="004B91"/>
                  <w:sz w:val="20"/>
                  <w:lang w:val="fr-CA"/>
                </w:rPr>
                <w:t>2013 NSCA 152</w:t>
              </w:r>
            </w:hyperlink>
          </w:p>
          <w:p w:rsidR="003F64A6" w:rsidRPr="00C770E0" w:rsidRDefault="003F64A6" w:rsidP="0083184B">
            <w:pPr>
              <w:jc w:val="both"/>
              <w:rPr>
                <w:rFonts w:eastAsia="Calibri"/>
                <w:sz w:val="20"/>
                <w:lang w:val="fr-CA"/>
              </w:rPr>
            </w:pPr>
          </w:p>
        </w:tc>
        <w:tc>
          <w:tcPr>
            <w:tcW w:w="243" w:type="pct"/>
          </w:tcPr>
          <w:p w:rsidR="003F64A6" w:rsidRPr="00C770E0" w:rsidRDefault="003F64A6" w:rsidP="0083184B">
            <w:pPr>
              <w:jc w:val="both"/>
              <w:rPr>
                <w:rFonts w:eastAsia="Calibri"/>
                <w:sz w:val="20"/>
                <w:lang w:val="fr-CA"/>
              </w:rPr>
            </w:pPr>
          </w:p>
        </w:tc>
        <w:tc>
          <w:tcPr>
            <w:tcW w:w="2330" w:type="pct"/>
          </w:tcPr>
          <w:p w:rsidR="003F64A6" w:rsidRPr="00C770E0" w:rsidRDefault="003F64A6" w:rsidP="0083184B">
            <w:pPr>
              <w:jc w:val="both"/>
              <w:rPr>
                <w:rFonts w:eastAsia="Calibri"/>
                <w:sz w:val="20"/>
                <w:lang w:val="fr-CA"/>
              </w:rPr>
            </w:pPr>
            <w:r w:rsidRPr="00C770E0">
              <w:rPr>
                <w:rFonts w:eastAsia="Calibri"/>
                <w:sz w:val="20"/>
                <w:lang w:val="fr-CA"/>
              </w:rPr>
              <w:t>Appel rejeté</w:t>
            </w:r>
          </w:p>
          <w:p w:rsidR="003F64A6" w:rsidRPr="00C770E0" w:rsidRDefault="003F64A6" w:rsidP="0083184B">
            <w:pPr>
              <w:jc w:val="both"/>
              <w:rPr>
                <w:rFonts w:eastAsia="Calibri"/>
                <w:sz w:val="20"/>
                <w:lang w:val="fr-CA"/>
              </w:rPr>
            </w:pPr>
          </w:p>
        </w:tc>
      </w:tr>
      <w:tr w:rsidR="003F64A6" w:rsidRPr="00C770E0" w:rsidTr="0083184B">
        <w:tc>
          <w:tcPr>
            <w:tcW w:w="2427" w:type="pct"/>
          </w:tcPr>
          <w:p w:rsidR="003F64A6" w:rsidRPr="00C770E0" w:rsidRDefault="003F64A6" w:rsidP="0083184B">
            <w:pPr>
              <w:jc w:val="both"/>
              <w:rPr>
                <w:rFonts w:eastAsia="Calibri"/>
                <w:sz w:val="20"/>
                <w:lang w:val="fr-CA"/>
              </w:rPr>
            </w:pPr>
            <w:r w:rsidRPr="00C770E0">
              <w:rPr>
                <w:rFonts w:eastAsia="Calibri"/>
                <w:sz w:val="20"/>
                <w:lang w:val="fr-CA"/>
              </w:rPr>
              <w:t>18 février 2014</w:t>
            </w:r>
          </w:p>
          <w:p w:rsidR="003F64A6" w:rsidRPr="00C770E0" w:rsidRDefault="003F64A6" w:rsidP="0083184B">
            <w:pPr>
              <w:jc w:val="both"/>
              <w:rPr>
                <w:rFonts w:eastAsia="Calibri"/>
                <w:sz w:val="20"/>
                <w:lang w:val="fr-CA"/>
              </w:rPr>
            </w:pPr>
            <w:r w:rsidRPr="00C770E0">
              <w:rPr>
                <w:rFonts w:eastAsia="Calibri"/>
                <w:sz w:val="20"/>
                <w:lang w:val="fr-CA"/>
              </w:rPr>
              <w:t>Cour suprême du Canada</w:t>
            </w:r>
          </w:p>
        </w:tc>
        <w:tc>
          <w:tcPr>
            <w:tcW w:w="243" w:type="pct"/>
          </w:tcPr>
          <w:p w:rsidR="003F64A6" w:rsidRPr="00C770E0" w:rsidRDefault="003F64A6" w:rsidP="0083184B">
            <w:pPr>
              <w:jc w:val="both"/>
              <w:rPr>
                <w:rFonts w:eastAsia="Calibri"/>
                <w:sz w:val="20"/>
                <w:lang w:val="fr-CA"/>
              </w:rPr>
            </w:pPr>
          </w:p>
        </w:tc>
        <w:tc>
          <w:tcPr>
            <w:tcW w:w="2330" w:type="pct"/>
          </w:tcPr>
          <w:p w:rsidR="003F64A6" w:rsidRPr="00C770E0" w:rsidRDefault="003F64A6" w:rsidP="0083184B">
            <w:pPr>
              <w:jc w:val="both"/>
              <w:rPr>
                <w:rFonts w:eastAsia="Calibri"/>
                <w:sz w:val="20"/>
                <w:lang w:val="fr-CA"/>
              </w:rPr>
            </w:pPr>
            <w:r w:rsidRPr="00C770E0">
              <w:rPr>
                <w:rFonts w:eastAsia="Calibri"/>
                <w:sz w:val="20"/>
                <w:lang w:val="fr-CA"/>
              </w:rPr>
              <w:t>Demande d’autorisation d’appel, déposée</w:t>
            </w:r>
          </w:p>
          <w:p w:rsidR="003F64A6" w:rsidRPr="00C770E0" w:rsidRDefault="003F64A6" w:rsidP="0083184B">
            <w:pPr>
              <w:jc w:val="both"/>
              <w:rPr>
                <w:rFonts w:eastAsia="Calibri"/>
                <w:sz w:val="20"/>
                <w:lang w:val="fr-CA"/>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60" style="width:2in;height:1pt" o:hrpct="0" o:hralign="center" o:hrstd="t" o:hrnoshade="t" o:hr="t" fillcolor="black [3213]" stroked="f"/>
        </w:pict>
      </w:r>
    </w:p>
    <w:p w:rsidR="0096146C" w:rsidRDefault="0096146C" w:rsidP="0096146C">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7290A" w:rsidRPr="0007290A" w:rsidTr="00162E9D">
        <w:trPr>
          <w:cantSplit/>
        </w:trPr>
        <w:tc>
          <w:tcPr>
            <w:tcW w:w="1458" w:type="dxa"/>
          </w:tcPr>
          <w:p w:rsidR="0007290A" w:rsidRPr="0007290A" w:rsidRDefault="0007290A" w:rsidP="0007290A">
            <w:pPr>
              <w:rPr>
                <w:sz w:val="20"/>
              </w:rPr>
            </w:pPr>
            <w:r w:rsidRPr="0007290A">
              <w:rPr>
                <w:b/>
                <w:sz w:val="20"/>
                <w:lang w:val="fr-CA"/>
              </w:rPr>
              <w:t>35737</w:t>
            </w:r>
          </w:p>
          <w:p w:rsidR="0007290A" w:rsidRPr="0007290A" w:rsidRDefault="0007290A" w:rsidP="0007290A">
            <w:pPr>
              <w:rPr>
                <w:b/>
                <w:sz w:val="20"/>
                <w:lang w:val="fr-CA"/>
              </w:rPr>
            </w:pPr>
          </w:p>
        </w:tc>
        <w:tc>
          <w:tcPr>
            <w:tcW w:w="8118" w:type="dxa"/>
          </w:tcPr>
          <w:p w:rsidR="0007290A" w:rsidRPr="0007290A" w:rsidRDefault="0007290A" w:rsidP="0007290A">
            <w:pPr>
              <w:rPr>
                <w:sz w:val="20"/>
              </w:rPr>
            </w:pPr>
            <w:r w:rsidRPr="0007290A">
              <w:rPr>
                <w:b/>
                <w:sz w:val="20"/>
                <w:u w:val="single"/>
              </w:rPr>
              <w:t>Marek Petrykowski v. 553562 Ontario Limited c.o.b as Bell Cartage</w:t>
            </w:r>
            <w:r w:rsidRPr="0007290A">
              <w:rPr>
                <w:sz w:val="20"/>
              </w:rPr>
              <w:t xml:space="preserve"> (Ont.) (Civil) (By Leave)</w:t>
            </w:r>
          </w:p>
          <w:p w:rsidR="0007290A" w:rsidRPr="0007290A" w:rsidRDefault="0007290A" w:rsidP="0007290A">
            <w:pPr>
              <w:rPr>
                <w:sz w:val="20"/>
              </w:rPr>
            </w:pPr>
          </w:p>
        </w:tc>
      </w:tr>
      <w:tr w:rsidR="0007290A" w:rsidRPr="0007290A" w:rsidTr="00162E9D">
        <w:trPr>
          <w:cantSplit/>
        </w:trPr>
        <w:tc>
          <w:tcPr>
            <w:tcW w:w="1458" w:type="dxa"/>
          </w:tcPr>
          <w:p w:rsidR="0007290A" w:rsidRPr="0007290A" w:rsidRDefault="0007290A" w:rsidP="0007290A">
            <w:pPr>
              <w:rPr>
                <w:sz w:val="20"/>
              </w:rPr>
            </w:pPr>
            <w:r w:rsidRPr="0007290A">
              <w:rPr>
                <w:sz w:val="20"/>
              </w:rPr>
              <w:t>Coram :</w:t>
            </w:r>
          </w:p>
        </w:tc>
        <w:tc>
          <w:tcPr>
            <w:tcW w:w="8118" w:type="dxa"/>
          </w:tcPr>
          <w:p w:rsidR="0007290A" w:rsidRPr="0007290A" w:rsidRDefault="0007290A" w:rsidP="0007290A">
            <w:pPr>
              <w:rPr>
                <w:sz w:val="20"/>
              </w:rPr>
            </w:pPr>
            <w:r w:rsidRPr="0007290A">
              <w:rPr>
                <w:sz w:val="20"/>
                <w:u w:val="single"/>
              </w:rPr>
              <w:t>Abella, Rothstein and Moldaver JJ.</w:t>
            </w:r>
          </w:p>
          <w:p w:rsidR="0007290A" w:rsidRPr="0007290A" w:rsidRDefault="0007290A" w:rsidP="0007290A">
            <w:pPr>
              <w:rPr>
                <w:sz w:val="20"/>
                <w:u w:val="single"/>
              </w:rPr>
            </w:pPr>
          </w:p>
        </w:tc>
      </w:tr>
      <w:tr w:rsidR="0007290A" w:rsidRPr="00F27688" w:rsidTr="00162E9D">
        <w:trPr>
          <w:cantSplit/>
        </w:trPr>
        <w:tc>
          <w:tcPr>
            <w:tcW w:w="9576" w:type="dxa"/>
            <w:gridSpan w:val="2"/>
          </w:tcPr>
          <w:p w:rsidR="0007290A" w:rsidRPr="0007290A" w:rsidRDefault="0007290A" w:rsidP="0007290A">
            <w:pPr>
              <w:ind w:firstLine="720"/>
              <w:jc w:val="both"/>
              <w:rPr>
                <w:sz w:val="20"/>
              </w:rPr>
            </w:pPr>
            <w:r w:rsidRPr="0007290A">
              <w:rPr>
                <w:sz w:val="20"/>
              </w:rPr>
              <w:t>The motion for an extension of time to serve and file the application for leave to appeal is dismissed with costs. In any event, had such motion been granted, the application for leave to appeal from the judgment of the Court of Appeal for Ontario, Number M-41490, dated November 30, 2012, would have been dismissed with costs.</w:t>
            </w:r>
          </w:p>
          <w:p w:rsidR="0007290A" w:rsidRPr="0007290A" w:rsidRDefault="0007290A" w:rsidP="0007290A">
            <w:pPr>
              <w:jc w:val="both"/>
              <w:rPr>
                <w:sz w:val="20"/>
              </w:rPr>
            </w:pPr>
          </w:p>
          <w:p w:rsidR="0007290A" w:rsidRPr="0007290A" w:rsidRDefault="0007290A" w:rsidP="0007290A">
            <w:pPr>
              <w:ind w:firstLine="720"/>
              <w:jc w:val="both"/>
              <w:rPr>
                <w:sz w:val="20"/>
                <w:lang w:val="fr-CA"/>
              </w:rPr>
            </w:pPr>
            <w:r w:rsidRPr="0007290A">
              <w:rPr>
                <w:sz w:val="20"/>
                <w:lang w:val="fr-CA"/>
              </w:rPr>
              <w:t>La requête en prorogation du délai de signification et de dépôt de la demande d’autorisation d’appel est rejetée avec dépens. Quoi qu’il en soit, même si la requête avait été accueillie, la demande d’autorisation d’appel de l’arrêt de la Cour d’appel de l’Ontario, numéro M-41490, daté du 30 novembre 2012, aurait été rejetée avec dépens.</w:t>
            </w:r>
          </w:p>
        </w:tc>
      </w:tr>
    </w:tbl>
    <w:p w:rsidR="0096146C" w:rsidRPr="0007290A"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1D7" w:rsidRPr="00CA7C76" w:rsidTr="0083184B">
        <w:tc>
          <w:tcPr>
            <w:tcW w:w="5000" w:type="pct"/>
            <w:gridSpan w:val="3"/>
          </w:tcPr>
          <w:p w:rsidR="009A31D7" w:rsidRPr="00CA7C76" w:rsidRDefault="009A31D7" w:rsidP="0083184B">
            <w:pPr>
              <w:jc w:val="both"/>
              <w:rPr>
                <w:rFonts w:eastAsia="Calibri"/>
                <w:sz w:val="20"/>
              </w:rPr>
            </w:pPr>
            <w:r w:rsidRPr="00CA7C76">
              <w:rPr>
                <w:rFonts w:eastAsia="Calibri"/>
                <w:sz w:val="20"/>
              </w:rPr>
              <w:t xml:space="preserve">Civil procedure — Denial of leave to appeal order refusing to set aside or vary order denying extension of time to </w:t>
            </w:r>
            <w:r w:rsidRPr="00CA7C76">
              <w:rPr>
                <w:rFonts w:eastAsia="Calibri"/>
                <w:sz w:val="20"/>
              </w:rPr>
              <w:lastRenderedPageBreak/>
              <w:t>appeal of denial of various motions — Whether Court of Appeal erred in denying leave to appeal.</w:t>
            </w:r>
          </w:p>
        </w:tc>
      </w:tr>
      <w:tr w:rsidR="009A31D7" w:rsidRPr="00CA7C76" w:rsidTr="0083184B">
        <w:tc>
          <w:tcPr>
            <w:tcW w:w="5000" w:type="pct"/>
            <w:gridSpan w:val="3"/>
          </w:tcPr>
          <w:p w:rsidR="009A31D7" w:rsidRPr="00CA7C76" w:rsidRDefault="009A31D7" w:rsidP="0083184B">
            <w:pPr>
              <w:jc w:val="both"/>
              <w:rPr>
                <w:rFonts w:eastAsia="Calibri"/>
                <w:sz w:val="20"/>
              </w:rPr>
            </w:pPr>
          </w:p>
        </w:tc>
      </w:tr>
      <w:tr w:rsidR="009A31D7" w:rsidRPr="00CA7C76" w:rsidTr="0083184B">
        <w:tc>
          <w:tcPr>
            <w:tcW w:w="5000" w:type="pct"/>
            <w:gridSpan w:val="3"/>
          </w:tcPr>
          <w:p w:rsidR="009A31D7" w:rsidRPr="00CA7C76" w:rsidRDefault="009A31D7" w:rsidP="0083184B">
            <w:pPr>
              <w:jc w:val="both"/>
              <w:rPr>
                <w:rFonts w:eastAsia="Calibri"/>
                <w:sz w:val="20"/>
              </w:rPr>
            </w:pPr>
            <w:r w:rsidRPr="00CA7C76">
              <w:rPr>
                <w:rFonts w:eastAsia="Calibri"/>
                <w:sz w:val="20"/>
              </w:rPr>
              <w:t xml:space="preserve">Marek Petrykowski was employed by 553562 Ontario Limited carrying on business as Bell Cartage (“Bell Cartage”).  Bell Cartage filed a Statement of Claim, but it was administratively dismissed for want of prosecution.  The next year, Mr. Petrykowski filed his own Statement of Claim in the Small Claims Court and revived the claim against him in the Superior Court.  There followed numerous proceedings, including a series of motions before WhittenJ. of the Superior Court.  Mr. Petrykowski was permitted to amend his Statement of Defence, but requests to add a counterclaim based on the facts of the claim in Small Claims Court, consolidate the proceeding with his claim in Small Claims Court, stay his claim in Small Claims Court, and to set aside any applicable limitation period under the doctrine of fraudulent concealment were dismissed.  Having pursued numerous other procedural remedies, Mr. Petrykowski moved, unsuccessfully, for an extension of time to appeal Whitten J.’s order. </w:t>
            </w:r>
          </w:p>
          <w:p w:rsidR="009A31D7" w:rsidRPr="00CA7C76" w:rsidRDefault="009A31D7" w:rsidP="0083184B">
            <w:pPr>
              <w:jc w:val="both"/>
              <w:rPr>
                <w:rFonts w:eastAsia="Calibri"/>
                <w:sz w:val="20"/>
              </w:rPr>
            </w:pPr>
          </w:p>
          <w:p w:rsidR="009A31D7" w:rsidRPr="00CA7C76" w:rsidRDefault="009A31D7" w:rsidP="0083184B">
            <w:pPr>
              <w:jc w:val="both"/>
              <w:rPr>
                <w:rFonts w:eastAsia="Calibri"/>
                <w:sz w:val="20"/>
              </w:rPr>
            </w:pPr>
            <w:r w:rsidRPr="00CA7C76">
              <w:rPr>
                <w:rFonts w:eastAsia="Calibri"/>
                <w:sz w:val="20"/>
              </w:rPr>
              <w:t>The Divisional Court dismissed Mr. Petrykowski’s motion to set aside or vary the order of Milanetti J., and the Court of Appeal dismissed Mr. Petrykowski’s motion for leave to appeal that decision.  Subsequently, on April 25, 2013, a judge of the Superior Court of Justice ordered that “neither party shall commence or continue any action against the other for any reason for anything that happened between them up to and including April 25, 2013”.</w:t>
            </w: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November 21, 2011</w:t>
            </w:r>
          </w:p>
          <w:p w:rsidR="009A31D7" w:rsidRPr="00CA7C76" w:rsidRDefault="009A31D7" w:rsidP="0083184B">
            <w:pPr>
              <w:jc w:val="both"/>
              <w:rPr>
                <w:rFonts w:eastAsia="Calibri"/>
                <w:sz w:val="20"/>
              </w:rPr>
            </w:pPr>
            <w:r w:rsidRPr="00CA7C76">
              <w:rPr>
                <w:rFonts w:eastAsia="Calibri"/>
                <w:sz w:val="20"/>
              </w:rPr>
              <w:t>Ontario Superior Court of Justice</w:t>
            </w:r>
          </w:p>
          <w:p w:rsidR="009A31D7" w:rsidRPr="00CA7C76" w:rsidRDefault="009A31D7" w:rsidP="0083184B">
            <w:pPr>
              <w:jc w:val="both"/>
              <w:rPr>
                <w:rFonts w:eastAsia="Calibri"/>
                <w:sz w:val="20"/>
              </w:rPr>
            </w:pPr>
            <w:r w:rsidRPr="00CA7C76">
              <w:rPr>
                <w:rFonts w:eastAsia="Calibri"/>
                <w:sz w:val="20"/>
              </w:rPr>
              <w:t>(Milanetti J.)</w:t>
            </w:r>
          </w:p>
          <w:bookmarkStart w:id="2" w:name="reflex-caselaw-21898104"/>
          <w:bookmarkEnd w:id="2"/>
          <w:p w:rsidR="009A31D7" w:rsidRPr="00CA7C76" w:rsidRDefault="003172C2" w:rsidP="0083184B">
            <w:pPr>
              <w:jc w:val="both"/>
              <w:rPr>
                <w:rFonts w:eastAsia="Calibri"/>
                <w:sz w:val="20"/>
              </w:rPr>
            </w:pPr>
            <w:r w:rsidRPr="00CA7C76">
              <w:rPr>
                <w:rFonts w:eastAsia="Calibri"/>
                <w:sz w:val="20"/>
              </w:rPr>
              <w:fldChar w:fldCharType="begin"/>
            </w:r>
            <w:r w:rsidR="009A31D7" w:rsidRPr="00CA7C76">
              <w:rPr>
                <w:rFonts w:eastAsia="Calibri"/>
                <w:sz w:val="20"/>
              </w:rPr>
              <w:instrText xml:space="preserve"> HYPERLINK "http://www.canlii.org/en/on/onsc/doc/2011/2011onsc6711/2011onsc6711.html" </w:instrText>
            </w:r>
            <w:r w:rsidR="00F27688" w:rsidRPr="00CA7C76">
              <w:rPr>
                <w:rFonts w:eastAsia="Calibri"/>
                <w:sz w:val="20"/>
              </w:rPr>
            </w:r>
            <w:r w:rsidRPr="00CA7C76">
              <w:rPr>
                <w:rFonts w:eastAsia="Calibri"/>
                <w:sz w:val="20"/>
              </w:rPr>
              <w:fldChar w:fldCharType="separate"/>
            </w:r>
            <w:r w:rsidR="009A31D7" w:rsidRPr="004C6EEE">
              <w:rPr>
                <w:rFonts w:eastAsia="Calibri"/>
                <w:color w:val="0000FF"/>
                <w:sz w:val="20"/>
                <w:u w:val="single"/>
              </w:rPr>
              <w:t>2011 ONSC 6711</w:t>
            </w:r>
            <w:r w:rsidRPr="00CA7C76">
              <w:rPr>
                <w:rFonts w:eastAsia="Calibri"/>
                <w:sz w:val="20"/>
              </w:rPr>
              <w:fldChar w:fldCharType="end"/>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Motion to extend time dismissed</w:t>
            </w: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June 8, 2012</w:t>
            </w:r>
          </w:p>
          <w:p w:rsidR="009A31D7" w:rsidRPr="00CA7C76" w:rsidRDefault="009A31D7" w:rsidP="0083184B">
            <w:pPr>
              <w:jc w:val="both"/>
              <w:rPr>
                <w:rFonts w:eastAsia="Calibri"/>
                <w:sz w:val="20"/>
              </w:rPr>
            </w:pPr>
            <w:r w:rsidRPr="00CA7C76">
              <w:rPr>
                <w:rFonts w:eastAsia="Calibri"/>
                <w:sz w:val="20"/>
              </w:rPr>
              <w:t xml:space="preserve">Ontario Superior Court of Justice </w:t>
            </w:r>
          </w:p>
          <w:p w:rsidR="009A31D7" w:rsidRPr="00CA7C76" w:rsidRDefault="009A31D7" w:rsidP="0083184B">
            <w:pPr>
              <w:jc w:val="both"/>
              <w:rPr>
                <w:rFonts w:eastAsia="Calibri"/>
                <w:sz w:val="20"/>
              </w:rPr>
            </w:pPr>
            <w:r w:rsidRPr="00CA7C76">
              <w:rPr>
                <w:rFonts w:eastAsia="Calibri"/>
                <w:sz w:val="20"/>
              </w:rPr>
              <w:t>(Divisional Court)</w:t>
            </w:r>
          </w:p>
          <w:p w:rsidR="009A31D7" w:rsidRPr="00CA7C76" w:rsidRDefault="009A31D7" w:rsidP="0083184B">
            <w:pPr>
              <w:jc w:val="both"/>
              <w:rPr>
                <w:rFonts w:eastAsia="Calibri"/>
                <w:sz w:val="20"/>
              </w:rPr>
            </w:pPr>
            <w:r w:rsidRPr="00CA7C76">
              <w:rPr>
                <w:rFonts w:eastAsia="Calibri"/>
                <w:sz w:val="20"/>
              </w:rPr>
              <w:t>(Koke, Sachs and Ellie JJ.A.)</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Motion to set aside or vary order of Milanetti J. dated November 21, 2011, dismissed</w:t>
            </w: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November 30, 2012</w:t>
            </w:r>
          </w:p>
          <w:p w:rsidR="009A31D7" w:rsidRPr="00CA7C76" w:rsidRDefault="009A31D7" w:rsidP="0083184B">
            <w:pPr>
              <w:jc w:val="both"/>
              <w:rPr>
                <w:rFonts w:eastAsia="Calibri"/>
                <w:sz w:val="20"/>
              </w:rPr>
            </w:pPr>
            <w:r w:rsidRPr="00CA7C76">
              <w:rPr>
                <w:rFonts w:eastAsia="Calibri"/>
                <w:sz w:val="20"/>
              </w:rPr>
              <w:t>Court of Appeal for Ontario</w:t>
            </w:r>
          </w:p>
          <w:p w:rsidR="009A31D7" w:rsidRPr="00CA7C76" w:rsidRDefault="009A31D7" w:rsidP="0083184B">
            <w:pPr>
              <w:jc w:val="both"/>
              <w:rPr>
                <w:rFonts w:eastAsia="Calibri"/>
                <w:sz w:val="20"/>
              </w:rPr>
            </w:pPr>
            <w:r w:rsidRPr="00CA7C76">
              <w:rPr>
                <w:rFonts w:eastAsia="Calibri"/>
                <w:sz w:val="20"/>
              </w:rPr>
              <w:t>(Winkler C.J.O., Doherty and Pepall JJ.A.)</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Application for leave to appeal decision on motion to set aside or vary order of Milanetti J. dismissed</w:t>
            </w: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February 19, 2014</w:t>
            </w:r>
          </w:p>
          <w:p w:rsidR="009A31D7" w:rsidRPr="00CA7C76" w:rsidRDefault="009A31D7" w:rsidP="0083184B">
            <w:pPr>
              <w:jc w:val="both"/>
              <w:rPr>
                <w:rFonts w:eastAsia="Calibri"/>
                <w:sz w:val="20"/>
              </w:rPr>
            </w:pPr>
            <w:r w:rsidRPr="00CA7C76">
              <w:rPr>
                <w:rFonts w:eastAsia="Calibri"/>
                <w:sz w:val="20"/>
              </w:rPr>
              <w:t>Supreme Court of Canada</w:t>
            </w: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Motion to extend time to serve and file leave application and 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61"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1D7" w:rsidRPr="00F27688" w:rsidTr="0083184B">
        <w:tc>
          <w:tcPr>
            <w:tcW w:w="5000" w:type="pct"/>
            <w:gridSpan w:val="3"/>
          </w:tcPr>
          <w:p w:rsidR="009A31D7" w:rsidRPr="00CA7C76" w:rsidRDefault="009A31D7" w:rsidP="0083184B">
            <w:pPr>
              <w:jc w:val="both"/>
              <w:rPr>
                <w:rFonts w:eastAsia="Calibri"/>
                <w:sz w:val="20"/>
                <w:lang w:val="fr-CA"/>
              </w:rPr>
            </w:pPr>
            <w:r w:rsidRPr="00CA7C76">
              <w:rPr>
                <w:rFonts w:eastAsia="Calibri"/>
                <w:sz w:val="20"/>
                <w:lang w:val="fr-CA"/>
              </w:rPr>
              <w:t xml:space="preserve">Procédure civile </w:t>
            </w:r>
            <w:r w:rsidRPr="00CA7C76">
              <w:rPr>
                <w:rFonts w:eastAsia="Calibri"/>
                <w:sz w:val="20"/>
                <w:lang w:val="fr-CA"/>
              </w:rPr>
              <w:noBreakHyphen/>
              <w:t xml:space="preserve"> Refus de l’autorisation d’en appeler d’une ordonnance refusant d’annuler ou de modifier une ordonnance refusant une prorogation du délai d’appel du rejet de diverses motions. — La Cour d’appel a eu tort de refuser l’autorisation d’appel?</w:t>
            </w:r>
          </w:p>
        </w:tc>
      </w:tr>
      <w:tr w:rsidR="009A31D7" w:rsidRPr="00F27688" w:rsidTr="0083184B">
        <w:tc>
          <w:tcPr>
            <w:tcW w:w="5000" w:type="pct"/>
            <w:gridSpan w:val="3"/>
          </w:tcPr>
          <w:p w:rsidR="009A31D7" w:rsidRPr="00CA7C76" w:rsidRDefault="009A31D7" w:rsidP="0083184B">
            <w:pPr>
              <w:jc w:val="both"/>
              <w:rPr>
                <w:rFonts w:eastAsia="Calibri"/>
                <w:sz w:val="20"/>
                <w:lang w:val="fr-CA"/>
              </w:rPr>
            </w:pPr>
          </w:p>
        </w:tc>
      </w:tr>
      <w:tr w:rsidR="009A31D7" w:rsidRPr="00F27688" w:rsidTr="0083184B">
        <w:tc>
          <w:tcPr>
            <w:tcW w:w="5000" w:type="pct"/>
            <w:gridSpan w:val="3"/>
          </w:tcPr>
          <w:p w:rsidR="009A31D7" w:rsidRPr="00CA7C76" w:rsidRDefault="009A31D7" w:rsidP="0083184B">
            <w:pPr>
              <w:jc w:val="both"/>
              <w:rPr>
                <w:rFonts w:eastAsia="Calibri"/>
                <w:sz w:val="20"/>
                <w:lang w:val="fr-CA"/>
              </w:rPr>
            </w:pPr>
            <w:r w:rsidRPr="00CA7C76">
              <w:rPr>
                <w:rFonts w:eastAsia="Calibri"/>
                <w:sz w:val="20"/>
                <w:lang w:val="fr-CA"/>
              </w:rPr>
              <w:t xml:space="preserve">Marek Petrykowski était au service de 553562 Ontario Limited, faisant affaire sous la raison sociale Bell Cartage (« Bell Cartage »).  Bell Cartage a déposé une déclaration qui a été rejetée sur le plan administratif pour défaut de poursuivre.  L’année suivante, M. Petrykowski a déposé sa propre déclaration à la Cour des petites créances et a fait reprendre l’action intentée contre lui en Cour supérieure.  Il y a eu de nombreuses procédures par la suite, y compris une série de motions présentées au juge Whitten de la Cour supérieure.  Monsieur Petrykowski a été autorisé à modifier sa défense, mais des demandes en vue d’ajouter une demande reconventionnelle fondée sur l’effet de la demande présentée à la Cour des petites créances, de joindre l’instance à sa demande à la Cour des petites créances, de suspendre sa demande à la Cour des petites créances et d’annuler tout délai de prescription applicable en vertu de la </w:t>
            </w:r>
            <w:r w:rsidRPr="00CA7C76">
              <w:rPr>
                <w:rFonts w:eastAsia="Calibri"/>
                <w:sz w:val="20"/>
                <w:lang w:val="fr-CA"/>
              </w:rPr>
              <w:lastRenderedPageBreak/>
              <w:t xml:space="preserve">doctrine de la dissimulation frauduleuse ont été rejetées.  Ayant intenté de nombreux autres recours à caractère procédural, M. Petrykowski a demandé par motion, sans succès, une prorogation du délai d’interjeter appel de l’ordonnance du juge Whitten. </w:t>
            </w:r>
          </w:p>
          <w:p w:rsidR="009A31D7" w:rsidRPr="00CA7C76" w:rsidRDefault="009A31D7" w:rsidP="0083184B">
            <w:pPr>
              <w:jc w:val="both"/>
              <w:rPr>
                <w:rFonts w:eastAsia="Calibri"/>
                <w:sz w:val="20"/>
                <w:lang w:val="fr-CA"/>
              </w:rPr>
            </w:pPr>
          </w:p>
          <w:p w:rsidR="009A31D7" w:rsidRPr="00CA7C76" w:rsidRDefault="009A31D7" w:rsidP="0083184B">
            <w:pPr>
              <w:jc w:val="both"/>
              <w:rPr>
                <w:rFonts w:eastAsia="Calibri"/>
                <w:sz w:val="20"/>
                <w:lang w:val="fr-CA"/>
              </w:rPr>
            </w:pPr>
            <w:r w:rsidRPr="00CA7C76">
              <w:rPr>
                <w:rFonts w:eastAsia="Calibri"/>
                <w:sz w:val="20"/>
                <w:lang w:val="fr-CA"/>
              </w:rPr>
              <w:t>La Cour divisionnaire a rejeté la motion de M. Petrykowski en annulation ou en modification de l’ordonnance du juge Milanetti, et la Cour d’appel a rejeté la motion de M. Petrykowski en autorisation d’appel de cette décision.  Par la suite, le 25 avril 2013, un juge de la Cour supérieure de justice a statué que [</w:t>
            </w:r>
            <w:r w:rsidRPr="00CA7C76">
              <w:rPr>
                <w:rFonts w:eastAsia="Calibri"/>
                <w:smallCaps/>
                <w:sz w:val="20"/>
                <w:lang w:val="fr-CA"/>
              </w:rPr>
              <w:t>traduction</w:t>
            </w:r>
            <w:r w:rsidRPr="00CA7C76">
              <w:rPr>
                <w:rFonts w:eastAsia="Calibri"/>
                <w:sz w:val="20"/>
                <w:lang w:val="fr-CA"/>
              </w:rPr>
              <w:t>] « ni l’une ni l’autre des parties ne [pouvait] intenter ou poursuivre une action contre l’autre pour quelque motif que ce soit lié à ce qui se serait produit entre eux jusqu’au 25 avril 2013 inclusivement ».</w:t>
            </w:r>
          </w:p>
          <w:p w:rsidR="009A31D7" w:rsidRPr="00CA7C76" w:rsidRDefault="009A31D7" w:rsidP="0083184B">
            <w:pPr>
              <w:jc w:val="both"/>
              <w:rPr>
                <w:rFonts w:eastAsia="Calibri"/>
                <w:sz w:val="20"/>
                <w:lang w:val="fr-CA"/>
              </w:rPr>
            </w:pPr>
          </w:p>
        </w:tc>
      </w:tr>
      <w:tr w:rsidR="009A31D7" w:rsidRPr="00F27688"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lastRenderedPageBreak/>
              <w:t>21 novembre 2011</w:t>
            </w:r>
          </w:p>
          <w:p w:rsidR="009A31D7" w:rsidRPr="00CA7C76" w:rsidRDefault="009A31D7" w:rsidP="0083184B">
            <w:pPr>
              <w:jc w:val="both"/>
              <w:rPr>
                <w:rFonts w:eastAsia="Calibri"/>
                <w:sz w:val="20"/>
                <w:lang w:val="fr-CA"/>
              </w:rPr>
            </w:pPr>
            <w:r w:rsidRPr="00CA7C76">
              <w:rPr>
                <w:rFonts w:eastAsia="Calibri"/>
                <w:sz w:val="20"/>
                <w:lang w:val="fr-CA"/>
              </w:rPr>
              <w:t>Cour supérieure de justice de l’Ontario</w:t>
            </w:r>
          </w:p>
          <w:p w:rsidR="009A31D7" w:rsidRPr="00CA7C76" w:rsidRDefault="009A31D7" w:rsidP="0083184B">
            <w:pPr>
              <w:jc w:val="both"/>
              <w:rPr>
                <w:rFonts w:eastAsia="Calibri"/>
                <w:sz w:val="20"/>
                <w:lang w:val="fr-CA"/>
              </w:rPr>
            </w:pPr>
            <w:r w:rsidRPr="00CA7C76">
              <w:rPr>
                <w:rFonts w:eastAsia="Calibri"/>
                <w:sz w:val="20"/>
                <w:lang w:val="fr-CA"/>
              </w:rPr>
              <w:t>(Juge Milanetti)</w:t>
            </w:r>
          </w:p>
          <w:p w:rsidR="009A31D7" w:rsidRPr="00CA7C76" w:rsidRDefault="00F27688" w:rsidP="0083184B">
            <w:pPr>
              <w:jc w:val="both"/>
              <w:rPr>
                <w:rFonts w:eastAsia="Calibri"/>
                <w:sz w:val="20"/>
                <w:lang w:val="fr-CA"/>
              </w:rPr>
            </w:pPr>
            <w:hyperlink r:id="rId42" w:history="1">
              <w:r w:rsidR="009A31D7" w:rsidRPr="004C6EEE">
                <w:rPr>
                  <w:rFonts w:eastAsia="Calibri"/>
                  <w:color w:val="0000FF"/>
                  <w:sz w:val="20"/>
                  <w:u w:val="single"/>
                  <w:lang w:val="fr-CA"/>
                </w:rPr>
                <w:t>2011 ONSC 6711</w:t>
              </w:r>
            </w:hyperlink>
          </w:p>
          <w:p w:rsidR="009A31D7" w:rsidRPr="00CA7C76" w:rsidRDefault="009A31D7" w:rsidP="0083184B">
            <w:pPr>
              <w:jc w:val="both"/>
              <w:rPr>
                <w:rFonts w:eastAsia="Calibri"/>
                <w:sz w:val="20"/>
                <w:lang w:val="fr-CA"/>
              </w:rPr>
            </w:pPr>
          </w:p>
        </w:tc>
        <w:tc>
          <w:tcPr>
            <w:tcW w:w="243" w:type="pct"/>
          </w:tcPr>
          <w:p w:rsidR="009A31D7" w:rsidRPr="00CA7C76" w:rsidRDefault="009A31D7" w:rsidP="0083184B">
            <w:pPr>
              <w:jc w:val="both"/>
              <w:rPr>
                <w:rFonts w:eastAsia="Calibri"/>
                <w:sz w:val="20"/>
                <w:lang w:val="fr-CA"/>
              </w:rPr>
            </w:pPr>
          </w:p>
        </w:tc>
        <w:tc>
          <w:tcPr>
            <w:tcW w:w="2330" w:type="pct"/>
          </w:tcPr>
          <w:p w:rsidR="009A31D7" w:rsidRPr="00CA7C76" w:rsidRDefault="009A31D7" w:rsidP="0083184B">
            <w:pPr>
              <w:jc w:val="both"/>
              <w:rPr>
                <w:rFonts w:eastAsia="Calibri"/>
                <w:sz w:val="20"/>
                <w:lang w:val="fr-CA"/>
              </w:rPr>
            </w:pPr>
            <w:r w:rsidRPr="00CA7C76">
              <w:rPr>
                <w:rFonts w:eastAsia="Calibri"/>
                <w:sz w:val="20"/>
                <w:lang w:val="fr-CA"/>
              </w:rPr>
              <w:t>Motion en prorogation de délai, rejetée</w:t>
            </w:r>
          </w:p>
          <w:p w:rsidR="009A31D7" w:rsidRPr="00CA7C76" w:rsidRDefault="009A31D7" w:rsidP="0083184B">
            <w:pPr>
              <w:jc w:val="both"/>
              <w:rPr>
                <w:rFonts w:eastAsia="Calibri"/>
                <w:sz w:val="20"/>
                <w:lang w:val="fr-CA"/>
              </w:rPr>
            </w:pPr>
          </w:p>
        </w:tc>
      </w:tr>
      <w:tr w:rsidR="009A31D7" w:rsidRPr="00F27688"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8 juin 2012</w:t>
            </w:r>
          </w:p>
          <w:p w:rsidR="009A31D7" w:rsidRPr="00CA7C76" w:rsidRDefault="009A31D7" w:rsidP="0083184B">
            <w:pPr>
              <w:jc w:val="both"/>
              <w:rPr>
                <w:rFonts w:eastAsia="Calibri"/>
                <w:sz w:val="20"/>
                <w:lang w:val="fr-CA"/>
              </w:rPr>
            </w:pPr>
            <w:r w:rsidRPr="00CA7C76">
              <w:rPr>
                <w:rFonts w:eastAsia="Calibri"/>
                <w:sz w:val="20"/>
                <w:lang w:val="fr-CA"/>
              </w:rPr>
              <w:t>Cour supérieure de justice de l’Ontario</w:t>
            </w:r>
          </w:p>
          <w:p w:rsidR="009A31D7" w:rsidRPr="00CA7C76" w:rsidRDefault="009A31D7" w:rsidP="0083184B">
            <w:pPr>
              <w:jc w:val="both"/>
              <w:rPr>
                <w:rFonts w:eastAsia="Calibri"/>
                <w:sz w:val="20"/>
                <w:lang w:val="fr-CA"/>
              </w:rPr>
            </w:pPr>
            <w:r w:rsidRPr="00CA7C76">
              <w:rPr>
                <w:rFonts w:eastAsia="Calibri"/>
                <w:sz w:val="20"/>
                <w:lang w:val="fr-CA"/>
              </w:rPr>
              <w:t>(Cour divisionnaire)</w:t>
            </w:r>
          </w:p>
          <w:p w:rsidR="009A31D7" w:rsidRPr="00CA7C76" w:rsidRDefault="009A31D7" w:rsidP="0083184B">
            <w:pPr>
              <w:jc w:val="both"/>
              <w:rPr>
                <w:rFonts w:eastAsia="Calibri"/>
                <w:sz w:val="20"/>
                <w:lang w:val="fr-CA"/>
              </w:rPr>
            </w:pPr>
            <w:r w:rsidRPr="00CA7C76">
              <w:rPr>
                <w:rFonts w:eastAsia="Calibri"/>
                <w:sz w:val="20"/>
                <w:lang w:val="fr-CA"/>
              </w:rPr>
              <w:t>(Juges Koke, Sachs et Ellie)</w:t>
            </w:r>
          </w:p>
          <w:p w:rsidR="009A31D7" w:rsidRPr="00CA7C76" w:rsidRDefault="009A31D7" w:rsidP="0083184B">
            <w:pPr>
              <w:jc w:val="both"/>
              <w:rPr>
                <w:rFonts w:eastAsia="Calibri"/>
                <w:sz w:val="20"/>
                <w:lang w:val="fr-CA"/>
              </w:rPr>
            </w:pPr>
          </w:p>
        </w:tc>
        <w:tc>
          <w:tcPr>
            <w:tcW w:w="243" w:type="pct"/>
          </w:tcPr>
          <w:p w:rsidR="009A31D7" w:rsidRPr="00CA7C76" w:rsidRDefault="009A31D7" w:rsidP="0083184B">
            <w:pPr>
              <w:jc w:val="both"/>
              <w:rPr>
                <w:rFonts w:eastAsia="Calibri"/>
                <w:sz w:val="20"/>
                <w:lang w:val="fr-CA"/>
              </w:rPr>
            </w:pPr>
          </w:p>
        </w:tc>
        <w:tc>
          <w:tcPr>
            <w:tcW w:w="2330" w:type="pct"/>
          </w:tcPr>
          <w:p w:rsidR="009A31D7" w:rsidRPr="00CA7C76" w:rsidRDefault="009A31D7" w:rsidP="0083184B">
            <w:pPr>
              <w:jc w:val="both"/>
              <w:rPr>
                <w:rFonts w:eastAsia="Calibri"/>
                <w:sz w:val="20"/>
                <w:lang w:val="fr-CA"/>
              </w:rPr>
            </w:pPr>
            <w:r w:rsidRPr="00CA7C76">
              <w:rPr>
                <w:rFonts w:eastAsia="Calibri"/>
                <w:sz w:val="20"/>
                <w:lang w:val="fr-CA"/>
              </w:rPr>
              <w:t>Motion en annulation ou en modification de l’ordonnance du juge Milanetti en date du 21 novembre 2011, rejetée</w:t>
            </w:r>
          </w:p>
        </w:tc>
      </w:tr>
      <w:tr w:rsidR="009A31D7" w:rsidRPr="00F27688"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30 novembre 2012</w:t>
            </w:r>
          </w:p>
          <w:p w:rsidR="009A31D7" w:rsidRPr="00CA7C76" w:rsidRDefault="009A31D7" w:rsidP="0083184B">
            <w:pPr>
              <w:jc w:val="both"/>
              <w:rPr>
                <w:rFonts w:eastAsia="Calibri"/>
                <w:sz w:val="20"/>
                <w:lang w:val="fr-CA"/>
              </w:rPr>
            </w:pPr>
            <w:r w:rsidRPr="00CA7C76">
              <w:rPr>
                <w:rFonts w:eastAsia="Calibri"/>
                <w:sz w:val="20"/>
                <w:lang w:val="fr-CA"/>
              </w:rPr>
              <w:t>Cour d’appel de l’Ontario</w:t>
            </w:r>
          </w:p>
          <w:p w:rsidR="009A31D7" w:rsidRPr="00CA7C76" w:rsidRDefault="009A31D7" w:rsidP="0083184B">
            <w:pPr>
              <w:jc w:val="both"/>
              <w:rPr>
                <w:rFonts w:eastAsia="Calibri"/>
                <w:sz w:val="20"/>
                <w:lang w:val="fr-CA"/>
              </w:rPr>
            </w:pPr>
            <w:r w:rsidRPr="00CA7C76">
              <w:rPr>
                <w:rFonts w:eastAsia="Calibri"/>
                <w:sz w:val="20"/>
                <w:lang w:val="fr-CA"/>
              </w:rPr>
              <w:t>(Juge en chef Winkler, juges Doherty et Pepall)</w:t>
            </w:r>
          </w:p>
          <w:p w:rsidR="009A31D7" w:rsidRPr="00CA7C76" w:rsidRDefault="009A31D7" w:rsidP="0083184B">
            <w:pPr>
              <w:jc w:val="both"/>
              <w:rPr>
                <w:rFonts w:eastAsia="Calibri"/>
                <w:sz w:val="20"/>
                <w:lang w:val="fr-CA"/>
              </w:rPr>
            </w:pPr>
          </w:p>
        </w:tc>
        <w:tc>
          <w:tcPr>
            <w:tcW w:w="243" w:type="pct"/>
          </w:tcPr>
          <w:p w:rsidR="009A31D7" w:rsidRPr="00CA7C76" w:rsidRDefault="009A31D7" w:rsidP="0083184B">
            <w:pPr>
              <w:jc w:val="both"/>
              <w:rPr>
                <w:rFonts w:eastAsia="Calibri"/>
                <w:sz w:val="20"/>
                <w:lang w:val="fr-CA"/>
              </w:rPr>
            </w:pPr>
          </w:p>
        </w:tc>
        <w:tc>
          <w:tcPr>
            <w:tcW w:w="2330" w:type="pct"/>
          </w:tcPr>
          <w:p w:rsidR="009A31D7" w:rsidRPr="00CA7C76" w:rsidRDefault="009A31D7" w:rsidP="0083184B">
            <w:pPr>
              <w:jc w:val="both"/>
              <w:rPr>
                <w:rFonts w:eastAsia="Calibri"/>
                <w:sz w:val="20"/>
                <w:lang w:val="fr-CA"/>
              </w:rPr>
            </w:pPr>
            <w:r w:rsidRPr="00CA7C76">
              <w:rPr>
                <w:rFonts w:eastAsia="Calibri"/>
                <w:sz w:val="20"/>
                <w:lang w:val="fr-CA"/>
              </w:rPr>
              <w:t>Motion en autorisation d’appel de la décision sur la motion en annulation ou en modification de l’ordonnance du juge Milanetti, rejetée</w:t>
            </w:r>
          </w:p>
        </w:tc>
      </w:tr>
      <w:tr w:rsidR="009A31D7" w:rsidRPr="00F27688"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19 février 2014</w:t>
            </w:r>
          </w:p>
          <w:p w:rsidR="009A31D7" w:rsidRPr="00CA7C76" w:rsidRDefault="009A31D7" w:rsidP="0083184B">
            <w:pPr>
              <w:jc w:val="both"/>
              <w:rPr>
                <w:rFonts w:eastAsia="Calibri"/>
                <w:sz w:val="20"/>
                <w:lang w:val="fr-CA"/>
              </w:rPr>
            </w:pPr>
            <w:r w:rsidRPr="00CA7C76">
              <w:rPr>
                <w:rFonts w:eastAsia="Calibri"/>
                <w:sz w:val="20"/>
                <w:lang w:val="fr-CA"/>
              </w:rPr>
              <w:t>Cour suprême du Canada</w:t>
            </w:r>
          </w:p>
        </w:tc>
        <w:tc>
          <w:tcPr>
            <w:tcW w:w="243" w:type="pct"/>
          </w:tcPr>
          <w:p w:rsidR="009A31D7" w:rsidRPr="00CA7C76" w:rsidRDefault="009A31D7" w:rsidP="0083184B">
            <w:pPr>
              <w:jc w:val="both"/>
              <w:rPr>
                <w:rFonts w:eastAsia="Calibri"/>
                <w:sz w:val="20"/>
                <w:lang w:val="fr-CA"/>
              </w:rPr>
            </w:pPr>
          </w:p>
        </w:tc>
        <w:tc>
          <w:tcPr>
            <w:tcW w:w="2330" w:type="pct"/>
          </w:tcPr>
          <w:p w:rsidR="009A31D7" w:rsidRPr="00CA7C76" w:rsidRDefault="009A31D7" w:rsidP="0083184B">
            <w:pPr>
              <w:jc w:val="both"/>
              <w:rPr>
                <w:rFonts w:eastAsia="Calibri"/>
                <w:sz w:val="20"/>
                <w:lang w:val="fr-CA"/>
              </w:rPr>
            </w:pPr>
            <w:r w:rsidRPr="00CA7C76">
              <w:rPr>
                <w:rFonts w:eastAsia="Calibri"/>
                <w:sz w:val="20"/>
                <w:lang w:val="fr-CA"/>
              </w:rPr>
              <w:t>Requête en prorogation du délai de signification et de dépôt de la demande d’autorisation et demande d’autorisation d’appel, déposées</w:t>
            </w:r>
          </w:p>
        </w:tc>
      </w:tr>
    </w:tbl>
    <w:p w:rsidR="0096146C" w:rsidRPr="009A31D7"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62" style="width:2in;height:1pt" o:hrpct="0" o:hralign="center" o:hrstd="t" o:hrnoshade="t" o:hr="t" fillcolor="black [3213]" stroked="f"/>
        </w:pict>
      </w:r>
    </w:p>
    <w:p w:rsidR="0096146C" w:rsidRDefault="0096146C" w:rsidP="0096146C">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365D4" w:rsidRPr="00F365D4" w:rsidTr="00162E9D">
        <w:trPr>
          <w:cantSplit/>
        </w:trPr>
        <w:tc>
          <w:tcPr>
            <w:tcW w:w="1458" w:type="dxa"/>
          </w:tcPr>
          <w:p w:rsidR="00F365D4" w:rsidRPr="00F365D4" w:rsidRDefault="00F365D4" w:rsidP="00F365D4">
            <w:pPr>
              <w:rPr>
                <w:sz w:val="20"/>
              </w:rPr>
            </w:pPr>
            <w:r w:rsidRPr="00F365D4">
              <w:rPr>
                <w:b/>
                <w:sz w:val="20"/>
                <w:lang w:val="fr-CA"/>
              </w:rPr>
              <w:t>35740</w:t>
            </w:r>
          </w:p>
          <w:p w:rsidR="00F365D4" w:rsidRPr="00F365D4" w:rsidRDefault="00F365D4" w:rsidP="00F365D4">
            <w:pPr>
              <w:rPr>
                <w:b/>
                <w:sz w:val="20"/>
                <w:lang w:val="fr-CA"/>
              </w:rPr>
            </w:pPr>
          </w:p>
        </w:tc>
        <w:tc>
          <w:tcPr>
            <w:tcW w:w="8118" w:type="dxa"/>
          </w:tcPr>
          <w:p w:rsidR="00F365D4" w:rsidRPr="00F365D4" w:rsidRDefault="00F365D4" w:rsidP="00F365D4">
            <w:pPr>
              <w:rPr>
                <w:sz w:val="20"/>
              </w:rPr>
            </w:pPr>
            <w:r w:rsidRPr="00F365D4">
              <w:rPr>
                <w:b/>
                <w:sz w:val="20"/>
                <w:u w:val="single"/>
              </w:rPr>
              <w:t>Peter Waskowec v. Hydro One Networks Inc.</w:t>
            </w:r>
            <w:r w:rsidRPr="00F365D4">
              <w:rPr>
                <w:sz w:val="20"/>
              </w:rPr>
              <w:t xml:space="preserve"> (Ont.) (Civil) (By Leave)</w:t>
            </w:r>
          </w:p>
          <w:p w:rsidR="00F365D4" w:rsidRPr="00F365D4" w:rsidRDefault="00F365D4" w:rsidP="00F365D4">
            <w:pPr>
              <w:rPr>
                <w:sz w:val="20"/>
              </w:rPr>
            </w:pPr>
          </w:p>
        </w:tc>
      </w:tr>
      <w:tr w:rsidR="00F365D4" w:rsidRPr="00F365D4" w:rsidTr="00162E9D">
        <w:trPr>
          <w:cantSplit/>
        </w:trPr>
        <w:tc>
          <w:tcPr>
            <w:tcW w:w="1458" w:type="dxa"/>
          </w:tcPr>
          <w:p w:rsidR="00F365D4" w:rsidRPr="00F365D4" w:rsidRDefault="00F365D4" w:rsidP="00F365D4">
            <w:pPr>
              <w:rPr>
                <w:sz w:val="20"/>
              </w:rPr>
            </w:pPr>
            <w:r w:rsidRPr="00F365D4">
              <w:rPr>
                <w:sz w:val="20"/>
              </w:rPr>
              <w:t>Coram :</w:t>
            </w:r>
          </w:p>
        </w:tc>
        <w:tc>
          <w:tcPr>
            <w:tcW w:w="8118" w:type="dxa"/>
          </w:tcPr>
          <w:p w:rsidR="00F365D4" w:rsidRPr="00F365D4" w:rsidRDefault="00F365D4" w:rsidP="00F365D4">
            <w:pPr>
              <w:rPr>
                <w:sz w:val="20"/>
              </w:rPr>
            </w:pPr>
            <w:r w:rsidRPr="00F365D4">
              <w:rPr>
                <w:sz w:val="20"/>
                <w:u w:val="single"/>
              </w:rPr>
              <w:t>Abella, Rothstein and Moldaver JJ.</w:t>
            </w:r>
          </w:p>
          <w:p w:rsidR="00F365D4" w:rsidRPr="00F365D4" w:rsidRDefault="00F365D4" w:rsidP="00F365D4">
            <w:pPr>
              <w:rPr>
                <w:sz w:val="20"/>
                <w:u w:val="single"/>
              </w:rPr>
            </w:pPr>
          </w:p>
        </w:tc>
      </w:tr>
      <w:tr w:rsidR="00F365D4" w:rsidRPr="00F27688" w:rsidTr="00162E9D">
        <w:trPr>
          <w:cantSplit/>
        </w:trPr>
        <w:tc>
          <w:tcPr>
            <w:tcW w:w="9576" w:type="dxa"/>
            <w:gridSpan w:val="2"/>
          </w:tcPr>
          <w:p w:rsidR="00F365D4" w:rsidRPr="00F365D4" w:rsidRDefault="00F365D4" w:rsidP="00F365D4">
            <w:pPr>
              <w:ind w:firstLine="720"/>
              <w:jc w:val="both"/>
              <w:rPr>
                <w:sz w:val="20"/>
              </w:rPr>
            </w:pPr>
            <w:r w:rsidRPr="00F365D4">
              <w:rPr>
                <w:sz w:val="20"/>
              </w:rPr>
              <w:t>The ancillary motions are dismissed. The application for leave to appeal from the judgment of the Court of Appeal for Ontario, Number C57360, 2013 ONCA 763, dated December 13, 2013, is dismissed without costs.</w:t>
            </w:r>
          </w:p>
          <w:p w:rsidR="00F365D4" w:rsidRPr="00F365D4" w:rsidRDefault="00F365D4" w:rsidP="00F365D4">
            <w:pPr>
              <w:jc w:val="both"/>
              <w:rPr>
                <w:sz w:val="20"/>
              </w:rPr>
            </w:pPr>
          </w:p>
          <w:p w:rsidR="00F365D4" w:rsidRPr="00F365D4" w:rsidRDefault="00F365D4" w:rsidP="00F365D4">
            <w:pPr>
              <w:ind w:firstLine="720"/>
              <w:jc w:val="both"/>
              <w:rPr>
                <w:sz w:val="20"/>
                <w:lang w:val="fr-CA"/>
              </w:rPr>
            </w:pPr>
            <w:r w:rsidRPr="00F365D4">
              <w:rPr>
                <w:sz w:val="20"/>
                <w:lang w:val="fr-CA"/>
              </w:rPr>
              <w:t>Les requêtes accessoires sont rejetées. La demande d’autorisation d’appel de l’arrêt de la Cour d’appel de l’Ontario, numéro C57360, 2013 ONCA 763, daté du 13 décembre 2013, est rejetée sans dépens.</w:t>
            </w:r>
          </w:p>
        </w:tc>
      </w:tr>
    </w:tbl>
    <w:p w:rsidR="0096146C" w:rsidRPr="00F365D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1D7" w:rsidRPr="00CA7C76" w:rsidTr="0083184B">
        <w:tc>
          <w:tcPr>
            <w:tcW w:w="5000" w:type="pct"/>
            <w:gridSpan w:val="3"/>
          </w:tcPr>
          <w:p w:rsidR="009A31D7" w:rsidRPr="00CA7C76" w:rsidRDefault="009A31D7" w:rsidP="0083184B">
            <w:pPr>
              <w:jc w:val="both"/>
              <w:rPr>
                <w:rFonts w:eastAsia="Calibri"/>
                <w:sz w:val="20"/>
              </w:rPr>
            </w:pPr>
            <w:r w:rsidRPr="00CA7C76">
              <w:rPr>
                <w:rFonts w:eastAsia="Calibri"/>
                <w:sz w:val="20"/>
              </w:rPr>
              <w:t>Prerogative writs — Mandamus — Applicant seeking order of mandamus requiring respondent to deliver bills by courier — Whether Court of Appeal erred in law and in fact by making a wide range of rulings without permitting applicant to speak on laws and issues — Whether Court of Appeal erred in fact and in law by determining the case before them on one legal technicality while ignoring all applicable laws of equity</w:t>
            </w:r>
          </w:p>
        </w:tc>
      </w:tr>
      <w:tr w:rsidR="009A31D7" w:rsidRPr="00CA7C76" w:rsidTr="0083184B">
        <w:tc>
          <w:tcPr>
            <w:tcW w:w="5000" w:type="pct"/>
            <w:gridSpan w:val="3"/>
          </w:tcPr>
          <w:p w:rsidR="009A31D7" w:rsidRPr="00CA7C76" w:rsidRDefault="009A31D7" w:rsidP="0083184B">
            <w:pPr>
              <w:jc w:val="both"/>
              <w:rPr>
                <w:rFonts w:eastAsia="Calibri"/>
                <w:sz w:val="20"/>
              </w:rPr>
            </w:pPr>
          </w:p>
        </w:tc>
      </w:tr>
      <w:tr w:rsidR="009A31D7" w:rsidRPr="00CA7C76" w:rsidTr="0083184B">
        <w:tc>
          <w:tcPr>
            <w:tcW w:w="5000" w:type="pct"/>
            <w:gridSpan w:val="3"/>
          </w:tcPr>
          <w:p w:rsidR="009A31D7" w:rsidRPr="00CA7C76" w:rsidRDefault="009A31D7" w:rsidP="0083184B">
            <w:pPr>
              <w:jc w:val="both"/>
              <w:rPr>
                <w:rFonts w:eastAsia="Calibri"/>
                <w:sz w:val="20"/>
              </w:rPr>
            </w:pPr>
            <w:r w:rsidRPr="00CA7C76">
              <w:rPr>
                <w:rFonts w:eastAsia="Calibri"/>
                <w:sz w:val="20"/>
              </w:rPr>
              <w:t>Mr. Waskowec sought an order of mandamus requiring delivery of his Hydro bills to his home by courier.  Hydro One refused his request for this service.</w:t>
            </w: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lastRenderedPageBreak/>
              <w:t>July 4, 2013</w:t>
            </w:r>
          </w:p>
          <w:p w:rsidR="009A31D7" w:rsidRPr="00CA7C76" w:rsidRDefault="009A31D7" w:rsidP="0083184B">
            <w:pPr>
              <w:jc w:val="both"/>
              <w:rPr>
                <w:rFonts w:eastAsia="Calibri"/>
                <w:sz w:val="20"/>
              </w:rPr>
            </w:pPr>
            <w:r w:rsidRPr="00CA7C76">
              <w:rPr>
                <w:rFonts w:eastAsia="Calibri"/>
                <w:sz w:val="20"/>
              </w:rPr>
              <w:t>Ontario Superior Court of Justice</w:t>
            </w:r>
          </w:p>
          <w:p w:rsidR="009A31D7" w:rsidRPr="00CA7C76" w:rsidRDefault="009A31D7" w:rsidP="0083184B">
            <w:pPr>
              <w:jc w:val="both"/>
              <w:rPr>
                <w:rFonts w:eastAsia="Calibri"/>
                <w:sz w:val="20"/>
              </w:rPr>
            </w:pPr>
            <w:r w:rsidRPr="00CA7C76">
              <w:rPr>
                <w:rFonts w:eastAsia="Calibri"/>
                <w:sz w:val="20"/>
              </w:rPr>
              <w:t>(Backhouse J.)</w:t>
            </w:r>
          </w:p>
          <w:p w:rsidR="009A31D7" w:rsidRPr="00CA7C76" w:rsidRDefault="00F27688" w:rsidP="0083184B">
            <w:pPr>
              <w:jc w:val="both"/>
              <w:rPr>
                <w:rFonts w:eastAsia="Calibri"/>
                <w:sz w:val="20"/>
              </w:rPr>
            </w:pPr>
            <w:hyperlink r:id="rId43" w:history="1">
              <w:r w:rsidR="009A31D7" w:rsidRPr="004C6EEE">
                <w:rPr>
                  <w:rFonts w:eastAsia="Calibri"/>
                  <w:color w:val="0000FF"/>
                  <w:sz w:val="20"/>
                  <w:u w:val="single"/>
                </w:rPr>
                <w:t>2013 ONSC 4567</w:t>
              </w:r>
            </w:hyperlink>
            <w:r w:rsidR="009A31D7" w:rsidRPr="00CA7C76">
              <w:rPr>
                <w:rFonts w:eastAsia="Calibri"/>
                <w:sz w:val="20"/>
              </w:rPr>
              <w:t xml:space="preserve"> </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Applicant’s application for order of mandamus dismissed</w:t>
            </w: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December 1</w:t>
            </w:r>
            <w:r w:rsidR="00864A27">
              <w:rPr>
                <w:rFonts w:eastAsia="Calibri"/>
                <w:sz w:val="20"/>
              </w:rPr>
              <w:t>3</w:t>
            </w:r>
            <w:r w:rsidRPr="00CA7C76">
              <w:rPr>
                <w:rFonts w:eastAsia="Calibri"/>
                <w:sz w:val="20"/>
              </w:rPr>
              <w:t>, 2013</w:t>
            </w:r>
          </w:p>
          <w:p w:rsidR="009A31D7" w:rsidRPr="00CA7C76" w:rsidRDefault="009A31D7" w:rsidP="0083184B">
            <w:pPr>
              <w:jc w:val="both"/>
              <w:rPr>
                <w:rFonts w:eastAsia="Calibri"/>
                <w:sz w:val="20"/>
              </w:rPr>
            </w:pPr>
            <w:r w:rsidRPr="00CA7C76">
              <w:rPr>
                <w:rFonts w:eastAsia="Calibri"/>
                <w:sz w:val="20"/>
              </w:rPr>
              <w:t>Court of Appeal for Ontario</w:t>
            </w:r>
          </w:p>
          <w:p w:rsidR="009A31D7" w:rsidRPr="00CA7C76" w:rsidRDefault="009A31D7" w:rsidP="0083184B">
            <w:pPr>
              <w:jc w:val="both"/>
              <w:rPr>
                <w:rFonts w:eastAsia="Calibri"/>
                <w:sz w:val="20"/>
              </w:rPr>
            </w:pPr>
            <w:r w:rsidRPr="00CA7C76">
              <w:rPr>
                <w:rFonts w:eastAsia="Calibri"/>
                <w:sz w:val="20"/>
              </w:rPr>
              <w:t>(Epstein, Tulloch and Pardu JJ.A.)</w:t>
            </w:r>
          </w:p>
          <w:p w:rsidR="009A31D7" w:rsidRPr="00CA7C76" w:rsidRDefault="00F27688" w:rsidP="0083184B">
            <w:pPr>
              <w:jc w:val="both"/>
              <w:rPr>
                <w:rFonts w:eastAsia="Calibri"/>
                <w:sz w:val="20"/>
              </w:rPr>
            </w:pPr>
            <w:hyperlink r:id="rId44" w:history="1">
              <w:r w:rsidR="009A31D7" w:rsidRPr="004C6EEE">
                <w:rPr>
                  <w:rFonts w:eastAsia="Calibri"/>
                  <w:color w:val="0000FF"/>
                  <w:sz w:val="20"/>
                  <w:u w:val="single"/>
                </w:rPr>
                <w:t>2013 ONCA 763</w:t>
              </w:r>
            </w:hyperlink>
            <w:r w:rsidR="009A31D7" w:rsidRPr="00CA7C76">
              <w:rPr>
                <w:rFonts w:eastAsia="Calibri"/>
                <w:sz w:val="20"/>
              </w:rPr>
              <w:t xml:space="preserve"> </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Applicant’s appeal quashed</w:t>
            </w: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rPr>
            </w:pPr>
            <w:r w:rsidRPr="00CA7C76">
              <w:rPr>
                <w:rFonts w:eastAsia="Calibri"/>
                <w:sz w:val="20"/>
              </w:rPr>
              <w:t>January 16, 2014</w:t>
            </w:r>
          </w:p>
          <w:p w:rsidR="009A31D7" w:rsidRPr="00CA7C76" w:rsidRDefault="009A31D7" w:rsidP="0083184B">
            <w:pPr>
              <w:jc w:val="both"/>
              <w:rPr>
                <w:rFonts w:eastAsia="Calibri"/>
                <w:sz w:val="20"/>
              </w:rPr>
            </w:pPr>
            <w:r w:rsidRPr="00CA7C76">
              <w:rPr>
                <w:rFonts w:eastAsia="Calibri"/>
                <w:sz w:val="20"/>
              </w:rPr>
              <w:t>Supreme Court of Canada</w:t>
            </w: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Application for leave to appeal filed</w:t>
            </w:r>
          </w:p>
          <w:p w:rsidR="009A31D7" w:rsidRPr="00CA7C76" w:rsidRDefault="009A31D7" w:rsidP="0083184B">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63"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A31D7" w:rsidRPr="00F27688" w:rsidTr="0083184B">
        <w:tc>
          <w:tcPr>
            <w:tcW w:w="5000" w:type="pct"/>
            <w:gridSpan w:val="3"/>
          </w:tcPr>
          <w:p w:rsidR="009A31D7" w:rsidRPr="00CA7C76" w:rsidRDefault="009A31D7" w:rsidP="0083184B">
            <w:pPr>
              <w:jc w:val="both"/>
              <w:rPr>
                <w:rFonts w:eastAsia="Calibri"/>
                <w:sz w:val="20"/>
                <w:lang w:val="fr-CA"/>
              </w:rPr>
            </w:pPr>
            <w:r w:rsidRPr="00CA7C76">
              <w:rPr>
                <w:rFonts w:eastAsia="Calibri"/>
                <w:sz w:val="20"/>
                <w:lang w:val="fr-CA"/>
              </w:rPr>
              <w:t>Brefs de prérogative — Mandamus — Demandeur sollicitant une ordonnance de mandamus enjoignant à l’intimée de livrer des factures par messager — La Cour d’appel a</w:t>
            </w:r>
            <w:r w:rsidRPr="00CA7C76">
              <w:rPr>
                <w:rFonts w:eastAsia="Calibri"/>
                <w:sz w:val="20"/>
                <w:lang w:val="fr-CA"/>
              </w:rPr>
              <w:noBreakHyphen/>
              <w:t>t</w:t>
            </w:r>
            <w:r w:rsidRPr="00CA7C76">
              <w:rPr>
                <w:rFonts w:eastAsia="Calibri"/>
                <w:sz w:val="20"/>
                <w:lang w:val="fr-CA"/>
              </w:rPr>
              <w:noBreakHyphen/>
              <w:t>elle commis des erreurs de droit et de fait en rendant une vaste gamme de décisions sans permettre au demandeur de s’exprimer sur le droit et d’autres sujets? — La Cour d’appel a</w:t>
            </w:r>
            <w:r w:rsidRPr="00CA7C76">
              <w:rPr>
                <w:rFonts w:eastAsia="Calibri"/>
                <w:sz w:val="20"/>
                <w:lang w:val="fr-CA"/>
              </w:rPr>
              <w:noBreakHyphen/>
              <w:t>t</w:t>
            </w:r>
            <w:r w:rsidRPr="00CA7C76">
              <w:rPr>
                <w:rFonts w:eastAsia="Calibri"/>
                <w:sz w:val="20"/>
                <w:lang w:val="fr-CA"/>
              </w:rPr>
              <w:noBreakHyphen/>
              <w:t xml:space="preserve">elle commis des erreurs de fait et de droit en tranchant l’affaire dont elle était saisie sur le fondement d’un détail juridique tout en faisant abstraction de l’ensemble des règles d’equity applicables? </w:t>
            </w:r>
          </w:p>
        </w:tc>
      </w:tr>
      <w:tr w:rsidR="009A31D7" w:rsidRPr="00F27688" w:rsidTr="0083184B">
        <w:tc>
          <w:tcPr>
            <w:tcW w:w="5000" w:type="pct"/>
            <w:gridSpan w:val="3"/>
          </w:tcPr>
          <w:p w:rsidR="009A31D7" w:rsidRPr="00CA7C76" w:rsidRDefault="009A31D7" w:rsidP="0083184B">
            <w:pPr>
              <w:jc w:val="both"/>
              <w:rPr>
                <w:rFonts w:eastAsia="Calibri"/>
                <w:sz w:val="20"/>
                <w:lang w:val="fr-CA"/>
              </w:rPr>
            </w:pPr>
          </w:p>
        </w:tc>
      </w:tr>
      <w:tr w:rsidR="009A31D7" w:rsidRPr="00CA7C76" w:rsidTr="0083184B">
        <w:tc>
          <w:tcPr>
            <w:tcW w:w="5000" w:type="pct"/>
            <w:gridSpan w:val="3"/>
          </w:tcPr>
          <w:p w:rsidR="009A31D7" w:rsidRPr="00CA7C76" w:rsidRDefault="009A31D7" w:rsidP="0083184B">
            <w:pPr>
              <w:jc w:val="both"/>
              <w:rPr>
                <w:rFonts w:eastAsia="Calibri"/>
                <w:sz w:val="20"/>
              </w:rPr>
            </w:pPr>
            <w:r w:rsidRPr="00CA7C76">
              <w:rPr>
                <w:rFonts w:eastAsia="Calibri"/>
                <w:sz w:val="20"/>
                <w:lang w:val="fr-CA"/>
              </w:rPr>
              <w:t xml:space="preserve">M. Waskowec a sollicité une ordonnance de mandamus exigeant la livraison par messager de ses factures d’électricité à son domicile.  </w:t>
            </w:r>
            <w:r w:rsidRPr="00CA7C76">
              <w:rPr>
                <w:rFonts w:eastAsia="Calibri"/>
                <w:sz w:val="20"/>
              </w:rPr>
              <w:t xml:space="preserve">Hydro One a rejeté sa demande. </w:t>
            </w:r>
          </w:p>
          <w:p w:rsidR="009A31D7" w:rsidRPr="00CA7C76" w:rsidRDefault="009A31D7" w:rsidP="0083184B">
            <w:pPr>
              <w:jc w:val="both"/>
              <w:rPr>
                <w:rFonts w:eastAsia="Calibri"/>
                <w:sz w:val="20"/>
              </w:rPr>
            </w:pPr>
          </w:p>
        </w:tc>
      </w:tr>
      <w:tr w:rsidR="009A31D7" w:rsidRPr="00F27688"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4 juillet 2013</w:t>
            </w:r>
          </w:p>
          <w:p w:rsidR="009A31D7" w:rsidRPr="00CA7C76" w:rsidRDefault="009A31D7" w:rsidP="0083184B">
            <w:pPr>
              <w:jc w:val="both"/>
              <w:rPr>
                <w:rFonts w:eastAsia="Calibri"/>
                <w:sz w:val="20"/>
                <w:lang w:val="fr-CA"/>
              </w:rPr>
            </w:pPr>
            <w:r w:rsidRPr="00CA7C76">
              <w:rPr>
                <w:rFonts w:eastAsia="Calibri"/>
                <w:sz w:val="20"/>
                <w:lang w:val="fr-CA"/>
              </w:rPr>
              <w:t xml:space="preserve">Cour supérieure de justice de l’Ontario </w:t>
            </w:r>
          </w:p>
          <w:p w:rsidR="009A31D7" w:rsidRPr="00CA7C76" w:rsidRDefault="009A31D7" w:rsidP="0083184B">
            <w:pPr>
              <w:jc w:val="both"/>
              <w:rPr>
                <w:rFonts w:eastAsia="Calibri"/>
                <w:sz w:val="20"/>
              </w:rPr>
            </w:pPr>
            <w:r w:rsidRPr="00CA7C76">
              <w:rPr>
                <w:rFonts w:eastAsia="Calibri"/>
                <w:sz w:val="20"/>
              </w:rPr>
              <w:t>(Juge Backhouse)</w:t>
            </w:r>
          </w:p>
          <w:p w:rsidR="009A31D7" w:rsidRPr="00CA7C76" w:rsidRDefault="00F27688" w:rsidP="0083184B">
            <w:pPr>
              <w:jc w:val="both"/>
              <w:rPr>
                <w:rFonts w:eastAsia="Calibri"/>
                <w:sz w:val="20"/>
              </w:rPr>
            </w:pPr>
            <w:hyperlink r:id="rId45" w:history="1">
              <w:r w:rsidR="009A31D7" w:rsidRPr="004C6EEE">
                <w:rPr>
                  <w:rFonts w:eastAsia="Calibri"/>
                  <w:color w:val="0000FF"/>
                  <w:sz w:val="20"/>
                  <w:u w:val="single"/>
                </w:rPr>
                <w:t>2013 ONSC 4567</w:t>
              </w:r>
            </w:hyperlink>
            <w:r w:rsidR="009A31D7" w:rsidRPr="00CA7C76">
              <w:rPr>
                <w:rFonts w:eastAsia="Calibri"/>
                <w:sz w:val="20"/>
              </w:rPr>
              <w:t xml:space="preserve"> </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lang w:val="fr-CA"/>
              </w:rPr>
            </w:pPr>
            <w:r w:rsidRPr="00CA7C76">
              <w:rPr>
                <w:rFonts w:eastAsia="Calibri"/>
                <w:sz w:val="20"/>
                <w:lang w:val="fr-CA"/>
              </w:rPr>
              <w:t xml:space="preserve">Demande d’ordonnance de mandamus présentée par le demandeur rejetée </w:t>
            </w:r>
          </w:p>
          <w:p w:rsidR="009A31D7" w:rsidRPr="00CA7C76" w:rsidRDefault="009A31D7" w:rsidP="0083184B">
            <w:pPr>
              <w:jc w:val="both"/>
              <w:rPr>
                <w:rFonts w:eastAsia="Calibri"/>
                <w:sz w:val="20"/>
                <w:lang w:val="fr-CA"/>
              </w:rPr>
            </w:pPr>
          </w:p>
          <w:p w:rsidR="009A31D7" w:rsidRPr="00CA7C76" w:rsidRDefault="009A31D7" w:rsidP="0083184B">
            <w:pPr>
              <w:jc w:val="both"/>
              <w:rPr>
                <w:rFonts w:eastAsia="Calibri"/>
                <w:sz w:val="20"/>
                <w:lang w:val="fr-CA"/>
              </w:rPr>
            </w:pPr>
          </w:p>
        </w:tc>
      </w:tr>
      <w:tr w:rsidR="009A31D7" w:rsidRPr="00CA7C76"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1</w:t>
            </w:r>
            <w:r w:rsidR="00864A27">
              <w:rPr>
                <w:rFonts w:eastAsia="Calibri"/>
                <w:sz w:val="20"/>
                <w:lang w:val="fr-CA"/>
              </w:rPr>
              <w:t>3</w:t>
            </w:r>
            <w:r w:rsidRPr="00CA7C76">
              <w:rPr>
                <w:rFonts w:eastAsia="Calibri"/>
                <w:sz w:val="20"/>
                <w:lang w:val="fr-CA"/>
              </w:rPr>
              <w:t xml:space="preserve"> décembre 2013</w:t>
            </w:r>
          </w:p>
          <w:p w:rsidR="009A31D7" w:rsidRPr="00CA7C76" w:rsidRDefault="009A31D7" w:rsidP="0083184B">
            <w:pPr>
              <w:jc w:val="both"/>
              <w:rPr>
                <w:rFonts w:eastAsia="Calibri"/>
                <w:sz w:val="20"/>
                <w:lang w:val="fr-CA"/>
              </w:rPr>
            </w:pPr>
            <w:r w:rsidRPr="00CA7C76">
              <w:rPr>
                <w:rFonts w:eastAsia="Calibri"/>
                <w:sz w:val="20"/>
                <w:lang w:val="fr-CA"/>
              </w:rPr>
              <w:t>Cour d’appel de l’Ontario</w:t>
            </w:r>
          </w:p>
          <w:p w:rsidR="009A31D7" w:rsidRPr="00CA7C76" w:rsidRDefault="009A31D7" w:rsidP="0083184B">
            <w:pPr>
              <w:jc w:val="both"/>
              <w:rPr>
                <w:rFonts w:eastAsia="Calibri"/>
                <w:sz w:val="20"/>
                <w:lang w:val="fr-CA"/>
              </w:rPr>
            </w:pPr>
            <w:r w:rsidRPr="00CA7C76">
              <w:rPr>
                <w:rFonts w:eastAsia="Calibri"/>
                <w:sz w:val="20"/>
                <w:lang w:val="fr-CA"/>
              </w:rPr>
              <w:t>(Juges Epstein, Tulloch et Pardu)</w:t>
            </w:r>
          </w:p>
          <w:p w:rsidR="009A31D7" w:rsidRPr="00CA7C76" w:rsidRDefault="00F27688" w:rsidP="0083184B">
            <w:pPr>
              <w:jc w:val="both"/>
              <w:rPr>
                <w:rFonts w:eastAsia="Calibri"/>
                <w:sz w:val="20"/>
              </w:rPr>
            </w:pPr>
            <w:hyperlink r:id="rId46" w:history="1">
              <w:r w:rsidR="009A31D7" w:rsidRPr="004C6EEE">
                <w:rPr>
                  <w:rFonts w:eastAsia="Calibri"/>
                  <w:color w:val="0000FF"/>
                  <w:sz w:val="20"/>
                  <w:u w:val="single"/>
                </w:rPr>
                <w:t>2013 ONCA 763</w:t>
              </w:r>
            </w:hyperlink>
            <w:r w:rsidR="009A31D7" w:rsidRPr="00CA7C76">
              <w:rPr>
                <w:rFonts w:eastAsia="Calibri"/>
                <w:sz w:val="20"/>
              </w:rPr>
              <w:t xml:space="preserve"> </w:t>
            </w:r>
          </w:p>
          <w:p w:rsidR="009A31D7" w:rsidRPr="00CA7C76" w:rsidRDefault="009A31D7" w:rsidP="0083184B">
            <w:pPr>
              <w:jc w:val="both"/>
              <w:rPr>
                <w:rFonts w:eastAsia="Calibri"/>
                <w:sz w:val="20"/>
              </w:rPr>
            </w:pPr>
          </w:p>
        </w:tc>
        <w:tc>
          <w:tcPr>
            <w:tcW w:w="243" w:type="pct"/>
          </w:tcPr>
          <w:p w:rsidR="009A31D7" w:rsidRPr="00CA7C76" w:rsidRDefault="009A31D7" w:rsidP="0083184B">
            <w:pPr>
              <w:jc w:val="both"/>
              <w:rPr>
                <w:rFonts w:eastAsia="Calibri"/>
                <w:sz w:val="20"/>
              </w:rPr>
            </w:pPr>
          </w:p>
        </w:tc>
        <w:tc>
          <w:tcPr>
            <w:tcW w:w="2330" w:type="pct"/>
          </w:tcPr>
          <w:p w:rsidR="009A31D7" w:rsidRPr="00CA7C76" w:rsidRDefault="009A31D7" w:rsidP="0083184B">
            <w:pPr>
              <w:jc w:val="both"/>
              <w:rPr>
                <w:rFonts w:eastAsia="Calibri"/>
                <w:sz w:val="20"/>
              </w:rPr>
            </w:pPr>
            <w:r w:rsidRPr="00CA7C76">
              <w:rPr>
                <w:rFonts w:eastAsia="Calibri"/>
                <w:sz w:val="20"/>
              </w:rPr>
              <w:t xml:space="preserve">Appel du demandeur annulé </w:t>
            </w:r>
          </w:p>
          <w:p w:rsidR="009A31D7" w:rsidRPr="00CA7C76" w:rsidRDefault="009A31D7" w:rsidP="0083184B">
            <w:pPr>
              <w:jc w:val="both"/>
              <w:rPr>
                <w:rFonts w:eastAsia="Calibri"/>
                <w:sz w:val="20"/>
              </w:rPr>
            </w:pPr>
          </w:p>
          <w:p w:rsidR="009A31D7" w:rsidRPr="00CA7C76" w:rsidRDefault="009A31D7" w:rsidP="0083184B">
            <w:pPr>
              <w:jc w:val="both"/>
              <w:rPr>
                <w:rFonts w:eastAsia="Calibri"/>
                <w:sz w:val="20"/>
              </w:rPr>
            </w:pPr>
          </w:p>
        </w:tc>
      </w:tr>
      <w:tr w:rsidR="009A31D7" w:rsidRPr="00CA7C76" w:rsidTr="0083184B">
        <w:tc>
          <w:tcPr>
            <w:tcW w:w="2427" w:type="pct"/>
          </w:tcPr>
          <w:p w:rsidR="009A31D7" w:rsidRPr="00CA7C76" w:rsidRDefault="009A31D7" w:rsidP="0083184B">
            <w:pPr>
              <w:jc w:val="both"/>
              <w:rPr>
                <w:rFonts w:eastAsia="Calibri"/>
                <w:sz w:val="20"/>
                <w:lang w:val="fr-CA"/>
              </w:rPr>
            </w:pPr>
            <w:r w:rsidRPr="00CA7C76">
              <w:rPr>
                <w:rFonts w:eastAsia="Calibri"/>
                <w:sz w:val="20"/>
                <w:lang w:val="fr-CA"/>
              </w:rPr>
              <w:t>16 janvier 2014</w:t>
            </w:r>
          </w:p>
          <w:p w:rsidR="009A31D7" w:rsidRPr="00CA7C76" w:rsidRDefault="009A31D7" w:rsidP="0083184B">
            <w:pPr>
              <w:jc w:val="both"/>
              <w:rPr>
                <w:rFonts w:eastAsia="Calibri"/>
                <w:sz w:val="20"/>
                <w:lang w:val="fr-CA"/>
              </w:rPr>
            </w:pPr>
            <w:r w:rsidRPr="00CA7C76">
              <w:rPr>
                <w:rFonts w:eastAsia="Calibri"/>
                <w:sz w:val="20"/>
                <w:lang w:val="fr-CA"/>
              </w:rPr>
              <w:t>Cour suprême du Canada</w:t>
            </w:r>
          </w:p>
        </w:tc>
        <w:tc>
          <w:tcPr>
            <w:tcW w:w="243" w:type="pct"/>
          </w:tcPr>
          <w:p w:rsidR="009A31D7" w:rsidRPr="00CA7C76" w:rsidRDefault="009A31D7" w:rsidP="0083184B">
            <w:pPr>
              <w:jc w:val="both"/>
              <w:rPr>
                <w:rFonts w:eastAsia="Calibri"/>
                <w:sz w:val="20"/>
                <w:lang w:val="fr-CA"/>
              </w:rPr>
            </w:pPr>
          </w:p>
        </w:tc>
        <w:tc>
          <w:tcPr>
            <w:tcW w:w="2330" w:type="pct"/>
          </w:tcPr>
          <w:p w:rsidR="009A31D7" w:rsidRPr="00CA7C76" w:rsidRDefault="009A31D7" w:rsidP="0083184B">
            <w:pPr>
              <w:jc w:val="both"/>
              <w:rPr>
                <w:rFonts w:eastAsia="Calibri"/>
                <w:sz w:val="20"/>
              </w:rPr>
            </w:pPr>
            <w:r w:rsidRPr="00CA7C76">
              <w:rPr>
                <w:rFonts w:eastAsia="Calibri"/>
                <w:sz w:val="20"/>
                <w:lang w:val="fr-CA"/>
              </w:rPr>
              <w:t xml:space="preserve">Demande d’autorisation d’appel déposée </w:t>
            </w:r>
          </w:p>
          <w:p w:rsidR="009A31D7" w:rsidRPr="00CA7C76" w:rsidRDefault="009A31D7" w:rsidP="0083184B">
            <w:pPr>
              <w:jc w:val="both"/>
              <w:rPr>
                <w:rFonts w:eastAsia="Calibri"/>
                <w:sz w:val="20"/>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64" style="width:2in;height:1pt" o:hrpct="0" o:hralign="center" o:hrstd="t" o:hrnoshade="t" o:hr="t" fillcolor="black [3213]" stroked="f"/>
        </w:pict>
      </w:r>
    </w:p>
    <w:p w:rsidR="0096146C" w:rsidRDefault="0096146C" w:rsidP="0096146C">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365D4" w:rsidRPr="00F365D4" w:rsidTr="00162E9D">
        <w:trPr>
          <w:cantSplit/>
        </w:trPr>
        <w:tc>
          <w:tcPr>
            <w:tcW w:w="1458" w:type="dxa"/>
          </w:tcPr>
          <w:p w:rsidR="00F365D4" w:rsidRPr="00F365D4" w:rsidRDefault="00F365D4" w:rsidP="00F365D4">
            <w:pPr>
              <w:rPr>
                <w:sz w:val="20"/>
              </w:rPr>
            </w:pPr>
            <w:r w:rsidRPr="00F365D4">
              <w:rPr>
                <w:b/>
                <w:sz w:val="20"/>
                <w:lang w:val="fr-CA"/>
              </w:rPr>
              <w:t>35741</w:t>
            </w:r>
          </w:p>
          <w:p w:rsidR="00F365D4" w:rsidRPr="00F365D4" w:rsidRDefault="00F365D4" w:rsidP="00F365D4">
            <w:pPr>
              <w:rPr>
                <w:b/>
                <w:sz w:val="20"/>
                <w:lang w:val="fr-CA"/>
              </w:rPr>
            </w:pPr>
          </w:p>
        </w:tc>
        <w:tc>
          <w:tcPr>
            <w:tcW w:w="8118" w:type="dxa"/>
          </w:tcPr>
          <w:p w:rsidR="00F365D4" w:rsidRPr="00F365D4" w:rsidRDefault="00F365D4" w:rsidP="00F365D4">
            <w:pPr>
              <w:rPr>
                <w:sz w:val="20"/>
              </w:rPr>
            </w:pPr>
            <w:r w:rsidRPr="00F365D4">
              <w:rPr>
                <w:b/>
                <w:sz w:val="20"/>
                <w:u w:val="single"/>
              </w:rPr>
              <w:t>Trevor Kniss v. Telecommunication Workers Union (TWU)</w:t>
            </w:r>
            <w:r>
              <w:rPr>
                <w:b/>
                <w:sz w:val="20"/>
                <w:u w:val="single"/>
              </w:rPr>
              <w:t xml:space="preserve"> and </w:t>
            </w:r>
            <w:r w:rsidRPr="00F365D4">
              <w:rPr>
                <w:b/>
                <w:sz w:val="20"/>
                <w:u w:val="single"/>
              </w:rPr>
              <w:t>Telus Communications Inc.</w:t>
            </w:r>
            <w:r w:rsidRPr="00F365D4">
              <w:rPr>
                <w:sz w:val="20"/>
              </w:rPr>
              <w:t xml:space="preserve"> (F</w:t>
            </w:r>
            <w:r>
              <w:rPr>
                <w:sz w:val="20"/>
              </w:rPr>
              <w:t>.</w:t>
            </w:r>
            <w:r w:rsidRPr="00F365D4">
              <w:rPr>
                <w:sz w:val="20"/>
              </w:rPr>
              <w:t>C</w:t>
            </w:r>
            <w:r>
              <w:rPr>
                <w:sz w:val="20"/>
              </w:rPr>
              <w:t>.</w:t>
            </w:r>
            <w:r w:rsidRPr="00F365D4">
              <w:rPr>
                <w:sz w:val="20"/>
              </w:rPr>
              <w:t>) (Civil) (By Leave)</w:t>
            </w:r>
          </w:p>
          <w:p w:rsidR="00F365D4" w:rsidRPr="00F365D4" w:rsidRDefault="00F365D4" w:rsidP="00F365D4">
            <w:pPr>
              <w:rPr>
                <w:sz w:val="20"/>
              </w:rPr>
            </w:pPr>
          </w:p>
        </w:tc>
      </w:tr>
      <w:tr w:rsidR="00F365D4" w:rsidRPr="00F365D4" w:rsidTr="00162E9D">
        <w:trPr>
          <w:cantSplit/>
        </w:trPr>
        <w:tc>
          <w:tcPr>
            <w:tcW w:w="1458" w:type="dxa"/>
          </w:tcPr>
          <w:p w:rsidR="00F365D4" w:rsidRPr="00F365D4" w:rsidRDefault="00F365D4" w:rsidP="00F365D4">
            <w:pPr>
              <w:rPr>
                <w:sz w:val="20"/>
              </w:rPr>
            </w:pPr>
            <w:r w:rsidRPr="00F365D4">
              <w:rPr>
                <w:sz w:val="20"/>
              </w:rPr>
              <w:t>Coram :</w:t>
            </w:r>
          </w:p>
        </w:tc>
        <w:tc>
          <w:tcPr>
            <w:tcW w:w="8118" w:type="dxa"/>
          </w:tcPr>
          <w:p w:rsidR="00F365D4" w:rsidRPr="00F365D4" w:rsidRDefault="00F365D4" w:rsidP="00F365D4">
            <w:pPr>
              <w:rPr>
                <w:sz w:val="20"/>
              </w:rPr>
            </w:pPr>
            <w:r w:rsidRPr="00F365D4">
              <w:rPr>
                <w:sz w:val="20"/>
                <w:u w:val="single"/>
              </w:rPr>
              <w:t>Abella, Rothstein and Moldaver JJ.</w:t>
            </w:r>
          </w:p>
          <w:p w:rsidR="00F365D4" w:rsidRPr="00F365D4" w:rsidRDefault="00F365D4" w:rsidP="00F365D4">
            <w:pPr>
              <w:rPr>
                <w:sz w:val="20"/>
                <w:u w:val="single"/>
              </w:rPr>
            </w:pPr>
          </w:p>
        </w:tc>
      </w:tr>
      <w:tr w:rsidR="00F365D4" w:rsidRPr="00F27688" w:rsidTr="00162E9D">
        <w:trPr>
          <w:cantSplit/>
        </w:trPr>
        <w:tc>
          <w:tcPr>
            <w:tcW w:w="9576" w:type="dxa"/>
            <w:gridSpan w:val="2"/>
          </w:tcPr>
          <w:p w:rsidR="00F365D4" w:rsidRPr="00F365D4" w:rsidRDefault="00F365D4" w:rsidP="00F365D4">
            <w:pPr>
              <w:ind w:firstLine="720"/>
              <w:jc w:val="both"/>
              <w:rPr>
                <w:sz w:val="20"/>
              </w:rPr>
            </w:pPr>
            <w:r w:rsidRPr="00F365D4">
              <w:rPr>
                <w:sz w:val="20"/>
              </w:rPr>
              <w:lastRenderedPageBreak/>
              <w:t>The motion for an extension of time to serve and file the application for leave to appeal is granted. The application for leave to appeal from the judgment of the Federal Court of Appeal, Number A-473-12, 2013 FCA 293, dated December 19, 2013, is dismissed with costs.</w:t>
            </w:r>
          </w:p>
          <w:p w:rsidR="00F365D4" w:rsidRPr="00F365D4" w:rsidRDefault="00F365D4" w:rsidP="00F365D4">
            <w:pPr>
              <w:jc w:val="both"/>
              <w:rPr>
                <w:sz w:val="20"/>
              </w:rPr>
            </w:pPr>
          </w:p>
          <w:p w:rsidR="00F365D4" w:rsidRPr="00F365D4" w:rsidRDefault="00F365D4" w:rsidP="00F365D4">
            <w:pPr>
              <w:ind w:firstLine="720"/>
              <w:jc w:val="both"/>
              <w:rPr>
                <w:sz w:val="20"/>
                <w:lang w:val="fr-CA"/>
              </w:rPr>
            </w:pPr>
            <w:r w:rsidRPr="00F365D4">
              <w:rPr>
                <w:sz w:val="20"/>
                <w:lang w:val="fr-CA"/>
              </w:rPr>
              <w:t>La requête en prorogation du délai de signification et de dépôt de la demande d’autorisation d’appel est accueillie.  La demande d’autorisation d’appel de l’arrêt de la Cour d’appel fédérale, numéro A-473-12, 2013 CAF 293, daté du 19 décembre 2013, est rejetée avec dépens.</w:t>
            </w:r>
          </w:p>
        </w:tc>
      </w:tr>
    </w:tbl>
    <w:p w:rsidR="0096146C" w:rsidRPr="00F365D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74"/>
        <w:gridCol w:w="453"/>
        <w:gridCol w:w="5000"/>
      </w:tblGrid>
      <w:tr w:rsidR="0083184B" w:rsidRPr="00CA7C76" w:rsidTr="0083184B">
        <w:tc>
          <w:tcPr>
            <w:tcW w:w="5000" w:type="pct"/>
            <w:gridSpan w:val="3"/>
          </w:tcPr>
          <w:p w:rsidR="0083184B" w:rsidRPr="00CA7C76" w:rsidRDefault="0083184B" w:rsidP="0083184B">
            <w:pPr>
              <w:jc w:val="both"/>
              <w:rPr>
                <w:rFonts w:eastAsia="Calibri"/>
                <w:sz w:val="20"/>
              </w:rPr>
            </w:pPr>
            <w:r w:rsidRPr="00CA7C76">
              <w:rPr>
                <w:rFonts w:eastAsia="Calibri"/>
                <w:i/>
                <w:sz w:val="20"/>
              </w:rPr>
              <w:t>Charter of rights</w:t>
            </w:r>
            <w:r w:rsidRPr="00CA7C76">
              <w:rPr>
                <w:rFonts w:eastAsia="Calibri"/>
                <w:sz w:val="20"/>
              </w:rPr>
              <w:t xml:space="preserve"> — Administrative law — Procedure — Employee grieved both dismissal and employer’s failure to reasonably accommodate — Employee’s accommodation grievance reserved and not pursued — Arbitrator found that employee not wrongfully dismissed — While grievances pending, however, employee filed two complaints with Canadian Human Rights Commission — Employee then applied for judicial review of Human Rights Commission’s refusal to deal with discrimination complaints because dealt with in grievances, but missed deadline for filing affidavit of service — Federal Court dismissed employee’s motion for extension of time and later Federal Court of Appeal dismissed employee’s appeal — Whether lower courts erred in dismissing employee’s motion for extension of time — Whether lower courts erred in not reserving judgment until all evidence submitted in accordance with </w:t>
            </w:r>
            <w:r w:rsidRPr="00CA7C76">
              <w:rPr>
                <w:rFonts w:eastAsia="Calibri"/>
                <w:i/>
                <w:sz w:val="20"/>
              </w:rPr>
              <w:t>Charter</w:t>
            </w:r>
            <w:r w:rsidRPr="00CA7C76">
              <w:rPr>
                <w:rFonts w:eastAsia="Calibri"/>
                <w:sz w:val="20"/>
              </w:rPr>
              <w:t>.</w:t>
            </w:r>
          </w:p>
        </w:tc>
      </w:tr>
      <w:tr w:rsidR="0083184B" w:rsidRPr="00CA7C76" w:rsidTr="0083184B">
        <w:tc>
          <w:tcPr>
            <w:tcW w:w="5000" w:type="pct"/>
            <w:gridSpan w:val="3"/>
          </w:tcPr>
          <w:p w:rsidR="0083184B" w:rsidRPr="00CA7C76" w:rsidRDefault="0083184B" w:rsidP="0083184B">
            <w:pPr>
              <w:jc w:val="both"/>
              <w:rPr>
                <w:rFonts w:eastAsia="Calibri"/>
                <w:sz w:val="20"/>
              </w:rPr>
            </w:pPr>
          </w:p>
        </w:tc>
      </w:tr>
      <w:tr w:rsidR="0083184B" w:rsidRPr="00CA7C76" w:rsidTr="0083184B">
        <w:tc>
          <w:tcPr>
            <w:tcW w:w="5000" w:type="pct"/>
            <w:gridSpan w:val="3"/>
          </w:tcPr>
          <w:p w:rsidR="0083184B" w:rsidRPr="00CA7C76" w:rsidRDefault="0083184B" w:rsidP="0083184B">
            <w:pPr>
              <w:jc w:val="both"/>
              <w:rPr>
                <w:rFonts w:eastAsia="Calibri"/>
                <w:sz w:val="20"/>
              </w:rPr>
            </w:pPr>
            <w:r w:rsidRPr="00CA7C76">
              <w:rPr>
                <w:rFonts w:eastAsia="Calibri"/>
                <w:sz w:val="20"/>
              </w:rPr>
              <w:t>The applicant, Mr. Kniss, was fired as a result of a dispute arising out of his employer’s obligation to accommodate his physical limitations.  Mr. Kniss grieved both the employer’s failure to reasonably accommodate him as well as his dismissal.  An arbitrator found that Mr. Kniss had not been wrongfully dismissed.  The accommodation grievance was reserved and not pursued.  While his grievances were pending, Mr. Kniss filed two complaints with the Canadian Human Rights Commission, for the employer’s failure to reasonably accommodate him and his dismissal.  The Commission declined to deal with Mr. Kniss’ complaints as it was of the view that they had been dealt with in the grievance arbitration.  Mr. Kniss applied for judicial review of the Commission’s refusal to deal with his complaints.  However, he missed the deadline for filing his affidavit for service and was required to bring a motion for an extension of time.  Fifty days had elapsed between the refusal to accept the affidavit of service and Mr. Kniss’ filing of the motion for an extension of time.  The Federal Court prothonotary who dealt with the motion found that Mr. Kniss did not have a continuing interest in pursuing his application for judicial review as his delay in bringing the motion had not been explained.  The prothonotary also found that Mr. Kniss’ application for judicial review constituted an abuse of process.  As a result, the prothonotary concluded that the interests of justice militated against granting an extension of time to proceed with an application that was doomed to fail.  He dismissed both the motion for an extension of time and, on his own motion, dismissed the application for judicial review.  Mr. Kniss appealed the decision to a Federal Court judge, who concluded that the prothonotary applied the correct test and that his decision was not clearly wrong.  Accordingly, he dismissed the appeal as did, in turn, the Federal Court of Appeal.</w:t>
            </w:r>
          </w:p>
          <w:p w:rsidR="0083184B" w:rsidRPr="00CA7C76" w:rsidRDefault="0083184B" w:rsidP="0083184B">
            <w:pPr>
              <w:jc w:val="both"/>
              <w:rPr>
                <w:rFonts w:eastAsia="Calibri"/>
                <w:sz w:val="20"/>
              </w:rPr>
            </w:pPr>
          </w:p>
        </w:tc>
      </w:tr>
      <w:tr w:rsidR="0083184B" w:rsidRPr="00CA7C76" w:rsidTr="0083184B">
        <w:tc>
          <w:tcPr>
            <w:tcW w:w="2138" w:type="pct"/>
          </w:tcPr>
          <w:p w:rsidR="0083184B" w:rsidRPr="00CA7C76" w:rsidRDefault="0083184B" w:rsidP="0083184B">
            <w:pPr>
              <w:jc w:val="both"/>
              <w:rPr>
                <w:rFonts w:eastAsia="Calibri"/>
                <w:sz w:val="20"/>
              </w:rPr>
            </w:pPr>
            <w:r w:rsidRPr="00CA7C76">
              <w:rPr>
                <w:rFonts w:eastAsia="Calibri"/>
                <w:sz w:val="20"/>
              </w:rPr>
              <w:t>November 1, 2012</w:t>
            </w:r>
          </w:p>
          <w:p w:rsidR="0083184B" w:rsidRPr="00CA7C76" w:rsidRDefault="0083184B" w:rsidP="0083184B">
            <w:pPr>
              <w:jc w:val="both"/>
              <w:rPr>
                <w:rFonts w:eastAsia="Calibri"/>
                <w:sz w:val="20"/>
              </w:rPr>
            </w:pPr>
            <w:r w:rsidRPr="00CA7C76">
              <w:rPr>
                <w:rFonts w:eastAsia="Calibri"/>
                <w:sz w:val="20"/>
              </w:rPr>
              <w:t>Federal Court</w:t>
            </w:r>
          </w:p>
          <w:p w:rsidR="0083184B" w:rsidRPr="00CA7C76" w:rsidRDefault="0083184B" w:rsidP="0083184B">
            <w:pPr>
              <w:jc w:val="both"/>
              <w:rPr>
                <w:rFonts w:eastAsia="Calibri"/>
                <w:sz w:val="20"/>
              </w:rPr>
            </w:pPr>
            <w:r w:rsidRPr="00CA7C76">
              <w:rPr>
                <w:rFonts w:eastAsia="Calibri"/>
                <w:sz w:val="20"/>
              </w:rPr>
              <w:t>(Boivin J.)</w:t>
            </w:r>
          </w:p>
          <w:p w:rsidR="0083184B" w:rsidRPr="00CA7C76" w:rsidRDefault="0083184B" w:rsidP="0083184B">
            <w:pPr>
              <w:jc w:val="both"/>
              <w:rPr>
                <w:rFonts w:eastAsia="Calibri"/>
                <w:sz w:val="20"/>
                <w:highlight w:val="yellow"/>
              </w:rPr>
            </w:pPr>
          </w:p>
        </w:tc>
        <w:tc>
          <w:tcPr>
            <w:tcW w:w="238" w:type="pct"/>
          </w:tcPr>
          <w:p w:rsidR="0083184B" w:rsidRPr="00CA7C76" w:rsidRDefault="0083184B" w:rsidP="0083184B">
            <w:pPr>
              <w:jc w:val="both"/>
              <w:rPr>
                <w:rFonts w:eastAsia="Calibri"/>
                <w:sz w:val="20"/>
                <w:highlight w:val="yellow"/>
              </w:rPr>
            </w:pPr>
          </w:p>
        </w:tc>
        <w:tc>
          <w:tcPr>
            <w:tcW w:w="2624" w:type="pct"/>
          </w:tcPr>
          <w:p w:rsidR="0083184B" w:rsidRPr="00CA7C76" w:rsidRDefault="0083184B" w:rsidP="0083184B">
            <w:pPr>
              <w:jc w:val="both"/>
              <w:rPr>
                <w:rFonts w:eastAsia="Calibri"/>
                <w:sz w:val="20"/>
              </w:rPr>
            </w:pPr>
            <w:r w:rsidRPr="00CA7C76">
              <w:rPr>
                <w:rFonts w:eastAsia="Calibri"/>
                <w:sz w:val="20"/>
              </w:rPr>
              <w:t>Motion for extension of time dismissed.</w:t>
            </w:r>
          </w:p>
          <w:p w:rsidR="0083184B" w:rsidRPr="00CA7C76" w:rsidRDefault="0083184B" w:rsidP="0083184B">
            <w:pPr>
              <w:jc w:val="both"/>
              <w:rPr>
                <w:rFonts w:eastAsia="Calibri"/>
                <w:sz w:val="20"/>
                <w:highlight w:val="yellow"/>
              </w:rPr>
            </w:pPr>
          </w:p>
        </w:tc>
      </w:tr>
      <w:tr w:rsidR="0083184B" w:rsidRPr="00CA7C76" w:rsidTr="0083184B">
        <w:tc>
          <w:tcPr>
            <w:tcW w:w="2138" w:type="pct"/>
          </w:tcPr>
          <w:p w:rsidR="0083184B" w:rsidRPr="00CA7C76" w:rsidRDefault="0083184B" w:rsidP="0083184B">
            <w:pPr>
              <w:jc w:val="both"/>
              <w:rPr>
                <w:rFonts w:eastAsia="Calibri"/>
                <w:sz w:val="20"/>
              </w:rPr>
            </w:pPr>
            <w:r w:rsidRPr="00CA7C76">
              <w:rPr>
                <w:rFonts w:eastAsia="Calibri"/>
                <w:sz w:val="20"/>
              </w:rPr>
              <w:t>December 19, 2013</w:t>
            </w:r>
          </w:p>
          <w:p w:rsidR="0083184B" w:rsidRPr="00CA7C76" w:rsidRDefault="0083184B" w:rsidP="0083184B">
            <w:pPr>
              <w:jc w:val="both"/>
              <w:rPr>
                <w:rFonts w:eastAsia="Calibri"/>
                <w:sz w:val="20"/>
              </w:rPr>
            </w:pPr>
            <w:r w:rsidRPr="00CA7C76">
              <w:rPr>
                <w:rFonts w:eastAsia="Calibri"/>
                <w:sz w:val="20"/>
              </w:rPr>
              <w:t>Federal Court of Appeal</w:t>
            </w:r>
          </w:p>
          <w:p w:rsidR="0083184B" w:rsidRPr="00CA7C76" w:rsidRDefault="0083184B" w:rsidP="0083184B">
            <w:pPr>
              <w:jc w:val="both"/>
              <w:rPr>
                <w:rFonts w:eastAsia="Calibri"/>
                <w:sz w:val="20"/>
              </w:rPr>
            </w:pPr>
            <w:r w:rsidRPr="00CA7C76">
              <w:rPr>
                <w:rFonts w:eastAsia="Calibri"/>
                <w:sz w:val="20"/>
              </w:rPr>
              <w:t>(Pelletier, Stratas and Near JJ.A.)</w:t>
            </w:r>
          </w:p>
          <w:p w:rsidR="0083184B" w:rsidRPr="00CA7C76" w:rsidRDefault="0083184B" w:rsidP="0083184B">
            <w:pPr>
              <w:jc w:val="both"/>
              <w:rPr>
                <w:rFonts w:eastAsia="Calibri"/>
                <w:sz w:val="20"/>
              </w:rPr>
            </w:pPr>
            <w:r w:rsidRPr="00CA7C76">
              <w:rPr>
                <w:rFonts w:eastAsia="Calibri"/>
                <w:sz w:val="20"/>
              </w:rPr>
              <w:t>2013 FCA 293</w:t>
            </w:r>
          </w:p>
          <w:p w:rsidR="0083184B" w:rsidRPr="00CA7C76" w:rsidRDefault="0083184B" w:rsidP="0083184B">
            <w:pPr>
              <w:jc w:val="both"/>
              <w:rPr>
                <w:rFonts w:eastAsia="Calibri"/>
                <w:sz w:val="20"/>
              </w:rPr>
            </w:pPr>
          </w:p>
        </w:tc>
        <w:tc>
          <w:tcPr>
            <w:tcW w:w="238" w:type="pct"/>
          </w:tcPr>
          <w:p w:rsidR="0083184B" w:rsidRPr="00CA7C76" w:rsidRDefault="0083184B" w:rsidP="0083184B">
            <w:pPr>
              <w:jc w:val="both"/>
              <w:rPr>
                <w:rFonts w:eastAsia="Calibri"/>
                <w:sz w:val="20"/>
              </w:rPr>
            </w:pPr>
          </w:p>
        </w:tc>
        <w:tc>
          <w:tcPr>
            <w:tcW w:w="2624" w:type="pct"/>
          </w:tcPr>
          <w:p w:rsidR="0083184B" w:rsidRPr="00CA7C76" w:rsidRDefault="0083184B" w:rsidP="0083184B">
            <w:pPr>
              <w:jc w:val="both"/>
              <w:rPr>
                <w:rFonts w:eastAsia="Calibri"/>
                <w:sz w:val="20"/>
              </w:rPr>
            </w:pPr>
            <w:r w:rsidRPr="00CA7C76">
              <w:rPr>
                <w:rFonts w:eastAsia="Calibri"/>
                <w:sz w:val="20"/>
              </w:rPr>
              <w:t>Appeal dismissed.</w:t>
            </w:r>
          </w:p>
          <w:p w:rsidR="0083184B" w:rsidRPr="00CA7C76" w:rsidRDefault="0083184B" w:rsidP="0083184B">
            <w:pPr>
              <w:jc w:val="both"/>
              <w:rPr>
                <w:rFonts w:eastAsia="Calibri"/>
                <w:sz w:val="20"/>
              </w:rPr>
            </w:pPr>
          </w:p>
        </w:tc>
      </w:tr>
      <w:tr w:rsidR="0083184B" w:rsidRPr="00CA7C76" w:rsidTr="0083184B">
        <w:tc>
          <w:tcPr>
            <w:tcW w:w="2138" w:type="pct"/>
          </w:tcPr>
          <w:p w:rsidR="0083184B" w:rsidRPr="00CA7C76" w:rsidRDefault="0083184B" w:rsidP="0083184B">
            <w:pPr>
              <w:jc w:val="both"/>
              <w:rPr>
                <w:rFonts w:eastAsia="Calibri"/>
                <w:sz w:val="20"/>
              </w:rPr>
            </w:pPr>
            <w:r w:rsidRPr="00CA7C76">
              <w:rPr>
                <w:rFonts w:eastAsia="Calibri"/>
                <w:sz w:val="20"/>
              </w:rPr>
              <w:t>February 17, 2014</w:t>
            </w:r>
          </w:p>
          <w:p w:rsidR="0083184B" w:rsidRPr="00CA7C76" w:rsidRDefault="0083184B" w:rsidP="0083184B">
            <w:pPr>
              <w:jc w:val="both"/>
              <w:rPr>
                <w:rFonts w:eastAsia="Calibri"/>
                <w:sz w:val="20"/>
              </w:rPr>
            </w:pPr>
            <w:r w:rsidRPr="00CA7C76">
              <w:rPr>
                <w:rFonts w:eastAsia="Calibri"/>
                <w:sz w:val="20"/>
              </w:rPr>
              <w:t>Supreme Court of Canada</w:t>
            </w:r>
          </w:p>
        </w:tc>
        <w:tc>
          <w:tcPr>
            <w:tcW w:w="238" w:type="pct"/>
          </w:tcPr>
          <w:p w:rsidR="0083184B" w:rsidRPr="00CA7C76" w:rsidRDefault="0083184B" w:rsidP="0083184B">
            <w:pPr>
              <w:jc w:val="both"/>
              <w:rPr>
                <w:rFonts w:eastAsia="Calibri"/>
                <w:sz w:val="20"/>
              </w:rPr>
            </w:pPr>
          </w:p>
        </w:tc>
        <w:tc>
          <w:tcPr>
            <w:tcW w:w="2624" w:type="pct"/>
          </w:tcPr>
          <w:p w:rsidR="0083184B" w:rsidRPr="00CA7C76" w:rsidRDefault="0083184B" w:rsidP="0083184B">
            <w:pPr>
              <w:jc w:val="both"/>
              <w:rPr>
                <w:rFonts w:eastAsia="Calibri"/>
                <w:sz w:val="20"/>
              </w:rPr>
            </w:pPr>
            <w:r w:rsidRPr="00CA7C76">
              <w:rPr>
                <w:rFonts w:eastAsia="Calibri"/>
                <w:sz w:val="20"/>
              </w:rPr>
              <w:t>Application for leave to appeal filed together with motion for extension of time to serve and file application itself.</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65"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lastRenderedPageBreak/>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74"/>
        <w:gridCol w:w="453"/>
        <w:gridCol w:w="5000"/>
      </w:tblGrid>
      <w:tr w:rsidR="0083184B" w:rsidRPr="00F27688" w:rsidTr="0083184B">
        <w:tc>
          <w:tcPr>
            <w:tcW w:w="5000" w:type="pct"/>
            <w:gridSpan w:val="3"/>
          </w:tcPr>
          <w:p w:rsidR="0083184B" w:rsidRPr="00CA7C76" w:rsidRDefault="0083184B" w:rsidP="0083184B">
            <w:pPr>
              <w:jc w:val="both"/>
              <w:rPr>
                <w:rFonts w:eastAsia="Calibri"/>
                <w:sz w:val="20"/>
                <w:lang w:val="fr-CA"/>
              </w:rPr>
            </w:pPr>
            <w:r w:rsidRPr="00CA7C76">
              <w:rPr>
                <w:rFonts w:eastAsia="Calibri"/>
                <w:i/>
                <w:sz w:val="20"/>
                <w:lang w:val="fr-CA"/>
              </w:rPr>
              <w:t xml:space="preserve">Charte des droits </w:t>
            </w:r>
            <w:r w:rsidRPr="00CA7C76">
              <w:rPr>
                <w:rFonts w:eastAsia="Calibri"/>
                <w:sz w:val="20"/>
                <w:lang w:val="fr-CA"/>
              </w:rPr>
              <w:t>— Droit administratif — Procédure — L’employé a déposé un grief contre son congédiement et l’omission de son employeur de prendre des mesures raisonnables d’adaptation à son égard — Le grief de l’employé quant aux mesures d’adaptation a été mis de côté et n’a pas été poursuivi — L’arbitre a conclu que l’employé n’avait pas été injustement congédié — Toutefois, alors que les griefs étaient en instance, l’employé a déposé deux plaintes à la Commission canadienne des droits de la personne — L’employé a ensuite demandé le contrôle judiciaire du refus par la Commission des droits de la personne de traiter les plaintes de discrimination parce qu’elle faisaient l’objet de griefs, mais il a omis de respecter le délai de dépôt de l’affidavit de signification — La Cour fédérale a rejeté la requête en prorogation de délai déposée par l’employé et, par la suite, la Cour d’appel fédérale a rejeté l’appel de l’employé — Les juridictions inférieures ont</w:t>
            </w:r>
            <w:r w:rsidRPr="00CA7C76">
              <w:rPr>
                <w:rFonts w:eastAsia="Calibri"/>
                <w:sz w:val="20"/>
                <w:lang w:val="fr-CA"/>
              </w:rPr>
              <w:noBreakHyphen/>
              <w:t>elles eu tort de rejeter la requête en prorogation de délai présentée par l’employé? — Les juridictions inférieures ont</w:t>
            </w:r>
            <w:r w:rsidRPr="00CA7C76">
              <w:rPr>
                <w:rFonts w:eastAsia="Calibri"/>
                <w:sz w:val="20"/>
                <w:lang w:val="fr-CA"/>
              </w:rPr>
              <w:noBreakHyphen/>
              <w:t xml:space="preserve">elles eu tort de ne pas prendre l’affaire en délibéré jusqu’à ce que toute la preuve soit présentée conformément à la </w:t>
            </w:r>
            <w:r w:rsidRPr="00CA7C76">
              <w:rPr>
                <w:rFonts w:eastAsia="Calibri"/>
                <w:i/>
                <w:sz w:val="20"/>
                <w:lang w:val="fr-CA"/>
              </w:rPr>
              <w:t>Charte</w:t>
            </w:r>
            <w:r w:rsidRPr="00CA7C76">
              <w:rPr>
                <w:rFonts w:eastAsia="Calibri"/>
                <w:sz w:val="20"/>
                <w:lang w:val="fr-CA"/>
              </w:rPr>
              <w:t>?</w:t>
            </w:r>
          </w:p>
        </w:tc>
      </w:tr>
      <w:tr w:rsidR="0083184B" w:rsidRPr="00F27688" w:rsidTr="0083184B">
        <w:tc>
          <w:tcPr>
            <w:tcW w:w="5000" w:type="pct"/>
            <w:gridSpan w:val="3"/>
          </w:tcPr>
          <w:p w:rsidR="0083184B" w:rsidRPr="00CA7C76" w:rsidRDefault="0083184B" w:rsidP="0083184B">
            <w:pPr>
              <w:jc w:val="both"/>
              <w:rPr>
                <w:rFonts w:eastAsia="Calibri"/>
                <w:sz w:val="20"/>
                <w:lang w:val="fr-CA"/>
              </w:rPr>
            </w:pPr>
          </w:p>
        </w:tc>
      </w:tr>
      <w:tr w:rsidR="0083184B" w:rsidRPr="00F27688" w:rsidTr="0083184B">
        <w:tc>
          <w:tcPr>
            <w:tcW w:w="5000" w:type="pct"/>
            <w:gridSpan w:val="3"/>
          </w:tcPr>
          <w:p w:rsidR="0083184B" w:rsidRPr="00CA7C76" w:rsidRDefault="0083184B" w:rsidP="0083184B">
            <w:pPr>
              <w:jc w:val="both"/>
              <w:rPr>
                <w:rFonts w:eastAsia="Calibri"/>
                <w:sz w:val="20"/>
                <w:lang w:val="fr-CA"/>
              </w:rPr>
            </w:pPr>
            <w:r w:rsidRPr="00CA7C76">
              <w:rPr>
                <w:rFonts w:eastAsia="Calibri"/>
                <w:sz w:val="20"/>
                <w:lang w:val="fr-CA"/>
              </w:rPr>
              <w:t>Le demandeur, M. Kniss, a été congédié à la suite d’un différend portant sur l’obligation de son employeur de prendre des mesures d’adaptation à l’égard de ses limitations physiques.  Monsieur Kniss a déposé un grief contre l’omission de son employeur de prendre des mesures raisonnables d’adaptation à son égard et contre son congédiement.  Un arbitre a conclu que M. Kniss n’avait pas été injustement congédié.  Le grief quant aux mesures d’adaptation a été mis de côté et n’a pas été poursuivi.  Alors que ses griefs étaient en instance, M. Kniss a déposé deux plaintes à la Commission canadienne des droits de la personne, relativement à l’omission de son employeur de prendre des mesures raisonnables d’adaptation à son égard et relativement à son congédiement.  La Commission a refusé de traiter les plaintes de M. Kniss, étant d’avis que ces plaintes avaient été traitées dans le cadre de l’arbitrage des griefs. Monsieur Kniss a demandé le contrôle judiciaire du refus par la Commission de traiter ses plaintes. Toutefois, il a omis de respecter le délai de dépôt de son affidavit de signification et il a dû présenter une requête en prorogation de délai.  Cinquante jours s’étaient écoulés entre le refus d’accepter les affidavits de signification et le dépôt par M. Kniss de la requête en prorogation de délai.  Le protonotaire de la Cour fédérale qui a traité la requête a conclu que M. Kniss n’avait plus intérêt à poursuivre sa demande de contrôle judiciaire, puisque son retard à présenter la requête n’avait pas été expliqué.  Le protonotaire a aussi conclu que la demande de contrôle judiciaire présentée par M. Kniss constituait un abus de procédure.  Par conséquent, le protonotaire a conclu qu’il était contraire aux intérêts de la justice d’accorder une prorogation de délai pour présenter une demande qui était vouée à l’échec.  Il a rejeté la requête en prorogation de délai et, de son propre chef, il a rejeté la demande de contrôle judiciaire. Monsieur Kniss a interjeté appel de la décision à un juge de la Cour fédérale qui a conclu que le protonotaire avait appliqué le bon critère et que sa décision n’était pas manifestement erronée.  Par conséquent, il a rejeté l’appel et la Cour d’appel fédérale en a fait de même par la suite.</w:t>
            </w:r>
          </w:p>
          <w:p w:rsidR="0083184B" w:rsidRPr="00CA7C76" w:rsidRDefault="0083184B" w:rsidP="0083184B">
            <w:pPr>
              <w:jc w:val="both"/>
              <w:rPr>
                <w:rFonts w:eastAsia="Calibri"/>
                <w:sz w:val="20"/>
                <w:lang w:val="fr-CA"/>
              </w:rPr>
            </w:pPr>
          </w:p>
        </w:tc>
      </w:tr>
      <w:tr w:rsidR="0083184B" w:rsidRPr="00F27688" w:rsidTr="0083184B">
        <w:tc>
          <w:tcPr>
            <w:tcW w:w="2138" w:type="pct"/>
          </w:tcPr>
          <w:p w:rsidR="0083184B" w:rsidRPr="00CA7C76" w:rsidRDefault="0083184B" w:rsidP="0083184B">
            <w:pPr>
              <w:jc w:val="both"/>
              <w:rPr>
                <w:rFonts w:eastAsia="Calibri"/>
                <w:sz w:val="20"/>
                <w:lang w:val="fr-CA"/>
              </w:rPr>
            </w:pPr>
            <w:r w:rsidRPr="00CA7C76">
              <w:rPr>
                <w:rFonts w:eastAsia="Calibri"/>
                <w:sz w:val="20"/>
                <w:lang w:val="fr-CA"/>
              </w:rPr>
              <w:t>1</w:t>
            </w:r>
            <w:r w:rsidRPr="00CA7C76">
              <w:rPr>
                <w:rFonts w:eastAsia="Calibri"/>
                <w:sz w:val="20"/>
                <w:vertAlign w:val="superscript"/>
                <w:lang w:val="fr-CA"/>
              </w:rPr>
              <w:t>er</w:t>
            </w:r>
            <w:r w:rsidRPr="00CA7C76">
              <w:rPr>
                <w:rFonts w:eastAsia="Calibri"/>
                <w:sz w:val="20"/>
                <w:lang w:val="fr-CA"/>
              </w:rPr>
              <w:t xml:space="preserve"> novembre 2012</w:t>
            </w:r>
          </w:p>
          <w:p w:rsidR="0083184B" w:rsidRPr="00CA7C76" w:rsidRDefault="0083184B" w:rsidP="0083184B">
            <w:pPr>
              <w:jc w:val="both"/>
              <w:rPr>
                <w:rFonts w:eastAsia="Calibri"/>
                <w:sz w:val="20"/>
                <w:lang w:val="fr-CA"/>
              </w:rPr>
            </w:pPr>
            <w:r w:rsidRPr="00CA7C76">
              <w:rPr>
                <w:rFonts w:eastAsia="Calibri"/>
                <w:sz w:val="20"/>
                <w:lang w:val="fr-CA"/>
              </w:rPr>
              <w:t>Cour fédérale</w:t>
            </w:r>
          </w:p>
          <w:p w:rsidR="0083184B" w:rsidRPr="00CA7C76" w:rsidRDefault="0083184B" w:rsidP="0083184B">
            <w:pPr>
              <w:jc w:val="both"/>
              <w:rPr>
                <w:rFonts w:eastAsia="Calibri"/>
                <w:sz w:val="20"/>
                <w:lang w:val="fr-CA"/>
              </w:rPr>
            </w:pPr>
            <w:r w:rsidRPr="00CA7C76">
              <w:rPr>
                <w:rFonts w:eastAsia="Calibri"/>
                <w:sz w:val="20"/>
                <w:lang w:val="fr-CA"/>
              </w:rPr>
              <w:t>(Juge Boivin)</w:t>
            </w:r>
          </w:p>
          <w:p w:rsidR="0083184B" w:rsidRPr="00CA7C76" w:rsidRDefault="0083184B" w:rsidP="0083184B">
            <w:pPr>
              <w:jc w:val="both"/>
              <w:rPr>
                <w:rFonts w:eastAsia="Calibri"/>
                <w:sz w:val="20"/>
                <w:highlight w:val="yellow"/>
                <w:lang w:val="fr-CA"/>
              </w:rPr>
            </w:pPr>
          </w:p>
        </w:tc>
        <w:tc>
          <w:tcPr>
            <w:tcW w:w="238" w:type="pct"/>
          </w:tcPr>
          <w:p w:rsidR="0083184B" w:rsidRPr="00CA7C76" w:rsidRDefault="0083184B" w:rsidP="0083184B">
            <w:pPr>
              <w:jc w:val="both"/>
              <w:rPr>
                <w:rFonts w:eastAsia="Calibri"/>
                <w:sz w:val="20"/>
                <w:highlight w:val="yellow"/>
                <w:lang w:val="fr-CA"/>
              </w:rPr>
            </w:pPr>
          </w:p>
        </w:tc>
        <w:tc>
          <w:tcPr>
            <w:tcW w:w="2624" w:type="pct"/>
          </w:tcPr>
          <w:p w:rsidR="0083184B" w:rsidRPr="00CA7C76" w:rsidRDefault="0083184B" w:rsidP="0083184B">
            <w:pPr>
              <w:jc w:val="both"/>
              <w:rPr>
                <w:rFonts w:eastAsia="Calibri"/>
                <w:sz w:val="20"/>
                <w:lang w:val="fr-CA"/>
              </w:rPr>
            </w:pPr>
            <w:r w:rsidRPr="00CA7C76">
              <w:rPr>
                <w:rFonts w:eastAsia="Calibri"/>
                <w:sz w:val="20"/>
                <w:lang w:val="fr-CA"/>
              </w:rPr>
              <w:t>Requête en prorogation de délai, rejetée.</w:t>
            </w:r>
          </w:p>
          <w:p w:rsidR="0083184B" w:rsidRPr="00CA7C76" w:rsidRDefault="0083184B" w:rsidP="0083184B">
            <w:pPr>
              <w:jc w:val="both"/>
              <w:rPr>
                <w:rFonts w:eastAsia="Calibri"/>
                <w:sz w:val="20"/>
                <w:highlight w:val="yellow"/>
                <w:lang w:val="fr-CA"/>
              </w:rPr>
            </w:pPr>
          </w:p>
        </w:tc>
      </w:tr>
      <w:tr w:rsidR="0083184B" w:rsidRPr="00CA7C76" w:rsidTr="0083184B">
        <w:tc>
          <w:tcPr>
            <w:tcW w:w="2138" w:type="pct"/>
          </w:tcPr>
          <w:p w:rsidR="0083184B" w:rsidRPr="00CA7C76" w:rsidRDefault="0083184B" w:rsidP="0083184B">
            <w:pPr>
              <w:jc w:val="both"/>
              <w:rPr>
                <w:rFonts w:eastAsia="Calibri"/>
                <w:sz w:val="20"/>
                <w:lang w:val="fr-CA"/>
              </w:rPr>
            </w:pPr>
            <w:r w:rsidRPr="00CA7C76">
              <w:rPr>
                <w:rFonts w:eastAsia="Calibri"/>
                <w:sz w:val="20"/>
                <w:lang w:val="fr-CA"/>
              </w:rPr>
              <w:t>19 décembre 2013</w:t>
            </w:r>
          </w:p>
          <w:p w:rsidR="0083184B" w:rsidRPr="00CA7C76" w:rsidRDefault="0083184B" w:rsidP="0083184B">
            <w:pPr>
              <w:jc w:val="both"/>
              <w:rPr>
                <w:rFonts w:eastAsia="Calibri"/>
                <w:sz w:val="20"/>
                <w:lang w:val="fr-CA"/>
              </w:rPr>
            </w:pPr>
            <w:r w:rsidRPr="00CA7C76">
              <w:rPr>
                <w:rFonts w:eastAsia="Calibri"/>
                <w:sz w:val="20"/>
                <w:lang w:val="fr-CA"/>
              </w:rPr>
              <w:t>Cour d’appel fédérale</w:t>
            </w:r>
          </w:p>
          <w:p w:rsidR="0083184B" w:rsidRPr="00CA7C76" w:rsidRDefault="0083184B" w:rsidP="0083184B">
            <w:pPr>
              <w:jc w:val="both"/>
              <w:rPr>
                <w:rFonts w:eastAsia="Calibri"/>
                <w:sz w:val="20"/>
                <w:lang w:val="fr-CA"/>
              </w:rPr>
            </w:pPr>
            <w:r w:rsidRPr="00CA7C76">
              <w:rPr>
                <w:rFonts w:eastAsia="Calibri"/>
                <w:sz w:val="20"/>
                <w:lang w:val="fr-CA"/>
              </w:rPr>
              <w:t>(Juges Pelletier, Stratas et Near)</w:t>
            </w:r>
          </w:p>
          <w:p w:rsidR="0083184B" w:rsidRPr="00CA7C76" w:rsidRDefault="0083184B" w:rsidP="0083184B">
            <w:pPr>
              <w:jc w:val="both"/>
              <w:rPr>
                <w:rFonts w:eastAsia="Calibri"/>
                <w:sz w:val="20"/>
                <w:lang w:val="fr-CA"/>
              </w:rPr>
            </w:pPr>
            <w:r w:rsidRPr="00CA7C76">
              <w:rPr>
                <w:rFonts w:eastAsia="Calibri"/>
                <w:sz w:val="20"/>
                <w:lang w:val="fr-CA"/>
              </w:rPr>
              <w:t>2013 FCA 293</w:t>
            </w:r>
          </w:p>
          <w:p w:rsidR="0083184B" w:rsidRPr="00CA7C76" w:rsidRDefault="0083184B" w:rsidP="0083184B">
            <w:pPr>
              <w:jc w:val="both"/>
              <w:rPr>
                <w:rFonts w:eastAsia="Calibri"/>
                <w:sz w:val="20"/>
                <w:lang w:val="fr-CA"/>
              </w:rPr>
            </w:pPr>
          </w:p>
        </w:tc>
        <w:tc>
          <w:tcPr>
            <w:tcW w:w="238" w:type="pct"/>
          </w:tcPr>
          <w:p w:rsidR="0083184B" w:rsidRPr="00CA7C76" w:rsidRDefault="0083184B" w:rsidP="0083184B">
            <w:pPr>
              <w:jc w:val="both"/>
              <w:rPr>
                <w:rFonts w:eastAsia="Calibri"/>
                <w:sz w:val="20"/>
                <w:lang w:val="fr-CA"/>
              </w:rPr>
            </w:pPr>
          </w:p>
        </w:tc>
        <w:tc>
          <w:tcPr>
            <w:tcW w:w="2624" w:type="pct"/>
          </w:tcPr>
          <w:p w:rsidR="0083184B" w:rsidRPr="00CA7C76" w:rsidRDefault="0083184B" w:rsidP="0083184B">
            <w:pPr>
              <w:jc w:val="both"/>
              <w:rPr>
                <w:rFonts w:eastAsia="Calibri"/>
                <w:sz w:val="20"/>
                <w:lang w:val="fr-CA"/>
              </w:rPr>
            </w:pPr>
            <w:r w:rsidRPr="00CA7C76">
              <w:rPr>
                <w:rFonts w:eastAsia="Calibri"/>
                <w:sz w:val="20"/>
                <w:lang w:val="fr-CA"/>
              </w:rPr>
              <w:t>Appel rejeté.</w:t>
            </w:r>
          </w:p>
          <w:p w:rsidR="0083184B" w:rsidRPr="00CA7C76" w:rsidRDefault="0083184B" w:rsidP="0083184B">
            <w:pPr>
              <w:jc w:val="both"/>
              <w:rPr>
                <w:rFonts w:eastAsia="Calibri"/>
                <w:sz w:val="20"/>
                <w:lang w:val="fr-CA"/>
              </w:rPr>
            </w:pPr>
          </w:p>
        </w:tc>
      </w:tr>
      <w:tr w:rsidR="0083184B" w:rsidRPr="00F27688" w:rsidTr="0083184B">
        <w:tc>
          <w:tcPr>
            <w:tcW w:w="2138" w:type="pct"/>
          </w:tcPr>
          <w:p w:rsidR="0083184B" w:rsidRPr="00CA7C76" w:rsidRDefault="0083184B" w:rsidP="0083184B">
            <w:pPr>
              <w:jc w:val="both"/>
              <w:rPr>
                <w:rFonts w:eastAsia="Calibri"/>
                <w:sz w:val="20"/>
                <w:lang w:val="fr-CA"/>
              </w:rPr>
            </w:pPr>
            <w:r w:rsidRPr="00CA7C76">
              <w:rPr>
                <w:rFonts w:eastAsia="Calibri"/>
                <w:sz w:val="20"/>
                <w:lang w:val="fr-CA"/>
              </w:rPr>
              <w:t>17 février 2014</w:t>
            </w:r>
          </w:p>
          <w:p w:rsidR="0083184B" w:rsidRPr="00CA7C76" w:rsidRDefault="0083184B" w:rsidP="0083184B">
            <w:pPr>
              <w:jc w:val="both"/>
              <w:rPr>
                <w:rFonts w:eastAsia="Calibri"/>
                <w:sz w:val="20"/>
                <w:lang w:val="fr-CA"/>
              </w:rPr>
            </w:pPr>
            <w:r w:rsidRPr="00CA7C76">
              <w:rPr>
                <w:rFonts w:eastAsia="Calibri"/>
                <w:sz w:val="20"/>
                <w:lang w:val="fr-CA"/>
              </w:rPr>
              <w:t>Cour suprême du Canada</w:t>
            </w:r>
          </w:p>
        </w:tc>
        <w:tc>
          <w:tcPr>
            <w:tcW w:w="238" w:type="pct"/>
          </w:tcPr>
          <w:p w:rsidR="0083184B" w:rsidRPr="00CA7C76" w:rsidRDefault="0083184B" w:rsidP="0083184B">
            <w:pPr>
              <w:jc w:val="both"/>
              <w:rPr>
                <w:rFonts w:eastAsia="Calibri"/>
                <w:sz w:val="20"/>
                <w:lang w:val="fr-CA"/>
              </w:rPr>
            </w:pPr>
          </w:p>
        </w:tc>
        <w:tc>
          <w:tcPr>
            <w:tcW w:w="2624" w:type="pct"/>
          </w:tcPr>
          <w:p w:rsidR="0083184B" w:rsidRPr="00CA7C76" w:rsidRDefault="0083184B" w:rsidP="0083184B">
            <w:pPr>
              <w:jc w:val="both"/>
              <w:rPr>
                <w:rFonts w:eastAsia="Calibri"/>
                <w:sz w:val="20"/>
                <w:lang w:val="fr-CA"/>
              </w:rPr>
            </w:pPr>
            <w:r w:rsidRPr="00CA7C76">
              <w:rPr>
                <w:rFonts w:eastAsia="Calibri"/>
                <w:sz w:val="20"/>
                <w:lang w:val="fr-CA"/>
              </w:rPr>
              <w:t>Demande d’autorisation d’appel déposée avec une requête en prorogation du délai de signification et de dépôt de la demande elle</w:t>
            </w:r>
            <w:r w:rsidRPr="00CA7C76">
              <w:rPr>
                <w:rFonts w:eastAsia="Calibri"/>
                <w:sz w:val="20"/>
                <w:lang w:val="fr-CA"/>
              </w:rPr>
              <w:noBreakHyphen/>
              <w:t>même.</w:t>
            </w:r>
          </w:p>
        </w:tc>
      </w:tr>
    </w:tbl>
    <w:p w:rsidR="0096146C" w:rsidRPr="0083184B"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66" style="width:2in;height:1pt" o:hrpct="0" o:hralign="center" o:hrstd="t" o:hrnoshade="t" o:hr="t" fillcolor="black [3213]" stroked="f"/>
        </w:pict>
      </w:r>
    </w:p>
    <w:p w:rsidR="0096146C" w:rsidRDefault="0096146C" w:rsidP="0096146C">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365D4" w:rsidRPr="00F365D4" w:rsidTr="00162E9D">
        <w:trPr>
          <w:cantSplit/>
        </w:trPr>
        <w:tc>
          <w:tcPr>
            <w:tcW w:w="1458" w:type="dxa"/>
          </w:tcPr>
          <w:p w:rsidR="00F365D4" w:rsidRPr="00F365D4" w:rsidRDefault="00F365D4" w:rsidP="00F365D4">
            <w:pPr>
              <w:rPr>
                <w:sz w:val="20"/>
              </w:rPr>
            </w:pPr>
            <w:r w:rsidRPr="00F365D4">
              <w:rPr>
                <w:b/>
                <w:sz w:val="20"/>
                <w:lang w:val="fr-CA"/>
              </w:rPr>
              <w:lastRenderedPageBreak/>
              <w:t>35745</w:t>
            </w:r>
          </w:p>
          <w:p w:rsidR="00F365D4" w:rsidRPr="00F365D4" w:rsidRDefault="00F365D4" w:rsidP="00F365D4">
            <w:pPr>
              <w:rPr>
                <w:b/>
                <w:sz w:val="20"/>
                <w:lang w:val="fr-CA"/>
              </w:rPr>
            </w:pPr>
          </w:p>
        </w:tc>
        <w:tc>
          <w:tcPr>
            <w:tcW w:w="8118" w:type="dxa"/>
          </w:tcPr>
          <w:p w:rsidR="00F365D4" w:rsidRPr="00F365D4" w:rsidRDefault="00F365D4" w:rsidP="00F365D4">
            <w:pPr>
              <w:jc w:val="both"/>
              <w:rPr>
                <w:sz w:val="20"/>
              </w:rPr>
            </w:pPr>
            <w:r w:rsidRPr="00F365D4">
              <w:rPr>
                <w:b/>
                <w:sz w:val="20"/>
                <w:u w:val="single"/>
              </w:rPr>
              <w:t xml:space="preserve">Ivan William Mervin Henry v. Her Majesty the Queen in Right of the Province of British Columbia as </w:t>
            </w:r>
            <w:r>
              <w:rPr>
                <w:b/>
                <w:sz w:val="20"/>
                <w:u w:val="single"/>
              </w:rPr>
              <w:t>r</w:t>
            </w:r>
            <w:r w:rsidRPr="00F365D4">
              <w:rPr>
                <w:b/>
                <w:sz w:val="20"/>
                <w:u w:val="single"/>
              </w:rPr>
              <w:t>epresented by the Attorney General of British Columbia</w:t>
            </w:r>
            <w:r>
              <w:rPr>
                <w:b/>
                <w:sz w:val="20"/>
                <w:u w:val="single"/>
              </w:rPr>
              <w:t xml:space="preserve"> and</w:t>
            </w:r>
            <w:r w:rsidRPr="00F365D4">
              <w:rPr>
                <w:b/>
                <w:sz w:val="20"/>
                <w:u w:val="single"/>
              </w:rPr>
              <w:t xml:space="preserve"> Attorney General of Canada</w:t>
            </w:r>
            <w:r w:rsidRPr="00F365D4">
              <w:rPr>
                <w:sz w:val="20"/>
              </w:rPr>
              <w:t xml:space="preserve"> (B.C.) (Civil) (By Leave)</w:t>
            </w:r>
          </w:p>
          <w:p w:rsidR="00F365D4" w:rsidRPr="00F365D4" w:rsidRDefault="00F365D4" w:rsidP="00F365D4">
            <w:pPr>
              <w:jc w:val="both"/>
              <w:rPr>
                <w:sz w:val="20"/>
              </w:rPr>
            </w:pPr>
          </w:p>
        </w:tc>
      </w:tr>
      <w:tr w:rsidR="00F365D4" w:rsidRPr="00F365D4" w:rsidTr="00162E9D">
        <w:trPr>
          <w:cantSplit/>
        </w:trPr>
        <w:tc>
          <w:tcPr>
            <w:tcW w:w="1458" w:type="dxa"/>
          </w:tcPr>
          <w:p w:rsidR="00F365D4" w:rsidRPr="00F365D4" w:rsidRDefault="00F365D4" w:rsidP="00F365D4">
            <w:pPr>
              <w:rPr>
                <w:sz w:val="20"/>
              </w:rPr>
            </w:pPr>
            <w:r w:rsidRPr="00F365D4">
              <w:rPr>
                <w:sz w:val="20"/>
              </w:rPr>
              <w:t>Coram :</w:t>
            </w:r>
          </w:p>
        </w:tc>
        <w:tc>
          <w:tcPr>
            <w:tcW w:w="8118" w:type="dxa"/>
          </w:tcPr>
          <w:p w:rsidR="00F365D4" w:rsidRPr="00F365D4" w:rsidRDefault="00F365D4" w:rsidP="00F365D4">
            <w:pPr>
              <w:rPr>
                <w:sz w:val="20"/>
              </w:rPr>
            </w:pPr>
            <w:r w:rsidRPr="00F365D4">
              <w:rPr>
                <w:sz w:val="20"/>
                <w:u w:val="single"/>
              </w:rPr>
              <w:t>LeBel, Karakatsanis and Wagner JJ.</w:t>
            </w:r>
          </w:p>
          <w:p w:rsidR="00F365D4" w:rsidRPr="00F365D4" w:rsidRDefault="00F365D4" w:rsidP="00F365D4">
            <w:pPr>
              <w:rPr>
                <w:sz w:val="20"/>
                <w:u w:val="single"/>
              </w:rPr>
            </w:pPr>
          </w:p>
        </w:tc>
      </w:tr>
      <w:tr w:rsidR="00F365D4" w:rsidRPr="00F27688" w:rsidTr="00162E9D">
        <w:trPr>
          <w:cantSplit/>
        </w:trPr>
        <w:tc>
          <w:tcPr>
            <w:tcW w:w="9576" w:type="dxa"/>
            <w:gridSpan w:val="2"/>
          </w:tcPr>
          <w:p w:rsidR="00F365D4" w:rsidRPr="00F365D4" w:rsidRDefault="00F365D4" w:rsidP="00F365D4">
            <w:pPr>
              <w:ind w:firstLine="720"/>
              <w:jc w:val="both"/>
              <w:rPr>
                <w:sz w:val="20"/>
              </w:rPr>
            </w:pPr>
            <w:r w:rsidRPr="00F365D4">
              <w:rPr>
                <w:sz w:val="20"/>
              </w:rPr>
              <w:t>The motion for leave to intervene of the Association in Defence of the Wrongly Convicted is dismissed without prejudice to its right to apply for leave to intervene in the appeal. The application for leave to appeal from the judgment of the Court of Appeal for British Columbia (Vancouver), Number CA040901, 2014 BCCA 15, dated January 21, 2014, is granted with costs in the cause.</w:t>
            </w:r>
          </w:p>
          <w:p w:rsidR="00F365D4" w:rsidRPr="00F365D4" w:rsidRDefault="00F365D4" w:rsidP="00F365D4">
            <w:pPr>
              <w:jc w:val="both"/>
              <w:rPr>
                <w:sz w:val="20"/>
              </w:rPr>
            </w:pPr>
          </w:p>
          <w:p w:rsidR="00F365D4" w:rsidRPr="00F365D4" w:rsidRDefault="00F365D4" w:rsidP="00F365D4">
            <w:pPr>
              <w:ind w:firstLine="720"/>
              <w:jc w:val="both"/>
              <w:rPr>
                <w:sz w:val="20"/>
                <w:lang w:val="fr-CA"/>
              </w:rPr>
            </w:pPr>
            <w:r w:rsidRPr="00F365D4">
              <w:rPr>
                <w:sz w:val="20"/>
                <w:lang w:val="fr-CA"/>
              </w:rPr>
              <w:t>La requête pour permission d’intervenir de l’Association in Defence of the Wrongly Convicted est rejetée sous réserve de son droit de demander l’autorisation d’intervenir dans l’appel. La demande d’autorisation d’appel de l’arrêt de la Cour d’appel de la Colombie-Britannique (Vancouver), numéro CA040901, 2014 BCCA 15, daté du 21 janvier 2014, est accueillie avec dépens selon l’issue de la cause.</w:t>
            </w:r>
          </w:p>
        </w:tc>
      </w:tr>
    </w:tbl>
    <w:p w:rsidR="0096146C" w:rsidRPr="00F365D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F86" w:rsidRPr="00D21141" w:rsidTr="00F66694">
        <w:tc>
          <w:tcPr>
            <w:tcW w:w="5000" w:type="pct"/>
            <w:gridSpan w:val="3"/>
          </w:tcPr>
          <w:p w:rsidR="001C5F86" w:rsidRPr="00D21141" w:rsidRDefault="001C5F86" w:rsidP="00F66694">
            <w:pPr>
              <w:jc w:val="both"/>
              <w:rPr>
                <w:rFonts w:eastAsia="Calibri"/>
                <w:smallCaps/>
                <w:sz w:val="20"/>
              </w:rPr>
            </w:pPr>
            <w:r w:rsidRPr="00D21141">
              <w:rPr>
                <w:rFonts w:eastAsia="Calibri"/>
                <w:smallCaps/>
                <w:sz w:val="20"/>
              </w:rPr>
              <w:t xml:space="preserve">(Publication </w:t>
            </w:r>
            <w:r>
              <w:rPr>
                <w:rFonts w:eastAsia="Calibri"/>
                <w:smallCaps/>
                <w:sz w:val="20"/>
              </w:rPr>
              <w:t>B</w:t>
            </w:r>
            <w:r w:rsidRPr="00D21141">
              <w:rPr>
                <w:rFonts w:eastAsia="Calibri"/>
                <w:smallCaps/>
                <w:sz w:val="20"/>
              </w:rPr>
              <w:t xml:space="preserve">an in </w:t>
            </w:r>
            <w:r>
              <w:rPr>
                <w:rFonts w:eastAsia="Calibri"/>
                <w:smallCaps/>
                <w:sz w:val="20"/>
              </w:rPr>
              <w:t>C</w:t>
            </w:r>
            <w:r w:rsidRPr="00D21141">
              <w:rPr>
                <w:rFonts w:eastAsia="Calibri"/>
                <w:smallCaps/>
                <w:sz w:val="20"/>
              </w:rPr>
              <w:t>ase)</w:t>
            </w:r>
          </w:p>
          <w:p w:rsidR="001C5F86" w:rsidRPr="00D21141" w:rsidRDefault="001C5F86" w:rsidP="00F66694">
            <w:pPr>
              <w:jc w:val="both"/>
              <w:rPr>
                <w:rFonts w:eastAsia="Calibri"/>
                <w:sz w:val="20"/>
              </w:rPr>
            </w:pPr>
          </w:p>
        </w:tc>
      </w:tr>
      <w:tr w:rsidR="001C5F86" w:rsidRPr="00D21141" w:rsidTr="00F66694">
        <w:tc>
          <w:tcPr>
            <w:tcW w:w="5000" w:type="pct"/>
            <w:gridSpan w:val="3"/>
          </w:tcPr>
          <w:p w:rsidR="001C5F86" w:rsidRPr="00D21141" w:rsidRDefault="001C5F86" w:rsidP="00F66694">
            <w:pPr>
              <w:jc w:val="both"/>
              <w:rPr>
                <w:rFonts w:eastAsia="Calibri"/>
                <w:sz w:val="20"/>
              </w:rPr>
            </w:pPr>
            <w:r w:rsidRPr="00D21141">
              <w:rPr>
                <w:rFonts w:eastAsia="Calibri"/>
                <w:sz w:val="20"/>
              </w:rPr>
              <w:t xml:space="preserve">Charter of rights — Crown law — Crown liability — Applicant wrongfully convicted and incarcerated during almost 27 years — Subsequent civil claim against provincial Crown for, </w:t>
            </w:r>
            <w:r w:rsidRPr="00D21141">
              <w:rPr>
                <w:rFonts w:eastAsia="Calibri"/>
                <w:i/>
                <w:sz w:val="20"/>
              </w:rPr>
              <w:t>inter alia</w:t>
            </w:r>
            <w:r w:rsidRPr="00D21141">
              <w:rPr>
                <w:rFonts w:eastAsia="Calibri"/>
                <w:sz w:val="20"/>
              </w:rPr>
              <w:t xml:space="preserve">, malicious prosecution and seeking </w:t>
            </w:r>
            <w:r w:rsidRPr="00D21141">
              <w:rPr>
                <w:rFonts w:eastAsia="Calibri"/>
                <w:i/>
                <w:sz w:val="20"/>
              </w:rPr>
              <w:t>Charter</w:t>
            </w:r>
            <w:r w:rsidRPr="00D21141">
              <w:rPr>
                <w:rFonts w:eastAsia="Calibri"/>
                <w:sz w:val="20"/>
              </w:rPr>
              <w:t xml:space="preserve"> damages for non</w:t>
            </w:r>
            <w:r w:rsidRPr="00D21141">
              <w:rPr>
                <w:rFonts w:eastAsia="Calibri"/>
                <w:sz w:val="20"/>
              </w:rPr>
              <w:noBreakHyphen/>
              <w:t xml:space="preserve">disclosure of evidence at trial — Whether Crown prosecutors liable for anything less than malicious prosecution — </w:t>
            </w:r>
            <w:r w:rsidRPr="00D21141">
              <w:rPr>
                <w:rFonts w:eastAsia="Calibri"/>
                <w:i/>
                <w:sz w:val="20"/>
              </w:rPr>
              <w:t>Canadian Charter of Rights and Freedoms</w:t>
            </w:r>
            <w:r w:rsidRPr="00D21141">
              <w:rPr>
                <w:rFonts w:eastAsia="Calibri"/>
                <w:sz w:val="20"/>
              </w:rPr>
              <w:t>, ss. 7, 11(d), 24(1).</w:t>
            </w:r>
          </w:p>
          <w:p w:rsidR="001C5F86" w:rsidRPr="00D21141" w:rsidRDefault="001C5F86" w:rsidP="00F66694">
            <w:pPr>
              <w:jc w:val="both"/>
              <w:rPr>
                <w:rFonts w:eastAsia="Calibri"/>
                <w:sz w:val="20"/>
              </w:rPr>
            </w:pPr>
          </w:p>
        </w:tc>
      </w:tr>
      <w:tr w:rsidR="001C5F86" w:rsidRPr="00D21141" w:rsidTr="00F66694">
        <w:tc>
          <w:tcPr>
            <w:tcW w:w="5000" w:type="pct"/>
            <w:gridSpan w:val="3"/>
          </w:tcPr>
          <w:p w:rsidR="001C5F86" w:rsidRPr="00D21141" w:rsidRDefault="001C5F86" w:rsidP="00F66694">
            <w:pPr>
              <w:jc w:val="both"/>
              <w:rPr>
                <w:rFonts w:eastAsia="Calibri"/>
                <w:sz w:val="20"/>
              </w:rPr>
            </w:pPr>
            <w:r w:rsidRPr="00D21141">
              <w:rPr>
                <w:rFonts w:eastAsia="Calibri"/>
                <w:sz w:val="20"/>
              </w:rPr>
              <w:t xml:space="preserve">Mr. Henry was convicted in 1983 of 10 sexual offence counts, was declared a dangerous offender and sentenced to an indefinite period of incarceration.  He remained incarcerated for almost 27 years, until granted bail in 2009, and was acquitted in October 2010.  Mr. Henry then sought damages against, </w:t>
            </w:r>
            <w:r w:rsidRPr="00D21141">
              <w:rPr>
                <w:rFonts w:eastAsia="Calibri"/>
                <w:i/>
                <w:sz w:val="20"/>
              </w:rPr>
              <w:t>inter alia</w:t>
            </w:r>
            <w:r w:rsidRPr="00D21141">
              <w:rPr>
                <w:rFonts w:eastAsia="Calibri"/>
                <w:sz w:val="20"/>
              </w:rPr>
              <w:t xml:space="preserve">, the prosecutors for the injuries he alleges he suffered as a consequence of the wrongful conviction and incarceration.  The claim relates to the actions of Crown counsel through the course of the trial and subsequent appeal processes. </w:t>
            </w:r>
          </w:p>
          <w:p w:rsidR="001C5F86" w:rsidRPr="00D21141" w:rsidRDefault="001C5F86" w:rsidP="00F66694">
            <w:pPr>
              <w:jc w:val="both"/>
              <w:rPr>
                <w:rFonts w:eastAsia="Calibri"/>
                <w:sz w:val="20"/>
              </w:rPr>
            </w:pPr>
          </w:p>
          <w:p w:rsidR="001C5F86" w:rsidRPr="00D21141" w:rsidRDefault="001C5F86" w:rsidP="00F66694">
            <w:pPr>
              <w:jc w:val="both"/>
              <w:rPr>
                <w:rFonts w:eastAsia="Calibri"/>
                <w:sz w:val="20"/>
              </w:rPr>
            </w:pPr>
            <w:r w:rsidRPr="00D21141">
              <w:rPr>
                <w:rFonts w:eastAsia="Calibri"/>
                <w:sz w:val="20"/>
              </w:rPr>
              <w:t xml:space="preserve">Mr. Henry is seeking damages under s. 24(1) of the </w:t>
            </w:r>
            <w:r w:rsidRPr="00D21141">
              <w:rPr>
                <w:rFonts w:eastAsia="Calibri"/>
                <w:i/>
                <w:sz w:val="20"/>
              </w:rPr>
              <w:t>Charter</w:t>
            </w:r>
            <w:r w:rsidRPr="00D21141">
              <w:rPr>
                <w:rFonts w:eastAsia="Calibri"/>
                <w:sz w:val="20"/>
              </w:rPr>
              <w:t xml:space="preserve"> and, to that end, successfully applied for leave to amend his pleadings to include the following: </w:t>
            </w:r>
          </w:p>
          <w:p w:rsidR="001C5F86" w:rsidRPr="00D21141" w:rsidRDefault="001C5F86" w:rsidP="00F66694">
            <w:pPr>
              <w:jc w:val="both"/>
              <w:rPr>
                <w:rFonts w:eastAsia="Calibri"/>
                <w:sz w:val="20"/>
              </w:rPr>
            </w:pPr>
          </w:p>
          <w:p w:rsidR="001C5F86" w:rsidRPr="00D21141" w:rsidRDefault="001C5F86" w:rsidP="00F66694">
            <w:pPr>
              <w:ind w:left="720" w:right="720"/>
              <w:jc w:val="both"/>
              <w:rPr>
                <w:sz w:val="20"/>
                <w:lang w:eastAsia="en-CA"/>
              </w:rPr>
            </w:pPr>
            <w:r w:rsidRPr="00D21141">
              <w:rPr>
                <w:sz w:val="20"/>
                <w:lang w:eastAsia="en-CA"/>
              </w:rPr>
              <w:t>120. The various acts and omissions that violated the Plaintiff’s right to disclosure and/or his right to full answer and defence and/or his right to a fair trial, as described in paragraphs 113</w:t>
            </w:r>
            <w:r w:rsidRPr="00D21141">
              <w:rPr>
                <w:sz w:val="20"/>
                <w:lang w:eastAsia="en-CA"/>
              </w:rPr>
              <w:noBreakHyphen/>
              <w:t>119 above, were a marked and unacceptable departure from the reasonable standards expected of the Crown counsel.</w:t>
            </w:r>
          </w:p>
          <w:p w:rsidR="001C5F86" w:rsidRPr="00D21141" w:rsidRDefault="001C5F86" w:rsidP="00F66694">
            <w:pPr>
              <w:jc w:val="both"/>
              <w:rPr>
                <w:rFonts w:eastAsia="Calibri"/>
                <w:sz w:val="20"/>
              </w:rPr>
            </w:pPr>
          </w:p>
          <w:p w:rsidR="001C5F86" w:rsidRPr="00D21141" w:rsidRDefault="001C5F86" w:rsidP="00F66694">
            <w:pPr>
              <w:jc w:val="both"/>
              <w:rPr>
                <w:rFonts w:eastAsia="Calibri"/>
                <w:sz w:val="20"/>
              </w:rPr>
            </w:pPr>
            <w:r w:rsidRPr="00D21141">
              <w:rPr>
                <w:rFonts w:eastAsia="Calibri"/>
                <w:sz w:val="20"/>
              </w:rPr>
              <w:t>The amendment was subsequently refused by the B.C. Court of Appeal, on the basis that Supreme Court authority currently forecloses prosecutorial liability for negligence and requires evidence of malice.</w:t>
            </w:r>
          </w:p>
          <w:p w:rsidR="001C5F86" w:rsidRPr="00D21141" w:rsidRDefault="001C5F86" w:rsidP="00F66694">
            <w:pPr>
              <w:jc w:val="both"/>
              <w:rPr>
                <w:rFonts w:eastAsia="Calibri"/>
                <w:sz w:val="20"/>
              </w:rPr>
            </w:pPr>
          </w:p>
        </w:tc>
      </w:tr>
      <w:tr w:rsidR="001C5F86" w:rsidRPr="00D21141" w:rsidTr="00F66694">
        <w:tc>
          <w:tcPr>
            <w:tcW w:w="2427" w:type="pct"/>
          </w:tcPr>
          <w:p w:rsidR="001C5F86" w:rsidRPr="00D21141" w:rsidRDefault="001C5F86" w:rsidP="00F66694">
            <w:pPr>
              <w:jc w:val="both"/>
              <w:rPr>
                <w:rFonts w:eastAsia="Calibri"/>
                <w:sz w:val="20"/>
              </w:rPr>
            </w:pPr>
            <w:r w:rsidRPr="00D21141">
              <w:rPr>
                <w:rFonts w:eastAsia="Calibri"/>
                <w:sz w:val="20"/>
              </w:rPr>
              <w:t>April 18, 2013</w:t>
            </w:r>
          </w:p>
          <w:p w:rsidR="001C5F86" w:rsidRPr="00D21141" w:rsidRDefault="001C5F86" w:rsidP="00F66694">
            <w:pPr>
              <w:jc w:val="both"/>
              <w:rPr>
                <w:rFonts w:eastAsia="Calibri"/>
                <w:sz w:val="20"/>
              </w:rPr>
            </w:pPr>
            <w:r w:rsidRPr="00D21141">
              <w:rPr>
                <w:rFonts w:eastAsia="Calibri"/>
                <w:sz w:val="20"/>
              </w:rPr>
              <w:t>Supreme Court of British Columbia</w:t>
            </w:r>
          </w:p>
          <w:p w:rsidR="001C5F86" w:rsidRPr="00D21141" w:rsidRDefault="001C5F86" w:rsidP="00F66694">
            <w:pPr>
              <w:jc w:val="both"/>
              <w:rPr>
                <w:rFonts w:eastAsia="Calibri"/>
                <w:sz w:val="20"/>
              </w:rPr>
            </w:pPr>
            <w:r w:rsidRPr="00D21141">
              <w:rPr>
                <w:rFonts w:eastAsia="Calibri"/>
                <w:sz w:val="20"/>
              </w:rPr>
              <w:t>(Goepel J.)</w:t>
            </w:r>
          </w:p>
          <w:p w:rsidR="001C5F86" w:rsidRPr="00D21141" w:rsidRDefault="00F27688" w:rsidP="00F66694">
            <w:pPr>
              <w:jc w:val="both"/>
              <w:rPr>
                <w:rFonts w:eastAsia="Calibri"/>
                <w:sz w:val="20"/>
              </w:rPr>
            </w:pPr>
            <w:hyperlink r:id="rId47" w:history="1">
              <w:r w:rsidR="001C5F86" w:rsidRPr="007A481A">
                <w:rPr>
                  <w:rFonts w:eastAsia="Calibri"/>
                  <w:color w:val="0000FF"/>
                  <w:sz w:val="20"/>
                  <w:u w:val="single"/>
                </w:rPr>
                <w:t>2013 BCSC 665</w:t>
              </w:r>
            </w:hyperlink>
          </w:p>
          <w:p w:rsidR="001C5F86" w:rsidRPr="00D21141" w:rsidRDefault="001C5F86" w:rsidP="00F66694">
            <w:pPr>
              <w:jc w:val="both"/>
              <w:rPr>
                <w:rFonts w:eastAsia="Calibri"/>
                <w:sz w:val="20"/>
              </w:rPr>
            </w:pPr>
          </w:p>
        </w:tc>
        <w:tc>
          <w:tcPr>
            <w:tcW w:w="243" w:type="pct"/>
          </w:tcPr>
          <w:p w:rsidR="001C5F86" w:rsidRPr="00D21141" w:rsidRDefault="001C5F86" w:rsidP="00F66694">
            <w:pPr>
              <w:jc w:val="both"/>
              <w:rPr>
                <w:rFonts w:eastAsia="Calibri"/>
                <w:sz w:val="20"/>
              </w:rPr>
            </w:pPr>
          </w:p>
        </w:tc>
        <w:tc>
          <w:tcPr>
            <w:tcW w:w="2330" w:type="pct"/>
          </w:tcPr>
          <w:p w:rsidR="001C5F86" w:rsidRPr="00D21141" w:rsidRDefault="001C5F86" w:rsidP="00F66694">
            <w:pPr>
              <w:jc w:val="both"/>
              <w:rPr>
                <w:rFonts w:eastAsia="Calibri"/>
                <w:sz w:val="20"/>
              </w:rPr>
            </w:pPr>
            <w:r w:rsidRPr="00D21141">
              <w:rPr>
                <w:rFonts w:eastAsia="Calibri"/>
                <w:sz w:val="20"/>
              </w:rPr>
              <w:t>Application for leave to amend a notice of civil claim granted in part</w:t>
            </w:r>
          </w:p>
          <w:p w:rsidR="001C5F86" w:rsidRPr="00D21141" w:rsidRDefault="001C5F86" w:rsidP="00F66694">
            <w:pPr>
              <w:jc w:val="both"/>
              <w:rPr>
                <w:rFonts w:eastAsia="Calibri"/>
                <w:sz w:val="20"/>
              </w:rPr>
            </w:pPr>
          </w:p>
        </w:tc>
      </w:tr>
      <w:tr w:rsidR="001C5F86" w:rsidRPr="00D21141" w:rsidTr="00F365D4">
        <w:trPr>
          <w:cantSplit/>
        </w:trPr>
        <w:tc>
          <w:tcPr>
            <w:tcW w:w="2427" w:type="pct"/>
          </w:tcPr>
          <w:p w:rsidR="001C5F86" w:rsidRPr="00D21141" w:rsidRDefault="001C5F86" w:rsidP="00F66694">
            <w:pPr>
              <w:jc w:val="both"/>
              <w:rPr>
                <w:rFonts w:eastAsia="Calibri"/>
                <w:sz w:val="20"/>
              </w:rPr>
            </w:pPr>
            <w:r w:rsidRPr="00D21141">
              <w:rPr>
                <w:rFonts w:eastAsia="Calibri"/>
                <w:sz w:val="20"/>
              </w:rPr>
              <w:lastRenderedPageBreak/>
              <w:t>January 21, 2014</w:t>
            </w:r>
          </w:p>
          <w:p w:rsidR="001C5F86" w:rsidRPr="00D21141" w:rsidRDefault="001C5F86" w:rsidP="00F66694">
            <w:pPr>
              <w:jc w:val="both"/>
              <w:rPr>
                <w:rFonts w:eastAsia="Calibri"/>
                <w:sz w:val="20"/>
              </w:rPr>
            </w:pPr>
            <w:r w:rsidRPr="00D21141">
              <w:rPr>
                <w:rFonts w:eastAsia="Calibri"/>
                <w:sz w:val="20"/>
              </w:rPr>
              <w:t xml:space="preserve">Court of Appeal for British Columbia </w:t>
            </w:r>
          </w:p>
          <w:p w:rsidR="001C5F86" w:rsidRPr="00D21141" w:rsidRDefault="001C5F86" w:rsidP="00F66694">
            <w:pPr>
              <w:jc w:val="both"/>
              <w:rPr>
                <w:rFonts w:eastAsia="Calibri"/>
                <w:sz w:val="20"/>
              </w:rPr>
            </w:pPr>
            <w:r w:rsidRPr="00D21141">
              <w:rPr>
                <w:rFonts w:eastAsia="Calibri"/>
                <w:sz w:val="20"/>
              </w:rPr>
              <w:t>(Vancouver)</w:t>
            </w:r>
          </w:p>
          <w:p w:rsidR="001C5F86" w:rsidRPr="00D21141" w:rsidRDefault="001C5F86" w:rsidP="00F66694">
            <w:pPr>
              <w:jc w:val="both"/>
              <w:rPr>
                <w:rFonts w:eastAsia="Calibri"/>
                <w:sz w:val="20"/>
              </w:rPr>
            </w:pPr>
            <w:r w:rsidRPr="00D21141">
              <w:rPr>
                <w:rFonts w:eastAsia="Calibri"/>
                <w:sz w:val="20"/>
              </w:rPr>
              <w:t>(Hall, MacKenzie and Stromberg</w:t>
            </w:r>
            <w:r w:rsidRPr="00D21141">
              <w:rPr>
                <w:rFonts w:eastAsia="Calibri"/>
                <w:sz w:val="20"/>
              </w:rPr>
              <w:noBreakHyphen/>
              <w:t>Stein JJ.A.)</w:t>
            </w:r>
          </w:p>
          <w:p w:rsidR="001C5F86" w:rsidRPr="00D21141" w:rsidRDefault="00F27688" w:rsidP="00F66694">
            <w:pPr>
              <w:jc w:val="both"/>
              <w:rPr>
                <w:rFonts w:eastAsia="Calibri"/>
                <w:sz w:val="20"/>
              </w:rPr>
            </w:pPr>
            <w:hyperlink r:id="rId48" w:history="1">
              <w:r w:rsidR="001C5F86" w:rsidRPr="007A481A">
                <w:rPr>
                  <w:rFonts w:eastAsia="Calibri"/>
                  <w:color w:val="0000FF"/>
                  <w:sz w:val="20"/>
                  <w:u w:val="single"/>
                </w:rPr>
                <w:t>2014 BCCA 15</w:t>
              </w:r>
            </w:hyperlink>
            <w:r w:rsidR="001C5F86" w:rsidRPr="00D21141">
              <w:rPr>
                <w:rFonts w:eastAsia="Calibri"/>
                <w:sz w:val="20"/>
              </w:rPr>
              <w:t>; CA040901</w:t>
            </w:r>
          </w:p>
          <w:p w:rsidR="001C5F86" w:rsidRPr="00D21141" w:rsidRDefault="001C5F86" w:rsidP="00F66694">
            <w:pPr>
              <w:jc w:val="both"/>
              <w:rPr>
                <w:rFonts w:eastAsia="Calibri"/>
                <w:sz w:val="20"/>
              </w:rPr>
            </w:pPr>
          </w:p>
        </w:tc>
        <w:tc>
          <w:tcPr>
            <w:tcW w:w="243" w:type="pct"/>
          </w:tcPr>
          <w:p w:rsidR="001C5F86" w:rsidRPr="00D21141" w:rsidRDefault="001C5F86" w:rsidP="00F66694">
            <w:pPr>
              <w:jc w:val="both"/>
              <w:rPr>
                <w:rFonts w:eastAsia="Calibri"/>
                <w:sz w:val="20"/>
              </w:rPr>
            </w:pPr>
          </w:p>
        </w:tc>
        <w:tc>
          <w:tcPr>
            <w:tcW w:w="2330" w:type="pct"/>
          </w:tcPr>
          <w:p w:rsidR="001C5F86" w:rsidRPr="00D21141" w:rsidRDefault="001C5F86" w:rsidP="00F66694">
            <w:pPr>
              <w:jc w:val="both"/>
              <w:rPr>
                <w:rFonts w:eastAsia="Calibri"/>
                <w:sz w:val="20"/>
              </w:rPr>
            </w:pPr>
            <w:r w:rsidRPr="00D21141">
              <w:rPr>
                <w:rFonts w:eastAsia="Calibri"/>
                <w:sz w:val="20"/>
              </w:rPr>
              <w:t>Appeal allowed; application for leave to amend dismissed</w:t>
            </w:r>
          </w:p>
          <w:p w:rsidR="001C5F86" w:rsidRPr="00D21141" w:rsidRDefault="001C5F86" w:rsidP="00F66694">
            <w:pPr>
              <w:jc w:val="both"/>
              <w:rPr>
                <w:rFonts w:eastAsia="Calibri"/>
                <w:sz w:val="20"/>
              </w:rPr>
            </w:pPr>
          </w:p>
        </w:tc>
      </w:tr>
      <w:tr w:rsidR="001C5F86" w:rsidRPr="00D21141" w:rsidTr="00F365D4">
        <w:trPr>
          <w:cantSplit/>
        </w:trPr>
        <w:tc>
          <w:tcPr>
            <w:tcW w:w="2427" w:type="pct"/>
          </w:tcPr>
          <w:p w:rsidR="001C5F86" w:rsidRPr="00D21141" w:rsidRDefault="001C5F86" w:rsidP="00F66694">
            <w:pPr>
              <w:jc w:val="both"/>
              <w:rPr>
                <w:rFonts w:eastAsia="Calibri"/>
                <w:sz w:val="20"/>
              </w:rPr>
            </w:pPr>
            <w:r w:rsidRPr="00D21141">
              <w:rPr>
                <w:rFonts w:eastAsia="Calibri"/>
                <w:sz w:val="20"/>
              </w:rPr>
              <w:t>February 24, 2014</w:t>
            </w:r>
          </w:p>
          <w:p w:rsidR="001C5F86" w:rsidRPr="00D21141" w:rsidRDefault="001C5F86" w:rsidP="00F66694">
            <w:pPr>
              <w:jc w:val="both"/>
              <w:rPr>
                <w:rFonts w:eastAsia="Calibri"/>
                <w:sz w:val="20"/>
              </w:rPr>
            </w:pPr>
            <w:r w:rsidRPr="00D21141">
              <w:rPr>
                <w:rFonts w:eastAsia="Calibri"/>
                <w:sz w:val="20"/>
              </w:rPr>
              <w:t>Supreme Court of Canada</w:t>
            </w:r>
          </w:p>
        </w:tc>
        <w:tc>
          <w:tcPr>
            <w:tcW w:w="243" w:type="pct"/>
          </w:tcPr>
          <w:p w:rsidR="001C5F86" w:rsidRPr="00D21141" w:rsidRDefault="001C5F86" w:rsidP="00F66694">
            <w:pPr>
              <w:jc w:val="both"/>
              <w:rPr>
                <w:rFonts w:eastAsia="Calibri"/>
                <w:sz w:val="20"/>
              </w:rPr>
            </w:pPr>
          </w:p>
        </w:tc>
        <w:tc>
          <w:tcPr>
            <w:tcW w:w="2330" w:type="pct"/>
          </w:tcPr>
          <w:p w:rsidR="001C5F86" w:rsidRPr="00D21141" w:rsidRDefault="001C5F86" w:rsidP="00F66694">
            <w:pPr>
              <w:jc w:val="both"/>
              <w:rPr>
                <w:rFonts w:eastAsia="Calibri"/>
                <w:sz w:val="20"/>
              </w:rPr>
            </w:pPr>
            <w:r w:rsidRPr="00D21141">
              <w:rPr>
                <w:rFonts w:eastAsia="Calibri"/>
                <w:sz w:val="20"/>
              </w:rPr>
              <w:t>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67"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F86" w:rsidRPr="00F27688" w:rsidTr="00F66694">
        <w:tc>
          <w:tcPr>
            <w:tcW w:w="5000" w:type="pct"/>
            <w:gridSpan w:val="3"/>
          </w:tcPr>
          <w:p w:rsidR="001C5F86" w:rsidRPr="00D21141" w:rsidRDefault="001C5F86" w:rsidP="00F66694">
            <w:pPr>
              <w:jc w:val="both"/>
              <w:rPr>
                <w:rFonts w:eastAsia="Calibri"/>
                <w:smallCaps/>
                <w:sz w:val="20"/>
                <w:lang w:val="fr-CA"/>
              </w:rPr>
            </w:pPr>
            <w:r w:rsidRPr="00D21141">
              <w:rPr>
                <w:rFonts w:eastAsia="Calibri"/>
                <w:smallCaps/>
                <w:sz w:val="20"/>
                <w:lang w:val="fr-CA"/>
              </w:rPr>
              <w:t>(Ordonnance de non</w:t>
            </w:r>
            <w:r w:rsidRPr="00D21141">
              <w:rPr>
                <w:rFonts w:eastAsia="Calibri"/>
                <w:smallCaps/>
                <w:sz w:val="20"/>
                <w:lang w:val="fr-CA"/>
              </w:rPr>
              <w:noBreakHyphen/>
              <w:t>publication dans le dossier)</w:t>
            </w:r>
          </w:p>
          <w:p w:rsidR="001C5F86" w:rsidRPr="00D21141" w:rsidRDefault="001C5F86" w:rsidP="00F66694">
            <w:pPr>
              <w:jc w:val="both"/>
              <w:rPr>
                <w:rFonts w:eastAsia="Calibri"/>
                <w:sz w:val="20"/>
                <w:lang w:val="fr-CA"/>
              </w:rPr>
            </w:pPr>
          </w:p>
        </w:tc>
      </w:tr>
      <w:tr w:rsidR="001C5F86" w:rsidRPr="00F27688" w:rsidTr="00F66694">
        <w:tc>
          <w:tcPr>
            <w:tcW w:w="5000" w:type="pct"/>
            <w:gridSpan w:val="3"/>
          </w:tcPr>
          <w:p w:rsidR="001C5F86" w:rsidRPr="00D21141" w:rsidRDefault="001C5F86" w:rsidP="00F66694">
            <w:pPr>
              <w:jc w:val="both"/>
              <w:rPr>
                <w:rFonts w:eastAsia="Calibri"/>
                <w:sz w:val="20"/>
                <w:lang w:val="fr-CA"/>
              </w:rPr>
            </w:pPr>
            <w:r w:rsidRPr="00D21141">
              <w:rPr>
                <w:rFonts w:eastAsia="Calibri"/>
                <w:sz w:val="20"/>
                <w:lang w:val="fr-CA"/>
              </w:rPr>
              <w:t>Charte des droits — Droit de la Couronne — Responsabilité de l’État — Le demandeur a été injustement déclaré coupable et incarcéré pendant près de 27 ans — Action civile subséquente contre l’État provincial, notamment pour poursuite malveillante et en dommages</w:t>
            </w:r>
            <w:r w:rsidRPr="00D21141">
              <w:rPr>
                <w:rFonts w:eastAsia="Calibri"/>
                <w:sz w:val="20"/>
                <w:lang w:val="fr-CA"/>
              </w:rPr>
              <w:noBreakHyphen/>
              <w:t xml:space="preserve">intérêts en vertu de la </w:t>
            </w:r>
            <w:r w:rsidRPr="00D21141">
              <w:rPr>
                <w:rFonts w:eastAsia="Calibri"/>
                <w:i/>
                <w:sz w:val="20"/>
                <w:lang w:val="fr-CA"/>
              </w:rPr>
              <w:t>Charte</w:t>
            </w:r>
            <w:r w:rsidRPr="00D21141">
              <w:rPr>
                <w:rFonts w:eastAsia="Calibri"/>
                <w:sz w:val="20"/>
                <w:lang w:val="fr-CA"/>
              </w:rPr>
              <w:t xml:space="preserve"> pour non</w:t>
            </w:r>
            <w:r w:rsidRPr="00D21141">
              <w:rPr>
                <w:rFonts w:eastAsia="Calibri"/>
                <w:sz w:val="20"/>
                <w:lang w:val="fr-CA"/>
              </w:rPr>
              <w:noBreakHyphen/>
              <w:t>communication de la preuve au procès — Les avocats du ministère public seraient</w:t>
            </w:r>
            <w:r w:rsidRPr="00D21141">
              <w:rPr>
                <w:rFonts w:eastAsia="Calibri"/>
                <w:sz w:val="20"/>
                <w:lang w:val="fr-CA"/>
              </w:rPr>
              <w:noBreakHyphen/>
              <w:t xml:space="preserve">ils responsables de quelque chose de moins grave que la poursuite malveillante? — </w:t>
            </w:r>
            <w:r w:rsidRPr="00D21141">
              <w:rPr>
                <w:rFonts w:eastAsia="Calibri"/>
                <w:i/>
                <w:sz w:val="20"/>
                <w:lang w:val="fr-CA"/>
              </w:rPr>
              <w:t>Charte canadienne des droits et libertés</w:t>
            </w:r>
            <w:r w:rsidRPr="00D21141">
              <w:rPr>
                <w:rFonts w:eastAsia="Calibri"/>
                <w:sz w:val="20"/>
                <w:lang w:val="fr-CA"/>
              </w:rPr>
              <w:t>, art. 7, 11</w:t>
            </w:r>
            <w:r w:rsidRPr="00D21141">
              <w:rPr>
                <w:rFonts w:eastAsia="Calibri"/>
                <w:i/>
                <w:sz w:val="20"/>
                <w:lang w:val="fr-CA"/>
              </w:rPr>
              <w:t>d</w:t>
            </w:r>
            <w:r w:rsidRPr="00D21141">
              <w:rPr>
                <w:rFonts w:eastAsia="Calibri"/>
                <w:sz w:val="20"/>
                <w:lang w:val="fr-CA"/>
              </w:rPr>
              <w:t>), 24(1).</w:t>
            </w:r>
          </w:p>
          <w:p w:rsidR="001C5F86" w:rsidRPr="00D21141" w:rsidRDefault="001C5F86" w:rsidP="00F66694">
            <w:pPr>
              <w:jc w:val="both"/>
              <w:rPr>
                <w:rFonts w:eastAsia="Calibri"/>
                <w:sz w:val="20"/>
                <w:lang w:val="fr-CA"/>
              </w:rPr>
            </w:pPr>
          </w:p>
        </w:tc>
      </w:tr>
      <w:tr w:rsidR="001C5F86" w:rsidRPr="00F27688" w:rsidTr="00F66694">
        <w:tc>
          <w:tcPr>
            <w:tcW w:w="5000" w:type="pct"/>
            <w:gridSpan w:val="3"/>
          </w:tcPr>
          <w:p w:rsidR="001C5F86" w:rsidRPr="00D21141" w:rsidRDefault="001C5F86" w:rsidP="00F66694">
            <w:pPr>
              <w:jc w:val="both"/>
              <w:rPr>
                <w:rFonts w:eastAsia="Calibri"/>
                <w:sz w:val="20"/>
                <w:lang w:val="fr-CA"/>
              </w:rPr>
            </w:pPr>
            <w:r w:rsidRPr="00D21141">
              <w:rPr>
                <w:rFonts w:eastAsia="Calibri"/>
                <w:sz w:val="20"/>
                <w:lang w:val="fr-CA"/>
              </w:rPr>
              <w:t>En 1983, M. Henry a été déclaré coupable sous dix chefs d’accusation d’infractions sexuelles, il a été déclaré délinquant dangereux et il a été condamnée à une peine de détention d’une durée indéterminée.  Il est demeuré incarcéré pendant presque 27 ans, jusqu’à ce qu’il soit libéré sous caution en 2009, et il a été acquitté en octobre 2010.  Monsieur Henry a alors intenté une poursuite en dommages</w:t>
            </w:r>
            <w:r w:rsidRPr="00D21141">
              <w:rPr>
                <w:rFonts w:eastAsia="Calibri"/>
                <w:sz w:val="20"/>
                <w:lang w:val="fr-CA"/>
              </w:rPr>
              <w:noBreakHyphen/>
              <w:t xml:space="preserve">intérêts, notamment contre les avocats du ministère public pour les préjudices qu’il allègue avoir subis en raison de la déclaration de culpabilité et de l’incarcération injustifiées.  La poursuite a trait aux actes de l’avocat du ministère public au cours du procès et des procédures d’appel subséquentes. </w:t>
            </w:r>
          </w:p>
          <w:p w:rsidR="001C5F86" w:rsidRPr="00D21141" w:rsidRDefault="001C5F86" w:rsidP="00F66694">
            <w:pPr>
              <w:jc w:val="both"/>
              <w:rPr>
                <w:rFonts w:eastAsia="Calibri"/>
                <w:sz w:val="20"/>
                <w:lang w:val="fr-CA"/>
              </w:rPr>
            </w:pPr>
          </w:p>
          <w:p w:rsidR="001C5F86" w:rsidRPr="00D21141" w:rsidRDefault="001C5F86" w:rsidP="00F66694">
            <w:pPr>
              <w:jc w:val="both"/>
              <w:rPr>
                <w:rFonts w:eastAsia="Calibri"/>
                <w:sz w:val="20"/>
                <w:lang w:val="fr-CA"/>
              </w:rPr>
            </w:pPr>
            <w:r w:rsidRPr="00D21141">
              <w:rPr>
                <w:rFonts w:eastAsia="Calibri"/>
                <w:sz w:val="20"/>
                <w:lang w:val="fr-CA"/>
              </w:rPr>
              <w:t>Monsieur Henry demande des dommages</w:t>
            </w:r>
            <w:r w:rsidRPr="00D21141">
              <w:rPr>
                <w:rFonts w:eastAsia="Calibri"/>
                <w:sz w:val="20"/>
                <w:lang w:val="fr-CA"/>
              </w:rPr>
              <w:noBreakHyphen/>
              <w:t xml:space="preserve">intérêts en vertu du par. 24(1) de la </w:t>
            </w:r>
            <w:r w:rsidRPr="00D21141">
              <w:rPr>
                <w:rFonts w:eastAsia="Calibri"/>
                <w:i/>
                <w:sz w:val="20"/>
                <w:lang w:val="fr-CA"/>
              </w:rPr>
              <w:t>Charte</w:t>
            </w:r>
            <w:r w:rsidRPr="00D21141">
              <w:rPr>
                <w:rFonts w:eastAsia="Calibri"/>
                <w:sz w:val="20"/>
                <w:lang w:val="fr-CA"/>
              </w:rPr>
              <w:t xml:space="preserve"> et, à cette fin, il a obtenu l’autorisation de modifier ses actes de procédure par l’ajout du paragraphe suivant : </w:t>
            </w:r>
          </w:p>
          <w:p w:rsidR="001C5F86" w:rsidRPr="00D21141" w:rsidRDefault="001C5F86" w:rsidP="00F66694">
            <w:pPr>
              <w:jc w:val="both"/>
              <w:rPr>
                <w:rFonts w:eastAsia="Calibri"/>
                <w:sz w:val="20"/>
                <w:lang w:val="fr-CA"/>
              </w:rPr>
            </w:pPr>
          </w:p>
          <w:p w:rsidR="001C5F86" w:rsidRPr="00D21141" w:rsidRDefault="001C5F86" w:rsidP="00F66694">
            <w:pPr>
              <w:ind w:left="720" w:right="720"/>
              <w:jc w:val="both"/>
              <w:rPr>
                <w:sz w:val="20"/>
                <w:lang w:val="fr-CA" w:eastAsia="en-CA"/>
              </w:rPr>
            </w:pPr>
            <w:r w:rsidRPr="00D21141">
              <w:rPr>
                <w:sz w:val="20"/>
                <w:lang w:val="fr-CA" w:eastAsia="en-CA"/>
              </w:rPr>
              <w:t>[</w:t>
            </w:r>
            <w:r w:rsidRPr="00D21141">
              <w:rPr>
                <w:smallCaps/>
                <w:sz w:val="20"/>
                <w:lang w:val="fr-CA" w:eastAsia="en-CA"/>
              </w:rPr>
              <w:t>traduction</w:t>
            </w:r>
            <w:r w:rsidRPr="00D21141">
              <w:rPr>
                <w:sz w:val="20"/>
                <w:lang w:val="fr-CA" w:eastAsia="en-CA"/>
              </w:rPr>
              <w:t>] 120. Les divers actes et omissions qui ont violé le droit du demandeur à la communication, son droit à une défense pleine et entière ou son droit à un procès équitable, comme il est décrit aux paragraphes 113 à 119 qui précèdent, constituaient une dérogation marquée et inacceptable par l’avocat du ministère public aux normes raisonnables qu’on s’attend qu’il respecte.</w:t>
            </w:r>
          </w:p>
          <w:p w:rsidR="001C5F86" w:rsidRPr="00D21141" w:rsidRDefault="001C5F86" w:rsidP="00F66694">
            <w:pPr>
              <w:jc w:val="both"/>
              <w:rPr>
                <w:rFonts w:eastAsia="Calibri"/>
                <w:sz w:val="20"/>
                <w:lang w:val="fr-CA"/>
              </w:rPr>
            </w:pPr>
          </w:p>
          <w:p w:rsidR="001C5F86" w:rsidRPr="00D21141" w:rsidRDefault="001C5F86" w:rsidP="00F66694">
            <w:pPr>
              <w:jc w:val="both"/>
              <w:rPr>
                <w:rFonts w:eastAsia="Calibri"/>
                <w:sz w:val="20"/>
                <w:lang w:val="fr-CA"/>
              </w:rPr>
            </w:pPr>
            <w:r w:rsidRPr="00D21141">
              <w:rPr>
                <w:rFonts w:eastAsia="Calibri"/>
                <w:sz w:val="20"/>
                <w:lang w:val="fr-CA"/>
              </w:rPr>
              <w:t>La Cour d’appel de la Colombie</w:t>
            </w:r>
            <w:r w:rsidRPr="00D21141">
              <w:rPr>
                <w:rFonts w:eastAsia="Calibri"/>
                <w:sz w:val="20"/>
                <w:lang w:val="fr-CA"/>
              </w:rPr>
              <w:noBreakHyphen/>
              <w:t>Britannique a refusé d’autoriser la modification, invoquant la jurisprudence de la Cour suprême qui exclut actuellement la responsabilité du ministère public pour négligence et qui e</w:t>
            </w:r>
            <w:r>
              <w:rPr>
                <w:rFonts w:eastAsia="Calibri"/>
                <w:sz w:val="20"/>
                <w:lang w:val="fr-CA"/>
              </w:rPr>
              <w:t>xige une preuve de malveillance</w:t>
            </w:r>
          </w:p>
          <w:p w:rsidR="001C5F86" w:rsidRPr="00D21141" w:rsidRDefault="001C5F86" w:rsidP="00F66694">
            <w:pPr>
              <w:jc w:val="both"/>
              <w:rPr>
                <w:rFonts w:eastAsia="Calibri"/>
                <w:sz w:val="20"/>
                <w:lang w:val="fr-CA"/>
              </w:rPr>
            </w:pPr>
          </w:p>
        </w:tc>
      </w:tr>
      <w:tr w:rsidR="001C5F86" w:rsidRPr="00FA68AD" w:rsidTr="00F66694">
        <w:tc>
          <w:tcPr>
            <w:tcW w:w="2427" w:type="pct"/>
          </w:tcPr>
          <w:p w:rsidR="001C5F86" w:rsidRPr="00D21141" w:rsidRDefault="001C5F86" w:rsidP="00F66694">
            <w:pPr>
              <w:jc w:val="both"/>
              <w:rPr>
                <w:rFonts w:eastAsia="Calibri"/>
                <w:sz w:val="20"/>
                <w:lang w:val="fr-CA"/>
              </w:rPr>
            </w:pPr>
            <w:r w:rsidRPr="00D21141">
              <w:rPr>
                <w:rFonts w:eastAsia="Calibri"/>
                <w:sz w:val="20"/>
                <w:lang w:val="fr-CA"/>
              </w:rPr>
              <w:t>18 avril 2013</w:t>
            </w:r>
          </w:p>
          <w:p w:rsidR="001C5F86" w:rsidRPr="00D21141" w:rsidRDefault="001C5F86" w:rsidP="00F66694">
            <w:pPr>
              <w:jc w:val="both"/>
              <w:rPr>
                <w:rFonts w:eastAsia="Calibri"/>
                <w:sz w:val="20"/>
                <w:lang w:val="fr-CA"/>
              </w:rPr>
            </w:pPr>
            <w:r w:rsidRPr="00D21141">
              <w:rPr>
                <w:rFonts w:eastAsia="Calibri"/>
                <w:sz w:val="20"/>
                <w:lang w:val="fr-CA"/>
              </w:rPr>
              <w:t>Cour suprême de la Colombie</w:t>
            </w:r>
            <w:r w:rsidRPr="00D21141">
              <w:rPr>
                <w:rFonts w:eastAsia="Calibri"/>
                <w:sz w:val="20"/>
                <w:lang w:val="fr-CA"/>
              </w:rPr>
              <w:noBreakHyphen/>
              <w:t>Britannique</w:t>
            </w:r>
          </w:p>
          <w:p w:rsidR="001C5F86" w:rsidRPr="00D21141" w:rsidRDefault="001C5F86" w:rsidP="00F66694">
            <w:pPr>
              <w:jc w:val="both"/>
              <w:rPr>
                <w:rFonts w:eastAsia="Calibri"/>
                <w:sz w:val="20"/>
                <w:lang w:val="fr-CA"/>
              </w:rPr>
            </w:pPr>
            <w:r w:rsidRPr="00D21141">
              <w:rPr>
                <w:rFonts w:eastAsia="Calibri"/>
                <w:sz w:val="20"/>
                <w:lang w:val="fr-CA"/>
              </w:rPr>
              <w:t>(Juge Goepel)</w:t>
            </w:r>
          </w:p>
          <w:p w:rsidR="001C5F86" w:rsidRPr="00D21141" w:rsidRDefault="00F27688" w:rsidP="00F66694">
            <w:pPr>
              <w:jc w:val="both"/>
              <w:rPr>
                <w:rFonts w:eastAsia="Calibri"/>
                <w:sz w:val="20"/>
                <w:lang w:val="fr-CA"/>
              </w:rPr>
            </w:pPr>
            <w:hyperlink r:id="rId49" w:history="1">
              <w:r w:rsidR="001C5F86" w:rsidRPr="007A481A">
                <w:rPr>
                  <w:rFonts w:eastAsia="Calibri"/>
                  <w:color w:val="0000FF"/>
                  <w:sz w:val="20"/>
                  <w:u w:val="single"/>
                  <w:lang w:val="fr-CA"/>
                </w:rPr>
                <w:t>2013 BCSC 665</w:t>
              </w:r>
            </w:hyperlink>
          </w:p>
          <w:p w:rsidR="001C5F86" w:rsidRPr="00D21141" w:rsidRDefault="001C5F86" w:rsidP="00F66694">
            <w:pPr>
              <w:jc w:val="both"/>
              <w:rPr>
                <w:rFonts w:eastAsia="Calibri"/>
                <w:sz w:val="20"/>
                <w:lang w:val="fr-CA"/>
              </w:rPr>
            </w:pPr>
          </w:p>
        </w:tc>
        <w:tc>
          <w:tcPr>
            <w:tcW w:w="243" w:type="pct"/>
          </w:tcPr>
          <w:p w:rsidR="001C5F86" w:rsidRPr="00D21141" w:rsidRDefault="001C5F86" w:rsidP="00F66694">
            <w:pPr>
              <w:jc w:val="both"/>
              <w:rPr>
                <w:rFonts w:eastAsia="Calibri"/>
                <w:sz w:val="20"/>
                <w:lang w:val="fr-CA"/>
              </w:rPr>
            </w:pPr>
          </w:p>
        </w:tc>
        <w:tc>
          <w:tcPr>
            <w:tcW w:w="2330" w:type="pct"/>
          </w:tcPr>
          <w:p w:rsidR="001C5F86" w:rsidRPr="00D21141" w:rsidRDefault="001C5F86" w:rsidP="00F66694">
            <w:pPr>
              <w:jc w:val="both"/>
              <w:rPr>
                <w:rFonts w:eastAsia="Calibri"/>
                <w:sz w:val="20"/>
                <w:lang w:val="fr-CA"/>
              </w:rPr>
            </w:pPr>
            <w:r w:rsidRPr="00D21141">
              <w:rPr>
                <w:rFonts w:eastAsia="Calibri"/>
                <w:sz w:val="20"/>
                <w:lang w:val="fr-CA"/>
              </w:rPr>
              <w:t>Demande d’autorisation de modifier un avis de poursuite civile, accueillie en partie</w:t>
            </w:r>
          </w:p>
          <w:p w:rsidR="001C5F86" w:rsidRPr="00D21141" w:rsidRDefault="001C5F86" w:rsidP="00F66694">
            <w:pPr>
              <w:jc w:val="both"/>
              <w:rPr>
                <w:rFonts w:eastAsia="Calibri"/>
                <w:sz w:val="20"/>
                <w:lang w:val="fr-CA"/>
              </w:rPr>
            </w:pPr>
          </w:p>
        </w:tc>
      </w:tr>
      <w:tr w:rsidR="001C5F86" w:rsidRPr="00FA68AD" w:rsidTr="00F365D4">
        <w:trPr>
          <w:cantSplit/>
        </w:trPr>
        <w:tc>
          <w:tcPr>
            <w:tcW w:w="2427" w:type="pct"/>
          </w:tcPr>
          <w:p w:rsidR="001C5F86" w:rsidRPr="00D21141" w:rsidRDefault="001C5F86" w:rsidP="00F66694">
            <w:pPr>
              <w:jc w:val="both"/>
              <w:rPr>
                <w:rFonts w:eastAsia="Calibri"/>
                <w:sz w:val="20"/>
                <w:lang w:val="fr-CA"/>
              </w:rPr>
            </w:pPr>
            <w:r w:rsidRPr="00D21141">
              <w:rPr>
                <w:rFonts w:eastAsia="Calibri"/>
                <w:sz w:val="20"/>
                <w:lang w:val="fr-CA"/>
              </w:rPr>
              <w:lastRenderedPageBreak/>
              <w:t>21 janvier 2014</w:t>
            </w:r>
          </w:p>
          <w:p w:rsidR="001C5F86" w:rsidRPr="00D21141" w:rsidRDefault="001C5F86" w:rsidP="00F66694">
            <w:pPr>
              <w:jc w:val="both"/>
              <w:rPr>
                <w:rFonts w:eastAsia="Calibri"/>
                <w:sz w:val="20"/>
                <w:lang w:val="fr-CA"/>
              </w:rPr>
            </w:pPr>
            <w:r w:rsidRPr="00D21141">
              <w:rPr>
                <w:rFonts w:eastAsia="Calibri"/>
                <w:sz w:val="20"/>
                <w:lang w:val="fr-CA"/>
              </w:rPr>
              <w:t>Cour d’appel de la Colombie</w:t>
            </w:r>
            <w:r w:rsidRPr="00D21141">
              <w:rPr>
                <w:rFonts w:eastAsia="Calibri"/>
                <w:sz w:val="20"/>
                <w:lang w:val="fr-CA"/>
              </w:rPr>
              <w:noBreakHyphen/>
              <w:t>Britannique</w:t>
            </w:r>
          </w:p>
          <w:p w:rsidR="001C5F86" w:rsidRPr="00D21141" w:rsidRDefault="001C5F86" w:rsidP="00F66694">
            <w:pPr>
              <w:jc w:val="both"/>
              <w:rPr>
                <w:rFonts w:eastAsia="Calibri"/>
                <w:sz w:val="20"/>
                <w:lang w:val="fr-CA"/>
              </w:rPr>
            </w:pPr>
            <w:r w:rsidRPr="00D21141">
              <w:rPr>
                <w:rFonts w:eastAsia="Calibri"/>
                <w:sz w:val="20"/>
                <w:lang w:val="fr-CA"/>
              </w:rPr>
              <w:t>(Vancouver)</w:t>
            </w:r>
          </w:p>
          <w:p w:rsidR="001C5F86" w:rsidRPr="00D21141" w:rsidRDefault="001C5F86" w:rsidP="00F66694">
            <w:pPr>
              <w:jc w:val="both"/>
              <w:rPr>
                <w:rFonts w:eastAsia="Calibri"/>
                <w:sz w:val="20"/>
                <w:lang w:val="fr-CA"/>
              </w:rPr>
            </w:pPr>
            <w:r w:rsidRPr="00D21141">
              <w:rPr>
                <w:rFonts w:eastAsia="Calibri"/>
                <w:sz w:val="20"/>
                <w:lang w:val="fr-CA"/>
              </w:rPr>
              <w:t>(Juges Hall, MacKenzie et Stromberg</w:t>
            </w:r>
            <w:r w:rsidRPr="00D21141">
              <w:rPr>
                <w:rFonts w:eastAsia="Calibri"/>
                <w:sz w:val="20"/>
                <w:lang w:val="fr-CA"/>
              </w:rPr>
              <w:noBreakHyphen/>
              <w:t>Stein)</w:t>
            </w:r>
          </w:p>
          <w:p w:rsidR="001C5F86" w:rsidRPr="00D21141" w:rsidRDefault="00F27688" w:rsidP="00F66694">
            <w:pPr>
              <w:jc w:val="both"/>
              <w:rPr>
                <w:rFonts w:eastAsia="Calibri"/>
                <w:sz w:val="20"/>
                <w:lang w:val="fr-CA"/>
              </w:rPr>
            </w:pPr>
            <w:hyperlink r:id="rId50" w:history="1">
              <w:r w:rsidR="001C5F86" w:rsidRPr="007A481A">
                <w:rPr>
                  <w:rFonts w:eastAsia="Calibri"/>
                  <w:color w:val="0000FF"/>
                  <w:sz w:val="20"/>
                  <w:u w:val="single"/>
                  <w:lang w:val="fr-CA"/>
                </w:rPr>
                <w:t>2014 BCCA 15</w:t>
              </w:r>
            </w:hyperlink>
            <w:r w:rsidR="001C5F86" w:rsidRPr="00D21141">
              <w:rPr>
                <w:rFonts w:eastAsia="Calibri"/>
                <w:sz w:val="20"/>
                <w:lang w:val="fr-CA"/>
              </w:rPr>
              <w:t>; CA040901</w:t>
            </w:r>
          </w:p>
          <w:p w:rsidR="001C5F86" w:rsidRPr="00D21141" w:rsidRDefault="001C5F86" w:rsidP="00F66694">
            <w:pPr>
              <w:jc w:val="both"/>
              <w:rPr>
                <w:rFonts w:eastAsia="Calibri"/>
                <w:sz w:val="20"/>
                <w:lang w:val="fr-CA"/>
              </w:rPr>
            </w:pPr>
          </w:p>
        </w:tc>
        <w:tc>
          <w:tcPr>
            <w:tcW w:w="243" w:type="pct"/>
          </w:tcPr>
          <w:p w:rsidR="001C5F86" w:rsidRPr="00D21141" w:rsidRDefault="001C5F86" w:rsidP="00F66694">
            <w:pPr>
              <w:jc w:val="both"/>
              <w:rPr>
                <w:rFonts w:eastAsia="Calibri"/>
                <w:sz w:val="20"/>
                <w:lang w:val="fr-CA"/>
              </w:rPr>
            </w:pPr>
          </w:p>
        </w:tc>
        <w:tc>
          <w:tcPr>
            <w:tcW w:w="2330" w:type="pct"/>
          </w:tcPr>
          <w:p w:rsidR="001C5F86" w:rsidRPr="00D21141" w:rsidRDefault="001C5F86" w:rsidP="00F66694">
            <w:pPr>
              <w:jc w:val="both"/>
              <w:rPr>
                <w:rFonts w:eastAsia="Calibri"/>
                <w:sz w:val="20"/>
                <w:lang w:val="fr-CA"/>
              </w:rPr>
            </w:pPr>
            <w:r w:rsidRPr="00D21141">
              <w:rPr>
                <w:rFonts w:eastAsia="Calibri"/>
                <w:sz w:val="20"/>
                <w:lang w:val="fr-CA"/>
              </w:rPr>
              <w:t>Appel accueilli; demande d’autorisation de modifier, rejetée</w:t>
            </w:r>
          </w:p>
          <w:p w:rsidR="001C5F86" w:rsidRPr="00D21141" w:rsidRDefault="001C5F86" w:rsidP="00F66694">
            <w:pPr>
              <w:jc w:val="both"/>
              <w:rPr>
                <w:rFonts w:eastAsia="Calibri"/>
                <w:sz w:val="20"/>
                <w:lang w:val="fr-CA"/>
              </w:rPr>
            </w:pPr>
          </w:p>
        </w:tc>
      </w:tr>
      <w:tr w:rsidR="001C5F86" w:rsidRPr="00D21141" w:rsidTr="00F365D4">
        <w:trPr>
          <w:cantSplit/>
        </w:trPr>
        <w:tc>
          <w:tcPr>
            <w:tcW w:w="2427" w:type="pct"/>
          </w:tcPr>
          <w:p w:rsidR="001C5F86" w:rsidRPr="00D21141" w:rsidRDefault="001C5F86" w:rsidP="00F66694">
            <w:pPr>
              <w:jc w:val="both"/>
              <w:rPr>
                <w:rFonts w:eastAsia="Calibri"/>
                <w:sz w:val="20"/>
                <w:lang w:val="fr-CA"/>
              </w:rPr>
            </w:pPr>
            <w:r w:rsidRPr="00D21141">
              <w:rPr>
                <w:rFonts w:eastAsia="Calibri"/>
                <w:sz w:val="20"/>
                <w:lang w:val="fr-CA"/>
              </w:rPr>
              <w:t>24 février 2014</w:t>
            </w:r>
          </w:p>
          <w:p w:rsidR="001C5F86" w:rsidRPr="00D21141" w:rsidRDefault="001C5F86" w:rsidP="00F66694">
            <w:pPr>
              <w:jc w:val="both"/>
              <w:rPr>
                <w:rFonts w:eastAsia="Calibri"/>
                <w:sz w:val="20"/>
                <w:lang w:val="fr-CA"/>
              </w:rPr>
            </w:pPr>
            <w:r w:rsidRPr="00D21141">
              <w:rPr>
                <w:rFonts w:eastAsia="Calibri"/>
                <w:sz w:val="20"/>
                <w:lang w:val="fr-CA"/>
              </w:rPr>
              <w:t>Cour suprême du Canada</w:t>
            </w:r>
          </w:p>
        </w:tc>
        <w:tc>
          <w:tcPr>
            <w:tcW w:w="243" w:type="pct"/>
          </w:tcPr>
          <w:p w:rsidR="001C5F86" w:rsidRPr="00D21141" w:rsidRDefault="001C5F86" w:rsidP="00F66694">
            <w:pPr>
              <w:jc w:val="both"/>
              <w:rPr>
                <w:rFonts w:eastAsia="Calibri"/>
                <w:sz w:val="20"/>
                <w:lang w:val="fr-CA"/>
              </w:rPr>
            </w:pPr>
          </w:p>
        </w:tc>
        <w:tc>
          <w:tcPr>
            <w:tcW w:w="2330" w:type="pct"/>
          </w:tcPr>
          <w:p w:rsidR="001C5F86" w:rsidRPr="00D21141" w:rsidRDefault="001C5F86" w:rsidP="00F66694">
            <w:pPr>
              <w:jc w:val="both"/>
              <w:rPr>
                <w:rFonts w:eastAsia="Calibri"/>
                <w:sz w:val="20"/>
                <w:lang w:val="fr-CA"/>
              </w:rPr>
            </w:pPr>
            <w:r w:rsidRPr="00D21141">
              <w:rPr>
                <w:rFonts w:eastAsia="Calibri"/>
                <w:sz w:val="20"/>
                <w:lang w:val="fr-CA"/>
              </w:rPr>
              <w:t>Demande d’autorisation d’appel, déposée</w:t>
            </w: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68" style="width:2in;height:1pt" o:hrpct="0" o:hralign="center" o:hrstd="t" o:hrnoshade="t" o:hr="t" fillcolor="black [3213]" stroked="f"/>
        </w:pict>
      </w:r>
    </w:p>
    <w:p w:rsidR="0096146C" w:rsidRDefault="0096146C" w:rsidP="0096146C">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35750</w:t>
            </w:r>
          </w:p>
          <w:p w:rsidR="00874764" w:rsidRPr="00874764" w:rsidRDefault="00874764" w:rsidP="00874764">
            <w:pPr>
              <w:rPr>
                <w:b/>
                <w:sz w:val="20"/>
                <w:lang w:val="fr-CA"/>
              </w:rPr>
            </w:pPr>
          </w:p>
        </w:tc>
        <w:tc>
          <w:tcPr>
            <w:tcW w:w="8118" w:type="dxa"/>
          </w:tcPr>
          <w:p w:rsidR="00874764" w:rsidRPr="00874764" w:rsidRDefault="00874764" w:rsidP="00874764">
            <w:pPr>
              <w:jc w:val="both"/>
              <w:rPr>
                <w:sz w:val="20"/>
              </w:rPr>
            </w:pPr>
            <w:r w:rsidRPr="00874764">
              <w:rPr>
                <w:b/>
                <w:sz w:val="20"/>
                <w:u w:val="single"/>
              </w:rPr>
              <w:t>Hungerford Tomyn Lawrenson and Nichols v. Kirsten Mide-Wilson, also known as Kirsten Mide Wilson, also known as Kirsten Wilson, also known as Kirsten Ranghild Mide-Wilson, also known as Kirsten Ranghild Mide Wilson, also known as Kirsten Ranghild Wilson</w:t>
            </w:r>
            <w:r w:rsidRPr="00874764">
              <w:rPr>
                <w:sz w:val="20"/>
              </w:rPr>
              <w:t xml:space="preserve"> (B.C.) (Civil) (By Leave)</w:t>
            </w:r>
          </w:p>
          <w:p w:rsidR="00874764" w:rsidRPr="00874764" w:rsidRDefault="00874764" w:rsidP="00874764">
            <w:pPr>
              <w:jc w:val="both"/>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Abella, Rothstein and Moldaver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application for leave to appeal from the judgment of the Court of Appeal for British Columbia (Vancouver), Number CA040701, 2013 BCCA 559, dated December 31, 2013, is dismissed with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demande d’autorisation d’appel de l’arrêt de la Cour d’appel de la Colombie-Britannique (Vancouver), numéro CA040701, 2013 BCCA 559, daté du 31 décembre 2013, est rejetée avec dépens.</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2"/>
        <w:gridCol w:w="516"/>
        <w:gridCol w:w="4459"/>
      </w:tblGrid>
      <w:tr w:rsidR="001C5F86" w:rsidRPr="00CA7C76" w:rsidTr="00F66694">
        <w:tc>
          <w:tcPr>
            <w:tcW w:w="5000" w:type="pct"/>
            <w:gridSpan w:val="3"/>
          </w:tcPr>
          <w:p w:rsidR="001C5F86" w:rsidRPr="00CA7C76" w:rsidRDefault="001C5F86" w:rsidP="00F66694">
            <w:pPr>
              <w:jc w:val="both"/>
              <w:rPr>
                <w:rFonts w:eastAsia="Calibri"/>
                <w:sz w:val="20"/>
              </w:rPr>
            </w:pPr>
            <w:r w:rsidRPr="00CA7C76">
              <w:rPr>
                <w:rFonts w:eastAsia="Calibri"/>
                <w:sz w:val="20"/>
              </w:rPr>
              <w:t>Law of professions — Barristers and solicitors — Compensation — Contingency agreements — Fair and reasonable — Agreement provided for 20 per cent fee of any settlement achieved within first year of litigation — Action settled within eight months — Firm’s bill was for $16 million — Court’s Registrar reduced fee to $9 million and chambers judge further reduced it to $5 million — Court of Appeal dismissed firm’s further appeal and client’s cross</w:t>
            </w:r>
            <w:r w:rsidRPr="00CA7C76">
              <w:rPr>
                <w:rFonts w:eastAsia="Calibri"/>
                <w:sz w:val="20"/>
              </w:rPr>
              <w:noBreakHyphen/>
              <w:t>appeal — Lowers courts found that although agreement was reasonable when signed, amount ultimately charged must not be so disproportionate to work done as to impugn integrity of legal profession — Whether agreement was reasonable? — Whether lower courts’ determination of fee appropriate? — What does integrity of profession mean in fee assessment? — Should fairly obtained and reasonable contingency fee agreement result in presumptively valid fee?</w:t>
            </w:r>
          </w:p>
          <w:p w:rsidR="001C5F86" w:rsidRPr="00CA7C76" w:rsidRDefault="001C5F86" w:rsidP="00F66694">
            <w:pPr>
              <w:jc w:val="both"/>
              <w:rPr>
                <w:rFonts w:eastAsia="Calibri"/>
                <w:sz w:val="20"/>
              </w:rPr>
            </w:pPr>
          </w:p>
        </w:tc>
      </w:tr>
      <w:tr w:rsidR="001C5F86" w:rsidRPr="00CA7C76" w:rsidTr="00F66694">
        <w:tc>
          <w:tcPr>
            <w:tcW w:w="5000" w:type="pct"/>
            <w:gridSpan w:val="3"/>
          </w:tcPr>
          <w:p w:rsidR="001C5F86" w:rsidRPr="00CA7C76" w:rsidRDefault="001C5F86" w:rsidP="00F66694">
            <w:pPr>
              <w:jc w:val="both"/>
              <w:rPr>
                <w:rFonts w:eastAsia="Calibri"/>
                <w:sz w:val="20"/>
              </w:rPr>
            </w:pPr>
            <w:r w:rsidRPr="00CA7C76">
              <w:rPr>
                <w:rFonts w:eastAsia="Calibri"/>
                <w:sz w:val="20"/>
              </w:rPr>
              <w:t>The respondent client entered into a contingent fee agreement with the applicant law firm. Pursuant to the agreement, the client agreed to pay the firm 20 per cent of any settlement achieved within the first year of litigation.  The matter settled within eight months and the firm issued a bill for $16 million.  The Registrar, however, reduced the fee to $9 million given the firm’s actual work.  On appeal, the chambers judge found that, given that actual work, to allow even a $9 million fee would call into question the integrity of the legal profession.  The chambers judge therefore reduced the fee to $5 million and the Court of Appeal, in turn, dismissed the firm’s further appeal as well as the client’s cross</w:t>
            </w:r>
            <w:r w:rsidRPr="00CA7C76">
              <w:rPr>
                <w:rFonts w:eastAsia="Calibri"/>
                <w:sz w:val="20"/>
              </w:rPr>
              <w:noBreakHyphen/>
              <w:t>appeal.</w:t>
            </w:r>
          </w:p>
          <w:p w:rsidR="001C5F86" w:rsidRPr="00CA7C76" w:rsidRDefault="001C5F86" w:rsidP="00F66694">
            <w:pPr>
              <w:jc w:val="both"/>
              <w:rPr>
                <w:rFonts w:eastAsia="Calibri"/>
                <w:sz w:val="20"/>
              </w:rPr>
            </w:pPr>
          </w:p>
        </w:tc>
      </w:tr>
      <w:tr w:rsidR="001C5F86" w:rsidRPr="00CA7C76" w:rsidTr="00F66694">
        <w:tblPrEx>
          <w:tblCellMar>
            <w:bottom w:w="0" w:type="dxa"/>
          </w:tblCellMar>
        </w:tblPrEx>
        <w:tc>
          <w:tcPr>
            <w:tcW w:w="2389" w:type="pct"/>
          </w:tcPr>
          <w:p w:rsidR="001C5F86" w:rsidRPr="00CA7C76" w:rsidRDefault="001C5F86" w:rsidP="00F66694">
            <w:pPr>
              <w:jc w:val="both"/>
              <w:rPr>
                <w:rFonts w:eastAsia="Calibri"/>
                <w:sz w:val="20"/>
              </w:rPr>
            </w:pPr>
            <w:r w:rsidRPr="00CA7C76">
              <w:rPr>
                <w:rFonts w:eastAsia="Calibri"/>
                <w:sz w:val="20"/>
              </w:rPr>
              <w:t>October 26, 2011</w:t>
            </w:r>
          </w:p>
          <w:p w:rsidR="001C5F86" w:rsidRPr="00CA7C76" w:rsidRDefault="001C5F86" w:rsidP="00F66694">
            <w:pPr>
              <w:jc w:val="both"/>
              <w:rPr>
                <w:rFonts w:eastAsia="Calibri"/>
                <w:sz w:val="20"/>
              </w:rPr>
            </w:pPr>
            <w:r w:rsidRPr="00CA7C76">
              <w:rPr>
                <w:rFonts w:eastAsia="Calibri"/>
                <w:sz w:val="20"/>
              </w:rPr>
              <w:t>Supreme Court of British Columbia</w:t>
            </w:r>
          </w:p>
          <w:p w:rsidR="001C5F86" w:rsidRPr="00CA7C76" w:rsidRDefault="001C5F86" w:rsidP="00F66694">
            <w:pPr>
              <w:jc w:val="both"/>
              <w:rPr>
                <w:rFonts w:eastAsia="Calibri"/>
                <w:sz w:val="20"/>
              </w:rPr>
            </w:pPr>
            <w:r w:rsidRPr="00CA7C76">
              <w:rPr>
                <w:rFonts w:eastAsia="Calibri"/>
                <w:sz w:val="20"/>
              </w:rPr>
              <w:t>(Registrar Sainty)</w:t>
            </w:r>
          </w:p>
          <w:p w:rsidR="001C5F86" w:rsidRPr="00CA7C76" w:rsidRDefault="00F27688" w:rsidP="00F66694">
            <w:pPr>
              <w:jc w:val="both"/>
              <w:rPr>
                <w:rFonts w:eastAsia="Calibri"/>
                <w:sz w:val="20"/>
              </w:rPr>
            </w:pPr>
            <w:hyperlink r:id="rId51" w:history="1">
              <w:r w:rsidR="001C5F86" w:rsidRPr="004C6EEE">
                <w:rPr>
                  <w:rFonts w:eastAsia="Calibri"/>
                  <w:color w:val="0000FF"/>
                  <w:sz w:val="20"/>
                  <w:u w:val="single"/>
                </w:rPr>
                <w:t>2011 BCSC 1440</w:t>
              </w:r>
            </w:hyperlink>
          </w:p>
          <w:p w:rsidR="001C5F86" w:rsidRPr="00CA7C76" w:rsidRDefault="001C5F86" w:rsidP="00F66694">
            <w:pPr>
              <w:jc w:val="both"/>
              <w:rPr>
                <w:rFonts w:eastAsia="Calibri"/>
                <w:sz w:val="20"/>
              </w:rPr>
            </w:pPr>
          </w:p>
        </w:tc>
        <w:tc>
          <w:tcPr>
            <w:tcW w:w="271" w:type="pct"/>
          </w:tcPr>
          <w:p w:rsidR="001C5F86" w:rsidRPr="00CA7C76" w:rsidRDefault="001C5F86" w:rsidP="00F66694">
            <w:pPr>
              <w:jc w:val="both"/>
              <w:rPr>
                <w:rFonts w:eastAsia="Calibri"/>
                <w:sz w:val="20"/>
              </w:rPr>
            </w:pPr>
          </w:p>
        </w:tc>
        <w:tc>
          <w:tcPr>
            <w:tcW w:w="2340" w:type="pct"/>
          </w:tcPr>
          <w:p w:rsidR="001C5F86" w:rsidRPr="00CA7C76" w:rsidRDefault="001C5F86" w:rsidP="00F66694">
            <w:pPr>
              <w:jc w:val="both"/>
              <w:rPr>
                <w:rFonts w:eastAsia="Calibri"/>
                <w:sz w:val="20"/>
              </w:rPr>
            </w:pPr>
            <w:r w:rsidRPr="00CA7C76">
              <w:rPr>
                <w:rFonts w:eastAsia="Calibri"/>
                <w:sz w:val="20"/>
              </w:rPr>
              <w:t>The Registrar determined that a fair contingency agreement fee was $9 million.</w:t>
            </w:r>
          </w:p>
          <w:p w:rsidR="001C5F86" w:rsidRPr="00CA7C76" w:rsidRDefault="001C5F86" w:rsidP="00F66694">
            <w:pPr>
              <w:jc w:val="both"/>
              <w:rPr>
                <w:rFonts w:eastAsia="Calibri"/>
                <w:sz w:val="20"/>
              </w:rPr>
            </w:pPr>
          </w:p>
        </w:tc>
      </w:tr>
      <w:tr w:rsidR="001C5F86" w:rsidRPr="00CA7C76" w:rsidTr="00874764">
        <w:tblPrEx>
          <w:tblCellMar>
            <w:bottom w:w="0" w:type="dxa"/>
          </w:tblCellMar>
        </w:tblPrEx>
        <w:trPr>
          <w:cantSplit/>
        </w:trPr>
        <w:tc>
          <w:tcPr>
            <w:tcW w:w="2389" w:type="pct"/>
          </w:tcPr>
          <w:p w:rsidR="001C5F86" w:rsidRPr="00CA7C76" w:rsidRDefault="001C5F86" w:rsidP="00F66694">
            <w:pPr>
              <w:jc w:val="both"/>
              <w:rPr>
                <w:rFonts w:eastAsia="Calibri"/>
                <w:sz w:val="20"/>
              </w:rPr>
            </w:pPr>
            <w:r w:rsidRPr="00CA7C76">
              <w:rPr>
                <w:rFonts w:eastAsia="Calibri"/>
                <w:sz w:val="20"/>
              </w:rPr>
              <w:lastRenderedPageBreak/>
              <w:t>March 7, 2013</w:t>
            </w:r>
          </w:p>
          <w:p w:rsidR="001C5F86" w:rsidRPr="00CA7C76" w:rsidRDefault="001C5F86" w:rsidP="00F66694">
            <w:pPr>
              <w:jc w:val="both"/>
              <w:rPr>
                <w:rFonts w:eastAsia="Calibri"/>
                <w:sz w:val="20"/>
              </w:rPr>
            </w:pPr>
            <w:r w:rsidRPr="00CA7C76">
              <w:rPr>
                <w:rFonts w:eastAsia="Calibri"/>
                <w:sz w:val="20"/>
              </w:rPr>
              <w:t>Supreme Court of British Columbia</w:t>
            </w:r>
          </w:p>
          <w:p w:rsidR="001C5F86" w:rsidRPr="00CA7C76" w:rsidRDefault="001C5F86" w:rsidP="00F66694">
            <w:pPr>
              <w:jc w:val="both"/>
              <w:rPr>
                <w:rFonts w:eastAsia="Calibri"/>
                <w:sz w:val="20"/>
              </w:rPr>
            </w:pPr>
            <w:r w:rsidRPr="00CA7C76">
              <w:rPr>
                <w:rFonts w:eastAsia="Calibri"/>
                <w:sz w:val="20"/>
              </w:rPr>
              <w:t>(Goepel J.)</w:t>
            </w:r>
          </w:p>
          <w:p w:rsidR="001C5F86" w:rsidRPr="00CA7C76" w:rsidRDefault="00F27688" w:rsidP="00F66694">
            <w:pPr>
              <w:jc w:val="both"/>
              <w:rPr>
                <w:rFonts w:eastAsia="Calibri"/>
                <w:sz w:val="20"/>
              </w:rPr>
            </w:pPr>
            <w:hyperlink r:id="rId52" w:history="1">
              <w:r w:rsidR="001C5F86" w:rsidRPr="004C6EEE">
                <w:rPr>
                  <w:rFonts w:eastAsia="Calibri"/>
                  <w:color w:val="0000FF"/>
                  <w:sz w:val="20"/>
                  <w:u w:val="single"/>
                </w:rPr>
                <w:t>2013 BCSC 374</w:t>
              </w:r>
            </w:hyperlink>
          </w:p>
          <w:p w:rsidR="001C5F86" w:rsidRPr="00CA7C76" w:rsidRDefault="001C5F86" w:rsidP="00F66694">
            <w:pPr>
              <w:jc w:val="both"/>
              <w:rPr>
                <w:rFonts w:eastAsia="Calibri"/>
                <w:sz w:val="20"/>
              </w:rPr>
            </w:pPr>
          </w:p>
        </w:tc>
        <w:tc>
          <w:tcPr>
            <w:tcW w:w="271" w:type="pct"/>
          </w:tcPr>
          <w:p w:rsidR="001C5F86" w:rsidRPr="00CA7C76" w:rsidRDefault="001C5F86" w:rsidP="00F66694">
            <w:pPr>
              <w:jc w:val="both"/>
              <w:rPr>
                <w:rFonts w:eastAsia="Calibri"/>
                <w:sz w:val="20"/>
              </w:rPr>
            </w:pPr>
          </w:p>
        </w:tc>
        <w:tc>
          <w:tcPr>
            <w:tcW w:w="2340" w:type="pct"/>
          </w:tcPr>
          <w:p w:rsidR="001C5F86" w:rsidRPr="00CA7C76" w:rsidRDefault="001C5F86" w:rsidP="00F66694">
            <w:pPr>
              <w:jc w:val="both"/>
              <w:rPr>
                <w:rFonts w:eastAsia="Calibri"/>
                <w:sz w:val="20"/>
              </w:rPr>
            </w:pPr>
            <w:r w:rsidRPr="00CA7C76">
              <w:rPr>
                <w:rFonts w:eastAsia="Calibri"/>
                <w:sz w:val="20"/>
              </w:rPr>
              <w:t>The chambers judge found that the $9 million fee was excessive and substituted a $5 million fee.</w:t>
            </w:r>
          </w:p>
        </w:tc>
      </w:tr>
      <w:tr w:rsidR="001C5F86" w:rsidRPr="00CA7C76" w:rsidTr="00874764">
        <w:tblPrEx>
          <w:tblCellMar>
            <w:bottom w:w="0" w:type="dxa"/>
          </w:tblCellMar>
        </w:tblPrEx>
        <w:trPr>
          <w:cantSplit/>
        </w:trPr>
        <w:tc>
          <w:tcPr>
            <w:tcW w:w="2389" w:type="pct"/>
          </w:tcPr>
          <w:p w:rsidR="001C5F86" w:rsidRPr="00CA7C76" w:rsidRDefault="001C5F86" w:rsidP="00F66694">
            <w:pPr>
              <w:jc w:val="both"/>
              <w:rPr>
                <w:rFonts w:eastAsia="Calibri"/>
                <w:sz w:val="20"/>
              </w:rPr>
            </w:pPr>
            <w:r w:rsidRPr="00CA7C76">
              <w:rPr>
                <w:rFonts w:eastAsia="Calibri"/>
                <w:sz w:val="20"/>
              </w:rPr>
              <w:t>December 31, 2013</w:t>
            </w:r>
          </w:p>
          <w:p w:rsidR="001C5F86" w:rsidRPr="00CA7C76" w:rsidRDefault="001C5F86" w:rsidP="00F66694">
            <w:pPr>
              <w:jc w:val="both"/>
              <w:rPr>
                <w:rFonts w:eastAsia="Calibri"/>
                <w:sz w:val="20"/>
              </w:rPr>
            </w:pPr>
            <w:r w:rsidRPr="00CA7C76">
              <w:rPr>
                <w:rFonts w:eastAsia="Calibri"/>
                <w:sz w:val="20"/>
              </w:rPr>
              <w:t xml:space="preserve">Court of Appeal for British Columbia </w:t>
            </w:r>
          </w:p>
          <w:p w:rsidR="001C5F86" w:rsidRPr="00CA7C76" w:rsidRDefault="001C5F86" w:rsidP="00F66694">
            <w:pPr>
              <w:jc w:val="both"/>
              <w:rPr>
                <w:rFonts w:eastAsia="Calibri"/>
                <w:sz w:val="20"/>
              </w:rPr>
            </w:pPr>
            <w:r w:rsidRPr="00CA7C76">
              <w:rPr>
                <w:rFonts w:eastAsia="Calibri"/>
                <w:sz w:val="20"/>
              </w:rPr>
              <w:t>(Vancouver)</w:t>
            </w:r>
          </w:p>
          <w:p w:rsidR="001C5F86" w:rsidRPr="00CA7C76" w:rsidRDefault="001C5F86" w:rsidP="00F66694">
            <w:pPr>
              <w:jc w:val="both"/>
              <w:rPr>
                <w:rFonts w:eastAsia="Calibri"/>
                <w:sz w:val="20"/>
              </w:rPr>
            </w:pPr>
            <w:r w:rsidRPr="00CA7C76">
              <w:rPr>
                <w:rFonts w:eastAsia="Calibri"/>
                <w:sz w:val="20"/>
              </w:rPr>
              <w:t>(Newbury, Neilson and Willcock JJ.A.)</w:t>
            </w:r>
          </w:p>
          <w:p w:rsidR="001C5F86" w:rsidRPr="00CA7C76" w:rsidRDefault="00F27688" w:rsidP="00F66694">
            <w:pPr>
              <w:jc w:val="both"/>
              <w:rPr>
                <w:rFonts w:eastAsia="Calibri"/>
                <w:sz w:val="20"/>
              </w:rPr>
            </w:pPr>
            <w:hyperlink r:id="rId53" w:history="1">
              <w:r w:rsidR="001C5F86" w:rsidRPr="004C6EEE">
                <w:rPr>
                  <w:rFonts w:eastAsia="Calibri"/>
                  <w:color w:val="0000FF"/>
                  <w:sz w:val="20"/>
                  <w:u w:val="single"/>
                </w:rPr>
                <w:t>2013 BCCA 559</w:t>
              </w:r>
            </w:hyperlink>
            <w:r w:rsidR="001C5F86" w:rsidRPr="00CA7C76">
              <w:rPr>
                <w:rFonts w:eastAsia="Calibri"/>
                <w:sz w:val="20"/>
              </w:rPr>
              <w:t xml:space="preserve"> </w:t>
            </w:r>
          </w:p>
          <w:p w:rsidR="001C5F86" w:rsidRPr="00CA7C76" w:rsidRDefault="001C5F86" w:rsidP="00F66694">
            <w:pPr>
              <w:jc w:val="both"/>
              <w:rPr>
                <w:rFonts w:eastAsia="Calibri"/>
                <w:sz w:val="20"/>
              </w:rPr>
            </w:pPr>
          </w:p>
        </w:tc>
        <w:tc>
          <w:tcPr>
            <w:tcW w:w="271" w:type="pct"/>
          </w:tcPr>
          <w:p w:rsidR="001C5F86" w:rsidRPr="00CA7C76" w:rsidRDefault="001C5F86" w:rsidP="00F66694">
            <w:pPr>
              <w:jc w:val="both"/>
              <w:rPr>
                <w:rFonts w:eastAsia="Calibri"/>
                <w:sz w:val="20"/>
              </w:rPr>
            </w:pPr>
          </w:p>
        </w:tc>
        <w:tc>
          <w:tcPr>
            <w:tcW w:w="2340" w:type="pct"/>
          </w:tcPr>
          <w:p w:rsidR="001C5F86" w:rsidRPr="00CA7C76" w:rsidRDefault="001C5F86" w:rsidP="00F66694">
            <w:pPr>
              <w:jc w:val="both"/>
              <w:rPr>
                <w:rFonts w:eastAsia="Calibri"/>
                <w:sz w:val="20"/>
              </w:rPr>
            </w:pPr>
            <w:r w:rsidRPr="00CA7C76">
              <w:rPr>
                <w:rFonts w:eastAsia="Calibri"/>
                <w:sz w:val="20"/>
              </w:rPr>
              <w:t>The law firm’s appeal and the client’s cross</w:t>
            </w:r>
            <w:r w:rsidRPr="00CA7C76">
              <w:rPr>
                <w:rFonts w:eastAsia="Calibri"/>
                <w:sz w:val="20"/>
              </w:rPr>
              <w:noBreakHyphen/>
              <w:t>appeal were dismissed.</w:t>
            </w:r>
          </w:p>
          <w:p w:rsidR="001C5F86" w:rsidRPr="00CA7C76" w:rsidRDefault="001C5F86" w:rsidP="00F66694">
            <w:pPr>
              <w:jc w:val="both"/>
              <w:rPr>
                <w:rFonts w:eastAsia="Calibri"/>
                <w:sz w:val="20"/>
              </w:rPr>
            </w:pPr>
          </w:p>
        </w:tc>
      </w:tr>
      <w:tr w:rsidR="001C5F86" w:rsidRPr="00CA7C76" w:rsidTr="00874764">
        <w:tblPrEx>
          <w:tblCellMar>
            <w:bottom w:w="0" w:type="dxa"/>
          </w:tblCellMar>
        </w:tblPrEx>
        <w:trPr>
          <w:cantSplit/>
        </w:trPr>
        <w:tc>
          <w:tcPr>
            <w:tcW w:w="2389" w:type="pct"/>
          </w:tcPr>
          <w:p w:rsidR="001C5F86" w:rsidRPr="00CA7C76" w:rsidRDefault="001C5F86" w:rsidP="00F66694">
            <w:pPr>
              <w:jc w:val="both"/>
              <w:rPr>
                <w:rFonts w:eastAsia="Calibri"/>
                <w:sz w:val="20"/>
              </w:rPr>
            </w:pPr>
            <w:r w:rsidRPr="00CA7C76">
              <w:rPr>
                <w:rFonts w:eastAsia="Calibri"/>
                <w:sz w:val="20"/>
              </w:rPr>
              <w:t>February 28, 2014</w:t>
            </w:r>
          </w:p>
          <w:p w:rsidR="001C5F86" w:rsidRPr="00CA7C76" w:rsidRDefault="001C5F86" w:rsidP="00F66694">
            <w:pPr>
              <w:jc w:val="both"/>
              <w:rPr>
                <w:rFonts w:eastAsia="Calibri"/>
                <w:sz w:val="20"/>
              </w:rPr>
            </w:pPr>
            <w:r w:rsidRPr="00CA7C76">
              <w:rPr>
                <w:rFonts w:eastAsia="Calibri"/>
                <w:sz w:val="20"/>
              </w:rPr>
              <w:t>Supreme Court of Canada</w:t>
            </w:r>
          </w:p>
        </w:tc>
        <w:tc>
          <w:tcPr>
            <w:tcW w:w="271" w:type="pct"/>
          </w:tcPr>
          <w:p w:rsidR="001C5F86" w:rsidRPr="00CA7C76" w:rsidRDefault="001C5F86" w:rsidP="00F66694">
            <w:pPr>
              <w:jc w:val="both"/>
              <w:rPr>
                <w:rFonts w:eastAsia="Calibri"/>
                <w:sz w:val="20"/>
              </w:rPr>
            </w:pPr>
          </w:p>
        </w:tc>
        <w:tc>
          <w:tcPr>
            <w:tcW w:w="2340" w:type="pct"/>
          </w:tcPr>
          <w:p w:rsidR="001C5F86" w:rsidRPr="00CA7C76" w:rsidRDefault="001C5F86" w:rsidP="00F66694">
            <w:pPr>
              <w:jc w:val="both"/>
              <w:rPr>
                <w:rFonts w:eastAsia="Calibri"/>
                <w:sz w:val="20"/>
              </w:rPr>
            </w:pPr>
            <w:r w:rsidRPr="00CA7C76">
              <w:rPr>
                <w:rFonts w:eastAsia="Calibri"/>
                <w:sz w:val="20"/>
              </w:rPr>
              <w:t>The law firm’s 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69"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2"/>
        <w:gridCol w:w="516"/>
        <w:gridCol w:w="4459"/>
      </w:tblGrid>
      <w:tr w:rsidR="001C5F86" w:rsidRPr="00FA68AD" w:rsidTr="00F66694">
        <w:tc>
          <w:tcPr>
            <w:tcW w:w="5000" w:type="pct"/>
            <w:gridSpan w:val="3"/>
          </w:tcPr>
          <w:p w:rsidR="001C5F86" w:rsidRPr="00CA7C76" w:rsidRDefault="001C5F86" w:rsidP="00F66694">
            <w:pPr>
              <w:jc w:val="both"/>
              <w:rPr>
                <w:rFonts w:eastAsia="Calibri"/>
                <w:sz w:val="20"/>
                <w:lang w:val="fr-CA"/>
              </w:rPr>
            </w:pPr>
            <w:r w:rsidRPr="00CA7C76">
              <w:rPr>
                <w:rFonts w:eastAsia="Calibri"/>
                <w:sz w:val="20"/>
                <w:lang w:val="fr-CA"/>
              </w:rPr>
              <w:t>Droit des professions — Avocats et procureurs — Rémunération — Conventions d’honoraires conditionnels — Juste et raisonnable — La convention prévoyait des honoraires de 20 % de tout règlement conclu au cours de la première année du litige — L’action a été réglée au bout de huit mois — Le cabinet a facturé la somme de 16 millions de dollars — La greffière de la Cour a réduit les honoraires à neuf millions de dollars et un juge en son cabinet les a réduits davantage à cinq millions de dollars — La Cour d’appel a rejeté l’appel subséquent du cabinet et l’appel incident de la cliente — Les juridictions inférieures ont conclu que même si la convention était raisonnable lorsqu’elle a été signée, le montant qui a finalement été facturé ne devait pas être disproportionné par rapport au travail effectué au point de porter atteinte à l’intégrité de la profession d’avocat — L’entente était</w:t>
            </w:r>
            <w:r w:rsidRPr="00CA7C76">
              <w:rPr>
                <w:rFonts w:eastAsia="Calibri"/>
                <w:sz w:val="20"/>
                <w:lang w:val="fr-CA"/>
              </w:rPr>
              <w:noBreakHyphen/>
              <w:t>elle raisonnable? — La détermination des honoraires par les tribunaux inférieurs était</w:t>
            </w:r>
            <w:r w:rsidRPr="00CA7C76">
              <w:rPr>
                <w:rFonts w:eastAsia="Calibri"/>
                <w:sz w:val="20"/>
                <w:lang w:val="fr-CA"/>
              </w:rPr>
              <w:noBreakHyphen/>
              <w:t>elle appropriée? — Qu’entend</w:t>
            </w:r>
            <w:r w:rsidRPr="00CA7C76">
              <w:rPr>
                <w:rFonts w:eastAsia="Calibri"/>
                <w:sz w:val="20"/>
                <w:lang w:val="fr-CA"/>
              </w:rPr>
              <w:noBreakHyphen/>
              <w:t>on par l’intégrité de la profession dans le contexte de l’évaluation des honoraires? — Doit</w:t>
            </w:r>
            <w:r w:rsidRPr="00CA7C76">
              <w:rPr>
                <w:rFonts w:eastAsia="Calibri"/>
                <w:sz w:val="20"/>
                <w:lang w:val="fr-CA"/>
              </w:rPr>
              <w:noBreakHyphen/>
              <w:t>on présumer de la validité des honoraires qui découlent d’une convention d’honoraires conditionnels justement obtenue et raisonnable?</w:t>
            </w:r>
          </w:p>
          <w:p w:rsidR="001C5F86" w:rsidRPr="00CA7C76" w:rsidRDefault="001C5F86" w:rsidP="00F66694">
            <w:pPr>
              <w:jc w:val="both"/>
              <w:rPr>
                <w:rFonts w:eastAsia="Calibri"/>
                <w:sz w:val="20"/>
                <w:lang w:val="fr-CA"/>
              </w:rPr>
            </w:pPr>
          </w:p>
        </w:tc>
      </w:tr>
      <w:tr w:rsidR="001C5F86" w:rsidRPr="00FA68AD" w:rsidTr="00F66694">
        <w:tc>
          <w:tcPr>
            <w:tcW w:w="5000" w:type="pct"/>
            <w:gridSpan w:val="3"/>
          </w:tcPr>
          <w:p w:rsidR="001C5F86" w:rsidRPr="00CA7C76" w:rsidRDefault="001C5F86" w:rsidP="00F66694">
            <w:pPr>
              <w:jc w:val="both"/>
              <w:rPr>
                <w:rFonts w:eastAsia="Calibri"/>
                <w:sz w:val="20"/>
                <w:lang w:val="fr-CA"/>
              </w:rPr>
            </w:pPr>
            <w:r w:rsidRPr="00CA7C76">
              <w:rPr>
                <w:rFonts w:eastAsia="Calibri"/>
                <w:sz w:val="20"/>
                <w:lang w:val="fr-CA"/>
              </w:rPr>
              <w:t>La cliente intimée a conclu une convention d’honoraires conditionnels avec le cabinet d’avocats demandeur.  Aux termes de la convention, la cliente acceptait de payer au cabinet 20 % de tout règlement conclu au cours de la première année du litige.  L’affaire a été réglée au bout de huit mois et le cabinet a établi une facture de 16 millions de dollars.  Toutefois, la greffière a réduit les honoraires à neuf millions de dollars, compte tenu du travail réellement effectué par le cabinet.  En appel, le juge en son cabinet a conclu que, vu le travail réellement effectué, le fait d’autoriser même des honoraires de neuf millions de dollars mettrait en doute l’intégrité de la profession d’avocat.  Le juge en son cabinet a donc réduit les honoraires à cinq millions de dollars et la Cour d’appel, à son tour, a rejeté l’appel subséquent du cabinet et l’appel incident de la cliente.</w:t>
            </w:r>
          </w:p>
          <w:p w:rsidR="001C5F86" w:rsidRPr="00CA7C76" w:rsidRDefault="001C5F86" w:rsidP="00F66694">
            <w:pPr>
              <w:jc w:val="both"/>
              <w:rPr>
                <w:rFonts w:eastAsia="Calibri"/>
                <w:sz w:val="20"/>
                <w:lang w:val="fr-CA"/>
              </w:rPr>
            </w:pPr>
          </w:p>
        </w:tc>
      </w:tr>
      <w:tr w:rsidR="001C5F86" w:rsidRPr="00FA68AD" w:rsidTr="00F66694">
        <w:tblPrEx>
          <w:tblCellMar>
            <w:bottom w:w="0" w:type="dxa"/>
          </w:tblCellMar>
        </w:tblPrEx>
        <w:tc>
          <w:tcPr>
            <w:tcW w:w="2389" w:type="pct"/>
          </w:tcPr>
          <w:p w:rsidR="001C5F86" w:rsidRPr="00CA7C76" w:rsidRDefault="001C5F86" w:rsidP="00F66694">
            <w:pPr>
              <w:jc w:val="both"/>
              <w:rPr>
                <w:rFonts w:eastAsia="Calibri"/>
                <w:sz w:val="20"/>
                <w:lang w:val="fr-CA"/>
              </w:rPr>
            </w:pPr>
            <w:r w:rsidRPr="00CA7C76">
              <w:rPr>
                <w:rFonts w:eastAsia="Calibri"/>
                <w:sz w:val="20"/>
                <w:lang w:val="fr-CA"/>
              </w:rPr>
              <w:t>26 octobre 2011</w:t>
            </w:r>
          </w:p>
          <w:p w:rsidR="001C5F86" w:rsidRPr="00CA7C76" w:rsidRDefault="001C5F86" w:rsidP="00F66694">
            <w:pPr>
              <w:jc w:val="both"/>
              <w:rPr>
                <w:rFonts w:eastAsia="Calibri"/>
                <w:sz w:val="20"/>
                <w:lang w:val="fr-CA"/>
              </w:rPr>
            </w:pPr>
            <w:r w:rsidRPr="00CA7C76">
              <w:rPr>
                <w:rFonts w:eastAsia="Calibri"/>
                <w:sz w:val="20"/>
                <w:lang w:val="fr-CA"/>
              </w:rPr>
              <w:t>Cour suprême de la Colombie</w:t>
            </w:r>
            <w:r w:rsidRPr="00CA7C76">
              <w:rPr>
                <w:rFonts w:eastAsia="Calibri"/>
                <w:sz w:val="20"/>
                <w:lang w:val="fr-CA"/>
              </w:rPr>
              <w:noBreakHyphen/>
              <w:t>Britannique</w:t>
            </w:r>
          </w:p>
          <w:p w:rsidR="001C5F86" w:rsidRPr="00CA7C76" w:rsidRDefault="001C5F86" w:rsidP="00F66694">
            <w:pPr>
              <w:jc w:val="both"/>
              <w:rPr>
                <w:rFonts w:eastAsia="Calibri"/>
                <w:sz w:val="20"/>
                <w:lang w:val="fr-CA"/>
              </w:rPr>
            </w:pPr>
            <w:r w:rsidRPr="00CA7C76">
              <w:rPr>
                <w:rFonts w:eastAsia="Calibri"/>
                <w:sz w:val="20"/>
                <w:lang w:val="fr-CA"/>
              </w:rPr>
              <w:t>(Mme Sainty, greffière)</w:t>
            </w:r>
          </w:p>
          <w:p w:rsidR="001C5F86" w:rsidRPr="00CA7C76" w:rsidRDefault="00F27688" w:rsidP="00F66694">
            <w:pPr>
              <w:jc w:val="both"/>
              <w:rPr>
                <w:rFonts w:eastAsia="Calibri"/>
                <w:sz w:val="20"/>
                <w:lang w:val="fr-CA"/>
              </w:rPr>
            </w:pPr>
            <w:hyperlink r:id="rId54" w:history="1">
              <w:r w:rsidR="001C5F86" w:rsidRPr="004C6EEE">
                <w:rPr>
                  <w:rFonts w:eastAsia="Calibri"/>
                  <w:color w:val="0000FF"/>
                  <w:sz w:val="20"/>
                  <w:u w:val="single"/>
                  <w:lang w:val="fr-CA"/>
                </w:rPr>
                <w:t>2011 BCSC 1440</w:t>
              </w:r>
            </w:hyperlink>
          </w:p>
          <w:p w:rsidR="001C5F86" w:rsidRPr="00CA7C76" w:rsidRDefault="001C5F86" w:rsidP="00F66694">
            <w:pPr>
              <w:jc w:val="both"/>
              <w:rPr>
                <w:rFonts w:eastAsia="Calibri"/>
                <w:sz w:val="20"/>
                <w:lang w:val="fr-CA"/>
              </w:rPr>
            </w:pPr>
          </w:p>
        </w:tc>
        <w:tc>
          <w:tcPr>
            <w:tcW w:w="271" w:type="pct"/>
          </w:tcPr>
          <w:p w:rsidR="001C5F86" w:rsidRPr="00CA7C76" w:rsidRDefault="001C5F86" w:rsidP="00F66694">
            <w:pPr>
              <w:jc w:val="both"/>
              <w:rPr>
                <w:rFonts w:eastAsia="Calibri"/>
                <w:sz w:val="20"/>
                <w:lang w:val="fr-CA"/>
              </w:rPr>
            </w:pPr>
          </w:p>
        </w:tc>
        <w:tc>
          <w:tcPr>
            <w:tcW w:w="2340" w:type="pct"/>
          </w:tcPr>
          <w:p w:rsidR="001C5F86" w:rsidRPr="00CA7C76" w:rsidRDefault="001C5F86" w:rsidP="00F66694">
            <w:pPr>
              <w:jc w:val="both"/>
              <w:rPr>
                <w:rFonts w:eastAsia="Calibri"/>
                <w:sz w:val="20"/>
                <w:lang w:val="fr-CA"/>
              </w:rPr>
            </w:pPr>
            <w:r w:rsidRPr="00CA7C76">
              <w:rPr>
                <w:rFonts w:eastAsia="Calibri"/>
                <w:sz w:val="20"/>
                <w:lang w:val="fr-CA"/>
              </w:rPr>
              <w:t>La greffière juge que des honoraires de neuf millions de dollars aux termes d’une convention d’honoraires conditionnels sont raisonnables.</w:t>
            </w:r>
          </w:p>
          <w:p w:rsidR="001C5F86" w:rsidRPr="00CA7C76" w:rsidRDefault="001C5F86" w:rsidP="00F66694">
            <w:pPr>
              <w:jc w:val="both"/>
              <w:rPr>
                <w:rFonts w:eastAsia="Calibri"/>
                <w:sz w:val="20"/>
                <w:lang w:val="fr-CA"/>
              </w:rPr>
            </w:pPr>
          </w:p>
        </w:tc>
      </w:tr>
      <w:tr w:rsidR="001C5F86" w:rsidRPr="00FA68AD" w:rsidTr="00F66694">
        <w:tblPrEx>
          <w:tblCellMar>
            <w:bottom w:w="0" w:type="dxa"/>
          </w:tblCellMar>
        </w:tblPrEx>
        <w:tc>
          <w:tcPr>
            <w:tcW w:w="2389" w:type="pct"/>
          </w:tcPr>
          <w:p w:rsidR="001C5F86" w:rsidRPr="00CA7C76" w:rsidRDefault="001C5F86" w:rsidP="00F66694">
            <w:pPr>
              <w:jc w:val="both"/>
              <w:rPr>
                <w:rFonts w:eastAsia="Calibri"/>
                <w:sz w:val="20"/>
                <w:lang w:val="fr-CA"/>
              </w:rPr>
            </w:pPr>
            <w:r w:rsidRPr="00CA7C76">
              <w:rPr>
                <w:rFonts w:eastAsia="Calibri"/>
                <w:sz w:val="20"/>
                <w:lang w:val="fr-CA"/>
              </w:rPr>
              <w:t>7 mars 2013</w:t>
            </w:r>
          </w:p>
          <w:p w:rsidR="001C5F86" w:rsidRPr="00CA7C76" w:rsidRDefault="001C5F86" w:rsidP="00F66694">
            <w:pPr>
              <w:jc w:val="both"/>
              <w:rPr>
                <w:rFonts w:eastAsia="Calibri"/>
                <w:sz w:val="20"/>
                <w:lang w:val="fr-CA"/>
              </w:rPr>
            </w:pPr>
            <w:r w:rsidRPr="00CA7C76">
              <w:rPr>
                <w:rFonts w:eastAsia="Calibri"/>
                <w:sz w:val="20"/>
                <w:lang w:val="fr-CA"/>
              </w:rPr>
              <w:t>Cour suprême de la Colombie</w:t>
            </w:r>
            <w:r w:rsidRPr="00CA7C76">
              <w:rPr>
                <w:rFonts w:eastAsia="Calibri"/>
                <w:sz w:val="20"/>
                <w:lang w:val="fr-CA"/>
              </w:rPr>
              <w:noBreakHyphen/>
              <w:t>Britannique</w:t>
            </w:r>
          </w:p>
          <w:p w:rsidR="001C5F86" w:rsidRPr="00CA7C76" w:rsidRDefault="001C5F86" w:rsidP="00F66694">
            <w:pPr>
              <w:jc w:val="both"/>
              <w:rPr>
                <w:rFonts w:eastAsia="Calibri"/>
                <w:sz w:val="20"/>
                <w:lang w:val="fr-CA"/>
              </w:rPr>
            </w:pPr>
            <w:r w:rsidRPr="00CA7C76">
              <w:rPr>
                <w:rFonts w:eastAsia="Calibri"/>
                <w:sz w:val="20"/>
                <w:lang w:val="fr-CA"/>
              </w:rPr>
              <w:t>(Juge Goepel)</w:t>
            </w:r>
          </w:p>
          <w:p w:rsidR="001C5F86" w:rsidRPr="00CA7C76" w:rsidRDefault="00F27688" w:rsidP="00F66694">
            <w:pPr>
              <w:jc w:val="both"/>
              <w:rPr>
                <w:rFonts w:eastAsia="Calibri"/>
                <w:sz w:val="20"/>
                <w:lang w:val="fr-CA"/>
              </w:rPr>
            </w:pPr>
            <w:hyperlink r:id="rId55" w:history="1">
              <w:r w:rsidR="001C5F86" w:rsidRPr="004C6EEE">
                <w:rPr>
                  <w:rFonts w:eastAsia="Calibri"/>
                  <w:color w:val="0000FF"/>
                  <w:sz w:val="20"/>
                  <w:u w:val="single"/>
                  <w:lang w:val="fr-CA"/>
                </w:rPr>
                <w:t>2013 BCSC 374</w:t>
              </w:r>
            </w:hyperlink>
          </w:p>
          <w:p w:rsidR="001C5F86" w:rsidRPr="00CA7C76" w:rsidRDefault="001C5F86" w:rsidP="00F66694">
            <w:pPr>
              <w:jc w:val="both"/>
              <w:rPr>
                <w:rFonts w:eastAsia="Calibri"/>
                <w:sz w:val="20"/>
                <w:lang w:val="fr-CA"/>
              </w:rPr>
            </w:pPr>
          </w:p>
        </w:tc>
        <w:tc>
          <w:tcPr>
            <w:tcW w:w="271" w:type="pct"/>
          </w:tcPr>
          <w:p w:rsidR="001C5F86" w:rsidRPr="00CA7C76" w:rsidRDefault="001C5F86" w:rsidP="00F66694">
            <w:pPr>
              <w:jc w:val="both"/>
              <w:rPr>
                <w:rFonts w:eastAsia="Calibri"/>
                <w:sz w:val="20"/>
                <w:lang w:val="fr-CA"/>
              </w:rPr>
            </w:pPr>
          </w:p>
        </w:tc>
        <w:tc>
          <w:tcPr>
            <w:tcW w:w="2340" w:type="pct"/>
          </w:tcPr>
          <w:p w:rsidR="001C5F86" w:rsidRPr="00CA7C76" w:rsidRDefault="001C5F86" w:rsidP="00F66694">
            <w:pPr>
              <w:jc w:val="both"/>
              <w:rPr>
                <w:rFonts w:eastAsia="Calibri"/>
                <w:sz w:val="20"/>
                <w:lang w:val="fr-CA"/>
              </w:rPr>
            </w:pPr>
            <w:r w:rsidRPr="00CA7C76">
              <w:rPr>
                <w:rFonts w:eastAsia="Calibri"/>
                <w:sz w:val="20"/>
                <w:lang w:val="fr-CA"/>
              </w:rPr>
              <w:t>Le juge en son cabinet conclut que des honoraires de neuf millions de dollars sont excessifs et les réduit à cinq millions de dollars.</w:t>
            </w:r>
          </w:p>
        </w:tc>
      </w:tr>
      <w:tr w:rsidR="001C5F86" w:rsidRPr="00FA68AD" w:rsidTr="00874764">
        <w:tblPrEx>
          <w:tblCellMar>
            <w:bottom w:w="0" w:type="dxa"/>
          </w:tblCellMar>
        </w:tblPrEx>
        <w:trPr>
          <w:cantSplit/>
        </w:trPr>
        <w:tc>
          <w:tcPr>
            <w:tcW w:w="2389" w:type="pct"/>
          </w:tcPr>
          <w:p w:rsidR="001C5F86" w:rsidRPr="00CA7C76" w:rsidRDefault="001C5F86" w:rsidP="00F66694">
            <w:pPr>
              <w:jc w:val="both"/>
              <w:rPr>
                <w:rFonts w:eastAsia="Calibri"/>
                <w:sz w:val="20"/>
                <w:lang w:val="fr-CA"/>
              </w:rPr>
            </w:pPr>
            <w:r w:rsidRPr="00CA7C76">
              <w:rPr>
                <w:rFonts w:eastAsia="Calibri"/>
                <w:sz w:val="20"/>
                <w:lang w:val="fr-CA"/>
              </w:rPr>
              <w:lastRenderedPageBreak/>
              <w:t>31 décembre 2013</w:t>
            </w:r>
          </w:p>
          <w:p w:rsidR="001C5F86" w:rsidRPr="00CA7C76" w:rsidRDefault="001C5F86" w:rsidP="00F66694">
            <w:pPr>
              <w:jc w:val="both"/>
              <w:rPr>
                <w:rFonts w:eastAsia="Calibri"/>
                <w:sz w:val="20"/>
                <w:lang w:val="fr-CA"/>
              </w:rPr>
            </w:pPr>
            <w:r w:rsidRPr="00CA7C76">
              <w:rPr>
                <w:rFonts w:eastAsia="Calibri"/>
                <w:sz w:val="20"/>
                <w:lang w:val="fr-CA"/>
              </w:rPr>
              <w:t>Cour d’appel de la Colombie</w:t>
            </w:r>
            <w:r w:rsidRPr="00CA7C76">
              <w:rPr>
                <w:rFonts w:eastAsia="Calibri"/>
                <w:sz w:val="20"/>
                <w:lang w:val="fr-CA"/>
              </w:rPr>
              <w:noBreakHyphen/>
              <w:t>Britannique</w:t>
            </w:r>
          </w:p>
          <w:p w:rsidR="001C5F86" w:rsidRPr="00CA7C76" w:rsidRDefault="001C5F86" w:rsidP="00F66694">
            <w:pPr>
              <w:jc w:val="both"/>
              <w:rPr>
                <w:rFonts w:eastAsia="Calibri"/>
                <w:sz w:val="20"/>
                <w:lang w:val="fr-CA"/>
              </w:rPr>
            </w:pPr>
            <w:r w:rsidRPr="00CA7C76">
              <w:rPr>
                <w:rFonts w:eastAsia="Calibri"/>
                <w:sz w:val="20"/>
                <w:lang w:val="fr-CA"/>
              </w:rPr>
              <w:t>(Vancouver)</w:t>
            </w:r>
          </w:p>
          <w:p w:rsidR="001C5F86" w:rsidRPr="00CA7C76" w:rsidRDefault="001C5F86" w:rsidP="00F66694">
            <w:pPr>
              <w:jc w:val="both"/>
              <w:rPr>
                <w:rFonts w:eastAsia="Calibri"/>
                <w:sz w:val="20"/>
                <w:lang w:val="fr-CA"/>
              </w:rPr>
            </w:pPr>
            <w:r w:rsidRPr="00CA7C76">
              <w:rPr>
                <w:rFonts w:eastAsia="Calibri"/>
                <w:sz w:val="20"/>
                <w:lang w:val="fr-CA"/>
              </w:rPr>
              <w:t>(Juges Newbury, Neilson et Willcock)</w:t>
            </w:r>
          </w:p>
          <w:p w:rsidR="001C5F86" w:rsidRPr="00CA7C76" w:rsidRDefault="00F27688" w:rsidP="00F66694">
            <w:pPr>
              <w:jc w:val="both"/>
              <w:rPr>
                <w:rFonts w:eastAsia="Calibri"/>
                <w:sz w:val="20"/>
                <w:lang w:val="fr-CA"/>
              </w:rPr>
            </w:pPr>
            <w:hyperlink r:id="rId56" w:history="1">
              <w:r w:rsidR="001C5F86" w:rsidRPr="004C6EEE">
                <w:rPr>
                  <w:rFonts w:eastAsia="Calibri"/>
                  <w:color w:val="0000FF"/>
                  <w:sz w:val="20"/>
                  <w:u w:val="single"/>
                  <w:lang w:val="fr-CA"/>
                </w:rPr>
                <w:t>2013 BCCA 559</w:t>
              </w:r>
            </w:hyperlink>
            <w:r w:rsidR="001C5F86" w:rsidRPr="00CA7C76">
              <w:rPr>
                <w:rFonts w:eastAsia="Calibri"/>
                <w:sz w:val="20"/>
                <w:lang w:val="fr-CA"/>
              </w:rPr>
              <w:t xml:space="preserve"> </w:t>
            </w:r>
          </w:p>
          <w:p w:rsidR="001C5F86" w:rsidRPr="00CA7C76" w:rsidRDefault="001C5F86" w:rsidP="00F66694">
            <w:pPr>
              <w:jc w:val="both"/>
              <w:rPr>
                <w:rFonts w:eastAsia="Calibri"/>
                <w:sz w:val="20"/>
                <w:lang w:val="fr-CA"/>
              </w:rPr>
            </w:pPr>
          </w:p>
        </w:tc>
        <w:tc>
          <w:tcPr>
            <w:tcW w:w="271" w:type="pct"/>
          </w:tcPr>
          <w:p w:rsidR="001C5F86" w:rsidRPr="00CA7C76" w:rsidRDefault="001C5F86" w:rsidP="00F66694">
            <w:pPr>
              <w:jc w:val="both"/>
              <w:rPr>
                <w:rFonts w:eastAsia="Calibri"/>
                <w:sz w:val="20"/>
                <w:lang w:val="fr-CA"/>
              </w:rPr>
            </w:pPr>
          </w:p>
        </w:tc>
        <w:tc>
          <w:tcPr>
            <w:tcW w:w="2340" w:type="pct"/>
          </w:tcPr>
          <w:p w:rsidR="001C5F86" w:rsidRPr="00CA7C76" w:rsidRDefault="001C5F86" w:rsidP="00F66694">
            <w:pPr>
              <w:jc w:val="both"/>
              <w:rPr>
                <w:rFonts w:eastAsia="Calibri"/>
                <w:sz w:val="20"/>
                <w:lang w:val="fr-CA"/>
              </w:rPr>
            </w:pPr>
            <w:r w:rsidRPr="00CA7C76">
              <w:rPr>
                <w:rFonts w:eastAsia="Calibri"/>
                <w:sz w:val="20"/>
                <w:lang w:val="fr-CA"/>
              </w:rPr>
              <w:t>L’appel du cabinet d’avocats et l’appel incident de la cliente sont rejetés.</w:t>
            </w:r>
          </w:p>
          <w:p w:rsidR="001C5F86" w:rsidRPr="00CA7C76" w:rsidRDefault="001C5F86" w:rsidP="00F66694">
            <w:pPr>
              <w:jc w:val="both"/>
              <w:rPr>
                <w:rFonts w:eastAsia="Calibri"/>
                <w:sz w:val="20"/>
                <w:lang w:val="fr-CA"/>
              </w:rPr>
            </w:pPr>
          </w:p>
        </w:tc>
      </w:tr>
      <w:tr w:rsidR="001C5F86" w:rsidRPr="00FA68AD" w:rsidTr="00874764">
        <w:tblPrEx>
          <w:tblCellMar>
            <w:bottom w:w="0" w:type="dxa"/>
          </w:tblCellMar>
        </w:tblPrEx>
        <w:trPr>
          <w:cantSplit/>
        </w:trPr>
        <w:tc>
          <w:tcPr>
            <w:tcW w:w="2389" w:type="pct"/>
          </w:tcPr>
          <w:p w:rsidR="001C5F86" w:rsidRPr="00CA7C76" w:rsidRDefault="001C5F86" w:rsidP="00F66694">
            <w:pPr>
              <w:jc w:val="both"/>
              <w:rPr>
                <w:rFonts w:eastAsia="Calibri"/>
                <w:sz w:val="20"/>
                <w:lang w:val="fr-CA"/>
              </w:rPr>
            </w:pPr>
            <w:r w:rsidRPr="00CA7C76">
              <w:rPr>
                <w:rFonts w:eastAsia="Calibri"/>
                <w:sz w:val="20"/>
                <w:lang w:val="fr-CA"/>
              </w:rPr>
              <w:t>28 février 2014</w:t>
            </w:r>
          </w:p>
          <w:p w:rsidR="001C5F86" w:rsidRPr="00CA7C76" w:rsidRDefault="001C5F86" w:rsidP="00F66694">
            <w:pPr>
              <w:jc w:val="both"/>
              <w:rPr>
                <w:rFonts w:eastAsia="Calibri"/>
                <w:sz w:val="20"/>
                <w:lang w:val="fr-CA"/>
              </w:rPr>
            </w:pPr>
            <w:r w:rsidRPr="00CA7C76">
              <w:rPr>
                <w:rFonts w:eastAsia="Calibri"/>
                <w:sz w:val="20"/>
                <w:lang w:val="fr-CA"/>
              </w:rPr>
              <w:t>Cour suprême du Canada</w:t>
            </w:r>
          </w:p>
        </w:tc>
        <w:tc>
          <w:tcPr>
            <w:tcW w:w="271" w:type="pct"/>
          </w:tcPr>
          <w:p w:rsidR="001C5F86" w:rsidRPr="00CA7C76" w:rsidRDefault="001C5F86" w:rsidP="00F66694">
            <w:pPr>
              <w:jc w:val="both"/>
              <w:rPr>
                <w:rFonts w:eastAsia="Calibri"/>
                <w:sz w:val="20"/>
                <w:lang w:val="fr-CA"/>
              </w:rPr>
            </w:pPr>
          </w:p>
        </w:tc>
        <w:tc>
          <w:tcPr>
            <w:tcW w:w="2340" w:type="pct"/>
          </w:tcPr>
          <w:p w:rsidR="001C5F86" w:rsidRPr="00CA7C76" w:rsidRDefault="001C5F86" w:rsidP="00F66694">
            <w:pPr>
              <w:jc w:val="both"/>
              <w:rPr>
                <w:rFonts w:eastAsia="Calibri"/>
                <w:sz w:val="20"/>
                <w:lang w:val="fr-CA"/>
              </w:rPr>
            </w:pPr>
            <w:r w:rsidRPr="00CA7C76">
              <w:rPr>
                <w:rFonts w:eastAsia="Calibri"/>
                <w:sz w:val="20"/>
                <w:lang w:val="fr-CA"/>
              </w:rPr>
              <w:t>La demande d’autorisation d’appel du cabinet d’avocats est déposée.</w:t>
            </w:r>
          </w:p>
        </w:tc>
      </w:tr>
    </w:tbl>
    <w:p w:rsidR="0096146C" w:rsidRPr="001C5F86"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70" style="width:2in;height:1pt" o:hrpct="0" o:hralign="center" o:hrstd="t" o:hrnoshade="t" o:hr="t" fillcolor="black [3213]" stroked="f"/>
        </w:pict>
      </w:r>
    </w:p>
    <w:p w:rsidR="0096146C" w:rsidRDefault="0096146C" w:rsidP="0096146C">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35751</w:t>
            </w:r>
          </w:p>
          <w:p w:rsidR="00874764" w:rsidRPr="00874764" w:rsidRDefault="00874764" w:rsidP="00874764">
            <w:pPr>
              <w:rPr>
                <w:b/>
                <w:sz w:val="20"/>
                <w:lang w:val="fr-CA"/>
              </w:rPr>
            </w:pPr>
          </w:p>
        </w:tc>
        <w:tc>
          <w:tcPr>
            <w:tcW w:w="8118" w:type="dxa"/>
          </w:tcPr>
          <w:p w:rsidR="00874764" w:rsidRPr="00874764" w:rsidRDefault="00874764" w:rsidP="00874764">
            <w:pPr>
              <w:rPr>
                <w:sz w:val="20"/>
              </w:rPr>
            </w:pPr>
            <w:r w:rsidRPr="00874764">
              <w:rPr>
                <w:b/>
                <w:sz w:val="20"/>
                <w:u w:val="single"/>
              </w:rPr>
              <w:t>Marilyn Juel Shaw v. Howie Preston Boyda</w:t>
            </w:r>
            <w:r w:rsidRPr="00874764">
              <w:rPr>
                <w:sz w:val="20"/>
              </w:rPr>
              <w:t xml:space="preserve"> (Alta.) (Civil) (By Leave)</w:t>
            </w:r>
          </w:p>
          <w:p w:rsidR="00874764" w:rsidRPr="00874764" w:rsidRDefault="00874764" w:rsidP="00874764">
            <w:pPr>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McLachlin C.J. and Cromwell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application for leave to appeal from the judgment of the Court of Appeal of Alberta (Calgary), Number 1101-0254-AC, 2014 ABCA 1, dated January 3, 2014, is dismissed without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demande d’autorisation d’appel de l’arrêt de la Cour d'appel de l’Alberta (Calgary), numéro 1101-0254-AC, 2014 ABCA 1, daté du 3 janvier 2014, est rejetée sans dépens.</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F86" w:rsidRPr="00C770E0" w:rsidTr="00F66694">
        <w:tc>
          <w:tcPr>
            <w:tcW w:w="5000" w:type="pct"/>
            <w:gridSpan w:val="3"/>
          </w:tcPr>
          <w:p w:rsidR="001C5F86" w:rsidRPr="00C770E0" w:rsidRDefault="001C5F86" w:rsidP="00F66694">
            <w:pPr>
              <w:jc w:val="both"/>
              <w:rPr>
                <w:rFonts w:eastAsia="Calibri"/>
                <w:sz w:val="20"/>
              </w:rPr>
            </w:pPr>
            <w:r w:rsidRPr="00C770E0">
              <w:rPr>
                <w:rFonts w:eastAsia="Calibri"/>
                <w:sz w:val="20"/>
              </w:rPr>
              <w:t>Family law — Divorce — Family assets — Division of assets, including proceeds from sale of matrimonial home and pension — Support — Spousal support — Child support — Whether Court of Appeal erred in upholding trial judge’s determinations of child and spousal support, allocation of assets and order that there be no contact between the parties — Whether Court of Appeal erred in rejecting applicant’s argument that trial judge should have adjourned trial because of her serious mental illness</w:t>
            </w:r>
          </w:p>
        </w:tc>
      </w:tr>
      <w:tr w:rsidR="001C5F86" w:rsidRPr="00C770E0" w:rsidTr="00F66694">
        <w:tc>
          <w:tcPr>
            <w:tcW w:w="5000" w:type="pct"/>
            <w:gridSpan w:val="3"/>
          </w:tcPr>
          <w:p w:rsidR="001C5F86" w:rsidRPr="00C770E0" w:rsidRDefault="001C5F86" w:rsidP="00F66694">
            <w:pPr>
              <w:jc w:val="both"/>
              <w:rPr>
                <w:rFonts w:eastAsia="Calibri"/>
                <w:sz w:val="20"/>
              </w:rPr>
            </w:pPr>
          </w:p>
        </w:tc>
      </w:tr>
      <w:tr w:rsidR="001C5F86" w:rsidRPr="00C770E0" w:rsidTr="00F66694">
        <w:tc>
          <w:tcPr>
            <w:tcW w:w="5000" w:type="pct"/>
            <w:gridSpan w:val="3"/>
          </w:tcPr>
          <w:p w:rsidR="001C5F86" w:rsidRPr="00C770E0" w:rsidRDefault="001C5F86" w:rsidP="00F66694">
            <w:pPr>
              <w:jc w:val="both"/>
              <w:rPr>
                <w:rFonts w:eastAsia="Calibri"/>
                <w:sz w:val="20"/>
              </w:rPr>
            </w:pPr>
            <w:r w:rsidRPr="00C770E0">
              <w:rPr>
                <w:rFonts w:eastAsia="Calibri"/>
                <w:sz w:val="20"/>
              </w:rPr>
              <w:t xml:space="preserve">The applicant and the respondent cohabited from September 1991 to November 1996, at which time they married.  They had one child in 1993.  They separated in September 2008.  A judgment for divorce was sought.  The matter went to trial in the fall of 2011.  At the time of trial, their child was 18 years of age.  The issues at trial were the following: (1) The division of the proceeds of the matrimonial home and the applicant’s exemption with respect to it; (2) The manner in which the respondent’s pension should be divided; (3) Whether the child, who was 18, was still considered to be a “child of the marriage” under the </w:t>
            </w:r>
            <w:r w:rsidRPr="00C770E0">
              <w:rPr>
                <w:rFonts w:eastAsia="Calibri"/>
                <w:i/>
                <w:sz w:val="20"/>
              </w:rPr>
              <w:t>Divorce Act</w:t>
            </w:r>
            <w:r w:rsidRPr="00C770E0">
              <w:rPr>
                <w:rFonts w:eastAsia="Calibri"/>
                <w:sz w:val="20"/>
              </w:rPr>
              <w:t xml:space="preserve">, R.S.C. 1985, c. 3, such that the applicant would be entitled to receive child support; (4) Whether the applicant was entitled to spousal support, and (5) The manner in which the remaining assets of the marriage should be divided. </w:t>
            </w:r>
          </w:p>
          <w:p w:rsidR="001C5F86" w:rsidRPr="00C770E0" w:rsidRDefault="001C5F86" w:rsidP="00F66694">
            <w:pPr>
              <w:ind w:left="555"/>
              <w:jc w:val="both"/>
              <w:rPr>
                <w:rFonts w:eastAsia="Calibri"/>
                <w:sz w:val="20"/>
              </w:rPr>
            </w:pPr>
          </w:p>
          <w:p w:rsidR="001C5F86" w:rsidRPr="00C770E0" w:rsidRDefault="001C5F86" w:rsidP="00F66694">
            <w:pPr>
              <w:jc w:val="both"/>
              <w:rPr>
                <w:rFonts w:eastAsia="Calibri"/>
                <w:sz w:val="20"/>
              </w:rPr>
            </w:pPr>
            <w:r w:rsidRPr="00C770E0">
              <w:rPr>
                <w:rFonts w:eastAsia="Calibri"/>
                <w:sz w:val="20"/>
              </w:rPr>
              <w:t xml:space="preserve">During the trial, the applicant — who was allegedly suffering from a mental illness — attempted to commit suicide with a razor blade while in a courthouse washroom.  </w:t>
            </w:r>
          </w:p>
          <w:p w:rsidR="001C5F86" w:rsidRPr="00C770E0" w:rsidRDefault="001C5F86" w:rsidP="00F66694">
            <w:pPr>
              <w:jc w:val="both"/>
              <w:rPr>
                <w:rFonts w:eastAsia="Calibri"/>
                <w:sz w:val="20"/>
              </w:rPr>
            </w:pPr>
          </w:p>
          <w:p w:rsidR="001C5F86" w:rsidRPr="00C770E0" w:rsidRDefault="001C5F86" w:rsidP="00F66694">
            <w:pPr>
              <w:jc w:val="both"/>
              <w:rPr>
                <w:rFonts w:eastAsia="Calibri"/>
                <w:sz w:val="20"/>
              </w:rPr>
            </w:pPr>
          </w:p>
        </w:tc>
      </w:tr>
      <w:tr w:rsidR="001C5F86" w:rsidRPr="00C770E0" w:rsidTr="00F66694">
        <w:tc>
          <w:tcPr>
            <w:tcW w:w="2427" w:type="pct"/>
          </w:tcPr>
          <w:p w:rsidR="001C5F86" w:rsidRPr="00C770E0" w:rsidRDefault="001C5F86" w:rsidP="00F66694">
            <w:pPr>
              <w:jc w:val="both"/>
              <w:rPr>
                <w:rFonts w:eastAsia="Calibri"/>
                <w:sz w:val="20"/>
              </w:rPr>
            </w:pPr>
            <w:r w:rsidRPr="00C770E0">
              <w:rPr>
                <w:rFonts w:eastAsia="Calibri"/>
                <w:sz w:val="20"/>
              </w:rPr>
              <w:t>September 22, 2011</w:t>
            </w:r>
          </w:p>
          <w:p w:rsidR="001C5F86" w:rsidRPr="00C770E0" w:rsidRDefault="001C5F86" w:rsidP="00F66694">
            <w:pPr>
              <w:jc w:val="both"/>
              <w:rPr>
                <w:rFonts w:eastAsia="Calibri"/>
                <w:sz w:val="20"/>
              </w:rPr>
            </w:pPr>
            <w:r w:rsidRPr="00C770E0">
              <w:rPr>
                <w:rFonts w:eastAsia="Calibri"/>
                <w:sz w:val="20"/>
              </w:rPr>
              <w:t>Court of Queen’s Bench of Alberta</w:t>
            </w:r>
          </w:p>
          <w:p w:rsidR="001C5F86" w:rsidRPr="00C770E0" w:rsidRDefault="001C5F86" w:rsidP="00F66694">
            <w:pPr>
              <w:jc w:val="both"/>
              <w:rPr>
                <w:rFonts w:eastAsia="Calibri"/>
                <w:sz w:val="20"/>
              </w:rPr>
            </w:pPr>
            <w:r w:rsidRPr="00C770E0">
              <w:rPr>
                <w:rFonts w:eastAsia="Calibri"/>
                <w:sz w:val="20"/>
              </w:rPr>
              <w:t>(Hawco J.)</w:t>
            </w:r>
          </w:p>
          <w:p w:rsidR="001C5F86" w:rsidRPr="00C770E0" w:rsidRDefault="00F27688" w:rsidP="00F66694">
            <w:pPr>
              <w:jc w:val="both"/>
              <w:rPr>
                <w:rFonts w:eastAsia="Calibri"/>
                <w:sz w:val="20"/>
              </w:rPr>
            </w:pPr>
            <w:hyperlink r:id="rId57" w:history="1">
              <w:r w:rsidR="001C5F86" w:rsidRPr="007305C9">
                <w:rPr>
                  <w:rFonts w:eastAsia="Calibri"/>
                  <w:color w:val="0000FF"/>
                  <w:sz w:val="20"/>
                  <w:u w:val="single"/>
                </w:rPr>
                <w:t>2011 ABQB 572</w:t>
              </w:r>
            </w:hyperlink>
          </w:p>
          <w:p w:rsidR="001C5F86" w:rsidRPr="00C770E0" w:rsidRDefault="001C5F86" w:rsidP="00F66694">
            <w:pPr>
              <w:jc w:val="both"/>
              <w:rPr>
                <w:rFonts w:eastAsia="Calibri"/>
                <w:sz w:val="20"/>
              </w:rPr>
            </w:pPr>
          </w:p>
        </w:tc>
        <w:tc>
          <w:tcPr>
            <w:tcW w:w="243" w:type="pct"/>
          </w:tcPr>
          <w:p w:rsidR="001C5F86" w:rsidRPr="00C770E0" w:rsidRDefault="001C5F86" w:rsidP="00F66694">
            <w:pPr>
              <w:jc w:val="both"/>
              <w:rPr>
                <w:rFonts w:eastAsia="Calibri"/>
                <w:sz w:val="20"/>
              </w:rPr>
            </w:pPr>
          </w:p>
        </w:tc>
        <w:tc>
          <w:tcPr>
            <w:tcW w:w="2330" w:type="pct"/>
          </w:tcPr>
          <w:p w:rsidR="001C5F86" w:rsidRPr="00C770E0" w:rsidRDefault="001C5F86" w:rsidP="00F66694">
            <w:pPr>
              <w:jc w:val="both"/>
              <w:rPr>
                <w:rFonts w:eastAsia="Calibri"/>
                <w:sz w:val="20"/>
              </w:rPr>
            </w:pPr>
            <w:r w:rsidRPr="00C770E0">
              <w:rPr>
                <w:rFonts w:eastAsia="Calibri"/>
                <w:sz w:val="20"/>
              </w:rPr>
              <w:t>Judgment establishing the distribution of matrimonial home proceeds, the value of the respondent’s pension and other assets and granting the applicant spousal support for an indefinite duration; Applicant not entitled to child support so long as the couple’s 18</w:t>
            </w:r>
            <w:r w:rsidRPr="00C770E0">
              <w:rPr>
                <w:rFonts w:eastAsia="Calibri"/>
                <w:sz w:val="20"/>
              </w:rPr>
              <w:noBreakHyphen/>
              <w:t>year old child not enrolled in school; Applicant prohibited from commencing further action against the respondent or his attorney, excepting an appeal, without leave of the court</w:t>
            </w:r>
          </w:p>
          <w:p w:rsidR="001C5F86" w:rsidRPr="00C770E0" w:rsidRDefault="001C5F86" w:rsidP="00F66694">
            <w:pPr>
              <w:jc w:val="both"/>
              <w:rPr>
                <w:rFonts w:eastAsia="Calibri"/>
                <w:sz w:val="20"/>
              </w:rPr>
            </w:pPr>
          </w:p>
        </w:tc>
      </w:tr>
      <w:tr w:rsidR="001C5F86" w:rsidRPr="00C770E0" w:rsidTr="00F66694">
        <w:tc>
          <w:tcPr>
            <w:tcW w:w="2427" w:type="pct"/>
          </w:tcPr>
          <w:p w:rsidR="001C5F86" w:rsidRPr="00C770E0" w:rsidRDefault="001C5F86" w:rsidP="00F66694">
            <w:pPr>
              <w:jc w:val="both"/>
              <w:rPr>
                <w:rFonts w:eastAsia="Calibri"/>
                <w:sz w:val="20"/>
              </w:rPr>
            </w:pPr>
            <w:r w:rsidRPr="00C770E0">
              <w:rPr>
                <w:rFonts w:eastAsia="Calibri"/>
                <w:sz w:val="20"/>
              </w:rPr>
              <w:lastRenderedPageBreak/>
              <w:t>October 13, 2011</w:t>
            </w:r>
          </w:p>
          <w:p w:rsidR="001C5F86" w:rsidRPr="00C770E0" w:rsidRDefault="001C5F86" w:rsidP="00F66694">
            <w:pPr>
              <w:jc w:val="both"/>
              <w:rPr>
                <w:rFonts w:eastAsia="Calibri"/>
                <w:sz w:val="20"/>
              </w:rPr>
            </w:pPr>
            <w:r w:rsidRPr="00C770E0">
              <w:rPr>
                <w:rFonts w:eastAsia="Calibri"/>
                <w:sz w:val="20"/>
              </w:rPr>
              <w:t>Court of Queen’s Bench of Alberta</w:t>
            </w:r>
          </w:p>
          <w:p w:rsidR="001C5F86" w:rsidRPr="00C770E0" w:rsidRDefault="001C5F86" w:rsidP="00F66694">
            <w:pPr>
              <w:jc w:val="both"/>
              <w:rPr>
                <w:rFonts w:eastAsia="Calibri"/>
                <w:sz w:val="20"/>
              </w:rPr>
            </w:pPr>
            <w:r w:rsidRPr="00C770E0">
              <w:rPr>
                <w:rFonts w:eastAsia="Calibri"/>
                <w:sz w:val="20"/>
              </w:rPr>
              <w:t>(Hawco J.)</w:t>
            </w:r>
          </w:p>
          <w:p w:rsidR="001C5F86" w:rsidRPr="00C770E0" w:rsidRDefault="00F27688" w:rsidP="00F66694">
            <w:pPr>
              <w:jc w:val="both"/>
              <w:rPr>
                <w:rFonts w:eastAsia="Calibri"/>
                <w:sz w:val="20"/>
              </w:rPr>
            </w:pPr>
            <w:hyperlink r:id="rId58" w:history="1">
              <w:r w:rsidR="001C5F86" w:rsidRPr="007305C9">
                <w:rPr>
                  <w:rFonts w:eastAsia="Calibri"/>
                  <w:color w:val="0000FF"/>
                  <w:sz w:val="20"/>
                  <w:u w:val="single"/>
                </w:rPr>
                <w:t>2011 ABQB 632</w:t>
              </w:r>
            </w:hyperlink>
          </w:p>
          <w:p w:rsidR="001C5F86" w:rsidRPr="00C770E0" w:rsidRDefault="001C5F86" w:rsidP="00F66694">
            <w:pPr>
              <w:jc w:val="both"/>
              <w:rPr>
                <w:rFonts w:eastAsia="Calibri"/>
                <w:sz w:val="20"/>
              </w:rPr>
            </w:pPr>
          </w:p>
        </w:tc>
        <w:tc>
          <w:tcPr>
            <w:tcW w:w="243" w:type="pct"/>
          </w:tcPr>
          <w:p w:rsidR="001C5F86" w:rsidRPr="00C770E0" w:rsidRDefault="001C5F86" w:rsidP="00F66694">
            <w:pPr>
              <w:jc w:val="both"/>
              <w:rPr>
                <w:rFonts w:eastAsia="Calibri"/>
                <w:sz w:val="20"/>
              </w:rPr>
            </w:pPr>
          </w:p>
        </w:tc>
        <w:tc>
          <w:tcPr>
            <w:tcW w:w="2330" w:type="pct"/>
          </w:tcPr>
          <w:p w:rsidR="001C5F86" w:rsidRDefault="001C5F86" w:rsidP="00F66694">
            <w:pPr>
              <w:jc w:val="both"/>
              <w:rPr>
                <w:rFonts w:eastAsia="Calibri"/>
                <w:sz w:val="20"/>
              </w:rPr>
            </w:pPr>
            <w:r w:rsidRPr="00C770E0">
              <w:rPr>
                <w:rFonts w:eastAsia="Calibri"/>
                <w:sz w:val="20"/>
              </w:rPr>
              <w:t>Supplementary reasons issued, specifying (i) that various sums of money to be paid to the applicant were to be paid from the respondent’s share of the net proceeds of the sale of the matrimonial home, and (ii) in light of the fact that the couple’s child had since returned to school, the applicant was now entitled to receive child support</w:t>
            </w:r>
          </w:p>
          <w:p w:rsidR="00874764" w:rsidRPr="00C770E0" w:rsidRDefault="00874764" w:rsidP="00F66694">
            <w:pPr>
              <w:jc w:val="both"/>
              <w:rPr>
                <w:rFonts w:eastAsia="Calibri"/>
                <w:sz w:val="20"/>
              </w:rPr>
            </w:pPr>
          </w:p>
        </w:tc>
      </w:tr>
      <w:tr w:rsidR="001C5F86" w:rsidRPr="00C770E0" w:rsidTr="00F66694">
        <w:tc>
          <w:tcPr>
            <w:tcW w:w="2427" w:type="pct"/>
          </w:tcPr>
          <w:p w:rsidR="001C5F86" w:rsidRPr="00C770E0" w:rsidRDefault="001C5F86" w:rsidP="00F66694">
            <w:pPr>
              <w:jc w:val="both"/>
              <w:rPr>
                <w:rFonts w:eastAsia="Calibri"/>
                <w:sz w:val="20"/>
              </w:rPr>
            </w:pPr>
            <w:r w:rsidRPr="00C770E0">
              <w:rPr>
                <w:rFonts w:eastAsia="Calibri"/>
                <w:sz w:val="20"/>
              </w:rPr>
              <w:t>January 3, 2014</w:t>
            </w:r>
          </w:p>
          <w:p w:rsidR="001C5F86" w:rsidRPr="00C770E0" w:rsidRDefault="001C5F86" w:rsidP="00F66694">
            <w:pPr>
              <w:jc w:val="both"/>
              <w:rPr>
                <w:rFonts w:eastAsia="Calibri"/>
                <w:sz w:val="20"/>
              </w:rPr>
            </w:pPr>
            <w:r w:rsidRPr="00C770E0">
              <w:rPr>
                <w:rFonts w:eastAsia="Calibri"/>
                <w:sz w:val="20"/>
              </w:rPr>
              <w:t>Court of Appeal of Alberta (Calgary)</w:t>
            </w:r>
          </w:p>
          <w:p w:rsidR="001C5F86" w:rsidRPr="00C770E0" w:rsidRDefault="001C5F86" w:rsidP="00F66694">
            <w:pPr>
              <w:jc w:val="both"/>
              <w:rPr>
                <w:rFonts w:eastAsia="Calibri"/>
                <w:sz w:val="20"/>
              </w:rPr>
            </w:pPr>
            <w:r w:rsidRPr="00C770E0">
              <w:rPr>
                <w:rFonts w:eastAsia="Calibri"/>
                <w:sz w:val="20"/>
              </w:rPr>
              <w:t>(Berger, O'Brien and Martin JJ.A.)</w:t>
            </w:r>
          </w:p>
          <w:p w:rsidR="001C5F86" w:rsidRPr="00C770E0" w:rsidRDefault="00F27688" w:rsidP="00F66694">
            <w:pPr>
              <w:jc w:val="both"/>
              <w:rPr>
                <w:rFonts w:eastAsia="Calibri"/>
                <w:sz w:val="20"/>
              </w:rPr>
            </w:pPr>
            <w:hyperlink r:id="rId59" w:history="1">
              <w:r w:rsidR="001C5F86" w:rsidRPr="007305C9">
                <w:rPr>
                  <w:rFonts w:eastAsia="Calibri"/>
                  <w:color w:val="0000FF"/>
                  <w:sz w:val="20"/>
                  <w:u w:val="single"/>
                </w:rPr>
                <w:t>2014 ABCA 1</w:t>
              </w:r>
            </w:hyperlink>
          </w:p>
          <w:p w:rsidR="001C5F86" w:rsidRPr="00C770E0" w:rsidRDefault="001C5F86" w:rsidP="00F66694">
            <w:pPr>
              <w:jc w:val="both"/>
              <w:rPr>
                <w:rFonts w:eastAsia="Calibri"/>
                <w:sz w:val="20"/>
              </w:rPr>
            </w:pPr>
          </w:p>
        </w:tc>
        <w:tc>
          <w:tcPr>
            <w:tcW w:w="243" w:type="pct"/>
          </w:tcPr>
          <w:p w:rsidR="001C5F86" w:rsidRPr="00C770E0" w:rsidRDefault="001C5F86" w:rsidP="00F66694">
            <w:pPr>
              <w:jc w:val="both"/>
              <w:rPr>
                <w:rFonts w:eastAsia="Calibri"/>
                <w:sz w:val="20"/>
              </w:rPr>
            </w:pPr>
          </w:p>
        </w:tc>
        <w:tc>
          <w:tcPr>
            <w:tcW w:w="2330" w:type="pct"/>
          </w:tcPr>
          <w:p w:rsidR="001C5F86" w:rsidRPr="00C770E0" w:rsidRDefault="001C5F86" w:rsidP="00F66694">
            <w:pPr>
              <w:jc w:val="both"/>
              <w:rPr>
                <w:rFonts w:eastAsia="Calibri"/>
                <w:sz w:val="20"/>
              </w:rPr>
            </w:pPr>
            <w:r w:rsidRPr="00C770E0">
              <w:rPr>
                <w:rFonts w:eastAsia="Calibri"/>
                <w:sz w:val="20"/>
              </w:rPr>
              <w:t>Appeal dismissed</w:t>
            </w:r>
          </w:p>
          <w:p w:rsidR="001C5F86" w:rsidRPr="00C770E0" w:rsidRDefault="001C5F86" w:rsidP="00F66694">
            <w:pPr>
              <w:jc w:val="both"/>
              <w:rPr>
                <w:rFonts w:eastAsia="Calibri"/>
                <w:sz w:val="20"/>
              </w:rPr>
            </w:pPr>
          </w:p>
        </w:tc>
      </w:tr>
      <w:tr w:rsidR="001C5F86" w:rsidRPr="00C770E0" w:rsidTr="00F66694">
        <w:tc>
          <w:tcPr>
            <w:tcW w:w="2427" w:type="pct"/>
          </w:tcPr>
          <w:p w:rsidR="001C5F86" w:rsidRPr="00C770E0" w:rsidRDefault="001C5F86" w:rsidP="00F66694">
            <w:pPr>
              <w:jc w:val="both"/>
              <w:rPr>
                <w:rFonts w:eastAsia="Calibri"/>
                <w:sz w:val="20"/>
              </w:rPr>
            </w:pPr>
            <w:r w:rsidRPr="00C770E0">
              <w:rPr>
                <w:rFonts w:eastAsia="Calibri"/>
                <w:sz w:val="20"/>
              </w:rPr>
              <w:t>March 4, 2014</w:t>
            </w:r>
          </w:p>
          <w:p w:rsidR="001C5F86" w:rsidRPr="00C770E0" w:rsidRDefault="001C5F86" w:rsidP="00F66694">
            <w:pPr>
              <w:jc w:val="both"/>
              <w:rPr>
                <w:rFonts w:eastAsia="Calibri"/>
                <w:sz w:val="20"/>
              </w:rPr>
            </w:pPr>
            <w:r w:rsidRPr="00C770E0">
              <w:rPr>
                <w:rFonts w:eastAsia="Calibri"/>
                <w:sz w:val="20"/>
              </w:rPr>
              <w:t>Supreme Court of Canada</w:t>
            </w:r>
          </w:p>
        </w:tc>
        <w:tc>
          <w:tcPr>
            <w:tcW w:w="243" w:type="pct"/>
          </w:tcPr>
          <w:p w:rsidR="001C5F86" w:rsidRPr="00C770E0" w:rsidRDefault="001C5F86" w:rsidP="00F66694">
            <w:pPr>
              <w:jc w:val="both"/>
              <w:rPr>
                <w:rFonts w:eastAsia="Calibri"/>
                <w:sz w:val="20"/>
              </w:rPr>
            </w:pPr>
          </w:p>
        </w:tc>
        <w:tc>
          <w:tcPr>
            <w:tcW w:w="2330" w:type="pct"/>
          </w:tcPr>
          <w:p w:rsidR="001C5F86" w:rsidRPr="00C770E0" w:rsidRDefault="001C5F86" w:rsidP="00F66694">
            <w:pPr>
              <w:jc w:val="both"/>
              <w:rPr>
                <w:rFonts w:eastAsia="Calibri"/>
                <w:sz w:val="20"/>
              </w:rPr>
            </w:pPr>
            <w:r w:rsidRPr="00C770E0">
              <w:rPr>
                <w:rFonts w:eastAsia="Calibri"/>
                <w:sz w:val="20"/>
              </w:rPr>
              <w:t>Application for leave to appeal filed</w:t>
            </w:r>
          </w:p>
          <w:p w:rsidR="001C5F86" w:rsidRPr="00C770E0" w:rsidRDefault="001C5F86" w:rsidP="00F66694">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71"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33"/>
        <w:gridCol w:w="4470"/>
      </w:tblGrid>
      <w:tr w:rsidR="001C5F86" w:rsidRPr="00FA68AD" w:rsidTr="00F66694">
        <w:tc>
          <w:tcPr>
            <w:tcW w:w="5000" w:type="pct"/>
            <w:gridSpan w:val="3"/>
          </w:tcPr>
          <w:p w:rsidR="001C5F86" w:rsidRPr="00C770E0" w:rsidRDefault="001C5F86" w:rsidP="00F66694">
            <w:pPr>
              <w:jc w:val="both"/>
              <w:rPr>
                <w:rFonts w:eastAsia="Calibri"/>
                <w:sz w:val="20"/>
                <w:lang w:val="fr-CA"/>
              </w:rPr>
            </w:pPr>
            <w:r w:rsidRPr="00C770E0">
              <w:rPr>
                <w:rFonts w:eastAsia="Calibri"/>
                <w:sz w:val="20"/>
                <w:lang w:val="fr-CA"/>
              </w:rPr>
              <w:t>Droit de la famille — Divorce — Biens familiaux — Partage des biens, y compris le produit de la vente du foyer matrimonial et d’un régime de retraite — Aliments — Pension alimentaire pour le conjoint — Pension alimentaire pour enfants — La Cour d’appel a-t-elle eu tort de confirmer les pensions alimentaires pour l’enfant et pour le conjoint et le partage de biens déterminés par le juge de première instance et son ordonnance de non-communication entre les parties? — La Cour d’appel a-t-elle eu tort de rejeter l’argument de la demanderesse selon lequel le juge de première instance aurait dû ajourner le procès en raison de la maladie mentale grave de la demanderesse?</w:t>
            </w:r>
          </w:p>
        </w:tc>
      </w:tr>
      <w:tr w:rsidR="001C5F86" w:rsidRPr="00FA68AD" w:rsidTr="00F66694">
        <w:tc>
          <w:tcPr>
            <w:tcW w:w="5000" w:type="pct"/>
            <w:gridSpan w:val="3"/>
          </w:tcPr>
          <w:p w:rsidR="001C5F86" w:rsidRPr="00C770E0" w:rsidRDefault="001C5F86" w:rsidP="00F66694">
            <w:pPr>
              <w:jc w:val="both"/>
              <w:rPr>
                <w:rFonts w:eastAsia="Calibri"/>
                <w:sz w:val="20"/>
                <w:lang w:val="fr-CA"/>
              </w:rPr>
            </w:pPr>
          </w:p>
        </w:tc>
      </w:tr>
      <w:tr w:rsidR="001C5F86" w:rsidRPr="00FA68AD" w:rsidTr="00F66694">
        <w:tc>
          <w:tcPr>
            <w:tcW w:w="5000" w:type="pct"/>
            <w:gridSpan w:val="3"/>
          </w:tcPr>
          <w:p w:rsidR="001C5F86" w:rsidRPr="00C770E0" w:rsidRDefault="001C5F86" w:rsidP="00F66694">
            <w:pPr>
              <w:jc w:val="both"/>
              <w:rPr>
                <w:rFonts w:eastAsia="Calibri"/>
                <w:sz w:val="20"/>
                <w:lang w:val="fr-CA"/>
              </w:rPr>
            </w:pPr>
            <w:r w:rsidRPr="00C770E0">
              <w:rPr>
                <w:rFonts w:eastAsia="Calibri"/>
                <w:sz w:val="20"/>
                <w:lang w:val="fr-CA"/>
              </w:rPr>
              <w:t xml:space="preserve">La demanderesse et l’intimé ont cohabité de septembre 1991 à novembre 1996 et ils se sont alors mariés. Ils ont eu un enfant en 1993.  Ils se sont séparés en septembre 2008.  Un jugement de divorce a été demandé.  L’affaire est allée à procès à l’automne 2011.  Au moment du procès, leur enfant était âgé de 18 ans.  Au procès, les questions suivantes étaient en litige : (1) le partage du produit de la vente du foyer matrimonial et l’exemption de la demanderesse à son égard; (2) la manière dont le régime de retraite de l’intimé devait être partagé; (3) la question de savoir si l’enfant, âgé de 18 ans, devait être considéré comme un « enfant à charge » au sens de la </w:t>
            </w:r>
            <w:r w:rsidRPr="00C770E0">
              <w:rPr>
                <w:rFonts w:eastAsia="Calibri"/>
                <w:i/>
                <w:sz w:val="20"/>
                <w:lang w:val="fr-CA"/>
              </w:rPr>
              <w:t>Loi sur le divorce</w:t>
            </w:r>
            <w:r w:rsidRPr="00C770E0">
              <w:rPr>
                <w:rFonts w:eastAsia="Calibri"/>
                <w:sz w:val="20"/>
                <w:lang w:val="fr-CA"/>
              </w:rPr>
              <w:t xml:space="preserve">, L.R.C. 1985, ch. 3, de sorte que la demanderesse avait droit de recevoir une pension alimentaire pour enfant; (4) la question de savoir si la demanderesse avait droit à une pension alimentaire pour conjoint; (5) la manière dont les autres biens du mariage devaient être partagés. </w:t>
            </w:r>
          </w:p>
          <w:p w:rsidR="001C5F86" w:rsidRPr="00C770E0" w:rsidRDefault="001C5F86" w:rsidP="00F66694">
            <w:pPr>
              <w:jc w:val="both"/>
              <w:rPr>
                <w:rFonts w:eastAsia="Calibri"/>
                <w:sz w:val="20"/>
                <w:lang w:val="fr-CA"/>
              </w:rPr>
            </w:pPr>
          </w:p>
          <w:p w:rsidR="001C5F86" w:rsidRPr="00C770E0" w:rsidRDefault="001C5F86" w:rsidP="00F66694">
            <w:pPr>
              <w:jc w:val="both"/>
              <w:rPr>
                <w:rFonts w:eastAsia="Calibri"/>
                <w:sz w:val="20"/>
                <w:lang w:val="fr-CA"/>
              </w:rPr>
            </w:pPr>
            <w:r w:rsidRPr="00C770E0">
              <w:rPr>
                <w:rFonts w:eastAsia="Calibri"/>
                <w:sz w:val="20"/>
                <w:lang w:val="fr-CA"/>
              </w:rPr>
              <w:t xml:space="preserve">Pendant le procès, la demanderesse — qui souffrait censément d’une maladie mentale — a tenté de se suicider avec une lame de rasoir pendant qu’elle était aux toilettes du palais de justice.  </w:t>
            </w:r>
          </w:p>
          <w:p w:rsidR="001C5F86" w:rsidRPr="00C770E0" w:rsidRDefault="001C5F86" w:rsidP="00F66694">
            <w:pPr>
              <w:jc w:val="both"/>
              <w:rPr>
                <w:rFonts w:eastAsia="Calibri"/>
                <w:sz w:val="20"/>
                <w:lang w:val="fr-CA"/>
              </w:rPr>
            </w:pPr>
          </w:p>
        </w:tc>
      </w:tr>
      <w:tr w:rsidR="001C5F86" w:rsidRPr="00FA68AD" w:rsidTr="00F66694">
        <w:tc>
          <w:tcPr>
            <w:tcW w:w="2427" w:type="pct"/>
          </w:tcPr>
          <w:p w:rsidR="001C5F86" w:rsidRPr="00C770E0" w:rsidRDefault="001C5F86" w:rsidP="00F66694">
            <w:pPr>
              <w:jc w:val="both"/>
              <w:rPr>
                <w:rFonts w:eastAsia="Calibri"/>
                <w:sz w:val="20"/>
                <w:lang w:val="fr-CA"/>
              </w:rPr>
            </w:pPr>
            <w:r w:rsidRPr="00C770E0">
              <w:rPr>
                <w:rFonts w:eastAsia="Calibri"/>
                <w:sz w:val="20"/>
                <w:lang w:val="fr-CA"/>
              </w:rPr>
              <w:t>22 septembre 2011</w:t>
            </w:r>
          </w:p>
          <w:p w:rsidR="001C5F86" w:rsidRPr="00C770E0" w:rsidRDefault="001C5F86" w:rsidP="00F66694">
            <w:pPr>
              <w:jc w:val="both"/>
              <w:rPr>
                <w:rFonts w:eastAsia="Calibri"/>
                <w:sz w:val="20"/>
                <w:lang w:val="fr-CA"/>
              </w:rPr>
            </w:pPr>
            <w:r w:rsidRPr="00C770E0">
              <w:rPr>
                <w:rFonts w:eastAsia="Calibri"/>
                <w:sz w:val="20"/>
                <w:lang w:val="fr-CA"/>
              </w:rPr>
              <w:t>Cour du Banc de la Reine de l’Alberta</w:t>
            </w:r>
          </w:p>
          <w:p w:rsidR="001C5F86" w:rsidRPr="00C770E0" w:rsidRDefault="001C5F86" w:rsidP="00F66694">
            <w:pPr>
              <w:jc w:val="both"/>
              <w:rPr>
                <w:rFonts w:eastAsia="Calibri"/>
                <w:sz w:val="20"/>
                <w:lang w:val="fr-CA"/>
              </w:rPr>
            </w:pPr>
            <w:r w:rsidRPr="00C770E0">
              <w:rPr>
                <w:rFonts w:eastAsia="Calibri"/>
                <w:sz w:val="20"/>
                <w:lang w:val="fr-CA"/>
              </w:rPr>
              <w:t>(Juge Hawco)</w:t>
            </w:r>
          </w:p>
          <w:p w:rsidR="001C5F86" w:rsidRPr="00C770E0" w:rsidRDefault="00F27688" w:rsidP="00F66694">
            <w:pPr>
              <w:jc w:val="both"/>
              <w:rPr>
                <w:rFonts w:eastAsia="Calibri"/>
                <w:sz w:val="20"/>
                <w:lang w:val="fr-CA"/>
              </w:rPr>
            </w:pPr>
            <w:hyperlink r:id="rId60" w:history="1">
              <w:r w:rsidR="001C5F86" w:rsidRPr="007305C9">
                <w:rPr>
                  <w:rFonts w:eastAsia="Calibri"/>
                  <w:color w:val="0000FF"/>
                  <w:sz w:val="20"/>
                  <w:u w:val="single"/>
                  <w:lang w:val="fr-CA"/>
                </w:rPr>
                <w:t>2011 ABQB 572</w:t>
              </w:r>
            </w:hyperlink>
          </w:p>
          <w:p w:rsidR="001C5F86" w:rsidRPr="00C770E0" w:rsidRDefault="001C5F86" w:rsidP="00F66694">
            <w:pPr>
              <w:jc w:val="both"/>
              <w:rPr>
                <w:rFonts w:eastAsia="Calibri"/>
                <w:sz w:val="20"/>
                <w:lang w:val="fr-CA"/>
              </w:rPr>
            </w:pPr>
          </w:p>
        </w:tc>
        <w:tc>
          <w:tcPr>
            <w:tcW w:w="227" w:type="pct"/>
          </w:tcPr>
          <w:p w:rsidR="001C5F86" w:rsidRPr="00C770E0" w:rsidRDefault="001C5F86" w:rsidP="00F66694">
            <w:pPr>
              <w:jc w:val="both"/>
              <w:rPr>
                <w:rFonts w:eastAsia="Calibri"/>
                <w:sz w:val="20"/>
                <w:lang w:val="fr-CA"/>
              </w:rPr>
            </w:pPr>
          </w:p>
        </w:tc>
        <w:tc>
          <w:tcPr>
            <w:tcW w:w="2346" w:type="pct"/>
          </w:tcPr>
          <w:p w:rsidR="001C5F86" w:rsidRPr="00C770E0" w:rsidRDefault="001C5F86" w:rsidP="00F66694">
            <w:pPr>
              <w:jc w:val="both"/>
              <w:rPr>
                <w:rFonts w:eastAsia="Calibri"/>
                <w:sz w:val="20"/>
                <w:lang w:val="fr-CA"/>
              </w:rPr>
            </w:pPr>
            <w:r w:rsidRPr="00C770E0">
              <w:rPr>
                <w:rFonts w:eastAsia="Calibri"/>
                <w:sz w:val="20"/>
                <w:lang w:val="fr-CA"/>
              </w:rPr>
              <w:t>Jugement établissant la distribution du produit de la vente du foyer matrimonial, la valeur du régime de retraite de l’intimé et d’autres biens et accordant à la demanderesse une pension alimentaire pour conjoint pour une période indéfinie; la demanderesse n’a pas droit à une pension alimentaire pour enfant tant que l’enfant du couple âgé de 18 ans ne s’inscrit pas à l’école; il est interdit à la demanderesse d’intenter une autre action contre l’intimé ou son avocat, à l’exception d’un appel, sans autorisation de la cour</w:t>
            </w:r>
          </w:p>
          <w:p w:rsidR="001C5F86" w:rsidRPr="00C770E0" w:rsidRDefault="001C5F86" w:rsidP="00F66694">
            <w:pPr>
              <w:jc w:val="both"/>
              <w:rPr>
                <w:rFonts w:eastAsia="Calibri"/>
                <w:sz w:val="20"/>
                <w:lang w:val="fr-CA"/>
              </w:rPr>
            </w:pPr>
          </w:p>
        </w:tc>
      </w:tr>
      <w:tr w:rsidR="001C5F86" w:rsidRPr="00FA68AD" w:rsidTr="00F66694">
        <w:tc>
          <w:tcPr>
            <w:tcW w:w="2427" w:type="pct"/>
          </w:tcPr>
          <w:p w:rsidR="001C5F86" w:rsidRPr="00C770E0" w:rsidRDefault="001C5F86" w:rsidP="00F66694">
            <w:pPr>
              <w:jc w:val="both"/>
              <w:rPr>
                <w:rFonts w:eastAsia="Calibri"/>
                <w:sz w:val="20"/>
                <w:lang w:val="fr-CA"/>
              </w:rPr>
            </w:pPr>
            <w:r w:rsidRPr="00C770E0">
              <w:rPr>
                <w:rFonts w:eastAsia="Calibri"/>
                <w:sz w:val="20"/>
                <w:lang w:val="fr-CA"/>
              </w:rPr>
              <w:lastRenderedPageBreak/>
              <w:t>13 octobre 2011</w:t>
            </w:r>
          </w:p>
          <w:p w:rsidR="001C5F86" w:rsidRPr="00C770E0" w:rsidRDefault="001C5F86" w:rsidP="00F66694">
            <w:pPr>
              <w:jc w:val="both"/>
              <w:rPr>
                <w:rFonts w:eastAsia="Calibri"/>
                <w:sz w:val="20"/>
                <w:lang w:val="fr-CA"/>
              </w:rPr>
            </w:pPr>
            <w:r w:rsidRPr="00C770E0">
              <w:rPr>
                <w:rFonts w:eastAsia="Calibri"/>
                <w:sz w:val="20"/>
                <w:lang w:val="fr-CA"/>
              </w:rPr>
              <w:t>Cour du Banc de la Reine de l’Alberta</w:t>
            </w:r>
          </w:p>
          <w:p w:rsidR="001C5F86" w:rsidRPr="00C770E0" w:rsidRDefault="001C5F86" w:rsidP="00F66694">
            <w:pPr>
              <w:jc w:val="both"/>
              <w:rPr>
                <w:rFonts w:eastAsia="Calibri"/>
                <w:sz w:val="20"/>
                <w:lang w:val="fr-CA"/>
              </w:rPr>
            </w:pPr>
            <w:r w:rsidRPr="00C770E0">
              <w:rPr>
                <w:rFonts w:eastAsia="Calibri"/>
                <w:sz w:val="20"/>
                <w:lang w:val="fr-CA"/>
              </w:rPr>
              <w:t>(Juge Hawco)</w:t>
            </w:r>
          </w:p>
          <w:p w:rsidR="001C5F86" w:rsidRPr="00C770E0" w:rsidRDefault="00F27688" w:rsidP="00F66694">
            <w:pPr>
              <w:jc w:val="both"/>
              <w:rPr>
                <w:rFonts w:eastAsia="Calibri"/>
                <w:sz w:val="20"/>
                <w:lang w:val="fr-CA"/>
              </w:rPr>
            </w:pPr>
            <w:hyperlink r:id="rId61" w:history="1">
              <w:r w:rsidR="001C5F86" w:rsidRPr="007305C9">
                <w:rPr>
                  <w:rFonts w:eastAsia="Calibri"/>
                  <w:color w:val="0000FF"/>
                  <w:sz w:val="20"/>
                  <w:u w:val="single"/>
                  <w:lang w:val="fr-CA"/>
                </w:rPr>
                <w:t>2011 ABQB 632</w:t>
              </w:r>
            </w:hyperlink>
          </w:p>
          <w:p w:rsidR="001C5F86" w:rsidRPr="00C770E0" w:rsidRDefault="001C5F86" w:rsidP="00F66694">
            <w:pPr>
              <w:jc w:val="both"/>
              <w:rPr>
                <w:rFonts w:eastAsia="Calibri"/>
                <w:sz w:val="20"/>
                <w:lang w:val="fr-CA"/>
              </w:rPr>
            </w:pPr>
          </w:p>
        </w:tc>
        <w:tc>
          <w:tcPr>
            <w:tcW w:w="227" w:type="pct"/>
          </w:tcPr>
          <w:p w:rsidR="001C5F86" w:rsidRPr="00C770E0" w:rsidRDefault="001C5F86" w:rsidP="00F66694">
            <w:pPr>
              <w:jc w:val="both"/>
              <w:rPr>
                <w:rFonts w:eastAsia="Calibri"/>
                <w:sz w:val="20"/>
                <w:lang w:val="fr-CA"/>
              </w:rPr>
            </w:pPr>
          </w:p>
        </w:tc>
        <w:tc>
          <w:tcPr>
            <w:tcW w:w="2346" w:type="pct"/>
          </w:tcPr>
          <w:p w:rsidR="001C5F86" w:rsidRPr="00C770E0" w:rsidRDefault="001C5F86" w:rsidP="00F66694">
            <w:pPr>
              <w:jc w:val="both"/>
              <w:rPr>
                <w:rFonts w:eastAsia="Calibri"/>
                <w:sz w:val="20"/>
                <w:lang w:val="fr-CA"/>
              </w:rPr>
            </w:pPr>
            <w:r w:rsidRPr="00C770E0">
              <w:rPr>
                <w:rFonts w:eastAsia="Calibri"/>
                <w:sz w:val="20"/>
                <w:lang w:val="fr-CA"/>
              </w:rPr>
              <w:t>Motifs supplémentaires délivrés, précisant (i) que les diverses sommes d’argent à payer à la demanderesse devaient être payées à partir de la part de l’intimé dans le produit net de la vente du foyer matrimonial et que (ii) parce que l’enfant du couple était retourné à l’école, la demanderesse avait maintenant droit à une pension alimentaire pour enfant</w:t>
            </w:r>
          </w:p>
          <w:p w:rsidR="001C5F86" w:rsidRPr="00C770E0" w:rsidRDefault="001C5F86" w:rsidP="00F66694">
            <w:pPr>
              <w:jc w:val="both"/>
              <w:rPr>
                <w:rFonts w:eastAsia="Calibri"/>
                <w:sz w:val="20"/>
                <w:lang w:val="fr-CA"/>
              </w:rPr>
            </w:pPr>
          </w:p>
        </w:tc>
      </w:tr>
      <w:tr w:rsidR="001C5F86" w:rsidRPr="00C770E0" w:rsidTr="00F66694">
        <w:tc>
          <w:tcPr>
            <w:tcW w:w="2427" w:type="pct"/>
          </w:tcPr>
          <w:p w:rsidR="001C5F86" w:rsidRPr="00C770E0" w:rsidRDefault="001C5F86" w:rsidP="00F66694">
            <w:pPr>
              <w:jc w:val="both"/>
              <w:rPr>
                <w:rFonts w:eastAsia="Calibri"/>
                <w:sz w:val="20"/>
                <w:lang w:val="fr-CA"/>
              </w:rPr>
            </w:pPr>
            <w:r w:rsidRPr="00C770E0">
              <w:rPr>
                <w:rFonts w:eastAsia="Calibri"/>
                <w:sz w:val="20"/>
                <w:lang w:val="fr-CA"/>
              </w:rPr>
              <w:t>3 janvier 2014</w:t>
            </w:r>
          </w:p>
          <w:p w:rsidR="001C5F86" w:rsidRPr="00C770E0" w:rsidRDefault="001C5F86" w:rsidP="00F66694">
            <w:pPr>
              <w:jc w:val="both"/>
              <w:rPr>
                <w:rFonts w:eastAsia="Calibri"/>
                <w:sz w:val="20"/>
                <w:lang w:val="fr-CA"/>
              </w:rPr>
            </w:pPr>
            <w:r w:rsidRPr="00C770E0">
              <w:rPr>
                <w:rFonts w:eastAsia="Calibri"/>
                <w:sz w:val="20"/>
                <w:lang w:val="fr-CA"/>
              </w:rPr>
              <w:t>Cour d’appel de l’Alberta (Calgary)</w:t>
            </w:r>
          </w:p>
          <w:p w:rsidR="001C5F86" w:rsidRPr="00C770E0" w:rsidRDefault="001C5F86" w:rsidP="00F66694">
            <w:pPr>
              <w:jc w:val="both"/>
              <w:rPr>
                <w:rFonts w:eastAsia="Calibri"/>
                <w:sz w:val="20"/>
                <w:lang w:val="fr-CA"/>
              </w:rPr>
            </w:pPr>
            <w:r w:rsidRPr="00C770E0">
              <w:rPr>
                <w:rFonts w:eastAsia="Calibri"/>
                <w:sz w:val="20"/>
                <w:lang w:val="fr-CA"/>
              </w:rPr>
              <w:t>(Juges Berger, O'Brien et Martin)</w:t>
            </w:r>
          </w:p>
          <w:p w:rsidR="001C5F86" w:rsidRPr="00C770E0" w:rsidRDefault="00F27688" w:rsidP="00F66694">
            <w:pPr>
              <w:jc w:val="both"/>
              <w:rPr>
                <w:rFonts w:eastAsia="Calibri"/>
                <w:sz w:val="20"/>
                <w:lang w:val="fr-CA"/>
              </w:rPr>
            </w:pPr>
            <w:hyperlink r:id="rId62" w:history="1">
              <w:r w:rsidR="001C5F86" w:rsidRPr="007305C9">
                <w:rPr>
                  <w:rFonts w:eastAsia="Calibri"/>
                  <w:color w:val="0000FF"/>
                  <w:sz w:val="20"/>
                  <w:u w:val="single"/>
                  <w:lang w:val="fr-CA"/>
                </w:rPr>
                <w:t>2014 ABCA 1</w:t>
              </w:r>
            </w:hyperlink>
          </w:p>
          <w:p w:rsidR="001C5F86" w:rsidRPr="00C770E0" w:rsidRDefault="001C5F86" w:rsidP="00F66694">
            <w:pPr>
              <w:jc w:val="both"/>
              <w:rPr>
                <w:rFonts w:eastAsia="Calibri"/>
                <w:sz w:val="20"/>
                <w:lang w:val="fr-CA"/>
              </w:rPr>
            </w:pPr>
          </w:p>
        </w:tc>
        <w:tc>
          <w:tcPr>
            <w:tcW w:w="227" w:type="pct"/>
          </w:tcPr>
          <w:p w:rsidR="001C5F86" w:rsidRPr="00C770E0" w:rsidRDefault="001C5F86" w:rsidP="00F66694">
            <w:pPr>
              <w:jc w:val="both"/>
              <w:rPr>
                <w:rFonts w:eastAsia="Calibri"/>
                <w:sz w:val="20"/>
                <w:lang w:val="fr-CA"/>
              </w:rPr>
            </w:pPr>
          </w:p>
        </w:tc>
        <w:tc>
          <w:tcPr>
            <w:tcW w:w="2346" w:type="pct"/>
          </w:tcPr>
          <w:p w:rsidR="001C5F86" w:rsidRPr="00C770E0" w:rsidRDefault="001C5F86" w:rsidP="00F66694">
            <w:pPr>
              <w:jc w:val="both"/>
              <w:rPr>
                <w:rFonts w:eastAsia="Calibri"/>
                <w:sz w:val="20"/>
                <w:lang w:val="fr-CA"/>
              </w:rPr>
            </w:pPr>
            <w:r w:rsidRPr="00C770E0">
              <w:rPr>
                <w:rFonts w:eastAsia="Calibri"/>
                <w:sz w:val="20"/>
                <w:lang w:val="fr-CA"/>
              </w:rPr>
              <w:t>Appel rejeté</w:t>
            </w:r>
          </w:p>
          <w:p w:rsidR="001C5F86" w:rsidRPr="00C770E0" w:rsidRDefault="001C5F86" w:rsidP="00F66694">
            <w:pPr>
              <w:jc w:val="both"/>
              <w:rPr>
                <w:rFonts w:eastAsia="Calibri"/>
                <w:sz w:val="20"/>
                <w:lang w:val="fr-CA"/>
              </w:rPr>
            </w:pPr>
          </w:p>
        </w:tc>
      </w:tr>
      <w:tr w:rsidR="001C5F86" w:rsidRPr="00C770E0" w:rsidTr="00F66694">
        <w:tc>
          <w:tcPr>
            <w:tcW w:w="2427" w:type="pct"/>
          </w:tcPr>
          <w:p w:rsidR="001C5F86" w:rsidRPr="00C770E0" w:rsidRDefault="001C5F86" w:rsidP="00F66694">
            <w:pPr>
              <w:jc w:val="both"/>
              <w:rPr>
                <w:rFonts w:eastAsia="Calibri"/>
                <w:sz w:val="20"/>
                <w:lang w:val="fr-CA"/>
              </w:rPr>
            </w:pPr>
            <w:r w:rsidRPr="00C770E0">
              <w:rPr>
                <w:rFonts w:eastAsia="Calibri"/>
                <w:sz w:val="20"/>
                <w:lang w:val="fr-CA"/>
              </w:rPr>
              <w:t>4 mars 2014</w:t>
            </w:r>
          </w:p>
          <w:p w:rsidR="001C5F86" w:rsidRPr="00C770E0" w:rsidRDefault="001C5F86" w:rsidP="00F66694">
            <w:pPr>
              <w:jc w:val="both"/>
              <w:rPr>
                <w:rFonts w:eastAsia="Calibri"/>
                <w:sz w:val="20"/>
                <w:lang w:val="fr-CA"/>
              </w:rPr>
            </w:pPr>
            <w:r w:rsidRPr="00C770E0">
              <w:rPr>
                <w:rFonts w:eastAsia="Calibri"/>
                <w:sz w:val="20"/>
                <w:lang w:val="fr-CA"/>
              </w:rPr>
              <w:t>Cour suprême du Canada</w:t>
            </w:r>
          </w:p>
        </w:tc>
        <w:tc>
          <w:tcPr>
            <w:tcW w:w="227" w:type="pct"/>
          </w:tcPr>
          <w:p w:rsidR="001C5F86" w:rsidRPr="00C770E0" w:rsidRDefault="001C5F86" w:rsidP="00F66694">
            <w:pPr>
              <w:jc w:val="both"/>
              <w:rPr>
                <w:rFonts w:eastAsia="Calibri"/>
                <w:sz w:val="20"/>
                <w:lang w:val="fr-CA"/>
              </w:rPr>
            </w:pPr>
          </w:p>
        </w:tc>
        <w:tc>
          <w:tcPr>
            <w:tcW w:w="2346" w:type="pct"/>
          </w:tcPr>
          <w:p w:rsidR="001C5F86" w:rsidRPr="00C770E0" w:rsidRDefault="001C5F86" w:rsidP="00F66694">
            <w:pPr>
              <w:jc w:val="both"/>
              <w:rPr>
                <w:rFonts w:eastAsia="Calibri"/>
                <w:sz w:val="20"/>
                <w:lang w:val="fr-CA"/>
              </w:rPr>
            </w:pPr>
            <w:r w:rsidRPr="00C770E0">
              <w:rPr>
                <w:rFonts w:eastAsia="Calibri"/>
                <w:sz w:val="20"/>
                <w:lang w:val="fr-CA"/>
              </w:rPr>
              <w:t>Demande d’autorisation d’appel, déposée</w:t>
            </w:r>
          </w:p>
          <w:p w:rsidR="001C5F86" w:rsidRPr="00C770E0" w:rsidRDefault="001C5F86" w:rsidP="00F66694">
            <w:pPr>
              <w:jc w:val="both"/>
              <w:rPr>
                <w:rFonts w:eastAsia="Calibri"/>
                <w:sz w:val="20"/>
                <w:lang w:val="fr-CA"/>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72" style="width:2in;height:1pt" o:hrpct="0" o:hralign="center" o:hrstd="t" o:hrnoshade="t" o:hr="t" fillcolor="black [3213]" stroked="f"/>
        </w:pict>
      </w:r>
    </w:p>
    <w:p w:rsidR="0096146C" w:rsidRDefault="0096146C" w:rsidP="0096146C">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35756</w:t>
            </w:r>
          </w:p>
          <w:p w:rsidR="00874764" w:rsidRPr="00874764" w:rsidRDefault="00874764" w:rsidP="00874764">
            <w:pPr>
              <w:rPr>
                <w:b/>
                <w:sz w:val="20"/>
                <w:lang w:val="fr-CA"/>
              </w:rPr>
            </w:pPr>
          </w:p>
        </w:tc>
        <w:tc>
          <w:tcPr>
            <w:tcW w:w="8118" w:type="dxa"/>
          </w:tcPr>
          <w:p w:rsidR="00874764" w:rsidRPr="00874764" w:rsidRDefault="00874764" w:rsidP="00874764">
            <w:pPr>
              <w:rPr>
                <w:sz w:val="20"/>
              </w:rPr>
            </w:pPr>
            <w:r w:rsidRPr="00874764">
              <w:rPr>
                <w:b/>
                <w:sz w:val="20"/>
                <w:u w:val="single"/>
              </w:rPr>
              <w:t>Kathryn Kossow v. Her Majesty the Queen</w:t>
            </w:r>
            <w:r w:rsidRPr="00874764">
              <w:rPr>
                <w:sz w:val="20"/>
              </w:rPr>
              <w:t xml:space="preserve"> (F.C.) (Civil) (By Leave)</w:t>
            </w:r>
          </w:p>
          <w:p w:rsidR="00874764" w:rsidRPr="00874764" w:rsidRDefault="00874764" w:rsidP="00874764">
            <w:pPr>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LeBel, Karakatsanis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motion for an extension of time to serve and file the application for leave to appeal is granted. The application for leave to appeal from the judgment of the Federal Court of Appeal, Number A-442-12, 2013 FCA 283, dated December 6, 2013, is dismissed with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requête en prorogation du délai de signification et de dépôt de la demande d’autorisation d’appel est accueillie. La demande d’autorisation d’appel de l’arrêt de la Cour d’appel fédérale, numéro A-442-12, 2013 CAF 283, daté du 6 décembre 2013, est rejetée avec dépens.</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AB6" w:rsidRPr="00D21141" w:rsidTr="00F66694">
        <w:tc>
          <w:tcPr>
            <w:tcW w:w="5000" w:type="pct"/>
            <w:gridSpan w:val="3"/>
          </w:tcPr>
          <w:p w:rsidR="000B7AB6" w:rsidRPr="00D21141" w:rsidRDefault="000B7AB6" w:rsidP="00F66694">
            <w:pPr>
              <w:jc w:val="both"/>
              <w:rPr>
                <w:rFonts w:eastAsia="Calibri"/>
                <w:sz w:val="20"/>
              </w:rPr>
            </w:pPr>
            <w:r w:rsidRPr="00D21141">
              <w:rPr>
                <w:rFonts w:eastAsia="Calibri"/>
                <w:sz w:val="20"/>
              </w:rPr>
              <w:t>Taxation — Income Tax — Assessments — Tax credits for gifts made to registered charities and other qualified organizations — Whether the courts below erred in finding that the applicant’s donations were vitiated by the long</w:t>
            </w:r>
            <w:r w:rsidRPr="00D21141">
              <w:rPr>
                <w:rFonts w:eastAsia="Calibri"/>
                <w:sz w:val="20"/>
              </w:rPr>
              <w:noBreakHyphen/>
              <w:t>term interest</w:t>
            </w:r>
            <w:r w:rsidRPr="00D21141">
              <w:rPr>
                <w:rFonts w:eastAsia="Calibri"/>
                <w:sz w:val="20"/>
              </w:rPr>
              <w:noBreakHyphen/>
              <w:t xml:space="preserve">free loans she received to top up her donations — </w:t>
            </w:r>
            <w:r w:rsidRPr="00D21141">
              <w:rPr>
                <w:rFonts w:eastAsia="Calibri"/>
                <w:i/>
                <w:sz w:val="20"/>
              </w:rPr>
              <w:t>Income Tax Act</w:t>
            </w:r>
            <w:r w:rsidRPr="00D21141">
              <w:rPr>
                <w:rFonts w:eastAsia="Calibri"/>
                <w:sz w:val="20"/>
              </w:rPr>
              <w:t>, R.S.C. 1985, c. 1 (5</w:t>
            </w:r>
            <w:r w:rsidRPr="00D21141">
              <w:rPr>
                <w:rFonts w:eastAsia="Calibri"/>
                <w:sz w:val="20"/>
                <w:vertAlign w:val="superscript"/>
              </w:rPr>
              <w:t>th</w:t>
            </w:r>
            <w:r w:rsidRPr="00D21141">
              <w:rPr>
                <w:rFonts w:eastAsia="Calibri"/>
                <w:sz w:val="20"/>
              </w:rPr>
              <w:t xml:space="preserve"> Suppl.), s. 118.1.</w:t>
            </w:r>
          </w:p>
        </w:tc>
      </w:tr>
      <w:tr w:rsidR="000B7AB6" w:rsidRPr="00D21141" w:rsidTr="00F66694">
        <w:tc>
          <w:tcPr>
            <w:tcW w:w="5000" w:type="pct"/>
            <w:gridSpan w:val="3"/>
          </w:tcPr>
          <w:p w:rsidR="000B7AB6" w:rsidRPr="00D21141" w:rsidRDefault="000B7AB6" w:rsidP="00F66694">
            <w:pPr>
              <w:jc w:val="both"/>
              <w:rPr>
                <w:rFonts w:eastAsia="Calibri"/>
                <w:sz w:val="20"/>
              </w:rPr>
            </w:pPr>
          </w:p>
        </w:tc>
      </w:tr>
      <w:tr w:rsidR="000B7AB6" w:rsidRPr="00D21141" w:rsidTr="00F66694">
        <w:tc>
          <w:tcPr>
            <w:tcW w:w="5000" w:type="pct"/>
            <w:gridSpan w:val="3"/>
          </w:tcPr>
          <w:p w:rsidR="000B7AB6" w:rsidRPr="00D21141" w:rsidRDefault="000B7AB6" w:rsidP="00F66694">
            <w:pPr>
              <w:jc w:val="both"/>
              <w:rPr>
                <w:rFonts w:eastAsia="Calibri"/>
                <w:sz w:val="20"/>
              </w:rPr>
            </w:pPr>
            <w:r w:rsidRPr="00D21141">
              <w:rPr>
                <w:rFonts w:eastAsia="Calibri"/>
                <w:sz w:val="20"/>
              </w:rPr>
              <w:t>The applicant, Ms. Kossow, participated in a leveraged charitable donation program by which money was used to finance the purchase of art for a registered charity.  The donation program allowed Ms. Kossow to combine her own money with the proceeds of long</w:t>
            </w:r>
            <w:r w:rsidRPr="00D21141">
              <w:rPr>
                <w:rFonts w:eastAsia="Calibri"/>
                <w:sz w:val="20"/>
              </w:rPr>
              <w:noBreakHyphen/>
              <w:t>term, interest</w:t>
            </w:r>
            <w:r w:rsidRPr="00D21141">
              <w:rPr>
                <w:rFonts w:eastAsia="Calibri"/>
                <w:sz w:val="20"/>
              </w:rPr>
              <w:noBreakHyphen/>
              <w:t xml:space="preserve">free loans to make payments to the charity.  The Tax Court found that she was able to transfer $50,000.00, $60,000.00 and $50,000.00 to the charity by using only $17,000.00, $20,400.00 and $17,000.00 of her own money in the years 2000, 2001 and 2002 respectively.  Ms. Kossow claimed income tax credits for the relevant years based on payments made to the charity, but the Minister of National Revenue issued reassessments against her in which the claims were denied.  Ms. Kossow appealed the reassessments, but was unsuccessful.  She then appealed to the Federal Court of Appeal.  The Court dismissed her appeal, finding, among other things, that the Tax Court was right to have concluded that Ms. Kossow had not made any “gifts”, as that term is understood by the jurisprudence and s. 118.1 of the </w:t>
            </w:r>
            <w:r w:rsidRPr="00D21141">
              <w:rPr>
                <w:rFonts w:eastAsia="Calibri"/>
                <w:i/>
                <w:sz w:val="20"/>
              </w:rPr>
              <w:t>Income Tax Act</w:t>
            </w:r>
            <w:r w:rsidRPr="00D21141">
              <w:rPr>
                <w:rFonts w:eastAsia="Calibri"/>
                <w:sz w:val="20"/>
              </w:rPr>
              <w:t>.  Indeed, the Court explained that a long</w:t>
            </w:r>
            <w:r w:rsidRPr="00D21141">
              <w:rPr>
                <w:rFonts w:eastAsia="Calibri"/>
                <w:sz w:val="20"/>
              </w:rPr>
              <w:noBreakHyphen/>
              <w:t>term interest</w:t>
            </w:r>
            <w:r w:rsidRPr="00D21141">
              <w:rPr>
                <w:rFonts w:eastAsia="Calibri"/>
                <w:sz w:val="20"/>
              </w:rPr>
              <w:noBreakHyphen/>
              <w:t xml:space="preserve">free loan is a significant financial benefit to the recipient, and that a material benefit received in return for making a gift will vitiate the gift, whether the benefit comes from the donee or another person.  In this case, the benefit </w:t>
            </w:r>
            <w:r w:rsidRPr="00D21141">
              <w:rPr>
                <w:rFonts w:eastAsia="Calibri"/>
                <w:sz w:val="20"/>
              </w:rPr>
              <w:lastRenderedPageBreak/>
              <w:t>of the loans to Ms. Kossow were such that Ms. Kossow’s charitable gifts were vitiated.</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lastRenderedPageBreak/>
              <w:t>September 14, 2012</w:t>
            </w:r>
          </w:p>
          <w:p w:rsidR="000B7AB6" w:rsidRPr="00D21141" w:rsidRDefault="000B7AB6" w:rsidP="00F66694">
            <w:pPr>
              <w:jc w:val="both"/>
              <w:rPr>
                <w:rFonts w:eastAsia="Calibri"/>
                <w:sz w:val="20"/>
              </w:rPr>
            </w:pPr>
            <w:r w:rsidRPr="00D21141">
              <w:rPr>
                <w:rFonts w:eastAsia="Calibri"/>
                <w:sz w:val="20"/>
              </w:rPr>
              <w:t>Tax Court of Canada</w:t>
            </w:r>
          </w:p>
          <w:p w:rsidR="000B7AB6" w:rsidRPr="00D21141" w:rsidRDefault="000B7AB6" w:rsidP="00F66694">
            <w:pPr>
              <w:jc w:val="both"/>
              <w:rPr>
                <w:rFonts w:eastAsia="Calibri"/>
                <w:sz w:val="20"/>
              </w:rPr>
            </w:pPr>
            <w:r w:rsidRPr="00D21141">
              <w:rPr>
                <w:rFonts w:eastAsia="Calibri"/>
                <w:sz w:val="20"/>
              </w:rPr>
              <w:t>(Miller J.)</w:t>
            </w:r>
          </w:p>
          <w:p w:rsidR="000B7AB6" w:rsidRPr="00D21141" w:rsidRDefault="00F27688" w:rsidP="00F66694">
            <w:pPr>
              <w:jc w:val="both"/>
              <w:rPr>
                <w:rFonts w:eastAsia="Calibri"/>
                <w:sz w:val="20"/>
              </w:rPr>
            </w:pPr>
            <w:hyperlink r:id="rId63" w:history="1">
              <w:r w:rsidR="000B7AB6" w:rsidRPr="007A481A">
                <w:rPr>
                  <w:rFonts w:eastAsia="Calibri"/>
                  <w:color w:val="0000FF"/>
                  <w:sz w:val="20"/>
                  <w:u w:val="single"/>
                </w:rPr>
                <w:t>2012 TCC 325</w:t>
              </w:r>
            </w:hyperlink>
          </w:p>
          <w:p w:rsidR="000B7AB6" w:rsidRPr="00D21141" w:rsidRDefault="000B7AB6" w:rsidP="00F66694">
            <w:pPr>
              <w:jc w:val="both"/>
              <w:rPr>
                <w:rFonts w:eastAsia="Calibri"/>
                <w:sz w:val="20"/>
              </w:rPr>
            </w:pP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 xml:space="preserve">Appeal from reassessments made under the </w:t>
            </w:r>
            <w:r w:rsidRPr="00D21141">
              <w:rPr>
                <w:rFonts w:eastAsia="Calibri"/>
                <w:i/>
                <w:sz w:val="20"/>
              </w:rPr>
              <w:t>Income Tax Act</w:t>
            </w:r>
            <w:r w:rsidRPr="00D21141">
              <w:rPr>
                <w:rFonts w:eastAsia="Calibri"/>
                <w:sz w:val="20"/>
              </w:rPr>
              <w:t xml:space="preserve"> for years 2000, 2001 and 2002 dismissed</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t>December 6, 2013</w:t>
            </w:r>
          </w:p>
          <w:p w:rsidR="000B7AB6" w:rsidRPr="00D21141" w:rsidRDefault="000B7AB6" w:rsidP="00F66694">
            <w:pPr>
              <w:jc w:val="both"/>
              <w:rPr>
                <w:rFonts w:eastAsia="Calibri"/>
                <w:sz w:val="20"/>
              </w:rPr>
            </w:pPr>
            <w:r w:rsidRPr="00D21141">
              <w:rPr>
                <w:rFonts w:eastAsia="Calibri"/>
                <w:sz w:val="20"/>
              </w:rPr>
              <w:t>Federal Court of Appeal</w:t>
            </w:r>
          </w:p>
          <w:p w:rsidR="000B7AB6" w:rsidRPr="00D21141" w:rsidRDefault="000B7AB6" w:rsidP="00F66694">
            <w:pPr>
              <w:jc w:val="both"/>
              <w:rPr>
                <w:rFonts w:eastAsia="Calibri"/>
                <w:sz w:val="20"/>
              </w:rPr>
            </w:pPr>
            <w:r w:rsidRPr="00D21141">
              <w:rPr>
                <w:rFonts w:eastAsia="Calibri"/>
                <w:sz w:val="20"/>
              </w:rPr>
              <w:t>(Evans, Gauthier and Near JJ.A.)</w:t>
            </w:r>
          </w:p>
          <w:p w:rsidR="000B7AB6" w:rsidRPr="00D21141" w:rsidRDefault="00F27688" w:rsidP="00F66694">
            <w:pPr>
              <w:jc w:val="both"/>
              <w:rPr>
                <w:rFonts w:eastAsia="Calibri"/>
                <w:sz w:val="20"/>
              </w:rPr>
            </w:pPr>
            <w:hyperlink r:id="rId64" w:history="1">
              <w:r w:rsidR="000B7AB6" w:rsidRPr="007A481A">
                <w:rPr>
                  <w:rFonts w:eastAsia="Calibri"/>
                  <w:color w:val="0000FF"/>
                  <w:sz w:val="20"/>
                  <w:u w:val="single"/>
                </w:rPr>
                <w:t>2013 FCA 283</w:t>
              </w:r>
            </w:hyperlink>
          </w:p>
          <w:p w:rsidR="000B7AB6" w:rsidRPr="00D21141" w:rsidRDefault="000B7AB6" w:rsidP="00F66694">
            <w:pPr>
              <w:jc w:val="both"/>
              <w:rPr>
                <w:rFonts w:eastAsia="Calibri"/>
                <w:sz w:val="20"/>
              </w:rPr>
            </w:pP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 xml:space="preserve">Appeal dismissed </w:t>
            </w: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t>March 7, 2014</w:t>
            </w:r>
          </w:p>
          <w:p w:rsidR="000B7AB6" w:rsidRPr="00D21141" w:rsidRDefault="000B7AB6" w:rsidP="00F66694">
            <w:pPr>
              <w:jc w:val="both"/>
              <w:rPr>
                <w:rFonts w:eastAsia="Calibri"/>
                <w:sz w:val="20"/>
              </w:rPr>
            </w:pPr>
            <w:r w:rsidRPr="00D21141">
              <w:rPr>
                <w:rFonts w:eastAsia="Calibri"/>
                <w:sz w:val="20"/>
              </w:rPr>
              <w:t>Supreme Court of Canada</w:t>
            </w: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Motion for extension of time to file and serve application for leave to appeal and 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73"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AB6" w:rsidRPr="00FA68AD" w:rsidTr="00F66694">
        <w:tc>
          <w:tcPr>
            <w:tcW w:w="5000" w:type="pct"/>
            <w:gridSpan w:val="3"/>
          </w:tcPr>
          <w:p w:rsidR="000B7AB6" w:rsidRPr="00D21141" w:rsidRDefault="000B7AB6" w:rsidP="00F66694">
            <w:pPr>
              <w:jc w:val="both"/>
              <w:rPr>
                <w:rFonts w:eastAsia="Calibri"/>
                <w:sz w:val="20"/>
                <w:lang w:val="fr-CA"/>
              </w:rPr>
            </w:pPr>
            <w:r w:rsidRPr="00D21141">
              <w:rPr>
                <w:rFonts w:eastAsia="Calibri"/>
                <w:sz w:val="20"/>
                <w:lang w:val="fr-CA"/>
              </w:rPr>
              <w:t>Droit fiscal – Impôt sur le revenu – Cotisations – Crédits d'impôt pour les dons faits à des organismes de bienfaisance enregistrés et à d'autres organismes admissibles – Les juridictions inférieures ont</w:t>
            </w:r>
            <w:r w:rsidRPr="00D21141">
              <w:rPr>
                <w:rFonts w:eastAsia="Calibri"/>
                <w:sz w:val="20"/>
                <w:lang w:val="fr-CA"/>
              </w:rPr>
              <w:noBreakHyphen/>
              <w:t xml:space="preserve">elles eu tort de conclure que les dons faits par la demanderesse avaient été viciés par les prêts à long terme sans intérêt qu’elle avait obtenus pour accroître ses dons? – </w:t>
            </w:r>
            <w:r w:rsidRPr="00D21141">
              <w:rPr>
                <w:rFonts w:eastAsia="Calibri"/>
                <w:i/>
                <w:sz w:val="20"/>
                <w:lang w:val="fr-CA"/>
              </w:rPr>
              <w:t>Loi de l’impôt sur le revenu</w:t>
            </w:r>
            <w:r w:rsidRPr="00D21141">
              <w:rPr>
                <w:rFonts w:eastAsia="Calibri"/>
                <w:sz w:val="20"/>
                <w:lang w:val="fr-CA"/>
              </w:rPr>
              <w:t>, L.R.C. 1985, ch. 1 (5</w:t>
            </w:r>
            <w:r w:rsidRPr="00D21141">
              <w:rPr>
                <w:rFonts w:eastAsia="Calibri"/>
                <w:sz w:val="20"/>
                <w:vertAlign w:val="superscript"/>
                <w:lang w:val="fr-CA"/>
              </w:rPr>
              <w:t>e</w:t>
            </w:r>
            <w:r w:rsidRPr="00D21141">
              <w:rPr>
                <w:rFonts w:eastAsia="Calibri"/>
                <w:sz w:val="20"/>
                <w:lang w:val="fr-CA"/>
              </w:rPr>
              <w:t xml:space="preserve"> suppl.), art. 118.1.</w:t>
            </w:r>
          </w:p>
        </w:tc>
      </w:tr>
      <w:tr w:rsidR="000B7AB6" w:rsidRPr="00FA68AD" w:rsidTr="00F66694">
        <w:tc>
          <w:tcPr>
            <w:tcW w:w="5000" w:type="pct"/>
            <w:gridSpan w:val="3"/>
          </w:tcPr>
          <w:p w:rsidR="000B7AB6" w:rsidRPr="00D21141" w:rsidRDefault="000B7AB6" w:rsidP="00F66694">
            <w:pPr>
              <w:jc w:val="both"/>
              <w:rPr>
                <w:rFonts w:eastAsia="Calibri"/>
                <w:sz w:val="20"/>
                <w:lang w:val="fr-CA"/>
              </w:rPr>
            </w:pPr>
          </w:p>
        </w:tc>
      </w:tr>
      <w:tr w:rsidR="000B7AB6" w:rsidRPr="00FA68AD" w:rsidTr="00F66694">
        <w:tc>
          <w:tcPr>
            <w:tcW w:w="5000" w:type="pct"/>
            <w:gridSpan w:val="3"/>
          </w:tcPr>
          <w:p w:rsidR="000B7AB6" w:rsidRPr="00D21141" w:rsidRDefault="000B7AB6" w:rsidP="00F66694">
            <w:pPr>
              <w:jc w:val="both"/>
              <w:rPr>
                <w:rFonts w:eastAsia="Calibri"/>
                <w:sz w:val="20"/>
                <w:lang w:val="fr-CA"/>
              </w:rPr>
            </w:pPr>
            <w:r w:rsidRPr="00D21141">
              <w:rPr>
                <w:rFonts w:eastAsia="Calibri"/>
                <w:sz w:val="20"/>
                <w:lang w:val="fr-CA"/>
              </w:rPr>
              <w:t xml:space="preserve">La demanderesse, Mme Kossow, a participé à un programme de dons de bienfaisance financés par emprunt par lequel l'argent versé servait à financer l'achat d'œuvres d'art pour un organisme de bienfaisance enregistré.  Le programme de dons permettait à Mme Kossow de mettre en commun son propre argent avec le produit de prêts à long terme sans intérêt pour faire des paiements à l’organisme de bienfaisance.  La Cour de l’impôt a conclu qu’elle a pu transférer à l’organisme de bienfaisance, en 2000, en 2001 et en 2002 respectivement, 50 000 $, 60 000 $ et 50 000 $ en n’avançant que 17 000 $, 20 400 $ et 17 000 $ de ses propres fonds.  Madame Kossow a demandé des crédits d’impôt sur le revenu pour les années pertinentes pour les paiements effectués à l’organisme de bienfaisance, mais le ministre du Revenu national a établi des nouvelles cotisations à son égard dans lesquelles les demandes ont été refusées.  Madame Kossow a interjeté appel des nouvelles cotisations, mais elle a été déboutée.  Elle a ensuite interjeté appel à la Cour d’appel fédérale.  La Cour a rejeté son appel, concluant notamment que la Cour de l’impôt avait eu raison de conclure que Mme Kossow n’avait pas fait de « don », au sens donné à ce terme dans la jurisprudence et à l’art. 118.1 de la </w:t>
            </w:r>
            <w:r w:rsidRPr="00D21141">
              <w:rPr>
                <w:rFonts w:eastAsia="Calibri"/>
                <w:i/>
                <w:sz w:val="20"/>
                <w:lang w:val="fr-CA"/>
              </w:rPr>
              <w:t>Loi de l’impôt sur le revenu</w:t>
            </w:r>
            <w:r w:rsidRPr="00D21141">
              <w:rPr>
                <w:rFonts w:eastAsia="Calibri"/>
                <w:sz w:val="20"/>
                <w:lang w:val="fr-CA"/>
              </w:rPr>
              <w:t>.  En effet, la Cour a expliqué qu’un prêt à long terme sans intérêt constituait un avantage financier important pour le bénéficiaire et qu’un avantage substantiel obtenu en échange d'une donation la vicie, que l'avantage provienne du donataire ou encore d'un tiers.  En l’espèce, l’avantage que les prêts donnaient à Mme Kossow était tel que les dons de bienfaisance de Mme Kossow étaient viciés.</w:t>
            </w:r>
          </w:p>
          <w:p w:rsidR="000B7AB6" w:rsidRPr="00D21141" w:rsidRDefault="000B7AB6" w:rsidP="00F66694">
            <w:pPr>
              <w:jc w:val="both"/>
              <w:rPr>
                <w:rFonts w:eastAsia="Calibri"/>
                <w:sz w:val="20"/>
                <w:lang w:val="fr-CA"/>
              </w:rPr>
            </w:pPr>
          </w:p>
        </w:tc>
      </w:tr>
      <w:tr w:rsidR="000B7AB6" w:rsidRPr="00FA68AD"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t>14 septembre 2012</w:t>
            </w:r>
          </w:p>
          <w:p w:rsidR="000B7AB6" w:rsidRPr="00D21141" w:rsidRDefault="000B7AB6" w:rsidP="00F66694">
            <w:pPr>
              <w:jc w:val="both"/>
              <w:rPr>
                <w:rFonts w:eastAsia="Calibri"/>
                <w:sz w:val="20"/>
                <w:lang w:val="fr-CA"/>
              </w:rPr>
            </w:pPr>
            <w:r w:rsidRPr="00D21141">
              <w:rPr>
                <w:rFonts w:eastAsia="Calibri"/>
                <w:sz w:val="20"/>
                <w:lang w:val="fr-CA"/>
              </w:rPr>
              <w:t>Cour canadienne de l’impôt</w:t>
            </w:r>
          </w:p>
          <w:p w:rsidR="000B7AB6" w:rsidRPr="00D21141" w:rsidRDefault="000B7AB6" w:rsidP="00F66694">
            <w:pPr>
              <w:jc w:val="both"/>
              <w:rPr>
                <w:rFonts w:eastAsia="Calibri"/>
                <w:sz w:val="20"/>
                <w:lang w:val="fr-CA"/>
              </w:rPr>
            </w:pPr>
            <w:r w:rsidRPr="00D21141">
              <w:rPr>
                <w:rFonts w:eastAsia="Calibri"/>
                <w:sz w:val="20"/>
                <w:lang w:val="fr-CA"/>
              </w:rPr>
              <w:t>(Juge Miller)</w:t>
            </w:r>
          </w:p>
          <w:p w:rsidR="000B7AB6" w:rsidRPr="00D21141" w:rsidRDefault="00F27688" w:rsidP="00F66694">
            <w:pPr>
              <w:jc w:val="both"/>
              <w:rPr>
                <w:rFonts w:eastAsia="Calibri"/>
                <w:sz w:val="20"/>
                <w:lang w:val="fr-CA"/>
              </w:rPr>
            </w:pPr>
            <w:hyperlink r:id="rId65" w:history="1">
              <w:r w:rsidR="000B7AB6" w:rsidRPr="007A481A">
                <w:rPr>
                  <w:rFonts w:eastAsia="Calibri"/>
                  <w:color w:val="0000FF"/>
                  <w:sz w:val="20"/>
                  <w:u w:val="single"/>
                  <w:lang w:val="fr-CA"/>
                </w:rPr>
                <w:t>2012 TCC 325</w:t>
              </w:r>
            </w:hyperlink>
          </w:p>
          <w:p w:rsidR="000B7AB6" w:rsidRPr="00D21141" w:rsidRDefault="000B7AB6" w:rsidP="00F66694">
            <w:pPr>
              <w:jc w:val="both"/>
              <w:rPr>
                <w:rFonts w:eastAsia="Calibri"/>
                <w:sz w:val="20"/>
                <w:lang w:val="fr-CA"/>
              </w:rPr>
            </w:pPr>
          </w:p>
        </w:tc>
        <w:tc>
          <w:tcPr>
            <w:tcW w:w="243" w:type="pct"/>
          </w:tcPr>
          <w:p w:rsidR="000B7AB6" w:rsidRPr="00D21141" w:rsidRDefault="000B7AB6" w:rsidP="00F66694">
            <w:pPr>
              <w:jc w:val="both"/>
              <w:rPr>
                <w:rFonts w:eastAsia="Calibri"/>
                <w:sz w:val="20"/>
                <w:lang w:val="fr-CA"/>
              </w:rPr>
            </w:pPr>
          </w:p>
        </w:tc>
        <w:tc>
          <w:tcPr>
            <w:tcW w:w="2330" w:type="pct"/>
          </w:tcPr>
          <w:p w:rsidR="000B7AB6" w:rsidRPr="00D21141" w:rsidRDefault="000B7AB6" w:rsidP="00F66694">
            <w:pPr>
              <w:jc w:val="both"/>
              <w:rPr>
                <w:rFonts w:eastAsia="Calibri"/>
                <w:sz w:val="20"/>
                <w:lang w:val="fr-CA"/>
              </w:rPr>
            </w:pPr>
            <w:r w:rsidRPr="00D21141">
              <w:rPr>
                <w:rFonts w:eastAsia="Calibri"/>
                <w:sz w:val="20"/>
                <w:lang w:val="fr-CA"/>
              </w:rPr>
              <w:t xml:space="preserve">Appel de nouvelles cotisations établies en application de la </w:t>
            </w:r>
            <w:r w:rsidRPr="00D21141">
              <w:rPr>
                <w:rFonts w:eastAsia="Calibri"/>
                <w:i/>
                <w:sz w:val="20"/>
                <w:lang w:val="fr-CA"/>
              </w:rPr>
              <w:t>Loi de l’impôt sur le revenu</w:t>
            </w:r>
            <w:r w:rsidRPr="00D21141">
              <w:rPr>
                <w:rFonts w:eastAsia="Calibri"/>
                <w:sz w:val="20"/>
                <w:lang w:val="fr-CA"/>
              </w:rPr>
              <w:t xml:space="preserve"> pour les années 2000, 2001 et 2002, rejeté</w:t>
            </w:r>
          </w:p>
          <w:p w:rsidR="000B7AB6" w:rsidRPr="00D21141" w:rsidRDefault="000B7AB6" w:rsidP="00F66694">
            <w:pPr>
              <w:jc w:val="both"/>
              <w:rPr>
                <w:rFonts w:eastAsia="Calibri"/>
                <w:sz w:val="20"/>
                <w:lang w:val="fr-CA"/>
              </w:rPr>
            </w:pPr>
          </w:p>
        </w:tc>
      </w:tr>
      <w:tr w:rsidR="000B7AB6" w:rsidRPr="00D21141"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t>6 décembre 2013</w:t>
            </w:r>
          </w:p>
          <w:p w:rsidR="000B7AB6" w:rsidRPr="00D21141" w:rsidRDefault="000B7AB6" w:rsidP="00F66694">
            <w:pPr>
              <w:jc w:val="both"/>
              <w:rPr>
                <w:rFonts w:eastAsia="Calibri"/>
                <w:sz w:val="20"/>
                <w:lang w:val="fr-CA"/>
              </w:rPr>
            </w:pPr>
            <w:r w:rsidRPr="00D21141">
              <w:rPr>
                <w:rFonts w:eastAsia="Calibri"/>
                <w:sz w:val="20"/>
                <w:lang w:val="fr-CA"/>
              </w:rPr>
              <w:t>Cour d’appel fédérale</w:t>
            </w:r>
          </w:p>
          <w:p w:rsidR="000B7AB6" w:rsidRPr="00D21141" w:rsidRDefault="000B7AB6" w:rsidP="00F66694">
            <w:pPr>
              <w:jc w:val="both"/>
              <w:rPr>
                <w:rFonts w:eastAsia="Calibri"/>
                <w:sz w:val="20"/>
                <w:lang w:val="fr-CA"/>
              </w:rPr>
            </w:pPr>
            <w:r w:rsidRPr="00D21141">
              <w:rPr>
                <w:rFonts w:eastAsia="Calibri"/>
                <w:sz w:val="20"/>
                <w:lang w:val="fr-CA"/>
              </w:rPr>
              <w:t>(Juges Evans, Gauthier et Near)</w:t>
            </w:r>
          </w:p>
          <w:p w:rsidR="000B7AB6" w:rsidRPr="00D21141" w:rsidRDefault="00F27688" w:rsidP="00F66694">
            <w:pPr>
              <w:jc w:val="both"/>
              <w:rPr>
                <w:rFonts w:eastAsia="Calibri"/>
                <w:sz w:val="20"/>
                <w:lang w:val="fr-CA"/>
              </w:rPr>
            </w:pPr>
            <w:hyperlink r:id="rId66" w:history="1">
              <w:r w:rsidR="000B7AB6" w:rsidRPr="007A481A">
                <w:rPr>
                  <w:rFonts w:eastAsia="Calibri"/>
                  <w:color w:val="0000FF"/>
                  <w:sz w:val="20"/>
                  <w:u w:val="single"/>
                  <w:lang w:val="fr-CA"/>
                </w:rPr>
                <w:t>2013 FCA 283</w:t>
              </w:r>
            </w:hyperlink>
          </w:p>
          <w:p w:rsidR="000B7AB6" w:rsidRPr="00D21141" w:rsidRDefault="000B7AB6" w:rsidP="00F66694">
            <w:pPr>
              <w:jc w:val="both"/>
              <w:rPr>
                <w:rFonts w:eastAsia="Calibri"/>
                <w:sz w:val="20"/>
                <w:lang w:val="fr-CA"/>
              </w:rPr>
            </w:pPr>
          </w:p>
        </w:tc>
        <w:tc>
          <w:tcPr>
            <w:tcW w:w="243" w:type="pct"/>
          </w:tcPr>
          <w:p w:rsidR="000B7AB6" w:rsidRPr="00D21141" w:rsidRDefault="000B7AB6" w:rsidP="00F66694">
            <w:pPr>
              <w:jc w:val="both"/>
              <w:rPr>
                <w:rFonts w:eastAsia="Calibri"/>
                <w:sz w:val="20"/>
                <w:lang w:val="fr-CA"/>
              </w:rPr>
            </w:pPr>
          </w:p>
        </w:tc>
        <w:tc>
          <w:tcPr>
            <w:tcW w:w="2330" w:type="pct"/>
          </w:tcPr>
          <w:p w:rsidR="000B7AB6" w:rsidRPr="00D21141" w:rsidRDefault="000B7AB6" w:rsidP="00F66694">
            <w:pPr>
              <w:jc w:val="both"/>
              <w:rPr>
                <w:rFonts w:eastAsia="Calibri"/>
                <w:sz w:val="20"/>
                <w:lang w:val="fr-CA"/>
              </w:rPr>
            </w:pPr>
            <w:r w:rsidRPr="00D21141">
              <w:rPr>
                <w:rFonts w:eastAsia="Calibri"/>
                <w:sz w:val="20"/>
                <w:lang w:val="fr-CA"/>
              </w:rPr>
              <w:t xml:space="preserve">Appel rejeté </w:t>
            </w:r>
          </w:p>
        </w:tc>
      </w:tr>
      <w:tr w:rsidR="000B7AB6" w:rsidRPr="00FA68AD"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lastRenderedPageBreak/>
              <w:t>7 mars 2014</w:t>
            </w:r>
          </w:p>
          <w:p w:rsidR="000B7AB6" w:rsidRPr="00D21141" w:rsidRDefault="000B7AB6" w:rsidP="00F66694">
            <w:pPr>
              <w:jc w:val="both"/>
              <w:rPr>
                <w:rFonts w:eastAsia="Calibri"/>
                <w:sz w:val="20"/>
                <w:lang w:val="fr-CA"/>
              </w:rPr>
            </w:pPr>
            <w:r w:rsidRPr="00D21141">
              <w:rPr>
                <w:rFonts w:eastAsia="Calibri"/>
                <w:sz w:val="20"/>
                <w:lang w:val="fr-CA"/>
              </w:rPr>
              <w:t>Cour suprême du Canada</w:t>
            </w:r>
          </w:p>
        </w:tc>
        <w:tc>
          <w:tcPr>
            <w:tcW w:w="243" w:type="pct"/>
          </w:tcPr>
          <w:p w:rsidR="000B7AB6" w:rsidRPr="00D21141" w:rsidRDefault="000B7AB6" w:rsidP="00F66694">
            <w:pPr>
              <w:jc w:val="both"/>
              <w:rPr>
                <w:rFonts w:eastAsia="Calibri"/>
                <w:sz w:val="20"/>
                <w:lang w:val="fr-CA"/>
              </w:rPr>
            </w:pPr>
          </w:p>
        </w:tc>
        <w:tc>
          <w:tcPr>
            <w:tcW w:w="2330" w:type="pct"/>
          </w:tcPr>
          <w:p w:rsidR="000B7AB6" w:rsidRPr="00D21141" w:rsidRDefault="000B7AB6" w:rsidP="00F66694">
            <w:pPr>
              <w:jc w:val="both"/>
              <w:rPr>
                <w:rFonts w:eastAsia="Calibri"/>
                <w:sz w:val="20"/>
                <w:lang w:val="fr-CA"/>
              </w:rPr>
            </w:pPr>
            <w:r w:rsidRPr="00D21141">
              <w:rPr>
                <w:rFonts w:eastAsia="Calibri"/>
                <w:sz w:val="20"/>
                <w:lang w:val="fr-CA"/>
              </w:rPr>
              <w:t>Requête en prorogation du délai de dépôt et de signification de la demande d’autorisation d’appel et demande d’autorisation d’appel, déposées</w:t>
            </w:r>
          </w:p>
        </w:tc>
      </w:tr>
    </w:tbl>
    <w:p w:rsidR="0096146C" w:rsidRPr="000B7AB6"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74" style="width:2in;height:1pt" o:hrpct="0" o:hralign="center" o:hrstd="t" o:hrnoshade="t" o:hr="t" fillcolor="black [3213]" stroked="f"/>
        </w:pict>
      </w:r>
    </w:p>
    <w:p w:rsidR="0096146C" w:rsidRDefault="0096146C" w:rsidP="0096146C">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35759</w:t>
            </w:r>
          </w:p>
          <w:p w:rsidR="00874764" w:rsidRPr="00874764" w:rsidRDefault="00874764" w:rsidP="00874764">
            <w:pPr>
              <w:rPr>
                <w:b/>
                <w:sz w:val="20"/>
                <w:lang w:val="fr-CA"/>
              </w:rPr>
            </w:pPr>
          </w:p>
        </w:tc>
        <w:tc>
          <w:tcPr>
            <w:tcW w:w="8118" w:type="dxa"/>
          </w:tcPr>
          <w:p w:rsidR="00874764" w:rsidRPr="00874764" w:rsidRDefault="00874764" w:rsidP="00874764">
            <w:pPr>
              <w:rPr>
                <w:sz w:val="20"/>
              </w:rPr>
            </w:pPr>
            <w:r w:rsidRPr="00874764">
              <w:rPr>
                <w:b/>
                <w:sz w:val="20"/>
                <w:u w:val="single"/>
              </w:rPr>
              <w:t>William Arnold Baldwin v. Her Majesty the Queen</w:t>
            </w:r>
            <w:r w:rsidRPr="00874764">
              <w:rPr>
                <w:sz w:val="20"/>
              </w:rPr>
              <w:t xml:space="preserve"> (Ont.) (Criminal) (By Leave)</w:t>
            </w:r>
          </w:p>
          <w:p w:rsidR="00874764" w:rsidRPr="00874764" w:rsidRDefault="00874764" w:rsidP="00874764">
            <w:pPr>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LeBel, Karakatsanis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application for leave to appeal from the judgment of the Court of Appeal for Ontario, Number C55197, 2014 ONCA 25, dated January 10, 2014, is dismissed without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 xml:space="preserve">La demande d’autorisation d’appel de l’arrêt de la Cour d’appel de l’Ontario, numéro C55197, 2014 ONCA 25, daté du 10 janvier 2014, est rejetée sans dépens. </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AB6" w:rsidRPr="00D21141" w:rsidTr="00F66694">
        <w:tc>
          <w:tcPr>
            <w:tcW w:w="5000" w:type="pct"/>
            <w:gridSpan w:val="3"/>
          </w:tcPr>
          <w:p w:rsidR="000B7AB6" w:rsidRPr="00D21141" w:rsidRDefault="000B7AB6" w:rsidP="00F66694">
            <w:pPr>
              <w:jc w:val="both"/>
              <w:rPr>
                <w:rFonts w:eastAsia="Calibri"/>
                <w:smallCaps/>
                <w:sz w:val="20"/>
              </w:rPr>
            </w:pPr>
            <w:r w:rsidRPr="00D21141">
              <w:rPr>
                <w:rFonts w:eastAsia="Calibri"/>
                <w:smallCaps/>
                <w:sz w:val="20"/>
              </w:rPr>
              <w:t xml:space="preserve">(Publication </w:t>
            </w:r>
            <w:r>
              <w:rPr>
                <w:rFonts w:eastAsia="Calibri"/>
                <w:smallCaps/>
                <w:sz w:val="20"/>
              </w:rPr>
              <w:t>B</w:t>
            </w:r>
            <w:r w:rsidRPr="00D21141">
              <w:rPr>
                <w:rFonts w:eastAsia="Calibri"/>
                <w:smallCaps/>
                <w:sz w:val="20"/>
              </w:rPr>
              <w:t xml:space="preserve">an in </w:t>
            </w:r>
            <w:r>
              <w:rPr>
                <w:rFonts w:eastAsia="Calibri"/>
                <w:smallCaps/>
                <w:sz w:val="20"/>
              </w:rPr>
              <w:t>C</w:t>
            </w:r>
            <w:r w:rsidRPr="00D21141">
              <w:rPr>
                <w:rFonts w:eastAsia="Calibri"/>
                <w:smallCaps/>
                <w:sz w:val="20"/>
              </w:rPr>
              <w:t>ase)</w:t>
            </w:r>
          </w:p>
          <w:p w:rsidR="000B7AB6" w:rsidRPr="00D21141" w:rsidRDefault="000B7AB6" w:rsidP="00F66694">
            <w:pPr>
              <w:jc w:val="both"/>
              <w:rPr>
                <w:rFonts w:eastAsia="Calibri"/>
                <w:sz w:val="20"/>
              </w:rPr>
            </w:pPr>
          </w:p>
          <w:p w:rsidR="000B7AB6" w:rsidRPr="00D21141" w:rsidRDefault="000B7AB6" w:rsidP="00F66694">
            <w:pPr>
              <w:jc w:val="both"/>
              <w:rPr>
                <w:rFonts w:eastAsia="Calibri"/>
                <w:sz w:val="20"/>
              </w:rPr>
            </w:pPr>
            <w:r w:rsidRPr="00D21141">
              <w:rPr>
                <w:rFonts w:eastAsia="Calibri"/>
                <w:sz w:val="20"/>
              </w:rPr>
              <w:t xml:space="preserve">Criminal law — Appeals — Should the standard of deference accorded by appellate courts to trial judges with respect to their credibility assessments be reduced when the credibility assessment is based entirely on the </w:t>
            </w:r>
            <w:r w:rsidRPr="00D21141">
              <w:rPr>
                <w:rFonts w:eastAsia="Calibri"/>
                <w:i/>
                <w:sz w:val="20"/>
              </w:rPr>
              <w:t>content</w:t>
            </w:r>
            <w:r w:rsidRPr="00D21141">
              <w:rPr>
                <w:rFonts w:eastAsia="Calibri"/>
                <w:sz w:val="20"/>
              </w:rPr>
              <w:t xml:space="preserve"> of a witness’s testimony, as opposed to non</w:t>
            </w:r>
            <w:r w:rsidRPr="00D21141">
              <w:rPr>
                <w:rFonts w:eastAsia="Calibri"/>
                <w:sz w:val="20"/>
              </w:rPr>
              <w:noBreakHyphen/>
              <w:t>verbal factors such as demeanour that the trial judge is clearly in the best position to observe and assess.</w:t>
            </w:r>
          </w:p>
        </w:tc>
      </w:tr>
      <w:tr w:rsidR="000B7AB6" w:rsidRPr="00D21141" w:rsidTr="00F66694">
        <w:tc>
          <w:tcPr>
            <w:tcW w:w="5000" w:type="pct"/>
            <w:gridSpan w:val="3"/>
          </w:tcPr>
          <w:p w:rsidR="000B7AB6" w:rsidRPr="00D21141" w:rsidRDefault="000B7AB6" w:rsidP="00F66694">
            <w:pPr>
              <w:jc w:val="both"/>
              <w:rPr>
                <w:rFonts w:eastAsia="Calibri"/>
                <w:sz w:val="20"/>
              </w:rPr>
            </w:pPr>
          </w:p>
        </w:tc>
      </w:tr>
      <w:tr w:rsidR="000B7AB6" w:rsidRPr="00D21141" w:rsidTr="00F66694">
        <w:tc>
          <w:tcPr>
            <w:tcW w:w="5000" w:type="pct"/>
            <w:gridSpan w:val="3"/>
          </w:tcPr>
          <w:p w:rsidR="000B7AB6" w:rsidRPr="00D21141" w:rsidRDefault="000B7AB6" w:rsidP="00F66694">
            <w:pPr>
              <w:jc w:val="both"/>
              <w:rPr>
                <w:rFonts w:eastAsia="Calibri"/>
                <w:sz w:val="20"/>
              </w:rPr>
            </w:pPr>
            <w:r w:rsidRPr="00D21141">
              <w:rPr>
                <w:rFonts w:eastAsia="Calibri"/>
                <w:sz w:val="20"/>
              </w:rPr>
              <w:t>The trial judge convicted the applicant of sexual assault, invitation to sexual touching, and criminal harassment.  The appeal was dismissed.</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t>December 20, 2011</w:t>
            </w:r>
          </w:p>
          <w:p w:rsidR="000B7AB6" w:rsidRPr="00D21141" w:rsidRDefault="000B7AB6" w:rsidP="00F66694">
            <w:pPr>
              <w:jc w:val="both"/>
              <w:rPr>
                <w:rFonts w:eastAsia="Calibri"/>
                <w:sz w:val="20"/>
              </w:rPr>
            </w:pPr>
            <w:r w:rsidRPr="00D21141">
              <w:rPr>
                <w:rFonts w:eastAsia="Calibri"/>
                <w:sz w:val="20"/>
              </w:rPr>
              <w:t>Ontario Superior Court of Justice</w:t>
            </w:r>
          </w:p>
          <w:p w:rsidR="000B7AB6" w:rsidRDefault="000B7AB6" w:rsidP="00F66694">
            <w:pPr>
              <w:jc w:val="both"/>
              <w:rPr>
                <w:rFonts w:eastAsia="Calibri"/>
                <w:sz w:val="20"/>
              </w:rPr>
            </w:pPr>
            <w:r w:rsidRPr="00D21141">
              <w:rPr>
                <w:rFonts w:eastAsia="Calibri"/>
                <w:sz w:val="20"/>
              </w:rPr>
              <w:t>(Charbonneau J.)</w:t>
            </w:r>
          </w:p>
          <w:p w:rsidR="000B7AB6" w:rsidRPr="00D21141" w:rsidRDefault="000B7AB6" w:rsidP="00F66694">
            <w:pPr>
              <w:jc w:val="both"/>
              <w:rPr>
                <w:rFonts w:eastAsia="Calibri"/>
                <w:sz w:val="20"/>
              </w:rPr>
            </w:pP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Conviction: sexual assault, invitation to sexual touching, criminal harassment</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t>January 10, 2014</w:t>
            </w:r>
          </w:p>
          <w:p w:rsidR="000B7AB6" w:rsidRPr="00D21141" w:rsidRDefault="000B7AB6" w:rsidP="00F66694">
            <w:pPr>
              <w:jc w:val="both"/>
              <w:rPr>
                <w:rFonts w:eastAsia="Calibri"/>
                <w:sz w:val="20"/>
              </w:rPr>
            </w:pPr>
            <w:r w:rsidRPr="00D21141">
              <w:rPr>
                <w:rFonts w:eastAsia="Calibri"/>
                <w:sz w:val="20"/>
              </w:rPr>
              <w:t>Court of Appeal for Ontario</w:t>
            </w:r>
          </w:p>
          <w:p w:rsidR="000B7AB6" w:rsidRPr="00D21141" w:rsidRDefault="000B7AB6" w:rsidP="00F66694">
            <w:pPr>
              <w:jc w:val="both"/>
              <w:rPr>
                <w:rFonts w:eastAsia="Calibri"/>
                <w:sz w:val="20"/>
              </w:rPr>
            </w:pPr>
            <w:r w:rsidRPr="00D21141">
              <w:rPr>
                <w:rFonts w:eastAsia="Calibri"/>
                <w:sz w:val="20"/>
              </w:rPr>
              <w:t>(Doherty, Strathy, Pardu JJ.A.)</w:t>
            </w:r>
          </w:p>
          <w:p w:rsidR="000B7AB6" w:rsidRPr="00D21141" w:rsidRDefault="000B7AB6" w:rsidP="00F66694">
            <w:pPr>
              <w:jc w:val="both"/>
              <w:rPr>
                <w:rFonts w:eastAsia="Calibri"/>
                <w:sz w:val="20"/>
              </w:rPr>
            </w:pPr>
            <w:r w:rsidRPr="00D21141">
              <w:rPr>
                <w:rFonts w:eastAsia="Calibri"/>
                <w:sz w:val="20"/>
              </w:rPr>
              <w:t>2014 ONCA 25</w:t>
            </w:r>
          </w:p>
          <w:p w:rsidR="000B7AB6" w:rsidRPr="00D21141" w:rsidRDefault="00F27688" w:rsidP="00F66694">
            <w:pPr>
              <w:jc w:val="both"/>
              <w:rPr>
                <w:rFonts w:eastAsia="Calibri"/>
                <w:sz w:val="20"/>
              </w:rPr>
            </w:pPr>
            <w:hyperlink r:id="rId67" w:history="1">
              <w:r w:rsidR="000B7AB6" w:rsidRPr="007A481A">
                <w:rPr>
                  <w:rFonts w:eastAsia="Calibri"/>
                  <w:color w:val="0000FF"/>
                  <w:sz w:val="20"/>
                  <w:u w:val="single"/>
                </w:rPr>
                <w:t>http://canlii.ca/t/g2kbx</w:t>
              </w:r>
            </w:hyperlink>
          </w:p>
          <w:p w:rsidR="000B7AB6" w:rsidRPr="00D21141" w:rsidRDefault="000B7AB6" w:rsidP="00F66694">
            <w:pPr>
              <w:jc w:val="both"/>
              <w:rPr>
                <w:rFonts w:eastAsia="Calibri"/>
                <w:sz w:val="20"/>
              </w:rPr>
            </w:pP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Appeal dismissed</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rPr>
            </w:pPr>
            <w:r w:rsidRPr="00D21141">
              <w:rPr>
                <w:rFonts w:eastAsia="Calibri"/>
                <w:sz w:val="20"/>
              </w:rPr>
              <w:t>March 11, 2014</w:t>
            </w:r>
          </w:p>
          <w:p w:rsidR="000B7AB6" w:rsidRPr="00D21141" w:rsidRDefault="000B7AB6" w:rsidP="00F66694">
            <w:pPr>
              <w:jc w:val="both"/>
              <w:rPr>
                <w:rFonts w:eastAsia="Calibri"/>
                <w:sz w:val="20"/>
              </w:rPr>
            </w:pPr>
            <w:r w:rsidRPr="00D21141">
              <w:rPr>
                <w:rFonts w:eastAsia="Calibri"/>
                <w:sz w:val="20"/>
              </w:rPr>
              <w:t>Supreme Court of Canada</w:t>
            </w: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Application for leave to appeal filed</w:t>
            </w:r>
          </w:p>
          <w:p w:rsidR="000B7AB6" w:rsidRPr="00D21141" w:rsidRDefault="000B7AB6" w:rsidP="00F66694">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75"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AB6" w:rsidRPr="00FA68AD" w:rsidTr="00F66694">
        <w:tc>
          <w:tcPr>
            <w:tcW w:w="5000" w:type="pct"/>
            <w:gridSpan w:val="3"/>
          </w:tcPr>
          <w:p w:rsidR="000B7AB6" w:rsidRPr="00D21141" w:rsidRDefault="000B7AB6" w:rsidP="00F66694">
            <w:pPr>
              <w:jc w:val="both"/>
              <w:rPr>
                <w:rFonts w:eastAsia="Calibri"/>
                <w:smallCaps/>
                <w:sz w:val="20"/>
                <w:lang w:val="fr-CA"/>
              </w:rPr>
            </w:pPr>
            <w:r w:rsidRPr="00D21141">
              <w:rPr>
                <w:rFonts w:eastAsia="Calibri"/>
                <w:smallCaps/>
                <w:sz w:val="20"/>
                <w:lang w:val="fr-CA"/>
              </w:rPr>
              <w:t>(</w:t>
            </w:r>
            <w:r>
              <w:rPr>
                <w:rFonts w:eastAsia="Calibri"/>
                <w:smallCaps/>
                <w:sz w:val="20"/>
                <w:lang w:val="fr-CA"/>
              </w:rPr>
              <w:t>O</w:t>
            </w:r>
            <w:r w:rsidRPr="00D21141">
              <w:rPr>
                <w:rFonts w:eastAsia="Calibri"/>
                <w:smallCaps/>
                <w:sz w:val="20"/>
                <w:lang w:val="fr-CA"/>
              </w:rPr>
              <w:t>rdonnance de non</w:t>
            </w:r>
            <w:r w:rsidRPr="00D21141">
              <w:rPr>
                <w:rFonts w:eastAsia="Calibri"/>
                <w:smallCaps/>
                <w:sz w:val="20"/>
                <w:lang w:val="fr-CA"/>
              </w:rPr>
              <w:noBreakHyphen/>
              <w:t>publication dans le dossier)</w:t>
            </w:r>
          </w:p>
          <w:p w:rsidR="000B7AB6" w:rsidRPr="00D21141" w:rsidRDefault="000B7AB6" w:rsidP="00F66694">
            <w:pPr>
              <w:jc w:val="both"/>
              <w:rPr>
                <w:rFonts w:eastAsia="Calibri"/>
                <w:sz w:val="20"/>
                <w:lang w:val="fr-CA"/>
              </w:rPr>
            </w:pPr>
          </w:p>
          <w:p w:rsidR="000B7AB6" w:rsidRPr="00D21141" w:rsidRDefault="000B7AB6" w:rsidP="00F66694">
            <w:pPr>
              <w:jc w:val="both"/>
              <w:rPr>
                <w:rFonts w:eastAsia="Calibri"/>
                <w:sz w:val="20"/>
                <w:lang w:val="fr-CA"/>
              </w:rPr>
            </w:pPr>
            <w:r w:rsidRPr="00D21141">
              <w:rPr>
                <w:rFonts w:eastAsia="Calibri"/>
                <w:sz w:val="20"/>
                <w:lang w:val="fr-CA"/>
              </w:rPr>
              <w:t>Droit criminel — Appels — La cour d’appel doit</w:t>
            </w:r>
            <w:r w:rsidRPr="00D21141">
              <w:rPr>
                <w:rFonts w:eastAsia="Calibri"/>
                <w:sz w:val="20"/>
                <w:lang w:val="fr-CA"/>
              </w:rPr>
              <w:noBreakHyphen/>
              <w:t xml:space="preserve">elle faire preuve d’une retenue moins élevée à l’égard de </w:t>
            </w:r>
            <w:r w:rsidRPr="00D21141">
              <w:rPr>
                <w:rFonts w:eastAsia="Calibri"/>
                <w:sz w:val="20"/>
                <w:lang w:val="fr-CA"/>
              </w:rPr>
              <w:lastRenderedPageBreak/>
              <w:t xml:space="preserve">l’appréciation de la crédibilité par le juge de première instance qui repose entièrement sur le </w:t>
            </w:r>
            <w:r w:rsidRPr="00D21141">
              <w:rPr>
                <w:rFonts w:eastAsia="Calibri"/>
                <w:i/>
                <w:sz w:val="20"/>
                <w:lang w:val="fr-CA"/>
              </w:rPr>
              <w:t xml:space="preserve">contenu </w:t>
            </w:r>
            <w:r w:rsidRPr="00D21141">
              <w:rPr>
                <w:rFonts w:eastAsia="Calibri"/>
                <w:sz w:val="20"/>
                <w:lang w:val="fr-CA"/>
              </w:rPr>
              <w:t>de la déposition d’un témoin plutôt qu’en partie sur des éléments non verbaux, comme le comportement, que le juge de première instance est manifestement mieux placé pour observer et évaluer?</w:t>
            </w:r>
          </w:p>
        </w:tc>
      </w:tr>
      <w:tr w:rsidR="000B7AB6" w:rsidRPr="00FA68AD" w:rsidTr="00F66694">
        <w:tc>
          <w:tcPr>
            <w:tcW w:w="5000" w:type="pct"/>
            <w:gridSpan w:val="3"/>
          </w:tcPr>
          <w:p w:rsidR="000B7AB6" w:rsidRPr="00D21141" w:rsidRDefault="000B7AB6" w:rsidP="00F66694">
            <w:pPr>
              <w:jc w:val="both"/>
              <w:rPr>
                <w:rFonts w:eastAsia="Calibri"/>
                <w:sz w:val="20"/>
                <w:lang w:val="fr-CA"/>
              </w:rPr>
            </w:pPr>
          </w:p>
        </w:tc>
      </w:tr>
      <w:tr w:rsidR="000B7AB6" w:rsidRPr="00D21141" w:rsidTr="00F66694">
        <w:tc>
          <w:tcPr>
            <w:tcW w:w="5000" w:type="pct"/>
            <w:gridSpan w:val="3"/>
          </w:tcPr>
          <w:p w:rsidR="000B7AB6" w:rsidRPr="00D21141" w:rsidRDefault="000B7AB6" w:rsidP="00F66694">
            <w:pPr>
              <w:jc w:val="both"/>
              <w:rPr>
                <w:rFonts w:eastAsia="Calibri"/>
                <w:sz w:val="20"/>
                <w:lang w:val="fr-CA"/>
              </w:rPr>
            </w:pPr>
            <w:r w:rsidRPr="00D21141">
              <w:rPr>
                <w:rFonts w:eastAsia="Calibri"/>
                <w:sz w:val="20"/>
                <w:lang w:val="fr-CA"/>
              </w:rPr>
              <w:t>Le juge de première instance a reconnu le demandeur coupable d’agression sexuelle, d’incitation à des contacts sexuels et de harcèlement criminel.  L’appel a été rejeté.</w:t>
            </w:r>
          </w:p>
          <w:p w:rsidR="000B7AB6" w:rsidRPr="00D21141" w:rsidRDefault="000B7AB6" w:rsidP="00F66694">
            <w:pPr>
              <w:jc w:val="both"/>
              <w:rPr>
                <w:rFonts w:eastAsia="Calibri"/>
                <w:sz w:val="20"/>
                <w:lang w:val="fr-CA"/>
              </w:rPr>
            </w:pPr>
          </w:p>
        </w:tc>
      </w:tr>
      <w:tr w:rsidR="000B7AB6" w:rsidRPr="00FA68AD"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t>20 décembre 2011</w:t>
            </w:r>
          </w:p>
          <w:p w:rsidR="000B7AB6" w:rsidRPr="00D21141" w:rsidRDefault="000B7AB6" w:rsidP="00F66694">
            <w:pPr>
              <w:jc w:val="both"/>
              <w:rPr>
                <w:rFonts w:eastAsia="Calibri"/>
                <w:sz w:val="20"/>
                <w:lang w:val="fr-CA"/>
              </w:rPr>
            </w:pPr>
            <w:r w:rsidRPr="00D21141">
              <w:rPr>
                <w:rFonts w:eastAsia="Calibri"/>
                <w:sz w:val="20"/>
                <w:lang w:val="fr-CA"/>
              </w:rPr>
              <w:t xml:space="preserve">Cour supérieure de justice de l’Ontario </w:t>
            </w:r>
          </w:p>
          <w:p w:rsidR="000B7AB6" w:rsidRPr="00D21141" w:rsidRDefault="000B7AB6" w:rsidP="00F66694">
            <w:pPr>
              <w:jc w:val="both"/>
              <w:rPr>
                <w:rFonts w:eastAsia="Calibri"/>
                <w:sz w:val="20"/>
              </w:rPr>
            </w:pPr>
            <w:r w:rsidRPr="00D21141">
              <w:rPr>
                <w:rFonts w:eastAsia="Calibri"/>
                <w:sz w:val="20"/>
              </w:rPr>
              <w:t>(Juge Charbonneau)</w:t>
            </w: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lang w:val="fr-CA"/>
              </w:rPr>
            </w:pPr>
            <w:r w:rsidRPr="00D21141">
              <w:rPr>
                <w:rFonts w:eastAsia="Calibri"/>
                <w:sz w:val="20"/>
                <w:lang w:val="fr-CA"/>
              </w:rPr>
              <w:t xml:space="preserve">Déclaration de culpabilité pour agression sexuelle, incitation à des contacts sexuels et harcèlement criminel </w:t>
            </w:r>
          </w:p>
          <w:p w:rsidR="000B7AB6" w:rsidRPr="00D21141" w:rsidRDefault="000B7AB6" w:rsidP="00F66694">
            <w:pPr>
              <w:jc w:val="both"/>
              <w:rPr>
                <w:rFonts w:eastAsia="Calibri"/>
                <w:sz w:val="20"/>
                <w:lang w:val="fr-CA"/>
              </w:rPr>
            </w:pPr>
          </w:p>
        </w:tc>
      </w:tr>
      <w:tr w:rsidR="000B7AB6" w:rsidRPr="00D21141"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t>10 janvier 2014</w:t>
            </w:r>
          </w:p>
          <w:p w:rsidR="000B7AB6" w:rsidRPr="00D21141" w:rsidRDefault="000B7AB6" w:rsidP="00F66694">
            <w:pPr>
              <w:jc w:val="both"/>
              <w:rPr>
                <w:rFonts w:eastAsia="Calibri"/>
                <w:sz w:val="20"/>
                <w:lang w:val="fr-CA"/>
              </w:rPr>
            </w:pPr>
            <w:r w:rsidRPr="00D21141">
              <w:rPr>
                <w:rFonts w:eastAsia="Calibri"/>
                <w:sz w:val="20"/>
                <w:lang w:val="fr-CA"/>
              </w:rPr>
              <w:t>Cour d’appel de l’Ontario</w:t>
            </w:r>
          </w:p>
          <w:p w:rsidR="000B7AB6" w:rsidRPr="00D21141" w:rsidRDefault="000B7AB6" w:rsidP="00F66694">
            <w:pPr>
              <w:jc w:val="both"/>
              <w:rPr>
                <w:rFonts w:eastAsia="Calibri"/>
                <w:sz w:val="20"/>
                <w:lang w:val="fr-CA"/>
              </w:rPr>
            </w:pPr>
            <w:r w:rsidRPr="00D21141">
              <w:rPr>
                <w:rFonts w:eastAsia="Calibri"/>
                <w:sz w:val="20"/>
                <w:lang w:val="fr-CA"/>
              </w:rPr>
              <w:t>(Juges Doherty, Strathy et Pardu)</w:t>
            </w:r>
          </w:p>
          <w:p w:rsidR="000B7AB6" w:rsidRPr="00D21141" w:rsidRDefault="000B7AB6" w:rsidP="00F66694">
            <w:pPr>
              <w:jc w:val="both"/>
              <w:rPr>
                <w:rFonts w:eastAsia="Calibri"/>
                <w:sz w:val="20"/>
              </w:rPr>
            </w:pPr>
            <w:r w:rsidRPr="00D21141">
              <w:rPr>
                <w:rFonts w:eastAsia="Calibri"/>
                <w:sz w:val="20"/>
              </w:rPr>
              <w:t>2014 ONCA 25</w:t>
            </w:r>
          </w:p>
          <w:p w:rsidR="000B7AB6" w:rsidRPr="00D21141" w:rsidRDefault="00F27688" w:rsidP="00F66694">
            <w:pPr>
              <w:jc w:val="both"/>
              <w:rPr>
                <w:rFonts w:eastAsia="Calibri"/>
                <w:sz w:val="20"/>
              </w:rPr>
            </w:pPr>
            <w:hyperlink r:id="rId68" w:history="1">
              <w:r w:rsidR="000B7AB6" w:rsidRPr="007A481A">
                <w:rPr>
                  <w:rFonts w:eastAsia="Calibri"/>
                  <w:color w:val="0000FF"/>
                  <w:sz w:val="20"/>
                  <w:u w:val="single"/>
                </w:rPr>
                <w:t>http://canlii.ca/t/g2kbx</w:t>
              </w:r>
            </w:hyperlink>
          </w:p>
          <w:p w:rsidR="000B7AB6" w:rsidRPr="00D21141" w:rsidRDefault="000B7AB6" w:rsidP="00F66694">
            <w:pPr>
              <w:jc w:val="both"/>
              <w:rPr>
                <w:rFonts w:eastAsia="Calibri"/>
                <w:sz w:val="20"/>
              </w:rPr>
            </w:pPr>
          </w:p>
        </w:tc>
        <w:tc>
          <w:tcPr>
            <w:tcW w:w="243" w:type="pct"/>
          </w:tcPr>
          <w:p w:rsidR="000B7AB6" w:rsidRPr="00D21141" w:rsidRDefault="000B7AB6" w:rsidP="00F66694">
            <w:pPr>
              <w:jc w:val="both"/>
              <w:rPr>
                <w:rFonts w:eastAsia="Calibri"/>
                <w:sz w:val="20"/>
              </w:rPr>
            </w:pPr>
          </w:p>
        </w:tc>
        <w:tc>
          <w:tcPr>
            <w:tcW w:w="2330" w:type="pct"/>
          </w:tcPr>
          <w:p w:rsidR="000B7AB6" w:rsidRPr="00D21141" w:rsidRDefault="000B7AB6" w:rsidP="00F66694">
            <w:pPr>
              <w:jc w:val="both"/>
              <w:rPr>
                <w:rFonts w:eastAsia="Calibri"/>
                <w:sz w:val="20"/>
              </w:rPr>
            </w:pPr>
            <w:r w:rsidRPr="00D21141">
              <w:rPr>
                <w:rFonts w:eastAsia="Calibri"/>
                <w:sz w:val="20"/>
              </w:rPr>
              <w:t>Appel rejeté</w:t>
            </w:r>
          </w:p>
          <w:p w:rsidR="000B7AB6" w:rsidRPr="00D21141" w:rsidRDefault="000B7AB6" w:rsidP="00F66694">
            <w:pPr>
              <w:jc w:val="both"/>
              <w:rPr>
                <w:rFonts w:eastAsia="Calibri"/>
                <w:sz w:val="20"/>
              </w:rPr>
            </w:pPr>
          </w:p>
        </w:tc>
      </w:tr>
      <w:tr w:rsidR="000B7AB6" w:rsidRPr="00D21141" w:rsidTr="00F66694">
        <w:tc>
          <w:tcPr>
            <w:tcW w:w="2427" w:type="pct"/>
          </w:tcPr>
          <w:p w:rsidR="000B7AB6" w:rsidRPr="00D21141" w:rsidRDefault="000B7AB6" w:rsidP="00F66694">
            <w:pPr>
              <w:jc w:val="both"/>
              <w:rPr>
                <w:rFonts w:eastAsia="Calibri"/>
                <w:sz w:val="20"/>
                <w:lang w:val="fr-CA"/>
              </w:rPr>
            </w:pPr>
            <w:r w:rsidRPr="00D21141">
              <w:rPr>
                <w:rFonts w:eastAsia="Calibri"/>
                <w:sz w:val="20"/>
                <w:lang w:val="fr-CA"/>
              </w:rPr>
              <w:t>11 mars 2014</w:t>
            </w:r>
          </w:p>
          <w:p w:rsidR="000B7AB6" w:rsidRPr="00D21141" w:rsidRDefault="000B7AB6" w:rsidP="00F66694">
            <w:pPr>
              <w:jc w:val="both"/>
              <w:rPr>
                <w:rFonts w:eastAsia="Calibri"/>
                <w:sz w:val="20"/>
                <w:lang w:val="fr-CA"/>
              </w:rPr>
            </w:pPr>
            <w:r w:rsidRPr="00D21141">
              <w:rPr>
                <w:rFonts w:eastAsia="Calibri"/>
                <w:sz w:val="20"/>
                <w:lang w:val="fr-CA"/>
              </w:rPr>
              <w:t>Cour suprême du Canada</w:t>
            </w:r>
          </w:p>
        </w:tc>
        <w:tc>
          <w:tcPr>
            <w:tcW w:w="243" w:type="pct"/>
          </w:tcPr>
          <w:p w:rsidR="000B7AB6" w:rsidRPr="00D21141" w:rsidRDefault="000B7AB6" w:rsidP="00F66694">
            <w:pPr>
              <w:jc w:val="both"/>
              <w:rPr>
                <w:rFonts w:eastAsia="Calibri"/>
                <w:sz w:val="20"/>
                <w:lang w:val="fr-CA"/>
              </w:rPr>
            </w:pPr>
          </w:p>
        </w:tc>
        <w:tc>
          <w:tcPr>
            <w:tcW w:w="2330" w:type="pct"/>
          </w:tcPr>
          <w:p w:rsidR="000B7AB6" w:rsidRPr="00D21141" w:rsidRDefault="000B7AB6" w:rsidP="00F66694">
            <w:pPr>
              <w:jc w:val="both"/>
              <w:rPr>
                <w:rFonts w:eastAsia="Calibri"/>
                <w:sz w:val="20"/>
              </w:rPr>
            </w:pPr>
            <w:r w:rsidRPr="00D21141">
              <w:rPr>
                <w:rFonts w:eastAsia="Calibri"/>
                <w:sz w:val="20"/>
                <w:lang w:val="fr-CA"/>
              </w:rPr>
              <w:t xml:space="preserve">Demande d’autorisation d’appel déposée </w:t>
            </w:r>
          </w:p>
          <w:p w:rsidR="000B7AB6" w:rsidRPr="00D21141" w:rsidRDefault="000B7AB6" w:rsidP="00F66694">
            <w:pPr>
              <w:jc w:val="both"/>
              <w:rPr>
                <w:rFonts w:eastAsia="Calibri"/>
                <w:sz w:val="20"/>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76" style="width:2in;height:1pt" o:hrpct="0" o:hralign="center" o:hrstd="t" o:hrnoshade="t" o:hr="t" fillcolor="black [3213]" stroked="f"/>
        </w:pict>
      </w:r>
    </w:p>
    <w:p w:rsidR="0096146C" w:rsidRDefault="0096146C" w:rsidP="0096146C">
      <w:pPr>
        <w:rPr>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35763</w:t>
            </w:r>
          </w:p>
          <w:p w:rsidR="00874764" w:rsidRPr="00874764" w:rsidRDefault="00874764" w:rsidP="00874764">
            <w:pPr>
              <w:rPr>
                <w:b/>
                <w:sz w:val="20"/>
                <w:lang w:val="fr-CA"/>
              </w:rPr>
            </w:pPr>
          </w:p>
        </w:tc>
        <w:tc>
          <w:tcPr>
            <w:tcW w:w="8118" w:type="dxa"/>
          </w:tcPr>
          <w:p w:rsidR="00874764" w:rsidRPr="00874764" w:rsidRDefault="00874764" w:rsidP="00874764">
            <w:pPr>
              <w:rPr>
                <w:sz w:val="20"/>
              </w:rPr>
            </w:pPr>
            <w:r w:rsidRPr="00874764">
              <w:rPr>
                <w:b/>
                <w:sz w:val="20"/>
                <w:u w:val="single"/>
              </w:rPr>
              <w:t>Emile Marcus Mennes v. Her Majesty the Queen</w:t>
            </w:r>
            <w:r w:rsidRPr="00874764">
              <w:rPr>
                <w:sz w:val="20"/>
              </w:rPr>
              <w:t xml:space="preserve"> (Ont.) (Criminal) (By Leave)</w:t>
            </w:r>
          </w:p>
          <w:p w:rsidR="00874764" w:rsidRPr="00874764" w:rsidRDefault="00874764" w:rsidP="00874764">
            <w:pPr>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McLachlin C.J. and Cromwell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motion for an extension of time to serve and file the application for leave to appeal is granted.  The application for leave to appeal from the judgment of the Court of Appeal for Ontario, Number M42590 (C34654), 2013 ONCA 567, dated September 17, 2013, is dismissed without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requête en prorogation du délai de signification et de dépôt de la demande d’autorisation d’appel est accueillie.  La demande d’autorisation d’appel de l’arrêt de la Cour d’appel de l’Ontario, numéro M42590 (C34654), 2013 ONCA 567, daté du 17 septembre 2013, est rejetée sans dépens.</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C770E0" w:rsidTr="00F66694">
        <w:tc>
          <w:tcPr>
            <w:tcW w:w="5000" w:type="pct"/>
            <w:gridSpan w:val="3"/>
          </w:tcPr>
          <w:p w:rsidR="006A2B6A" w:rsidRPr="00C770E0" w:rsidRDefault="006A2B6A" w:rsidP="00F66694">
            <w:pPr>
              <w:jc w:val="both"/>
              <w:rPr>
                <w:rFonts w:eastAsia="Calibri"/>
                <w:smallCaps/>
                <w:sz w:val="20"/>
              </w:rPr>
            </w:pPr>
            <w:r w:rsidRPr="00C770E0">
              <w:rPr>
                <w:rFonts w:eastAsia="Calibri"/>
                <w:smallCaps/>
                <w:sz w:val="20"/>
              </w:rPr>
              <w:t xml:space="preserve">(Publication </w:t>
            </w:r>
            <w:r>
              <w:rPr>
                <w:rFonts w:eastAsia="Calibri"/>
                <w:smallCaps/>
                <w:sz w:val="20"/>
              </w:rPr>
              <w:t>B</w:t>
            </w:r>
            <w:r w:rsidRPr="00C770E0">
              <w:rPr>
                <w:rFonts w:eastAsia="Calibri"/>
                <w:smallCaps/>
                <w:sz w:val="20"/>
              </w:rPr>
              <w:t xml:space="preserve">an in </w:t>
            </w:r>
            <w:r>
              <w:rPr>
                <w:rFonts w:eastAsia="Calibri"/>
                <w:smallCaps/>
                <w:sz w:val="20"/>
              </w:rPr>
              <w:t>C</w:t>
            </w:r>
            <w:r w:rsidRPr="00C770E0">
              <w:rPr>
                <w:rFonts w:eastAsia="Calibri"/>
                <w:smallCaps/>
                <w:sz w:val="20"/>
              </w:rPr>
              <w:t>ase)</w:t>
            </w:r>
          </w:p>
          <w:p w:rsidR="006A2B6A" w:rsidRPr="00C770E0" w:rsidRDefault="006A2B6A" w:rsidP="00F66694">
            <w:pPr>
              <w:jc w:val="both"/>
              <w:rPr>
                <w:rFonts w:eastAsia="Calibri"/>
                <w:sz w:val="20"/>
              </w:rPr>
            </w:pPr>
          </w:p>
          <w:p w:rsidR="006A2B6A" w:rsidRPr="00C770E0" w:rsidRDefault="006A2B6A" w:rsidP="00F66694">
            <w:pPr>
              <w:jc w:val="both"/>
              <w:rPr>
                <w:rFonts w:eastAsia="Calibri"/>
                <w:sz w:val="20"/>
              </w:rPr>
            </w:pPr>
            <w:r w:rsidRPr="00C770E0">
              <w:rPr>
                <w:rFonts w:eastAsia="Calibri"/>
                <w:sz w:val="20"/>
              </w:rPr>
              <w:t xml:space="preserve">Criminal law — Appeal — Motion to reinstate appeal dismissed — Does it square with legal ethics and the </w:t>
            </w:r>
            <w:r w:rsidRPr="00C770E0">
              <w:rPr>
                <w:rFonts w:eastAsia="Calibri"/>
                <w:i/>
                <w:sz w:val="20"/>
              </w:rPr>
              <w:t>Rule of Law</w:t>
            </w:r>
            <w:r w:rsidRPr="00C770E0">
              <w:rPr>
                <w:rFonts w:eastAsia="Calibri"/>
                <w:sz w:val="20"/>
              </w:rPr>
              <w:t xml:space="preserve"> in Canada for Crown lawyers on inmate appeals to suppress judgments known to them as adverse to the Crown and in the inmate applicant’s favour such that the inmate as the result of such practice loses her or his appeal — If such practice does not square with legal ethics and the </w:t>
            </w:r>
            <w:r w:rsidRPr="00C770E0">
              <w:rPr>
                <w:rFonts w:eastAsia="Calibri"/>
                <w:i/>
                <w:sz w:val="20"/>
              </w:rPr>
              <w:t>Rule of Law</w:t>
            </w:r>
            <w:r w:rsidRPr="00C770E0">
              <w:rPr>
                <w:rFonts w:eastAsia="Calibri"/>
                <w:sz w:val="20"/>
              </w:rPr>
              <w:t xml:space="preserve">, is affirmation by an appellate court of a conviction based on the Crown’s concealment of such judgment valid — If such affirmation is invalid, is the finding of guilt and the sentence valid in the applicant’s case against the judgment of the Supreme Court of Canada in </w:t>
            </w:r>
            <w:r w:rsidRPr="00C770E0">
              <w:rPr>
                <w:rFonts w:eastAsia="Calibri"/>
                <w:i/>
                <w:sz w:val="20"/>
              </w:rPr>
              <w:t>Regina v. Curragh Inc.,</w:t>
            </w:r>
            <w:r w:rsidRPr="00C770E0">
              <w:rPr>
                <w:rFonts w:eastAsia="Calibri"/>
                <w:sz w:val="20"/>
              </w:rPr>
              <w:t xml:space="preserve"> [1997] 1 S.C.R. 537 at paragraphs 5 to 7?</w:t>
            </w:r>
          </w:p>
        </w:tc>
      </w:tr>
      <w:tr w:rsidR="006A2B6A" w:rsidRPr="00C770E0" w:rsidTr="00F66694">
        <w:tc>
          <w:tcPr>
            <w:tcW w:w="5000" w:type="pct"/>
            <w:gridSpan w:val="3"/>
          </w:tcPr>
          <w:p w:rsidR="006A2B6A" w:rsidRPr="00C770E0" w:rsidRDefault="006A2B6A" w:rsidP="00F66694">
            <w:pPr>
              <w:jc w:val="both"/>
              <w:rPr>
                <w:rFonts w:eastAsia="Calibri"/>
                <w:sz w:val="20"/>
              </w:rPr>
            </w:pPr>
          </w:p>
        </w:tc>
      </w:tr>
      <w:tr w:rsidR="006A2B6A" w:rsidRPr="00C770E0" w:rsidTr="00F66694">
        <w:tc>
          <w:tcPr>
            <w:tcW w:w="5000" w:type="pct"/>
            <w:gridSpan w:val="3"/>
          </w:tcPr>
          <w:p w:rsidR="006A2B6A" w:rsidRPr="00C770E0" w:rsidRDefault="006A2B6A" w:rsidP="00F66694">
            <w:pPr>
              <w:jc w:val="both"/>
              <w:rPr>
                <w:rFonts w:eastAsia="Calibri"/>
                <w:sz w:val="20"/>
              </w:rPr>
            </w:pPr>
            <w:r w:rsidRPr="00C770E0">
              <w:rPr>
                <w:rFonts w:eastAsia="Calibri"/>
                <w:sz w:val="20"/>
              </w:rPr>
              <w:t>The applicant’s motion to reinstate the appeal was dismissed by the Court of Appeal.</w:t>
            </w:r>
          </w:p>
          <w:p w:rsidR="006A2B6A" w:rsidRPr="00C770E0" w:rsidRDefault="006A2B6A" w:rsidP="00F66694">
            <w:pPr>
              <w:jc w:val="both"/>
              <w:rPr>
                <w:rFonts w:eastAsia="Calibri"/>
                <w:sz w:val="20"/>
              </w:rPr>
            </w:pPr>
          </w:p>
        </w:tc>
      </w:tr>
      <w:tr w:rsidR="006A2B6A" w:rsidRPr="00C770E0" w:rsidTr="00874764">
        <w:trPr>
          <w:cantSplit/>
        </w:trPr>
        <w:tc>
          <w:tcPr>
            <w:tcW w:w="2427" w:type="pct"/>
          </w:tcPr>
          <w:p w:rsidR="006A2B6A" w:rsidRPr="00C770E0" w:rsidRDefault="006A2B6A" w:rsidP="00F66694">
            <w:pPr>
              <w:jc w:val="both"/>
              <w:rPr>
                <w:rFonts w:eastAsia="Calibri"/>
                <w:sz w:val="20"/>
              </w:rPr>
            </w:pPr>
            <w:r w:rsidRPr="00C770E0">
              <w:rPr>
                <w:rFonts w:eastAsia="Calibri"/>
                <w:sz w:val="20"/>
              </w:rPr>
              <w:lastRenderedPageBreak/>
              <w:t>September 17, 2013</w:t>
            </w:r>
          </w:p>
          <w:p w:rsidR="006A2B6A" w:rsidRPr="00C770E0" w:rsidRDefault="006A2B6A" w:rsidP="00F66694">
            <w:pPr>
              <w:jc w:val="both"/>
              <w:rPr>
                <w:rFonts w:eastAsia="Calibri"/>
                <w:sz w:val="20"/>
              </w:rPr>
            </w:pPr>
            <w:r w:rsidRPr="00C770E0">
              <w:rPr>
                <w:rFonts w:eastAsia="Calibri"/>
                <w:sz w:val="20"/>
              </w:rPr>
              <w:t>Court of Appeal for Ontario</w:t>
            </w:r>
          </w:p>
          <w:p w:rsidR="006A2B6A" w:rsidRPr="00C770E0" w:rsidRDefault="006A2B6A" w:rsidP="00F66694">
            <w:pPr>
              <w:jc w:val="both"/>
              <w:rPr>
                <w:rFonts w:eastAsia="Calibri"/>
                <w:sz w:val="20"/>
              </w:rPr>
            </w:pPr>
            <w:r w:rsidRPr="00C770E0">
              <w:rPr>
                <w:rFonts w:eastAsia="Calibri"/>
                <w:sz w:val="20"/>
              </w:rPr>
              <w:t>(Hoy A.C.J.O., Rosenberg and Sharpe JJ.A.)</w:t>
            </w:r>
          </w:p>
          <w:p w:rsidR="006A2B6A" w:rsidRPr="00C770E0" w:rsidRDefault="006A2B6A" w:rsidP="00F66694">
            <w:pPr>
              <w:jc w:val="both"/>
              <w:rPr>
                <w:rFonts w:eastAsia="Calibri"/>
                <w:sz w:val="20"/>
              </w:rPr>
            </w:pPr>
            <w:r w:rsidRPr="00C770E0">
              <w:rPr>
                <w:rFonts w:eastAsia="Calibri"/>
                <w:sz w:val="20"/>
              </w:rPr>
              <w:t>2013 ONCA 567</w:t>
            </w:r>
          </w:p>
          <w:p w:rsidR="006A2B6A" w:rsidRPr="00C770E0" w:rsidRDefault="006A2B6A" w:rsidP="00F66694">
            <w:pPr>
              <w:jc w:val="both"/>
              <w:rPr>
                <w:rFonts w:eastAsia="Calibri"/>
                <w:sz w:val="20"/>
              </w:rPr>
            </w:pP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rPr>
            </w:pPr>
            <w:r w:rsidRPr="00C770E0">
              <w:rPr>
                <w:rFonts w:eastAsia="Calibri"/>
                <w:sz w:val="20"/>
              </w:rPr>
              <w:t>Motion to reinstate the appeal dismissed</w:t>
            </w:r>
          </w:p>
          <w:p w:rsidR="006A2B6A" w:rsidRPr="00C770E0" w:rsidRDefault="006A2B6A" w:rsidP="00F66694">
            <w:pPr>
              <w:jc w:val="both"/>
              <w:rPr>
                <w:rFonts w:eastAsia="Calibri"/>
                <w:sz w:val="20"/>
              </w:rPr>
            </w:pPr>
          </w:p>
        </w:tc>
      </w:tr>
      <w:tr w:rsidR="006A2B6A" w:rsidRPr="00C770E0" w:rsidTr="00874764">
        <w:trPr>
          <w:cantSplit/>
        </w:trPr>
        <w:tc>
          <w:tcPr>
            <w:tcW w:w="2427" w:type="pct"/>
          </w:tcPr>
          <w:p w:rsidR="006A2B6A" w:rsidRPr="00C770E0" w:rsidRDefault="006A2B6A" w:rsidP="00F66694">
            <w:pPr>
              <w:jc w:val="both"/>
              <w:rPr>
                <w:rFonts w:eastAsia="Calibri"/>
                <w:sz w:val="20"/>
              </w:rPr>
            </w:pPr>
            <w:r w:rsidRPr="00C770E0">
              <w:rPr>
                <w:rFonts w:eastAsia="Calibri"/>
                <w:sz w:val="20"/>
              </w:rPr>
              <w:t>January 31, 2014</w:t>
            </w:r>
          </w:p>
          <w:p w:rsidR="006A2B6A" w:rsidRPr="00C770E0" w:rsidRDefault="006A2B6A" w:rsidP="00F66694">
            <w:pPr>
              <w:jc w:val="both"/>
              <w:rPr>
                <w:rFonts w:eastAsia="Calibri"/>
                <w:sz w:val="20"/>
              </w:rPr>
            </w:pPr>
            <w:r w:rsidRPr="00C770E0">
              <w:rPr>
                <w:rFonts w:eastAsia="Calibri"/>
                <w:sz w:val="20"/>
              </w:rPr>
              <w:t>Supreme Court of Canada</w:t>
            </w:r>
          </w:p>
          <w:p w:rsidR="006A2B6A" w:rsidRPr="00C770E0" w:rsidRDefault="006A2B6A" w:rsidP="00F66694">
            <w:pPr>
              <w:jc w:val="both"/>
              <w:rPr>
                <w:rFonts w:eastAsia="Calibri"/>
                <w:sz w:val="20"/>
              </w:rPr>
            </w:pP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rPr>
            </w:pPr>
            <w:r w:rsidRPr="00C770E0">
              <w:rPr>
                <w:rFonts w:eastAsia="Calibri"/>
                <w:sz w:val="20"/>
              </w:rPr>
              <w:t>Motion for an extension of time to serve and file the application for leave to appeal and application for leave to appeal filed</w:t>
            </w: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77"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FA68AD" w:rsidTr="00F66694">
        <w:tc>
          <w:tcPr>
            <w:tcW w:w="5000" w:type="pct"/>
            <w:gridSpan w:val="3"/>
          </w:tcPr>
          <w:p w:rsidR="006A2B6A" w:rsidRPr="00C770E0" w:rsidRDefault="006A2B6A" w:rsidP="00F66694">
            <w:pPr>
              <w:jc w:val="both"/>
              <w:rPr>
                <w:rFonts w:eastAsia="Calibri"/>
                <w:smallCaps/>
                <w:sz w:val="20"/>
                <w:lang w:val="fr-CA"/>
              </w:rPr>
            </w:pPr>
            <w:r w:rsidRPr="00C770E0">
              <w:rPr>
                <w:rFonts w:eastAsia="Calibri"/>
                <w:smallCaps/>
                <w:sz w:val="20"/>
                <w:lang w:val="fr-CA"/>
              </w:rPr>
              <w:t>(</w:t>
            </w:r>
            <w:r>
              <w:rPr>
                <w:rFonts w:eastAsia="Calibri"/>
                <w:smallCaps/>
                <w:sz w:val="20"/>
                <w:lang w:val="fr-CA"/>
              </w:rPr>
              <w:t>O</w:t>
            </w:r>
            <w:r w:rsidRPr="00C770E0">
              <w:rPr>
                <w:rFonts w:eastAsia="Calibri"/>
                <w:smallCaps/>
                <w:sz w:val="20"/>
                <w:lang w:val="fr-CA"/>
              </w:rPr>
              <w:t>rdonnance de non</w:t>
            </w:r>
            <w:r w:rsidRPr="00C770E0">
              <w:rPr>
                <w:rFonts w:eastAsia="Calibri"/>
                <w:smallCaps/>
                <w:sz w:val="20"/>
                <w:lang w:val="fr-CA"/>
              </w:rPr>
              <w:noBreakHyphen/>
              <w:t>publication dans le dossier)</w:t>
            </w:r>
          </w:p>
          <w:p w:rsidR="006A2B6A" w:rsidRPr="00C770E0" w:rsidRDefault="006A2B6A" w:rsidP="00F66694">
            <w:pPr>
              <w:jc w:val="both"/>
              <w:rPr>
                <w:rFonts w:eastAsia="Calibri"/>
                <w:sz w:val="20"/>
                <w:lang w:val="fr-CA"/>
              </w:rPr>
            </w:pPr>
          </w:p>
          <w:p w:rsidR="006A2B6A" w:rsidRPr="00C770E0" w:rsidRDefault="006A2B6A" w:rsidP="00F66694">
            <w:pPr>
              <w:jc w:val="both"/>
              <w:rPr>
                <w:rFonts w:eastAsia="Calibri"/>
                <w:sz w:val="20"/>
                <w:lang w:val="fr-CA"/>
              </w:rPr>
            </w:pPr>
            <w:r w:rsidRPr="00C770E0">
              <w:rPr>
                <w:rFonts w:eastAsia="Calibri"/>
                <w:sz w:val="20"/>
                <w:lang w:val="fr-CA"/>
              </w:rPr>
              <w:t>Droit criminel — Appel — Requête en rétablissement de l’appel rejetée — Le substitut du procureur général se conforme</w:t>
            </w:r>
            <w:r w:rsidRPr="00C770E0">
              <w:rPr>
                <w:rFonts w:eastAsia="Calibri"/>
                <w:sz w:val="20"/>
                <w:lang w:val="fr-CA"/>
              </w:rPr>
              <w:noBreakHyphen/>
              <w:t>t</w:t>
            </w:r>
            <w:r w:rsidRPr="00C770E0">
              <w:rPr>
                <w:rFonts w:eastAsia="Calibri"/>
                <w:sz w:val="20"/>
                <w:lang w:val="fr-CA"/>
              </w:rPr>
              <w:noBreakHyphen/>
              <w:t>il à la déontologie judiciaire et aux règles de droit canadiennes dans le cas d’un appel formé par un détenu lorsqu’il passe sous silence un jugement qu’il sait être défavorable au ministère public et favorable au détenu, ce qui fait perdre au détenu son droit d’appel? — Si cette pratique va à l’encontre de la déontologie judiciaire et des règles de droit, la confirmation en appel de la déclaration de culpabilité fondée sur la dissimulation par le ministère public d’un tel jugement est</w:t>
            </w:r>
            <w:r w:rsidRPr="00C770E0">
              <w:rPr>
                <w:rFonts w:eastAsia="Calibri"/>
                <w:sz w:val="20"/>
                <w:lang w:val="fr-CA"/>
              </w:rPr>
              <w:noBreakHyphen/>
              <w:t>elle valide? — En cas d’invalidité de cette confirmation, le verdict de culpabilité et la peine sont</w:t>
            </w:r>
            <w:r w:rsidRPr="00C770E0">
              <w:rPr>
                <w:rFonts w:eastAsia="Calibri"/>
                <w:sz w:val="20"/>
                <w:lang w:val="fr-CA"/>
              </w:rPr>
              <w:noBreakHyphen/>
              <w:t xml:space="preserve">ils valides en ce qui concerne le demandeur eu égard à l’arrêt de la Cour suprême du Canada dans </w:t>
            </w:r>
            <w:r w:rsidRPr="00C770E0">
              <w:rPr>
                <w:rFonts w:eastAsia="Calibri"/>
                <w:i/>
                <w:sz w:val="20"/>
                <w:lang w:val="fr-CA"/>
              </w:rPr>
              <w:t>R. c. Curragh Inc.</w:t>
            </w:r>
            <w:r w:rsidRPr="00C770E0">
              <w:rPr>
                <w:rFonts w:eastAsia="Calibri"/>
                <w:sz w:val="20"/>
                <w:lang w:val="fr-CA"/>
              </w:rPr>
              <w:t>, [1997] 1 R.C.S. 537, aux paragraphes 5 à 7?</w:t>
            </w:r>
          </w:p>
        </w:tc>
      </w:tr>
      <w:tr w:rsidR="006A2B6A" w:rsidRPr="00FA68AD" w:rsidTr="00F66694">
        <w:tc>
          <w:tcPr>
            <w:tcW w:w="5000" w:type="pct"/>
            <w:gridSpan w:val="3"/>
          </w:tcPr>
          <w:p w:rsidR="006A2B6A" w:rsidRPr="00C770E0" w:rsidRDefault="006A2B6A" w:rsidP="00F66694">
            <w:pPr>
              <w:jc w:val="both"/>
              <w:rPr>
                <w:rFonts w:eastAsia="Calibri"/>
                <w:sz w:val="20"/>
                <w:lang w:val="fr-CA"/>
              </w:rPr>
            </w:pPr>
          </w:p>
        </w:tc>
      </w:tr>
      <w:tr w:rsidR="006A2B6A" w:rsidRPr="00FA68AD" w:rsidTr="00F66694">
        <w:tc>
          <w:tcPr>
            <w:tcW w:w="5000" w:type="pct"/>
            <w:gridSpan w:val="3"/>
          </w:tcPr>
          <w:p w:rsidR="006A2B6A" w:rsidRPr="00C770E0" w:rsidRDefault="006A2B6A" w:rsidP="00F66694">
            <w:pPr>
              <w:jc w:val="both"/>
              <w:rPr>
                <w:rFonts w:eastAsia="Calibri"/>
                <w:sz w:val="20"/>
                <w:lang w:val="fr-CA"/>
              </w:rPr>
            </w:pPr>
            <w:r w:rsidRPr="00C770E0">
              <w:rPr>
                <w:rFonts w:eastAsia="Calibri"/>
                <w:sz w:val="20"/>
                <w:lang w:val="fr-CA"/>
              </w:rPr>
              <w:t xml:space="preserve">La requête du demandeur en rétablissement de l’appel a été rejetée par la Cour d’appel. </w:t>
            </w:r>
          </w:p>
          <w:p w:rsidR="006A2B6A" w:rsidRPr="00C770E0" w:rsidRDefault="006A2B6A" w:rsidP="00F66694">
            <w:pPr>
              <w:jc w:val="both"/>
              <w:rPr>
                <w:rFonts w:eastAsia="Calibri"/>
                <w:sz w:val="20"/>
                <w:lang w:val="fr-CA"/>
              </w:rPr>
            </w:pPr>
          </w:p>
        </w:tc>
      </w:tr>
      <w:tr w:rsidR="006A2B6A" w:rsidRPr="00FA68AD" w:rsidTr="00F66694">
        <w:tc>
          <w:tcPr>
            <w:tcW w:w="2427" w:type="pct"/>
          </w:tcPr>
          <w:p w:rsidR="006A2B6A" w:rsidRPr="00C770E0" w:rsidRDefault="006A2B6A" w:rsidP="00F66694">
            <w:pPr>
              <w:jc w:val="both"/>
              <w:rPr>
                <w:rFonts w:eastAsia="Calibri"/>
                <w:sz w:val="20"/>
                <w:lang w:val="fr-CA"/>
              </w:rPr>
            </w:pPr>
            <w:r w:rsidRPr="00C770E0">
              <w:rPr>
                <w:rFonts w:eastAsia="Calibri"/>
                <w:sz w:val="20"/>
                <w:lang w:val="fr-CA"/>
              </w:rPr>
              <w:t>17 septembre 2013</w:t>
            </w:r>
          </w:p>
          <w:p w:rsidR="006A2B6A" w:rsidRPr="00C770E0" w:rsidRDefault="006A2B6A" w:rsidP="00F66694">
            <w:pPr>
              <w:jc w:val="both"/>
              <w:rPr>
                <w:rFonts w:eastAsia="Calibri"/>
                <w:sz w:val="20"/>
                <w:lang w:val="fr-CA"/>
              </w:rPr>
            </w:pPr>
            <w:r w:rsidRPr="00C770E0">
              <w:rPr>
                <w:rFonts w:eastAsia="Calibri"/>
                <w:sz w:val="20"/>
                <w:lang w:val="fr-CA"/>
              </w:rPr>
              <w:t>Cour d’appel de l’Ontario</w:t>
            </w:r>
          </w:p>
          <w:p w:rsidR="006A2B6A" w:rsidRPr="00C770E0" w:rsidRDefault="006A2B6A" w:rsidP="00F66694">
            <w:pPr>
              <w:jc w:val="both"/>
              <w:rPr>
                <w:rFonts w:eastAsia="Calibri"/>
                <w:sz w:val="20"/>
                <w:lang w:val="fr-CA"/>
              </w:rPr>
            </w:pPr>
            <w:r w:rsidRPr="00C770E0">
              <w:rPr>
                <w:rFonts w:eastAsia="Calibri"/>
                <w:sz w:val="20"/>
                <w:lang w:val="fr-CA"/>
              </w:rPr>
              <w:t>(Juge en chef adjointe Hoy et juges Rosenberg et Sharpe)</w:t>
            </w:r>
          </w:p>
          <w:p w:rsidR="006A2B6A" w:rsidRPr="00C770E0" w:rsidRDefault="006A2B6A" w:rsidP="00F66694">
            <w:pPr>
              <w:jc w:val="both"/>
              <w:rPr>
                <w:rFonts w:eastAsia="Calibri"/>
                <w:sz w:val="20"/>
              </w:rPr>
            </w:pPr>
            <w:r w:rsidRPr="00C770E0">
              <w:rPr>
                <w:rFonts w:eastAsia="Calibri"/>
                <w:sz w:val="20"/>
              </w:rPr>
              <w:t>2013 ONCA 567</w:t>
            </w:r>
          </w:p>
          <w:p w:rsidR="006A2B6A" w:rsidRPr="00C770E0" w:rsidRDefault="006A2B6A" w:rsidP="00F66694">
            <w:pPr>
              <w:jc w:val="both"/>
              <w:rPr>
                <w:rFonts w:eastAsia="Calibri"/>
                <w:sz w:val="20"/>
              </w:rPr>
            </w:pP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lang w:val="fr-CA"/>
              </w:rPr>
            </w:pPr>
            <w:r w:rsidRPr="00C770E0">
              <w:rPr>
                <w:rFonts w:eastAsia="Calibri"/>
                <w:sz w:val="20"/>
                <w:lang w:val="fr-CA"/>
              </w:rPr>
              <w:t xml:space="preserve">Requête en rétablissement de l’appel rejetée </w:t>
            </w:r>
          </w:p>
          <w:p w:rsidR="006A2B6A" w:rsidRPr="00C770E0" w:rsidRDefault="006A2B6A" w:rsidP="00F66694">
            <w:pPr>
              <w:jc w:val="both"/>
              <w:rPr>
                <w:rFonts w:eastAsia="Calibri"/>
                <w:sz w:val="20"/>
                <w:lang w:val="fr-CA"/>
              </w:rPr>
            </w:pPr>
          </w:p>
        </w:tc>
      </w:tr>
      <w:tr w:rsidR="006A2B6A" w:rsidRPr="008D6F14" w:rsidTr="00F66694">
        <w:tc>
          <w:tcPr>
            <w:tcW w:w="2427" w:type="pct"/>
          </w:tcPr>
          <w:p w:rsidR="006A2B6A" w:rsidRPr="00C770E0" w:rsidRDefault="006A2B6A" w:rsidP="00F66694">
            <w:pPr>
              <w:jc w:val="both"/>
              <w:rPr>
                <w:rFonts w:eastAsia="Calibri"/>
                <w:sz w:val="20"/>
              </w:rPr>
            </w:pPr>
            <w:r w:rsidRPr="00C770E0">
              <w:rPr>
                <w:rFonts w:eastAsia="Calibri"/>
                <w:sz w:val="20"/>
              </w:rPr>
              <w:t>31 janvier 2014</w:t>
            </w:r>
          </w:p>
          <w:p w:rsidR="006A2B6A" w:rsidRPr="00C770E0" w:rsidRDefault="006A2B6A" w:rsidP="00F66694">
            <w:pPr>
              <w:jc w:val="both"/>
              <w:rPr>
                <w:rFonts w:eastAsia="Calibri"/>
                <w:sz w:val="20"/>
              </w:rPr>
            </w:pPr>
            <w:r w:rsidRPr="00C770E0">
              <w:rPr>
                <w:rFonts w:eastAsia="Calibri"/>
                <w:sz w:val="20"/>
              </w:rPr>
              <w:t>Cour suprême du Canada</w:t>
            </w:r>
          </w:p>
          <w:p w:rsidR="006A2B6A" w:rsidRPr="00C770E0" w:rsidRDefault="006A2B6A" w:rsidP="00F66694">
            <w:pPr>
              <w:jc w:val="both"/>
              <w:rPr>
                <w:rFonts w:eastAsia="Calibri"/>
                <w:sz w:val="20"/>
              </w:rPr>
            </w:pP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lang w:val="fr-CA"/>
              </w:rPr>
            </w:pPr>
            <w:r w:rsidRPr="00C770E0">
              <w:rPr>
                <w:rFonts w:eastAsia="Calibri"/>
                <w:sz w:val="20"/>
                <w:lang w:val="fr-CA"/>
              </w:rPr>
              <w:t xml:space="preserve">Requête en prorogation du délai pour signifier et déposer la demande d’autorisation d’appel et demande d’autorisation d’appel déposées </w:t>
            </w:r>
          </w:p>
        </w:tc>
      </w:tr>
    </w:tbl>
    <w:p w:rsidR="0096146C" w:rsidRPr="006A2B6A" w:rsidRDefault="0096146C" w:rsidP="0096146C">
      <w:pPr>
        <w:rPr>
          <w:sz w:val="20"/>
          <w:szCs w:val="20"/>
          <w:lang w:val="fr-CA"/>
        </w:rPr>
      </w:pPr>
    </w:p>
    <w:p w:rsidR="0096146C" w:rsidRDefault="00F27688" w:rsidP="0096146C">
      <w:pPr>
        <w:rPr>
          <w:sz w:val="20"/>
          <w:szCs w:val="20"/>
          <w:lang w:val="fr-CA"/>
        </w:rPr>
      </w:pPr>
      <w:r>
        <w:rPr>
          <w:sz w:val="20"/>
          <w:szCs w:val="20"/>
          <w:lang w:val="fr-CA"/>
        </w:rPr>
        <w:pict>
          <v:rect id="_x0000_i1078" style="width:2in;height:1pt" o:hrpct="0" o:hralign="center" o:hrstd="t" o:hrnoshade="t" o:hr="t" fillcolor="black [3213]" stroked="f"/>
        </w:pict>
      </w:r>
    </w:p>
    <w:p w:rsidR="0096146C" w:rsidRDefault="0096146C" w:rsidP="0096146C">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35766</w:t>
            </w:r>
          </w:p>
          <w:p w:rsidR="00874764" w:rsidRPr="00874764" w:rsidRDefault="00874764" w:rsidP="00874764">
            <w:pPr>
              <w:rPr>
                <w:b/>
                <w:sz w:val="20"/>
                <w:lang w:val="fr-CA"/>
              </w:rPr>
            </w:pPr>
          </w:p>
        </w:tc>
        <w:tc>
          <w:tcPr>
            <w:tcW w:w="8118" w:type="dxa"/>
          </w:tcPr>
          <w:p w:rsidR="00874764" w:rsidRPr="00874764" w:rsidRDefault="00874764" w:rsidP="00874764">
            <w:pPr>
              <w:jc w:val="both"/>
              <w:rPr>
                <w:sz w:val="20"/>
              </w:rPr>
            </w:pPr>
            <w:r w:rsidRPr="00874764">
              <w:rPr>
                <w:b/>
                <w:sz w:val="20"/>
                <w:u w:val="single"/>
              </w:rPr>
              <w:t>Alicia Ganitano v. Metro Vancouver Housing Corporation, Attorney General of British Columbia</w:t>
            </w:r>
            <w:r>
              <w:rPr>
                <w:b/>
                <w:sz w:val="20"/>
                <w:u w:val="single"/>
              </w:rPr>
              <w:t xml:space="preserve"> and</w:t>
            </w:r>
            <w:r w:rsidRPr="00874764">
              <w:rPr>
                <w:b/>
                <w:sz w:val="20"/>
                <w:u w:val="single"/>
              </w:rPr>
              <w:t xml:space="preserve"> Director, Residential Tenancy Branch</w:t>
            </w:r>
            <w:r w:rsidRPr="00874764">
              <w:rPr>
                <w:sz w:val="20"/>
              </w:rPr>
              <w:t xml:space="preserve"> (B.C.) (Civil) (By Leave)</w:t>
            </w:r>
          </w:p>
          <w:p w:rsidR="00874764" w:rsidRPr="00874764" w:rsidRDefault="00874764" w:rsidP="00874764">
            <w:pPr>
              <w:jc w:val="both"/>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McLachlin C.J. and Cromwell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t>The application for leave to appeal from the judgment of the Court of Appeal for British Columbia (Vancouver), Number CA040284, 2014 BCCA 10, dated January 13, 2014, is dismissed with costs to the Metro Vancouver Housing Corporation.</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demande d’autorisation d’appel de l’arrêt de la Cour d’appel de la Colombie-Britannique (Vancouver), numéro CA040284, 2014 BCCA 10, daté du 13 janvier 2014, est rejetée avec dépens en faveur de la Metro Vancouver Housing Corporation.</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lastRenderedPageBreak/>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C770E0" w:rsidTr="00F66694">
        <w:tc>
          <w:tcPr>
            <w:tcW w:w="5000" w:type="pct"/>
            <w:gridSpan w:val="3"/>
          </w:tcPr>
          <w:p w:rsidR="006A2B6A" w:rsidRPr="00C770E0" w:rsidRDefault="006A2B6A" w:rsidP="00F66694">
            <w:pPr>
              <w:jc w:val="both"/>
              <w:rPr>
                <w:rFonts w:eastAsia="Calibri"/>
                <w:sz w:val="20"/>
              </w:rPr>
            </w:pPr>
            <w:r w:rsidRPr="00C770E0">
              <w:rPr>
                <w:rFonts w:eastAsia="Calibri"/>
                <w:sz w:val="20"/>
              </w:rPr>
              <w:t xml:space="preserve">Legislation — Interpretation — Residential tenancy — Equitable relief from forfeiture — Whether the Court’s broad and general power to relieve against forfeiture under s. 24 of the </w:t>
            </w:r>
            <w:r w:rsidRPr="00C770E0">
              <w:rPr>
                <w:rFonts w:eastAsia="Calibri"/>
                <w:i/>
                <w:sz w:val="20"/>
              </w:rPr>
              <w:t>Law and Equity Act</w:t>
            </w:r>
            <w:r w:rsidRPr="00C770E0">
              <w:rPr>
                <w:rFonts w:eastAsia="Calibri"/>
                <w:sz w:val="20"/>
              </w:rPr>
              <w:t xml:space="preserve">, R.S.B.C. 1996, c. 253, applies to disputes over the late payment of rent and contracts regulated by the </w:t>
            </w:r>
            <w:r w:rsidRPr="00C770E0">
              <w:rPr>
                <w:rFonts w:eastAsia="Calibri"/>
                <w:i/>
                <w:sz w:val="20"/>
              </w:rPr>
              <w:t>Residential Tenancy Act</w:t>
            </w:r>
            <w:r w:rsidRPr="00C770E0">
              <w:rPr>
                <w:rFonts w:eastAsia="Calibri"/>
                <w:sz w:val="20"/>
              </w:rPr>
              <w:t>, S.B.C. 2002, c. 78.</w:t>
            </w:r>
          </w:p>
        </w:tc>
      </w:tr>
      <w:tr w:rsidR="006A2B6A" w:rsidRPr="00C770E0" w:rsidTr="00F66694">
        <w:tc>
          <w:tcPr>
            <w:tcW w:w="5000" w:type="pct"/>
            <w:gridSpan w:val="3"/>
          </w:tcPr>
          <w:p w:rsidR="006A2B6A" w:rsidRPr="00C770E0" w:rsidRDefault="006A2B6A" w:rsidP="00F66694">
            <w:pPr>
              <w:jc w:val="both"/>
              <w:rPr>
                <w:rFonts w:eastAsia="Calibri"/>
                <w:sz w:val="20"/>
              </w:rPr>
            </w:pPr>
          </w:p>
        </w:tc>
      </w:tr>
      <w:tr w:rsidR="006A2B6A" w:rsidRPr="00C770E0" w:rsidTr="00F66694">
        <w:tc>
          <w:tcPr>
            <w:tcW w:w="5000" w:type="pct"/>
            <w:gridSpan w:val="3"/>
          </w:tcPr>
          <w:p w:rsidR="006A2B6A" w:rsidRPr="00C770E0" w:rsidRDefault="006A2B6A" w:rsidP="00F66694">
            <w:pPr>
              <w:jc w:val="both"/>
              <w:rPr>
                <w:rFonts w:eastAsia="Calibri"/>
                <w:sz w:val="20"/>
              </w:rPr>
            </w:pPr>
            <w:r w:rsidRPr="00C770E0">
              <w:rPr>
                <w:rFonts w:eastAsia="Calibri"/>
                <w:sz w:val="20"/>
              </w:rPr>
              <w:t xml:space="preserve">Ms. Ganitano is a tenant in a townhouse unit owned by the Metro Vancouver Housing Corporation (the “MVHC”).  Because she failed to pay her rent on time, the MVHC, acting in accordance with the provisions of the </w:t>
            </w:r>
            <w:r w:rsidRPr="00C770E0">
              <w:rPr>
                <w:rFonts w:eastAsia="Calibri"/>
                <w:i/>
                <w:sz w:val="20"/>
              </w:rPr>
              <w:t>Residential Tenancy Act</w:t>
            </w:r>
            <w:r w:rsidRPr="00C770E0">
              <w:rPr>
                <w:rFonts w:eastAsia="Calibri"/>
                <w:sz w:val="20"/>
              </w:rPr>
              <w:t>, S.B.C. 2002, c. 78, took steps to terminate her tenancy.  Eventually, a Dispute Resolution Officer, based on the 10</w:t>
            </w:r>
            <w:r w:rsidRPr="00C770E0">
              <w:rPr>
                <w:rFonts w:eastAsia="Calibri"/>
                <w:sz w:val="20"/>
              </w:rPr>
              <w:noBreakHyphen/>
              <w:t>day notice issued on February 6, 2009, granted the MVHC an order of possession effective May 31, 2011.  She would have upheld one of the two one</w:t>
            </w:r>
            <w:r w:rsidRPr="00C770E0">
              <w:rPr>
                <w:rFonts w:eastAsia="Calibri"/>
                <w:sz w:val="20"/>
              </w:rPr>
              <w:noBreakHyphen/>
              <w:t xml:space="preserve">month notices issued, but would have set the other one aside.  Ms. Ganitano filed a petition for judicial review.  The petition did not seek relief from forfeiture, which was first mentioned in an affidavit sworn and filed by Ms. Ganitano on April 25, 2012, under “Relief Sought”.  The petition was adjourned to allow the Attorney General of British Columbia to be present and make submissions on the court’s jurisdiction to grant relief from forfeiture under s. 24 of the </w:t>
            </w:r>
            <w:r w:rsidRPr="00C770E0">
              <w:rPr>
                <w:rFonts w:eastAsia="Calibri"/>
                <w:i/>
                <w:sz w:val="20"/>
              </w:rPr>
              <w:t>Law and Equity Act</w:t>
            </w:r>
            <w:r w:rsidRPr="00C770E0">
              <w:rPr>
                <w:rFonts w:eastAsia="Calibri"/>
                <w:sz w:val="20"/>
              </w:rPr>
              <w:t xml:space="preserve">, R.S.B.C. 1996, c. 253.  The judge who granted that adjournment also ordered that Ms. Ganitano’s petition be amended to include a claim for relief from forfeiture under the </w:t>
            </w:r>
            <w:r w:rsidRPr="00C770E0">
              <w:rPr>
                <w:rFonts w:eastAsia="Calibri"/>
                <w:i/>
                <w:sz w:val="20"/>
              </w:rPr>
              <w:t>Law and Equity Act</w:t>
            </w:r>
            <w:r w:rsidRPr="00C770E0">
              <w:rPr>
                <w:rFonts w:eastAsia="Calibri"/>
                <w:sz w:val="20"/>
              </w:rPr>
              <w:t xml:space="preserve">. </w:t>
            </w:r>
          </w:p>
          <w:p w:rsidR="006A2B6A" w:rsidRPr="00C770E0" w:rsidRDefault="006A2B6A" w:rsidP="00F66694">
            <w:pPr>
              <w:jc w:val="both"/>
              <w:rPr>
                <w:rFonts w:eastAsia="Calibri"/>
                <w:sz w:val="20"/>
              </w:rPr>
            </w:pPr>
          </w:p>
          <w:p w:rsidR="006A2B6A" w:rsidRPr="00C770E0" w:rsidRDefault="006A2B6A" w:rsidP="00F66694">
            <w:pPr>
              <w:jc w:val="both"/>
              <w:rPr>
                <w:rFonts w:eastAsia="Calibri"/>
                <w:sz w:val="20"/>
              </w:rPr>
            </w:pPr>
            <w:r w:rsidRPr="00C770E0">
              <w:rPr>
                <w:rFonts w:eastAsia="Calibri"/>
                <w:sz w:val="20"/>
              </w:rPr>
              <w:t xml:space="preserve">L. Smith J. held that, by virtue of s. 24, she had jurisdiction to grant relief from forfeiture.  She exercised that jurisdiction and ordered Ms. Ganitano’s tenancy reinstated.  The Court of Appeal allowed an appeal, holding that the equitable remedy of relief from forfeiture was not available under the </w:t>
            </w:r>
            <w:r w:rsidRPr="00C770E0">
              <w:rPr>
                <w:rFonts w:eastAsia="Calibri"/>
                <w:i/>
                <w:sz w:val="20"/>
              </w:rPr>
              <w:t>Residential Tenancy Act</w:t>
            </w:r>
            <w:r w:rsidRPr="00C770E0">
              <w:rPr>
                <w:rFonts w:eastAsia="Calibri"/>
                <w:sz w:val="20"/>
              </w:rPr>
              <w:t>.</w:t>
            </w:r>
          </w:p>
          <w:p w:rsidR="006A2B6A" w:rsidRPr="00C770E0" w:rsidRDefault="006A2B6A" w:rsidP="00F66694">
            <w:pPr>
              <w:jc w:val="both"/>
              <w:rPr>
                <w:rFonts w:eastAsia="Calibri"/>
                <w:sz w:val="20"/>
              </w:rPr>
            </w:pPr>
          </w:p>
        </w:tc>
      </w:tr>
      <w:tr w:rsidR="006A2B6A" w:rsidRPr="00C770E0" w:rsidTr="00F66694">
        <w:tc>
          <w:tcPr>
            <w:tcW w:w="2427" w:type="pct"/>
          </w:tcPr>
          <w:p w:rsidR="006A2B6A" w:rsidRPr="00C770E0" w:rsidRDefault="006A2B6A" w:rsidP="00F66694">
            <w:pPr>
              <w:jc w:val="both"/>
              <w:rPr>
                <w:rFonts w:eastAsia="Calibri"/>
                <w:sz w:val="20"/>
              </w:rPr>
            </w:pPr>
            <w:r w:rsidRPr="00C770E0">
              <w:rPr>
                <w:rFonts w:eastAsia="Calibri"/>
                <w:sz w:val="20"/>
              </w:rPr>
              <w:t>September 5, 2012</w:t>
            </w:r>
          </w:p>
          <w:p w:rsidR="006A2B6A" w:rsidRPr="00C770E0" w:rsidRDefault="006A2B6A" w:rsidP="00F66694">
            <w:pPr>
              <w:jc w:val="both"/>
              <w:rPr>
                <w:rFonts w:eastAsia="Calibri"/>
                <w:sz w:val="20"/>
              </w:rPr>
            </w:pPr>
            <w:r w:rsidRPr="00C770E0">
              <w:rPr>
                <w:rFonts w:eastAsia="Calibri"/>
                <w:sz w:val="20"/>
              </w:rPr>
              <w:t>Supreme Court of British Columbia</w:t>
            </w:r>
          </w:p>
          <w:p w:rsidR="006A2B6A" w:rsidRPr="00C770E0" w:rsidRDefault="006A2B6A" w:rsidP="00F66694">
            <w:pPr>
              <w:jc w:val="both"/>
              <w:rPr>
                <w:rFonts w:eastAsia="Calibri"/>
                <w:sz w:val="20"/>
              </w:rPr>
            </w:pPr>
            <w:r w:rsidRPr="00C770E0">
              <w:rPr>
                <w:rFonts w:eastAsia="Calibri"/>
                <w:sz w:val="20"/>
              </w:rPr>
              <w:t>(L. Smith J.)</w:t>
            </w:r>
          </w:p>
          <w:bookmarkStart w:id="3" w:name="reflex-caselaw-24495102"/>
          <w:bookmarkEnd w:id="3"/>
          <w:p w:rsidR="006A2B6A" w:rsidRPr="00C770E0" w:rsidRDefault="003172C2" w:rsidP="00F66694">
            <w:pPr>
              <w:jc w:val="both"/>
              <w:rPr>
                <w:rFonts w:eastAsia="Calibri"/>
                <w:sz w:val="20"/>
              </w:rPr>
            </w:pPr>
            <w:r w:rsidRPr="00C770E0">
              <w:rPr>
                <w:rFonts w:eastAsia="Calibri"/>
                <w:sz w:val="20"/>
              </w:rPr>
              <w:fldChar w:fldCharType="begin"/>
            </w:r>
            <w:r w:rsidR="006A2B6A" w:rsidRPr="00C770E0">
              <w:rPr>
                <w:rFonts w:eastAsia="Calibri"/>
                <w:sz w:val="20"/>
              </w:rPr>
              <w:instrText xml:space="preserve"> HYPERLINK "http://www.canlii.org/en/bc/bcsc/doc/2012/2012bcsc1308/2012bcsc1308.html" </w:instrText>
            </w:r>
            <w:r w:rsidR="00F27688" w:rsidRPr="00C770E0">
              <w:rPr>
                <w:rFonts w:eastAsia="Calibri"/>
                <w:sz w:val="20"/>
              </w:rPr>
            </w:r>
            <w:r w:rsidRPr="00C770E0">
              <w:rPr>
                <w:rFonts w:eastAsia="Calibri"/>
                <w:sz w:val="20"/>
              </w:rPr>
              <w:fldChar w:fldCharType="separate"/>
            </w:r>
            <w:r w:rsidR="006A2B6A" w:rsidRPr="007305C9">
              <w:rPr>
                <w:rFonts w:eastAsia="Calibri"/>
                <w:color w:val="0000FF"/>
                <w:sz w:val="20"/>
                <w:u w:val="single"/>
              </w:rPr>
              <w:t>2012 BCSC 1308</w:t>
            </w:r>
            <w:r w:rsidRPr="00C770E0">
              <w:rPr>
                <w:rFonts w:eastAsia="Calibri"/>
                <w:sz w:val="20"/>
              </w:rPr>
              <w:fldChar w:fldCharType="end"/>
            </w: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rPr>
            </w:pPr>
            <w:r w:rsidRPr="00C770E0">
              <w:rPr>
                <w:rFonts w:eastAsia="Calibri"/>
                <w:sz w:val="20"/>
              </w:rPr>
              <w:t xml:space="preserve">Order of possession stayed pending outcome of petition; application for judicial review dismissed; application for direction dismissed; alternative application for equitable relief from forfeiture pursuant to s. 24 of the </w:t>
            </w:r>
            <w:r w:rsidRPr="00C770E0">
              <w:rPr>
                <w:rFonts w:eastAsia="Calibri"/>
                <w:i/>
                <w:sz w:val="20"/>
              </w:rPr>
              <w:t>Law and Equity Act</w:t>
            </w:r>
            <w:r w:rsidRPr="00C770E0">
              <w:rPr>
                <w:rFonts w:eastAsia="Calibri"/>
                <w:sz w:val="20"/>
              </w:rPr>
              <w:t xml:space="preserve"> granted; 10</w:t>
            </w:r>
            <w:r w:rsidRPr="00C770E0">
              <w:rPr>
                <w:rFonts w:eastAsia="Calibri"/>
                <w:sz w:val="20"/>
              </w:rPr>
              <w:noBreakHyphen/>
              <w:t>day notice to end tenancy for unpaid rent dated February 6, 2009, and one</w:t>
            </w:r>
            <w:r w:rsidRPr="00C770E0">
              <w:rPr>
                <w:rFonts w:eastAsia="Calibri"/>
                <w:sz w:val="20"/>
              </w:rPr>
              <w:noBreakHyphen/>
              <w:t>month notice to end tenancy for cause issued February 10, 2009, cancelled; tenancy reinstated.</w:t>
            </w:r>
          </w:p>
          <w:p w:rsidR="006A2B6A" w:rsidRPr="00C770E0" w:rsidRDefault="006A2B6A" w:rsidP="00F66694">
            <w:pPr>
              <w:jc w:val="both"/>
              <w:rPr>
                <w:rFonts w:eastAsia="Calibri"/>
                <w:sz w:val="20"/>
              </w:rPr>
            </w:pPr>
          </w:p>
        </w:tc>
      </w:tr>
      <w:tr w:rsidR="006A2B6A" w:rsidRPr="00C770E0" w:rsidTr="00F66694">
        <w:tc>
          <w:tcPr>
            <w:tcW w:w="2427" w:type="pct"/>
          </w:tcPr>
          <w:p w:rsidR="006A2B6A" w:rsidRPr="00C770E0" w:rsidRDefault="006A2B6A" w:rsidP="00F66694">
            <w:pPr>
              <w:jc w:val="both"/>
              <w:rPr>
                <w:rFonts w:eastAsia="Calibri"/>
                <w:sz w:val="20"/>
              </w:rPr>
            </w:pPr>
            <w:r w:rsidRPr="00C770E0">
              <w:rPr>
                <w:rFonts w:eastAsia="Calibri"/>
                <w:sz w:val="20"/>
              </w:rPr>
              <w:t>January 13, 2014</w:t>
            </w:r>
          </w:p>
          <w:p w:rsidR="006A2B6A" w:rsidRPr="00C770E0" w:rsidRDefault="006A2B6A" w:rsidP="00F66694">
            <w:pPr>
              <w:jc w:val="both"/>
              <w:rPr>
                <w:rFonts w:eastAsia="Calibri"/>
                <w:sz w:val="20"/>
              </w:rPr>
            </w:pPr>
            <w:r w:rsidRPr="00C770E0">
              <w:rPr>
                <w:rFonts w:eastAsia="Calibri"/>
                <w:sz w:val="20"/>
              </w:rPr>
              <w:t xml:space="preserve">Court of Appeal for British Columbia </w:t>
            </w:r>
          </w:p>
          <w:p w:rsidR="006A2B6A" w:rsidRPr="00C770E0" w:rsidRDefault="006A2B6A" w:rsidP="00F66694">
            <w:pPr>
              <w:jc w:val="both"/>
              <w:rPr>
                <w:rFonts w:eastAsia="Calibri"/>
                <w:sz w:val="20"/>
              </w:rPr>
            </w:pPr>
            <w:r w:rsidRPr="00C770E0">
              <w:rPr>
                <w:rFonts w:eastAsia="Calibri"/>
                <w:sz w:val="20"/>
              </w:rPr>
              <w:t>(Vancouver)</w:t>
            </w:r>
          </w:p>
          <w:p w:rsidR="006A2B6A" w:rsidRPr="00C770E0" w:rsidRDefault="006A2B6A" w:rsidP="00F66694">
            <w:pPr>
              <w:jc w:val="both"/>
              <w:rPr>
                <w:rFonts w:eastAsia="Calibri"/>
                <w:sz w:val="20"/>
              </w:rPr>
            </w:pPr>
            <w:r w:rsidRPr="00C770E0">
              <w:rPr>
                <w:rFonts w:eastAsia="Calibri"/>
                <w:sz w:val="20"/>
              </w:rPr>
              <w:t xml:space="preserve">(Frankel, Tysoe, D. Smith, Groberman, </w:t>
            </w:r>
          </w:p>
          <w:p w:rsidR="006A2B6A" w:rsidRPr="00C770E0" w:rsidRDefault="006A2B6A" w:rsidP="00F66694">
            <w:pPr>
              <w:jc w:val="both"/>
              <w:rPr>
                <w:rFonts w:eastAsia="Calibri"/>
                <w:sz w:val="20"/>
              </w:rPr>
            </w:pPr>
            <w:r w:rsidRPr="00C770E0">
              <w:rPr>
                <w:rFonts w:eastAsia="Calibri"/>
                <w:sz w:val="20"/>
              </w:rPr>
              <w:t>Stromberg</w:t>
            </w:r>
            <w:r w:rsidRPr="00C770E0">
              <w:rPr>
                <w:rFonts w:eastAsia="Calibri"/>
                <w:sz w:val="20"/>
              </w:rPr>
              <w:noBreakHyphen/>
              <w:t>Stein JJ.A.)</w:t>
            </w:r>
          </w:p>
          <w:p w:rsidR="006A2B6A" w:rsidRPr="00C770E0" w:rsidRDefault="00F27688" w:rsidP="00F66694">
            <w:pPr>
              <w:jc w:val="both"/>
              <w:rPr>
                <w:rFonts w:eastAsia="Calibri"/>
                <w:sz w:val="20"/>
              </w:rPr>
            </w:pPr>
            <w:hyperlink r:id="rId69" w:history="1">
              <w:r w:rsidR="006A2B6A" w:rsidRPr="007305C9">
                <w:rPr>
                  <w:rFonts w:eastAsia="Calibri"/>
                  <w:color w:val="0000FF"/>
                  <w:sz w:val="20"/>
                  <w:u w:val="single"/>
                </w:rPr>
                <w:t>2014 BCCA 10</w:t>
              </w:r>
            </w:hyperlink>
          </w:p>
          <w:p w:rsidR="006A2B6A" w:rsidRPr="00C770E0" w:rsidRDefault="006A2B6A" w:rsidP="00F66694">
            <w:pPr>
              <w:jc w:val="both"/>
              <w:rPr>
                <w:rFonts w:eastAsia="Calibri"/>
                <w:sz w:val="20"/>
              </w:rPr>
            </w:pP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rPr>
            </w:pPr>
            <w:r w:rsidRPr="00C770E0">
              <w:rPr>
                <w:rFonts w:eastAsia="Calibri"/>
                <w:sz w:val="20"/>
              </w:rPr>
              <w:t>Appeal allowed.</w:t>
            </w:r>
          </w:p>
          <w:p w:rsidR="006A2B6A" w:rsidRPr="00C770E0" w:rsidRDefault="006A2B6A" w:rsidP="00F66694">
            <w:pPr>
              <w:jc w:val="both"/>
              <w:rPr>
                <w:rFonts w:eastAsia="Calibri"/>
                <w:sz w:val="20"/>
              </w:rPr>
            </w:pPr>
          </w:p>
        </w:tc>
      </w:tr>
      <w:tr w:rsidR="006A2B6A" w:rsidRPr="00C770E0" w:rsidTr="00F66694">
        <w:tc>
          <w:tcPr>
            <w:tcW w:w="2427" w:type="pct"/>
          </w:tcPr>
          <w:p w:rsidR="006A2B6A" w:rsidRPr="00C770E0" w:rsidRDefault="006A2B6A" w:rsidP="00F66694">
            <w:pPr>
              <w:jc w:val="both"/>
              <w:rPr>
                <w:rFonts w:eastAsia="Calibri"/>
                <w:sz w:val="20"/>
              </w:rPr>
            </w:pPr>
            <w:r w:rsidRPr="00C770E0">
              <w:rPr>
                <w:rFonts w:eastAsia="Calibri"/>
                <w:sz w:val="20"/>
              </w:rPr>
              <w:t>March 14, 2014</w:t>
            </w:r>
          </w:p>
          <w:p w:rsidR="006A2B6A" w:rsidRPr="00C770E0" w:rsidRDefault="006A2B6A" w:rsidP="00F66694">
            <w:pPr>
              <w:jc w:val="both"/>
              <w:rPr>
                <w:rFonts w:eastAsia="Calibri"/>
                <w:sz w:val="20"/>
              </w:rPr>
            </w:pPr>
            <w:r w:rsidRPr="00C770E0">
              <w:rPr>
                <w:rFonts w:eastAsia="Calibri"/>
                <w:sz w:val="20"/>
              </w:rPr>
              <w:t>Supreme Court of Canada</w:t>
            </w:r>
          </w:p>
        </w:tc>
        <w:tc>
          <w:tcPr>
            <w:tcW w:w="243" w:type="pct"/>
          </w:tcPr>
          <w:p w:rsidR="006A2B6A" w:rsidRPr="00C770E0" w:rsidRDefault="006A2B6A" w:rsidP="00F66694">
            <w:pPr>
              <w:jc w:val="both"/>
              <w:rPr>
                <w:rFonts w:eastAsia="Calibri"/>
                <w:sz w:val="20"/>
              </w:rPr>
            </w:pPr>
          </w:p>
        </w:tc>
        <w:tc>
          <w:tcPr>
            <w:tcW w:w="2330" w:type="pct"/>
          </w:tcPr>
          <w:p w:rsidR="006A2B6A" w:rsidRPr="00C770E0" w:rsidRDefault="006A2B6A" w:rsidP="00F66694">
            <w:pPr>
              <w:jc w:val="both"/>
              <w:rPr>
                <w:rFonts w:eastAsia="Calibri"/>
                <w:sz w:val="20"/>
              </w:rPr>
            </w:pPr>
            <w:r w:rsidRPr="00C770E0">
              <w:rPr>
                <w:rFonts w:eastAsia="Calibri"/>
                <w:sz w:val="20"/>
              </w:rPr>
              <w:t>Application for leave to appeal filed.</w:t>
            </w:r>
          </w:p>
          <w:p w:rsidR="006A2B6A" w:rsidRPr="00C770E0" w:rsidRDefault="006A2B6A" w:rsidP="00F66694">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79"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FA68AD" w:rsidTr="00F66694">
        <w:tc>
          <w:tcPr>
            <w:tcW w:w="5000" w:type="pct"/>
            <w:gridSpan w:val="3"/>
          </w:tcPr>
          <w:p w:rsidR="006A2B6A" w:rsidRPr="00C770E0" w:rsidRDefault="006A2B6A" w:rsidP="00F66694">
            <w:pPr>
              <w:jc w:val="both"/>
              <w:rPr>
                <w:rFonts w:eastAsia="Calibri"/>
                <w:sz w:val="20"/>
                <w:lang w:val="fr-CA"/>
              </w:rPr>
            </w:pPr>
            <w:r w:rsidRPr="00C770E0">
              <w:rPr>
                <w:rFonts w:eastAsia="Calibri"/>
                <w:sz w:val="20"/>
                <w:lang w:val="fr-CA"/>
              </w:rPr>
              <w:t xml:space="preserve">Législation — Interprétation — Location à usage d’habitation — Levée de la déchéance en equity — Le pouvoir large et général de la cour de lever la déchéance en application de l’art. 24 de la </w:t>
            </w:r>
            <w:r w:rsidRPr="00C770E0">
              <w:rPr>
                <w:rFonts w:eastAsia="Calibri"/>
                <w:i/>
                <w:sz w:val="20"/>
                <w:lang w:val="fr-CA"/>
              </w:rPr>
              <w:t>Law and Equity Act</w:t>
            </w:r>
            <w:r w:rsidRPr="00C770E0">
              <w:rPr>
                <w:rFonts w:eastAsia="Calibri"/>
                <w:sz w:val="20"/>
                <w:lang w:val="fr-CA"/>
              </w:rPr>
              <w:t xml:space="preserve">, R.S.B.C. 1996, ch. 253, s’applique-t-il aux différends portant sur le paiement tardif du loyer et les contrats régis par la </w:t>
            </w:r>
            <w:r w:rsidRPr="00C770E0">
              <w:rPr>
                <w:rFonts w:eastAsia="Calibri"/>
                <w:i/>
                <w:sz w:val="20"/>
                <w:lang w:val="fr-CA"/>
              </w:rPr>
              <w:t>Residential Tenancy Act</w:t>
            </w:r>
            <w:r w:rsidRPr="00C770E0">
              <w:rPr>
                <w:rFonts w:eastAsia="Calibri"/>
                <w:sz w:val="20"/>
                <w:lang w:val="fr-CA"/>
              </w:rPr>
              <w:t>, S.B.C. 2002, ch. 78?</w:t>
            </w:r>
          </w:p>
        </w:tc>
      </w:tr>
      <w:tr w:rsidR="006A2B6A" w:rsidRPr="00FA68AD" w:rsidTr="00F66694">
        <w:tc>
          <w:tcPr>
            <w:tcW w:w="5000" w:type="pct"/>
            <w:gridSpan w:val="3"/>
          </w:tcPr>
          <w:p w:rsidR="006A2B6A" w:rsidRPr="00C770E0" w:rsidRDefault="006A2B6A" w:rsidP="00F66694">
            <w:pPr>
              <w:jc w:val="both"/>
              <w:rPr>
                <w:rFonts w:eastAsia="Calibri"/>
                <w:sz w:val="20"/>
                <w:lang w:val="fr-CA"/>
              </w:rPr>
            </w:pPr>
          </w:p>
        </w:tc>
      </w:tr>
      <w:tr w:rsidR="006A2B6A" w:rsidRPr="00FA68AD" w:rsidTr="00F66694">
        <w:tc>
          <w:tcPr>
            <w:tcW w:w="5000" w:type="pct"/>
            <w:gridSpan w:val="3"/>
          </w:tcPr>
          <w:p w:rsidR="006A2B6A" w:rsidRPr="00C770E0" w:rsidRDefault="006A2B6A" w:rsidP="00F66694">
            <w:pPr>
              <w:jc w:val="both"/>
              <w:rPr>
                <w:rFonts w:eastAsia="Calibri"/>
                <w:sz w:val="20"/>
                <w:lang w:val="fr-CA"/>
              </w:rPr>
            </w:pPr>
            <w:r w:rsidRPr="00C770E0">
              <w:rPr>
                <w:rFonts w:eastAsia="Calibri"/>
                <w:sz w:val="20"/>
                <w:lang w:val="fr-CA"/>
              </w:rPr>
              <w:lastRenderedPageBreak/>
              <w:t xml:space="preserve">Madame Ganitano est locataire d’une unité de maison en rangée appartenant à la Metro Vancouver Housing Corporation (la « MVHC »).  Parce Mme Ganitano avait omis de payer son loyer à échéance, la MVHC, agissant conformément aux dispositions de la </w:t>
            </w:r>
            <w:r w:rsidRPr="00C770E0">
              <w:rPr>
                <w:rFonts w:eastAsia="Calibri"/>
                <w:i/>
                <w:sz w:val="20"/>
                <w:lang w:val="fr-CA"/>
              </w:rPr>
              <w:t>Residential Tenancy Act</w:t>
            </w:r>
            <w:r w:rsidRPr="00C770E0">
              <w:rPr>
                <w:rFonts w:eastAsia="Calibri"/>
                <w:sz w:val="20"/>
                <w:lang w:val="fr-CA"/>
              </w:rPr>
              <w:t>, S.B.C. 2002, ch. 78, a pris des mesures pour résilier son bail.  Une agente de règlement des conflits, s’appuyant sur le préavis de dix jours délivré le 6 février 2009, a fini par accorder à la MVHC une ordonnance de mise en possession avec prise d’effet le 31 mai 2011.  L’agente aurait confirmé l’un des deux préavis d’un mois délivrés, mais elle aurait annulé l’autre.  Madame Ganitano a déposé une requête en contrôle judiciaire.  La requête ne visait pas à obtenir la levée de la déchéance, mentionnée pour la première fois dans une déclaration sous serment déposée par Mme Ganitano le 25 avril 2012, sous la rubrique [</w:t>
            </w:r>
            <w:r w:rsidRPr="00C770E0">
              <w:rPr>
                <w:rFonts w:eastAsia="Calibri"/>
                <w:smallCaps/>
                <w:sz w:val="20"/>
                <w:lang w:val="fr-CA"/>
              </w:rPr>
              <w:t>traduction</w:t>
            </w:r>
            <w:r w:rsidRPr="00C770E0">
              <w:rPr>
                <w:rFonts w:eastAsia="Calibri"/>
                <w:sz w:val="20"/>
                <w:lang w:val="fr-CA"/>
              </w:rPr>
              <w:t xml:space="preserve">] « Réparation demandée ».  L’instruction de la requête a été ajournée pour permettre au procureur général de la Colombie-Britannique d’être présent et de présenter des observations relatives à la compétence de la cour pour accorder une levée de la déchéance en application de l’art. 24 de la </w:t>
            </w:r>
            <w:r w:rsidRPr="00C770E0">
              <w:rPr>
                <w:rFonts w:eastAsia="Calibri"/>
                <w:i/>
                <w:sz w:val="20"/>
                <w:lang w:val="fr-CA"/>
              </w:rPr>
              <w:t>Law and Equity Act</w:t>
            </w:r>
            <w:r w:rsidRPr="00C770E0">
              <w:rPr>
                <w:rFonts w:eastAsia="Calibri"/>
                <w:sz w:val="20"/>
                <w:lang w:val="fr-CA"/>
              </w:rPr>
              <w:t xml:space="preserve">, R.S.B.C. 1996, ch. 253.  Le juge qui a prononcé l’ajournement a également ordonné que la requête de Mme Ganitano soit modifiée pour inclure une demande de levée de la déchéance en application de la </w:t>
            </w:r>
            <w:r w:rsidRPr="00C770E0">
              <w:rPr>
                <w:rFonts w:eastAsia="Calibri"/>
                <w:i/>
                <w:sz w:val="20"/>
                <w:lang w:val="fr-CA"/>
              </w:rPr>
              <w:t>Law and Equity Act</w:t>
            </w:r>
            <w:r w:rsidRPr="00C770E0">
              <w:rPr>
                <w:rFonts w:eastAsia="Calibri"/>
                <w:sz w:val="20"/>
                <w:lang w:val="fr-CA"/>
              </w:rPr>
              <w:t xml:space="preserve">. </w:t>
            </w:r>
          </w:p>
          <w:p w:rsidR="006A2B6A" w:rsidRPr="00C770E0" w:rsidRDefault="006A2B6A" w:rsidP="00F66694">
            <w:pPr>
              <w:jc w:val="both"/>
              <w:rPr>
                <w:rFonts w:eastAsia="Calibri"/>
                <w:sz w:val="20"/>
                <w:lang w:val="fr-CA"/>
              </w:rPr>
            </w:pPr>
          </w:p>
          <w:p w:rsidR="006A2B6A" w:rsidRPr="00C770E0" w:rsidRDefault="006A2B6A" w:rsidP="00F66694">
            <w:pPr>
              <w:jc w:val="both"/>
              <w:rPr>
                <w:rFonts w:eastAsia="Calibri"/>
                <w:sz w:val="20"/>
                <w:lang w:val="fr-CA"/>
              </w:rPr>
            </w:pPr>
            <w:r w:rsidRPr="00C770E0">
              <w:rPr>
                <w:rFonts w:eastAsia="Calibri"/>
                <w:sz w:val="20"/>
                <w:lang w:val="fr-CA"/>
              </w:rPr>
              <w:t xml:space="preserve">La juge L. Smith a statué qu’en vertu de l’art. 24, elle avait compétence pour prononcer la levée de la déchéance.  La juge a exercé cette compétence et a ordonné que le bail de Mme Ganitano soit rétabli.  La Cour d’appel a accueilli l’appel, statuant que la levée de la déchéance en equity ne pouvait pas être accordée en application de la </w:t>
            </w:r>
            <w:r w:rsidRPr="00C770E0">
              <w:rPr>
                <w:rFonts w:eastAsia="Calibri"/>
                <w:i/>
                <w:sz w:val="20"/>
                <w:lang w:val="fr-CA"/>
              </w:rPr>
              <w:t>Residential Tenancy Act</w:t>
            </w:r>
            <w:r w:rsidRPr="00C770E0">
              <w:rPr>
                <w:rFonts w:eastAsia="Calibri"/>
                <w:sz w:val="20"/>
                <w:lang w:val="fr-CA"/>
              </w:rPr>
              <w:t>.</w:t>
            </w:r>
          </w:p>
          <w:p w:rsidR="006A2B6A" w:rsidRPr="00C770E0" w:rsidRDefault="006A2B6A" w:rsidP="00F66694">
            <w:pPr>
              <w:jc w:val="both"/>
              <w:rPr>
                <w:rFonts w:eastAsia="Calibri"/>
                <w:sz w:val="20"/>
                <w:lang w:val="fr-CA"/>
              </w:rPr>
            </w:pPr>
          </w:p>
        </w:tc>
      </w:tr>
      <w:tr w:rsidR="006A2B6A" w:rsidRPr="00FA68AD" w:rsidTr="00F66694">
        <w:tc>
          <w:tcPr>
            <w:tcW w:w="2427" w:type="pct"/>
          </w:tcPr>
          <w:p w:rsidR="006A2B6A" w:rsidRPr="00C770E0" w:rsidRDefault="006A2B6A" w:rsidP="00F66694">
            <w:pPr>
              <w:jc w:val="both"/>
              <w:rPr>
                <w:rFonts w:eastAsia="Calibri"/>
                <w:sz w:val="20"/>
                <w:lang w:val="fr-CA"/>
              </w:rPr>
            </w:pPr>
            <w:r w:rsidRPr="00C770E0">
              <w:rPr>
                <w:rFonts w:eastAsia="Calibri"/>
                <w:sz w:val="20"/>
                <w:lang w:val="fr-CA"/>
              </w:rPr>
              <w:t>5 septembre 2012</w:t>
            </w:r>
          </w:p>
          <w:p w:rsidR="006A2B6A" w:rsidRPr="00C770E0" w:rsidRDefault="006A2B6A" w:rsidP="00F66694">
            <w:pPr>
              <w:jc w:val="both"/>
              <w:rPr>
                <w:rFonts w:eastAsia="Calibri"/>
                <w:sz w:val="20"/>
                <w:lang w:val="fr-CA"/>
              </w:rPr>
            </w:pPr>
            <w:r w:rsidRPr="00C770E0">
              <w:rPr>
                <w:rFonts w:eastAsia="Calibri"/>
                <w:sz w:val="20"/>
                <w:lang w:val="fr-CA"/>
              </w:rPr>
              <w:t>Cour suprême de la Colombie-Britannique</w:t>
            </w:r>
          </w:p>
          <w:p w:rsidR="006A2B6A" w:rsidRPr="00C770E0" w:rsidRDefault="006A2B6A" w:rsidP="00F66694">
            <w:pPr>
              <w:jc w:val="both"/>
              <w:rPr>
                <w:rFonts w:eastAsia="Calibri"/>
                <w:sz w:val="20"/>
                <w:lang w:val="fr-CA"/>
              </w:rPr>
            </w:pPr>
            <w:r w:rsidRPr="00C770E0">
              <w:rPr>
                <w:rFonts w:eastAsia="Calibri"/>
                <w:sz w:val="20"/>
                <w:lang w:val="fr-CA"/>
              </w:rPr>
              <w:t>(Juge L. Smith)</w:t>
            </w:r>
          </w:p>
          <w:p w:rsidR="006A2B6A" w:rsidRPr="00C770E0" w:rsidRDefault="00F27688" w:rsidP="00F66694">
            <w:pPr>
              <w:jc w:val="both"/>
              <w:rPr>
                <w:rFonts w:eastAsia="Calibri"/>
                <w:sz w:val="20"/>
                <w:lang w:val="fr-CA"/>
              </w:rPr>
            </w:pPr>
            <w:hyperlink r:id="rId70" w:history="1">
              <w:r w:rsidR="006A2B6A" w:rsidRPr="007305C9">
                <w:rPr>
                  <w:rFonts w:eastAsia="Calibri"/>
                  <w:color w:val="0000FF"/>
                  <w:sz w:val="20"/>
                  <w:u w:val="single"/>
                  <w:lang w:val="fr-CA"/>
                </w:rPr>
                <w:t>2012 BCSC 1308</w:t>
              </w:r>
            </w:hyperlink>
          </w:p>
        </w:tc>
        <w:tc>
          <w:tcPr>
            <w:tcW w:w="243" w:type="pct"/>
          </w:tcPr>
          <w:p w:rsidR="006A2B6A" w:rsidRPr="00C770E0" w:rsidRDefault="006A2B6A" w:rsidP="00F66694">
            <w:pPr>
              <w:jc w:val="both"/>
              <w:rPr>
                <w:rFonts w:eastAsia="Calibri"/>
                <w:sz w:val="20"/>
                <w:lang w:val="fr-CA"/>
              </w:rPr>
            </w:pPr>
          </w:p>
        </w:tc>
        <w:tc>
          <w:tcPr>
            <w:tcW w:w="2330" w:type="pct"/>
          </w:tcPr>
          <w:p w:rsidR="006A2B6A" w:rsidRPr="00C770E0" w:rsidRDefault="006A2B6A" w:rsidP="00F66694">
            <w:pPr>
              <w:jc w:val="both"/>
              <w:rPr>
                <w:rFonts w:eastAsia="Calibri"/>
                <w:sz w:val="20"/>
                <w:lang w:val="fr-CA"/>
              </w:rPr>
            </w:pPr>
            <w:r w:rsidRPr="00C770E0">
              <w:rPr>
                <w:rFonts w:eastAsia="Calibri"/>
                <w:sz w:val="20"/>
                <w:lang w:val="fr-CA"/>
              </w:rPr>
              <w:t xml:space="preserve">Ordonnance de remise en possession suspendue en attendant l’issue de la requête; demande de contrôle judiciaire, rejetée; demande de directives, rejetée; demande subsidiaire de levée de la déchéance en equity en application de l’art. 24 de la </w:t>
            </w:r>
            <w:r w:rsidRPr="00C770E0">
              <w:rPr>
                <w:rFonts w:eastAsia="Calibri"/>
                <w:i/>
                <w:sz w:val="20"/>
                <w:lang w:val="fr-CA"/>
              </w:rPr>
              <w:t>Law and Equity Act</w:t>
            </w:r>
            <w:r w:rsidRPr="00C770E0">
              <w:rPr>
                <w:rFonts w:eastAsia="Calibri"/>
                <w:sz w:val="20"/>
                <w:lang w:val="fr-CA"/>
              </w:rPr>
              <w:t>, accueillie; préavis de dix jours de résiliation du bail pour loyer impayé en date du 6 février 2009 et préavis d’un mois en résiliation motivée du bail délivré le 10 février 2009, annulés; bail rétabli.</w:t>
            </w:r>
          </w:p>
          <w:p w:rsidR="006A2B6A" w:rsidRPr="00C770E0" w:rsidRDefault="006A2B6A" w:rsidP="00F66694">
            <w:pPr>
              <w:jc w:val="both"/>
              <w:rPr>
                <w:rFonts w:eastAsia="Calibri"/>
                <w:sz w:val="20"/>
                <w:lang w:val="fr-CA"/>
              </w:rPr>
            </w:pPr>
          </w:p>
        </w:tc>
      </w:tr>
      <w:tr w:rsidR="006A2B6A" w:rsidRPr="00C770E0" w:rsidTr="00F66694">
        <w:tc>
          <w:tcPr>
            <w:tcW w:w="2427" w:type="pct"/>
          </w:tcPr>
          <w:p w:rsidR="006A2B6A" w:rsidRPr="00C770E0" w:rsidRDefault="006A2B6A" w:rsidP="00F66694">
            <w:pPr>
              <w:jc w:val="both"/>
              <w:rPr>
                <w:rFonts w:eastAsia="Calibri"/>
                <w:sz w:val="20"/>
                <w:lang w:val="fr-CA"/>
              </w:rPr>
            </w:pPr>
            <w:r w:rsidRPr="00C770E0">
              <w:rPr>
                <w:rFonts w:eastAsia="Calibri"/>
                <w:sz w:val="20"/>
                <w:lang w:val="fr-CA"/>
              </w:rPr>
              <w:t>13 janvier 2014</w:t>
            </w:r>
          </w:p>
          <w:p w:rsidR="006A2B6A" w:rsidRPr="00C770E0" w:rsidRDefault="006A2B6A" w:rsidP="00F66694">
            <w:pPr>
              <w:jc w:val="both"/>
              <w:rPr>
                <w:rFonts w:eastAsia="Calibri"/>
                <w:sz w:val="20"/>
                <w:lang w:val="fr-CA"/>
              </w:rPr>
            </w:pPr>
            <w:r w:rsidRPr="00C770E0">
              <w:rPr>
                <w:rFonts w:eastAsia="Calibri"/>
                <w:sz w:val="20"/>
                <w:lang w:val="fr-CA"/>
              </w:rPr>
              <w:t>Cour d’appel de la Colombie-Britannique</w:t>
            </w:r>
          </w:p>
          <w:p w:rsidR="006A2B6A" w:rsidRPr="00C770E0" w:rsidRDefault="006A2B6A" w:rsidP="00F66694">
            <w:pPr>
              <w:jc w:val="both"/>
              <w:rPr>
                <w:rFonts w:eastAsia="Calibri"/>
                <w:sz w:val="20"/>
                <w:lang w:val="fr-CA"/>
              </w:rPr>
            </w:pPr>
            <w:r w:rsidRPr="00C770E0">
              <w:rPr>
                <w:rFonts w:eastAsia="Calibri"/>
                <w:sz w:val="20"/>
                <w:lang w:val="fr-CA"/>
              </w:rPr>
              <w:t>(Vancouver)</w:t>
            </w:r>
          </w:p>
          <w:p w:rsidR="006A2B6A" w:rsidRPr="00C770E0" w:rsidRDefault="006A2B6A" w:rsidP="00F66694">
            <w:pPr>
              <w:jc w:val="both"/>
              <w:rPr>
                <w:rFonts w:eastAsia="Calibri"/>
                <w:sz w:val="20"/>
                <w:lang w:val="fr-CA"/>
              </w:rPr>
            </w:pPr>
            <w:r w:rsidRPr="00C770E0">
              <w:rPr>
                <w:rFonts w:eastAsia="Calibri"/>
                <w:sz w:val="20"/>
                <w:lang w:val="fr-CA"/>
              </w:rPr>
              <w:t xml:space="preserve">(Juges Frankel, Tysoe, D. Smith, Groberman, </w:t>
            </w:r>
          </w:p>
          <w:p w:rsidR="006A2B6A" w:rsidRPr="00C770E0" w:rsidRDefault="006A2B6A" w:rsidP="00F66694">
            <w:pPr>
              <w:jc w:val="both"/>
              <w:rPr>
                <w:rFonts w:eastAsia="Calibri"/>
                <w:sz w:val="20"/>
                <w:lang w:val="fr-CA"/>
              </w:rPr>
            </w:pPr>
            <w:r w:rsidRPr="00C770E0">
              <w:rPr>
                <w:rFonts w:eastAsia="Calibri"/>
                <w:sz w:val="20"/>
                <w:lang w:val="fr-CA"/>
              </w:rPr>
              <w:t>et Stromberg</w:t>
            </w:r>
            <w:r w:rsidRPr="00C770E0">
              <w:rPr>
                <w:rFonts w:eastAsia="Calibri"/>
                <w:sz w:val="20"/>
                <w:lang w:val="fr-CA"/>
              </w:rPr>
              <w:noBreakHyphen/>
              <w:t>Stein)</w:t>
            </w:r>
          </w:p>
          <w:p w:rsidR="006A2B6A" w:rsidRPr="00C770E0" w:rsidRDefault="00F27688" w:rsidP="00F66694">
            <w:pPr>
              <w:jc w:val="both"/>
              <w:rPr>
                <w:rFonts w:eastAsia="Calibri"/>
                <w:sz w:val="20"/>
                <w:lang w:val="fr-CA"/>
              </w:rPr>
            </w:pPr>
            <w:hyperlink r:id="rId71" w:history="1">
              <w:r w:rsidR="006A2B6A" w:rsidRPr="007305C9">
                <w:rPr>
                  <w:rFonts w:eastAsia="Calibri"/>
                  <w:color w:val="0000FF"/>
                  <w:sz w:val="20"/>
                  <w:u w:val="single"/>
                  <w:lang w:val="fr-CA"/>
                </w:rPr>
                <w:t>2014 BCCA 10</w:t>
              </w:r>
            </w:hyperlink>
          </w:p>
          <w:p w:rsidR="006A2B6A" w:rsidRPr="00C770E0" w:rsidRDefault="006A2B6A" w:rsidP="00F66694">
            <w:pPr>
              <w:jc w:val="both"/>
              <w:rPr>
                <w:rFonts w:eastAsia="Calibri"/>
                <w:sz w:val="20"/>
                <w:lang w:val="fr-CA"/>
              </w:rPr>
            </w:pPr>
          </w:p>
          <w:p w:rsidR="006A2B6A" w:rsidRPr="00C770E0" w:rsidRDefault="006A2B6A" w:rsidP="00F66694">
            <w:pPr>
              <w:jc w:val="both"/>
              <w:rPr>
                <w:rFonts w:eastAsia="Calibri"/>
                <w:sz w:val="20"/>
                <w:lang w:val="fr-CA"/>
              </w:rPr>
            </w:pPr>
          </w:p>
        </w:tc>
        <w:tc>
          <w:tcPr>
            <w:tcW w:w="243" w:type="pct"/>
          </w:tcPr>
          <w:p w:rsidR="006A2B6A" w:rsidRPr="00C770E0" w:rsidRDefault="006A2B6A" w:rsidP="00F66694">
            <w:pPr>
              <w:jc w:val="both"/>
              <w:rPr>
                <w:rFonts w:eastAsia="Calibri"/>
                <w:sz w:val="20"/>
                <w:lang w:val="fr-CA"/>
              </w:rPr>
            </w:pPr>
          </w:p>
        </w:tc>
        <w:tc>
          <w:tcPr>
            <w:tcW w:w="2330" w:type="pct"/>
          </w:tcPr>
          <w:p w:rsidR="006A2B6A" w:rsidRPr="00C770E0" w:rsidRDefault="006A2B6A" w:rsidP="00F66694">
            <w:pPr>
              <w:jc w:val="both"/>
              <w:rPr>
                <w:rFonts w:eastAsia="Calibri"/>
                <w:sz w:val="20"/>
                <w:lang w:val="fr-CA"/>
              </w:rPr>
            </w:pPr>
            <w:r w:rsidRPr="00C770E0">
              <w:rPr>
                <w:rFonts w:eastAsia="Calibri"/>
                <w:sz w:val="20"/>
                <w:lang w:val="fr-CA"/>
              </w:rPr>
              <w:t>Appel accueilli.</w:t>
            </w:r>
          </w:p>
          <w:p w:rsidR="006A2B6A" w:rsidRPr="00C770E0" w:rsidRDefault="006A2B6A" w:rsidP="00F66694">
            <w:pPr>
              <w:jc w:val="both"/>
              <w:rPr>
                <w:rFonts w:eastAsia="Calibri"/>
                <w:sz w:val="20"/>
                <w:lang w:val="fr-CA"/>
              </w:rPr>
            </w:pPr>
          </w:p>
        </w:tc>
      </w:tr>
      <w:tr w:rsidR="006A2B6A" w:rsidRPr="00C770E0" w:rsidTr="00F66694">
        <w:tc>
          <w:tcPr>
            <w:tcW w:w="2427" w:type="pct"/>
          </w:tcPr>
          <w:p w:rsidR="006A2B6A" w:rsidRPr="00C770E0" w:rsidRDefault="006A2B6A" w:rsidP="00F66694">
            <w:pPr>
              <w:jc w:val="both"/>
              <w:rPr>
                <w:rFonts w:eastAsia="Calibri"/>
                <w:sz w:val="20"/>
                <w:lang w:val="fr-CA"/>
              </w:rPr>
            </w:pPr>
            <w:r w:rsidRPr="00C770E0">
              <w:rPr>
                <w:rFonts w:eastAsia="Calibri"/>
                <w:sz w:val="20"/>
                <w:lang w:val="fr-CA"/>
              </w:rPr>
              <w:t>14 mars 2014</w:t>
            </w:r>
          </w:p>
          <w:p w:rsidR="006A2B6A" w:rsidRPr="00C770E0" w:rsidRDefault="006A2B6A" w:rsidP="00F66694">
            <w:pPr>
              <w:jc w:val="both"/>
              <w:rPr>
                <w:rFonts w:eastAsia="Calibri"/>
                <w:sz w:val="20"/>
                <w:lang w:val="fr-CA"/>
              </w:rPr>
            </w:pPr>
            <w:r w:rsidRPr="00C770E0">
              <w:rPr>
                <w:rFonts w:eastAsia="Calibri"/>
                <w:sz w:val="20"/>
                <w:lang w:val="fr-CA"/>
              </w:rPr>
              <w:t>Cour suprême du Canada</w:t>
            </w:r>
          </w:p>
        </w:tc>
        <w:tc>
          <w:tcPr>
            <w:tcW w:w="243" w:type="pct"/>
          </w:tcPr>
          <w:p w:rsidR="006A2B6A" w:rsidRPr="00C770E0" w:rsidRDefault="006A2B6A" w:rsidP="00F66694">
            <w:pPr>
              <w:jc w:val="both"/>
              <w:rPr>
                <w:rFonts w:eastAsia="Calibri"/>
                <w:sz w:val="20"/>
                <w:lang w:val="fr-CA"/>
              </w:rPr>
            </w:pPr>
          </w:p>
        </w:tc>
        <w:tc>
          <w:tcPr>
            <w:tcW w:w="2330" w:type="pct"/>
          </w:tcPr>
          <w:p w:rsidR="006A2B6A" w:rsidRPr="00C770E0" w:rsidRDefault="006A2B6A" w:rsidP="00F66694">
            <w:pPr>
              <w:jc w:val="both"/>
              <w:rPr>
                <w:rFonts w:eastAsia="Calibri"/>
                <w:sz w:val="20"/>
                <w:lang w:val="fr-CA"/>
              </w:rPr>
            </w:pPr>
            <w:r w:rsidRPr="00C770E0">
              <w:rPr>
                <w:rFonts w:eastAsia="Calibri"/>
                <w:sz w:val="20"/>
                <w:lang w:val="fr-CA"/>
              </w:rPr>
              <w:t>Demande d’autorisation d’appel, déposée.</w:t>
            </w: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80" style="width:2in;height:1pt" o:hrpct="0" o:hralign="center" o:hrstd="t" o:hrnoshade="t" o:hr="t" fillcolor="black [3213]" stroked="f"/>
        </w:pict>
      </w:r>
    </w:p>
    <w:p w:rsidR="0096146C" w:rsidRDefault="0096146C" w:rsidP="0096146C">
      <w:pPr>
        <w:rPr>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74764" w:rsidRPr="00874764" w:rsidTr="00162E9D">
        <w:trPr>
          <w:cantSplit/>
        </w:trPr>
        <w:tc>
          <w:tcPr>
            <w:tcW w:w="1458" w:type="dxa"/>
          </w:tcPr>
          <w:p w:rsidR="00874764" w:rsidRPr="00874764" w:rsidRDefault="00874764" w:rsidP="00874764">
            <w:pPr>
              <w:rPr>
                <w:sz w:val="20"/>
              </w:rPr>
            </w:pPr>
            <w:r w:rsidRPr="00874764">
              <w:rPr>
                <w:b/>
                <w:sz w:val="20"/>
                <w:lang w:val="fr-CA"/>
              </w:rPr>
              <w:t>35778</w:t>
            </w:r>
          </w:p>
          <w:p w:rsidR="00874764" w:rsidRPr="00874764" w:rsidRDefault="00874764" w:rsidP="00874764">
            <w:pPr>
              <w:rPr>
                <w:b/>
                <w:sz w:val="20"/>
                <w:lang w:val="fr-CA"/>
              </w:rPr>
            </w:pPr>
          </w:p>
        </w:tc>
        <w:tc>
          <w:tcPr>
            <w:tcW w:w="8118" w:type="dxa"/>
          </w:tcPr>
          <w:p w:rsidR="00874764" w:rsidRPr="00874764" w:rsidRDefault="00874764" w:rsidP="00874764">
            <w:pPr>
              <w:jc w:val="both"/>
              <w:rPr>
                <w:sz w:val="20"/>
              </w:rPr>
            </w:pPr>
            <w:r w:rsidRPr="00874764">
              <w:rPr>
                <w:b/>
                <w:sz w:val="20"/>
                <w:u w:val="single"/>
                <w:lang w:val="fr-CA"/>
              </w:rPr>
              <w:t>Maxwell Lloyd v. Commission des lésions professionnelles</w:t>
            </w:r>
            <w:r>
              <w:rPr>
                <w:b/>
                <w:sz w:val="20"/>
                <w:u w:val="single"/>
                <w:lang w:val="fr-CA"/>
              </w:rPr>
              <w:t xml:space="preserve"> and</w:t>
            </w:r>
            <w:r w:rsidRPr="00874764">
              <w:rPr>
                <w:b/>
                <w:sz w:val="20"/>
                <w:u w:val="single"/>
                <w:lang w:val="fr-CA"/>
              </w:rPr>
              <w:t xml:space="preserve"> Douglas Hospital Institute</w:t>
            </w:r>
            <w:r w:rsidRPr="00874764">
              <w:rPr>
                <w:sz w:val="20"/>
                <w:lang w:val="fr-CA"/>
              </w:rPr>
              <w:t xml:space="preserve"> (Que.) </w:t>
            </w:r>
            <w:r w:rsidRPr="00874764">
              <w:rPr>
                <w:sz w:val="20"/>
              </w:rPr>
              <w:t>(Civil) (By Leave)</w:t>
            </w:r>
          </w:p>
          <w:p w:rsidR="00874764" w:rsidRPr="00874764" w:rsidRDefault="00874764" w:rsidP="00874764">
            <w:pPr>
              <w:jc w:val="both"/>
              <w:rPr>
                <w:sz w:val="20"/>
              </w:rPr>
            </w:pPr>
          </w:p>
        </w:tc>
      </w:tr>
      <w:tr w:rsidR="00874764" w:rsidRPr="00874764" w:rsidTr="00162E9D">
        <w:trPr>
          <w:cantSplit/>
        </w:trPr>
        <w:tc>
          <w:tcPr>
            <w:tcW w:w="1458" w:type="dxa"/>
          </w:tcPr>
          <w:p w:rsidR="00874764" w:rsidRPr="00874764" w:rsidRDefault="00874764" w:rsidP="00874764">
            <w:pPr>
              <w:rPr>
                <w:sz w:val="20"/>
              </w:rPr>
            </w:pPr>
            <w:r w:rsidRPr="00874764">
              <w:rPr>
                <w:sz w:val="20"/>
              </w:rPr>
              <w:t>Coram :</w:t>
            </w:r>
          </w:p>
        </w:tc>
        <w:tc>
          <w:tcPr>
            <w:tcW w:w="8118" w:type="dxa"/>
          </w:tcPr>
          <w:p w:rsidR="00874764" w:rsidRPr="00874764" w:rsidRDefault="00874764" w:rsidP="00874764">
            <w:pPr>
              <w:rPr>
                <w:sz w:val="20"/>
              </w:rPr>
            </w:pPr>
            <w:r w:rsidRPr="00874764">
              <w:rPr>
                <w:sz w:val="20"/>
                <w:u w:val="single"/>
              </w:rPr>
              <w:t>LeBel, Karakatsanis and Wagner JJ.</w:t>
            </w:r>
          </w:p>
          <w:p w:rsidR="00874764" w:rsidRPr="00874764" w:rsidRDefault="00874764" w:rsidP="00874764">
            <w:pPr>
              <w:rPr>
                <w:sz w:val="20"/>
                <w:u w:val="single"/>
              </w:rPr>
            </w:pPr>
          </w:p>
        </w:tc>
      </w:tr>
      <w:tr w:rsidR="00874764" w:rsidRPr="00FA68AD" w:rsidTr="00162E9D">
        <w:trPr>
          <w:cantSplit/>
        </w:trPr>
        <w:tc>
          <w:tcPr>
            <w:tcW w:w="9576" w:type="dxa"/>
            <w:gridSpan w:val="2"/>
          </w:tcPr>
          <w:p w:rsidR="00874764" w:rsidRPr="00874764" w:rsidRDefault="00874764" w:rsidP="00874764">
            <w:pPr>
              <w:ind w:firstLine="720"/>
              <w:jc w:val="both"/>
              <w:rPr>
                <w:sz w:val="20"/>
              </w:rPr>
            </w:pPr>
            <w:r w:rsidRPr="00874764">
              <w:rPr>
                <w:sz w:val="20"/>
              </w:rPr>
              <w:lastRenderedPageBreak/>
              <w:t>The application for leave to appeal from the judgment of the Court of Appeal of Quebec (Montréal), Number 500-09-023567-134, 2014 QCCA 85, dated January 16, 2014, is dismissed without costs.</w:t>
            </w:r>
          </w:p>
          <w:p w:rsidR="00874764" w:rsidRPr="00874764" w:rsidRDefault="00874764" w:rsidP="00874764">
            <w:pPr>
              <w:jc w:val="both"/>
              <w:rPr>
                <w:sz w:val="20"/>
              </w:rPr>
            </w:pPr>
          </w:p>
          <w:p w:rsidR="00874764" w:rsidRPr="00874764" w:rsidRDefault="00874764" w:rsidP="00874764">
            <w:pPr>
              <w:ind w:firstLine="720"/>
              <w:jc w:val="both"/>
              <w:rPr>
                <w:sz w:val="20"/>
                <w:lang w:val="fr-CA"/>
              </w:rPr>
            </w:pPr>
            <w:r w:rsidRPr="00874764">
              <w:rPr>
                <w:sz w:val="20"/>
                <w:lang w:val="fr-CA"/>
              </w:rPr>
              <w:t>La demande d’autorisation d’appel de l’arrêt de la Cour d’appel du Québec (Montréal), numéro 500-09-023567-134, 2014 QCCA 85, daté du 16 janvier 2014, est rejetée sans dépens.</w:t>
            </w:r>
          </w:p>
        </w:tc>
      </w:tr>
    </w:tbl>
    <w:p w:rsidR="0096146C" w:rsidRPr="00874764" w:rsidRDefault="0096146C" w:rsidP="0096146C">
      <w:pPr>
        <w:rPr>
          <w:sz w:val="20"/>
          <w:szCs w:val="20"/>
          <w:lang w:val="fr-CA"/>
        </w:rPr>
      </w:pPr>
    </w:p>
    <w:p w:rsidR="0096146C" w:rsidRPr="001B157C" w:rsidRDefault="0096146C" w:rsidP="0096146C">
      <w:pPr>
        <w:rPr>
          <w:sz w:val="20"/>
          <w:szCs w:val="20"/>
          <w:u w:val="single"/>
        </w:rPr>
      </w:pPr>
      <w:r w:rsidRPr="001B157C">
        <w:rPr>
          <w:sz w:val="20"/>
          <w:szCs w:val="20"/>
          <w:u w:val="single"/>
        </w:rPr>
        <w:t>CASE SUMMARY</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D21141" w:rsidTr="00F66694">
        <w:tc>
          <w:tcPr>
            <w:tcW w:w="5000" w:type="pct"/>
            <w:gridSpan w:val="3"/>
          </w:tcPr>
          <w:p w:rsidR="006A2B6A" w:rsidRPr="00D21141" w:rsidRDefault="006A2B6A" w:rsidP="00F66694">
            <w:pPr>
              <w:jc w:val="both"/>
              <w:rPr>
                <w:rFonts w:eastAsia="Calibri"/>
                <w:sz w:val="20"/>
              </w:rPr>
            </w:pPr>
            <w:r w:rsidRPr="00D21141">
              <w:rPr>
                <w:rFonts w:eastAsia="Calibri"/>
                <w:sz w:val="20"/>
              </w:rPr>
              <w:t>Labour relations — Discrimination — Refusal of employer to hire a previously injured employee in executive functions — Did the courts err in confirming the administrative decision finding no link between the injury and the refusal?</w:t>
            </w:r>
          </w:p>
        </w:tc>
      </w:tr>
      <w:tr w:rsidR="006A2B6A" w:rsidRPr="00D21141" w:rsidTr="00F66694">
        <w:tc>
          <w:tcPr>
            <w:tcW w:w="5000" w:type="pct"/>
            <w:gridSpan w:val="3"/>
          </w:tcPr>
          <w:p w:rsidR="006A2B6A" w:rsidRPr="00D21141" w:rsidRDefault="006A2B6A" w:rsidP="00F66694">
            <w:pPr>
              <w:jc w:val="both"/>
              <w:rPr>
                <w:rFonts w:eastAsia="Calibri"/>
                <w:sz w:val="20"/>
              </w:rPr>
            </w:pPr>
          </w:p>
        </w:tc>
      </w:tr>
      <w:tr w:rsidR="006A2B6A" w:rsidRPr="00D21141" w:rsidTr="00F66694">
        <w:tc>
          <w:tcPr>
            <w:tcW w:w="5000" w:type="pct"/>
            <w:gridSpan w:val="3"/>
          </w:tcPr>
          <w:p w:rsidR="006A2B6A" w:rsidRPr="00D21141" w:rsidRDefault="006A2B6A" w:rsidP="00F66694">
            <w:pPr>
              <w:jc w:val="both"/>
              <w:rPr>
                <w:rFonts w:eastAsia="Calibri"/>
                <w:sz w:val="20"/>
              </w:rPr>
            </w:pPr>
            <w:r w:rsidRPr="00D21141">
              <w:rPr>
                <w:rFonts w:eastAsia="Calibri"/>
                <w:sz w:val="20"/>
              </w:rPr>
              <w:t>Mr. Lloyd suffered a serious work accident in 1997 while working at Douglas hospital as a nursing assistant.  He went back to work at some point and suffered a relapse that left him even more severely affected.  He was then found unable to return to his previous position as a result of the sequels and is still receiving benefits from the Commission de la santé et de la sécurité du travail.  In February 2009, he applied for a managerial position with the hospital and the position was not granted to him.  He contended that the hospital’s refusal was a result of his injury. In October, 2010, a conciliator-decider (CSST) rejected his argument.</w:t>
            </w:r>
          </w:p>
          <w:p w:rsidR="006A2B6A" w:rsidRPr="00D21141" w:rsidRDefault="006A2B6A" w:rsidP="00F66694">
            <w:pPr>
              <w:jc w:val="both"/>
              <w:rPr>
                <w:rFonts w:eastAsia="Calibri"/>
                <w:sz w:val="20"/>
              </w:rPr>
            </w:pPr>
          </w:p>
        </w:tc>
      </w:tr>
      <w:tr w:rsidR="006A2B6A" w:rsidRPr="00D21141" w:rsidTr="00F66694">
        <w:tc>
          <w:tcPr>
            <w:tcW w:w="2427" w:type="pct"/>
          </w:tcPr>
          <w:p w:rsidR="006A2B6A" w:rsidRPr="00D21141" w:rsidRDefault="006A2B6A" w:rsidP="00F66694">
            <w:pPr>
              <w:jc w:val="both"/>
              <w:rPr>
                <w:rFonts w:eastAsia="Calibri"/>
                <w:sz w:val="20"/>
                <w:lang w:val="fr-CA"/>
              </w:rPr>
            </w:pPr>
            <w:r w:rsidRPr="00D21141">
              <w:rPr>
                <w:rFonts w:eastAsia="Calibri"/>
                <w:sz w:val="20"/>
                <w:lang w:val="fr-CA"/>
              </w:rPr>
              <w:t>January 18, 2012</w:t>
            </w:r>
          </w:p>
          <w:p w:rsidR="006A2B6A" w:rsidRPr="00D21141" w:rsidRDefault="006A2B6A" w:rsidP="00F66694">
            <w:pPr>
              <w:jc w:val="both"/>
              <w:rPr>
                <w:rFonts w:eastAsia="Calibri"/>
                <w:sz w:val="20"/>
                <w:lang w:val="fr-CA"/>
              </w:rPr>
            </w:pPr>
            <w:r w:rsidRPr="00D21141">
              <w:rPr>
                <w:rFonts w:eastAsia="Calibri"/>
                <w:sz w:val="20"/>
                <w:lang w:val="fr-CA"/>
              </w:rPr>
              <w:t>Commission des lésions professionnelles</w:t>
            </w:r>
          </w:p>
          <w:p w:rsidR="006A2B6A" w:rsidRPr="00D21141" w:rsidRDefault="006A2B6A" w:rsidP="00F66694">
            <w:pPr>
              <w:jc w:val="both"/>
              <w:rPr>
                <w:rFonts w:eastAsia="Calibri"/>
                <w:sz w:val="20"/>
                <w:lang w:val="fr-CA"/>
              </w:rPr>
            </w:pPr>
            <w:r w:rsidRPr="00D21141">
              <w:rPr>
                <w:rFonts w:eastAsia="Calibri"/>
                <w:sz w:val="20"/>
                <w:lang w:val="fr-CA"/>
              </w:rPr>
              <w:t>(Larouche, AJ., Lemoyne and Desrosiers)</w:t>
            </w:r>
          </w:p>
          <w:p w:rsidR="006A2B6A" w:rsidRPr="00D21141" w:rsidRDefault="006A2B6A" w:rsidP="00F66694">
            <w:pPr>
              <w:jc w:val="both"/>
              <w:rPr>
                <w:rFonts w:eastAsia="Calibri"/>
                <w:sz w:val="20"/>
                <w:lang w:val="fr-CA"/>
              </w:rPr>
            </w:pPr>
          </w:p>
        </w:tc>
        <w:tc>
          <w:tcPr>
            <w:tcW w:w="243" w:type="pct"/>
          </w:tcPr>
          <w:p w:rsidR="006A2B6A" w:rsidRPr="00D21141" w:rsidRDefault="006A2B6A" w:rsidP="00F66694">
            <w:pPr>
              <w:jc w:val="both"/>
              <w:rPr>
                <w:rFonts w:eastAsia="Calibri"/>
                <w:sz w:val="20"/>
                <w:lang w:val="fr-FR"/>
              </w:rPr>
            </w:pPr>
          </w:p>
        </w:tc>
        <w:tc>
          <w:tcPr>
            <w:tcW w:w="2330" w:type="pct"/>
          </w:tcPr>
          <w:p w:rsidR="006A2B6A" w:rsidRPr="00D21141" w:rsidRDefault="006A2B6A" w:rsidP="00F66694">
            <w:pPr>
              <w:jc w:val="both"/>
              <w:rPr>
                <w:rFonts w:eastAsia="Calibri"/>
                <w:sz w:val="20"/>
              </w:rPr>
            </w:pPr>
            <w:r w:rsidRPr="00D21141">
              <w:rPr>
                <w:rFonts w:eastAsia="Calibri"/>
                <w:sz w:val="20"/>
              </w:rPr>
              <w:t>Applicant’s motion dismissed.</w:t>
            </w:r>
          </w:p>
          <w:p w:rsidR="006A2B6A" w:rsidRPr="00D21141" w:rsidRDefault="006A2B6A" w:rsidP="00F66694">
            <w:pPr>
              <w:jc w:val="both"/>
              <w:rPr>
                <w:rFonts w:eastAsia="Calibri"/>
                <w:sz w:val="20"/>
                <w:lang w:val="fr-FR"/>
              </w:rPr>
            </w:pPr>
          </w:p>
        </w:tc>
      </w:tr>
      <w:tr w:rsidR="006A2B6A" w:rsidRPr="00D21141" w:rsidTr="00F66694">
        <w:tc>
          <w:tcPr>
            <w:tcW w:w="2427" w:type="pct"/>
          </w:tcPr>
          <w:p w:rsidR="006A2B6A" w:rsidRPr="00D21141" w:rsidRDefault="006A2B6A" w:rsidP="00F66694">
            <w:pPr>
              <w:jc w:val="both"/>
              <w:rPr>
                <w:rFonts w:eastAsia="Calibri"/>
                <w:sz w:val="20"/>
              </w:rPr>
            </w:pPr>
            <w:r w:rsidRPr="00D21141">
              <w:rPr>
                <w:rFonts w:eastAsia="Calibri"/>
                <w:sz w:val="20"/>
              </w:rPr>
              <w:t>April 11, 2013</w:t>
            </w:r>
          </w:p>
          <w:p w:rsidR="006A2B6A" w:rsidRPr="00D21141" w:rsidRDefault="006A2B6A" w:rsidP="00F66694">
            <w:pPr>
              <w:jc w:val="both"/>
              <w:rPr>
                <w:rFonts w:eastAsia="Calibri"/>
                <w:sz w:val="20"/>
              </w:rPr>
            </w:pPr>
            <w:r w:rsidRPr="00D21141">
              <w:rPr>
                <w:rFonts w:eastAsia="Calibri"/>
                <w:sz w:val="20"/>
              </w:rPr>
              <w:t>Superior Court of Quebec</w:t>
            </w:r>
          </w:p>
          <w:p w:rsidR="006A2B6A" w:rsidRPr="00D21141" w:rsidRDefault="006A2B6A" w:rsidP="00F66694">
            <w:pPr>
              <w:jc w:val="both"/>
              <w:rPr>
                <w:rFonts w:eastAsia="Calibri"/>
                <w:sz w:val="20"/>
              </w:rPr>
            </w:pPr>
            <w:r w:rsidRPr="00D21141">
              <w:rPr>
                <w:rFonts w:eastAsia="Calibri"/>
                <w:sz w:val="20"/>
              </w:rPr>
              <w:t>(Le Bel J.)</w:t>
            </w:r>
          </w:p>
          <w:bookmarkStart w:id="4" w:name="reflex-caselaw-24180894"/>
          <w:bookmarkEnd w:id="4"/>
          <w:p w:rsidR="006A2B6A" w:rsidRPr="00D21141" w:rsidRDefault="003172C2" w:rsidP="00F66694">
            <w:pPr>
              <w:jc w:val="both"/>
              <w:rPr>
                <w:rFonts w:eastAsia="Calibri"/>
                <w:sz w:val="20"/>
              </w:rPr>
            </w:pPr>
            <w:r w:rsidRPr="00D21141">
              <w:rPr>
                <w:rFonts w:eastAsia="Calibri"/>
                <w:sz w:val="20"/>
              </w:rPr>
              <w:fldChar w:fldCharType="begin"/>
            </w:r>
            <w:r w:rsidR="006A2B6A" w:rsidRPr="00D21141">
              <w:rPr>
                <w:rFonts w:eastAsia="Calibri"/>
                <w:sz w:val="20"/>
              </w:rPr>
              <w:instrText xml:space="preserve"> HYPERLINK "http://www.canlii.org/en/qc/qccs/doc/2013/2013qccs1492/2013qccs1492.html" </w:instrText>
            </w:r>
            <w:r w:rsidR="00F27688" w:rsidRPr="00D21141">
              <w:rPr>
                <w:rFonts w:eastAsia="Calibri"/>
                <w:sz w:val="20"/>
              </w:rPr>
            </w:r>
            <w:r w:rsidRPr="00D21141">
              <w:rPr>
                <w:rFonts w:eastAsia="Calibri"/>
                <w:sz w:val="20"/>
              </w:rPr>
              <w:fldChar w:fldCharType="separate"/>
            </w:r>
            <w:r w:rsidR="006A2B6A" w:rsidRPr="007A481A">
              <w:rPr>
                <w:rFonts w:eastAsia="Calibri"/>
                <w:color w:val="0000FF"/>
                <w:sz w:val="20"/>
                <w:u w:val="single"/>
              </w:rPr>
              <w:t>2013 QCCS 1492</w:t>
            </w:r>
            <w:r w:rsidRPr="00D21141">
              <w:rPr>
                <w:rFonts w:eastAsia="Calibri"/>
                <w:sz w:val="20"/>
              </w:rPr>
              <w:fldChar w:fldCharType="end"/>
            </w:r>
          </w:p>
          <w:p w:rsidR="006A2B6A" w:rsidRPr="00D21141" w:rsidRDefault="006A2B6A" w:rsidP="00F66694">
            <w:pPr>
              <w:jc w:val="both"/>
              <w:rPr>
                <w:rFonts w:eastAsia="Calibri"/>
                <w:sz w:val="20"/>
              </w:rPr>
            </w:pPr>
          </w:p>
        </w:tc>
        <w:tc>
          <w:tcPr>
            <w:tcW w:w="243" w:type="pct"/>
          </w:tcPr>
          <w:p w:rsidR="006A2B6A" w:rsidRPr="00D21141" w:rsidRDefault="006A2B6A" w:rsidP="00F66694">
            <w:pPr>
              <w:jc w:val="both"/>
              <w:rPr>
                <w:rFonts w:eastAsia="Calibri"/>
                <w:sz w:val="20"/>
              </w:rPr>
            </w:pPr>
          </w:p>
        </w:tc>
        <w:tc>
          <w:tcPr>
            <w:tcW w:w="2330" w:type="pct"/>
          </w:tcPr>
          <w:p w:rsidR="006A2B6A" w:rsidRPr="00D21141" w:rsidRDefault="006A2B6A" w:rsidP="00F66694">
            <w:pPr>
              <w:jc w:val="both"/>
              <w:rPr>
                <w:rFonts w:eastAsia="Calibri"/>
                <w:sz w:val="20"/>
              </w:rPr>
            </w:pPr>
            <w:r w:rsidRPr="00D21141">
              <w:rPr>
                <w:rFonts w:eastAsia="Calibri"/>
                <w:sz w:val="20"/>
              </w:rPr>
              <w:t>Administrative decision confirmed.</w:t>
            </w:r>
          </w:p>
          <w:p w:rsidR="006A2B6A" w:rsidRPr="00D21141" w:rsidRDefault="006A2B6A" w:rsidP="00F66694">
            <w:pPr>
              <w:jc w:val="both"/>
              <w:rPr>
                <w:rFonts w:eastAsia="Calibri"/>
                <w:sz w:val="20"/>
              </w:rPr>
            </w:pPr>
          </w:p>
        </w:tc>
      </w:tr>
      <w:tr w:rsidR="006A2B6A" w:rsidRPr="00D21141" w:rsidTr="00F66694">
        <w:tc>
          <w:tcPr>
            <w:tcW w:w="2427" w:type="pct"/>
          </w:tcPr>
          <w:p w:rsidR="006A2B6A" w:rsidRPr="00D21141" w:rsidRDefault="006A2B6A" w:rsidP="00F66694">
            <w:pPr>
              <w:jc w:val="both"/>
              <w:rPr>
                <w:rFonts w:eastAsia="Calibri"/>
                <w:sz w:val="20"/>
              </w:rPr>
            </w:pPr>
            <w:r w:rsidRPr="00D21141">
              <w:rPr>
                <w:rFonts w:eastAsia="Calibri"/>
                <w:sz w:val="20"/>
              </w:rPr>
              <w:t>January 16, 2014</w:t>
            </w:r>
          </w:p>
          <w:p w:rsidR="006A2B6A" w:rsidRPr="00D21141" w:rsidRDefault="006A2B6A" w:rsidP="00F66694">
            <w:pPr>
              <w:jc w:val="both"/>
              <w:rPr>
                <w:rFonts w:eastAsia="Calibri"/>
                <w:sz w:val="20"/>
              </w:rPr>
            </w:pPr>
            <w:r w:rsidRPr="00D21141">
              <w:rPr>
                <w:rFonts w:eastAsia="Calibri"/>
                <w:sz w:val="20"/>
              </w:rPr>
              <w:t>Court of Appeal of Quebec (Montréal)</w:t>
            </w:r>
          </w:p>
          <w:p w:rsidR="006A2B6A" w:rsidRPr="00D21141" w:rsidRDefault="006A2B6A" w:rsidP="00F66694">
            <w:pPr>
              <w:jc w:val="both"/>
              <w:rPr>
                <w:rFonts w:eastAsia="Calibri"/>
                <w:sz w:val="20"/>
              </w:rPr>
            </w:pPr>
            <w:r w:rsidRPr="00D21141">
              <w:rPr>
                <w:rFonts w:eastAsia="Calibri"/>
                <w:sz w:val="20"/>
              </w:rPr>
              <w:t>(Hilton, Gagnon and Savard JJ.)</w:t>
            </w:r>
          </w:p>
          <w:bookmarkStart w:id="5" w:name="reflex-caselaw-23667564"/>
          <w:bookmarkEnd w:id="5"/>
          <w:p w:rsidR="006A2B6A" w:rsidRPr="00D21141" w:rsidRDefault="003172C2" w:rsidP="00F66694">
            <w:pPr>
              <w:jc w:val="both"/>
              <w:rPr>
                <w:rFonts w:eastAsia="Calibri"/>
                <w:sz w:val="20"/>
              </w:rPr>
            </w:pPr>
            <w:r w:rsidRPr="00D21141">
              <w:rPr>
                <w:rFonts w:eastAsia="Calibri"/>
                <w:sz w:val="20"/>
              </w:rPr>
              <w:fldChar w:fldCharType="begin"/>
            </w:r>
            <w:r w:rsidR="006A2B6A" w:rsidRPr="00D21141">
              <w:rPr>
                <w:rFonts w:eastAsia="Calibri"/>
                <w:sz w:val="20"/>
              </w:rPr>
              <w:instrText xml:space="preserve"> HYPERLINK "http://www.canlii.org/en/qc/qcca/doc/2014/2014qcca85/2014qcca85.html" </w:instrText>
            </w:r>
            <w:r w:rsidR="00F27688" w:rsidRPr="00D21141">
              <w:rPr>
                <w:rFonts w:eastAsia="Calibri"/>
                <w:sz w:val="20"/>
              </w:rPr>
            </w:r>
            <w:r w:rsidRPr="00D21141">
              <w:rPr>
                <w:rFonts w:eastAsia="Calibri"/>
                <w:sz w:val="20"/>
              </w:rPr>
              <w:fldChar w:fldCharType="separate"/>
            </w:r>
            <w:r w:rsidR="006A2B6A" w:rsidRPr="007A481A">
              <w:rPr>
                <w:rFonts w:eastAsia="Calibri"/>
                <w:color w:val="0000FF"/>
                <w:sz w:val="20"/>
                <w:u w:val="single"/>
              </w:rPr>
              <w:t>2014 QCCA 85</w:t>
            </w:r>
            <w:r w:rsidRPr="00D21141">
              <w:rPr>
                <w:rFonts w:eastAsia="Calibri"/>
                <w:sz w:val="20"/>
              </w:rPr>
              <w:fldChar w:fldCharType="end"/>
            </w:r>
          </w:p>
          <w:p w:rsidR="006A2B6A" w:rsidRPr="00D21141" w:rsidRDefault="006A2B6A" w:rsidP="00F66694">
            <w:pPr>
              <w:jc w:val="both"/>
              <w:rPr>
                <w:rFonts w:eastAsia="Calibri"/>
                <w:sz w:val="20"/>
              </w:rPr>
            </w:pPr>
          </w:p>
        </w:tc>
        <w:tc>
          <w:tcPr>
            <w:tcW w:w="243" w:type="pct"/>
          </w:tcPr>
          <w:p w:rsidR="006A2B6A" w:rsidRPr="00D21141" w:rsidRDefault="006A2B6A" w:rsidP="00F66694">
            <w:pPr>
              <w:jc w:val="both"/>
              <w:rPr>
                <w:rFonts w:eastAsia="Calibri"/>
                <w:sz w:val="20"/>
              </w:rPr>
            </w:pPr>
          </w:p>
        </w:tc>
        <w:tc>
          <w:tcPr>
            <w:tcW w:w="2330" w:type="pct"/>
          </w:tcPr>
          <w:p w:rsidR="006A2B6A" w:rsidRPr="00D21141" w:rsidRDefault="006A2B6A" w:rsidP="00F66694">
            <w:pPr>
              <w:jc w:val="both"/>
              <w:rPr>
                <w:rFonts w:eastAsia="Calibri"/>
                <w:sz w:val="20"/>
              </w:rPr>
            </w:pPr>
            <w:r w:rsidRPr="00D21141">
              <w:rPr>
                <w:rFonts w:eastAsia="Calibri"/>
                <w:sz w:val="20"/>
              </w:rPr>
              <w:t>Motion for leave to appeal beyond the delays dismissed; appeal inscribed as of right dismissed.</w:t>
            </w:r>
          </w:p>
        </w:tc>
      </w:tr>
      <w:tr w:rsidR="006A2B6A" w:rsidRPr="00D21141" w:rsidTr="00F66694">
        <w:tc>
          <w:tcPr>
            <w:tcW w:w="2427" w:type="pct"/>
          </w:tcPr>
          <w:p w:rsidR="006A2B6A" w:rsidRPr="00D21141" w:rsidRDefault="006A2B6A" w:rsidP="00F66694">
            <w:pPr>
              <w:jc w:val="both"/>
              <w:rPr>
                <w:rFonts w:eastAsia="Calibri"/>
                <w:sz w:val="20"/>
              </w:rPr>
            </w:pPr>
            <w:r w:rsidRPr="00D21141">
              <w:rPr>
                <w:rFonts w:eastAsia="Calibri"/>
                <w:sz w:val="20"/>
              </w:rPr>
              <w:t>March 14, 2014</w:t>
            </w:r>
          </w:p>
          <w:p w:rsidR="006A2B6A" w:rsidRPr="00D21141" w:rsidRDefault="006A2B6A" w:rsidP="00F66694">
            <w:pPr>
              <w:jc w:val="both"/>
              <w:rPr>
                <w:rFonts w:eastAsia="Calibri"/>
                <w:sz w:val="20"/>
              </w:rPr>
            </w:pPr>
            <w:r w:rsidRPr="00D21141">
              <w:rPr>
                <w:rFonts w:eastAsia="Calibri"/>
                <w:sz w:val="20"/>
              </w:rPr>
              <w:t>Supreme Court of Canada</w:t>
            </w:r>
          </w:p>
        </w:tc>
        <w:tc>
          <w:tcPr>
            <w:tcW w:w="243" w:type="pct"/>
          </w:tcPr>
          <w:p w:rsidR="006A2B6A" w:rsidRPr="00D21141" w:rsidRDefault="006A2B6A" w:rsidP="00F66694">
            <w:pPr>
              <w:jc w:val="both"/>
              <w:rPr>
                <w:rFonts w:eastAsia="Calibri"/>
                <w:sz w:val="20"/>
              </w:rPr>
            </w:pPr>
          </w:p>
        </w:tc>
        <w:tc>
          <w:tcPr>
            <w:tcW w:w="2330" w:type="pct"/>
          </w:tcPr>
          <w:p w:rsidR="006A2B6A" w:rsidRPr="00D21141" w:rsidRDefault="006A2B6A" w:rsidP="00F66694">
            <w:pPr>
              <w:jc w:val="both"/>
              <w:rPr>
                <w:rFonts w:eastAsia="Calibri"/>
                <w:sz w:val="20"/>
              </w:rPr>
            </w:pPr>
            <w:r w:rsidRPr="00D21141">
              <w:rPr>
                <w:rFonts w:eastAsia="Calibri"/>
                <w:sz w:val="20"/>
              </w:rPr>
              <w:t>Application for leave to appeal filed.</w:t>
            </w:r>
          </w:p>
          <w:p w:rsidR="006A2B6A" w:rsidRPr="00D21141" w:rsidRDefault="006A2B6A" w:rsidP="00F66694">
            <w:pPr>
              <w:jc w:val="both"/>
              <w:rPr>
                <w:rFonts w:eastAsia="Calibri"/>
                <w:sz w:val="20"/>
              </w:rPr>
            </w:pPr>
          </w:p>
        </w:tc>
      </w:tr>
    </w:tbl>
    <w:p w:rsidR="0096146C" w:rsidRDefault="0096146C" w:rsidP="0096146C">
      <w:pPr>
        <w:rPr>
          <w:sz w:val="20"/>
          <w:szCs w:val="20"/>
        </w:rPr>
      </w:pPr>
    </w:p>
    <w:p w:rsidR="0096146C" w:rsidRPr="00C50A5C" w:rsidRDefault="00F27688" w:rsidP="0096146C">
      <w:pPr>
        <w:rPr>
          <w:sz w:val="20"/>
          <w:szCs w:val="20"/>
        </w:rPr>
      </w:pPr>
      <w:r>
        <w:rPr>
          <w:sz w:val="20"/>
          <w:szCs w:val="20"/>
          <w:lang w:val="fr-CA"/>
        </w:rPr>
        <w:pict>
          <v:rect id="_x0000_i1081" style="width:2in;height:1pt" o:hrpct="0" o:hralign="center" o:hrstd="t" o:hrnoshade="t" o:hr="t" fillcolor="black [3213]" stroked="f"/>
        </w:pict>
      </w:r>
    </w:p>
    <w:p w:rsidR="0096146C" w:rsidRDefault="0096146C" w:rsidP="0096146C">
      <w:pPr>
        <w:rPr>
          <w:sz w:val="20"/>
          <w:szCs w:val="20"/>
        </w:rPr>
      </w:pPr>
    </w:p>
    <w:p w:rsidR="0096146C" w:rsidRPr="001B157C" w:rsidRDefault="0096146C" w:rsidP="0096146C">
      <w:pPr>
        <w:rPr>
          <w:sz w:val="20"/>
          <w:szCs w:val="20"/>
          <w:u w:val="single"/>
          <w:lang w:val="fr-CA"/>
        </w:rPr>
      </w:pPr>
      <w:r w:rsidRPr="001B157C">
        <w:rPr>
          <w:sz w:val="20"/>
          <w:szCs w:val="20"/>
          <w:u w:val="single"/>
          <w:lang w:val="fr-CA"/>
        </w:rPr>
        <w:t>RÉSUMÉ DE L’AFFAIRE</w:t>
      </w:r>
    </w:p>
    <w:p w:rsidR="0096146C" w:rsidRDefault="0096146C" w:rsidP="0096146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2B6A" w:rsidRPr="00FA68AD" w:rsidTr="00F66694">
        <w:tc>
          <w:tcPr>
            <w:tcW w:w="5000" w:type="pct"/>
            <w:gridSpan w:val="3"/>
          </w:tcPr>
          <w:p w:rsidR="006A2B6A" w:rsidRPr="00D21141" w:rsidRDefault="006A2B6A" w:rsidP="00F66694">
            <w:pPr>
              <w:jc w:val="both"/>
              <w:rPr>
                <w:rFonts w:eastAsia="Calibri"/>
                <w:sz w:val="20"/>
                <w:lang w:val="fr-CA"/>
              </w:rPr>
            </w:pPr>
            <w:r w:rsidRPr="00D21141">
              <w:rPr>
                <w:rFonts w:eastAsia="Calibri"/>
                <w:sz w:val="20"/>
                <w:lang w:val="fr-CA"/>
              </w:rPr>
              <w:t>Relations du travail — Discrimination — Refus de l’employeur de nommer un employé blessé dans le passé à un poste de direction — Les tribunaux ont-ils commis une erreur en confirmant la décision administrative selon laquelle il n’y a aucun lien entre la blessure et le refus?</w:t>
            </w:r>
          </w:p>
        </w:tc>
      </w:tr>
      <w:tr w:rsidR="006A2B6A" w:rsidRPr="00FA68AD" w:rsidTr="00F66694">
        <w:tc>
          <w:tcPr>
            <w:tcW w:w="5000" w:type="pct"/>
            <w:gridSpan w:val="3"/>
          </w:tcPr>
          <w:p w:rsidR="006A2B6A" w:rsidRPr="00D21141" w:rsidRDefault="006A2B6A" w:rsidP="00F66694">
            <w:pPr>
              <w:jc w:val="both"/>
              <w:rPr>
                <w:rFonts w:eastAsia="Calibri"/>
                <w:sz w:val="20"/>
                <w:lang w:val="fr-CA"/>
              </w:rPr>
            </w:pPr>
          </w:p>
        </w:tc>
      </w:tr>
      <w:tr w:rsidR="006A2B6A" w:rsidRPr="00FA68AD" w:rsidTr="00F66694">
        <w:tc>
          <w:tcPr>
            <w:tcW w:w="5000" w:type="pct"/>
            <w:gridSpan w:val="3"/>
          </w:tcPr>
          <w:p w:rsidR="006A2B6A" w:rsidRPr="00D21141" w:rsidRDefault="006A2B6A" w:rsidP="00F66694">
            <w:pPr>
              <w:jc w:val="both"/>
              <w:rPr>
                <w:rFonts w:eastAsia="Calibri"/>
                <w:sz w:val="20"/>
                <w:lang w:val="fr-CA"/>
              </w:rPr>
            </w:pPr>
            <w:r w:rsidRPr="00D21141">
              <w:rPr>
                <w:rFonts w:eastAsia="Calibri"/>
                <w:sz w:val="20"/>
                <w:lang w:val="fr-CA"/>
              </w:rPr>
              <w:t>M. Lloyd a subi un grave accident de travail en 1997 alors qu’il exerçait les fonctions d’infirmier auxiliaire à l’hôpital Douglas.  Il a fini par retourner au travail et a fait une rechute qui lui a laissé des séquelles encore plus graves.  Il a alors été déclaré inapte à occuper de nouveau son ancien poste en raison de ces séquelles et il touche encore des prestations de la Commission de la santé et de la sécurité du travail.  En février 2009, il a postulé un poste de gestion à l’hôpital, mais ce poste ne lui a pas été accordé.  Il a prétendu que le refus de l’hôpital était motivé par sa blessure.  Un conciliateur-décideur (CSST) a rejeté sa prétention en octobre 2010.</w:t>
            </w:r>
          </w:p>
          <w:p w:rsidR="006A2B6A" w:rsidRPr="00D21141" w:rsidRDefault="006A2B6A" w:rsidP="00F66694">
            <w:pPr>
              <w:jc w:val="both"/>
              <w:rPr>
                <w:rFonts w:eastAsia="Calibri"/>
                <w:sz w:val="20"/>
                <w:lang w:val="fr-CA"/>
              </w:rPr>
            </w:pPr>
          </w:p>
        </w:tc>
      </w:tr>
      <w:tr w:rsidR="006A2B6A" w:rsidRPr="00D21141" w:rsidTr="00F66694">
        <w:tc>
          <w:tcPr>
            <w:tcW w:w="2427" w:type="pct"/>
          </w:tcPr>
          <w:p w:rsidR="006A2B6A" w:rsidRPr="00D21141" w:rsidRDefault="006A2B6A" w:rsidP="00F66694">
            <w:pPr>
              <w:jc w:val="both"/>
              <w:rPr>
                <w:rFonts w:eastAsia="Calibri"/>
                <w:sz w:val="20"/>
                <w:lang w:val="fr-CA"/>
              </w:rPr>
            </w:pPr>
            <w:r w:rsidRPr="00D21141">
              <w:rPr>
                <w:rFonts w:eastAsia="Calibri"/>
                <w:sz w:val="20"/>
                <w:lang w:val="fr-CA"/>
              </w:rPr>
              <w:lastRenderedPageBreak/>
              <w:t>18 janvier 2012</w:t>
            </w:r>
          </w:p>
          <w:p w:rsidR="006A2B6A" w:rsidRPr="00D21141" w:rsidRDefault="006A2B6A" w:rsidP="00F66694">
            <w:pPr>
              <w:jc w:val="both"/>
              <w:rPr>
                <w:rFonts w:eastAsia="Calibri"/>
                <w:sz w:val="20"/>
                <w:lang w:val="fr-CA"/>
              </w:rPr>
            </w:pPr>
            <w:r w:rsidRPr="00D21141">
              <w:rPr>
                <w:rFonts w:eastAsia="Calibri"/>
                <w:sz w:val="20"/>
                <w:lang w:val="fr-CA"/>
              </w:rPr>
              <w:t>Commission des lésions professionnelles</w:t>
            </w:r>
          </w:p>
          <w:p w:rsidR="006A2B6A" w:rsidRPr="00D21141" w:rsidRDefault="006A2B6A" w:rsidP="00F66694">
            <w:pPr>
              <w:jc w:val="both"/>
              <w:rPr>
                <w:rFonts w:eastAsia="Calibri"/>
                <w:sz w:val="20"/>
                <w:lang w:val="fr-CA"/>
              </w:rPr>
            </w:pPr>
            <w:r w:rsidRPr="00D21141">
              <w:rPr>
                <w:rFonts w:eastAsia="Calibri"/>
                <w:sz w:val="20"/>
                <w:lang w:val="fr-CA"/>
              </w:rPr>
              <w:t>(Juge administratif Larouche, MM. Lemoyne et Desrosiers)</w:t>
            </w:r>
          </w:p>
          <w:p w:rsidR="006A2B6A" w:rsidRPr="00D21141" w:rsidRDefault="006A2B6A" w:rsidP="00F66694">
            <w:pPr>
              <w:jc w:val="both"/>
              <w:rPr>
                <w:rFonts w:eastAsia="Calibri"/>
                <w:sz w:val="20"/>
                <w:lang w:val="fr-CA"/>
              </w:rPr>
            </w:pPr>
          </w:p>
        </w:tc>
        <w:tc>
          <w:tcPr>
            <w:tcW w:w="243" w:type="pct"/>
          </w:tcPr>
          <w:p w:rsidR="006A2B6A" w:rsidRPr="00D21141" w:rsidRDefault="006A2B6A" w:rsidP="00F66694">
            <w:pPr>
              <w:jc w:val="both"/>
              <w:rPr>
                <w:rFonts w:eastAsia="Calibri"/>
                <w:sz w:val="20"/>
                <w:lang w:val="fr-CA"/>
              </w:rPr>
            </w:pPr>
          </w:p>
        </w:tc>
        <w:tc>
          <w:tcPr>
            <w:tcW w:w="2330" w:type="pct"/>
          </w:tcPr>
          <w:p w:rsidR="006A2B6A" w:rsidRPr="00D21141" w:rsidRDefault="006A2B6A" w:rsidP="00F66694">
            <w:pPr>
              <w:jc w:val="both"/>
              <w:rPr>
                <w:rFonts w:eastAsia="Calibri"/>
                <w:sz w:val="20"/>
              </w:rPr>
            </w:pPr>
            <w:r w:rsidRPr="00D21141">
              <w:rPr>
                <w:rFonts w:eastAsia="Calibri"/>
                <w:sz w:val="20"/>
              </w:rPr>
              <w:t>Requête du demandeur rejetée.</w:t>
            </w:r>
          </w:p>
          <w:p w:rsidR="006A2B6A" w:rsidRPr="00D21141" w:rsidRDefault="006A2B6A" w:rsidP="00F66694">
            <w:pPr>
              <w:jc w:val="both"/>
              <w:rPr>
                <w:rFonts w:eastAsia="Calibri"/>
                <w:sz w:val="20"/>
              </w:rPr>
            </w:pPr>
          </w:p>
        </w:tc>
      </w:tr>
      <w:tr w:rsidR="006A2B6A" w:rsidRPr="00D21141" w:rsidTr="00F66694">
        <w:tc>
          <w:tcPr>
            <w:tcW w:w="2427" w:type="pct"/>
          </w:tcPr>
          <w:p w:rsidR="006A2B6A" w:rsidRPr="00D21141" w:rsidRDefault="006A2B6A" w:rsidP="00F66694">
            <w:pPr>
              <w:jc w:val="both"/>
              <w:rPr>
                <w:rFonts w:eastAsia="Calibri"/>
                <w:sz w:val="20"/>
                <w:lang w:val="fr-CA"/>
              </w:rPr>
            </w:pPr>
            <w:r w:rsidRPr="00D21141">
              <w:rPr>
                <w:rFonts w:eastAsia="Calibri"/>
                <w:sz w:val="20"/>
                <w:lang w:val="fr-CA"/>
              </w:rPr>
              <w:t>11 avril 2013</w:t>
            </w:r>
          </w:p>
          <w:p w:rsidR="006A2B6A" w:rsidRPr="00D21141" w:rsidRDefault="006A2B6A" w:rsidP="00F66694">
            <w:pPr>
              <w:jc w:val="both"/>
              <w:rPr>
                <w:rFonts w:eastAsia="Calibri"/>
                <w:sz w:val="20"/>
                <w:lang w:val="fr-CA"/>
              </w:rPr>
            </w:pPr>
            <w:r w:rsidRPr="00D21141">
              <w:rPr>
                <w:rFonts w:eastAsia="Calibri"/>
                <w:sz w:val="20"/>
                <w:lang w:val="fr-CA"/>
              </w:rPr>
              <w:t>Cour supérieure du Québec</w:t>
            </w:r>
          </w:p>
          <w:p w:rsidR="006A2B6A" w:rsidRPr="00D21141" w:rsidRDefault="006A2B6A" w:rsidP="00F66694">
            <w:pPr>
              <w:jc w:val="both"/>
              <w:rPr>
                <w:rFonts w:eastAsia="Calibri"/>
                <w:sz w:val="20"/>
                <w:lang w:val="fr-CA"/>
              </w:rPr>
            </w:pPr>
            <w:r w:rsidRPr="00D21141">
              <w:rPr>
                <w:rFonts w:eastAsia="Calibri"/>
                <w:sz w:val="20"/>
                <w:lang w:val="fr-CA"/>
              </w:rPr>
              <w:t>(Juge Le Bel)</w:t>
            </w:r>
          </w:p>
          <w:p w:rsidR="006A2B6A" w:rsidRPr="00D21141" w:rsidRDefault="00F27688" w:rsidP="00F66694">
            <w:pPr>
              <w:jc w:val="both"/>
              <w:rPr>
                <w:rFonts w:eastAsia="Calibri"/>
                <w:sz w:val="20"/>
              </w:rPr>
            </w:pPr>
            <w:hyperlink r:id="rId72" w:history="1">
              <w:r w:rsidR="006A2B6A" w:rsidRPr="007A481A">
                <w:rPr>
                  <w:rFonts w:eastAsia="Calibri"/>
                  <w:color w:val="0000FF"/>
                  <w:sz w:val="20"/>
                  <w:u w:val="single"/>
                </w:rPr>
                <w:t>2013 QCCS 1492</w:t>
              </w:r>
            </w:hyperlink>
          </w:p>
          <w:p w:rsidR="006A2B6A" w:rsidRPr="00D21141" w:rsidRDefault="006A2B6A" w:rsidP="00F66694">
            <w:pPr>
              <w:jc w:val="both"/>
              <w:rPr>
                <w:rFonts w:eastAsia="Calibri"/>
                <w:sz w:val="20"/>
              </w:rPr>
            </w:pPr>
          </w:p>
        </w:tc>
        <w:tc>
          <w:tcPr>
            <w:tcW w:w="243" w:type="pct"/>
          </w:tcPr>
          <w:p w:rsidR="006A2B6A" w:rsidRPr="00D21141" w:rsidRDefault="006A2B6A" w:rsidP="00F66694">
            <w:pPr>
              <w:jc w:val="both"/>
              <w:rPr>
                <w:rFonts w:eastAsia="Calibri"/>
                <w:sz w:val="20"/>
              </w:rPr>
            </w:pPr>
          </w:p>
        </w:tc>
        <w:tc>
          <w:tcPr>
            <w:tcW w:w="2330" w:type="pct"/>
          </w:tcPr>
          <w:p w:rsidR="006A2B6A" w:rsidRPr="00D21141" w:rsidRDefault="006A2B6A" w:rsidP="00F66694">
            <w:pPr>
              <w:jc w:val="both"/>
              <w:rPr>
                <w:rFonts w:eastAsia="Calibri"/>
                <w:sz w:val="20"/>
              </w:rPr>
            </w:pPr>
            <w:r w:rsidRPr="00D21141">
              <w:rPr>
                <w:rFonts w:eastAsia="Calibri"/>
                <w:sz w:val="20"/>
              </w:rPr>
              <w:t>Décision administrative confirmée.</w:t>
            </w:r>
          </w:p>
          <w:p w:rsidR="006A2B6A" w:rsidRPr="00D21141" w:rsidRDefault="006A2B6A" w:rsidP="00F66694">
            <w:pPr>
              <w:jc w:val="both"/>
              <w:rPr>
                <w:rFonts w:eastAsia="Calibri"/>
                <w:sz w:val="20"/>
              </w:rPr>
            </w:pPr>
          </w:p>
        </w:tc>
      </w:tr>
      <w:tr w:rsidR="006A2B6A" w:rsidRPr="00FA68AD" w:rsidTr="00F66694">
        <w:tc>
          <w:tcPr>
            <w:tcW w:w="2427" w:type="pct"/>
          </w:tcPr>
          <w:p w:rsidR="006A2B6A" w:rsidRPr="00D21141" w:rsidRDefault="006A2B6A" w:rsidP="00F66694">
            <w:pPr>
              <w:jc w:val="both"/>
              <w:rPr>
                <w:rFonts w:eastAsia="Calibri"/>
                <w:sz w:val="20"/>
                <w:lang w:val="fr-CA"/>
              </w:rPr>
            </w:pPr>
            <w:r w:rsidRPr="00D21141">
              <w:rPr>
                <w:rFonts w:eastAsia="Calibri"/>
                <w:sz w:val="20"/>
                <w:lang w:val="fr-CA"/>
              </w:rPr>
              <w:t>16 janvier 2014</w:t>
            </w:r>
          </w:p>
          <w:p w:rsidR="006A2B6A" w:rsidRPr="00D21141" w:rsidRDefault="006A2B6A" w:rsidP="00F66694">
            <w:pPr>
              <w:jc w:val="both"/>
              <w:rPr>
                <w:rFonts w:eastAsia="Calibri"/>
                <w:sz w:val="20"/>
                <w:lang w:val="fr-CA"/>
              </w:rPr>
            </w:pPr>
            <w:r w:rsidRPr="00D21141">
              <w:rPr>
                <w:rFonts w:eastAsia="Calibri"/>
                <w:sz w:val="20"/>
                <w:lang w:val="fr-CA"/>
              </w:rPr>
              <w:t>Cour d’appel du Québec (Montréal)</w:t>
            </w:r>
          </w:p>
          <w:p w:rsidR="006A2B6A" w:rsidRPr="00D21141" w:rsidRDefault="006A2B6A" w:rsidP="00F66694">
            <w:pPr>
              <w:jc w:val="both"/>
              <w:rPr>
                <w:rFonts w:eastAsia="Calibri"/>
                <w:sz w:val="20"/>
                <w:lang w:val="fr-CA"/>
              </w:rPr>
            </w:pPr>
            <w:r w:rsidRPr="00D21141">
              <w:rPr>
                <w:rFonts w:eastAsia="Calibri"/>
                <w:sz w:val="20"/>
                <w:lang w:val="fr-CA"/>
              </w:rPr>
              <w:t>(Juges Hilton, Gagnon et Savard)</w:t>
            </w:r>
          </w:p>
          <w:p w:rsidR="006A2B6A" w:rsidRPr="00D21141" w:rsidRDefault="00F27688" w:rsidP="00F66694">
            <w:pPr>
              <w:jc w:val="both"/>
              <w:rPr>
                <w:rFonts w:eastAsia="Calibri"/>
                <w:sz w:val="20"/>
              </w:rPr>
            </w:pPr>
            <w:hyperlink r:id="rId73" w:history="1">
              <w:r w:rsidR="006A2B6A" w:rsidRPr="007A481A">
                <w:rPr>
                  <w:rFonts w:eastAsia="Calibri"/>
                  <w:color w:val="0000FF"/>
                  <w:sz w:val="20"/>
                  <w:u w:val="single"/>
                </w:rPr>
                <w:t>2014 QCCA 85</w:t>
              </w:r>
            </w:hyperlink>
          </w:p>
          <w:p w:rsidR="006A2B6A" w:rsidRPr="00D21141" w:rsidRDefault="006A2B6A" w:rsidP="00F66694">
            <w:pPr>
              <w:jc w:val="both"/>
              <w:rPr>
                <w:rFonts w:eastAsia="Calibri"/>
                <w:sz w:val="20"/>
              </w:rPr>
            </w:pPr>
          </w:p>
        </w:tc>
        <w:tc>
          <w:tcPr>
            <w:tcW w:w="243" w:type="pct"/>
          </w:tcPr>
          <w:p w:rsidR="006A2B6A" w:rsidRPr="00D21141" w:rsidRDefault="006A2B6A" w:rsidP="00F66694">
            <w:pPr>
              <w:jc w:val="both"/>
              <w:rPr>
                <w:rFonts w:eastAsia="Calibri"/>
                <w:sz w:val="20"/>
              </w:rPr>
            </w:pPr>
          </w:p>
        </w:tc>
        <w:tc>
          <w:tcPr>
            <w:tcW w:w="2330" w:type="pct"/>
          </w:tcPr>
          <w:p w:rsidR="006A2B6A" w:rsidRPr="00D21141" w:rsidRDefault="006A2B6A" w:rsidP="00F66694">
            <w:pPr>
              <w:jc w:val="both"/>
              <w:rPr>
                <w:rFonts w:eastAsia="Calibri"/>
                <w:sz w:val="20"/>
                <w:lang w:val="fr-CA"/>
              </w:rPr>
            </w:pPr>
            <w:r w:rsidRPr="00D21141">
              <w:rPr>
                <w:rFonts w:eastAsia="Calibri"/>
                <w:sz w:val="20"/>
                <w:lang w:val="fr-CA"/>
              </w:rPr>
              <w:t>Requête en autorisation d’appel après les délais rejetée; appel formé de plein droit rejeté.</w:t>
            </w:r>
          </w:p>
        </w:tc>
      </w:tr>
      <w:tr w:rsidR="006A2B6A" w:rsidRPr="00D21141" w:rsidTr="00F66694">
        <w:tc>
          <w:tcPr>
            <w:tcW w:w="2427" w:type="pct"/>
          </w:tcPr>
          <w:p w:rsidR="006A2B6A" w:rsidRPr="006A2B6A" w:rsidRDefault="006A2B6A" w:rsidP="00F66694">
            <w:pPr>
              <w:jc w:val="both"/>
              <w:rPr>
                <w:rFonts w:eastAsia="Calibri"/>
                <w:sz w:val="20"/>
                <w:lang w:val="fr-CA"/>
              </w:rPr>
            </w:pPr>
            <w:r w:rsidRPr="006A2B6A">
              <w:rPr>
                <w:rFonts w:eastAsia="Calibri"/>
                <w:sz w:val="20"/>
                <w:lang w:val="fr-CA"/>
              </w:rPr>
              <w:t>14 mars 2014</w:t>
            </w:r>
          </w:p>
          <w:p w:rsidR="006A2B6A" w:rsidRPr="006A2B6A" w:rsidRDefault="006A2B6A" w:rsidP="00F66694">
            <w:pPr>
              <w:jc w:val="both"/>
              <w:rPr>
                <w:rFonts w:eastAsia="Calibri"/>
                <w:sz w:val="20"/>
                <w:lang w:val="fr-CA"/>
              </w:rPr>
            </w:pPr>
            <w:r w:rsidRPr="006A2B6A">
              <w:rPr>
                <w:rFonts w:eastAsia="Calibri"/>
                <w:sz w:val="20"/>
                <w:lang w:val="fr-CA"/>
              </w:rPr>
              <w:t>Cour suprême du Canada</w:t>
            </w:r>
          </w:p>
        </w:tc>
        <w:tc>
          <w:tcPr>
            <w:tcW w:w="243" w:type="pct"/>
          </w:tcPr>
          <w:p w:rsidR="006A2B6A" w:rsidRPr="006A2B6A" w:rsidRDefault="006A2B6A" w:rsidP="00F66694">
            <w:pPr>
              <w:jc w:val="both"/>
              <w:rPr>
                <w:rFonts w:eastAsia="Calibri"/>
                <w:sz w:val="20"/>
                <w:lang w:val="fr-CA"/>
              </w:rPr>
            </w:pPr>
          </w:p>
        </w:tc>
        <w:tc>
          <w:tcPr>
            <w:tcW w:w="2330" w:type="pct"/>
          </w:tcPr>
          <w:p w:rsidR="006A2B6A" w:rsidRPr="00D21141" w:rsidRDefault="006A2B6A" w:rsidP="00F66694">
            <w:pPr>
              <w:jc w:val="both"/>
              <w:rPr>
                <w:rFonts w:eastAsia="Calibri"/>
                <w:sz w:val="20"/>
              </w:rPr>
            </w:pPr>
            <w:r w:rsidRPr="00D21141">
              <w:rPr>
                <w:rFonts w:eastAsia="Calibri"/>
                <w:sz w:val="20"/>
              </w:rPr>
              <w:t>Demande d’autorisation d’appel déposée.</w:t>
            </w:r>
          </w:p>
          <w:p w:rsidR="006A2B6A" w:rsidRPr="00D21141" w:rsidRDefault="006A2B6A" w:rsidP="00F66694">
            <w:pPr>
              <w:jc w:val="both"/>
              <w:rPr>
                <w:rFonts w:eastAsia="Calibri"/>
                <w:sz w:val="20"/>
              </w:rPr>
            </w:pPr>
          </w:p>
        </w:tc>
      </w:tr>
    </w:tbl>
    <w:p w:rsidR="0096146C" w:rsidRDefault="0096146C" w:rsidP="0096146C">
      <w:pPr>
        <w:rPr>
          <w:sz w:val="20"/>
          <w:szCs w:val="20"/>
        </w:rPr>
      </w:pPr>
    </w:p>
    <w:p w:rsidR="0096146C" w:rsidRDefault="00F27688" w:rsidP="0096146C">
      <w:pPr>
        <w:rPr>
          <w:sz w:val="20"/>
          <w:szCs w:val="20"/>
          <w:lang w:val="fr-CA"/>
        </w:rPr>
      </w:pPr>
      <w:r>
        <w:rPr>
          <w:sz w:val="20"/>
          <w:szCs w:val="20"/>
          <w:lang w:val="fr-CA"/>
        </w:rPr>
        <w:pict>
          <v:rect id="_x0000_i1082" style="width:2in;height:1pt" o:hrpct="0" o:hralign="center" o:hrstd="t" o:hrnoshade="t" o:hr="t" fillcolor="black [3213]" stroked="f"/>
        </w:pict>
      </w:r>
    </w:p>
    <w:p w:rsidR="0096146C" w:rsidRDefault="0096146C" w:rsidP="0096146C">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890FEB" w:rsidRPr="00C50A5C" w:rsidRDefault="00890FEB" w:rsidP="00890FEB">
      <w:pPr>
        <w:rPr>
          <w:sz w:val="20"/>
          <w:szCs w:val="20"/>
        </w:rPr>
      </w:pPr>
    </w:p>
    <w:p w:rsidR="001F40DF" w:rsidRPr="00D64901" w:rsidRDefault="00011C08" w:rsidP="001F40DF">
      <w:pPr>
        <w:rPr>
          <w:sz w:val="20"/>
          <w:szCs w:val="20"/>
        </w:rPr>
      </w:pPr>
      <w:r>
        <w:rPr>
          <w:sz w:val="20"/>
          <w:szCs w:val="20"/>
        </w:rPr>
        <w:t>15</w:t>
      </w:r>
      <w:r w:rsidR="001F40DF" w:rsidRPr="00D64901">
        <w:rPr>
          <w:sz w:val="20"/>
          <w:szCs w:val="20"/>
        </w:rPr>
        <w:t>.</w:t>
      </w:r>
      <w:r w:rsidR="001F40DF">
        <w:rPr>
          <w:sz w:val="20"/>
          <w:szCs w:val="20"/>
        </w:rPr>
        <w:t>0</w:t>
      </w:r>
      <w:r>
        <w:rPr>
          <w:sz w:val="20"/>
          <w:szCs w:val="20"/>
        </w:rPr>
        <w:t>4</w:t>
      </w:r>
      <w:r w:rsidR="001F40DF" w:rsidRPr="00D64901">
        <w:rPr>
          <w:sz w:val="20"/>
          <w:szCs w:val="20"/>
        </w:rPr>
        <w:t>.201</w:t>
      </w:r>
      <w:r>
        <w:rPr>
          <w:sz w:val="20"/>
          <w:szCs w:val="20"/>
        </w:rPr>
        <w:t>4</w:t>
      </w:r>
      <w:r w:rsidR="001F40DF" w:rsidRPr="00D64901">
        <w:rPr>
          <w:sz w:val="20"/>
          <w:szCs w:val="20"/>
        </w:rPr>
        <w:t xml:space="preserve">  - 201</w:t>
      </w:r>
      <w:r>
        <w:rPr>
          <w:sz w:val="20"/>
          <w:szCs w:val="20"/>
        </w:rPr>
        <w:t>4</w:t>
      </w:r>
      <w:r w:rsidR="001F40DF" w:rsidRPr="00D64901">
        <w:rPr>
          <w:sz w:val="20"/>
          <w:szCs w:val="20"/>
        </w:rPr>
        <w:t xml:space="preserve"> SCC </w:t>
      </w:r>
      <w:r>
        <w:rPr>
          <w:sz w:val="20"/>
          <w:szCs w:val="20"/>
        </w:rPr>
        <w:t>38</w:t>
      </w:r>
      <w:r w:rsidR="001F40DF" w:rsidRPr="00D64901">
        <w:rPr>
          <w:sz w:val="20"/>
          <w:szCs w:val="20"/>
        </w:rPr>
        <w:t xml:space="preserve"> / 201</w:t>
      </w:r>
      <w:r>
        <w:rPr>
          <w:sz w:val="20"/>
          <w:szCs w:val="20"/>
        </w:rPr>
        <w:t>4</w:t>
      </w:r>
      <w:r w:rsidR="001F40DF" w:rsidRPr="00D64901">
        <w:rPr>
          <w:sz w:val="20"/>
          <w:szCs w:val="20"/>
        </w:rPr>
        <w:t xml:space="preserve"> CSC </w:t>
      </w:r>
      <w:r>
        <w:rPr>
          <w:sz w:val="20"/>
          <w:szCs w:val="20"/>
        </w:rPr>
        <w:t>38</w:t>
      </w:r>
    </w:p>
    <w:p w:rsidR="001F40DF" w:rsidRDefault="001F40DF" w:rsidP="001F40D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
        <w:gridCol w:w="4687"/>
      </w:tblGrid>
      <w:tr w:rsidR="001F40DF" w:rsidRPr="00AF4773" w:rsidTr="0004528B">
        <w:trPr>
          <w:cantSplit/>
        </w:trPr>
        <w:tc>
          <w:tcPr>
            <w:tcW w:w="4681" w:type="dxa"/>
          </w:tcPr>
          <w:p w:rsidR="001F40DF" w:rsidRPr="00992FA8" w:rsidRDefault="001F40DF" w:rsidP="00E576C5">
            <w:pPr>
              <w:rPr>
                <w:b/>
                <w:sz w:val="20"/>
                <w:szCs w:val="20"/>
              </w:rPr>
            </w:pPr>
            <w:r w:rsidRPr="00992FA8">
              <w:rPr>
                <w:b/>
                <w:sz w:val="20"/>
                <w:szCs w:val="20"/>
              </w:rPr>
              <w:t xml:space="preserve">Motion </w:t>
            </w:r>
            <w:r w:rsidR="00162E9D">
              <w:rPr>
                <w:b/>
                <w:sz w:val="20"/>
                <w:szCs w:val="20"/>
              </w:rPr>
              <w:t xml:space="preserve">for </w:t>
            </w:r>
            <w:r w:rsidR="00E576C5">
              <w:rPr>
                <w:b/>
                <w:sz w:val="20"/>
                <w:szCs w:val="20"/>
              </w:rPr>
              <w:t>d</w:t>
            </w:r>
            <w:r w:rsidR="00162E9D">
              <w:rPr>
                <w:b/>
                <w:sz w:val="20"/>
                <w:szCs w:val="20"/>
              </w:rPr>
              <w:t>irections</w:t>
            </w:r>
          </w:p>
        </w:tc>
        <w:tc>
          <w:tcPr>
            <w:tcW w:w="467" w:type="dxa"/>
          </w:tcPr>
          <w:p w:rsidR="001F40DF" w:rsidRPr="00D67826" w:rsidRDefault="001F40DF" w:rsidP="0004528B">
            <w:pPr>
              <w:rPr>
                <w:sz w:val="20"/>
                <w:szCs w:val="20"/>
                <w:lang w:val="fr-CA"/>
              </w:rPr>
            </w:pPr>
          </w:p>
          <w:p w:rsidR="001F40DF" w:rsidRPr="00D67826" w:rsidRDefault="001F40DF" w:rsidP="0004528B">
            <w:pPr>
              <w:rPr>
                <w:sz w:val="20"/>
                <w:szCs w:val="20"/>
                <w:lang w:val="fr-CA"/>
              </w:rPr>
            </w:pPr>
          </w:p>
        </w:tc>
        <w:tc>
          <w:tcPr>
            <w:tcW w:w="4687" w:type="dxa"/>
          </w:tcPr>
          <w:p w:rsidR="001F40DF" w:rsidRPr="00011C08" w:rsidRDefault="001F40DF" w:rsidP="00E576C5">
            <w:pPr>
              <w:rPr>
                <w:b/>
                <w:sz w:val="20"/>
                <w:szCs w:val="20"/>
              </w:rPr>
            </w:pPr>
            <w:r w:rsidRPr="00011C08">
              <w:rPr>
                <w:b/>
                <w:sz w:val="20"/>
                <w:szCs w:val="20"/>
              </w:rPr>
              <w:t xml:space="preserve">Requête </w:t>
            </w:r>
            <w:r w:rsidR="00E576C5">
              <w:rPr>
                <w:b/>
                <w:sz w:val="20"/>
                <w:szCs w:val="20"/>
              </w:rPr>
              <w:t>sollicitant des dir</w:t>
            </w:r>
            <w:r w:rsidRPr="00011C08">
              <w:rPr>
                <w:b/>
                <w:sz w:val="20"/>
                <w:szCs w:val="20"/>
              </w:rPr>
              <w:t>e</w:t>
            </w:r>
            <w:r w:rsidR="00E576C5">
              <w:rPr>
                <w:b/>
                <w:sz w:val="20"/>
                <w:szCs w:val="20"/>
              </w:rPr>
              <w:t>ctiv</w:t>
            </w:r>
            <w:r w:rsidRPr="00011C08">
              <w:rPr>
                <w:b/>
                <w:sz w:val="20"/>
                <w:szCs w:val="20"/>
              </w:rPr>
              <w:t>e</w:t>
            </w:r>
            <w:r w:rsidR="00E576C5">
              <w:rPr>
                <w:b/>
                <w:sz w:val="20"/>
                <w:szCs w:val="20"/>
              </w:rPr>
              <w:t>s</w:t>
            </w:r>
          </w:p>
        </w:tc>
      </w:tr>
      <w:tr w:rsidR="001F40DF" w:rsidRPr="00B52EFD" w:rsidTr="0004528B">
        <w:trPr>
          <w:cantSplit/>
        </w:trPr>
        <w:tc>
          <w:tcPr>
            <w:tcW w:w="4681" w:type="dxa"/>
          </w:tcPr>
          <w:p w:rsidR="001F40DF" w:rsidRPr="00011C08" w:rsidRDefault="00011C08" w:rsidP="0004528B">
            <w:pPr>
              <w:rPr>
                <w:sz w:val="20"/>
                <w:szCs w:val="20"/>
              </w:rPr>
            </w:pPr>
            <w:r w:rsidRPr="00011C08">
              <w:rPr>
                <w:sz w:val="20"/>
                <w:szCs w:val="20"/>
              </w:rPr>
              <w:t>Vlasta St</w:t>
            </w:r>
            <w:r w:rsidR="001F40DF" w:rsidRPr="00011C08">
              <w:rPr>
                <w:sz w:val="20"/>
                <w:szCs w:val="20"/>
              </w:rPr>
              <w:t>u</w:t>
            </w:r>
            <w:r w:rsidRPr="00011C08">
              <w:rPr>
                <w:sz w:val="20"/>
                <w:szCs w:val="20"/>
              </w:rPr>
              <w:t>b</w:t>
            </w:r>
            <w:r w:rsidR="001F40DF" w:rsidRPr="00011C08">
              <w:rPr>
                <w:sz w:val="20"/>
                <w:szCs w:val="20"/>
              </w:rPr>
              <w:t>i</w:t>
            </w:r>
            <w:r w:rsidRPr="00011C08">
              <w:rPr>
                <w:sz w:val="20"/>
                <w:szCs w:val="20"/>
              </w:rPr>
              <w:t>ca</w:t>
            </w:r>
            <w:r w:rsidR="001F40DF" w:rsidRPr="00011C08">
              <w:rPr>
                <w:sz w:val="20"/>
                <w:szCs w:val="20"/>
              </w:rPr>
              <w:t>r</w:t>
            </w:r>
          </w:p>
          <w:p w:rsidR="001F40DF" w:rsidRPr="00011C08" w:rsidRDefault="001F40DF" w:rsidP="0004528B">
            <w:pPr>
              <w:rPr>
                <w:sz w:val="20"/>
                <w:szCs w:val="20"/>
              </w:rPr>
            </w:pPr>
          </w:p>
          <w:p w:rsidR="001F40DF" w:rsidRPr="00011C08" w:rsidRDefault="001F40DF" w:rsidP="0004528B">
            <w:pPr>
              <w:rPr>
                <w:sz w:val="20"/>
                <w:szCs w:val="20"/>
              </w:rPr>
            </w:pPr>
            <w:r w:rsidRPr="00011C08">
              <w:rPr>
                <w:sz w:val="20"/>
                <w:szCs w:val="20"/>
              </w:rPr>
              <w:tab/>
              <w:t>v. (35</w:t>
            </w:r>
            <w:r w:rsidR="00011C08" w:rsidRPr="00011C08">
              <w:rPr>
                <w:sz w:val="20"/>
                <w:szCs w:val="20"/>
              </w:rPr>
              <w:t>368</w:t>
            </w:r>
            <w:r w:rsidRPr="00011C08">
              <w:rPr>
                <w:sz w:val="20"/>
                <w:szCs w:val="20"/>
              </w:rPr>
              <w:t>)</w:t>
            </w:r>
          </w:p>
          <w:p w:rsidR="001F40DF" w:rsidRPr="00011C08" w:rsidRDefault="001F40DF" w:rsidP="0004528B">
            <w:pPr>
              <w:rPr>
                <w:sz w:val="20"/>
                <w:szCs w:val="20"/>
              </w:rPr>
            </w:pPr>
          </w:p>
          <w:p w:rsidR="001F40DF" w:rsidRPr="00011C08" w:rsidRDefault="00011C08" w:rsidP="00011C08">
            <w:pPr>
              <w:rPr>
                <w:sz w:val="20"/>
                <w:szCs w:val="20"/>
              </w:rPr>
            </w:pPr>
            <w:r w:rsidRPr="00011C08">
              <w:rPr>
                <w:sz w:val="20"/>
                <w:szCs w:val="20"/>
              </w:rPr>
              <w:t>Deputy Prime Minister et a</w:t>
            </w:r>
            <w:r w:rsidR="001F40DF" w:rsidRPr="00011C08">
              <w:rPr>
                <w:sz w:val="20"/>
                <w:szCs w:val="20"/>
              </w:rPr>
              <w:t>l. (</w:t>
            </w:r>
            <w:r>
              <w:rPr>
                <w:sz w:val="20"/>
                <w:szCs w:val="20"/>
              </w:rPr>
              <w:t>F.C</w:t>
            </w:r>
            <w:r w:rsidR="001F40DF" w:rsidRPr="00011C08">
              <w:rPr>
                <w:sz w:val="20"/>
                <w:szCs w:val="20"/>
              </w:rPr>
              <w:t>.)</w:t>
            </w:r>
          </w:p>
        </w:tc>
        <w:tc>
          <w:tcPr>
            <w:tcW w:w="467" w:type="dxa"/>
          </w:tcPr>
          <w:p w:rsidR="001F40DF" w:rsidRPr="00011C08" w:rsidRDefault="001F40DF" w:rsidP="0004528B">
            <w:pPr>
              <w:rPr>
                <w:sz w:val="20"/>
                <w:szCs w:val="20"/>
              </w:rPr>
            </w:pPr>
          </w:p>
          <w:p w:rsidR="001F40DF" w:rsidRPr="00011C08" w:rsidRDefault="001F40DF" w:rsidP="0004528B">
            <w:pPr>
              <w:rPr>
                <w:sz w:val="20"/>
                <w:szCs w:val="20"/>
              </w:rPr>
            </w:pPr>
          </w:p>
          <w:p w:rsidR="001F40DF" w:rsidRPr="00011C08" w:rsidRDefault="001F40DF" w:rsidP="0004528B">
            <w:pPr>
              <w:rPr>
                <w:sz w:val="20"/>
                <w:szCs w:val="20"/>
              </w:rPr>
            </w:pPr>
          </w:p>
          <w:p w:rsidR="001F40DF" w:rsidRPr="00011C08" w:rsidRDefault="001F40DF" w:rsidP="0004528B">
            <w:pPr>
              <w:rPr>
                <w:sz w:val="20"/>
                <w:szCs w:val="20"/>
              </w:rPr>
            </w:pPr>
          </w:p>
          <w:p w:rsidR="001F40DF" w:rsidRPr="00011C08" w:rsidRDefault="001F40DF" w:rsidP="0004528B">
            <w:pPr>
              <w:rPr>
                <w:sz w:val="20"/>
                <w:szCs w:val="20"/>
              </w:rPr>
            </w:pPr>
          </w:p>
        </w:tc>
        <w:tc>
          <w:tcPr>
            <w:tcW w:w="4687" w:type="dxa"/>
          </w:tcPr>
          <w:p w:rsidR="001F40DF" w:rsidRPr="00011C08" w:rsidRDefault="001F40DF" w:rsidP="0004528B">
            <w:pPr>
              <w:rPr>
                <w:sz w:val="20"/>
                <w:szCs w:val="20"/>
              </w:rPr>
            </w:pPr>
          </w:p>
        </w:tc>
      </w:tr>
    </w:tbl>
    <w:p w:rsidR="001F40DF" w:rsidRPr="00011C08" w:rsidRDefault="001F40DF" w:rsidP="001F40DF">
      <w:pPr>
        <w:rPr>
          <w:sz w:val="20"/>
          <w:szCs w:val="20"/>
        </w:rPr>
      </w:pPr>
    </w:p>
    <w:p w:rsidR="001F40DF" w:rsidRPr="00793276" w:rsidRDefault="00011C08" w:rsidP="001F40DF">
      <w:pPr>
        <w:widowControl w:val="0"/>
        <w:rPr>
          <w:b/>
          <w:sz w:val="20"/>
          <w:szCs w:val="20"/>
        </w:rPr>
      </w:pPr>
      <w:r>
        <w:rPr>
          <w:b/>
          <w:sz w:val="20"/>
          <w:szCs w:val="20"/>
          <w:u w:val="single"/>
        </w:rPr>
        <w:t>ROTHST</w:t>
      </w:r>
      <w:r w:rsidR="001F40DF" w:rsidRPr="00F921D0">
        <w:rPr>
          <w:b/>
          <w:sz w:val="20"/>
          <w:szCs w:val="20"/>
          <w:u w:val="single"/>
        </w:rPr>
        <w:t>E</w:t>
      </w:r>
      <w:r>
        <w:rPr>
          <w:b/>
          <w:sz w:val="20"/>
          <w:szCs w:val="20"/>
          <w:u w:val="single"/>
        </w:rPr>
        <w:t>IN</w:t>
      </w:r>
      <w:r w:rsidR="001F40DF" w:rsidRPr="00F921D0">
        <w:rPr>
          <w:b/>
          <w:sz w:val="20"/>
          <w:szCs w:val="20"/>
          <w:u w:val="single"/>
        </w:rPr>
        <w:t xml:space="preserve"> J.</w:t>
      </w:r>
      <w:r w:rsidR="00793276">
        <w:rPr>
          <w:b/>
          <w:sz w:val="20"/>
          <w:szCs w:val="20"/>
        </w:rPr>
        <w:t>:</w:t>
      </w:r>
    </w:p>
    <w:p w:rsidR="00011C08" w:rsidRPr="002D6874" w:rsidRDefault="00011C08" w:rsidP="00011C08">
      <w:pPr>
        <w:rPr>
          <w:rFonts w:cs="Times New Roman"/>
          <w:sz w:val="20"/>
          <w:szCs w:val="20"/>
        </w:rPr>
      </w:pPr>
    </w:p>
    <w:p w:rsidR="00011C08" w:rsidRPr="00011C08" w:rsidRDefault="00011C08" w:rsidP="00011C08">
      <w:pPr>
        <w:pStyle w:val="ParaNoNdepar-AltN"/>
        <w:spacing w:before="0" w:after="0" w:line="240" w:lineRule="auto"/>
        <w:rPr>
          <w:rFonts w:cs="Times New Roman"/>
          <w:kern w:val="36"/>
          <w:sz w:val="20"/>
          <w:szCs w:val="20"/>
          <w:lang w:val="en-CA"/>
        </w:rPr>
      </w:pPr>
      <w:r w:rsidRPr="00011C08">
        <w:rPr>
          <w:rFonts w:cs="Times New Roman"/>
          <w:kern w:val="36"/>
          <w:sz w:val="20"/>
          <w:szCs w:val="20"/>
          <w:lang w:val="en-CA"/>
        </w:rPr>
        <w:t xml:space="preserve">The issue that arises on this motion is whether the Registrar’s refusal to submit a matter to the Court under Rule 73(4) of the </w:t>
      </w:r>
      <w:r w:rsidRPr="00011C08">
        <w:rPr>
          <w:rFonts w:cs="Times New Roman"/>
          <w:i/>
          <w:kern w:val="36"/>
          <w:sz w:val="20"/>
          <w:szCs w:val="20"/>
          <w:lang w:val="en-CA"/>
        </w:rPr>
        <w:t>Rules of the Supreme Court of Canada</w:t>
      </w:r>
      <w:r w:rsidRPr="00011C08">
        <w:rPr>
          <w:rFonts w:cs="Times New Roman"/>
          <w:kern w:val="36"/>
          <w:sz w:val="20"/>
          <w:szCs w:val="20"/>
          <w:lang w:val="en-CA"/>
        </w:rPr>
        <w:t xml:space="preserve">, SOR/2002-156, is an order of the Registrar subject to review by a judge of the Court under Rule 78. </w:t>
      </w:r>
    </w:p>
    <w:p w:rsidR="00011C08" w:rsidRPr="00011C08" w:rsidRDefault="00011C08" w:rsidP="00011C08">
      <w:pPr>
        <w:pStyle w:val="ParaNoNdepar-AltN"/>
        <w:numPr>
          <w:ilvl w:val="0"/>
          <w:numId w:val="0"/>
        </w:numPr>
        <w:spacing w:before="0" w:after="0" w:line="240" w:lineRule="auto"/>
        <w:rPr>
          <w:rFonts w:cs="Times New Roman"/>
          <w:kern w:val="36"/>
          <w:sz w:val="20"/>
          <w:szCs w:val="20"/>
          <w:lang w:val="en-CA"/>
        </w:rPr>
      </w:pPr>
    </w:p>
    <w:p w:rsidR="00011C08" w:rsidRPr="00011C08" w:rsidRDefault="00011C08" w:rsidP="00011C08">
      <w:pPr>
        <w:pStyle w:val="ParaNoNdepar-AltN"/>
        <w:spacing w:before="0" w:after="0" w:line="240" w:lineRule="auto"/>
        <w:rPr>
          <w:rFonts w:cs="Times New Roman"/>
          <w:kern w:val="36"/>
          <w:sz w:val="20"/>
          <w:szCs w:val="20"/>
          <w:lang w:val="en-CA"/>
        </w:rPr>
      </w:pPr>
      <w:r w:rsidRPr="00011C08">
        <w:rPr>
          <w:rFonts w:cs="Times New Roman"/>
          <w:bCs/>
          <w:kern w:val="36"/>
          <w:sz w:val="20"/>
          <w:szCs w:val="20"/>
          <w:lang w:val="en-CA"/>
        </w:rPr>
        <w:t xml:space="preserve">Vlasta Stubicar’s application for leave to appeal to this Court was dismissed on September 12, 2013. Following that decision, Ms. Stubicar sought a reconsideration of the decision. Rule 73(1) provides that “[t]here shall be no reconsideration of an application for leave to appeal unless there are exceedingly rare circumstances in the case that warrant consideration by the Court.” </w:t>
      </w:r>
      <w:r w:rsidRPr="00011C08">
        <w:rPr>
          <w:rFonts w:cs="Times New Roman"/>
          <w:kern w:val="36"/>
          <w:sz w:val="20"/>
          <w:szCs w:val="20"/>
          <w:lang w:val="en-CA"/>
        </w:rPr>
        <w:t>Pursuant to Rules 73(2) and 73(3)(</w:t>
      </w:r>
      <w:r w:rsidRPr="00011C08">
        <w:rPr>
          <w:rFonts w:cs="Times New Roman"/>
          <w:i/>
          <w:kern w:val="36"/>
          <w:sz w:val="20"/>
          <w:szCs w:val="20"/>
          <w:lang w:val="en-CA"/>
        </w:rPr>
        <w:t>b</w:t>
      </w:r>
      <w:r w:rsidRPr="00011C08">
        <w:rPr>
          <w:rFonts w:cs="Times New Roman"/>
          <w:kern w:val="36"/>
          <w:sz w:val="20"/>
          <w:szCs w:val="20"/>
          <w:lang w:val="en-CA"/>
        </w:rPr>
        <w:t xml:space="preserve">), the motion for reconsideration must be filed with the Registrar and must include an affidavit setting out the exceedingly rare circumstances in the case that warrant consideration by the Court and an explanation of why the issue was not previously raised. If the affidavit does not set out the required exceedingly rare circumstances, Rule 73(4) states that the motion “shall not be submitted to the Court”. Accordingly, the Registrar will not accept for filing a motion that does not contain an affidavit setting out “exceedingly rare circumstances”. </w:t>
      </w:r>
    </w:p>
    <w:p w:rsidR="00011C08" w:rsidRPr="00011C08" w:rsidRDefault="00011C08" w:rsidP="00011C08">
      <w:pPr>
        <w:pStyle w:val="ParaNoNdepar-AltN"/>
        <w:numPr>
          <w:ilvl w:val="0"/>
          <w:numId w:val="0"/>
        </w:numPr>
        <w:spacing w:before="0" w:after="0" w:line="240" w:lineRule="auto"/>
        <w:rPr>
          <w:rFonts w:cs="Times New Roman"/>
          <w:kern w:val="36"/>
          <w:sz w:val="20"/>
          <w:szCs w:val="20"/>
          <w:lang w:val="en-CA"/>
        </w:rPr>
      </w:pPr>
    </w:p>
    <w:p w:rsidR="00011C08" w:rsidRDefault="00011C08" w:rsidP="00011C08">
      <w:pPr>
        <w:pStyle w:val="ParaNoNdepar-AltN"/>
        <w:spacing w:before="0" w:after="0" w:line="240" w:lineRule="auto"/>
        <w:rPr>
          <w:rFonts w:cs="Times New Roman"/>
          <w:kern w:val="36"/>
          <w:sz w:val="20"/>
          <w:szCs w:val="20"/>
        </w:rPr>
      </w:pPr>
      <w:r w:rsidRPr="00011C08">
        <w:rPr>
          <w:rFonts w:cs="Times New Roman"/>
          <w:kern w:val="36"/>
          <w:sz w:val="20"/>
          <w:szCs w:val="20"/>
          <w:lang w:val="en-CA"/>
        </w:rPr>
        <w:t xml:space="preserve">In a letter dated November 20, 2013, the Registrar informed Ms. Stubicar that her reconsideration application would not be accepted for filing because it did not “reveal the exceedingly rare circumstances which would warrant reconsideration by this Court”. </w:t>
      </w:r>
      <w:r w:rsidRPr="002D6874">
        <w:rPr>
          <w:rFonts w:cs="Times New Roman"/>
          <w:kern w:val="36"/>
          <w:sz w:val="20"/>
          <w:szCs w:val="20"/>
        </w:rPr>
        <w:t>Ms. Stubicar’s motion materials were returned to her.</w:t>
      </w:r>
    </w:p>
    <w:p w:rsidR="00011C08" w:rsidRPr="002D6874" w:rsidRDefault="00011C08" w:rsidP="00011C08">
      <w:pPr>
        <w:pStyle w:val="ParaNoNdepar-AltN"/>
        <w:numPr>
          <w:ilvl w:val="0"/>
          <w:numId w:val="0"/>
        </w:numPr>
        <w:spacing w:before="0" w:after="0" w:line="240" w:lineRule="auto"/>
        <w:rPr>
          <w:rFonts w:cs="Times New Roman"/>
          <w:kern w:val="36"/>
          <w:sz w:val="20"/>
          <w:szCs w:val="20"/>
        </w:rPr>
      </w:pPr>
    </w:p>
    <w:p w:rsidR="00011C08" w:rsidRPr="00011C08" w:rsidRDefault="00011C08" w:rsidP="00011C08">
      <w:pPr>
        <w:pStyle w:val="ParaNoNdepar-AltN"/>
        <w:spacing w:before="0" w:after="0" w:line="240" w:lineRule="auto"/>
        <w:rPr>
          <w:rFonts w:cs="Times New Roman"/>
          <w:kern w:val="36"/>
          <w:sz w:val="20"/>
          <w:szCs w:val="20"/>
          <w:lang w:val="en-CA"/>
        </w:rPr>
      </w:pPr>
      <w:r w:rsidRPr="00011C08">
        <w:rPr>
          <w:rFonts w:cs="Times New Roman"/>
          <w:kern w:val="36"/>
          <w:sz w:val="20"/>
          <w:szCs w:val="20"/>
          <w:lang w:val="en-CA"/>
        </w:rPr>
        <w:t xml:space="preserve">On December 10, 2013, Ms. Stubicar sought to file a motion to a judge under Rule 78 to review the Registrar’s decision. That rule provides that within 20 days after the Registrar makes an order, any party affected by the order may make a motion to a judge to review the order. </w:t>
      </w:r>
    </w:p>
    <w:p w:rsidR="00011C08" w:rsidRPr="00011C08" w:rsidRDefault="00011C08" w:rsidP="00011C08">
      <w:pPr>
        <w:pStyle w:val="ParaNoNdepar-AltN"/>
        <w:numPr>
          <w:ilvl w:val="0"/>
          <w:numId w:val="0"/>
        </w:numPr>
        <w:spacing w:before="0" w:after="0" w:line="240" w:lineRule="auto"/>
        <w:rPr>
          <w:rFonts w:cs="Times New Roman"/>
          <w:kern w:val="36"/>
          <w:sz w:val="20"/>
          <w:szCs w:val="20"/>
          <w:lang w:val="en-CA"/>
        </w:rPr>
      </w:pPr>
    </w:p>
    <w:p w:rsidR="00011C08" w:rsidRPr="00011C08" w:rsidRDefault="00011C08" w:rsidP="00011C08">
      <w:pPr>
        <w:pStyle w:val="ParaNoNdepar-AltN"/>
        <w:spacing w:before="0" w:after="0" w:line="240" w:lineRule="auto"/>
        <w:rPr>
          <w:rFonts w:cs="Times New Roman"/>
          <w:kern w:val="36"/>
          <w:sz w:val="20"/>
          <w:szCs w:val="20"/>
          <w:lang w:val="en-CA"/>
        </w:rPr>
      </w:pPr>
      <w:r w:rsidRPr="00011C08">
        <w:rPr>
          <w:rFonts w:cs="Times New Roman"/>
          <w:kern w:val="36"/>
          <w:sz w:val="20"/>
          <w:szCs w:val="20"/>
          <w:lang w:val="en-CA"/>
        </w:rPr>
        <w:t>On December 19, 2013, the Registrar returned the Rule 78 motion materials on the basis that the initial motion for reconsideration had been reviewed and refused in accordance with Rule 73.</w:t>
      </w:r>
    </w:p>
    <w:p w:rsidR="00011C08" w:rsidRPr="00011C08" w:rsidRDefault="00011C08" w:rsidP="00011C08">
      <w:pPr>
        <w:pStyle w:val="ParaNoNdepar-AltN"/>
        <w:numPr>
          <w:ilvl w:val="0"/>
          <w:numId w:val="0"/>
        </w:numPr>
        <w:spacing w:before="0" w:after="0" w:line="240" w:lineRule="auto"/>
        <w:rPr>
          <w:rFonts w:cs="Times New Roman"/>
          <w:kern w:val="36"/>
          <w:sz w:val="20"/>
          <w:szCs w:val="20"/>
          <w:lang w:val="en-CA"/>
        </w:rPr>
      </w:pPr>
    </w:p>
    <w:p w:rsidR="00011C08" w:rsidRDefault="00011C08" w:rsidP="00011C08">
      <w:pPr>
        <w:pStyle w:val="ParaNoNdepar-AltN"/>
        <w:spacing w:before="0" w:after="0" w:line="240" w:lineRule="auto"/>
        <w:rPr>
          <w:rFonts w:cs="Times New Roman"/>
          <w:kern w:val="36"/>
          <w:sz w:val="20"/>
          <w:szCs w:val="20"/>
        </w:rPr>
      </w:pPr>
      <w:r w:rsidRPr="00011C08">
        <w:rPr>
          <w:rFonts w:cs="Times New Roman"/>
          <w:kern w:val="36"/>
          <w:sz w:val="20"/>
          <w:szCs w:val="20"/>
          <w:lang w:val="en-CA"/>
        </w:rPr>
        <w:t xml:space="preserve">Now, Ms. Stubicar has filed the present motion for directions, in which she is seeking, amongst other things, an order directing the Registrar to accept for filing her Rule 78 motion. She contends that the decision of the Registrar to refuse to accept a motion for reconsideration for filing constitutes an order of the Registrar subject to review by a judge under Rule 78. </w:t>
      </w:r>
      <w:r w:rsidRPr="002D6874">
        <w:rPr>
          <w:rFonts w:cs="Times New Roman"/>
          <w:kern w:val="36"/>
          <w:sz w:val="20"/>
          <w:szCs w:val="20"/>
        </w:rPr>
        <w:t>In my view, it does not.</w:t>
      </w:r>
    </w:p>
    <w:p w:rsidR="00011C08" w:rsidRPr="002D6874" w:rsidRDefault="00011C08" w:rsidP="00011C08">
      <w:pPr>
        <w:pStyle w:val="ParaNoNdepar-AltN"/>
        <w:numPr>
          <w:ilvl w:val="0"/>
          <w:numId w:val="0"/>
        </w:numPr>
        <w:spacing w:before="0" w:after="0" w:line="240" w:lineRule="auto"/>
        <w:rPr>
          <w:rFonts w:cs="Times New Roman"/>
          <w:kern w:val="36"/>
          <w:sz w:val="20"/>
          <w:szCs w:val="20"/>
        </w:rPr>
      </w:pPr>
    </w:p>
    <w:p w:rsidR="00011C08" w:rsidRPr="00011C08" w:rsidRDefault="00011C08" w:rsidP="00011C08">
      <w:pPr>
        <w:pStyle w:val="ParaNoNdepar-AltN"/>
        <w:spacing w:before="0" w:after="0" w:line="240" w:lineRule="auto"/>
        <w:rPr>
          <w:rFonts w:cs="Times New Roman"/>
          <w:sz w:val="20"/>
          <w:szCs w:val="20"/>
          <w:lang w:val="en-CA"/>
        </w:rPr>
      </w:pPr>
      <w:r w:rsidRPr="00011C08">
        <w:rPr>
          <w:rFonts w:cs="Times New Roman"/>
          <w:kern w:val="36"/>
          <w:sz w:val="20"/>
          <w:szCs w:val="20"/>
          <w:lang w:val="en-CA"/>
        </w:rPr>
        <w:t xml:space="preserve">The Registrar has the important function of assisting the Court in managing its docket and it is in that role that the Registrar is acting when making decisions under Rule 73(4).  The decision of the Registrar to not accept a motion for reconsideration for filing is a function of the Registrar’s authority pursuant to Rule 8(2), which allows the Registrar to refuse a document that does not comply with the </w:t>
      </w:r>
      <w:r w:rsidRPr="00011C08">
        <w:rPr>
          <w:rFonts w:cs="Times New Roman"/>
          <w:i/>
          <w:kern w:val="36"/>
          <w:sz w:val="20"/>
          <w:szCs w:val="20"/>
          <w:lang w:val="en-CA"/>
        </w:rPr>
        <w:t>Rules</w:t>
      </w:r>
      <w:r w:rsidRPr="00011C08">
        <w:rPr>
          <w:rFonts w:cs="Times New Roman"/>
          <w:kern w:val="36"/>
          <w:sz w:val="20"/>
          <w:szCs w:val="20"/>
          <w:lang w:val="en-CA"/>
        </w:rPr>
        <w:t xml:space="preserve">.  </w:t>
      </w:r>
    </w:p>
    <w:p w:rsidR="00011C08" w:rsidRPr="00011C08" w:rsidRDefault="00011C08" w:rsidP="00011C08">
      <w:pPr>
        <w:pStyle w:val="ParaNoNdepar-AltN"/>
        <w:numPr>
          <w:ilvl w:val="0"/>
          <w:numId w:val="0"/>
        </w:numPr>
        <w:spacing w:before="0" w:after="0" w:line="240" w:lineRule="auto"/>
        <w:rPr>
          <w:rFonts w:cs="Times New Roman"/>
          <w:sz w:val="20"/>
          <w:szCs w:val="20"/>
          <w:lang w:val="en-CA"/>
        </w:rPr>
      </w:pPr>
    </w:p>
    <w:p w:rsidR="00011C08" w:rsidRPr="00011C08" w:rsidRDefault="00011C08" w:rsidP="00011C08">
      <w:pPr>
        <w:pStyle w:val="ParaNoNdepar-AltN"/>
        <w:spacing w:before="0" w:after="0" w:line="240" w:lineRule="auto"/>
        <w:rPr>
          <w:rFonts w:cs="Times New Roman"/>
          <w:sz w:val="20"/>
          <w:szCs w:val="20"/>
          <w:lang w:val="en-CA"/>
        </w:rPr>
      </w:pPr>
      <w:r w:rsidRPr="00011C08">
        <w:rPr>
          <w:rFonts w:cs="Times New Roman"/>
          <w:kern w:val="36"/>
          <w:sz w:val="20"/>
          <w:szCs w:val="20"/>
          <w:lang w:val="en-CA"/>
        </w:rPr>
        <w:t>A decision of the Registrar under Rule 73(4) is not an order of the Registrar subject to review by a judge under Rule 78. Reconsideration of an application for leave to appeal will, as Rule 73(1) states, occur in “exceedingly rare circumstances”. Rule 73(3)(</w:t>
      </w:r>
      <w:r w:rsidRPr="00011C08">
        <w:rPr>
          <w:rFonts w:cs="Times New Roman"/>
          <w:i/>
          <w:kern w:val="36"/>
          <w:sz w:val="20"/>
          <w:szCs w:val="20"/>
          <w:lang w:val="en-CA"/>
        </w:rPr>
        <w:t>b</w:t>
      </w:r>
      <w:r w:rsidRPr="00011C08">
        <w:rPr>
          <w:rFonts w:cs="Times New Roman"/>
          <w:kern w:val="36"/>
          <w:sz w:val="20"/>
          <w:szCs w:val="20"/>
          <w:lang w:val="en-CA"/>
        </w:rPr>
        <w:t xml:space="preserve">) sets forth the stringent requirement that such an application be accompanied by an affidavit setting out the exceedingly rare circumstances and the reason why the issue was not previously raised. In the absence of such an affidavit — i.e. if the circumstances set out in the affidavit are not “exceedingly rare” —, the Registrar shall not submit the application to the Court and it will be refused. </w:t>
      </w:r>
    </w:p>
    <w:p w:rsidR="00011C08" w:rsidRPr="00011C08" w:rsidRDefault="00011C08" w:rsidP="00011C08">
      <w:pPr>
        <w:pStyle w:val="ParaNoNdepar-AltN"/>
        <w:numPr>
          <w:ilvl w:val="0"/>
          <w:numId w:val="0"/>
        </w:numPr>
        <w:spacing w:before="0" w:after="0" w:line="240" w:lineRule="auto"/>
        <w:rPr>
          <w:rFonts w:cs="Times New Roman"/>
          <w:sz w:val="20"/>
          <w:szCs w:val="20"/>
          <w:lang w:val="en-CA"/>
        </w:rPr>
      </w:pPr>
    </w:p>
    <w:p w:rsidR="00011C08" w:rsidRPr="00011C08" w:rsidRDefault="00011C08" w:rsidP="00011C08">
      <w:pPr>
        <w:pStyle w:val="ParaNoNdepar-AltN"/>
        <w:spacing w:before="0" w:after="0" w:line="240" w:lineRule="auto"/>
        <w:rPr>
          <w:rFonts w:cs="Times New Roman"/>
          <w:sz w:val="20"/>
          <w:szCs w:val="20"/>
          <w:lang w:val="en-CA"/>
        </w:rPr>
      </w:pPr>
      <w:r w:rsidRPr="00011C08">
        <w:rPr>
          <w:rFonts w:cs="Times New Roman"/>
          <w:kern w:val="36"/>
          <w:sz w:val="20"/>
          <w:szCs w:val="20"/>
          <w:lang w:val="en-CA"/>
        </w:rPr>
        <w:lastRenderedPageBreak/>
        <w:t xml:space="preserve">If a decision of the Registrar under Rule 73(4) constituted an order, it would be subject to review by a judge of the Court under Rule 78. While the judge would not be conducting a reconsideration of the application for leave, he or she would nonetheless be occupied with reviewing the Registrar’s decision, including whether the motion contains an affidavit setting out exceedingly rare circumstances and an explanation of why the issue was not previously raised. As Rule 73(4) is intended to limit access to the Court where minimum standards are not met, allowing for review of Rule 73(4) decisions of the Registrar would be contrary to the intent of the scheme. Accordingly, </w:t>
      </w:r>
      <w:r w:rsidRPr="00011C08">
        <w:rPr>
          <w:rFonts w:cs="Times New Roman"/>
          <w:sz w:val="20"/>
          <w:szCs w:val="20"/>
          <w:lang w:val="en-CA"/>
        </w:rPr>
        <w:t xml:space="preserve">a decision of the Registrar under Rule 73(4) to not submit an application to the Court is not reviewable by a judge under Rule 78. </w:t>
      </w:r>
    </w:p>
    <w:p w:rsidR="00011C08" w:rsidRPr="00011C08" w:rsidRDefault="00011C08" w:rsidP="00011C08">
      <w:pPr>
        <w:pStyle w:val="ParaNoNdepar-AltN"/>
        <w:numPr>
          <w:ilvl w:val="0"/>
          <w:numId w:val="0"/>
        </w:numPr>
        <w:spacing w:before="0" w:after="0" w:line="240" w:lineRule="auto"/>
        <w:rPr>
          <w:rFonts w:cs="Times New Roman"/>
          <w:sz w:val="20"/>
          <w:szCs w:val="20"/>
          <w:lang w:val="en-CA"/>
        </w:rPr>
      </w:pPr>
    </w:p>
    <w:p w:rsidR="00011C08" w:rsidRPr="00011C08" w:rsidRDefault="00011C08" w:rsidP="00011C08">
      <w:pPr>
        <w:pStyle w:val="ParaNoNdepar-AltN"/>
        <w:spacing w:before="0" w:after="0" w:line="240" w:lineRule="auto"/>
        <w:rPr>
          <w:rFonts w:cs="Times New Roman"/>
          <w:kern w:val="36"/>
          <w:sz w:val="20"/>
          <w:szCs w:val="20"/>
          <w:lang w:val="en-CA"/>
        </w:rPr>
      </w:pPr>
      <w:r w:rsidRPr="00011C08">
        <w:rPr>
          <w:rFonts w:cs="Times New Roman"/>
          <w:kern w:val="36"/>
          <w:sz w:val="20"/>
          <w:szCs w:val="20"/>
          <w:lang w:val="en-CA"/>
        </w:rPr>
        <w:t xml:space="preserve">The motion for an order directing the Registrar to accept for filing the Rule 78 motion is dismissed. </w:t>
      </w:r>
    </w:p>
    <w:p w:rsidR="00011C08" w:rsidRDefault="00011C08" w:rsidP="00011C08">
      <w:pPr>
        <w:pStyle w:val="ListParagraph"/>
        <w:ind w:left="0"/>
        <w:rPr>
          <w:rFonts w:cs="Times New Roman"/>
          <w:bCs/>
          <w:kern w:val="36"/>
          <w:sz w:val="20"/>
          <w:szCs w:val="20"/>
        </w:rPr>
      </w:pPr>
    </w:p>
    <w:p w:rsidR="00011C08" w:rsidRDefault="00011C08" w:rsidP="00011C08">
      <w:pPr>
        <w:pStyle w:val="ListParagraph"/>
        <w:ind w:left="0"/>
        <w:rPr>
          <w:rFonts w:cs="Times New Roman"/>
          <w:bCs/>
          <w:kern w:val="36"/>
          <w:sz w:val="20"/>
          <w:szCs w:val="20"/>
        </w:rPr>
      </w:pPr>
    </w:p>
    <w:p w:rsidR="00011C08" w:rsidRPr="00793276" w:rsidRDefault="00011C08" w:rsidP="00011C08">
      <w:pPr>
        <w:pStyle w:val="ListParagraph"/>
        <w:ind w:left="0"/>
        <w:rPr>
          <w:rFonts w:cs="Times New Roman"/>
          <w:b/>
          <w:bCs/>
          <w:kern w:val="36"/>
          <w:sz w:val="20"/>
          <w:szCs w:val="20"/>
        </w:rPr>
      </w:pPr>
      <w:r>
        <w:rPr>
          <w:rFonts w:cs="Times New Roman"/>
          <w:b/>
          <w:bCs/>
          <w:kern w:val="36"/>
          <w:sz w:val="20"/>
          <w:szCs w:val="20"/>
          <w:u w:val="single"/>
        </w:rPr>
        <w:t>LE JUGE ROTHSTEIN</w:t>
      </w:r>
      <w:r w:rsidR="00793276">
        <w:rPr>
          <w:rFonts w:cs="Times New Roman"/>
          <w:b/>
          <w:bCs/>
          <w:kern w:val="36"/>
          <w:sz w:val="20"/>
          <w:szCs w:val="20"/>
        </w:rPr>
        <w:t xml:space="preserve"> :</w:t>
      </w:r>
    </w:p>
    <w:p w:rsidR="00011C08" w:rsidRDefault="00011C08" w:rsidP="00011C08">
      <w:pPr>
        <w:pStyle w:val="ListParagraph"/>
        <w:ind w:left="0"/>
        <w:rPr>
          <w:rFonts w:cs="Times New Roman"/>
          <w:bCs/>
          <w:kern w:val="36"/>
          <w:sz w:val="20"/>
          <w:szCs w:val="20"/>
        </w:rPr>
      </w:pPr>
    </w:p>
    <w:p w:rsidR="00793276" w:rsidRPr="0095079C" w:rsidRDefault="00793276" w:rsidP="00793276">
      <w:pPr>
        <w:rPr>
          <w:rFonts w:cs="Times New Roman"/>
          <w:sz w:val="20"/>
          <w:szCs w:val="20"/>
          <w:lang w:val="fr-CA"/>
        </w:rPr>
      </w:pPr>
    </w:p>
    <w:p w:rsidR="00793276" w:rsidRPr="00793276" w:rsidRDefault="00793276" w:rsidP="00793276">
      <w:pPr>
        <w:pStyle w:val="ParaNoNdepar-AltN"/>
        <w:numPr>
          <w:ilvl w:val="0"/>
          <w:numId w:val="7"/>
        </w:numPr>
        <w:spacing w:before="0" w:after="0" w:line="240" w:lineRule="auto"/>
        <w:rPr>
          <w:rFonts w:cs="Times New Roman"/>
          <w:kern w:val="36"/>
          <w:sz w:val="20"/>
          <w:szCs w:val="20"/>
        </w:rPr>
      </w:pPr>
      <w:r w:rsidRPr="00793276">
        <w:rPr>
          <w:rFonts w:cs="Times New Roman"/>
          <w:kern w:val="36"/>
          <w:sz w:val="20"/>
          <w:szCs w:val="20"/>
        </w:rPr>
        <w:t xml:space="preserve">La question que soulève la présente requête est de savoir si le refus du registraire de soumettre une question à la Cour en vertu du par. 73(4) des </w:t>
      </w:r>
      <w:r w:rsidRPr="00793276">
        <w:rPr>
          <w:rFonts w:cs="Times New Roman"/>
          <w:i/>
          <w:kern w:val="36"/>
          <w:sz w:val="20"/>
          <w:szCs w:val="20"/>
        </w:rPr>
        <w:t>Règles de la Cour suprême du Canada</w:t>
      </w:r>
      <w:r w:rsidRPr="00793276">
        <w:rPr>
          <w:rFonts w:cs="Times New Roman"/>
          <w:kern w:val="36"/>
          <w:sz w:val="20"/>
          <w:szCs w:val="20"/>
        </w:rPr>
        <w:t xml:space="preserve">, DORS/2002-156, constitue une ordonnance du registraire susceptible de révision par un juge de la Cour en vertu de la règle 78. </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Default="00793276" w:rsidP="00793276">
      <w:pPr>
        <w:pStyle w:val="ParaNoNdepar-AltN"/>
        <w:spacing w:before="0" w:after="0" w:line="240" w:lineRule="auto"/>
        <w:rPr>
          <w:rFonts w:cs="Times New Roman"/>
          <w:kern w:val="36"/>
          <w:sz w:val="20"/>
          <w:szCs w:val="20"/>
        </w:rPr>
      </w:pPr>
      <w:r w:rsidRPr="0095079C">
        <w:rPr>
          <w:rFonts w:cs="Times New Roman"/>
          <w:bCs/>
          <w:kern w:val="36"/>
          <w:sz w:val="20"/>
          <w:szCs w:val="20"/>
        </w:rPr>
        <w:t>La demande d’autorisation d’appel présentée à la Cour par M</w:t>
      </w:r>
      <w:r w:rsidRPr="0095079C">
        <w:rPr>
          <w:rFonts w:cs="Times New Roman"/>
          <w:bCs/>
          <w:kern w:val="36"/>
          <w:sz w:val="20"/>
          <w:szCs w:val="20"/>
          <w:vertAlign w:val="superscript"/>
        </w:rPr>
        <w:t>me</w:t>
      </w:r>
      <w:r w:rsidRPr="0095079C">
        <w:rPr>
          <w:rFonts w:cs="Times New Roman"/>
          <w:bCs/>
          <w:kern w:val="36"/>
          <w:sz w:val="20"/>
          <w:szCs w:val="20"/>
        </w:rPr>
        <w:t xml:space="preserve"> Vlasta Stubicar a été rejetée le 12 septembre 2013.  Cette dernière a par la suite sollicité le réexamen de cette décision. Aux termes du par. 73(1) des </w:t>
      </w:r>
      <w:r w:rsidRPr="0095079C">
        <w:rPr>
          <w:rFonts w:cs="Times New Roman"/>
          <w:bCs/>
          <w:i/>
          <w:kern w:val="36"/>
          <w:sz w:val="20"/>
          <w:szCs w:val="20"/>
        </w:rPr>
        <w:t>Règles</w:t>
      </w:r>
      <w:r w:rsidRPr="0095079C">
        <w:rPr>
          <w:rFonts w:cs="Times New Roman"/>
          <w:bCs/>
          <w:kern w:val="36"/>
          <w:sz w:val="20"/>
          <w:szCs w:val="20"/>
        </w:rPr>
        <w:t>, « [a]u</w:t>
      </w:r>
      <w:r w:rsidRPr="0095079C">
        <w:rPr>
          <w:sz w:val="20"/>
          <w:szCs w:val="20"/>
          <w:lang w:val="fr-FR"/>
        </w:rPr>
        <w:t>cune demande d’autorisation d’appel ne peut faire l’objet d’un réexamen sauf si des circonstances extrêmement rares le justifient. »</w:t>
      </w:r>
      <w:r w:rsidRPr="0095079C">
        <w:rPr>
          <w:rFonts w:cs="Times New Roman"/>
          <w:bCs/>
          <w:kern w:val="36"/>
          <w:sz w:val="20"/>
          <w:szCs w:val="20"/>
        </w:rPr>
        <w:t xml:space="preserve">  Conformément au par. </w:t>
      </w:r>
      <w:r w:rsidRPr="0095079C">
        <w:rPr>
          <w:rFonts w:cs="Times New Roman"/>
          <w:kern w:val="36"/>
          <w:sz w:val="20"/>
          <w:szCs w:val="20"/>
        </w:rPr>
        <w:t>73(2) et à l’al. 73(3)</w:t>
      </w:r>
      <w:r w:rsidRPr="0095079C">
        <w:rPr>
          <w:rFonts w:cs="Times New Roman"/>
          <w:i/>
          <w:kern w:val="36"/>
          <w:sz w:val="20"/>
          <w:szCs w:val="20"/>
        </w:rPr>
        <w:t>b</w:t>
      </w:r>
      <w:r w:rsidRPr="0095079C">
        <w:rPr>
          <w:rFonts w:cs="Times New Roman"/>
          <w:kern w:val="36"/>
          <w:sz w:val="20"/>
          <w:szCs w:val="20"/>
        </w:rPr>
        <w:t xml:space="preserve">), la requête en réexamen doit être déposée auprès du registraire et comporter un affidavit exposant les circonstances extrêmement rares qui justifient le réexamen par la Cour et expliquant les raisons pour lesquelles la question n’a pas été soulevée plus tôt.  Si l’affidavit n’expose pas de circonstances extrêmement rares, le par. 73(4) précise que dans de tels cas la requête « ne peut être soumise à la Cour ».  En conséquence, le registraire n’accepte pas le dépôt d’une requête qui n’est pas accompagnée d’un affidavit faisant état de « circonstances extrêmement rares ». </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Default="00793276" w:rsidP="00793276">
      <w:pPr>
        <w:pStyle w:val="ParaNoNdepar-AltN"/>
        <w:spacing w:before="0" w:after="0" w:line="240" w:lineRule="auto"/>
        <w:rPr>
          <w:rFonts w:cs="Times New Roman"/>
          <w:kern w:val="36"/>
          <w:sz w:val="20"/>
          <w:szCs w:val="20"/>
        </w:rPr>
      </w:pPr>
      <w:r w:rsidRPr="0095079C">
        <w:rPr>
          <w:rFonts w:cs="Times New Roman"/>
          <w:kern w:val="36"/>
          <w:sz w:val="20"/>
          <w:szCs w:val="20"/>
        </w:rPr>
        <w:t>Dans une lettre datée du 20 novembre 2013, le registraire a avisé M</w:t>
      </w:r>
      <w:r w:rsidRPr="0095079C">
        <w:rPr>
          <w:rFonts w:cs="Times New Roman"/>
          <w:kern w:val="36"/>
          <w:sz w:val="20"/>
          <w:szCs w:val="20"/>
          <w:vertAlign w:val="superscript"/>
        </w:rPr>
        <w:t>me </w:t>
      </w:r>
      <w:r w:rsidRPr="0095079C">
        <w:rPr>
          <w:rFonts w:cs="Times New Roman"/>
          <w:kern w:val="36"/>
          <w:sz w:val="20"/>
          <w:szCs w:val="20"/>
        </w:rPr>
        <w:t>Stubicar que sa demande de réexamen ne serait pas acceptée pour dépôt, parce que celle-ci [</w:t>
      </w:r>
      <w:r w:rsidRPr="0095079C">
        <w:rPr>
          <w:rFonts w:cs="Times New Roman"/>
          <w:smallCaps/>
          <w:kern w:val="36"/>
          <w:sz w:val="20"/>
          <w:szCs w:val="20"/>
        </w:rPr>
        <w:t>traduction</w:t>
      </w:r>
      <w:r w:rsidRPr="0095079C">
        <w:rPr>
          <w:rFonts w:cs="Times New Roman"/>
          <w:kern w:val="36"/>
          <w:sz w:val="20"/>
          <w:szCs w:val="20"/>
        </w:rPr>
        <w:t>] « ne faisait pas état de circonstances extrêmement rares qui justifieraient un réexamen ».  Les documents accompagnant la requête de M</w:t>
      </w:r>
      <w:r w:rsidRPr="0095079C">
        <w:rPr>
          <w:rFonts w:cs="Times New Roman"/>
          <w:kern w:val="36"/>
          <w:sz w:val="20"/>
          <w:szCs w:val="20"/>
          <w:vertAlign w:val="superscript"/>
        </w:rPr>
        <w:t>me</w:t>
      </w:r>
      <w:r w:rsidRPr="0095079C">
        <w:rPr>
          <w:rFonts w:cs="Times New Roman"/>
          <w:kern w:val="36"/>
          <w:sz w:val="20"/>
          <w:szCs w:val="20"/>
        </w:rPr>
        <w:t xml:space="preserve"> Stubicar lui ont été retournés. </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Default="00793276" w:rsidP="00793276">
      <w:pPr>
        <w:pStyle w:val="ParaNoNdepar-AltN"/>
        <w:spacing w:before="0" w:after="0" w:line="240" w:lineRule="auto"/>
        <w:rPr>
          <w:rFonts w:cs="Times New Roman"/>
          <w:kern w:val="36"/>
          <w:sz w:val="20"/>
          <w:szCs w:val="20"/>
        </w:rPr>
      </w:pPr>
      <w:r w:rsidRPr="0095079C">
        <w:rPr>
          <w:rFonts w:cs="Times New Roman"/>
          <w:kern w:val="36"/>
          <w:sz w:val="20"/>
          <w:szCs w:val="20"/>
        </w:rPr>
        <w:t>Le 10 décembre 2013, M</w:t>
      </w:r>
      <w:r w:rsidRPr="0095079C">
        <w:rPr>
          <w:rFonts w:cs="Times New Roman"/>
          <w:kern w:val="36"/>
          <w:sz w:val="20"/>
          <w:szCs w:val="20"/>
          <w:vertAlign w:val="superscript"/>
        </w:rPr>
        <w:t>me</w:t>
      </w:r>
      <w:r w:rsidRPr="0095079C">
        <w:rPr>
          <w:rFonts w:cs="Times New Roman"/>
          <w:kern w:val="36"/>
          <w:sz w:val="20"/>
          <w:szCs w:val="20"/>
        </w:rPr>
        <w:t> Stubicar a cherché à déposer, en vertu de l’art. 78, une requête demandant la révision de la décision du registraire par un juge.  Selon cette disposition, toute partie visée par une ordonnance du registraire peut, dans les 20 jours suivant le prononcé de celle-ci, en demander la révision à un juge par requête.</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Default="00793276" w:rsidP="00793276">
      <w:pPr>
        <w:pStyle w:val="ParaNoNdepar-AltN"/>
        <w:spacing w:before="0" w:after="0" w:line="240" w:lineRule="auto"/>
        <w:rPr>
          <w:rFonts w:cs="Times New Roman"/>
          <w:kern w:val="36"/>
          <w:sz w:val="20"/>
          <w:szCs w:val="20"/>
        </w:rPr>
      </w:pPr>
      <w:r w:rsidRPr="0095079C">
        <w:rPr>
          <w:rFonts w:cs="Times New Roman"/>
          <w:kern w:val="36"/>
          <w:sz w:val="20"/>
          <w:szCs w:val="20"/>
        </w:rPr>
        <w:t>Le 19 décembre 2013, le registraire a retourné à M</w:t>
      </w:r>
      <w:r w:rsidRPr="0095079C">
        <w:rPr>
          <w:rFonts w:cs="Times New Roman"/>
          <w:kern w:val="36"/>
          <w:sz w:val="20"/>
          <w:szCs w:val="20"/>
          <w:vertAlign w:val="superscript"/>
        </w:rPr>
        <w:t>me</w:t>
      </w:r>
      <w:r w:rsidRPr="0095079C">
        <w:rPr>
          <w:rFonts w:cs="Times New Roman"/>
          <w:kern w:val="36"/>
          <w:sz w:val="20"/>
          <w:szCs w:val="20"/>
        </w:rPr>
        <w:t xml:space="preserve"> Stubicar les documents relatifs à la requête fondée sur l’art. 78, au motif que la requête initiale en réexamen avait été examinée et refusée conformément à l’art. 73. </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Default="00793276" w:rsidP="00793276">
      <w:pPr>
        <w:pStyle w:val="ParaNoNdepar-AltN"/>
        <w:spacing w:before="0" w:after="0" w:line="240" w:lineRule="auto"/>
        <w:rPr>
          <w:rFonts w:cs="Times New Roman"/>
          <w:kern w:val="36"/>
          <w:sz w:val="20"/>
          <w:szCs w:val="20"/>
        </w:rPr>
      </w:pPr>
      <w:r w:rsidRPr="0095079C">
        <w:rPr>
          <w:rFonts w:cs="Times New Roman"/>
          <w:kern w:val="36"/>
          <w:sz w:val="20"/>
          <w:szCs w:val="20"/>
        </w:rPr>
        <w:t xml:space="preserve">Madame Stubicar a déposé la présente requête sollicitant des directives, dans laquelle elle demande entre autres une ordonnance enjoignant au registraire d’accepter pour dépôt sa requête fondée sur l’art. 78.  Elle prétend que le refus du registraire d’accepter le dépôt d’une requête en réexamen constitue une ordonnance du registraire susceptible de révision par un juge en vertu de l’art. 78.  Je suis d’avis que ce n’est pas le cas. </w:t>
      </w:r>
    </w:p>
    <w:p w:rsidR="00793276" w:rsidRPr="0095079C" w:rsidRDefault="00793276" w:rsidP="00793276">
      <w:pPr>
        <w:pStyle w:val="ParaNoNdepar-AltN"/>
        <w:numPr>
          <w:ilvl w:val="0"/>
          <w:numId w:val="0"/>
        </w:numPr>
        <w:spacing w:before="0" w:after="0" w:line="240" w:lineRule="auto"/>
        <w:rPr>
          <w:rFonts w:cs="Times New Roman"/>
          <w:kern w:val="36"/>
          <w:sz w:val="20"/>
          <w:szCs w:val="20"/>
        </w:rPr>
      </w:pPr>
    </w:p>
    <w:p w:rsidR="00793276" w:rsidRPr="0095079C" w:rsidRDefault="00793276" w:rsidP="00793276">
      <w:pPr>
        <w:pStyle w:val="ParaNoNdepar-AltN"/>
        <w:spacing w:before="0" w:after="0" w:line="240" w:lineRule="auto"/>
        <w:rPr>
          <w:rFonts w:cs="Times New Roman"/>
          <w:sz w:val="20"/>
          <w:szCs w:val="20"/>
        </w:rPr>
      </w:pPr>
      <w:r w:rsidRPr="0095079C">
        <w:rPr>
          <w:rFonts w:cs="Times New Roman"/>
          <w:kern w:val="36"/>
          <w:sz w:val="20"/>
          <w:szCs w:val="20"/>
        </w:rPr>
        <w:t xml:space="preserve">Le registraire exerce une fonction importante, à savoir aider la Cour à gérer son rôle — le registre des affaires dont elle est saisie —, et c’est dans l’exercice de cette fonction qu’il rend des décisions sur la base du par. 73(4).  Le refus du registraire d’accepter le dépôt d’une requête en réexamen est un aspect du pouvoir que lui confère le par. 8(2), disposition qui l’autorise à refuser un document non conforme aux </w:t>
      </w:r>
      <w:r w:rsidRPr="0095079C">
        <w:rPr>
          <w:rFonts w:cs="Times New Roman"/>
          <w:i/>
          <w:kern w:val="36"/>
          <w:sz w:val="20"/>
          <w:szCs w:val="20"/>
        </w:rPr>
        <w:t>Règles</w:t>
      </w:r>
      <w:r w:rsidRPr="0095079C">
        <w:rPr>
          <w:rFonts w:cs="Times New Roman"/>
          <w:kern w:val="36"/>
          <w:sz w:val="20"/>
          <w:szCs w:val="20"/>
        </w:rPr>
        <w:t>.</w:t>
      </w:r>
    </w:p>
    <w:p w:rsidR="00793276" w:rsidRPr="0095079C" w:rsidRDefault="00793276" w:rsidP="00793276">
      <w:pPr>
        <w:pStyle w:val="ParaNoNdepar-AltN"/>
        <w:numPr>
          <w:ilvl w:val="0"/>
          <w:numId w:val="0"/>
        </w:numPr>
        <w:spacing w:before="0" w:after="0" w:line="240" w:lineRule="auto"/>
        <w:rPr>
          <w:rFonts w:cs="Times New Roman"/>
          <w:sz w:val="20"/>
          <w:szCs w:val="20"/>
        </w:rPr>
      </w:pPr>
    </w:p>
    <w:p w:rsidR="00793276" w:rsidRPr="0095079C" w:rsidRDefault="00793276" w:rsidP="00793276">
      <w:pPr>
        <w:pStyle w:val="ParaNoNdepar-AltN"/>
        <w:spacing w:before="0" w:after="0" w:line="240" w:lineRule="auto"/>
        <w:rPr>
          <w:rFonts w:cs="Times New Roman"/>
          <w:sz w:val="20"/>
          <w:szCs w:val="20"/>
        </w:rPr>
      </w:pPr>
      <w:r w:rsidRPr="0095079C">
        <w:rPr>
          <w:rFonts w:cs="Times New Roman"/>
          <w:kern w:val="36"/>
          <w:sz w:val="20"/>
          <w:szCs w:val="20"/>
        </w:rPr>
        <w:t>La décision rendue par le registraire sur le fondement du par. 73(4) n’est pas une ordonnance du registraire susceptible de révision par un juge en vertu de l’art. 78.  Comme le précise le par. 73(1), une demande d’autorisation d’appel ne peut être réexaminée que dans « des circonstances extrêmement rares ».  L’alinéa 73(3)</w:t>
      </w:r>
      <w:r w:rsidRPr="0095079C">
        <w:rPr>
          <w:rFonts w:cs="Times New Roman"/>
          <w:i/>
          <w:kern w:val="36"/>
          <w:sz w:val="20"/>
          <w:szCs w:val="20"/>
        </w:rPr>
        <w:t>b</w:t>
      </w:r>
      <w:r w:rsidRPr="0095079C">
        <w:rPr>
          <w:rFonts w:cs="Times New Roman"/>
          <w:kern w:val="36"/>
          <w:sz w:val="20"/>
          <w:szCs w:val="20"/>
        </w:rPr>
        <w:t xml:space="preserve">) énonce l’obligation stricte de joindre à une requête de cette nature un affidavit exposant de telles circonstances ainsi que la raison pour laquelle la question n’a pas été soulevée plus tôt.  En l’absence d’un affidavit respectant cette exigence </w:t>
      </w:r>
      <w:r w:rsidRPr="0095079C">
        <w:rPr>
          <w:rFonts w:cs="Times New Roman"/>
          <w:kern w:val="36"/>
          <w:sz w:val="20"/>
          <w:szCs w:val="20"/>
        </w:rPr>
        <w:lastRenderedPageBreak/>
        <w:t>— c’est</w:t>
      </w:r>
      <w:r w:rsidRPr="0095079C">
        <w:rPr>
          <w:rFonts w:cs="Times New Roman"/>
          <w:kern w:val="36"/>
          <w:sz w:val="20"/>
          <w:szCs w:val="20"/>
        </w:rPr>
        <w:noBreakHyphen/>
        <w:t>à</w:t>
      </w:r>
      <w:r w:rsidRPr="0095079C">
        <w:rPr>
          <w:rFonts w:cs="Times New Roman"/>
          <w:kern w:val="36"/>
          <w:sz w:val="20"/>
          <w:szCs w:val="20"/>
        </w:rPr>
        <w:noBreakHyphen/>
        <w:t xml:space="preserve">dire si les circonstances exposées dans celui-ci ne sont pas « extrêmement rares » —, le registraire ne peut soumettre la demande à la Cour et la demande sera refusée. </w:t>
      </w:r>
    </w:p>
    <w:p w:rsidR="00793276" w:rsidRPr="0095079C" w:rsidRDefault="00793276" w:rsidP="00793276">
      <w:pPr>
        <w:pStyle w:val="ParaNoNdepar-AltN"/>
        <w:numPr>
          <w:ilvl w:val="0"/>
          <w:numId w:val="0"/>
        </w:numPr>
        <w:spacing w:before="0" w:after="0" w:line="240" w:lineRule="auto"/>
        <w:rPr>
          <w:rFonts w:cs="Times New Roman"/>
          <w:sz w:val="20"/>
          <w:szCs w:val="20"/>
        </w:rPr>
      </w:pPr>
    </w:p>
    <w:p w:rsidR="00793276" w:rsidRPr="0095079C" w:rsidRDefault="00793276" w:rsidP="00793276">
      <w:pPr>
        <w:pStyle w:val="ParaNoNdepar-AltN"/>
        <w:spacing w:before="0" w:after="0" w:line="240" w:lineRule="auto"/>
        <w:rPr>
          <w:rFonts w:cs="Times New Roman"/>
          <w:sz w:val="20"/>
          <w:szCs w:val="20"/>
        </w:rPr>
      </w:pPr>
      <w:r w:rsidRPr="0095079C">
        <w:rPr>
          <w:rFonts w:cs="Times New Roman"/>
          <w:kern w:val="36"/>
          <w:sz w:val="20"/>
          <w:szCs w:val="20"/>
        </w:rPr>
        <w:t>Si les décisions rendues par le registraire sur le fondement du par. 73(4) constituaient des ordonnances, elles seraient alors susceptibles de révision par un juge de la Cour en vertu de l’art. 78.  Si tel était le cas, le juge ne réexaminerait pas la demande d’autorisation d’appel, mais il réviserait néanmoins la décision du registraire, notamment en vérifiant si la requête comporte un affidavit exposant des circonstances extrêmement rares et expliquant les raisons pour lesquelles la question n’a pas été soulevée plus tôt.  Comme le par. 73(4) vise à limiter l’accès à la Cour lorsque certaines normes minimales ne sont pas respectées, le fait d’autoriser la révision des décisions rendues par le registraire en vertu de ce paragraphe irait à l’encontre de l’objet du régime.  Par conséquent, lorsque le registraire décide — sur la base du par. </w:t>
      </w:r>
      <w:r w:rsidRPr="0095079C">
        <w:rPr>
          <w:rFonts w:cs="Times New Roman"/>
          <w:sz w:val="20"/>
          <w:szCs w:val="20"/>
        </w:rPr>
        <w:t xml:space="preserve">73(4) </w:t>
      </w:r>
      <w:r w:rsidRPr="0095079C">
        <w:rPr>
          <w:rFonts w:cs="Times New Roman"/>
          <w:kern w:val="36"/>
          <w:sz w:val="20"/>
          <w:szCs w:val="20"/>
        </w:rPr>
        <w:t>— de ne pas soumettre une demande à la Cour, une telle décision n’est pas révisable par un juge en vertu de l’art. 78.</w:t>
      </w:r>
    </w:p>
    <w:p w:rsidR="00793276" w:rsidRPr="0095079C" w:rsidRDefault="00793276" w:rsidP="00793276">
      <w:pPr>
        <w:pStyle w:val="ParaNoNdepar-AltN"/>
        <w:numPr>
          <w:ilvl w:val="0"/>
          <w:numId w:val="0"/>
        </w:numPr>
        <w:spacing w:before="0" w:after="0" w:line="240" w:lineRule="auto"/>
        <w:rPr>
          <w:rFonts w:cs="Times New Roman"/>
          <w:sz w:val="20"/>
          <w:szCs w:val="20"/>
        </w:rPr>
      </w:pPr>
    </w:p>
    <w:p w:rsidR="00793276" w:rsidRPr="0095079C" w:rsidRDefault="00793276" w:rsidP="00793276">
      <w:pPr>
        <w:pStyle w:val="ParaNoNdepar-AltN"/>
        <w:spacing w:before="0" w:after="0" w:line="240" w:lineRule="auto"/>
        <w:rPr>
          <w:rFonts w:cs="Times New Roman"/>
          <w:sz w:val="20"/>
          <w:szCs w:val="20"/>
        </w:rPr>
      </w:pPr>
      <w:r w:rsidRPr="0095079C">
        <w:rPr>
          <w:rFonts w:cs="Times New Roman"/>
          <w:kern w:val="36"/>
          <w:sz w:val="20"/>
          <w:szCs w:val="20"/>
        </w:rPr>
        <w:t>La requête présentée en vue d’obtenir une ordonnance intimant au registraire d’accepter le dépôt de la requête fondée sur l’art. 78 est rejetée.</w:t>
      </w:r>
    </w:p>
    <w:p w:rsidR="00011C08" w:rsidRPr="00793276" w:rsidRDefault="00011C08" w:rsidP="00011C08">
      <w:pPr>
        <w:pStyle w:val="ListParagraph"/>
        <w:ind w:left="0"/>
        <w:rPr>
          <w:rFonts w:cs="Times New Roman"/>
          <w:bCs/>
          <w:kern w:val="36"/>
          <w:sz w:val="20"/>
          <w:szCs w:val="20"/>
          <w:lang w:val="fr-CA"/>
        </w:rPr>
      </w:pPr>
    </w:p>
    <w:p w:rsidR="001F40DF" w:rsidRPr="00C50A5C" w:rsidRDefault="00F27688" w:rsidP="001F40DF">
      <w:pPr>
        <w:jc w:val="both"/>
        <w:rPr>
          <w:sz w:val="20"/>
          <w:szCs w:val="20"/>
        </w:rPr>
      </w:pPr>
      <w:r>
        <w:rPr>
          <w:sz w:val="20"/>
          <w:szCs w:val="20"/>
        </w:rPr>
        <w:pict>
          <v:rect id="_x0000_i1085" style="width:2in;height:1pt" o:hrpct="0" o:hralign="center" o:hrstd="t" o:hrnoshade="t" o:hr="t" fillcolor="black" stroked="f"/>
        </w:pict>
      </w:r>
    </w:p>
    <w:p w:rsidR="001F40DF" w:rsidRDefault="001F40DF" w:rsidP="001F40DF">
      <w:pPr>
        <w:rPr>
          <w:sz w:val="20"/>
          <w:szCs w:val="20"/>
          <w:lang w:val="fr-CA"/>
        </w:rPr>
      </w:pP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05.05.2014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ROTHSTEIN J. / LE JUGE ROTHSTEIN</w:t>
      </w:r>
    </w:p>
    <w:p w:rsidR="00817EFC" w:rsidRPr="00817EFC" w:rsidRDefault="00817EFC" w:rsidP="00817EFC">
      <w:pPr>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rPr>
          <w:trHeight w:val="151"/>
        </w:trPr>
        <w:tc>
          <w:tcPr>
            <w:tcW w:w="4338" w:type="dxa"/>
          </w:tcPr>
          <w:p w:rsidR="00817EFC" w:rsidRPr="00817EFC" w:rsidRDefault="003172C2" w:rsidP="00817EFC">
            <w:pPr>
              <w:tabs>
                <w:tab w:val="left" w:pos="-1440"/>
                <w:tab w:val="left" w:pos="-720"/>
              </w:tabs>
              <w:jc w:val="both"/>
            </w:pPr>
            <w:r w:rsidRPr="00817EFC">
              <w:rPr>
                <w:lang w:val="en-US"/>
              </w:rPr>
              <w:fldChar w:fldCharType="begin"/>
            </w:r>
            <w:r w:rsidR="00817EFC" w:rsidRPr="00817EFC">
              <w:instrText xml:space="preserve"> SEQ CHAPTER \h \r 1</w:instrText>
            </w:r>
            <w:r w:rsidRPr="00817EFC">
              <w:rPr>
                <w:lang w:val="en-US"/>
              </w:rPr>
              <w:fldChar w:fldCharType="end"/>
            </w:r>
            <w:r w:rsidR="00817EFC" w:rsidRPr="00817EFC">
              <w:rPr>
                <w:b/>
                <w:bCs/>
              </w:rPr>
              <w:t xml:space="preserve">Motion by the intervener, Samuelson-Glushko Canadian Internet Policy and Public Interest Clinic for an extension of time in which to file its materials </w:t>
            </w:r>
          </w:p>
          <w:p w:rsidR="00817EFC" w:rsidRPr="00817EFC" w:rsidRDefault="003172C2" w:rsidP="00817EFC">
            <w:pPr>
              <w:tabs>
                <w:tab w:val="left" w:pos="-1440"/>
                <w:tab w:val="left" w:pos="-720"/>
              </w:tabs>
              <w:jc w:val="both"/>
            </w:pPr>
            <w:r w:rsidRPr="00817EFC">
              <w:rPr>
                <w:lang w:val="en-US"/>
              </w:rPr>
              <w:fldChar w:fldCharType="begin"/>
            </w:r>
            <w:r w:rsidR="00817EFC" w:rsidRPr="00817EFC">
              <w:instrText xml:space="preserve"> SEQ CHAPTER \h \r 1</w:instrText>
            </w:r>
            <w:r w:rsidRPr="00817EFC">
              <w:rPr>
                <w:lang w:val="en-US"/>
              </w:rPr>
              <w:fldChar w:fldCharType="end"/>
            </w:r>
          </w:p>
        </w:tc>
        <w:tc>
          <w:tcPr>
            <w:tcW w:w="1170" w:type="dxa"/>
          </w:tcPr>
          <w:p w:rsidR="00817EFC" w:rsidRPr="00817EFC" w:rsidRDefault="00817EFC" w:rsidP="00817EFC">
            <w:pPr>
              <w:jc w:val="both"/>
            </w:pPr>
          </w:p>
          <w:p w:rsidR="00817EFC" w:rsidRPr="00817EFC" w:rsidRDefault="00817EFC" w:rsidP="00817EFC">
            <w:pPr>
              <w:jc w:val="both"/>
            </w:pPr>
          </w:p>
          <w:p w:rsidR="00817EFC" w:rsidRPr="00817EFC" w:rsidRDefault="00817EFC" w:rsidP="00817EFC">
            <w:pPr>
              <w:jc w:val="both"/>
            </w:pPr>
          </w:p>
          <w:p w:rsidR="00817EFC" w:rsidRPr="00817EFC" w:rsidRDefault="00817EFC" w:rsidP="00817EFC">
            <w:pPr>
              <w:jc w:val="both"/>
            </w:pPr>
          </w:p>
          <w:p w:rsidR="00817EFC" w:rsidRPr="00817EFC" w:rsidRDefault="00817EFC" w:rsidP="00817EFC">
            <w:pPr>
              <w:jc w:val="both"/>
            </w:pPr>
          </w:p>
        </w:tc>
        <w:tc>
          <w:tcPr>
            <w:tcW w:w="4327" w:type="dxa"/>
          </w:tcPr>
          <w:p w:rsidR="00817EFC" w:rsidRPr="00817EFC" w:rsidRDefault="003172C2" w:rsidP="00817EFC">
            <w:pPr>
              <w:jc w:val="both"/>
              <w:rPr>
                <w:b/>
                <w:lang w:val="fr-CA"/>
              </w:rPr>
            </w:pPr>
            <w:r w:rsidRPr="00817EFC">
              <w:rPr>
                <w:lang w:val="en-US"/>
              </w:rPr>
              <w:fldChar w:fldCharType="begin"/>
            </w:r>
            <w:r w:rsidR="00817EFC" w:rsidRPr="00817EFC">
              <w:rPr>
                <w:lang w:val="fr-CA"/>
              </w:rPr>
              <w:instrText xml:space="preserve"> SEQ CHAPTER \h \r 1</w:instrText>
            </w:r>
            <w:r w:rsidRPr="00817EFC">
              <w:rPr>
                <w:lang w:val="en-US"/>
              </w:rPr>
              <w:fldChar w:fldCharType="end"/>
            </w:r>
            <w:r w:rsidR="00817EFC" w:rsidRPr="00817EFC">
              <w:rPr>
                <w:b/>
                <w:bCs/>
                <w:lang w:val="fr-CA"/>
              </w:rPr>
              <w:t>Requête présentée par l’intervenante, Clinique d’intérêt public et de politique d’internet du Canada Samuelson-Glushko, en prorogation du délai pour déposer sa documentation</w:t>
            </w:r>
          </w:p>
          <w:p w:rsidR="00817EFC" w:rsidRPr="00817EFC" w:rsidRDefault="003172C2" w:rsidP="00817EFC">
            <w:pPr>
              <w:jc w:val="both"/>
              <w:rPr>
                <w:b/>
                <w:lang w:val="fr-CA"/>
              </w:rPr>
            </w:pPr>
            <w:r w:rsidRPr="00817EFC">
              <w:rPr>
                <w:b/>
                <w:lang w:val="en-US"/>
              </w:rPr>
              <w:fldChar w:fldCharType="begin"/>
            </w:r>
            <w:r w:rsidR="00817EFC" w:rsidRPr="00817EFC">
              <w:rPr>
                <w:b/>
                <w:lang w:val="fr-CA"/>
              </w:rPr>
              <w:instrText xml:space="preserve"> SEQ CHAPTER \h \r 1</w:instrText>
            </w:r>
            <w:r w:rsidRPr="00817EFC">
              <w:rPr>
                <w:b/>
                <w:lang w:val="en-US"/>
              </w:rPr>
              <w:fldChar w:fldCharType="end"/>
            </w:r>
            <w:r w:rsidRPr="00817EFC">
              <w:rPr>
                <w:b/>
                <w:lang w:val="en-US"/>
              </w:rPr>
              <w:fldChar w:fldCharType="begin"/>
            </w:r>
            <w:r w:rsidR="00817EFC" w:rsidRPr="00817EFC">
              <w:rPr>
                <w:b/>
                <w:lang w:val="fr-CA"/>
              </w:rPr>
              <w:instrText xml:space="preserve"> SEQ CHAPTER \h \r 1</w:instrText>
            </w:r>
            <w:r w:rsidRPr="00817EFC">
              <w:rPr>
                <w:b/>
                <w:lang w:val="en-US"/>
              </w:rPr>
              <w:fldChar w:fldCharType="end"/>
            </w:r>
          </w:p>
        </w:tc>
      </w:tr>
      <w:tr w:rsidR="00817EFC" w:rsidRPr="00817EFC" w:rsidTr="00817EFC">
        <w:trPr>
          <w:trHeight w:val="150"/>
        </w:trPr>
        <w:tc>
          <w:tcPr>
            <w:tcW w:w="4338" w:type="dxa"/>
          </w:tcPr>
          <w:p w:rsidR="00817EFC" w:rsidRPr="00817EFC" w:rsidRDefault="00817EFC" w:rsidP="00817EFC">
            <w:pPr>
              <w:tabs>
                <w:tab w:val="left" w:pos="-1440"/>
                <w:tab w:val="left" w:pos="-720"/>
              </w:tabs>
              <w:jc w:val="both"/>
            </w:pPr>
            <w:r w:rsidRPr="00817EFC">
              <w:t>Kevin Fearon</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ab/>
              <w:t>v. (35298)</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rPr>
                <w:lang w:val="fr-CA"/>
              </w:rPr>
            </w:pPr>
            <w:r w:rsidRPr="00817EFC">
              <w:t xml:space="preserve">Her Majesty the Queen (Crim.) </w:t>
            </w:r>
            <w:r w:rsidRPr="00817EFC">
              <w:rPr>
                <w:lang w:val="fr-CA"/>
              </w:rPr>
              <w:t>(Ont.)</w:t>
            </w:r>
          </w:p>
        </w:tc>
        <w:tc>
          <w:tcPr>
            <w:tcW w:w="1170" w:type="dxa"/>
          </w:tcPr>
          <w:p w:rsidR="00817EFC" w:rsidRPr="00817EFC" w:rsidRDefault="00817EFC" w:rsidP="00817EFC">
            <w:pPr>
              <w:jc w:val="both"/>
              <w:rPr>
                <w:lang w:val="fr-CA"/>
              </w:rPr>
            </w:pPr>
          </w:p>
        </w:tc>
        <w:tc>
          <w:tcPr>
            <w:tcW w:w="4327" w:type="dxa"/>
          </w:tcPr>
          <w:p w:rsidR="00817EFC" w:rsidRPr="00817EFC" w:rsidRDefault="00817EFC" w:rsidP="00817EFC">
            <w:pPr>
              <w:jc w:val="both"/>
              <w:rPr>
                <w:lang w:val="fr-CA"/>
              </w:rPr>
            </w:pPr>
          </w:p>
        </w:tc>
      </w:tr>
    </w:tbl>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b/>
          <w:sz w:val="20"/>
          <w:szCs w:val="20"/>
          <w:lang w:val="fr-CA" w:eastAsia="en-CA"/>
        </w:rPr>
        <w:t>GRANTED / ACCORDÉE</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06.05.2014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THE CHIEF JUSTICE / LA JUGE EN CHEF</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c>
          <w:tcPr>
            <w:tcW w:w="4338" w:type="dxa"/>
          </w:tcPr>
          <w:p w:rsidR="00817EFC" w:rsidRPr="00817EFC" w:rsidRDefault="003172C2" w:rsidP="00817EFC">
            <w:pPr>
              <w:tabs>
                <w:tab w:val="left" w:pos="-1440"/>
                <w:tab w:val="left" w:pos="-720"/>
              </w:tabs>
              <w:jc w:val="both"/>
              <w:rPr>
                <w:b/>
              </w:rPr>
            </w:pPr>
            <w:r w:rsidRPr="00817EFC">
              <w:rPr>
                <w:lang w:val="en-US"/>
              </w:rPr>
              <w:fldChar w:fldCharType="begin"/>
            </w:r>
            <w:r w:rsidR="00817EFC" w:rsidRPr="00817EFC">
              <w:rPr>
                <w:lang w:val="en-US"/>
              </w:rPr>
              <w:instrText xml:space="preserve"> SEQ CHAPTER \h \r 1</w:instrText>
            </w:r>
            <w:r w:rsidRPr="00817EFC">
              <w:rPr>
                <w:lang w:val="en-US"/>
              </w:rPr>
              <w:fldChar w:fldCharType="end"/>
            </w:r>
            <w:r w:rsidR="00817EFC" w:rsidRPr="00817EFC">
              <w:rPr>
                <w:b/>
                <w:bCs/>
                <w:lang w:val="en-US"/>
              </w:rPr>
              <w:t>Motion to state constitutional questions</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3172C2" w:rsidP="00817EFC">
            <w:pPr>
              <w:tabs>
                <w:tab w:val="left" w:pos="-1440"/>
                <w:tab w:val="left" w:pos="-720"/>
              </w:tabs>
              <w:jc w:val="both"/>
              <w:rPr>
                <w:lang w:val="fr-CA"/>
              </w:rPr>
            </w:pPr>
            <w:r w:rsidRPr="00817EFC">
              <w:rPr>
                <w:lang w:val="en-US"/>
              </w:rPr>
              <w:fldChar w:fldCharType="begin"/>
            </w:r>
            <w:r w:rsidR="00817EFC" w:rsidRPr="00817EFC">
              <w:rPr>
                <w:lang w:val="fr-CA"/>
              </w:rPr>
              <w:instrText xml:space="preserve"> SEQ CHAPTER \h \r 1</w:instrText>
            </w:r>
            <w:r w:rsidRPr="00817EFC">
              <w:rPr>
                <w:lang w:val="en-US"/>
              </w:rPr>
              <w:fldChar w:fldCharType="end"/>
            </w:r>
            <w:r w:rsidR="00817EFC" w:rsidRPr="00817EFC">
              <w:rPr>
                <w:b/>
                <w:bCs/>
                <w:lang w:val="fr-CA"/>
              </w:rPr>
              <w:t>Requête en formulation de questions constitutionnelles</w:t>
            </w:r>
            <w:r w:rsidRPr="00817EFC">
              <w:rPr>
                <w:lang w:val="en-US"/>
              </w:rPr>
              <w:fldChar w:fldCharType="begin"/>
            </w:r>
            <w:r w:rsidR="00817EFC" w:rsidRPr="00817EFC">
              <w:rPr>
                <w:lang w:val="fr-CA"/>
              </w:rPr>
              <w:instrText xml:space="preserve"> SEQ CHAPTER \h \r 1</w:instrText>
            </w:r>
            <w:r w:rsidRPr="00817EFC">
              <w:rPr>
                <w:lang w:val="en-US"/>
              </w:rPr>
              <w:fldChar w:fldCharType="end"/>
            </w:r>
            <w:r w:rsidRPr="00817EFC">
              <w:rPr>
                <w:lang w:val="en-US"/>
              </w:rPr>
              <w:fldChar w:fldCharType="begin"/>
            </w:r>
            <w:r w:rsidR="00817EFC" w:rsidRPr="00817EFC">
              <w:rPr>
                <w:lang w:val="fr-CA"/>
              </w:rPr>
              <w:instrText xml:space="preserve"> SEQ CHAPTER \h \r 1</w:instrText>
            </w:r>
            <w:r w:rsidRPr="00817EFC">
              <w:rPr>
                <w:lang w:val="en-US"/>
              </w:rPr>
              <w:fldChar w:fldCharType="end"/>
            </w:r>
            <w:r w:rsidRPr="00817EFC">
              <w:rPr>
                <w:lang w:val="en-US"/>
              </w:rPr>
              <w:fldChar w:fldCharType="begin"/>
            </w:r>
            <w:r w:rsidR="00817EFC" w:rsidRPr="00817EFC">
              <w:rPr>
                <w:lang w:val="fr-CA"/>
              </w:rPr>
              <w:instrText xml:space="preserve"> SEQ CHAPTER \h \r 1</w:instrText>
            </w:r>
            <w:r w:rsidRPr="00817EFC">
              <w:rPr>
                <w:lang w:val="en-US"/>
              </w:rPr>
              <w:fldChar w:fldCharType="end"/>
            </w:r>
          </w:p>
        </w:tc>
      </w:tr>
      <w:tr w:rsidR="00817EFC" w:rsidRPr="00817EFC" w:rsidTr="00817EFC">
        <w:tc>
          <w:tcPr>
            <w:tcW w:w="4338" w:type="dxa"/>
          </w:tcPr>
          <w:p w:rsidR="00817EFC" w:rsidRPr="00817EFC" w:rsidRDefault="00817EFC" w:rsidP="00817EFC">
            <w:pPr>
              <w:tabs>
                <w:tab w:val="left" w:pos="-1440"/>
                <w:tab w:val="left" w:pos="-720"/>
              </w:tabs>
              <w:jc w:val="both"/>
            </w:pPr>
            <w:r w:rsidRPr="00817EFC">
              <w:t>Minister of National Revenue</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ab/>
              <w:t>v. (35590)</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Duncan Thompson (F.C.)</w:t>
            </w:r>
          </w:p>
        </w:tc>
        <w:tc>
          <w:tcPr>
            <w:tcW w:w="1170" w:type="dxa"/>
          </w:tcPr>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pPr>
          </w:p>
        </w:tc>
      </w:tr>
    </w:tbl>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b/>
          <w:sz w:val="20"/>
          <w:szCs w:val="20"/>
          <w:lang w:val="fr-CA" w:eastAsia="en-CA"/>
        </w:rPr>
        <w:t>DISMISSED / REJETÉE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rPr>
          <w:rFonts w:eastAsia="Times New Roman" w:cs="Times New Roman"/>
          <w:sz w:val="20"/>
          <w:szCs w:val="20"/>
          <w:lang w:val="en-US" w:eastAsia="en-CA"/>
        </w:rPr>
      </w:pPr>
      <w:r w:rsidRPr="00817EFC">
        <w:rPr>
          <w:rFonts w:eastAsia="Times New Roman" w:cs="Times New Roman"/>
          <w:b/>
          <w:bCs/>
          <w:sz w:val="20"/>
          <w:szCs w:val="20"/>
          <w:lang w:val="en-US" w:eastAsia="en-CA"/>
        </w:rPr>
        <w:t>UPON APPLICATION</w:t>
      </w:r>
      <w:r w:rsidRPr="00817EFC">
        <w:rPr>
          <w:rFonts w:eastAsia="Times New Roman" w:cs="Times New Roman"/>
          <w:sz w:val="20"/>
          <w:szCs w:val="20"/>
          <w:lang w:val="en-US" w:eastAsia="en-CA"/>
        </w:rPr>
        <w:t xml:space="preserve"> by the respondent </w:t>
      </w:r>
      <w:r w:rsidR="003172C2" w:rsidRPr="00817EFC">
        <w:rPr>
          <w:rFonts w:eastAsia="Times New Roman" w:cs="Times New Roman"/>
          <w:sz w:val="20"/>
          <w:szCs w:val="20"/>
          <w:lang w:eastAsia="en-CA"/>
        </w:rPr>
        <w:fldChar w:fldCharType="begin"/>
      </w:r>
      <w:r w:rsidRPr="00817EFC">
        <w:rPr>
          <w:rFonts w:eastAsia="Times New Roman" w:cs="Times New Roman"/>
          <w:sz w:val="20"/>
          <w:szCs w:val="20"/>
          <w:lang w:eastAsia="en-CA"/>
        </w:rPr>
        <w:instrText xml:space="preserve"> SEQ CHAPTER \h \r 1</w:instrText>
      </w:r>
      <w:r w:rsidR="003172C2" w:rsidRPr="00817EFC">
        <w:rPr>
          <w:rFonts w:eastAsia="Times New Roman" w:cs="Times New Roman"/>
          <w:sz w:val="20"/>
          <w:szCs w:val="20"/>
          <w:lang w:eastAsia="en-CA"/>
        </w:rPr>
        <w:fldChar w:fldCharType="end"/>
      </w:r>
      <w:r w:rsidRPr="00817EFC">
        <w:rPr>
          <w:rFonts w:eastAsia="Times New Roman" w:cs="Times New Roman"/>
          <w:sz w:val="20"/>
          <w:szCs w:val="20"/>
          <w:lang w:eastAsia="en-CA"/>
        </w:rPr>
        <w:t xml:space="preserve">for an order stating constitutional questions </w:t>
      </w:r>
      <w:r w:rsidRPr="00817EFC">
        <w:rPr>
          <w:rFonts w:eastAsia="Times New Roman" w:cs="Times New Roman"/>
          <w:sz w:val="20"/>
          <w:szCs w:val="20"/>
          <w:lang w:val="en-US" w:eastAsia="en-CA"/>
        </w:rPr>
        <w:t>in the above appeal;</w:t>
      </w:r>
    </w:p>
    <w:p w:rsidR="00817EFC" w:rsidRPr="00817EFC" w:rsidRDefault="00817EFC" w:rsidP="00817EFC">
      <w:pPr>
        <w:rPr>
          <w:rFonts w:eastAsia="Times New Roman" w:cs="Times New Roman"/>
          <w:sz w:val="20"/>
          <w:szCs w:val="20"/>
          <w:lang w:val="en-US" w:eastAsia="en-CA"/>
        </w:rPr>
      </w:pPr>
    </w:p>
    <w:p w:rsidR="00817EFC" w:rsidRPr="00817EFC" w:rsidRDefault="00817EFC" w:rsidP="00817EFC">
      <w:pPr>
        <w:rPr>
          <w:rFonts w:eastAsia="Times New Roman" w:cs="Times New Roman"/>
          <w:sz w:val="20"/>
          <w:szCs w:val="20"/>
          <w:lang w:val="en-US" w:eastAsia="en-CA"/>
        </w:rPr>
      </w:pPr>
      <w:r w:rsidRPr="00817EFC">
        <w:rPr>
          <w:rFonts w:eastAsia="Times New Roman" w:cs="Times New Roman"/>
          <w:b/>
          <w:bCs/>
          <w:sz w:val="20"/>
          <w:szCs w:val="20"/>
          <w:lang w:val="en-US" w:eastAsia="en-CA"/>
        </w:rPr>
        <w:t>AND THE MATERIAL FILED</w:t>
      </w:r>
      <w:r w:rsidRPr="00817EFC">
        <w:rPr>
          <w:rFonts w:eastAsia="Times New Roman" w:cs="Times New Roman"/>
          <w:sz w:val="20"/>
          <w:szCs w:val="20"/>
          <w:lang w:val="en-US" w:eastAsia="en-CA"/>
        </w:rPr>
        <w:t xml:space="preserve"> having been read;</w:t>
      </w:r>
    </w:p>
    <w:p w:rsidR="00817EFC" w:rsidRPr="00817EFC" w:rsidRDefault="00817EFC" w:rsidP="00817EFC">
      <w:pPr>
        <w:rPr>
          <w:rFonts w:eastAsia="Times New Roman" w:cs="Times New Roman"/>
          <w:sz w:val="20"/>
          <w:szCs w:val="20"/>
          <w:lang w:val="en-US" w:eastAsia="en-CA"/>
        </w:rPr>
      </w:pPr>
    </w:p>
    <w:p w:rsidR="00817EFC" w:rsidRPr="00817EFC" w:rsidRDefault="00817EFC" w:rsidP="00817EFC">
      <w:pPr>
        <w:rPr>
          <w:rFonts w:eastAsia="Times New Roman" w:cs="Times New Roman"/>
          <w:bCs/>
          <w:sz w:val="20"/>
          <w:szCs w:val="20"/>
          <w:lang w:val="en-US" w:eastAsia="en-CA"/>
        </w:rPr>
      </w:pPr>
      <w:r w:rsidRPr="00817EFC">
        <w:rPr>
          <w:rFonts w:eastAsia="Times New Roman" w:cs="Times New Roman"/>
          <w:b/>
          <w:bCs/>
          <w:sz w:val="20"/>
          <w:szCs w:val="20"/>
          <w:lang w:val="en-US" w:eastAsia="en-CA"/>
        </w:rPr>
        <w:t>IT IS HEREBY ORDERED THAT:</w:t>
      </w:r>
    </w:p>
    <w:p w:rsidR="00817EFC" w:rsidRPr="00817EFC" w:rsidRDefault="00817EFC" w:rsidP="00817EFC">
      <w:pPr>
        <w:rPr>
          <w:rFonts w:eastAsia="Times New Roman" w:cs="Times New Roman"/>
          <w:bCs/>
          <w:sz w:val="20"/>
          <w:szCs w:val="20"/>
          <w:lang w:val="en-US" w:eastAsia="en-CA"/>
        </w:rPr>
      </w:pPr>
    </w:p>
    <w:p w:rsidR="00817EFC" w:rsidRPr="00817EFC" w:rsidRDefault="00817EFC" w:rsidP="00817EFC">
      <w:pPr>
        <w:ind w:firstLine="720"/>
        <w:rPr>
          <w:rFonts w:eastAsia="Times New Roman" w:cs="Times New Roman"/>
          <w:sz w:val="20"/>
          <w:szCs w:val="20"/>
          <w:lang w:val="fr-CA" w:eastAsia="en-CA"/>
        </w:rPr>
      </w:pPr>
      <w:r w:rsidRPr="00817EFC">
        <w:rPr>
          <w:rFonts w:eastAsia="Times New Roman" w:cs="Times New Roman"/>
          <w:sz w:val="20"/>
          <w:szCs w:val="20"/>
          <w:lang w:val="fr-CA" w:eastAsia="en-CA"/>
        </w:rPr>
        <w:t>The motion is dismissed.</w:t>
      </w:r>
    </w:p>
    <w:p w:rsidR="00817EFC" w:rsidRPr="00817EFC" w:rsidRDefault="00817EFC" w:rsidP="00817EFC">
      <w:pPr>
        <w:rPr>
          <w:rFonts w:eastAsia="Times New Roman" w:cs="Times New Roman"/>
          <w:sz w:val="20"/>
          <w:szCs w:val="20"/>
          <w:lang w:val="fr-CA" w:eastAsia="en-CA"/>
        </w:rPr>
      </w:pPr>
    </w:p>
    <w:p w:rsidR="00817EFC" w:rsidRPr="00817EFC" w:rsidRDefault="00817EFC" w:rsidP="00817EFC">
      <w:pPr>
        <w:rPr>
          <w:rFonts w:eastAsia="Times New Roman" w:cs="Times New Roman"/>
          <w:b/>
          <w:bCs/>
          <w:sz w:val="20"/>
          <w:szCs w:val="20"/>
          <w:lang w:val="fr-CA" w:eastAsia="en-CA"/>
        </w:rPr>
      </w:pPr>
    </w:p>
    <w:p w:rsidR="00817EFC" w:rsidRPr="00817EFC" w:rsidRDefault="00817EFC" w:rsidP="00817EFC">
      <w:pPr>
        <w:rPr>
          <w:rFonts w:eastAsia="Times New Roman" w:cs="Times New Roman"/>
          <w:b/>
          <w:bCs/>
          <w:sz w:val="20"/>
          <w:szCs w:val="20"/>
          <w:lang w:val="fr-CA"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b/>
          <w:bCs/>
          <w:sz w:val="20"/>
          <w:szCs w:val="20"/>
          <w:lang w:val="fr-CA" w:eastAsia="en-CA"/>
        </w:rPr>
        <w:t>À LA SUITE DE LA DEMANDE</w:t>
      </w:r>
      <w:r w:rsidRPr="00817EFC">
        <w:rPr>
          <w:rFonts w:eastAsia="Times New Roman" w:cs="Times New Roman"/>
          <w:sz w:val="20"/>
          <w:szCs w:val="20"/>
          <w:lang w:val="fr-CA" w:eastAsia="en-CA"/>
        </w:rPr>
        <w:t xml:space="preserve"> de l’intimé visant à obtenir la formulation de questions constitutionnelles dans l’appel susmentionné;</w:t>
      </w:r>
    </w:p>
    <w:p w:rsidR="00817EFC" w:rsidRPr="00817EFC" w:rsidRDefault="00817EFC" w:rsidP="00817EFC">
      <w:pPr>
        <w:rPr>
          <w:rFonts w:eastAsia="Times New Roman" w:cs="Times New Roman"/>
          <w:sz w:val="20"/>
          <w:szCs w:val="20"/>
          <w:lang w:val="fr-CA" w:eastAsia="en-CA"/>
        </w:rPr>
      </w:pPr>
    </w:p>
    <w:p w:rsidR="00817EFC" w:rsidRPr="00817EFC" w:rsidRDefault="00817EFC" w:rsidP="00817EFC">
      <w:pPr>
        <w:rPr>
          <w:rFonts w:eastAsia="Times New Roman" w:cs="Times New Roman"/>
          <w:sz w:val="20"/>
          <w:szCs w:val="20"/>
          <w:lang w:val="fr-CA" w:eastAsia="en-CA"/>
        </w:rPr>
      </w:pPr>
      <w:r w:rsidRPr="00817EFC">
        <w:rPr>
          <w:rFonts w:eastAsia="Times New Roman" w:cs="Times New Roman"/>
          <w:b/>
          <w:bCs/>
          <w:sz w:val="20"/>
          <w:szCs w:val="20"/>
          <w:lang w:val="fr-CA" w:eastAsia="en-CA"/>
        </w:rPr>
        <w:t>ET APRÈS AVOIR LU</w:t>
      </w:r>
      <w:r w:rsidRPr="00817EFC">
        <w:rPr>
          <w:rFonts w:eastAsia="Times New Roman" w:cs="Times New Roman"/>
          <w:sz w:val="20"/>
          <w:szCs w:val="20"/>
          <w:lang w:val="fr-CA" w:eastAsia="en-CA"/>
        </w:rPr>
        <w:t xml:space="preserve"> la documentation déposée;</w:t>
      </w:r>
    </w:p>
    <w:p w:rsidR="00817EFC" w:rsidRPr="00817EFC" w:rsidRDefault="00817EFC" w:rsidP="00817EFC">
      <w:pPr>
        <w:rPr>
          <w:rFonts w:eastAsia="Times New Roman" w:cs="Times New Roman"/>
          <w:sz w:val="20"/>
          <w:szCs w:val="20"/>
          <w:lang w:val="fr-CA" w:eastAsia="en-CA"/>
        </w:rPr>
      </w:pPr>
    </w:p>
    <w:p w:rsidR="00817EFC" w:rsidRPr="00817EFC" w:rsidRDefault="00817EFC" w:rsidP="00817EFC">
      <w:pPr>
        <w:rPr>
          <w:rFonts w:eastAsia="Times New Roman" w:cs="Times New Roman"/>
          <w:b/>
          <w:bCs/>
          <w:sz w:val="20"/>
          <w:szCs w:val="20"/>
          <w:lang w:val="fr-CA" w:eastAsia="en-CA"/>
        </w:rPr>
      </w:pPr>
      <w:r w:rsidRPr="00817EFC">
        <w:rPr>
          <w:rFonts w:eastAsia="Times New Roman" w:cs="Times New Roman"/>
          <w:b/>
          <w:bCs/>
          <w:sz w:val="20"/>
          <w:szCs w:val="20"/>
          <w:lang w:val="fr-CA" w:eastAsia="en-CA"/>
        </w:rPr>
        <w:t>IL EST ORDONNÉ CE QUI SUIT :</w:t>
      </w:r>
    </w:p>
    <w:p w:rsidR="00817EFC" w:rsidRPr="00817EFC" w:rsidRDefault="00817EFC" w:rsidP="00817EFC">
      <w:pPr>
        <w:rPr>
          <w:rFonts w:eastAsia="Times New Roman" w:cs="Times New Roman"/>
          <w:b/>
          <w:bCs/>
          <w:sz w:val="20"/>
          <w:szCs w:val="20"/>
          <w:lang w:val="fr-CA" w:eastAsia="en-CA"/>
        </w:rPr>
      </w:pPr>
    </w:p>
    <w:p w:rsidR="00817EFC" w:rsidRPr="00817EFC" w:rsidRDefault="00817EFC" w:rsidP="00817EFC">
      <w:pPr>
        <w:rPr>
          <w:rFonts w:eastAsia="Times New Roman" w:cs="Times New Roman"/>
          <w:sz w:val="20"/>
          <w:szCs w:val="20"/>
          <w:lang w:val="fr-FR" w:eastAsia="en-CA"/>
        </w:rPr>
      </w:pPr>
      <w:r w:rsidRPr="00817EFC">
        <w:rPr>
          <w:rFonts w:eastAsia="Times New Roman" w:cs="Times New Roman"/>
          <w:sz w:val="20"/>
          <w:szCs w:val="20"/>
          <w:lang w:val="fr-FR" w:eastAsia="en-CA"/>
        </w:rPr>
        <w:tab/>
        <w:t>La requête est rejetée.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06.05.2014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THE CHIEF JUSTICE / LA JUGE EN CHEF</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c>
          <w:tcPr>
            <w:tcW w:w="4338" w:type="dxa"/>
          </w:tcPr>
          <w:p w:rsidR="00817EFC" w:rsidRPr="00817EFC" w:rsidRDefault="003172C2" w:rsidP="00817EFC">
            <w:pPr>
              <w:tabs>
                <w:tab w:val="left" w:pos="-1440"/>
                <w:tab w:val="left" w:pos="-720"/>
              </w:tabs>
              <w:jc w:val="both"/>
              <w:rPr>
                <w:b/>
              </w:rPr>
            </w:pPr>
            <w:r w:rsidRPr="00817EFC">
              <w:rPr>
                <w:lang w:val="en-US"/>
              </w:rPr>
              <w:fldChar w:fldCharType="begin"/>
            </w:r>
            <w:r w:rsidR="00817EFC" w:rsidRPr="00817EFC">
              <w:rPr>
                <w:lang w:val="en-US"/>
              </w:rPr>
              <w:instrText xml:space="preserve"> SEQ CHAPTER \h \r 1</w:instrText>
            </w:r>
            <w:r w:rsidRPr="00817EFC">
              <w:rPr>
                <w:lang w:val="en-US"/>
              </w:rPr>
              <w:fldChar w:fldCharType="end"/>
            </w:r>
            <w:r w:rsidR="00817EFC" w:rsidRPr="00817EFC">
              <w:rPr>
                <w:b/>
                <w:bCs/>
                <w:lang w:val="en-US"/>
              </w:rPr>
              <w:t>Motion to state constitutional questions</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3172C2" w:rsidP="00817EFC">
            <w:pPr>
              <w:tabs>
                <w:tab w:val="left" w:pos="-1440"/>
                <w:tab w:val="left" w:pos="-720"/>
              </w:tabs>
              <w:jc w:val="both"/>
              <w:rPr>
                <w:lang w:val="fr-CA"/>
              </w:rPr>
            </w:pPr>
            <w:r w:rsidRPr="00817EFC">
              <w:rPr>
                <w:lang w:val="en-US"/>
              </w:rPr>
              <w:fldChar w:fldCharType="begin"/>
            </w:r>
            <w:r w:rsidR="00817EFC" w:rsidRPr="00817EFC">
              <w:rPr>
                <w:lang w:val="fr-CA"/>
              </w:rPr>
              <w:instrText xml:space="preserve"> SEQ CHAPTER \h \r 1</w:instrText>
            </w:r>
            <w:r w:rsidRPr="00817EFC">
              <w:rPr>
                <w:lang w:val="en-US"/>
              </w:rPr>
              <w:fldChar w:fldCharType="end"/>
            </w:r>
            <w:r w:rsidR="00817EFC" w:rsidRPr="00817EFC">
              <w:rPr>
                <w:b/>
                <w:bCs/>
                <w:lang w:val="fr-CA"/>
              </w:rPr>
              <w:t>Requête en formulation de questions constitutionnelles</w:t>
            </w:r>
            <w:r w:rsidRPr="00817EFC">
              <w:rPr>
                <w:lang w:val="en-US"/>
              </w:rPr>
              <w:fldChar w:fldCharType="begin"/>
            </w:r>
            <w:r w:rsidR="00817EFC" w:rsidRPr="00817EFC">
              <w:rPr>
                <w:lang w:val="fr-CA"/>
              </w:rPr>
              <w:instrText xml:space="preserve"> SEQ CHAPTER \h \r 1</w:instrText>
            </w:r>
            <w:r w:rsidRPr="00817EFC">
              <w:rPr>
                <w:lang w:val="en-US"/>
              </w:rPr>
              <w:fldChar w:fldCharType="end"/>
            </w:r>
            <w:r w:rsidRPr="00817EFC">
              <w:rPr>
                <w:lang w:val="en-US"/>
              </w:rPr>
              <w:fldChar w:fldCharType="begin"/>
            </w:r>
            <w:r w:rsidR="00817EFC" w:rsidRPr="00817EFC">
              <w:rPr>
                <w:lang w:val="fr-CA"/>
              </w:rPr>
              <w:instrText xml:space="preserve"> SEQ CHAPTER \h \r 1</w:instrText>
            </w:r>
            <w:r w:rsidRPr="00817EFC">
              <w:rPr>
                <w:lang w:val="en-US"/>
              </w:rPr>
              <w:fldChar w:fldCharType="end"/>
            </w:r>
            <w:r w:rsidRPr="00817EFC">
              <w:rPr>
                <w:lang w:val="en-US"/>
              </w:rPr>
              <w:fldChar w:fldCharType="begin"/>
            </w:r>
            <w:r w:rsidR="00817EFC" w:rsidRPr="00817EFC">
              <w:rPr>
                <w:lang w:val="fr-CA"/>
              </w:rPr>
              <w:instrText xml:space="preserve"> SEQ CHAPTER \h \r 1</w:instrText>
            </w:r>
            <w:r w:rsidRPr="00817EFC">
              <w:rPr>
                <w:lang w:val="en-US"/>
              </w:rPr>
              <w:fldChar w:fldCharType="end"/>
            </w:r>
          </w:p>
        </w:tc>
      </w:tr>
      <w:tr w:rsidR="00817EFC" w:rsidRPr="00817EFC" w:rsidTr="00817EFC">
        <w:tc>
          <w:tcPr>
            <w:tcW w:w="4338" w:type="dxa"/>
          </w:tcPr>
          <w:p w:rsidR="00817EFC" w:rsidRPr="00817EFC" w:rsidRDefault="00817EFC" w:rsidP="00817EFC">
            <w:pPr>
              <w:tabs>
                <w:tab w:val="left" w:pos="-1440"/>
                <w:tab w:val="left" w:pos="-720"/>
              </w:tabs>
              <w:jc w:val="both"/>
            </w:pPr>
            <w:r w:rsidRPr="00817EFC">
              <w:t>Chief Sheldon Taypotat et al.</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ab/>
              <w:t>v. (35518)</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Louis Taypotat (F.C.)</w:t>
            </w:r>
          </w:p>
        </w:tc>
        <w:tc>
          <w:tcPr>
            <w:tcW w:w="1170" w:type="dxa"/>
          </w:tcPr>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pPr>
          </w:p>
        </w:tc>
      </w:tr>
    </w:tbl>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b/>
          <w:sz w:val="20"/>
          <w:szCs w:val="20"/>
          <w:lang w:val="fr-CA" w:eastAsia="en-CA"/>
        </w:rPr>
        <w:t>GRANTED / ACCORDÉE</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autoSpaceDE w:val="0"/>
        <w:autoSpaceDN w:val="0"/>
        <w:adjustRightInd w:val="0"/>
        <w:jc w:val="both"/>
        <w:rPr>
          <w:rFonts w:eastAsiaTheme="minorEastAsia" w:cs="Times New Roman"/>
          <w:sz w:val="20"/>
          <w:szCs w:val="20"/>
          <w:lang w:val="en-US"/>
        </w:rPr>
      </w:pPr>
      <w:r w:rsidRPr="00817EFC">
        <w:rPr>
          <w:rFonts w:eastAsiaTheme="minorEastAsia" w:cs="Times New Roman"/>
          <w:b/>
          <w:bCs/>
          <w:sz w:val="20"/>
          <w:szCs w:val="20"/>
          <w:lang w:val="en-US"/>
        </w:rPr>
        <w:t>UPON APPLICATION</w:t>
      </w:r>
      <w:r w:rsidRPr="00817EFC">
        <w:rPr>
          <w:rFonts w:eastAsiaTheme="minorEastAsia" w:cs="Times New Roman"/>
          <w:sz w:val="20"/>
          <w:szCs w:val="20"/>
          <w:lang w:val="en-US"/>
        </w:rPr>
        <w:t xml:space="preserve"> by the appellants </w:t>
      </w:r>
      <w:r w:rsidR="003172C2" w:rsidRPr="00817EFC">
        <w:rPr>
          <w:rFonts w:eastAsiaTheme="minorEastAsia" w:cs="Times New Roman"/>
          <w:sz w:val="20"/>
          <w:szCs w:val="20"/>
        </w:rPr>
        <w:fldChar w:fldCharType="begin"/>
      </w:r>
      <w:r w:rsidRPr="00817EFC">
        <w:rPr>
          <w:rFonts w:eastAsiaTheme="minorEastAsia" w:cs="Times New Roman"/>
          <w:sz w:val="20"/>
          <w:szCs w:val="20"/>
        </w:rPr>
        <w:instrText xml:space="preserve"> SEQ CHAPTER \h \r 1</w:instrText>
      </w:r>
      <w:r w:rsidR="003172C2" w:rsidRPr="00817EFC">
        <w:rPr>
          <w:rFonts w:eastAsiaTheme="minorEastAsia" w:cs="Times New Roman"/>
          <w:sz w:val="20"/>
          <w:szCs w:val="20"/>
        </w:rPr>
        <w:fldChar w:fldCharType="end"/>
      </w:r>
      <w:r w:rsidRPr="00817EFC">
        <w:rPr>
          <w:rFonts w:eastAsiaTheme="minorEastAsia" w:cs="Times New Roman"/>
          <w:sz w:val="20"/>
          <w:szCs w:val="20"/>
        </w:rPr>
        <w:t xml:space="preserve">for an order stating constitutional questions and extending the time within which the appellants may serve and file their motion to state constitutional questions </w:t>
      </w:r>
      <w:r w:rsidRPr="00817EFC">
        <w:rPr>
          <w:rFonts w:eastAsiaTheme="minorEastAsia" w:cs="Times New Roman"/>
          <w:sz w:val="20"/>
          <w:szCs w:val="20"/>
          <w:lang w:val="en-US"/>
        </w:rPr>
        <w:t>in the above appeal;</w:t>
      </w:r>
    </w:p>
    <w:p w:rsidR="00817EFC" w:rsidRPr="00817EFC" w:rsidRDefault="00817EFC" w:rsidP="00817EFC">
      <w:pPr>
        <w:autoSpaceDE w:val="0"/>
        <w:autoSpaceDN w:val="0"/>
        <w:adjustRightInd w:val="0"/>
        <w:jc w:val="both"/>
        <w:rPr>
          <w:rFonts w:eastAsiaTheme="minorEastAsia" w:cs="Times New Roman"/>
          <w:sz w:val="20"/>
          <w:szCs w:val="20"/>
          <w:lang w:val="en-US"/>
        </w:rPr>
      </w:pPr>
    </w:p>
    <w:p w:rsidR="00817EFC" w:rsidRPr="00817EFC" w:rsidRDefault="00817EFC" w:rsidP="00817EFC">
      <w:pPr>
        <w:autoSpaceDE w:val="0"/>
        <w:autoSpaceDN w:val="0"/>
        <w:adjustRightInd w:val="0"/>
        <w:jc w:val="both"/>
        <w:rPr>
          <w:rFonts w:eastAsiaTheme="minorEastAsia" w:cs="Times New Roman"/>
          <w:sz w:val="20"/>
          <w:szCs w:val="20"/>
          <w:lang w:val="en-US"/>
        </w:rPr>
      </w:pPr>
      <w:r w:rsidRPr="00817EFC">
        <w:rPr>
          <w:rFonts w:eastAsiaTheme="minorEastAsia" w:cs="Times New Roman"/>
          <w:b/>
          <w:bCs/>
          <w:sz w:val="20"/>
          <w:szCs w:val="20"/>
          <w:lang w:val="en-US"/>
        </w:rPr>
        <w:t>AND THE MATERIAL FILED</w:t>
      </w:r>
      <w:r w:rsidRPr="00817EFC">
        <w:rPr>
          <w:rFonts w:eastAsiaTheme="minorEastAsia" w:cs="Times New Roman"/>
          <w:sz w:val="20"/>
          <w:szCs w:val="20"/>
          <w:lang w:val="en-US"/>
        </w:rPr>
        <w:t xml:space="preserve"> having been read;</w:t>
      </w:r>
    </w:p>
    <w:p w:rsidR="00817EFC" w:rsidRPr="00817EFC" w:rsidRDefault="00817EFC" w:rsidP="00817EFC">
      <w:pPr>
        <w:autoSpaceDE w:val="0"/>
        <w:autoSpaceDN w:val="0"/>
        <w:adjustRightInd w:val="0"/>
        <w:jc w:val="both"/>
        <w:rPr>
          <w:rFonts w:eastAsiaTheme="minorEastAsia" w:cs="Times New Roman"/>
          <w:sz w:val="20"/>
          <w:szCs w:val="20"/>
          <w:lang w:val="en-US"/>
        </w:rPr>
      </w:pPr>
    </w:p>
    <w:p w:rsidR="00817EFC" w:rsidRPr="00817EFC" w:rsidRDefault="00817EFC" w:rsidP="00817EFC">
      <w:pPr>
        <w:autoSpaceDE w:val="0"/>
        <w:autoSpaceDN w:val="0"/>
        <w:adjustRightInd w:val="0"/>
        <w:jc w:val="both"/>
        <w:rPr>
          <w:rFonts w:eastAsiaTheme="minorEastAsia" w:cs="Times New Roman"/>
          <w:b/>
          <w:bCs/>
          <w:sz w:val="20"/>
          <w:szCs w:val="20"/>
          <w:lang w:val="en-US"/>
        </w:rPr>
      </w:pPr>
      <w:r w:rsidRPr="00817EFC">
        <w:rPr>
          <w:rFonts w:eastAsiaTheme="minorEastAsia" w:cs="Times New Roman"/>
          <w:b/>
          <w:bCs/>
          <w:sz w:val="20"/>
          <w:szCs w:val="20"/>
          <w:lang w:val="en-US"/>
        </w:rPr>
        <w:t>IT IS HEREBY ORDERED THAT:</w:t>
      </w:r>
    </w:p>
    <w:p w:rsidR="00817EFC" w:rsidRPr="00817EFC" w:rsidRDefault="00817EFC" w:rsidP="00817EFC">
      <w:pPr>
        <w:autoSpaceDE w:val="0"/>
        <w:autoSpaceDN w:val="0"/>
        <w:adjustRightInd w:val="0"/>
        <w:jc w:val="both"/>
        <w:rPr>
          <w:rFonts w:eastAsiaTheme="minorEastAsia" w:cs="Times New Roman"/>
          <w:b/>
          <w:bCs/>
          <w:sz w:val="20"/>
          <w:szCs w:val="20"/>
          <w:lang w:val="en-US"/>
        </w:rPr>
      </w:pPr>
    </w:p>
    <w:p w:rsidR="00817EFC" w:rsidRPr="00817EFC" w:rsidRDefault="00817EFC" w:rsidP="00817EFC">
      <w:pPr>
        <w:autoSpaceDE w:val="0"/>
        <w:autoSpaceDN w:val="0"/>
        <w:adjustRightInd w:val="0"/>
        <w:jc w:val="both"/>
        <w:rPr>
          <w:rFonts w:eastAsiaTheme="minorEastAsia" w:cs="Times New Roman"/>
          <w:bCs/>
          <w:sz w:val="20"/>
          <w:szCs w:val="20"/>
          <w:lang w:val="en-US"/>
        </w:rPr>
      </w:pPr>
      <w:r w:rsidRPr="00817EFC">
        <w:rPr>
          <w:rFonts w:eastAsiaTheme="minorEastAsia" w:cs="Times New Roman"/>
          <w:bCs/>
          <w:sz w:val="20"/>
          <w:szCs w:val="20"/>
          <w:lang w:val="en-US"/>
        </w:rPr>
        <w:t>The motion by the appellants to extend the time to serve and file the motion to state constitutional questions is granted, and the constitutional questions are stated as follows:</w:t>
      </w:r>
    </w:p>
    <w:p w:rsidR="00817EFC" w:rsidRPr="00817EFC" w:rsidRDefault="00817EFC" w:rsidP="00817EFC">
      <w:pPr>
        <w:autoSpaceDE w:val="0"/>
        <w:autoSpaceDN w:val="0"/>
        <w:adjustRightInd w:val="0"/>
        <w:jc w:val="both"/>
        <w:rPr>
          <w:rFonts w:eastAsiaTheme="minorEastAsia" w:cs="Times New Roman"/>
          <w:bCs/>
          <w:sz w:val="20"/>
          <w:szCs w:val="20"/>
          <w:lang w:val="en-US"/>
        </w:rPr>
      </w:pPr>
    </w:p>
    <w:p w:rsidR="00817EFC" w:rsidRPr="00817EFC" w:rsidRDefault="00817EFC" w:rsidP="00817EFC">
      <w:pPr>
        <w:widowControl w:val="0"/>
        <w:numPr>
          <w:ilvl w:val="0"/>
          <w:numId w:val="10"/>
        </w:numPr>
        <w:autoSpaceDE w:val="0"/>
        <w:autoSpaceDN w:val="0"/>
        <w:adjustRightInd w:val="0"/>
        <w:jc w:val="both"/>
        <w:rPr>
          <w:rFonts w:eastAsiaTheme="minorEastAsia" w:cs="Times New Roman"/>
          <w:sz w:val="20"/>
          <w:szCs w:val="20"/>
          <w:lang w:val="en-US"/>
        </w:rPr>
      </w:pPr>
      <w:r w:rsidRPr="00817EFC">
        <w:rPr>
          <w:rFonts w:eastAsiaTheme="minorEastAsia" w:cs="Times New Roman"/>
          <w:sz w:val="20"/>
          <w:szCs w:val="20"/>
          <w:lang w:val="en-US"/>
        </w:rPr>
        <w:t xml:space="preserve">Do paras. 9.03(c) and 10.01(d) of the </w:t>
      </w:r>
      <w:r w:rsidRPr="00817EFC">
        <w:rPr>
          <w:rFonts w:eastAsiaTheme="minorEastAsia" w:cs="Times New Roman"/>
          <w:i/>
          <w:iCs/>
          <w:sz w:val="20"/>
          <w:szCs w:val="20"/>
          <w:lang w:val="en-US"/>
        </w:rPr>
        <w:t xml:space="preserve">Kahkewistahaw Election Act </w:t>
      </w:r>
      <w:r w:rsidRPr="00817EFC">
        <w:rPr>
          <w:rFonts w:eastAsiaTheme="minorEastAsia" w:cs="Times New Roman"/>
          <w:sz w:val="20"/>
          <w:szCs w:val="20"/>
          <w:lang w:val="en-US"/>
        </w:rPr>
        <w:t xml:space="preserve">infringe s. 15(1) of the </w:t>
      </w:r>
      <w:r w:rsidRPr="00817EFC">
        <w:rPr>
          <w:rFonts w:eastAsiaTheme="minorEastAsia" w:cs="Times New Roman"/>
          <w:i/>
          <w:iCs/>
          <w:sz w:val="20"/>
          <w:szCs w:val="20"/>
          <w:lang w:val="en-US"/>
        </w:rPr>
        <w:t>Canadian Charter of Rights and Freedoms</w:t>
      </w:r>
      <w:r w:rsidRPr="00817EFC">
        <w:rPr>
          <w:rFonts w:eastAsiaTheme="minorEastAsia" w:cs="Times New Roman"/>
          <w:sz w:val="20"/>
          <w:szCs w:val="20"/>
          <w:lang w:val="en-US"/>
        </w:rPr>
        <w:t>?</w:t>
      </w:r>
    </w:p>
    <w:p w:rsidR="00817EFC" w:rsidRPr="00817EFC" w:rsidRDefault="00817EFC" w:rsidP="00817EFC">
      <w:pPr>
        <w:widowControl w:val="0"/>
        <w:autoSpaceDN w:val="0"/>
        <w:adjustRightInd w:val="0"/>
        <w:ind w:left="720"/>
        <w:contextualSpacing/>
        <w:jc w:val="both"/>
        <w:rPr>
          <w:rFonts w:eastAsiaTheme="minorEastAsia" w:cs="Times New Roman"/>
          <w:sz w:val="20"/>
          <w:szCs w:val="20"/>
          <w:lang w:val="en-US"/>
        </w:rPr>
      </w:pPr>
    </w:p>
    <w:p w:rsidR="00817EFC" w:rsidRPr="00817EFC" w:rsidRDefault="00817EFC" w:rsidP="00817EFC">
      <w:pPr>
        <w:widowControl w:val="0"/>
        <w:numPr>
          <w:ilvl w:val="0"/>
          <w:numId w:val="10"/>
        </w:numPr>
        <w:autoSpaceDE w:val="0"/>
        <w:autoSpaceDN w:val="0"/>
        <w:adjustRightInd w:val="0"/>
        <w:jc w:val="both"/>
        <w:rPr>
          <w:rFonts w:eastAsiaTheme="minorEastAsia" w:cs="Times New Roman"/>
          <w:sz w:val="20"/>
          <w:szCs w:val="20"/>
          <w:lang w:val="en-US"/>
        </w:rPr>
      </w:pPr>
      <w:r w:rsidRPr="00817EFC">
        <w:rPr>
          <w:rFonts w:eastAsiaTheme="minorEastAsia" w:cs="Times New Roman"/>
          <w:sz w:val="20"/>
          <w:szCs w:val="20"/>
          <w:lang w:val="en-US"/>
        </w:rPr>
        <w:t xml:space="preserve">If so, is the infringement a reasonable limit prescribed by law as can be demonstrably justified in a free and democratic society under s. 1 of the </w:t>
      </w:r>
      <w:r w:rsidRPr="00817EFC">
        <w:rPr>
          <w:rFonts w:eastAsiaTheme="minorEastAsia" w:cs="Times New Roman"/>
          <w:i/>
          <w:iCs/>
          <w:sz w:val="20"/>
          <w:szCs w:val="20"/>
          <w:lang w:val="en-US"/>
        </w:rPr>
        <w:t>Canadian Charter of Rights and Freedoms</w:t>
      </w:r>
      <w:r w:rsidRPr="00817EFC">
        <w:rPr>
          <w:rFonts w:eastAsiaTheme="minorEastAsia" w:cs="Times New Roman"/>
          <w:sz w:val="20"/>
          <w:szCs w:val="20"/>
          <w:lang w:val="en-US"/>
        </w:rPr>
        <w:t xml:space="preserve">? </w:t>
      </w:r>
    </w:p>
    <w:p w:rsidR="00817EFC" w:rsidRPr="00817EFC" w:rsidRDefault="00817EFC" w:rsidP="00817EFC">
      <w:pPr>
        <w:autoSpaceDE w:val="0"/>
        <w:autoSpaceDN w:val="0"/>
        <w:adjustRightInd w:val="0"/>
        <w:ind w:left="720"/>
        <w:contextualSpacing/>
        <w:rPr>
          <w:rFonts w:eastAsiaTheme="minorEastAsia" w:cs="Times New Roman"/>
          <w:bCs/>
          <w:sz w:val="20"/>
          <w:szCs w:val="20"/>
          <w:lang w:val="en-US"/>
        </w:rPr>
      </w:pPr>
    </w:p>
    <w:p w:rsidR="00817EFC" w:rsidRPr="00817EFC" w:rsidRDefault="00817EFC" w:rsidP="00817EFC">
      <w:pPr>
        <w:widowControl w:val="0"/>
        <w:autoSpaceDE w:val="0"/>
        <w:autoSpaceDN w:val="0"/>
        <w:adjustRightInd w:val="0"/>
        <w:jc w:val="both"/>
        <w:rPr>
          <w:rFonts w:eastAsiaTheme="minorEastAsia" w:cs="Times New Roman"/>
          <w:sz w:val="20"/>
          <w:szCs w:val="20"/>
          <w:lang w:val="en-US"/>
        </w:rPr>
      </w:pPr>
      <w:r w:rsidRPr="00817EFC">
        <w:rPr>
          <w:rFonts w:eastAsiaTheme="minorEastAsia" w:cs="Times New Roman"/>
          <w:sz w:val="20"/>
          <w:szCs w:val="20"/>
          <w:lang w:val="en-US"/>
        </w:rPr>
        <w:t>Any Attorney General who intervenes pursuant to Rule 61(4) shall pay the appellants and respondent the costs of any additional disbursements they incur as a result of the intervention.</w:t>
      </w:r>
    </w:p>
    <w:p w:rsidR="00817EFC" w:rsidRPr="00817EFC" w:rsidRDefault="00817EFC" w:rsidP="00817EFC">
      <w:pPr>
        <w:widowControl w:val="0"/>
        <w:autoSpaceDE w:val="0"/>
        <w:autoSpaceDN w:val="0"/>
        <w:adjustRightInd w:val="0"/>
        <w:jc w:val="both"/>
        <w:rPr>
          <w:rFonts w:eastAsiaTheme="minorEastAsia" w:cs="Times New Roman"/>
          <w:sz w:val="20"/>
          <w:szCs w:val="20"/>
          <w:lang w:val="en-US"/>
        </w:rPr>
      </w:pPr>
    </w:p>
    <w:p w:rsidR="00817EFC" w:rsidRPr="00817EFC" w:rsidRDefault="00817EFC" w:rsidP="00817EFC">
      <w:pPr>
        <w:widowControl w:val="0"/>
        <w:autoSpaceDE w:val="0"/>
        <w:autoSpaceDN w:val="0"/>
        <w:adjustRightInd w:val="0"/>
        <w:jc w:val="both"/>
        <w:rPr>
          <w:rFonts w:eastAsiaTheme="minorEastAsia" w:cs="Times New Roman"/>
          <w:b/>
          <w:sz w:val="20"/>
          <w:szCs w:val="20"/>
          <w:lang w:val="en-US"/>
        </w:rPr>
      </w:pPr>
      <w:r w:rsidRPr="00817EFC">
        <w:rPr>
          <w:rFonts w:eastAsiaTheme="minorEastAsia" w:cs="Times New Roman"/>
          <w:b/>
          <w:sz w:val="20"/>
          <w:szCs w:val="20"/>
          <w:lang w:val="en-US"/>
        </w:rPr>
        <w:t>IT IS HEREBY FURTHER ORDERED THAT:</w:t>
      </w:r>
    </w:p>
    <w:p w:rsidR="00817EFC" w:rsidRPr="00817EFC" w:rsidRDefault="00817EFC" w:rsidP="00817EFC">
      <w:pPr>
        <w:widowControl w:val="0"/>
        <w:autoSpaceDE w:val="0"/>
        <w:autoSpaceDN w:val="0"/>
        <w:adjustRightInd w:val="0"/>
        <w:jc w:val="both"/>
        <w:rPr>
          <w:rFonts w:eastAsiaTheme="minorEastAsia" w:cs="Times New Roman"/>
          <w:sz w:val="20"/>
          <w:szCs w:val="20"/>
          <w:lang w:val="en-US"/>
        </w:rPr>
      </w:pPr>
    </w:p>
    <w:p w:rsidR="00817EFC" w:rsidRPr="00817EFC" w:rsidRDefault="00817EFC" w:rsidP="00817EFC">
      <w:pPr>
        <w:widowControl w:val="0"/>
        <w:numPr>
          <w:ilvl w:val="0"/>
          <w:numId w:val="8"/>
        </w:numPr>
        <w:autoSpaceDE w:val="0"/>
        <w:autoSpaceDN w:val="0"/>
        <w:adjustRightInd w:val="0"/>
        <w:contextualSpacing/>
        <w:jc w:val="both"/>
        <w:rPr>
          <w:rFonts w:eastAsiaTheme="minorEastAsia" w:cs="Times New Roman"/>
          <w:b/>
          <w:bCs/>
          <w:sz w:val="20"/>
          <w:szCs w:val="20"/>
          <w:lang w:val="en-US"/>
        </w:rPr>
      </w:pPr>
      <w:r w:rsidRPr="00817EFC">
        <w:rPr>
          <w:rFonts w:eastAsiaTheme="minorEastAsia" w:cs="Times New Roman"/>
          <w:sz w:val="20"/>
          <w:szCs w:val="20"/>
          <w:lang w:val="en-US"/>
        </w:rPr>
        <w:t xml:space="preserve">Any attorney general wishing to intervene pursuant to par. 61(4) of the </w:t>
      </w:r>
      <w:r w:rsidRPr="00817EFC">
        <w:rPr>
          <w:rFonts w:eastAsiaTheme="minorEastAsia" w:cs="Times New Roman"/>
          <w:i/>
          <w:sz w:val="20"/>
          <w:szCs w:val="20"/>
          <w:lang w:val="en-US"/>
        </w:rPr>
        <w:t>Rules of the Supreme Court of Canada</w:t>
      </w:r>
      <w:r w:rsidRPr="00817EFC">
        <w:rPr>
          <w:rFonts w:eastAsiaTheme="minorEastAsia" w:cs="Times New Roman"/>
          <w:sz w:val="20"/>
          <w:szCs w:val="20"/>
          <w:lang w:val="en-US"/>
        </w:rPr>
        <w:t xml:space="preserve"> </w:t>
      </w:r>
      <w:r w:rsidRPr="00817EFC">
        <w:rPr>
          <w:rFonts w:eastAsiaTheme="minorEastAsia" w:cs="Times New Roman"/>
          <w:sz w:val="20"/>
          <w:szCs w:val="20"/>
        </w:rPr>
        <w:t>shall serve and file their factum and book of authorities no later than September 25, 2014.</w:t>
      </w:r>
    </w:p>
    <w:p w:rsidR="00817EFC" w:rsidRPr="00817EFC" w:rsidRDefault="00817EFC" w:rsidP="00817EFC">
      <w:pPr>
        <w:autoSpaceDE w:val="0"/>
        <w:autoSpaceDN w:val="0"/>
        <w:adjustRightInd w:val="0"/>
        <w:rPr>
          <w:rFonts w:eastAsiaTheme="minorEastAsia" w:cs="Times New Roman"/>
          <w:bCs/>
          <w:sz w:val="20"/>
          <w:szCs w:val="20"/>
          <w:lang w:val="en-US"/>
        </w:rPr>
      </w:pPr>
    </w:p>
    <w:p w:rsidR="00817EFC" w:rsidRPr="00817EFC" w:rsidRDefault="00817EFC" w:rsidP="00817EFC">
      <w:pPr>
        <w:autoSpaceDE w:val="0"/>
        <w:autoSpaceDN w:val="0"/>
        <w:adjustRightInd w:val="0"/>
        <w:rPr>
          <w:rFonts w:eastAsiaTheme="minorEastAsia" w:cs="Times New Roman"/>
          <w:bCs/>
          <w:sz w:val="20"/>
          <w:szCs w:val="20"/>
          <w:lang w:val="en-US"/>
        </w:rPr>
      </w:pPr>
    </w:p>
    <w:p w:rsidR="00817EFC" w:rsidRPr="00817EFC" w:rsidRDefault="00817EFC" w:rsidP="00817EFC">
      <w:pPr>
        <w:autoSpaceDE w:val="0"/>
        <w:autoSpaceDN w:val="0"/>
        <w:adjustRightInd w:val="0"/>
        <w:rPr>
          <w:rFonts w:eastAsiaTheme="minorEastAsia" w:cs="Times New Roman"/>
          <w:bCs/>
          <w:sz w:val="20"/>
          <w:szCs w:val="20"/>
          <w:lang w:val="en-US"/>
        </w:rPr>
      </w:pPr>
    </w:p>
    <w:p w:rsidR="00817EFC" w:rsidRPr="00817EFC" w:rsidRDefault="00817EFC" w:rsidP="00817EFC">
      <w:pPr>
        <w:autoSpaceDE w:val="0"/>
        <w:autoSpaceDN w:val="0"/>
        <w:adjustRightInd w:val="0"/>
        <w:jc w:val="both"/>
        <w:rPr>
          <w:rFonts w:eastAsiaTheme="minorEastAsia" w:cs="Times New Roman"/>
          <w:sz w:val="20"/>
          <w:szCs w:val="20"/>
          <w:lang w:val="fr-CA"/>
        </w:rPr>
      </w:pPr>
      <w:r w:rsidRPr="00817EFC">
        <w:rPr>
          <w:rFonts w:eastAsiaTheme="minorEastAsia" w:cs="Times New Roman"/>
          <w:b/>
          <w:bCs/>
          <w:sz w:val="20"/>
          <w:szCs w:val="20"/>
          <w:lang w:val="fr-CA"/>
        </w:rPr>
        <w:t>À LA SUITE DE LA DEMANDE</w:t>
      </w:r>
      <w:r w:rsidRPr="00817EFC">
        <w:rPr>
          <w:rFonts w:eastAsiaTheme="minorEastAsia" w:cs="Times New Roman"/>
          <w:sz w:val="20"/>
          <w:szCs w:val="20"/>
          <w:lang w:val="fr-CA"/>
        </w:rPr>
        <w:t xml:space="preserve"> des appelants visant à obtenir la formulation de questions constitutionnelles et la prorogation du délai de signification et de dépôt de la requête en formulation de questions constitutionnelles dans l’appel susmentionné;</w:t>
      </w:r>
    </w:p>
    <w:p w:rsidR="00817EFC" w:rsidRPr="00817EFC" w:rsidRDefault="00817EFC" w:rsidP="00817EFC">
      <w:pPr>
        <w:autoSpaceDE w:val="0"/>
        <w:autoSpaceDN w:val="0"/>
        <w:adjustRightInd w:val="0"/>
        <w:rPr>
          <w:rFonts w:eastAsiaTheme="minorEastAsia" w:cs="Times New Roman"/>
          <w:sz w:val="20"/>
          <w:szCs w:val="20"/>
          <w:lang w:val="fr-CA"/>
        </w:rPr>
      </w:pPr>
    </w:p>
    <w:p w:rsidR="00817EFC" w:rsidRPr="00817EFC" w:rsidRDefault="00817EFC" w:rsidP="00817EFC">
      <w:pPr>
        <w:autoSpaceDE w:val="0"/>
        <w:autoSpaceDN w:val="0"/>
        <w:adjustRightInd w:val="0"/>
        <w:rPr>
          <w:rFonts w:eastAsiaTheme="minorEastAsia" w:cs="Times New Roman"/>
          <w:sz w:val="20"/>
          <w:szCs w:val="20"/>
          <w:lang w:val="fr-CA"/>
        </w:rPr>
      </w:pPr>
      <w:r w:rsidRPr="00817EFC">
        <w:rPr>
          <w:rFonts w:eastAsiaTheme="minorEastAsia" w:cs="Times New Roman"/>
          <w:b/>
          <w:bCs/>
          <w:sz w:val="20"/>
          <w:szCs w:val="20"/>
          <w:lang w:val="fr-CA"/>
        </w:rPr>
        <w:t>ET APRÈS AVOIR LU</w:t>
      </w:r>
      <w:r w:rsidRPr="00817EFC">
        <w:rPr>
          <w:rFonts w:eastAsiaTheme="minorEastAsia" w:cs="Times New Roman"/>
          <w:sz w:val="20"/>
          <w:szCs w:val="20"/>
          <w:lang w:val="fr-CA"/>
        </w:rPr>
        <w:t xml:space="preserve"> la documentation déposée;</w:t>
      </w:r>
    </w:p>
    <w:p w:rsidR="00817EFC" w:rsidRPr="00817EFC" w:rsidRDefault="00817EFC" w:rsidP="00817EFC">
      <w:pPr>
        <w:autoSpaceDE w:val="0"/>
        <w:autoSpaceDN w:val="0"/>
        <w:adjustRightInd w:val="0"/>
        <w:rPr>
          <w:rFonts w:eastAsiaTheme="minorEastAsia" w:cs="Times New Roman"/>
          <w:sz w:val="20"/>
          <w:szCs w:val="20"/>
          <w:lang w:val="fr-CA"/>
        </w:rPr>
      </w:pPr>
    </w:p>
    <w:p w:rsidR="00817EFC" w:rsidRPr="00817EFC" w:rsidRDefault="00817EFC" w:rsidP="00817EFC">
      <w:pPr>
        <w:autoSpaceDE w:val="0"/>
        <w:autoSpaceDN w:val="0"/>
        <w:adjustRightInd w:val="0"/>
        <w:rPr>
          <w:rFonts w:eastAsiaTheme="minorEastAsia" w:cs="Times New Roman"/>
          <w:b/>
          <w:bCs/>
          <w:sz w:val="20"/>
          <w:szCs w:val="20"/>
          <w:lang w:val="fr-CA"/>
        </w:rPr>
      </w:pPr>
      <w:r w:rsidRPr="00817EFC">
        <w:rPr>
          <w:rFonts w:eastAsiaTheme="minorEastAsia" w:cs="Times New Roman"/>
          <w:b/>
          <w:bCs/>
          <w:sz w:val="20"/>
          <w:szCs w:val="20"/>
          <w:lang w:val="fr-CA"/>
        </w:rPr>
        <w:t>IL EST PAR LA PRÉSENTE ORDONNÉ CE QUI SUIT :</w:t>
      </w:r>
    </w:p>
    <w:p w:rsidR="00817EFC" w:rsidRPr="00817EFC" w:rsidRDefault="00817EFC" w:rsidP="00817EFC">
      <w:pPr>
        <w:autoSpaceDE w:val="0"/>
        <w:autoSpaceDN w:val="0"/>
        <w:adjustRightInd w:val="0"/>
        <w:rPr>
          <w:rFonts w:eastAsiaTheme="minorEastAsia" w:cs="Times New Roman"/>
          <w:b/>
          <w:bCs/>
          <w:sz w:val="20"/>
          <w:szCs w:val="20"/>
          <w:lang w:val="fr-CA"/>
        </w:rPr>
      </w:pPr>
    </w:p>
    <w:p w:rsidR="00817EFC" w:rsidRPr="00817EFC" w:rsidRDefault="00817EFC" w:rsidP="00817EFC">
      <w:pPr>
        <w:autoSpaceDE w:val="0"/>
        <w:autoSpaceDN w:val="0"/>
        <w:adjustRightInd w:val="0"/>
        <w:jc w:val="both"/>
        <w:rPr>
          <w:rFonts w:eastAsiaTheme="minorEastAsia" w:cs="Times New Roman"/>
          <w:sz w:val="20"/>
          <w:szCs w:val="20"/>
          <w:lang w:val="fr-FR"/>
        </w:rPr>
      </w:pPr>
      <w:r w:rsidRPr="00817EFC">
        <w:rPr>
          <w:rFonts w:eastAsiaTheme="minorEastAsia" w:cs="Times New Roman"/>
          <w:sz w:val="20"/>
          <w:szCs w:val="20"/>
          <w:lang w:val="fr-FR"/>
        </w:rPr>
        <w:t>La requête des appelants en prorogation du délai de signification et de dépôt de la requête en formulation de questions constitutionnelles est accueillie et les questions constitutionnelles suivantes sont formulées :</w:t>
      </w:r>
    </w:p>
    <w:p w:rsidR="00817EFC" w:rsidRPr="00817EFC" w:rsidRDefault="00817EFC" w:rsidP="00817EFC">
      <w:pPr>
        <w:autoSpaceDE w:val="0"/>
        <w:autoSpaceDN w:val="0"/>
        <w:adjustRightInd w:val="0"/>
        <w:rPr>
          <w:rFonts w:eastAsiaTheme="minorEastAsia" w:cs="Times New Roman"/>
          <w:sz w:val="20"/>
          <w:szCs w:val="20"/>
          <w:lang w:val="fr-CA"/>
        </w:rPr>
      </w:pPr>
    </w:p>
    <w:p w:rsidR="00817EFC" w:rsidRPr="00817EFC" w:rsidRDefault="00817EFC" w:rsidP="00817EFC">
      <w:pPr>
        <w:widowControl w:val="0"/>
        <w:numPr>
          <w:ilvl w:val="0"/>
          <w:numId w:val="11"/>
        </w:numPr>
        <w:autoSpaceDE w:val="0"/>
        <w:autoSpaceDN w:val="0"/>
        <w:adjustRightInd w:val="0"/>
        <w:jc w:val="both"/>
        <w:rPr>
          <w:rFonts w:eastAsiaTheme="minorEastAsia" w:cs="Times New Roman"/>
          <w:sz w:val="20"/>
          <w:szCs w:val="20"/>
          <w:lang w:val="fr-CA"/>
        </w:rPr>
      </w:pPr>
      <w:r w:rsidRPr="00817EFC">
        <w:rPr>
          <w:rFonts w:eastAsiaTheme="minorEastAsia" w:cs="Times New Roman"/>
          <w:sz w:val="20"/>
          <w:szCs w:val="20"/>
          <w:lang w:val="fr-CA"/>
        </w:rPr>
        <w:t xml:space="preserve">Les alinéas 9.03(c) et 10.01(d) de la loi intitulée </w:t>
      </w:r>
      <w:r w:rsidRPr="00817EFC">
        <w:rPr>
          <w:rFonts w:eastAsiaTheme="minorEastAsia" w:cs="Times New Roman"/>
          <w:i/>
          <w:iCs/>
          <w:sz w:val="20"/>
          <w:szCs w:val="20"/>
          <w:lang w:val="fr-CA"/>
        </w:rPr>
        <w:t>Kahkewistahaw Election Act</w:t>
      </w:r>
      <w:r w:rsidRPr="00817EFC">
        <w:rPr>
          <w:rFonts w:eastAsiaTheme="minorEastAsia" w:cs="Times New Roman"/>
          <w:iCs/>
          <w:sz w:val="20"/>
          <w:szCs w:val="20"/>
          <w:lang w:val="fr-CA"/>
        </w:rPr>
        <w:t xml:space="preserve"> viol</w:t>
      </w:r>
      <w:r w:rsidRPr="00817EFC">
        <w:rPr>
          <w:rFonts w:eastAsiaTheme="minorEastAsia" w:cs="Times New Roman"/>
          <w:sz w:val="20"/>
          <w:szCs w:val="20"/>
          <w:lang w:val="fr-CA"/>
        </w:rPr>
        <w:t xml:space="preserve">ent-ils les droits garantis au par. 15(1) de la </w:t>
      </w:r>
      <w:r w:rsidRPr="00817EFC">
        <w:rPr>
          <w:rFonts w:eastAsiaTheme="minorEastAsia" w:cs="Times New Roman"/>
          <w:i/>
          <w:iCs/>
          <w:sz w:val="20"/>
          <w:szCs w:val="20"/>
          <w:lang w:val="fr-CA"/>
        </w:rPr>
        <w:t>Charte canadienne des droits et libertés</w:t>
      </w:r>
      <w:r w:rsidRPr="00817EFC">
        <w:rPr>
          <w:rFonts w:eastAsiaTheme="minorEastAsia" w:cs="Times New Roman"/>
          <w:sz w:val="20"/>
          <w:szCs w:val="20"/>
          <w:lang w:val="fr-CA"/>
        </w:rPr>
        <w:t>?</w:t>
      </w:r>
    </w:p>
    <w:p w:rsidR="00817EFC" w:rsidRPr="00817EFC" w:rsidRDefault="00817EFC" w:rsidP="00817EFC">
      <w:pPr>
        <w:widowControl w:val="0"/>
        <w:autoSpaceDN w:val="0"/>
        <w:adjustRightInd w:val="0"/>
        <w:ind w:left="720"/>
        <w:contextualSpacing/>
        <w:jc w:val="both"/>
        <w:rPr>
          <w:rFonts w:eastAsiaTheme="minorEastAsia" w:cs="Times New Roman"/>
          <w:sz w:val="20"/>
          <w:szCs w:val="20"/>
          <w:lang w:val="fr-CA"/>
        </w:rPr>
      </w:pPr>
    </w:p>
    <w:p w:rsidR="00817EFC" w:rsidRPr="00817EFC" w:rsidRDefault="00817EFC" w:rsidP="00817EFC">
      <w:pPr>
        <w:widowControl w:val="0"/>
        <w:numPr>
          <w:ilvl w:val="0"/>
          <w:numId w:val="11"/>
        </w:numPr>
        <w:autoSpaceDE w:val="0"/>
        <w:autoSpaceDN w:val="0"/>
        <w:adjustRightInd w:val="0"/>
        <w:jc w:val="both"/>
        <w:rPr>
          <w:rFonts w:eastAsiaTheme="minorEastAsia" w:cs="Times New Roman"/>
          <w:sz w:val="20"/>
          <w:szCs w:val="20"/>
          <w:lang w:val="fr-CA"/>
        </w:rPr>
      </w:pPr>
      <w:r w:rsidRPr="00817EFC">
        <w:rPr>
          <w:rFonts w:eastAsiaTheme="minorEastAsia"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817EFC">
        <w:rPr>
          <w:rFonts w:eastAsiaTheme="minorEastAsia" w:cs="Times New Roman"/>
          <w:i/>
          <w:sz w:val="20"/>
          <w:szCs w:val="20"/>
          <w:lang w:val="fr-CA"/>
        </w:rPr>
        <w:t>Charte canadienne des droits et libertés</w:t>
      </w:r>
      <w:r w:rsidRPr="00817EFC">
        <w:rPr>
          <w:rFonts w:eastAsiaTheme="minorEastAsia" w:cs="Times New Roman"/>
          <w:sz w:val="20"/>
          <w:szCs w:val="20"/>
          <w:lang w:val="fr-CA"/>
        </w:rPr>
        <w:t xml:space="preserve">? </w:t>
      </w:r>
    </w:p>
    <w:p w:rsidR="00817EFC" w:rsidRPr="00817EFC" w:rsidRDefault="00817EFC" w:rsidP="00817EFC">
      <w:pPr>
        <w:autoSpaceDE w:val="0"/>
        <w:autoSpaceDN w:val="0"/>
        <w:adjustRightInd w:val="0"/>
        <w:jc w:val="both"/>
        <w:rPr>
          <w:rFonts w:eastAsiaTheme="minorEastAsia" w:cs="Times New Roman"/>
          <w:sz w:val="20"/>
          <w:szCs w:val="20"/>
          <w:lang w:val="fr-CA"/>
        </w:rPr>
      </w:pPr>
    </w:p>
    <w:p w:rsidR="00817EFC" w:rsidRPr="00817EFC" w:rsidRDefault="00817EFC" w:rsidP="00817EFC">
      <w:pPr>
        <w:widowControl w:val="0"/>
        <w:autoSpaceDE w:val="0"/>
        <w:autoSpaceDN w:val="0"/>
        <w:adjustRightInd w:val="0"/>
        <w:jc w:val="both"/>
        <w:rPr>
          <w:rFonts w:eastAsiaTheme="minorEastAsia" w:cs="Times New Roman"/>
          <w:sz w:val="20"/>
          <w:szCs w:val="20"/>
          <w:lang w:val="fr-FR"/>
        </w:rPr>
      </w:pPr>
      <w:r w:rsidRPr="00817EFC">
        <w:rPr>
          <w:rFonts w:eastAsiaTheme="minorEastAsia" w:cs="Times New Roman"/>
          <w:sz w:val="20"/>
          <w:szCs w:val="20"/>
          <w:lang w:val="fr-CA"/>
        </w:rPr>
        <w:t>T</w:t>
      </w:r>
      <w:r w:rsidRPr="00817EFC">
        <w:rPr>
          <w:rFonts w:eastAsiaTheme="minorEastAsia" w:cs="Times New Roman"/>
          <w:sz w:val="20"/>
          <w:szCs w:val="20"/>
          <w:lang w:val="fr-FR"/>
        </w:rPr>
        <w:t xml:space="preserve">out procureur général qui interviendra en vertu du par. 61(4) des </w:t>
      </w:r>
      <w:r w:rsidRPr="00817EFC">
        <w:rPr>
          <w:rFonts w:eastAsiaTheme="minorEastAsia" w:cs="Times New Roman"/>
          <w:i/>
          <w:iCs/>
          <w:sz w:val="20"/>
          <w:szCs w:val="20"/>
          <w:lang w:val="fr-FR"/>
        </w:rPr>
        <w:t>Règles de la Cour suprême du Canada</w:t>
      </w:r>
      <w:r w:rsidRPr="00817EFC">
        <w:rPr>
          <w:rFonts w:eastAsiaTheme="minorEastAsia" w:cs="Times New Roman"/>
          <w:sz w:val="20"/>
          <w:szCs w:val="20"/>
          <w:lang w:val="fr-FR"/>
        </w:rPr>
        <w:t xml:space="preserve"> sera tenu de payer aux appelants et à l’intimé les dépens supplémentaires résultant de son intervention.</w:t>
      </w:r>
    </w:p>
    <w:p w:rsidR="00817EFC" w:rsidRPr="00817EFC" w:rsidRDefault="00817EFC" w:rsidP="00817EFC">
      <w:pPr>
        <w:autoSpaceDE w:val="0"/>
        <w:autoSpaceDN w:val="0"/>
        <w:adjustRightInd w:val="0"/>
        <w:jc w:val="both"/>
        <w:rPr>
          <w:rFonts w:eastAsiaTheme="minorEastAsia" w:cs="Times New Roman"/>
          <w:sz w:val="20"/>
          <w:szCs w:val="20"/>
          <w:lang w:val="fr-FR"/>
        </w:rPr>
      </w:pPr>
    </w:p>
    <w:p w:rsidR="00817EFC" w:rsidRPr="00817EFC" w:rsidRDefault="00817EFC" w:rsidP="00817EFC">
      <w:pPr>
        <w:widowControl w:val="0"/>
        <w:autoSpaceDE w:val="0"/>
        <w:autoSpaceDN w:val="0"/>
        <w:adjustRightInd w:val="0"/>
        <w:jc w:val="both"/>
        <w:rPr>
          <w:rFonts w:eastAsiaTheme="minorEastAsia" w:cs="Times New Roman"/>
          <w:sz w:val="20"/>
          <w:szCs w:val="20"/>
          <w:lang w:val="fr-CA"/>
        </w:rPr>
      </w:pPr>
      <w:r w:rsidRPr="00817EFC">
        <w:rPr>
          <w:rFonts w:eastAsiaTheme="minorEastAsia" w:cs="Times New Roman"/>
          <w:b/>
          <w:sz w:val="20"/>
          <w:szCs w:val="20"/>
          <w:lang w:val="fr-CA"/>
        </w:rPr>
        <w:t>IL EST EN OUTRE ORDONNÉ CE QUI SUIT :</w:t>
      </w:r>
    </w:p>
    <w:p w:rsidR="00817EFC" w:rsidRPr="00817EFC" w:rsidRDefault="00817EFC" w:rsidP="00817EFC">
      <w:pPr>
        <w:widowControl w:val="0"/>
        <w:autoSpaceDE w:val="0"/>
        <w:autoSpaceDN w:val="0"/>
        <w:adjustRightInd w:val="0"/>
        <w:jc w:val="both"/>
        <w:rPr>
          <w:rFonts w:eastAsiaTheme="minorEastAsia" w:cs="Times New Roman"/>
          <w:sz w:val="20"/>
          <w:szCs w:val="20"/>
          <w:lang w:val="fr-CA"/>
        </w:rPr>
      </w:pPr>
    </w:p>
    <w:p w:rsidR="00817EFC" w:rsidRPr="00817EFC" w:rsidRDefault="00817EFC" w:rsidP="00817EFC">
      <w:pPr>
        <w:widowControl w:val="0"/>
        <w:numPr>
          <w:ilvl w:val="0"/>
          <w:numId w:val="9"/>
        </w:numPr>
        <w:autoSpaceDE w:val="0"/>
        <w:autoSpaceDN w:val="0"/>
        <w:adjustRightInd w:val="0"/>
        <w:jc w:val="both"/>
        <w:rPr>
          <w:rFonts w:eastAsiaTheme="minorEastAsia" w:cs="Times New Roman"/>
          <w:sz w:val="20"/>
          <w:szCs w:val="20"/>
          <w:lang w:val="fr-CA"/>
        </w:rPr>
      </w:pPr>
      <w:r w:rsidRPr="00817EFC">
        <w:rPr>
          <w:rFonts w:eastAsiaTheme="minorEastAsia" w:cs="Times New Roman"/>
          <w:sz w:val="20"/>
          <w:szCs w:val="20"/>
          <w:lang w:val="fr-CA"/>
        </w:rPr>
        <w:t xml:space="preserve">Tout procureur général qui interviendra en vertu du par. 61(4) des </w:t>
      </w:r>
      <w:r w:rsidRPr="00817EFC">
        <w:rPr>
          <w:rFonts w:eastAsiaTheme="minorEastAsia" w:cs="Times New Roman"/>
          <w:i/>
          <w:sz w:val="20"/>
          <w:szCs w:val="20"/>
          <w:lang w:val="fr-CA"/>
        </w:rPr>
        <w:t>Règles de la Cour suprême du Canada</w:t>
      </w:r>
      <w:r w:rsidRPr="00817EFC">
        <w:rPr>
          <w:rFonts w:eastAsiaTheme="minorEastAsia" w:cs="Times New Roman"/>
          <w:sz w:val="20"/>
          <w:szCs w:val="20"/>
          <w:lang w:val="fr-CA"/>
        </w:rPr>
        <w:t xml:space="preserve"> devra signifier et déposer son mémoire et son recueil de sources au plus tard le 25 septembre 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0"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06.05.2014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sz w:val="20"/>
          <w:szCs w:val="20"/>
          <w:lang w:eastAsia="en-CA"/>
        </w:rPr>
        <w:t>Before / Devant:   THE REGISTRAR / LE REGISTRAIRE</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rPr>
          <w:trHeight w:val="151"/>
        </w:trPr>
        <w:tc>
          <w:tcPr>
            <w:tcW w:w="4338" w:type="dxa"/>
          </w:tcPr>
          <w:p w:rsidR="00817EFC" w:rsidRPr="00817EFC" w:rsidRDefault="00817EFC" w:rsidP="00817EFC">
            <w:pPr>
              <w:tabs>
                <w:tab w:val="left" w:pos="-1440"/>
                <w:tab w:val="left" w:pos="-720"/>
              </w:tabs>
              <w:jc w:val="both"/>
            </w:pPr>
            <w:r w:rsidRPr="00817EFC">
              <w:rPr>
                <w:b/>
                <w:bCs/>
                <w:color w:val="000000"/>
                <w:lang w:val="en-GB"/>
              </w:rPr>
              <w:t>Motion for an extension of time</w:t>
            </w:r>
            <w:r w:rsidRPr="00817EFC">
              <w:rPr>
                <w:lang w:val="en-US"/>
              </w:rPr>
              <w:t xml:space="preserve"> </w:t>
            </w:r>
            <w:r w:rsidR="003172C2" w:rsidRPr="00817EFC">
              <w:rPr>
                <w:lang w:val="en-US"/>
              </w:rPr>
              <w:fldChar w:fldCharType="begin"/>
            </w:r>
            <w:r w:rsidRPr="00817EFC">
              <w:instrText xml:space="preserve"> SEQ CHAPTER \h \r 1</w:instrText>
            </w:r>
            <w:r w:rsidR="003172C2" w:rsidRPr="00817EFC">
              <w:rPr>
                <w:lang w:val="en-US"/>
              </w:rPr>
              <w:fldChar w:fldCharType="end"/>
            </w:r>
          </w:p>
        </w:tc>
        <w:tc>
          <w:tcPr>
            <w:tcW w:w="1170" w:type="dxa"/>
          </w:tcPr>
          <w:p w:rsidR="00817EFC" w:rsidRPr="00817EFC" w:rsidRDefault="00817EFC" w:rsidP="00817EFC">
            <w:pPr>
              <w:jc w:val="both"/>
            </w:pPr>
          </w:p>
          <w:p w:rsidR="00817EFC" w:rsidRPr="00817EFC" w:rsidRDefault="00817EFC" w:rsidP="00817EFC">
            <w:pPr>
              <w:jc w:val="both"/>
            </w:pPr>
          </w:p>
        </w:tc>
        <w:tc>
          <w:tcPr>
            <w:tcW w:w="4327" w:type="dxa"/>
          </w:tcPr>
          <w:p w:rsidR="00817EFC" w:rsidRPr="00817EFC" w:rsidRDefault="00817EFC" w:rsidP="00817EFC">
            <w:pPr>
              <w:jc w:val="both"/>
              <w:rPr>
                <w:b/>
                <w:lang w:val="fr-CA"/>
              </w:rPr>
            </w:pPr>
            <w:r w:rsidRPr="00817EFC">
              <w:rPr>
                <w:b/>
                <w:bCs/>
                <w:color w:val="000000"/>
                <w:lang w:val="fr-CA"/>
              </w:rPr>
              <w:t>Requête en prorogation de délai</w:t>
            </w:r>
            <w:r w:rsidRPr="00817EFC">
              <w:rPr>
                <w:b/>
                <w:lang w:val="fr-CA"/>
              </w:rPr>
              <w:t xml:space="preserve"> </w:t>
            </w:r>
            <w:r w:rsidR="003172C2" w:rsidRPr="00817EFC">
              <w:rPr>
                <w:b/>
                <w:lang w:val="en-US"/>
              </w:rPr>
              <w:fldChar w:fldCharType="begin"/>
            </w:r>
            <w:r w:rsidRPr="00817EFC">
              <w:rPr>
                <w:b/>
                <w:lang w:val="fr-CA"/>
              </w:rPr>
              <w:instrText xml:space="preserve"> SEQ CHAPTER \h \r 1</w:instrText>
            </w:r>
            <w:r w:rsidR="003172C2" w:rsidRPr="00817EFC">
              <w:rPr>
                <w:b/>
                <w:lang w:val="en-US"/>
              </w:rPr>
              <w:fldChar w:fldCharType="end"/>
            </w:r>
            <w:r w:rsidR="003172C2" w:rsidRPr="00817EFC">
              <w:rPr>
                <w:b/>
                <w:lang w:val="en-US"/>
              </w:rPr>
              <w:fldChar w:fldCharType="begin"/>
            </w:r>
            <w:r w:rsidRPr="00817EFC">
              <w:rPr>
                <w:b/>
                <w:lang w:val="fr-CA"/>
              </w:rPr>
              <w:instrText xml:space="preserve"> SEQ CHAPTER \h \r 1</w:instrText>
            </w:r>
            <w:r w:rsidR="003172C2" w:rsidRPr="00817EFC">
              <w:rPr>
                <w:b/>
                <w:lang w:val="en-US"/>
              </w:rPr>
              <w:fldChar w:fldCharType="end"/>
            </w:r>
          </w:p>
        </w:tc>
      </w:tr>
      <w:tr w:rsidR="00817EFC" w:rsidRPr="00817EFC" w:rsidTr="00817EFC">
        <w:trPr>
          <w:trHeight w:val="150"/>
        </w:trPr>
        <w:tc>
          <w:tcPr>
            <w:tcW w:w="4338" w:type="dxa"/>
          </w:tcPr>
          <w:p w:rsidR="00817EFC" w:rsidRPr="00817EFC" w:rsidRDefault="00817EFC" w:rsidP="00817EFC">
            <w:pPr>
              <w:tabs>
                <w:tab w:val="left" w:pos="-1440"/>
                <w:tab w:val="left" w:pos="-720"/>
              </w:tabs>
              <w:jc w:val="both"/>
              <w:rPr>
                <w:lang w:val="fr-CA"/>
              </w:rPr>
            </w:pPr>
            <w:r w:rsidRPr="00817EFC">
              <w:rPr>
                <w:lang w:val="fr-CA"/>
              </w:rPr>
              <w:t>Société en commandite Place Mullins et autre</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rPr>
                <w:lang w:val="fr-CA"/>
              </w:rPr>
            </w:pPr>
            <w:r w:rsidRPr="00817EFC">
              <w:rPr>
                <w:lang w:val="fr-CA"/>
              </w:rPr>
              <w:tab/>
              <w:t>c. (35461)</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pPr>
            <w:r w:rsidRPr="00817EFC">
              <w:rPr>
                <w:lang w:val="fr-CA"/>
              </w:rPr>
              <w:t xml:space="preserve">Services immobiliers Diane Bisson inc. </w:t>
            </w:r>
            <w:r w:rsidRPr="00817EFC">
              <w:t>(Qc)</w:t>
            </w:r>
          </w:p>
        </w:tc>
        <w:tc>
          <w:tcPr>
            <w:tcW w:w="1170" w:type="dxa"/>
          </w:tcPr>
          <w:p w:rsidR="00817EFC" w:rsidRPr="00817EFC" w:rsidRDefault="00817EFC" w:rsidP="00817EFC">
            <w:pPr>
              <w:jc w:val="both"/>
            </w:pPr>
          </w:p>
        </w:tc>
        <w:tc>
          <w:tcPr>
            <w:tcW w:w="4327" w:type="dxa"/>
          </w:tcPr>
          <w:p w:rsidR="00817EFC" w:rsidRPr="00817EFC" w:rsidRDefault="00817EFC" w:rsidP="00817EFC">
            <w:pPr>
              <w:jc w:val="both"/>
            </w:pPr>
          </w:p>
        </w:tc>
      </w:tr>
    </w:tbl>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b/>
          <w:sz w:val="20"/>
          <w:szCs w:val="20"/>
          <w:lang w:eastAsia="en-CA"/>
        </w:rPr>
        <w:t>GRANTED / ACCORDÉE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jc w:val="both"/>
        <w:rPr>
          <w:rFonts w:eastAsia="Times New Roman" w:cs="Times New Roman"/>
          <w:sz w:val="20"/>
          <w:szCs w:val="20"/>
          <w:lang w:eastAsia="en-CA"/>
        </w:rPr>
      </w:pPr>
      <w:r w:rsidRPr="00817EFC">
        <w:rPr>
          <w:rFonts w:eastAsia="Times New Roman" w:cs="Times New Roman"/>
          <w:b/>
          <w:sz w:val="20"/>
          <w:szCs w:val="20"/>
          <w:lang w:eastAsia="en-CA"/>
        </w:rPr>
        <w:t xml:space="preserve">UPON APPLICATION </w:t>
      </w:r>
      <w:r w:rsidRPr="00817EFC">
        <w:rPr>
          <w:rFonts w:eastAsia="Times New Roman" w:cs="Times New Roman"/>
          <w:sz w:val="20"/>
          <w:szCs w:val="20"/>
          <w:lang w:eastAsia="en-CA"/>
        </w:rPr>
        <w:t xml:space="preserve">by the appellants under Rule 6 of the </w:t>
      </w:r>
      <w:r w:rsidRPr="00817EFC">
        <w:rPr>
          <w:rFonts w:eastAsia="Times New Roman" w:cs="Times New Roman"/>
          <w:i/>
          <w:sz w:val="20"/>
          <w:szCs w:val="20"/>
          <w:lang w:eastAsia="en-CA"/>
        </w:rPr>
        <w:t>Rules of the Supreme Court of Canada</w:t>
      </w:r>
      <w:r w:rsidRPr="00817EFC">
        <w:rPr>
          <w:rFonts w:eastAsia="Times New Roman" w:cs="Times New Roman"/>
          <w:sz w:val="20"/>
          <w:szCs w:val="20"/>
          <w:lang w:eastAsia="en-CA"/>
        </w:rPr>
        <w:t xml:space="preserve"> for an order extending the time within which the appellants may serve and file their factum, record and book of authorities;</w:t>
      </w:r>
    </w:p>
    <w:p w:rsidR="00817EFC" w:rsidRPr="00817EFC" w:rsidRDefault="00817EFC" w:rsidP="00817EFC">
      <w:pPr>
        <w:jc w:val="both"/>
        <w:rPr>
          <w:rFonts w:eastAsia="Times New Roman" w:cs="Times New Roman"/>
          <w:sz w:val="20"/>
          <w:szCs w:val="20"/>
          <w:lang w:eastAsia="en-CA"/>
        </w:rPr>
      </w:pPr>
    </w:p>
    <w:p w:rsidR="00817EFC" w:rsidRPr="00817EFC" w:rsidRDefault="00817EFC" w:rsidP="00817EFC">
      <w:pPr>
        <w:jc w:val="both"/>
        <w:rPr>
          <w:rFonts w:eastAsia="Times New Roman" w:cs="Times New Roman"/>
          <w:sz w:val="20"/>
          <w:szCs w:val="20"/>
          <w:lang w:eastAsia="en-CA"/>
        </w:rPr>
      </w:pPr>
      <w:r w:rsidRPr="00817EFC">
        <w:rPr>
          <w:rFonts w:eastAsia="Times New Roman" w:cs="Times New Roman"/>
          <w:b/>
          <w:sz w:val="20"/>
          <w:szCs w:val="20"/>
          <w:lang w:eastAsia="en-CA"/>
        </w:rPr>
        <w:t>AND WHEREAS</w:t>
      </w:r>
      <w:r w:rsidRPr="00817EFC">
        <w:rPr>
          <w:rFonts w:eastAsia="Times New Roman" w:cs="Times New Roman"/>
          <w:sz w:val="20"/>
          <w:szCs w:val="20"/>
          <w:lang w:eastAsia="en-CA"/>
        </w:rPr>
        <w:t xml:space="preserve"> the respondent has not filed a response to the motion; </w:t>
      </w:r>
    </w:p>
    <w:p w:rsidR="00817EFC" w:rsidRPr="00817EFC" w:rsidRDefault="00817EFC" w:rsidP="00817EFC">
      <w:pPr>
        <w:jc w:val="both"/>
        <w:rPr>
          <w:rFonts w:eastAsia="Times New Roman" w:cs="Times New Roman"/>
          <w:sz w:val="20"/>
          <w:szCs w:val="20"/>
          <w:lang w:eastAsia="en-CA"/>
        </w:rPr>
      </w:pPr>
    </w:p>
    <w:p w:rsidR="00817EFC" w:rsidRPr="00817EFC" w:rsidRDefault="00817EFC" w:rsidP="00817EFC">
      <w:pPr>
        <w:jc w:val="both"/>
        <w:rPr>
          <w:rFonts w:eastAsia="Times New Roman" w:cs="Times New Roman"/>
          <w:b/>
          <w:sz w:val="20"/>
          <w:szCs w:val="20"/>
          <w:lang w:eastAsia="en-CA"/>
        </w:rPr>
      </w:pPr>
      <w:r w:rsidRPr="00817EFC">
        <w:rPr>
          <w:rFonts w:eastAsia="Times New Roman" w:cs="Times New Roman"/>
          <w:b/>
          <w:sz w:val="20"/>
          <w:szCs w:val="20"/>
          <w:lang w:eastAsia="en-CA"/>
        </w:rPr>
        <w:t xml:space="preserve">IT IS HEREBY ORDERED THAT: </w:t>
      </w:r>
    </w:p>
    <w:p w:rsidR="00817EFC" w:rsidRPr="00817EFC" w:rsidRDefault="00817EFC" w:rsidP="00817EFC">
      <w:pPr>
        <w:jc w:val="both"/>
        <w:rPr>
          <w:rFonts w:eastAsia="Times New Roman" w:cs="Times New Roman"/>
          <w:b/>
          <w:sz w:val="20"/>
          <w:szCs w:val="20"/>
          <w:lang w:eastAsia="en-CA"/>
        </w:rPr>
      </w:pPr>
    </w:p>
    <w:p w:rsidR="00817EFC" w:rsidRPr="00817EFC" w:rsidRDefault="00817EFC" w:rsidP="00817EFC">
      <w:pPr>
        <w:jc w:val="both"/>
        <w:rPr>
          <w:rFonts w:eastAsia="Times New Roman" w:cs="Times New Roman"/>
          <w:sz w:val="20"/>
          <w:szCs w:val="20"/>
          <w:lang w:eastAsia="en-CA"/>
        </w:rPr>
      </w:pPr>
      <w:r w:rsidRPr="00817EFC">
        <w:rPr>
          <w:rFonts w:eastAsia="Times New Roman" w:cs="Times New Roman"/>
          <w:sz w:val="20"/>
          <w:szCs w:val="20"/>
          <w:lang w:eastAsia="en-CA"/>
        </w:rPr>
        <w:t>The motion is granted.  The appellants shall serve and file their factum, record and book of authorities on or before June 9, 2014.</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b/>
          <w:sz w:val="20"/>
          <w:szCs w:val="20"/>
          <w:lang w:val="fr-CA" w:eastAsia="en-CA"/>
        </w:rPr>
        <w:t>À LA SUITE DE LA DEMANDE</w:t>
      </w:r>
      <w:r w:rsidRPr="00817EFC">
        <w:rPr>
          <w:rFonts w:eastAsia="Times New Roman" w:cs="Times New Roman"/>
          <w:sz w:val="20"/>
          <w:szCs w:val="20"/>
          <w:lang w:val="fr-CA" w:eastAsia="en-CA"/>
        </w:rPr>
        <w:t xml:space="preserve"> présentée par les appelantes en vertu de la règle 6 des </w:t>
      </w:r>
      <w:r w:rsidRPr="00817EFC">
        <w:rPr>
          <w:rFonts w:eastAsia="Times New Roman" w:cs="Times New Roman"/>
          <w:i/>
          <w:sz w:val="20"/>
          <w:szCs w:val="20"/>
          <w:lang w:val="fr-CA" w:eastAsia="en-CA"/>
        </w:rPr>
        <w:t>Règles de la Cour suprême du Canada</w:t>
      </w:r>
      <w:r w:rsidRPr="00817EFC">
        <w:rPr>
          <w:rFonts w:eastAsia="Times New Roman" w:cs="Times New Roman"/>
          <w:sz w:val="20"/>
          <w:szCs w:val="20"/>
          <w:lang w:val="fr-CA" w:eastAsia="en-CA"/>
        </w:rPr>
        <w:t xml:space="preserve"> pour obtenir une ordonnance afin de proroger le délai des appelantes pour signifier et déposer le mémoire, le dossier et le recueil de sources des appelantes;</w:t>
      </w:r>
    </w:p>
    <w:p w:rsidR="00817EFC" w:rsidRPr="00817EFC" w:rsidRDefault="00817EFC" w:rsidP="00817EFC">
      <w:pPr>
        <w:jc w:val="both"/>
        <w:rPr>
          <w:rFonts w:eastAsia="Times New Roman" w:cs="Times New Roman"/>
          <w:sz w:val="20"/>
          <w:szCs w:val="20"/>
          <w:lang w:val="fr-CA"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b/>
          <w:sz w:val="20"/>
          <w:szCs w:val="20"/>
          <w:lang w:val="fr-CA" w:eastAsia="en-CA"/>
        </w:rPr>
        <w:t>ET VU QUE</w:t>
      </w:r>
      <w:r w:rsidRPr="00817EFC">
        <w:rPr>
          <w:rFonts w:eastAsia="Times New Roman" w:cs="Times New Roman"/>
          <w:sz w:val="20"/>
          <w:szCs w:val="20"/>
          <w:lang w:val="fr-CA" w:eastAsia="en-CA"/>
        </w:rPr>
        <w:t xml:space="preserve"> l’intimé n’a pas déposé une réponse à la requête; </w:t>
      </w:r>
    </w:p>
    <w:p w:rsidR="00817EFC" w:rsidRPr="00817EFC" w:rsidRDefault="00817EFC" w:rsidP="00817EFC">
      <w:pPr>
        <w:jc w:val="both"/>
        <w:rPr>
          <w:rFonts w:eastAsia="Times New Roman" w:cs="Times New Roman"/>
          <w:sz w:val="20"/>
          <w:szCs w:val="20"/>
          <w:lang w:val="fr-CA" w:eastAsia="en-CA"/>
        </w:rPr>
      </w:pPr>
    </w:p>
    <w:p w:rsidR="00817EFC" w:rsidRPr="00817EFC" w:rsidRDefault="00817EFC" w:rsidP="00817EFC">
      <w:pPr>
        <w:jc w:val="both"/>
        <w:rPr>
          <w:rFonts w:eastAsia="Times New Roman" w:cs="Times New Roman"/>
          <w:b/>
          <w:sz w:val="20"/>
          <w:szCs w:val="20"/>
          <w:lang w:val="fr-CA" w:eastAsia="en-CA"/>
        </w:rPr>
      </w:pPr>
      <w:r w:rsidRPr="00817EFC">
        <w:rPr>
          <w:rFonts w:eastAsia="Times New Roman" w:cs="Times New Roman"/>
          <w:b/>
          <w:sz w:val="20"/>
          <w:szCs w:val="20"/>
          <w:lang w:val="fr-CA" w:eastAsia="en-CA"/>
        </w:rPr>
        <w:t xml:space="preserve">IL EST ORDONNÉ CE QUI SUIT : </w:t>
      </w:r>
    </w:p>
    <w:p w:rsidR="00817EFC" w:rsidRPr="00817EFC" w:rsidRDefault="00817EFC" w:rsidP="00817EFC">
      <w:pPr>
        <w:jc w:val="both"/>
        <w:rPr>
          <w:rFonts w:eastAsia="Times New Roman" w:cs="Times New Roman"/>
          <w:b/>
          <w:sz w:val="20"/>
          <w:szCs w:val="20"/>
          <w:lang w:val="fr-CA" w:eastAsia="en-CA"/>
        </w:rPr>
      </w:pPr>
    </w:p>
    <w:p w:rsidR="00817EFC" w:rsidRPr="00817EFC" w:rsidRDefault="00817EFC" w:rsidP="00817EFC">
      <w:pPr>
        <w:jc w:val="both"/>
        <w:rPr>
          <w:rFonts w:eastAsia="Times New Roman" w:cs="Times New Roman"/>
          <w:sz w:val="20"/>
          <w:szCs w:val="20"/>
          <w:lang w:val="fr-FR" w:eastAsia="en-CA"/>
        </w:rPr>
      </w:pPr>
      <w:r w:rsidRPr="00817EFC">
        <w:rPr>
          <w:rFonts w:eastAsia="Times New Roman" w:cs="Times New Roman"/>
          <w:sz w:val="20"/>
          <w:szCs w:val="20"/>
          <w:lang w:val="fr-CA" w:eastAsia="en-CA"/>
        </w:rPr>
        <w:t>La requête est accueillie. Les appelantes devront signifier et déposer leurs mémoire, dossier et recueil de sources au plus tard le 9 juin 2014.</w:t>
      </w:r>
    </w:p>
    <w:p w:rsidR="00817EFC" w:rsidRPr="00817EFC" w:rsidRDefault="00817EFC" w:rsidP="00817EFC">
      <w:pPr>
        <w:spacing w:line="233" w:lineRule="auto"/>
        <w:jc w:val="both"/>
        <w:rPr>
          <w:rFonts w:eastAsia="Times New Roman" w:cs="Times New Roman"/>
          <w:sz w:val="20"/>
          <w:szCs w:val="20"/>
          <w:lang w:val="fr-FR" w:eastAsia="en-CA"/>
        </w:rPr>
      </w:pPr>
    </w:p>
    <w:p w:rsidR="00817EFC" w:rsidRPr="00817EFC" w:rsidRDefault="00F27688" w:rsidP="00817EF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1" style="width:2in;height:1pt" o:hrpct="0" o:hralign="center" o:hrstd="t" o:hrnoshade="t" o:hr="t" fillcolor="black [3213]" stroked="f"/>
        </w:pict>
      </w:r>
    </w:p>
    <w:p w:rsidR="00817EFC" w:rsidRPr="00817EFC" w:rsidRDefault="00817EFC" w:rsidP="00817EFC">
      <w:pPr>
        <w:rPr>
          <w:rFonts w:eastAsia="Times New Roman" w:cs="Times New Roman"/>
          <w:sz w:val="20"/>
          <w:szCs w:val="20"/>
          <w:lang w:val="fr-CA" w:eastAsia="en-CA"/>
        </w:rPr>
      </w:pPr>
      <w:r w:rsidRPr="00817EFC">
        <w:rPr>
          <w:rFonts w:eastAsia="Times New Roman" w:cs="Times New Roman"/>
          <w:sz w:val="20"/>
          <w:szCs w:val="20"/>
          <w:lang w:val="fr-CA" w:eastAsia="en-CA"/>
        </w:rPr>
        <w:br w:type="page"/>
      </w: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lastRenderedPageBreak/>
        <w:t>07.05.2014</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sz w:val="20"/>
          <w:szCs w:val="20"/>
          <w:lang w:eastAsia="en-CA"/>
        </w:rPr>
        <w:t xml:space="preserve">Before / Devant :   </w:t>
      </w:r>
      <w:r w:rsidRPr="00817EFC">
        <w:rPr>
          <w:rFonts w:eastAsia="Times New Roman" w:cs="Times New Roman"/>
          <w:sz w:val="20"/>
          <w:szCs w:val="20"/>
          <w:lang w:val="fr-CA" w:eastAsia="en-CA"/>
        </w:rPr>
        <w:t>THE REGISTRAR / LE REGISTRAIRE</w:t>
      </w:r>
    </w:p>
    <w:p w:rsidR="00817EFC" w:rsidRPr="00817EFC" w:rsidRDefault="00817EFC" w:rsidP="00817EFC">
      <w:pPr>
        <w:tabs>
          <w:tab w:val="left" w:pos="-1440"/>
          <w:tab w:val="left" w:pos="-720"/>
        </w:tabs>
        <w:jc w:val="both"/>
        <w:rPr>
          <w:rFonts w:eastAsia="Times New Roman" w:cs="Times New Roman"/>
          <w:sz w:val="20"/>
          <w:szCs w:val="20"/>
          <w:lang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817EFC" w:rsidTr="00817EFC">
        <w:tc>
          <w:tcPr>
            <w:tcW w:w="4338" w:type="dxa"/>
          </w:tcPr>
          <w:p w:rsidR="00817EFC" w:rsidRPr="00817EFC" w:rsidRDefault="00817EFC" w:rsidP="00817EFC">
            <w:pPr>
              <w:tabs>
                <w:tab w:val="left" w:pos="-1440"/>
                <w:tab w:val="left" w:pos="-720"/>
              </w:tabs>
              <w:jc w:val="both"/>
            </w:pPr>
            <w:r w:rsidRPr="00817EFC">
              <w:rPr>
                <w:b/>
                <w:bCs/>
                <w:lang w:val="en-GB"/>
              </w:rPr>
              <w:t>Motion for reconsideration</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rPr>
                <w:lang w:val="fr-CA"/>
              </w:rPr>
            </w:pPr>
            <w:r w:rsidRPr="00817EFC">
              <w:rPr>
                <w:b/>
                <w:bCs/>
                <w:lang w:val="en-GB"/>
              </w:rPr>
              <w:t>Requête en réexamen</w:t>
            </w:r>
          </w:p>
        </w:tc>
      </w:tr>
      <w:tr w:rsidR="00817EFC" w:rsidRPr="00817EFC" w:rsidTr="00817EFC">
        <w:tc>
          <w:tcPr>
            <w:tcW w:w="4338" w:type="dxa"/>
          </w:tcPr>
          <w:p w:rsidR="00817EFC" w:rsidRPr="00817EFC" w:rsidRDefault="00817EFC" w:rsidP="00817EFC">
            <w:pPr>
              <w:tabs>
                <w:tab w:val="left" w:pos="-1440"/>
                <w:tab w:val="left" w:pos="-720"/>
              </w:tabs>
              <w:jc w:val="both"/>
            </w:pPr>
            <w:r w:rsidRPr="00817EFC">
              <w:t>Vlasta Stubicar</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ab/>
              <w:t>v. (35670)</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Her Majesty the Queen in Right of Canada (F.C.)</w:t>
            </w:r>
          </w:p>
        </w:tc>
        <w:tc>
          <w:tcPr>
            <w:tcW w:w="1170" w:type="dxa"/>
          </w:tcPr>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pPr>
          </w:p>
        </w:tc>
      </w:tr>
    </w:tbl>
    <w:p w:rsidR="00817EFC" w:rsidRPr="00817EFC" w:rsidRDefault="00817EFC" w:rsidP="00817EFC">
      <w:pPr>
        <w:tabs>
          <w:tab w:val="left" w:pos="-1440"/>
          <w:tab w:val="left" w:pos="-720"/>
        </w:tabs>
        <w:jc w:val="both"/>
        <w:rPr>
          <w:rFonts w:eastAsia="Times New Roman" w:cs="Times New Roman"/>
          <w:b/>
          <w:sz w:val="20"/>
          <w:szCs w:val="20"/>
          <w:lang w:eastAsia="en-CA"/>
        </w:rPr>
      </w:pPr>
    </w:p>
    <w:p w:rsidR="00817EFC" w:rsidRPr="00817EFC" w:rsidRDefault="00817EFC" w:rsidP="00817EFC">
      <w:pPr>
        <w:tabs>
          <w:tab w:val="left" w:pos="-1440"/>
          <w:tab w:val="left" w:pos="-720"/>
        </w:tabs>
        <w:jc w:val="both"/>
        <w:rPr>
          <w:rFonts w:eastAsia="Times New Roman" w:cs="Times New Roman"/>
          <w:b/>
          <w:sz w:val="20"/>
          <w:szCs w:val="20"/>
          <w:lang w:eastAsia="en-CA"/>
        </w:rPr>
      </w:pPr>
      <w:r w:rsidRPr="00817EFC">
        <w:rPr>
          <w:rFonts w:eastAsia="Times New Roman" w:cs="Times New Roman"/>
          <w:b/>
          <w:sz w:val="20"/>
          <w:szCs w:val="20"/>
          <w:lang w:eastAsia="en-CA"/>
        </w:rPr>
        <w:t>REFERRED / RÉFÉRÉE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sz w:val="20"/>
          <w:szCs w:val="20"/>
          <w:lang w:eastAsia="en-CA"/>
        </w:rPr>
        <w:t>UPON</w:t>
      </w:r>
      <w:r w:rsidRPr="00817EFC">
        <w:rPr>
          <w:rFonts w:eastAsia="Times New Roman" w:cs="Times New Roman"/>
          <w:sz w:val="20"/>
          <w:szCs w:val="20"/>
          <w:lang w:eastAsia="en-CA"/>
        </w:rPr>
        <w:t xml:space="preserve"> the applicant seeking to file a motion for reconsideration of an application for leave to appeal and for other relief;</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eastAsia="en-CA"/>
        </w:rPr>
        <w:t xml:space="preserve">AND UPON APPLICATION </w:t>
      </w:r>
      <w:r w:rsidRPr="00817EFC">
        <w:rPr>
          <w:rFonts w:eastAsia="Times New Roman" w:cs="Times New Roman"/>
          <w:sz w:val="20"/>
          <w:szCs w:val="20"/>
          <w:lang w:eastAsia="en-CA"/>
        </w:rPr>
        <w:t xml:space="preserve">by the applicant for an order directing the Registrar to refer the motion for reconsideration to a judge and for an extension of time to file the electronic version of the applicant’s documents; </w:t>
      </w:r>
    </w:p>
    <w:p w:rsidR="00817EFC" w:rsidRPr="00817EFC" w:rsidRDefault="00817EFC" w:rsidP="00817EFC">
      <w:pPr>
        <w:spacing w:line="233" w:lineRule="auto"/>
        <w:jc w:val="both"/>
        <w:rPr>
          <w:rFonts w:eastAsia="Times New Roman" w:cs="Times New Roman"/>
          <w:b/>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eastAsia="en-CA"/>
        </w:rPr>
        <w:t xml:space="preserve">AND THE MATERIAL </w:t>
      </w:r>
      <w:r w:rsidRPr="00817EFC">
        <w:rPr>
          <w:rFonts w:eastAsia="Times New Roman" w:cs="Times New Roman"/>
          <w:bCs/>
          <w:sz w:val="20"/>
          <w:szCs w:val="20"/>
          <w:lang w:eastAsia="en-CA"/>
        </w:rPr>
        <w:t>h</w:t>
      </w:r>
      <w:r w:rsidRPr="00817EFC">
        <w:rPr>
          <w:rFonts w:eastAsia="Times New Roman" w:cs="Times New Roman"/>
          <w:sz w:val="20"/>
          <w:szCs w:val="20"/>
          <w:lang w:eastAsia="en-CA"/>
        </w:rPr>
        <w:t>aving been read;</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eastAsia="en-CA"/>
        </w:rPr>
        <w:t>IT IS HEREBY ORDERED THAT:</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jc w:val="both"/>
        <w:rPr>
          <w:rFonts w:eastAsia="Times New Roman" w:cs="Times New Roman"/>
          <w:sz w:val="20"/>
          <w:szCs w:val="20"/>
          <w:lang w:eastAsia="en-CA"/>
        </w:rPr>
      </w:pPr>
      <w:r w:rsidRPr="00817EFC">
        <w:rPr>
          <w:rFonts w:eastAsia="Times New Roman" w:cs="Times New Roman"/>
          <w:sz w:val="20"/>
          <w:szCs w:val="20"/>
          <w:lang w:eastAsia="en-CA"/>
        </w:rPr>
        <w:t xml:space="preserve">The motion for reconsideration of the application for leave to appeal and the motion for directions are referred to a judge pursuant to Rule 13 of the </w:t>
      </w:r>
      <w:r w:rsidRPr="00817EFC">
        <w:rPr>
          <w:rFonts w:eastAsia="Times New Roman" w:cs="Times New Roman"/>
          <w:i/>
          <w:sz w:val="20"/>
          <w:szCs w:val="20"/>
          <w:lang w:eastAsia="en-CA"/>
        </w:rPr>
        <w:t>Rules of the Supreme Court of Canada</w:t>
      </w:r>
      <w:r w:rsidRPr="00817EFC">
        <w:rPr>
          <w:rFonts w:eastAsia="Times New Roman" w:cs="Times New Roman"/>
          <w:sz w:val="20"/>
          <w:szCs w:val="20"/>
          <w:lang w:eastAsia="en-CA"/>
        </w:rPr>
        <w:t>.</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À LA SUITE DE LA DEMANDE</w:t>
      </w:r>
      <w:r w:rsidRPr="00817EFC">
        <w:rPr>
          <w:rFonts w:eastAsia="Times New Roman" w:cs="Times New Roman"/>
          <w:sz w:val="20"/>
          <w:szCs w:val="20"/>
          <w:lang w:val="fr-CA" w:eastAsia="en-CA"/>
        </w:rPr>
        <w:t xml:space="preserve"> présentée par la demanderesse en vue de déposer une requête pour que soit réexaminée la demande d’autorisation d’appel et que d’autres mesures soient ordonnées;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716777" w:rsidP="00817EFC">
      <w:pPr>
        <w:spacing w:line="233" w:lineRule="auto"/>
        <w:jc w:val="both"/>
        <w:rPr>
          <w:rFonts w:eastAsia="Times New Roman" w:cs="Times New Roman"/>
          <w:sz w:val="20"/>
          <w:szCs w:val="20"/>
          <w:lang w:val="fr-CA" w:eastAsia="en-CA"/>
        </w:rPr>
      </w:pPr>
      <w:r>
        <w:rPr>
          <w:rFonts w:eastAsia="Times New Roman" w:cs="Times New Roman"/>
          <w:b/>
          <w:bCs/>
          <w:sz w:val="20"/>
          <w:szCs w:val="20"/>
          <w:lang w:val="fr-CA" w:eastAsia="en-CA"/>
        </w:rPr>
        <w:t xml:space="preserve">ET </w:t>
      </w:r>
      <w:r w:rsidR="00817EFC" w:rsidRPr="00817EFC">
        <w:rPr>
          <w:rFonts w:eastAsia="Times New Roman" w:cs="Times New Roman"/>
          <w:b/>
          <w:bCs/>
          <w:sz w:val="20"/>
          <w:szCs w:val="20"/>
          <w:lang w:val="fr-CA" w:eastAsia="en-CA"/>
        </w:rPr>
        <w:t xml:space="preserve">À LA SUITE DE LA DEMANDE </w:t>
      </w:r>
      <w:r w:rsidR="00817EFC" w:rsidRPr="00817EFC">
        <w:rPr>
          <w:rFonts w:eastAsia="Times New Roman" w:cs="Times New Roman"/>
          <w:sz w:val="20"/>
          <w:szCs w:val="20"/>
          <w:lang w:val="fr-CA" w:eastAsia="en-CA"/>
        </w:rPr>
        <w:t>présentée par la demanderesse pour qu’il soit ordonné au registraire de renvoyer la requête en réexamen à un juge et que soit prorogé le délai de dépôt de la version électronique de ses documents;</w:t>
      </w:r>
    </w:p>
    <w:p w:rsidR="00817EFC" w:rsidRPr="00817EFC" w:rsidRDefault="00817EFC" w:rsidP="00817EFC">
      <w:pPr>
        <w:spacing w:line="233" w:lineRule="auto"/>
        <w:jc w:val="both"/>
        <w:rPr>
          <w:rFonts w:eastAsia="Times New Roman" w:cs="Times New Roman"/>
          <w:b/>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 xml:space="preserve">ET APRÈS EXAMEN </w:t>
      </w:r>
      <w:r w:rsidRPr="00817EFC">
        <w:rPr>
          <w:rFonts w:eastAsia="Times New Roman" w:cs="Times New Roman"/>
          <w:bCs/>
          <w:sz w:val="20"/>
          <w:szCs w:val="20"/>
          <w:lang w:val="fr-CA" w:eastAsia="en-CA"/>
        </w:rPr>
        <w:t>des documents déposés</w:t>
      </w:r>
      <w:r w:rsidRPr="00817EFC">
        <w:rPr>
          <w:rFonts w:eastAsia="Times New Roman" w:cs="Times New Roman"/>
          <w:sz w:val="20"/>
          <w:szCs w:val="20"/>
          <w:lang w:val="fr-CA" w:eastAsia="en-CA"/>
        </w:rPr>
        <w:t>;</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LA COUR ORDONNE CE QUI SUIT :</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sz w:val="20"/>
          <w:szCs w:val="20"/>
          <w:lang w:val="fr-CA" w:eastAsia="en-CA"/>
        </w:rPr>
        <w:t xml:space="preserve">La requête en réexamen de la demande d’autorisation d’appel et la requête en vue d’obtenir des instructions sont renvoyées à un juge conformément à l’article 13 des </w:t>
      </w:r>
      <w:r w:rsidRPr="00817EFC">
        <w:rPr>
          <w:rFonts w:eastAsia="Times New Roman" w:cs="Times New Roman"/>
          <w:i/>
          <w:sz w:val="20"/>
          <w:szCs w:val="20"/>
          <w:lang w:val="fr-CA" w:eastAsia="en-CA"/>
        </w:rPr>
        <w:t>Règles de la Cour suprême du Canada</w:t>
      </w:r>
      <w:r w:rsidRPr="00817EFC">
        <w:rPr>
          <w:rFonts w:eastAsia="Times New Roman" w:cs="Times New Roman"/>
          <w:sz w:val="20"/>
          <w:szCs w:val="20"/>
          <w:lang w:val="fr-CA" w:eastAsia="en-CA"/>
        </w:rPr>
        <w:t>.</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07.05.2014</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sz w:val="20"/>
          <w:szCs w:val="20"/>
          <w:lang w:eastAsia="en-CA"/>
        </w:rPr>
        <w:t xml:space="preserve">Before / Devant :   </w:t>
      </w:r>
      <w:r w:rsidRPr="00817EFC">
        <w:rPr>
          <w:rFonts w:eastAsia="Times New Roman" w:cs="Times New Roman"/>
          <w:sz w:val="20"/>
          <w:szCs w:val="20"/>
          <w:lang w:val="fr-CA" w:eastAsia="en-CA"/>
        </w:rPr>
        <w:t>THE REGISTRAR / LE REGISTRAIRE</w:t>
      </w:r>
    </w:p>
    <w:p w:rsidR="00817EFC" w:rsidRPr="00817EFC" w:rsidRDefault="00817EFC" w:rsidP="00817EFC">
      <w:pPr>
        <w:tabs>
          <w:tab w:val="left" w:pos="-1440"/>
          <w:tab w:val="left" w:pos="-720"/>
        </w:tabs>
        <w:jc w:val="both"/>
        <w:rPr>
          <w:rFonts w:eastAsia="Times New Roman" w:cs="Times New Roman"/>
          <w:sz w:val="20"/>
          <w:szCs w:val="20"/>
          <w:lang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817EFC" w:rsidTr="00817EFC">
        <w:tc>
          <w:tcPr>
            <w:tcW w:w="4338" w:type="dxa"/>
          </w:tcPr>
          <w:p w:rsidR="00817EFC" w:rsidRPr="00817EFC" w:rsidRDefault="00817EFC" w:rsidP="00817EFC">
            <w:pPr>
              <w:tabs>
                <w:tab w:val="left" w:pos="-1440"/>
                <w:tab w:val="left" w:pos="-720"/>
              </w:tabs>
              <w:jc w:val="both"/>
            </w:pPr>
            <w:r w:rsidRPr="00817EFC">
              <w:rPr>
                <w:b/>
                <w:bCs/>
                <w:lang w:val="en-GB"/>
              </w:rPr>
              <w:t>Motion for reconsideration</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rPr>
                <w:lang w:val="fr-CA"/>
              </w:rPr>
            </w:pPr>
            <w:r w:rsidRPr="00817EFC">
              <w:rPr>
                <w:b/>
                <w:bCs/>
                <w:lang w:val="en-GB"/>
              </w:rPr>
              <w:t>Requête en réexamen</w:t>
            </w:r>
          </w:p>
        </w:tc>
      </w:tr>
      <w:tr w:rsidR="00817EFC" w:rsidRPr="00817EFC" w:rsidTr="00817EFC">
        <w:tc>
          <w:tcPr>
            <w:tcW w:w="4338" w:type="dxa"/>
          </w:tcPr>
          <w:p w:rsidR="00817EFC" w:rsidRPr="00817EFC" w:rsidRDefault="00817EFC" w:rsidP="00817EFC">
            <w:pPr>
              <w:tabs>
                <w:tab w:val="left" w:pos="-1440"/>
                <w:tab w:val="left" w:pos="-720"/>
              </w:tabs>
              <w:jc w:val="both"/>
            </w:pPr>
            <w:r w:rsidRPr="00817EFC">
              <w:t>Vlasta Stubicar</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ab/>
              <w:t>v. (35650)</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r w:rsidRPr="00817EFC">
              <w:t>Deputy Prime Minister et al. (F.C.)</w:t>
            </w:r>
          </w:p>
        </w:tc>
        <w:tc>
          <w:tcPr>
            <w:tcW w:w="1170" w:type="dxa"/>
          </w:tcPr>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pPr>
          </w:p>
        </w:tc>
      </w:tr>
    </w:tbl>
    <w:p w:rsidR="00817EFC" w:rsidRPr="00817EFC" w:rsidRDefault="00817EFC" w:rsidP="00817EFC">
      <w:pPr>
        <w:tabs>
          <w:tab w:val="left" w:pos="-1440"/>
          <w:tab w:val="left" w:pos="-720"/>
        </w:tabs>
        <w:jc w:val="both"/>
        <w:rPr>
          <w:rFonts w:eastAsia="Times New Roman" w:cs="Times New Roman"/>
          <w:b/>
          <w:sz w:val="20"/>
          <w:szCs w:val="20"/>
          <w:lang w:eastAsia="en-CA"/>
        </w:rPr>
      </w:pPr>
    </w:p>
    <w:p w:rsidR="00817EFC" w:rsidRPr="00817EFC" w:rsidRDefault="00817EFC" w:rsidP="00817EFC">
      <w:pPr>
        <w:tabs>
          <w:tab w:val="left" w:pos="-1440"/>
          <w:tab w:val="left" w:pos="-720"/>
        </w:tabs>
        <w:jc w:val="both"/>
        <w:rPr>
          <w:rFonts w:eastAsia="Times New Roman" w:cs="Times New Roman"/>
          <w:b/>
          <w:sz w:val="20"/>
          <w:szCs w:val="20"/>
          <w:lang w:eastAsia="en-CA"/>
        </w:rPr>
      </w:pPr>
      <w:r w:rsidRPr="00817EFC">
        <w:rPr>
          <w:rFonts w:eastAsia="Times New Roman" w:cs="Times New Roman"/>
          <w:b/>
          <w:sz w:val="20"/>
          <w:szCs w:val="20"/>
          <w:lang w:eastAsia="en-CA"/>
        </w:rPr>
        <w:t>REFERRED / RÉFÉRÉE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sz w:val="20"/>
          <w:szCs w:val="20"/>
          <w:lang w:val="en-US" w:eastAsia="en-CA"/>
        </w:rPr>
        <w:t>UPON</w:t>
      </w:r>
      <w:r w:rsidRPr="00817EFC">
        <w:rPr>
          <w:rFonts w:eastAsia="Times New Roman" w:cs="Times New Roman"/>
          <w:sz w:val="20"/>
          <w:szCs w:val="20"/>
          <w:lang w:val="en-US" w:eastAsia="en-CA"/>
        </w:rPr>
        <w:t xml:space="preserve"> the applicant seeking to file a motion for reconsideration of an application for leave to appeal and for other relief;</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val="en-US" w:eastAsia="en-CA"/>
        </w:rPr>
        <w:t xml:space="preserve">AND UPON APPLICATION </w:t>
      </w:r>
      <w:r w:rsidRPr="00817EFC">
        <w:rPr>
          <w:rFonts w:eastAsia="Times New Roman" w:cs="Times New Roman"/>
          <w:sz w:val="20"/>
          <w:szCs w:val="20"/>
          <w:lang w:val="en-US" w:eastAsia="en-CA"/>
        </w:rPr>
        <w:t xml:space="preserve">by the </w:t>
      </w:r>
      <w:r w:rsidRPr="00817EFC">
        <w:rPr>
          <w:rFonts w:eastAsia="Times New Roman" w:cs="Times New Roman"/>
          <w:sz w:val="20"/>
          <w:szCs w:val="20"/>
          <w:lang w:eastAsia="en-CA"/>
        </w:rPr>
        <w:t>applicant</w:t>
      </w:r>
      <w:r w:rsidRPr="00817EFC">
        <w:rPr>
          <w:rFonts w:eastAsia="Times New Roman" w:cs="Times New Roman"/>
          <w:sz w:val="20"/>
          <w:szCs w:val="20"/>
          <w:lang w:val="en-US" w:eastAsia="en-CA"/>
        </w:rPr>
        <w:t xml:space="preserve"> </w:t>
      </w:r>
      <w:r w:rsidRPr="00817EFC">
        <w:rPr>
          <w:rFonts w:eastAsia="Times New Roman" w:cs="Times New Roman"/>
          <w:sz w:val="20"/>
          <w:szCs w:val="20"/>
          <w:lang w:eastAsia="en-CA"/>
        </w:rPr>
        <w:t xml:space="preserve">for an order directing the Registrar to refer the motion for reconsideration to a judge and for an extension of time to file the electronic version of the applicant’s documents; </w:t>
      </w:r>
    </w:p>
    <w:p w:rsidR="00817EFC" w:rsidRPr="00817EFC" w:rsidRDefault="00817EFC" w:rsidP="00817EFC">
      <w:pPr>
        <w:spacing w:line="233" w:lineRule="auto"/>
        <w:jc w:val="both"/>
        <w:rPr>
          <w:rFonts w:eastAsia="Times New Roman" w:cs="Times New Roman"/>
          <w:b/>
          <w:sz w:val="20"/>
          <w:szCs w:val="20"/>
          <w:lang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 xml:space="preserve">AND THE MATERIAL </w:t>
      </w:r>
      <w:r w:rsidRPr="00817EFC">
        <w:rPr>
          <w:rFonts w:eastAsia="Times New Roman" w:cs="Times New Roman"/>
          <w:bCs/>
          <w:sz w:val="20"/>
          <w:szCs w:val="20"/>
          <w:lang w:val="en-US" w:eastAsia="en-CA"/>
        </w:rPr>
        <w:t>h</w:t>
      </w:r>
      <w:r w:rsidRPr="00817EFC">
        <w:rPr>
          <w:rFonts w:eastAsia="Times New Roman" w:cs="Times New Roman"/>
          <w:sz w:val="20"/>
          <w:szCs w:val="20"/>
          <w:lang w:val="en-US" w:eastAsia="en-CA"/>
        </w:rPr>
        <w:t>aving been read;</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IT IS HEREBY ORDERED THAT:</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jc w:val="both"/>
        <w:rPr>
          <w:rFonts w:eastAsia="Times New Roman" w:cs="Times New Roman"/>
          <w:sz w:val="20"/>
          <w:szCs w:val="20"/>
          <w:lang w:val="en-US" w:eastAsia="en-CA"/>
        </w:rPr>
      </w:pPr>
      <w:r w:rsidRPr="00817EFC">
        <w:rPr>
          <w:rFonts w:eastAsia="Times New Roman" w:cs="Times New Roman"/>
          <w:sz w:val="20"/>
          <w:szCs w:val="20"/>
          <w:lang w:eastAsia="en-CA"/>
        </w:rPr>
        <w:t xml:space="preserve">The motion for reconsideration of the application for leave to appeal and the motion for directions are referred to a judge pursuant to Rule 13 of the </w:t>
      </w:r>
      <w:r w:rsidRPr="00817EFC">
        <w:rPr>
          <w:rFonts w:eastAsia="Times New Roman" w:cs="Times New Roman"/>
          <w:i/>
          <w:sz w:val="20"/>
          <w:szCs w:val="20"/>
          <w:lang w:eastAsia="en-CA"/>
        </w:rPr>
        <w:t>Rules of the Supreme Court of Canada</w:t>
      </w:r>
      <w:r w:rsidRPr="00817EFC">
        <w:rPr>
          <w:rFonts w:eastAsia="Times New Roman" w:cs="Times New Roman"/>
          <w:sz w:val="20"/>
          <w:szCs w:val="20"/>
          <w:lang w:eastAsia="en-CA"/>
        </w:rPr>
        <w:t>.</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À LA SUITE DE LA DEMANDE</w:t>
      </w:r>
      <w:r w:rsidRPr="00817EFC">
        <w:rPr>
          <w:rFonts w:eastAsia="Times New Roman" w:cs="Times New Roman"/>
          <w:sz w:val="20"/>
          <w:szCs w:val="20"/>
          <w:lang w:val="fr-CA" w:eastAsia="en-CA"/>
        </w:rPr>
        <w:t xml:space="preserve"> présentée par la demanderesse en vue de déposer une requête pour que soit réexaminée la demande d’autorisation d’appel et que d’autres mesures soient ordonnées;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716777" w:rsidP="00817EFC">
      <w:pPr>
        <w:spacing w:line="233" w:lineRule="auto"/>
        <w:jc w:val="both"/>
        <w:rPr>
          <w:rFonts w:eastAsia="Times New Roman" w:cs="Times New Roman"/>
          <w:sz w:val="20"/>
          <w:szCs w:val="20"/>
          <w:lang w:val="fr-CA" w:eastAsia="en-CA"/>
        </w:rPr>
      </w:pPr>
      <w:r>
        <w:rPr>
          <w:rFonts w:eastAsia="Times New Roman" w:cs="Times New Roman"/>
          <w:b/>
          <w:bCs/>
          <w:sz w:val="20"/>
          <w:szCs w:val="20"/>
          <w:lang w:val="fr-CA" w:eastAsia="en-CA"/>
        </w:rPr>
        <w:t xml:space="preserve">ET </w:t>
      </w:r>
      <w:r w:rsidR="00817EFC" w:rsidRPr="00817EFC">
        <w:rPr>
          <w:rFonts w:eastAsia="Times New Roman" w:cs="Times New Roman"/>
          <w:b/>
          <w:bCs/>
          <w:sz w:val="20"/>
          <w:szCs w:val="20"/>
          <w:lang w:val="fr-CA" w:eastAsia="en-CA"/>
        </w:rPr>
        <w:t xml:space="preserve">À LA SUITE DE LA DEMANDE </w:t>
      </w:r>
      <w:r w:rsidR="00817EFC" w:rsidRPr="00817EFC">
        <w:rPr>
          <w:rFonts w:eastAsia="Times New Roman" w:cs="Times New Roman"/>
          <w:sz w:val="20"/>
          <w:szCs w:val="20"/>
          <w:lang w:val="fr-CA" w:eastAsia="en-CA"/>
        </w:rPr>
        <w:t>présentée par la demanderesse pour qu’il soit ordonné au registraire de renvoyer la requête en réexamen à un juge et que soit prorogé le délai de dépôt de la version électronique de ses documents;</w:t>
      </w:r>
    </w:p>
    <w:p w:rsidR="00817EFC" w:rsidRPr="00817EFC" w:rsidRDefault="00817EFC" w:rsidP="00817EFC">
      <w:pPr>
        <w:spacing w:line="233" w:lineRule="auto"/>
        <w:jc w:val="both"/>
        <w:rPr>
          <w:rFonts w:eastAsia="Times New Roman" w:cs="Times New Roman"/>
          <w:b/>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 xml:space="preserve">ET APRÈS EXAMEN </w:t>
      </w:r>
      <w:r w:rsidRPr="00817EFC">
        <w:rPr>
          <w:rFonts w:eastAsia="Times New Roman" w:cs="Times New Roman"/>
          <w:bCs/>
          <w:sz w:val="20"/>
          <w:szCs w:val="20"/>
          <w:lang w:val="fr-CA" w:eastAsia="en-CA"/>
        </w:rPr>
        <w:t>des documents déposés</w:t>
      </w:r>
      <w:r w:rsidRPr="00817EFC">
        <w:rPr>
          <w:rFonts w:eastAsia="Times New Roman" w:cs="Times New Roman"/>
          <w:sz w:val="20"/>
          <w:szCs w:val="20"/>
          <w:lang w:val="fr-CA" w:eastAsia="en-CA"/>
        </w:rPr>
        <w:t>;</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LA COUR ORDONNE CE QUI SUIT :</w:t>
      </w:r>
    </w:p>
    <w:p w:rsidR="00817EFC" w:rsidRPr="00817EFC" w:rsidRDefault="00817EFC" w:rsidP="00817EFC">
      <w:pPr>
        <w:tabs>
          <w:tab w:val="left" w:pos="520"/>
        </w:tabs>
        <w:spacing w:line="233" w:lineRule="auto"/>
        <w:jc w:val="both"/>
        <w:rPr>
          <w:rFonts w:eastAsia="Times New Roman" w:cs="Times New Roman"/>
          <w:sz w:val="20"/>
          <w:szCs w:val="20"/>
          <w:lang w:val="fr-CA" w:eastAsia="en-CA"/>
        </w:rPr>
      </w:pPr>
      <w:r w:rsidRPr="00817EFC">
        <w:rPr>
          <w:rFonts w:eastAsia="Times New Roman" w:cs="Times New Roman"/>
          <w:sz w:val="20"/>
          <w:szCs w:val="20"/>
          <w:lang w:val="fr-CA" w:eastAsia="en-CA"/>
        </w:rPr>
        <w:tab/>
      </w: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sz w:val="20"/>
          <w:szCs w:val="20"/>
          <w:lang w:val="fr-CA" w:eastAsia="en-CA"/>
        </w:rPr>
        <w:t xml:space="preserve">La requête en réexamen de la demande d’autorisation d’appel et la requête en vue d’obtenir des instructions sont renvoyées à un juge conformément à l’article 13 des </w:t>
      </w:r>
      <w:r w:rsidRPr="00817EFC">
        <w:rPr>
          <w:rFonts w:eastAsia="Times New Roman" w:cs="Times New Roman"/>
          <w:i/>
          <w:sz w:val="20"/>
          <w:szCs w:val="20"/>
          <w:lang w:val="fr-CA" w:eastAsia="en-CA"/>
        </w:rPr>
        <w:t>Règles de la Cour suprême du Canada</w:t>
      </w:r>
      <w:r w:rsidRPr="00817EFC">
        <w:rPr>
          <w:rFonts w:eastAsia="Times New Roman" w:cs="Times New Roman"/>
          <w:sz w:val="20"/>
          <w:szCs w:val="20"/>
          <w:lang w:val="fr-CA" w:eastAsia="en-CA"/>
        </w:rPr>
        <w:t>.</w:t>
      </w:r>
    </w:p>
    <w:p w:rsidR="00817EFC" w:rsidRPr="00817EFC" w:rsidRDefault="00817EFC" w:rsidP="00817EFC">
      <w:pPr>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3"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07.05.2014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ROTHSTEIN J. / LE JUGE ROTHSTEIN</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17EFC" w:rsidRPr="00817EFC" w:rsidTr="00817EFC">
        <w:tc>
          <w:tcPr>
            <w:tcW w:w="4338" w:type="dxa"/>
            <w:gridSpan w:val="2"/>
          </w:tcPr>
          <w:p w:rsidR="00817EFC" w:rsidRPr="00817EFC" w:rsidRDefault="00817EFC" w:rsidP="00817EFC">
            <w:pPr>
              <w:rPr>
                <w:b/>
              </w:rPr>
            </w:pPr>
            <w:r w:rsidRPr="00817EFC">
              <w:rPr>
                <w:b/>
              </w:rPr>
              <w:t>Motion for leave to intervene</w:t>
            </w:r>
            <w:r w:rsidRPr="00817EFC">
              <w:rPr>
                <w:lang w:val="en-US"/>
              </w:rPr>
              <w:t xml:space="preserve"> </w:t>
            </w:r>
            <w:r w:rsidR="003172C2" w:rsidRPr="00817EFC">
              <w:rPr>
                <w:lang w:val="en-US"/>
              </w:rPr>
              <w:fldChar w:fldCharType="begin"/>
            </w:r>
            <w:r w:rsidRPr="00817EFC">
              <w:instrText xml:space="preserve"> SEQ CHAPTER \h \r 1</w:instrText>
            </w:r>
            <w:r w:rsidR="003172C2" w:rsidRPr="00817EFC">
              <w:rPr>
                <w:lang w:val="en-US"/>
              </w:rPr>
              <w:fldChar w:fldCharType="end"/>
            </w:r>
          </w:p>
        </w:tc>
        <w:tc>
          <w:tcPr>
            <w:tcW w:w="1170" w:type="dxa"/>
          </w:tcPr>
          <w:p w:rsidR="00817EFC" w:rsidRPr="00817EFC" w:rsidRDefault="00817EFC" w:rsidP="00817EFC"/>
          <w:p w:rsidR="00817EFC" w:rsidRPr="00817EFC" w:rsidRDefault="00817EFC" w:rsidP="00817EFC"/>
        </w:tc>
        <w:tc>
          <w:tcPr>
            <w:tcW w:w="4327" w:type="dxa"/>
          </w:tcPr>
          <w:p w:rsidR="00817EFC" w:rsidRPr="00817EFC" w:rsidRDefault="00817EFC" w:rsidP="00817EFC">
            <w:pPr>
              <w:rPr>
                <w:b/>
              </w:rPr>
            </w:pPr>
            <w:r w:rsidRPr="00817EFC">
              <w:rPr>
                <w:b/>
                <w:bCs/>
                <w:lang w:val="fr-CA"/>
              </w:rPr>
              <w:t>Requête en autorisation d’intervenir</w:t>
            </w:r>
            <w:r w:rsidRPr="00817EFC">
              <w:rPr>
                <w:lang w:val="en-US"/>
              </w:rPr>
              <w:t xml:space="preserve"> </w:t>
            </w:r>
            <w:r w:rsidR="003172C2" w:rsidRPr="00817EFC">
              <w:rPr>
                <w:lang w:val="en-US"/>
              </w:rPr>
              <w:fldChar w:fldCharType="begin"/>
            </w:r>
            <w:r w:rsidRPr="00817EFC">
              <w:instrText xml:space="preserve"> SEQ CHAPTER \h \r 1</w:instrText>
            </w:r>
            <w:r w:rsidR="003172C2" w:rsidRPr="00817EFC">
              <w:rPr>
                <w:lang w:val="en-US"/>
              </w:rPr>
              <w:fldChar w:fldCharType="end"/>
            </w:r>
          </w:p>
        </w:tc>
      </w:tr>
      <w:tr w:rsidR="00817EFC" w:rsidRPr="00817EFC" w:rsidTr="00817EFC">
        <w:trPr>
          <w:trHeight w:hRule="exact" w:val="360"/>
        </w:trPr>
        <w:tc>
          <w:tcPr>
            <w:tcW w:w="1368" w:type="dxa"/>
          </w:tcPr>
          <w:p w:rsidR="00817EFC" w:rsidRPr="00817EFC" w:rsidRDefault="00817EFC" w:rsidP="00817EFC">
            <w:r w:rsidRPr="00817EFC">
              <w:t>BY / PAR</w:t>
            </w:r>
          </w:p>
        </w:tc>
        <w:tc>
          <w:tcPr>
            <w:tcW w:w="2970" w:type="dxa"/>
          </w:tcPr>
          <w:p w:rsidR="00817EFC" w:rsidRPr="00817EFC" w:rsidRDefault="00817EFC" w:rsidP="00817EFC">
            <w:r w:rsidRPr="00817EFC">
              <w:t>Attorney General of Canada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368" w:type="dxa"/>
          </w:tcPr>
          <w:p w:rsidR="00817EFC" w:rsidRPr="00817EFC" w:rsidRDefault="00817EFC" w:rsidP="00817EFC"/>
        </w:tc>
        <w:tc>
          <w:tcPr>
            <w:tcW w:w="2970" w:type="dxa"/>
          </w:tcPr>
          <w:p w:rsidR="00817EFC" w:rsidRPr="00817EFC" w:rsidRDefault="00817EFC" w:rsidP="00817EFC">
            <w:pPr>
              <w:rPr>
                <w:lang w:val="en-US"/>
              </w:rPr>
            </w:pP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368" w:type="dxa"/>
          </w:tcPr>
          <w:p w:rsidR="00817EFC" w:rsidRPr="00817EFC" w:rsidRDefault="00817EFC" w:rsidP="00817EFC">
            <w:r w:rsidRPr="00817EFC">
              <w:t>IN / DANS :</w:t>
            </w:r>
          </w:p>
        </w:tc>
        <w:tc>
          <w:tcPr>
            <w:tcW w:w="2970" w:type="dxa"/>
          </w:tcPr>
          <w:p w:rsidR="00817EFC" w:rsidRPr="00817EFC" w:rsidRDefault="00817EFC" w:rsidP="00817EFC">
            <w:r w:rsidRPr="00817EFC">
              <w:t>White Burgess Langille Inman, carrying on business as WBLI Chartered Accountants et al.</w:t>
            </w:r>
          </w:p>
          <w:p w:rsidR="00817EFC" w:rsidRPr="00817EFC" w:rsidRDefault="00817EFC" w:rsidP="00817EFC"/>
          <w:p w:rsidR="00817EFC" w:rsidRPr="00817EFC" w:rsidRDefault="00817EFC" w:rsidP="00817EFC">
            <w:r w:rsidRPr="00817EFC">
              <w:tab/>
              <w:t>v. (35492)</w:t>
            </w:r>
          </w:p>
          <w:p w:rsidR="00817EFC" w:rsidRPr="00817EFC" w:rsidRDefault="00817EFC" w:rsidP="00817EFC"/>
          <w:p w:rsidR="00817EFC" w:rsidRPr="00817EFC" w:rsidRDefault="00817EFC" w:rsidP="00817EFC">
            <w:r w:rsidRPr="00817EFC">
              <w:t>Abbott and Haliburton Company Limited et al. (N.S.)</w:t>
            </w:r>
          </w:p>
        </w:tc>
        <w:tc>
          <w:tcPr>
            <w:tcW w:w="1170" w:type="dxa"/>
          </w:tcPr>
          <w:p w:rsidR="00817EFC" w:rsidRPr="00817EFC" w:rsidRDefault="00817EFC" w:rsidP="00817EFC"/>
        </w:tc>
        <w:tc>
          <w:tcPr>
            <w:tcW w:w="4327" w:type="dxa"/>
          </w:tcPr>
          <w:p w:rsidR="00817EFC" w:rsidRPr="00817EFC" w:rsidRDefault="00817EFC" w:rsidP="00817EFC"/>
        </w:tc>
      </w:tr>
    </w:tbl>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b/>
          <w:sz w:val="20"/>
          <w:szCs w:val="20"/>
          <w:lang w:eastAsia="en-CA"/>
        </w:rPr>
        <w:t>GRANTED / ACCORDÉE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 xml:space="preserve">UPON APPLICATION </w:t>
      </w:r>
      <w:r w:rsidRPr="00817EFC">
        <w:rPr>
          <w:rFonts w:eastAsia="Times New Roman" w:cs="Times New Roman"/>
          <w:sz w:val="20"/>
          <w:szCs w:val="20"/>
          <w:lang w:val="en-US" w:eastAsia="en-CA"/>
        </w:rPr>
        <w:t xml:space="preserve">by </w:t>
      </w:r>
      <w:r w:rsidRPr="00817EFC">
        <w:rPr>
          <w:rFonts w:eastAsia="Times New Roman" w:cs="Times New Roman"/>
          <w:sz w:val="20"/>
          <w:szCs w:val="20"/>
          <w:lang w:eastAsia="en-CA"/>
        </w:rPr>
        <w:t xml:space="preserve">the Attorney General of Canada </w:t>
      </w:r>
      <w:r w:rsidRPr="00817EFC">
        <w:rPr>
          <w:rFonts w:eastAsia="Times New Roman" w:cs="Times New Roman"/>
          <w:sz w:val="20"/>
          <w:szCs w:val="20"/>
          <w:lang w:val="en-US" w:eastAsia="en-CA"/>
        </w:rPr>
        <w:t>for leave to intervene in the above appeal;</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AND THE MATERIAL FILED</w:t>
      </w:r>
      <w:r w:rsidRPr="00817EFC">
        <w:rPr>
          <w:rFonts w:eastAsia="Times New Roman" w:cs="Times New Roman"/>
          <w:sz w:val="20"/>
          <w:szCs w:val="20"/>
          <w:lang w:val="en-US" w:eastAsia="en-CA"/>
        </w:rPr>
        <w:t xml:space="preserve"> having been read;</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sz w:val="20"/>
          <w:szCs w:val="20"/>
          <w:lang w:val="en-US" w:eastAsia="en-CA"/>
        </w:rPr>
        <w:t>AND NOTING</w:t>
      </w:r>
      <w:r w:rsidRPr="00817EFC">
        <w:rPr>
          <w:rFonts w:eastAsia="Times New Roman" w:cs="Times New Roman"/>
          <w:sz w:val="20"/>
          <w:szCs w:val="20"/>
          <w:lang w:val="en-US" w:eastAsia="en-CA"/>
        </w:rPr>
        <w:t xml:space="preserve"> that the appellants and respondents have not filed any responses;</w:t>
      </w:r>
    </w:p>
    <w:p w:rsidR="00817EFC" w:rsidRPr="00817EFC" w:rsidRDefault="00817EFC" w:rsidP="00817EFC">
      <w:pPr>
        <w:spacing w:line="276"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IT IS HEREBY ORDERED THAT:</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sz w:val="20"/>
          <w:szCs w:val="20"/>
          <w:lang w:val="en-US" w:eastAsia="en-CA"/>
        </w:rPr>
        <w:t xml:space="preserve">The motion for leave to intervene of </w:t>
      </w:r>
      <w:r w:rsidRPr="00817EFC">
        <w:rPr>
          <w:rFonts w:eastAsia="Times New Roman" w:cs="Times New Roman"/>
          <w:sz w:val="20"/>
          <w:szCs w:val="20"/>
          <w:lang w:eastAsia="en-CA"/>
        </w:rPr>
        <w:t xml:space="preserve">the Attorney General of Canada is </w:t>
      </w:r>
      <w:r w:rsidRPr="00817EFC">
        <w:rPr>
          <w:rFonts w:eastAsia="Times New Roman" w:cs="Times New Roman"/>
          <w:sz w:val="20"/>
          <w:szCs w:val="20"/>
          <w:lang w:val="en-US" w:eastAsia="en-CA"/>
        </w:rPr>
        <w:t>granted and the said intervener shall be entitled to serve and file a factum not to exceed 10 pages in length on or before July 2, 2014.</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sz w:val="20"/>
          <w:szCs w:val="20"/>
          <w:lang w:val="en-US" w:eastAsia="en-CA"/>
        </w:rPr>
        <w:t>The intervener is not entitled to raise new issues or to adduce further evidence or otherwise to supplement the record of the parties.</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sz w:val="20"/>
          <w:szCs w:val="20"/>
          <w:lang w:val="en-US" w:eastAsia="en-CA"/>
        </w:rPr>
        <w:t>Pursuant to Rule 59(1)(</w:t>
      </w:r>
      <w:r w:rsidRPr="00817EFC">
        <w:rPr>
          <w:rFonts w:eastAsia="Times New Roman" w:cs="Times New Roman"/>
          <w:i/>
          <w:iCs/>
          <w:sz w:val="20"/>
          <w:szCs w:val="20"/>
          <w:lang w:val="en-US" w:eastAsia="en-CA"/>
        </w:rPr>
        <w:t>a</w:t>
      </w:r>
      <w:r w:rsidRPr="00817EFC">
        <w:rPr>
          <w:rFonts w:eastAsia="Times New Roman" w:cs="Times New Roman"/>
          <w:sz w:val="20"/>
          <w:szCs w:val="20"/>
          <w:lang w:val="en-US" w:eastAsia="en-CA"/>
        </w:rPr>
        <w:t xml:space="preserve">) of the </w:t>
      </w:r>
      <w:r w:rsidRPr="00817EFC">
        <w:rPr>
          <w:rFonts w:eastAsia="Times New Roman" w:cs="Times New Roman"/>
          <w:i/>
          <w:iCs/>
          <w:sz w:val="20"/>
          <w:szCs w:val="20"/>
          <w:lang w:val="en-US" w:eastAsia="en-CA"/>
        </w:rPr>
        <w:t>Rules of the Supreme Court of Canada</w:t>
      </w:r>
      <w:r w:rsidRPr="00817EFC">
        <w:rPr>
          <w:rFonts w:eastAsia="Times New Roman" w:cs="Times New Roman"/>
          <w:sz w:val="20"/>
          <w:szCs w:val="20"/>
          <w:lang w:val="en-US" w:eastAsia="en-CA"/>
        </w:rPr>
        <w:t xml:space="preserve">, the intervener shall pay to the appellants and respondents any additional disbursements occasioned to the appellants and respondents by its intervention. </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 xml:space="preserve">À LA SUITE DE LA REQUÊTE </w:t>
      </w:r>
      <w:r w:rsidRPr="00817EFC">
        <w:rPr>
          <w:rFonts w:eastAsia="Times New Roman" w:cs="Times New Roman"/>
          <w:sz w:val="20"/>
          <w:szCs w:val="20"/>
          <w:lang w:val="fr-CA" w:eastAsia="en-CA"/>
        </w:rPr>
        <w:t>en autorisation d’intervenir dans l’appel présentée par le procureur général du Canada;</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APRÈS EXAMEN</w:t>
      </w:r>
      <w:r w:rsidRPr="00817EFC">
        <w:rPr>
          <w:rFonts w:eastAsia="Times New Roman" w:cs="Times New Roman"/>
          <w:sz w:val="20"/>
          <w:szCs w:val="20"/>
          <w:lang w:val="fr-CA" w:eastAsia="en-CA"/>
        </w:rPr>
        <w:t xml:space="preserve"> des documents déposés;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ET ATTENDU QUE</w:t>
      </w:r>
      <w:r w:rsidRPr="00817EFC">
        <w:rPr>
          <w:rFonts w:eastAsia="Times New Roman" w:cs="Times New Roman"/>
          <w:sz w:val="20"/>
          <w:szCs w:val="20"/>
          <w:lang w:val="fr-CA" w:eastAsia="en-CA"/>
        </w:rPr>
        <w:t xml:space="preserve"> les appelantes et les intimées n’ont pas déposé de réponses;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IL EST ORDONNÉ CE QUI SUIT :</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sz w:val="20"/>
          <w:szCs w:val="20"/>
          <w:lang w:val="fr-CA" w:eastAsia="en-CA"/>
        </w:rPr>
        <w:t>La requête en autorisation d’intervenir du procureur général du Canada est accueillie et l’intervenant pourra signifier et déposer un mémoire d’au plus 10 pages au plus tard le 2 juillet 2014.</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jc w:val="both"/>
        <w:rPr>
          <w:rFonts w:eastAsia="Times New Roman" w:cs="Times New Roman"/>
          <w:sz w:val="20"/>
          <w:szCs w:val="20"/>
          <w:lang w:val="fr-CA" w:eastAsia="en-CA"/>
        </w:rPr>
      </w:pPr>
      <w:r w:rsidRPr="00817EFC">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sz w:val="20"/>
          <w:szCs w:val="20"/>
          <w:lang w:val="fr-CA" w:eastAsia="en-CA"/>
        </w:rPr>
        <w:t>Conformément à l’al. 59(1)</w:t>
      </w:r>
      <w:r w:rsidRPr="00817EFC">
        <w:rPr>
          <w:rFonts w:eastAsia="Times New Roman" w:cs="Times New Roman"/>
          <w:i/>
          <w:sz w:val="20"/>
          <w:szCs w:val="20"/>
          <w:lang w:val="fr-CA" w:eastAsia="en-CA"/>
        </w:rPr>
        <w:t>a</w:t>
      </w:r>
      <w:r w:rsidRPr="00817EFC">
        <w:rPr>
          <w:rFonts w:eastAsia="Times New Roman" w:cs="Times New Roman"/>
          <w:sz w:val="20"/>
          <w:szCs w:val="20"/>
          <w:lang w:val="fr-CA" w:eastAsia="en-CA"/>
        </w:rPr>
        <w:t xml:space="preserve">) des </w:t>
      </w:r>
      <w:r w:rsidRPr="00817EFC">
        <w:rPr>
          <w:rFonts w:eastAsia="Times New Roman" w:cs="Times New Roman"/>
          <w:i/>
          <w:sz w:val="20"/>
          <w:szCs w:val="20"/>
          <w:lang w:val="fr-CA" w:eastAsia="en-CA"/>
        </w:rPr>
        <w:t>Règles de la Cour suprême du Canada</w:t>
      </w:r>
      <w:r w:rsidRPr="00817EFC">
        <w:rPr>
          <w:rFonts w:eastAsia="Times New Roman" w:cs="Times New Roman"/>
          <w:sz w:val="20"/>
          <w:szCs w:val="20"/>
          <w:lang w:val="fr-CA" w:eastAsia="en-CA"/>
        </w:rPr>
        <w:t>, l’intervenant paiera aux appelantes et aux intimées tous les débours supplémentaires résultant de son intervention.</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4"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07.05.2014</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sz w:val="20"/>
          <w:szCs w:val="20"/>
          <w:lang w:eastAsia="en-CA"/>
        </w:rPr>
        <w:t xml:space="preserve">Before / Devant :   </w:t>
      </w:r>
      <w:r w:rsidRPr="00817EFC">
        <w:rPr>
          <w:rFonts w:eastAsia="Times New Roman" w:cs="Times New Roman"/>
          <w:sz w:val="20"/>
          <w:szCs w:val="20"/>
          <w:lang w:val="fr-CA" w:eastAsia="en-CA"/>
        </w:rPr>
        <w:t>THE REGISTRAR / LE REGISTRAIRE</w:t>
      </w:r>
    </w:p>
    <w:p w:rsidR="00817EFC" w:rsidRPr="00817EFC" w:rsidRDefault="00817EFC" w:rsidP="00817EFC">
      <w:pPr>
        <w:tabs>
          <w:tab w:val="left" w:pos="-1440"/>
          <w:tab w:val="left" w:pos="-720"/>
        </w:tabs>
        <w:jc w:val="both"/>
        <w:rPr>
          <w:rFonts w:eastAsia="Times New Roman" w:cs="Times New Roman"/>
          <w:sz w:val="20"/>
          <w:szCs w:val="20"/>
          <w:lang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c>
          <w:tcPr>
            <w:tcW w:w="4338" w:type="dxa"/>
          </w:tcPr>
          <w:p w:rsidR="00817EFC" w:rsidRPr="00817EFC" w:rsidRDefault="00817EFC" w:rsidP="00817EFC">
            <w:pPr>
              <w:tabs>
                <w:tab w:val="left" w:pos="-1440"/>
                <w:tab w:val="left" w:pos="-720"/>
              </w:tabs>
              <w:jc w:val="both"/>
            </w:pPr>
            <w:r w:rsidRPr="00817EFC">
              <w:rPr>
                <w:b/>
                <w:bCs/>
                <w:color w:val="000000"/>
                <w:lang w:val="en-GB"/>
              </w:rPr>
              <w:t>Motion to extend time</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rPr>
                <w:lang w:val="fr-CA"/>
              </w:rPr>
            </w:pPr>
            <w:r w:rsidRPr="00817EFC">
              <w:rPr>
                <w:b/>
                <w:bCs/>
                <w:color w:val="000000"/>
                <w:lang w:val="fr-CA"/>
              </w:rPr>
              <w:t>Requête en prorogation de délai</w:t>
            </w:r>
          </w:p>
        </w:tc>
      </w:tr>
      <w:tr w:rsidR="00817EFC" w:rsidRPr="00FA68AD" w:rsidTr="00817EFC">
        <w:tc>
          <w:tcPr>
            <w:tcW w:w="4338" w:type="dxa"/>
          </w:tcPr>
          <w:p w:rsidR="00817EFC" w:rsidRPr="00817EFC" w:rsidRDefault="00817EFC" w:rsidP="00817EFC">
            <w:pPr>
              <w:tabs>
                <w:tab w:val="left" w:pos="-1440"/>
                <w:tab w:val="left" w:pos="-720"/>
              </w:tabs>
              <w:jc w:val="both"/>
              <w:rPr>
                <w:lang w:val="fr-CA"/>
              </w:rPr>
            </w:pPr>
            <w:r w:rsidRPr="00817EFC">
              <w:rPr>
                <w:lang w:val="fr-CA"/>
              </w:rPr>
              <w:t>Daniel Poulin</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rPr>
                <w:lang w:val="fr-CA"/>
              </w:rPr>
            </w:pPr>
            <w:r w:rsidRPr="00817EFC">
              <w:rPr>
                <w:lang w:val="fr-CA"/>
              </w:rPr>
              <w:tab/>
              <w:t>c. (35289)</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rPr>
                <w:lang w:val="fr-CA"/>
              </w:rPr>
            </w:pPr>
            <w:r w:rsidRPr="00817EFC">
              <w:rPr>
                <w:lang w:val="fr-CA"/>
              </w:rPr>
              <w:t>Collège des médecins du Québec (Qc)</w:t>
            </w:r>
          </w:p>
        </w:tc>
        <w:tc>
          <w:tcPr>
            <w:tcW w:w="1170" w:type="dxa"/>
          </w:tcPr>
          <w:p w:rsidR="00817EFC" w:rsidRPr="00817EFC" w:rsidRDefault="00817EFC" w:rsidP="00817EFC">
            <w:pPr>
              <w:tabs>
                <w:tab w:val="left" w:pos="-1440"/>
                <w:tab w:val="left" w:pos="-720"/>
              </w:tabs>
              <w:jc w:val="both"/>
              <w:rPr>
                <w:lang w:val="fr-CA"/>
              </w:rPr>
            </w:pPr>
          </w:p>
        </w:tc>
        <w:tc>
          <w:tcPr>
            <w:tcW w:w="4327" w:type="dxa"/>
          </w:tcPr>
          <w:p w:rsidR="00817EFC" w:rsidRPr="00817EFC" w:rsidRDefault="00817EFC" w:rsidP="00817EFC">
            <w:pPr>
              <w:tabs>
                <w:tab w:val="left" w:pos="-1440"/>
                <w:tab w:val="left" w:pos="-720"/>
              </w:tabs>
              <w:jc w:val="both"/>
              <w:rPr>
                <w:lang w:val="fr-CA"/>
              </w:rPr>
            </w:pPr>
          </w:p>
        </w:tc>
      </w:tr>
    </w:tbl>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b/>
          <w:sz w:val="20"/>
          <w:szCs w:val="20"/>
          <w:lang w:eastAsia="en-CA"/>
        </w:rPr>
        <w:t>GRANTED / ACCORDÉE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b/>
          <w:bCs/>
          <w:sz w:val="20"/>
          <w:szCs w:val="20"/>
          <w:lang w:eastAsia="en-CA"/>
        </w:rPr>
      </w:pPr>
      <w:r w:rsidRPr="00817EFC">
        <w:rPr>
          <w:rFonts w:eastAsia="Times New Roman" w:cs="Times New Roman"/>
          <w:b/>
          <w:bCs/>
          <w:sz w:val="20"/>
          <w:szCs w:val="20"/>
          <w:lang w:eastAsia="en-CA"/>
        </w:rPr>
        <w:lastRenderedPageBreak/>
        <w:t xml:space="preserve">UPON APPLICATION </w:t>
      </w:r>
      <w:r w:rsidRPr="00817EFC">
        <w:rPr>
          <w:rFonts w:eastAsia="Times New Roman" w:cs="Times New Roman"/>
          <w:sz w:val="20"/>
          <w:szCs w:val="20"/>
          <w:lang w:eastAsia="en-CA"/>
        </w:rPr>
        <w:t>by the respondent for an order extending the time within which it may file and serve the notice of taxation and the bill of costs to February 12, 2014;</w:t>
      </w:r>
    </w:p>
    <w:p w:rsidR="00817EFC" w:rsidRPr="00817EFC" w:rsidRDefault="00817EFC" w:rsidP="00817EFC">
      <w:pPr>
        <w:spacing w:line="233" w:lineRule="auto"/>
        <w:jc w:val="both"/>
        <w:rPr>
          <w:rFonts w:eastAsia="Times New Roman" w:cs="Times New Roman"/>
          <w:b/>
          <w:bCs/>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eastAsia="en-CA"/>
        </w:rPr>
        <w:t xml:space="preserve">AND THE MATERIAL FILED </w:t>
      </w:r>
      <w:r w:rsidRPr="00817EFC">
        <w:rPr>
          <w:rFonts w:eastAsia="Times New Roman" w:cs="Times New Roman"/>
          <w:sz w:val="20"/>
          <w:szCs w:val="20"/>
          <w:lang w:eastAsia="en-CA"/>
        </w:rPr>
        <w:t xml:space="preserve">having been read; </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bCs/>
          <w:sz w:val="20"/>
          <w:szCs w:val="20"/>
          <w:lang w:eastAsia="en-CA"/>
        </w:rPr>
        <w:t xml:space="preserve">IT IS HEREBY ORDERED THAT: </w:t>
      </w:r>
    </w:p>
    <w:p w:rsidR="00817EFC" w:rsidRPr="00817EFC" w:rsidRDefault="00817EFC" w:rsidP="00817EFC">
      <w:pPr>
        <w:spacing w:line="233" w:lineRule="auto"/>
        <w:jc w:val="both"/>
        <w:rPr>
          <w:rFonts w:eastAsia="Times New Roman" w:cs="Times New Roman"/>
          <w:sz w:val="20"/>
          <w:szCs w:val="20"/>
          <w:lang w:eastAsia="en-CA"/>
        </w:rPr>
      </w:pPr>
    </w:p>
    <w:p w:rsidR="00817EFC" w:rsidRPr="00B31B79"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sz w:val="20"/>
          <w:szCs w:val="20"/>
          <w:lang w:eastAsia="en-CA"/>
        </w:rPr>
        <w:tab/>
      </w:r>
      <w:r w:rsidRPr="00B31B79">
        <w:rPr>
          <w:rFonts w:eastAsia="Times New Roman" w:cs="Times New Roman"/>
          <w:sz w:val="20"/>
          <w:szCs w:val="20"/>
          <w:lang w:val="fr-CA" w:eastAsia="en-CA"/>
        </w:rPr>
        <w:t>The motion is granted.</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b/>
          <w:bCs/>
          <w:sz w:val="20"/>
          <w:szCs w:val="20"/>
          <w:lang w:val="fr-CA" w:eastAsia="en-CA"/>
        </w:rPr>
      </w:pPr>
      <w:r w:rsidRPr="00817EFC">
        <w:rPr>
          <w:rFonts w:eastAsia="Times New Roman" w:cs="Times New Roman"/>
          <w:b/>
          <w:bCs/>
          <w:sz w:val="20"/>
          <w:szCs w:val="20"/>
          <w:lang w:val="fr-CA" w:eastAsia="en-CA"/>
        </w:rPr>
        <w:t xml:space="preserve">À LA SUITE DE LA DEMANDE </w:t>
      </w:r>
      <w:r w:rsidRPr="00817EFC">
        <w:rPr>
          <w:rFonts w:eastAsia="Times New Roman" w:cs="Times New Roman"/>
          <w:sz w:val="20"/>
          <w:szCs w:val="20"/>
          <w:lang w:val="fr-CA" w:eastAsia="en-CA"/>
        </w:rPr>
        <w:t>présentée par l’intimé pour obtenir la prorogation du délai pour déposer et signifier l’avis de taxation et le mémoire de frais au 12 février 2014;</w:t>
      </w:r>
    </w:p>
    <w:p w:rsidR="00817EFC" w:rsidRPr="00817EFC" w:rsidRDefault="00817EFC" w:rsidP="00817EFC">
      <w:pPr>
        <w:spacing w:line="233" w:lineRule="auto"/>
        <w:jc w:val="both"/>
        <w:rPr>
          <w:rFonts w:eastAsia="Times New Roman" w:cs="Times New Roman"/>
          <w:b/>
          <w:bCs/>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 xml:space="preserve">ET APRÈS EXAMEN </w:t>
      </w:r>
      <w:r w:rsidRPr="00817EFC">
        <w:rPr>
          <w:rFonts w:eastAsia="Times New Roman" w:cs="Times New Roman"/>
          <w:sz w:val="20"/>
          <w:szCs w:val="20"/>
          <w:lang w:val="fr-CA" w:eastAsia="en-CA"/>
        </w:rPr>
        <w:t xml:space="preserve">des documents déposés; </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 xml:space="preserve">IL EST ORDONNÉ CE QUI SUIT : </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sz w:val="20"/>
          <w:szCs w:val="20"/>
          <w:lang w:val="fr-CA" w:eastAsia="en-CA"/>
        </w:rPr>
        <w:tab/>
        <w:t>La requête est accueillie.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F27688" w:rsidP="00817EF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817EFC" w:rsidRPr="00817EFC" w:rsidRDefault="00817EFC" w:rsidP="00817EFC">
      <w:pPr>
        <w:rPr>
          <w:rFonts w:eastAsia="Times New Roman" w:cs="Times New Roman"/>
          <w:sz w:val="20"/>
          <w:szCs w:val="20"/>
          <w:lang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08.05.2014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THE CHIEF JUSTICE / LA JUGE EN CHEF</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17EFC" w:rsidRPr="00FA68AD" w:rsidTr="00817EFC">
        <w:tc>
          <w:tcPr>
            <w:tcW w:w="4338" w:type="dxa"/>
            <w:gridSpan w:val="2"/>
          </w:tcPr>
          <w:p w:rsidR="00817EFC" w:rsidRPr="00817EFC" w:rsidRDefault="00817EFC" w:rsidP="00817EFC">
            <w:pPr>
              <w:jc w:val="both"/>
              <w:rPr>
                <w:b/>
              </w:rPr>
            </w:pPr>
            <w:r w:rsidRPr="00817EFC">
              <w:rPr>
                <w:b/>
                <w:lang w:val="en-US"/>
              </w:rPr>
              <w:t xml:space="preserve">Order on interventions with respect to oral argument </w:t>
            </w:r>
            <w:r w:rsidR="003172C2" w:rsidRPr="00817EFC">
              <w:rPr>
                <w:b/>
                <w:lang w:val="en-US"/>
              </w:rPr>
              <w:fldChar w:fldCharType="begin"/>
            </w:r>
            <w:r w:rsidRPr="00817EFC">
              <w:rPr>
                <w:b/>
              </w:rPr>
              <w:instrText xml:space="preserve"> SEQ CHAPTER \h \r 1</w:instrText>
            </w:r>
            <w:r w:rsidR="003172C2" w:rsidRPr="00817EFC">
              <w:rPr>
                <w:b/>
                <w:lang w:val="en-US"/>
              </w:rPr>
              <w:fldChar w:fldCharType="end"/>
            </w:r>
          </w:p>
        </w:tc>
        <w:tc>
          <w:tcPr>
            <w:tcW w:w="1170" w:type="dxa"/>
          </w:tcPr>
          <w:p w:rsidR="00817EFC" w:rsidRPr="00817EFC" w:rsidRDefault="00817EFC" w:rsidP="00817EFC"/>
          <w:p w:rsidR="00817EFC" w:rsidRPr="00817EFC" w:rsidRDefault="00817EFC" w:rsidP="00817EFC"/>
          <w:p w:rsidR="00817EFC" w:rsidRPr="00817EFC" w:rsidRDefault="00817EFC" w:rsidP="00817EFC"/>
        </w:tc>
        <w:tc>
          <w:tcPr>
            <w:tcW w:w="4327" w:type="dxa"/>
          </w:tcPr>
          <w:p w:rsidR="00817EFC" w:rsidRPr="00817EFC" w:rsidRDefault="00817EFC" w:rsidP="00817EFC">
            <w:pPr>
              <w:jc w:val="both"/>
              <w:rPr>
                <w:b/>
                <w:lang w:val="fr-CA"/>
              </w:rPr>
            </w:pPr>
            <w:r w:rsidRPr="00817EFC">
              <w:rPr>
                <w:b/>
                <w:lang w:val="fr-CA"/>
              </w:rPr>
              <w:t>Ordonnance relative à la présentation d’une plaidoirie orale par les intervenants</w:t>
            </w:r>
            <w:r w:rsidR="003172C2" w:rsidRPr="00817EFC">
              <w:rPr>
                <w:b/>
                <w:lang w:val="en-US"/>
              </w:rPr>
              <w:fldChar w:fldCharType="begin"/>
            </w:r>
            <w:r w:rsidRPr="00817EFC">
              <w:rPr>
                <w:b/>
                <w:lang w:val="fr-CA"/>
              </w:rPr>
              <w:instrText xml:space="preserve"> SEQ CHAPTER \h \r 1</w:instrText>
            </w:r>
            <w:r w:rsidR="003172C2" w:rsidRPr="00817EFC">
              <w:rPr>
                <w:b/>
                <w:lang w:val="en-US"/>
              </w:rPr>
              <w:fldChar w:fldCharType="end"/>
            </w:r>
          </w:p>
        </w:tc>
      </w:tr>
      <w:tr w:rsidR="00817EFC" w:rsidRPr="00817EFC" w:rsidTr="00817EFC">
        <w:trPr>
          <w:trHeight w:hRule="exact" w:val="360"/>
        </w:trPr>
        <w:tc>
          <w:tcPr>
            <w:tcW w:w="1368" w:type="dxa"/>
          </w:tcPr>
          <w:p w:rsidR="00817EFC" w:rsidRPr="00817EFC" w:rsidRDefault="00817EFC" w:rsidP="00817EFC">
            <w:r w:rsidRPr="00817EFC">
              <w:t>RE:</w:t>
            </w:r>
          </w:p>
        </w:tc>
        <w:tc>
          <w:tcPr>
            <w:tcW w:w="2970" w:type="dxa"/>
          </w:tcPr>
          <w:p w:rsidR="00817EFC" w:rsidRPr="00817EFC" w:rsidRDefault="00817EFC" w:rsidP="00817EFC">
            <w:r w:rsidRPr="00817EFC">
              <w:rPr>
                <w:lang w:val="en-US"/>
              </w:rPr>
              <w:t>Saskatchewan Union of Nurses;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r w:rsidRPr="00817EFC">
              <w:rPr>
                <w:lang w:val="en-US"/>
              </w:rPr>
              <w:t>SEIU-West;</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United Nurses of Alberta;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Alberta Federation of Labour;</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r w:rsidRPr="00817EFC">
              <w:rPr>
                <w:lang w:val="en-US"/>
              </w:rPr>
              <w:t>Professional Institute of the Public Service of Canada;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r w:rsidRPr="00817EFC">
              <w:rPr>
                <w:lang w:val="en-US"/>
              </w:rPr>
              <w:t>Canadian Constitution Foundation;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Air Canada Pilots’ Association;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British Columbia Civil Liberties Association;</w:t>
            </w:r>
          </w:p>
        </w:tc>
        <w:tc>
          <w:tcPr>
            <w:tcW w:w="1170" w:type="dxa"/>
          </w:tcPr>
          <w:p w:rsidR="00817EFC" w:rsidRPr="00817EFC" w:rsidRDefault="00817EFC" w:rsidP="00817EFC"/>
        </w:tc>
        <w:tc>
          <w:tcPr>
            <w:tcW w:w="4327" w:type="dxa"/>
          </w:tcPr>
          <w:p w:rsidR="00817EFC" w:rsidRPr="00817EFC" w:rsidRDefault="00817EFC" w:rsidP="00817EFC"/>
        </w:tc>
      </w:tr>
      <w:tr w:rsidR="00817EFC" w:rsidRPr="00FA68AD"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pPr>
              <w:rPr>
                <w:lang w:val="fr-CA"/>
              </w:rPr>
            </w:pPr>
            <w:r w:rsidRPr="00817EFC">
              <w:rPr>
                <w:lang w:val="fr-CA"/>
              </w:rPr>
              <w:t>Conseil du patronat du Québec;</w:t>
            </w:r>
          </w:p>
        </w:tc>
        <w:tc>
          <w:tcPr>
            <w:tcW w:w="1170" w:type="dxa"/>
          </w:tcPr>
          <w:p w:rsidR="00817EFC" w:rsidRPr="00817EFC" w:rsidRDefault="00817EFC" w:rsidP="00817EFC">
            <w:pPr>
              <w:rPr>
                <w:lang w:val="fr-CA"/>
              </w:rPr>
            </w:pPr>
          </w:p>
        </w:tc>
        <w:tc>
          <w:tcPr>
            <w:tcW w:w="4327" w:type="dxa"/>
          </w:tcPr>
          <w:p w:rsidR="00817EFC" w:rsidRPr="00817EFC" w:rsidRDefault="00817EFC" w:rsidP="00817EFC">
            <w:pPr>
              <w:rPr>
                <w:lang w:val="fr-CA"/>
              </w:rPr>
            </w:pPr>
          </w:p>
        </w:tc>
      </w:tr>
      <w:tr w:rsidR="00817EFC" w:rsidRPr="00817EFC" w:rsidTr="00817EFC">
        <w:trPr>
          <w:trHeight w:hRule="exact" w:val="360"/>
        </w:trPr>
        <w:tc>
          <w:tcPr>
            <w:tcW w:w="1368" w:type="dxa"/>
          </w:tcPr>
          <w:p w:rsidR="00817EFC" w:rsidRPr="00817EFC" w:rsidRDefault="00817EFC" w:rsidP="00817EFC">
            <w:pPr>
              <w:rPr>
                <w:lang w:val="fr-CA"/>
              </w:rPr>
            </w:pPr>
          </w:p>
        </w:tc>
        <w:tc>
          <w:tcPr>
            <w:tcW w:w="2970" w:type="dxa"/>
          </w:tcPr>
          <w:p w:rsidR="00817EFC" w:rsidRPr="00817EFC" w:rsidRDefault="00817EFC" w:rsidP="00817EFC">
            <w:pPr>
              <w:rPr>
                <w:lang w:val="fr-CA"/>
              </w:rPr>
            </w:pPr>
            <w:r w:rsidRPr="00817EFC">
              <w:rPr>
                <w:lang w:val="en-US"/>
              </w:rPr>
              <w:t>Canadian Employers Council;</w:t>
            </w:r>
          </w:p>
        </w:tc>
        <w:tc>
          <w:tcPr>
            <w:tcW w:w="1170" w:type="dxa"/>
          </w:tcPr>
          <w:p w:rsidR="00817EFC" w:rsidRPr="00817EFC" w:rsidRDefault="00817EFC" w:rsidP="00817EFC">
            <w:pPr>
              <w:rPr>
                <w:lang w:val="fr-CA"/>
              </w:rPr>
            </w:pPr>
          </w:p>
        </w:tc>
        <w:tc>
          <w:tcPr>
            <w:tcW w:w="4327" w:type="dxa"/>
          </w:tcPr>
          <w:p w:rsidR="00817EFC" w:rsidRPr="00817EFC" w:rsidRDefault="00817EFC" w:rsidP="00817EFC">
            <w:pPr>
              <w:rPr>
                <w:lang w:val="fr-CA"/>
              </w:rPr>
            </w:pPr>
          </w:p>
        </w:tc>
      </w:tr>
      <w:tr w:rsidR="00817EFC" w:rsidRPr="00817EFC" w:rsidTr="00817EFC">
        <w:trPr>
          <w:trHeight w:hRule="exact" w:val="1037"/>
        </w:trPr>
        <w:tc>
          <w:tcPr>
            <w:tcW w:w="1368" w:type="dxa"/>
          </w:tcPr>
          <w:p w:rsidR="00817EFC" w:rsidRPr="00817EFC" w:rsidRDefault="00817EFC" w:rsidP="00817EFC">
            <w:pPr>
              <w:rPr>
                <w:lang w:val="fr-CA"/>
              </w:rPr>
            </w:pPr>
          </w:p>
        </w:tc>
        <w:tc>
          <w:tcPr>
            <w:tcW w:w="2970" w:type="dxa"/>
          </w:tcPr>
          <w:p w:rsidR="00817EFC" w:rsidRPr="00817EFC" w:rsidRDefault="00817EFC" w:rsidP="00817EFC">
            <w:r w:rsidRPr="00817EFC">
              <w:rPr>
                <w:lang w:val="en-US"/>
              </w:rPr>
              <w:t>Canadian Union of Postal Workers and the International Association of Machinists and Aerospace Workers;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835"/>
        </w:trPr>
        <w:tc>
          <w:tcPr>
            <w:tcW w:w="1368" w:type="dxa"/>
          </w:tcPr>
          <w:p w:rsidR="00817EFC" w:rsidRPr="00817EFC" w:rsidRDefault="00817EFC" w:rsidP="00817EFC"/>
        </w:tc>
        <w:tc>
          <w:tcPr>
            <w:tcW w:w="2970" w:type="dxa"/>
          </w:tcPr>
          <w:p w:rsidR="00817EFC" w:rsidRPr="00817EFC" w:rsidRDefault="00817EFC" w:rsidP="00817EFC">
            <w:r w:rsidRPr="00817EFC">
              <w:rPr>
                <w:lang w:val="en-US"/>
              </w:rPr>
              <w:t>British Columbia Teachers’ Federation and Hospital Employees’ Unions;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368" w:type="dxa"/>
          </w:tcPr>
          <w:p w:rsidR="00817EFC" w:rsidRPr="00817EFC" w:rsidRDefault="00817EFC" w:rsidP="00817EFC"/>
        </w:tc>
        <w:tc>
          <w:tcPr>
            <w:tcW w:w="2970" w:type="dxa"/>
          </w:tcPr>
          <w:p w:rsidR="00817EFC" w:rsidRPr="00817EFC" w:rsidRDefault="00817EFC" w:rsidP="00817EFC">
            <w:r w:rsidRPr="00817EFC">
              <w:rPr>
                <w:lang w:val="en-US"/>
              </w:rPr>
              <w:t>Canadian Labour Congress;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Public Service Alliance of Canada;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Alberta Union of Provincial Employees;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Confédération des syndicats nationaux;</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pPr>
              <w:rPr>
                <w:lang w:val="en-US"/>
              </w:rPr>
            </w:pPr>
            <w:r w:rsidRPr="00817EFC">
              <w:rPr>
                <w:lang w:val="en-US"/>
              </w:rPr>
              <w:t>Regina Qu’Appelle Regional Health Authority;</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2232"/>
        </w:trPr>
        <w:tc>
          <w:tcPr>
            <w:tcW w:w="1368" w:type="dxa"/>
          </w:tcPr>
          <w:p w:rsidR="00817EFC" w:rsidRPr="00817EFC" w:rsidRDefault="00817EFC" w:rsidP="00817EFC"/>
        </w:tc>
        <w:tc>
          <w:tcPr>
            <w:tcW w:w="2970" w:type="dxa"/>
          </w:tcPr>
          <w:p w:rsidR="00817EFC" w:rsidRPr="00817EFC" w:rsidRDefault="00817EFC" w:rsidP="00817EFC">
            <w:r w:rsidRPr="00817EFC">
              <w:rPr>
                <w:lang w:val="en-US"/>
              </w:rPr>
              <w:t>Cypress Regional Health Authority, the Five Hills Regional Health Authority, the Heartland Regional Health Authority, the Sunrise Regional Health Authority, the Prince Albert Parkland Regional Health Authority and the Saskatoon Regional Health Authority;</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r w:rsidRPr="00817EFC">
              <w:rPr>
                <w:lang w:val="en-US"/>
              </w:rPr>
              <w:t>National Union of Public and General Employees;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368" w:type="dxa"/>
          </w:tcPr>
          <w:p w:rsidR="00817EFC" w:rsidRPr="00817EFC" w:rsidRDefault="00817EFC" w:rsidP="00817EFC"/>
        </w:tc>
        <w:tc>
          <w:tcPr>
            <w:tcW w:w="2970" w:type="dxa"/>
          </w:tcPr>
          <w:p w:rsidR="00817EFC" w:rsidRPr="00817EFC" w:rsidRDefault="00817EFC" w:rsidP="00817EFC">
            <w:r w:rsidRPr="00817EFC">
              <w:rPr>
                <w:lang w:val="en-US"/>
              </w:rPr>
              <w:t>Canada Post Corporation and Air Canada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368" w:type="dxa"/>
          </w:tcPr>
          <w:p w:rsidR="00817EFC" w:rsidRPr="00817EFC" w:rsidRDefault="00817EFC" w:rsidP="00817EFC"/>
        </w:tc>
        <w:tc>
          <w:tcPr>
            <w:tcW w:w="2970" w:type="dxa"/>
          </w:tcPr>
          <w:p w:rsidR="00817EFC" w:rsidRPr="00817EFC" w:rsidRDefault="00817EFC" w:rsidP="00817EFC"/>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368" w:type="dxa"/>
          </w:tcPr>
          <w:p w:rsidR="00817EFC" w:rsidRPr="00817EFC" w:rsidRDefault="00817EFC" w:rsidP="00817EFC">
            <w:r w:rsidRPr="00817EFC">
              <w:t>IN / DANS :</w:t>
            </w:r>
          </w:p>
        </w:tc>
        <w:tc>
          <w:tcPr>
            <w:tcW w:w="2970" w:type="dxa"/>
          </w:tcPr>
          <w:p w:rsidR="00817EFC" w:rsidRPr="00817EFC" w:rsidRDefault="00817EFC" w:rsidP="00817EFC">
            <w:r w:rsidRPr="00817EFC">
              <w:t>Saskatchewan Federation of Labour (in its own right and on behalf of the unions and workers in the Province of Saskatchewan) et al.</w:t>
            </w:r>
          </w:p>
          <w:p w:rsidR="00817EFC" w:rsidRPr="00817EFC" w:rsidRDefault="00817EFC" w:rsidP="00817EFC"/>
          <w:p w:rsidR="00817EFC" w:rsidRPr="00817EFC" w:rsidRDefault="00817EFC" w:rsidP="00817EFC">
            <w:r w:rsidRPr="00817EFC">
              <w:tab/>
              <w:t>v. (35423)</w:t>
            </w:r>
          </w:p>
          <w:p w:rsidR="00817EFC" w:rsidRPr="00817EFC" w:rsidRDefault="00817EFC" w:rsidP="00817EFC"/>
          <w:p w:rsidR="00817EFC" w:rsidRPr="00817EFC" w:rsidRDefault="00817EFC" w:rsidP="00817EFC">
            <w:r w:rsidRPr="00817EFC">
              <w:t>Her Majesty the Queen, in Right of the Province of Saskatchewan (Sask.)</w:t>
            </w:r>
          </w:p>
        </w:tc>
        <w:tc>
          <w:tcPr>
            <w:tcW w:w="1170" w:type="dxa"/>
          </w:tcPr>
          <w:p w:rsidR="00817EFC" w:rsidRPr="00817EFC" w:rsidRDefault="00817EFC" w:rsidP="00817EFC"/>
        </w:tc>
        <w:tc>
          <w:tcPr>
            <w:tcW w:w="4327" w:type="dxa"/>
          </w:tcPr>
          <w:p w:rsidR="00817EFC" w:rsidRPr="00817EFC" w:rsidRDefault="00817EFC" w:rsidP="00817EFC"/>
        </w:tc>
      </w:tr>
    </w:tbl>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sz w:val="20"/>
          <w:szCs w:val="20"/>
          <w:lang w:val="en-US" w:eastAsia="en-CA"/>
        </w:rPr>
        <w:t>FURTHER TO THE ORDER</w:t>
      </w:r>
      <w:r w:rsidRPr="00817EFC">
        <w:rPr>
          <w:rFonts w:eastAsia="Times New Roman" w:cs="Times New Roman"/>
          <w:sz w:val="20"/>
          <w:szCs w:val="20"/>
          <w:lang w:val="en-US" w:eastAsia="en-CA"/>
        </w:rPr>
        <w:t xml:space="preserve"> dated February 11, 2014, deferring the request of the appellants for both the appellants and respondent to present oral argument not exceeding 90 minutes at the hearing of the appeal;</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sz w:val="20"/>
          <w:szCs w:val="20"/>
          <w:lang w:val="en-US" w:eastAsia="en-CA"/>
        </w:rPr>
        <w:t>AND FURTHER TO THE ORDERS</w:t>
      </w:r>
      <w:r w:rsidRPr="00817EFC">
        <w:rPr>
          <w:rFonts w:eastAsia="Times New Roman" w:cs="Times New Roman"/>
          <w:sz w:val="20"/>
          <w:szCs w:val="20"/>
          <w:lang w:val="en-US" w:eastAsia="en-CA"/>
        </w:rPr>
        <w:t xml:space="preserve"> dated April 8, 2014 and April 9, 2014, granting leave to intervene to the Saskatchewan Union of Nurses, the SEIU-West, the United Nurses of Alberta and the Alberta Federation of Labour, the Professional Institute of the Public Service of Canada, the Canadian Constitution Foundation, the Air Canada Pilots’ Association, the British Columbia Civil Liberties Association, the Conseil du patronat du Québec, the Canadian Employers Council, the Canadian Union of Postal Workers and the International Association of Machinists and Aerospace Workers, the British Columbia Teachers’ Federation and Hospital Employees’ Unions, the Canadian Labour Congress, the Public Service Alliance of Canada, the Alberta Union of Provincial Employees, the Confédération des syndicats nationaux,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the National Union of Public and General Employees, the Canada Post Corporation and Air Canada;</w:t>
      </w:r>
    </w:p>
    <w:p w:rsidR="00817EFC" w:rsidRPr="00817EFC" w:rsidRDefault="00817EFC" w:rsidP="00817EFC">
      <w:pPr>
        <w:spacing w:line="233" w:lineRule="auto"/>
        <w:rPr>
          <w:rFonts w:eastAsia="Times New Roman" w:cs="Times New Roman"/>
          <w:sz w:val="20"/>
          <w:szCs w:val="20"/>
          <w:lang w:val="en-US" w:eastAsia="en-CA"/>
        </w:rPr>
      </w:pPr>
    </w:p>
    <w:p w:rsidR="00817EFC" w:rsidRPr="00817EFC" w:rsidRDefault="00817EFC" w:rsidP="00817EFC">
      <w:pPr>
        <w:spacing w:line="230" w:lineRule="auto"/>
        <w:rPr>
          <w:rFonts w:eastAsia="Times New Roman" w:cs="Times New Roman"/>
          <w:b/>
          <w:bCs/>
          <w:sz w:val="20"/>
          <w:szCs w:val="20"/>
          <w:lang w:val="en-US" w:eastAsia="en-CA"/>
        </w:rPr>
      </w:pPr>
      <w:r w:rsidRPr="00817EFC">
        <w:rPr>
          <w:rFonts w:eastAsia="Times New Roman" w:cs="Times New Roman"/>
          <w:b/>
          <w:bCs/>
          <w:sz w:val="20"/>
          <w:szCs w:val="20"/>
          <w:lang w:val="en-US" w:eastAsia="en-CA"/>
        </w:rPr>
        <w:t xml:space="preserve">IT IS HEREBY FURTHER ORDERED THAT: </w:t>
      </w:r>
    </w:p>
    <w:p w:rsidR="00817EFC" w:rsidRPr="00817EFC" w:rsidRDefault="00817EFC" w:rsidP="00817EFC">
      <w:pPr>
        <w:spacing w:line="230" w:lineRule="auto"/>
        <w:rPr>
          <w:rFonts w:eastAsia="Times New Roman" w:cs="Times New Roman"/>
          <w:sz w:val="20"/>
          <w:szCs w:val="20"/>
          <w:lang w:val="en-US" w:eastAsia="en-CA"/>
        </w:rPr>
      </w:pPr>
    </w:p>
    <w:p w:rsidR="00817EFC" w:rsidRPr="00817EFC" w:rsidRDefault="00817EFC" w:rsidP="00817EFC">
      <w:pPr>
        <w:widowControl w:val="0"/>
        <w:numPr>
          <w:ilvl w:val="0"/>
          <w:numId w:val="12"/>
        </w:numPr>
        <w:autoSpaceDE w:val="0"/>
        <w:autoSpaceDN w:val="0"/>
        <w:adjustRightInd w:val="0"/>
        <w:spacing w:line="230" w:lineRule="auto"/>
        <w:contextualSpacing/>
        <w:jc w:val="both"/>
        <w:rPr>
          <w:rFonts w:cs="Times New Roman"/>
          <w:sz w:val="20"/>
          <w:szCs w:val="20"/>
        </w:rPr>
      </w:pPr>
      <w:r w:rsidRPr="00817EFC">
        <w:rPr>
          <w:rFonts w:cs="Times New Roman"/>
          <w:sz w:val="20"/>
          <w:szCs w:val="20"/>
        </w:rPr>
        <w:lastRenderedPageBreak/>
        <w:t xml:space="preserve">The request of the appellants for both the appellants and respondent to present oral argument not exceeding 90 minutes at the hearing of the appeal is denied. </w:t>
      </w:r>
    </w:p>
    <w:p w:rsidR="00817EFC" w:rsidRPr="00817EFC" w:rsidRDefault="00817EFC" w:rsidP="00817EFC">
      <w:pPr>
        <w:spacing w:line="230" w:lineRule="auto"/>
        <w:ind w:left="720"/>
        <w:contextualSpacing/>
        <w:rPr>
          <w:rFonts w:cs="Times New Roman"/>
          <w:sz w:val="20"/>
          <w:szCs w:val="20"/>
        </w:rPr>
      </w:pPr>
    </w:p>
    <w:p w:rsidR="00817EFC" w:rsidRPr="00817EFC" w:rsidRDefault="00817EFC" w:rsidP="00817EFC">
      <w:pPr>
        <w:widowControl w:val="0"/>
        <w:numPr>
          <w:ilvl w:val="0"/>
          <w:numId w:val="12"/>
        </w:numPr>
        <w:autoSpaceDE w:val="0"/>
        <w:autoSpaceDN w:val="0"/>
        <w:adjustRightInd w:val="0"/>
        <w:spacing w:line="230" w:lineRule="auto"/>
        <w:contextualSpacing/>
        <w:jc w:val="both"/>
        <w:rPr>
          <w:rFonts w:cs="Times New Roman"/>
          <w:sz w:val="20"/>
          <w:szCs w:val="20"/>
        </w:rPr>
      </w:pPr>
      <w:r w:rsidRPr="00817EFC">
        <w:rPr>
          <w:rFonts w:cs="Times New Roman"/>
          <w:sz w:val="20"/>
          <w:szCs w:val="20"/>
        </w:rPr>
        <w:t>The appellants are permitted to present a reply of 15 minutes at the hearing of the appeal, in addition to 60 minutes for oral argument.</w:t>
      </w:r>
    </w:p>
    <w:p w:rsidR="00817EFC" w:rsidRPr="00817EFC" w:rsidRDefault="00817EFC" w:rsidP="00817EFC">
      <w:pPr>
        <w:ind w:left="720"/>
        <w:contextualSpacing/>
        <w:rPr>
          <w:rFonts w:cs="Times New Roman"/>
          <w:sz w:val="20"/>
          <w:szCs w:val="20"/>
        </w:rPr>
      </w:pPr>
    </w:p>
    <w:p w:rsidR="00817EFC" w:rsidRPr="00817EFC" w:rsidRDefault="00817EFC" w:rsidP="00817EFC">
      <w:pPr>
        <w:widowControl w:val="0"/>
        <w:numPr>
          <w:ilvl w:val="0"/>
          <w:numId w:val="12"/>
        </w:numPr>
        <w:autoSpaceDE w:val="0"/>
        <w:autoSpaceDN w:val="0"/>
        <w:adjustRightInd w:val="0"/>
        <w:spacing w:line="230" w:lineRule="auto"/>
        <w:contextualSpacing/>
        <w:jc w:val="both"/>
        <w:rPr>
          <w:rFonts w:cs="Times New Roman"/>
          <w:sz w:val="20"/>
          <w:szCs w:val="20"/>
        </w:rPr>
      </w:pPr>
      <w:r w:rsidRPr="00817EFC">
        <w:rPr>
          <w:rFonts w:cs="Times New Roman"/>
          <w:sz w:val="20"/>
          <w:szCs w:val="20"/>
        </w:rPr>
        <w:t>The Saskatchewan Union of Nurses, the British Columbia Civil Liberties Association, Canadian Union of Postal Workers and the International Association of Machinists and Aerospace Workers, the Public Service Alliance of Canada, the Alberta Union of Provincial Employees, the British Columbia Teachers’ Federation and Hospital Employees’ Unions, the Confédération des syndicats nationaux, the National Union of Public and General Employees, the Canadian Constitution Foundation, the Canadian Employers Council,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are each granted permission to present oral argument not exceeding 10 minutes at the hearing of the appeal.</w:t>
      </w:r>
    </w:p>
    <w:p w:rsidR="00817EFC" w:rsidRPr="00817EFC" w:rsidRDefault="00817EFC" w:rsidP="00817EFC">
      <w:pPr>
        <w:ind w:left="720"/>
        <w:contextualSpacing/>
        <w:rPr>
          <w:rFonts w:cs="Times New Roman"/>
          <w:sz w:val="20"/>
          <w:szCs w:val="20"/>
        </w:rPr>
      </w:pPr>
    </w:p>
    <w:p w:rsidR="00817EFC" w:rsidRPr="00817EFC" w:rsidRDefault="00817EFC" w:rsidP="00817EFC">
      <w:pPr>
        <w:widowControl w:val="0"/>
        <w:numPr>
          <w:ilvl w:val="0"/>
          <w:numId w:val="12"/>
        </w:numPr>
        <w:autoSpaceDE w:val="0"/>
        <w:autoSpaceDN w:val="0"/>
        <w:adjustRightInd w:val="0"/>
        <w:spacing w:line="230" w:lineRule="auto"/>
        <w:contextualSpacing/>
        <w:jc w:val="both"/>
        <w:rPr>
          <w:rFonts w:cs="Times New Roman"/>
          <w:sz w:val="20"/>
          <w:szCs w:val="20"/>
        </w:rPr>
      </w:pPr>
      <w:r w:rsidRPr="00817EFC">
        <w:rPr>
          <w:rFonts w:cs="Times New Roman"/>
          <w:sz w:val="20"/>
          <w:szCs w:val="20"/>
        </w:rPr>
        <w:t>The factums of the SEIU-West, the United Nurses of Alberta and the Alberta Federation of Labour, the Professional Institute of the Public Service of Canada, the Air Canada Pilots’ Association, the Canadian Labour Congress, the Conseil du patronat du Québec, the Canada Post Corporation and Air Canada will be considered without the need for oral argument.</w:t>
      </w:r>
    </w:p>
    <w:p w:rsidR="00817EFC" w:rsidRPr="00817EFC" w:rsidRDefault="00817EFC" w:rsidP="00817EFC">
      <w:pPr>
        <w:ind w:left="720"/>
        <w:contextualSpacing/>
        <w:rPr>
          <w:rFonts w:cs="Times New Roman"/>
          <w:sz w:val="20"/>
          <w:szCs w:val="20"/>
        </w:rPr>
      </w:pPr>
    </w:p>
    <w:p w:rsidR="00817EFC" w:rsidRPr="00817EFC" w:rsidRDefault="00817EFC" w:rsidP="00817EFC">
      <w:pPr>
        <w:widowControl w:val="0"/>
        <w:numPr>
          <w:ilvl w:val="0"/>
          <w:numId w:val="12"/>
        </w:numPr>
        <w:autoSpaceDE w:val="0"/>
        <w:autoSpaceDN w:val="0"/>
        <w:adjustRightInd w:val="0"/>
        <w:spacing w:line="230" w:lineRule="auto"/>
        <w:contextualSpacing/>
        <w:jc w:val="both"/>
        <w:rPr>
          <w:rFonts w:cs="Times New Roman"/>
          <w:sz w:val="20"/>
          <w:szCs w:val="20"/>
        </w:rPr>
      </w:pPr>
      <w:r w:rsidRPr="00817EFC">
        <w:rPr>
          <w:rFonts w:cs="Times New Roman"/>
          <w:sz w:val="20"/>
          <w:szCs w:val="20"/>
        </w:rPr>
        <w:t>All the interveners shall take the necessary steps to avoid duplicative submissions at the hearing.</w:t>
      </w:r>
    </w:p>
    <w:p w:rsidR="00817EFC" w:rsidRPr="00817EFC" w:rsidRDefault="00817EFC" w:rsidP="00817EFC">
      <w:pPr>
        <w:ind w:left="720"/>
        <w:contextualSpacing/>
        <w:rPr>
          <w:rFonts w:cs="Times New Roman"/>
          <w:sz w:val="20"/>
          <w:szCs w:val="20"/>
        </w:rPr>
      </w:pPr>
    </w:p>
    <w:p w:rsidR="00817EFC" w:rsidRPr="00817EFC" w:rsidRDefault="00817EFC" w:rsidP="00817EFC">
      <w:pPr>
        <w:spacing w:line="230" w:lineRule="auto"/>
        <w:ind w:left="720"/>
        <w:contextualSpacing/>
        <w:rPr>
          <w:rFonts w:cs="Times New Roman"/>
          <w:sz w:val="20"/>
          <w:szCs w:val="20"/>
        </w:rPr>
      </w:pPr>
    </w:p>
    <w:p w:rsidR="00817EFC" w:rsidRPr="00817EFC" w:rsidRDefault="00817EFC" w:rsidP="00817EFC">
      <w:pPr>
        <w:spacing w:line="230" w:lineRule="auto"/>
        <w:rPr>
          <w:rFonts w:eastAsia="Times New Roman" w:cs="Times New Roman"/>
          <w:sz w:val="20"/>
          <w:szCs w:val="20"/>
          <w:lang w:val="en-US" w:eastAsia="en-CA"/>
        </w:rPr>
      </w:pPr>
    </w:p>
    <w:p w:rsidR="00817EFC" w:rsidRPr="00817EFC" w:rsidRDefault="00817EFC" w:rsidP="00817EFC">
      <w:pPr>
        <w:spacing w:line="230"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À LA SUITE DE L’ORDONNANCE</w:t>
      </w:r>
      <w:r w:rsidRPr="00817EFC">
        <w:rPr>
          <w:rFonts w:eastAsia="Times New Roman" w:cs="Times New Roman"/>
          <w:sz w:val="20"/>
          <w:szCs w:val="20"/>
          <w:lang w:val="fr-CA" w:eastAsia="en-CA"/>
        </w:rPr>
        <w:t>, datée du 11 février 2014, renvoyant à une date ultérieure la demande des appelants pour que ceux-ci et l’intimée soient autorisés à présenter des plaidoiries orales d’au plus 90 minutes lors de l’audition de l’appel;</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FR" w:eastAsia="en-CA"/>
        </w:rPr>
      </w:pPr>
      <w:r w:rsidRPr="00817EFC">
        <w:rPr>
          <w:rFonts w:eastAsia="Times New Roman" w:cs="Times New Roman"/>
          <w:b/>
          <w:sz w:val="20"/>
          <w:szCs w:val="20"/>
          <w:lang w:val="fr-CA" w:eastAsia="en-CA"/>
        </w:rPr>
        <w:t>ET À LA SUITE DES ORDONNANCES</w:t>
      </w:r>
      <w:r w:rsidRPr="00817EFC">
        <w:rPr>
          <w:rFonts w:eastAsia="Times New Roman" w:cs="Times New Roman"/>
          <w:sz w:val="20"/>
          <w:szCs w:val="20"/>
          <w:lang w:val="fr-CA" w:eastAsia="en-CA"/>
        </w:rPr>
        <w:t xml:space="preserve">, datées des </w:t>
      </w:r>
      <w:r w:rsidRPr="00817EFC">
        <w:rPr>
          <w:rFonts w:eastAsia="Times New Roman" w:cs="Times New Roman"/>
          <w:sz w:val="20"/>
          <w:szCs w:val="20"/>
          <w:lang w:val="fr-FR" w:eastAsia="en-CA"/>
        </w:rPr>
        <w:t xml:space="preserve">8 et 9 avril 2014, accordant l’autorisation d’intervenir à le </w:t>
      </w:r>
      <w:r w:rsidRPr="00817EFC">
        <w:rPr>
          <w:rFonts w:eastAsia="Times New Roman" w:cs="Times New Roman"/>
          <w:sz w:val="20"/>
          <w:szCs w:val="20"/>
          <w:lang w:val="fr-CA" w:eastAsia="en-CA"/>
        </w:rPr>
        <w:t>Saskatchewan Union of Nurses, le SEIU-West, la United Nurses of Alberta et l’Alberta Federation of Labour, l’Institut professionnel de la fonction publique du Canada, la Canadian Constitution Foundation, l’Association des pilotes d’Air Canada, la British Columbia Civil Liberties Association, le Conseil du patronat du Québec, le Conseil canadien des employeurs, le Syndicat des travailleurs et travailleuses des postes et l’Association internationale des machinistes et des travailleurs et travailleuses de l’aérospatiale, les British Columbia Teachers’ Federation et Hospital Employees’ Unions, le Congrès du travail du Canada, l’Alliance de la Fonction publique du Canada, l’Alberta Union of Provincial Employees, la Confédération des syndicats nationaux, les Regina Qu’Appelle Regional Health Authority, Cypress Regional Health Authority, Five Hills Regional Health Authority, Heartland Regional Health Authority, Sunrise Regional Health Authority, Prince Albert Parkland Regional Health Authority et Saskatoon Regional Health Authority, le National Union of Public and General Employees, la Société canadienne des postes et Air Canada</w:t>
      </w:r>
      <w:r w:rsidRPr="00817EFC">
        <w:rPr>
          <w:rFonts w:eastAsia="Times New Roman" w:cs="Times New Roman"/>
          <w:sz w:val="20"/>
          <w:szCs w:val="20"/>
          <w:lang w:val="fr-FR" w:eastAsia="en-CA"/>
        </w:rPr>
        <w:t>;</w:t>
      </w:r>
    </w:p>
    <w:p w:rsidR="00817EFC" w:rsidRPr="00817EFC" w:rsidRDefault="00817EFC" w:rsidP="00817EFC">
      <w:pPr>
        <w:spacing w:line="233" w:lineRule="auto"/>
        <w:jc w:val="both"/>
        <w:rPr>
          <w:rFonts w:eastAsia="Times New Roman" w:cs="Times New Roman"/>
          <w:sz w:val="20"/>
          <w:szCs w:val="20"/>
          <w:lang w:val="fr-FR" w:eastAsia="en-CA"/>
        </w:rPr>
      </w:pPr>
    </w:p>
    <w:p w:rsidR="00817EFC" w:rsidRPr="00817EFC" w:rsidRDefault="00817EFC" w:rsidP="00817EFC">
      <w:pPr>
        <w:spacing w:line="230" w:lineRule="auto"/>
        <w:ind w:left="-23"/>
        <w:rPr>
          <w:rFonts w:eastAsia="Times New Roman" w:cs="Times New Roman"/>
          <w:b/>
          <w:bCs/>
          <w:sz w:val="20"/>
          <w:szCs w:val="20"/>
          <w:lang w:val="fr-CA" w:eastAsia="en-CA"/>
        </w:rPr>
      </w:pPr>
      <w:r w:rsidRPr="00817EFC">
        <w:rPr>
          <w:rFonts w:eastAsia="Times New Roman" w:cs="Times New Roman"/>
          <w:b/>
          <w:bCs/>
          <w:sz w:val="20"/>
          <w:szCs w:val="20"/>
          <w:lang w:val="fr-CA" w:eastAsia="en-CA"/>
        </w:rPr>
        <w:t xml:space="preserve">IL EST ORDONNÉ CE QUI SUIT : </w:t>
      </w:r>
    </w:p>
    <w:p w:rsidR="00817EFC" w:rsidRPr="00817EFC" w:rsidRDefault="00817EFC" w:rsidP="00817EFC">
      <w:pPr>
        <w:spacing w:line="230" w:lineRule="auto"/>
        <w:rPr>
          <w:rFonts w:eastAsia="Times New Roman" w:cs="Times New Roman"/>
          <w:bCs/>
          <w:sz w:val="20"/>
          <w:szCs w:val="20"/>
          <w:lang w:val="fr-CA" w:eastAsia="en-CA"/>
        </w:rPr>
      </w:pPr>
    </w:p>
    <w:p w:rsidR="00817EFC" w:rsidRPr="00817EFC" w:rsidRDefault="00817EFC" w:rsidP="00817EFC">
      <w:pPr>
        <w:widowControl w:val="0"/>
        <w:numPr>
          <w:ilvl w:val="0"/>
          <w:numId w:val="13"/>
        </w:numPr>
        <w:autoSpaceDE w:val="0"/>
        <w:autoSpaceDN w:val="0"/>
        <w:adjustRightInd w:val="0"/>
        <w:spacing w:line="230" w:lineRule="auto"/>
        <w:contextualSpacing/>
        <w:jc w:val="both"/>
        <w:rPr>
          <w:rFonts w:cs="Times New Roman"/>
          <w:bCs/>
          <w:sz w:val="20"/>
          <w:szCs w:val="20"/>
          <w:lang w:val="fr-CA"/>
        </w:rPr>
      </w:pPr>
      <w:r w:rsidRPr="00817EFC">
        <w:rPr>
          <w:rFonts w:cs="Times New Roman"/>
          <w:sz w:val="20"/>
          <w:szCs w:val="20"/>
          <w:lang w:val="fr-CA"/>
        </w:rPr>
        <w:t>La demande des appelants pour que ceux-ci et l’intimée soient autorisés à présenter des plaidoiries orales d’au plus 90 minutes lors de l’audition de l’appel est rejetée.</w:t>
      </w:r>
    </w:p>
    <w:p w:rsidR="00817EFC" w:rsidRPr="00817EFC" w:rsidRDefault="00817EFC" w:rsidP="00817EFC">
      <w:pPr>
        <w:spacing w:line="230" w:lineRule="auto"/>
        <w:ind w:left="720"/>
        <w:contextualSpacing/>
        <w:rPr>
          <w:rFonts w:cs="Times New Roman"/>
          <w:bCs/>
          <w:sz w:val="20"/>
          <w:szCs w:val="20"/>
          <w:lang w:val="fr-CA"/>
        </w:rPr>
      </w:pPr>
    </w:p>
    <w:p w:rsidR="00817EFC" w:rsidRPr="00817EFC" w:rsidRDefault="00817EFC" w:rsidP="00817EFC">
      <w:pPr>
        <w:widowControl w:val="0"/>
        <w:numPr>
          <w:ilvl w:val="0"/>
          <w:numId w:val="13"/>
        </w:numPr>
        <w:autoSpaceDE w:val="0"/>
        <w:autoSpaceDN w:val="0"/>
        <w:adjustRightInd w:val="0"/>
        <w:spacing w:line="230" w:lineRule="auto"/>
        <w:contextualSpacing/>
        <w:jc w:val="both"/>
        <w:rPr>
          <w:rFonts w:cs="Times New Roman"/>
          <w:bCs/>
          <w:sz w:val="20"/>
          <w:szCs w:val="20"/>
          <w:lang w:val="fr-CA"/>
        </w:rPr>
      </w:pPr>
      <w:r w:rsidRPr="00817EFC">
        <w:rPr>
          <w:rFonts w:cs="Times New Roman"/>
          <w:sz w:val="20"/>
          <w:szCs w:val="20"/>
          <w:lang w:val="fr-CA"/>
        </w:rPr>
        <w:t>Les appelants pourront présenter une plaidoirie orale en réplique d’au plus 15 minutes lors de l’audition de l’appel, en plus des 60 minutes dont ils disposent pour leur plaidoirie orale principale.</w:t>
      </w:r>
    </w:p>
    <w:p w:rsidR="00817EFC" w:rsidRPr="00817EFC" w:rsidRDefault="00817EFC" w:rsidP="00817EFC">
      <w:pPr>
        <w:ind w:left="720"/>
        <w:contextualSpacing/>
        <w:rPr>
          <w:rFonts w:cs="Times New Roman"/>
          <w:bCs/>
          <w:sz w:val="20"/>
          <w:szCs w:val="20"/>
          <w:lang w:val="fr-CA"/>
        </w:rPr>
      </w:pPr>
    </w:p>
    <w:p w:rsidR="00817EFC" w:rsidRPr="00817EFC" w:rsidRDefault="00817EFC" w:rsidP="00817EFC">
      <w:pPr>
        <w:widowControl w:val="0"/>
        <w:numPr>
          <w:ilvl w:val="0"/>
          <w:numId w:val="13"/>
        </w:numPr>
        <w:autoSpaceDE w:val="0"/>
        <w:autoSpaceDN w:val="0"/>
        <w:adjustRightInd w:val="0"/>
        <w:spacing w:line="230" w:lineRule="auto"/>
        <w:contextualSpacing/>
        <w:jc w:val="both"/>
        <w:rPr>
          <w:rFonts w:cs="Times New Roman"/>
          <w:bCs/>
          <w:sz w:val="20"/>
          <w:szCs w:val="20"/>
          <w:lang w:val="fr-CA"/>
        </w:rPr>
      </w:pPr>
      <w:r w:rsidRPr="00817EFC">
        <w:rPr>
          <w:rFonts w:cs="Times New Roman"/>
          <w:bCs/>
          <w:sz w:val="20"/>
          <w:szCs w:val="20"/>
          <w:lang w:val="fr-CA"/>
        </w:rPr>
        <w:t>Le</w:t>
      </w:r>
      <w:r w:rsidRPr="00817EFC">
        <w:rPr>
          <w:rFonts w:cs="Times New Roman"/>
          <w:sz w:val="20"/>
          <w:szCs w:val="20"/>
          <w:lang w:val="fr-CA"/>
        </w:rPr>
        <w:t xml:space="preserve"> Saskatchewan Union of Nurses, la British Columbia Civil Liberties Association, le Syndicat des travailleurs et travailleuses des postes et l’Association internationale des machinistes et des travailleurs et travailleuses de l’aérospatiale, l’Alliance de la Fonction publique du Canada, l’Alberta Union of Provincial Employees, les British Columbia Teachers’ Federation et Hospital Employees’ Unions, la Confédération des syndicats nationaux, le National Union of Public and General Employees, la Canadian Constitution Foundation, le Conseil canadien des employeurs, les Regina Qu’Appelle Regional Health Authority, Cypress Regional Health Authority, Five Hills Regional Health Authority, Heartland Regional Health Authority, Sunrise Regional Health Authority, Prince Albert Parkland Regional Health Authority et Saskatoon Regional </w:t>
      </w:r>
      <w:r w:rsidRPr="00817EFC">
        <w:rPr>
          <w:rFonts w:cs="Times New Roman"/>
          <w:sz w:val="20"/>
          <w:szCs w:val="20"/>
          <w:lang w:val="fr-CA"/>
        </w:rPr>
        <w:lastRenderedPageBreak/>
        <w:t>Health Authority,</w:t>
      </w:r>
      <w:r w:rsidRPr="00817EFC">
        <w:rPr>
          <w:rFonts w:cs="Times New Roman"/>
          <w:bCs/>
          <w:sz w:val="20"/>
          <w:szCs w:val="20"/>
          <w:lang w:val="fr-CA"/>
        </w:rPr>
        <w:t xml:space="preserve"> auront chacun le </w:t>
      </w:r>
      <w:r w:rsidRPr="00817EFC">
        <w:rPr>
          <w:rFonts w:cs="Times New Roman"/>
          <w:sz w:val="20"/>
          <w:szCs w:val="20"/>
          <w:lang w:val="fr-CA"/>
        </w:rPr>
        <w:t>droit de présenter une plaidoirie orale d’au plus 10 minutes lors de l’audition de l’appel.</w:t>
      </w:r>
    </w:p>
    <w:p w:rsidR="00817EFC" w:rsidRPr="00817EFC" w:rsidRDefault="00817EFC" w:rsidP="00817EFC">
      <w:pPr>
        <w:ind w:left="720"/>
        <w:contextualSpacing/>
        <w:rPr>
          <w:rFonts w:cs="Times New Roman"/>
          <w:bCs/>
          <w:sz w:val="20"/>
          <w:szCs w:val="20"/>
          <w:lang w:val="fr-CA"/>
        </w:rPr>
      </w:pPr>
    </w:p>
    <w:p w:rsidR="00817EFC" w:rsidRPr="00817EFC" w:rsidRDefault="00817EFC" w:rsidP="00817EFC">
      <w:pPr>
        <w:widowControl w:val="0"/>
        <w:numPr>
          <w:ilvl w:val="0"/>
          <w:numId w:val="13"/>
        </w:numPr>
        <w:autoSpaceDE w:val="0"/>
        <w:autoSpaceDN w:val="0"/>
        <w:adjustRightInd w:val="0"/>
        <w:spacing w:line="230" w:lineRule="auto"/>
        <w:contextualSpacing/>
        <w:jc w:val="both"/>
        <w:rPr>
          <w:rFonts w:cs="Times New Roman"/>
          <w:bCs/>
          <w:sz w:val="20"/>
          <w:szCs w:val="20"/>
          <w:lang w:val="fr-CA"/>
        </w:rPr>
      </w:pPr>
      <w:r w:rsidRPr="00817EFC">
        <w:rPr>
          <w:rFonts w:cs="Times New Roman"/>
          <w:bCs/>
          <w:sz w:val="20"/>
          <w:szCs w:val="20"/>
          <w:lang w:val="fr-CA"/>
        </w:rPr>
        <w:t>Les mémoires du</w:t>
      </w:r>
      <w:r w:rsidRPr="00817EFC">
        <w:rPr>
          <w:rFonts w:cs="Times New Roman"/>
          <w:sz w:val="20"/>
          <w:szCs w:val="20"/>
          <w:lang w:val="fr-CA"/>
        </w:rPr>
        <w:t xml:space="preserve"> SEIU-West, de l’United Nurses of Alberta et de l’Alberta Federation of Labour, de l’Institut professionnel de la fonction publique du Canada, de l’Association des pilotes d’Air Canada, du Congrès du travail du Canada, du Conseil du patronat du Québec, de la Société canadienne des postes et d’Air Canada</w:t>
      </w:r>
      <w:r w:rsidRPr="00817EFC">
        <w:rPr>
          <w:rFonts w:cs="Times New Roman"/>
          <w:bCs/>
          <w:sz w:val="20"/>
          <w:szCs w:val="20"/>
          <w:lang w:val="fr-CA"/>
        </w:rPr>
        <w:t xml:space="preserve"> seront examinés sans qu’il soit nécessaire que ces intervenants présentent des plaidoiries orales.</w:t>
      </w:r>
    </w:p>
    <w:p w:rsidR="00817EFC" w:rsidRPr="00817EFC" w:rsidRDefault="00817EFC" w:rsidP="00817EFC">
      <w:pPr>
        <w:ind w:left="720"/>
        <w:contextualSpacing/>
        <w:rPr>
          <w:rFonts w:cs="Times New Roman"/>
          <w:bCs/>
          <w:sz w:val="20"/>
          <w:szCs w:val="20"/>
          <w:lang w:val="fr-CA"/>
        </w:rPr>
      </w:pPr>
    </w:p>
    <w:p w:rsidR="00817EFC" w:rsidRPr="00817EFC" w:rsidRDefault="00817EFC" w:rsidP="00817EFC">
      <w:pPr>
        <w:widowControl w:val="0"/>
        <w:numPr>
          <w:ilvl w:val="0"/>
          <w:numId w:val="13"/>
        </w:numPr>
        <w:autoSpaceDE w:val="0"/>
        <w:autoSpaceDN w:val="0"/>
        <w:adjustRightInd w:val="0"/>
        <w:spacing w:line="230" w:lineRule="auto"/>
        <w:contextualSpacing/>
        <w:jc w:val="both"/>
        <w:rPr>
          <w:rFonts w:cs="Times New Roman"/>
          <w:bCs/>
          <w:sz w:val="20"/>
          <w:szCs w:val="20"/>
          <w:lang w:val="fr-CA"/>
        </w:rPr>
      </w:pPr>
      <w:r w:rsidRPr="00817EFC">
        <w:rPr>
          <w:rFonts w:cs="Times New Roman"/>
          <w:bCs/>
          <w:sz w:val="20"/>
          <w:szCs w:val="20"/>
          <w:lang w:val="fr-CA"/>
        </w:rPr>
        <w:t>Tous les intervenants prendront les mesures qui s’imposent pour éviter que leurs plaidoiries orales ne se recoupent.</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F27688" w:rsidP="00817EF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6" style="width:2in;height:1pt" o:hrpct="0" o:hralign="center" o:hrstd="t" o:hrnoshade="t" o:hr="t" fillcolor="black [3213]" stroked="f"/>
        </w:pic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08.05.2014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THE CHIEF JUSTICE / LA JUGE EN CHEF</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817EFC" w:rsidRPr="00FA68AD" w:rsidTr="00817EFC">
        <w:tc>
          <w:tcPr>
            <w:tcW w:w="4338" w:type="dxa"/>
            <w:gridSpan w:val="2"/>
          </w:tcPr>
          <w:p w:rsidR="00817EFC" w:rsidRPr="00817EFC" w:rsidRDefault="00817EFC" w:rsidP="00817EFC">
            <w:pPr>
              <w:jc w:val="both"/>
              <w:rPr>
                <w:b/>
              </w:rPr>
            </w:pPr>
            <w:r w:rsidRPr="00817EFC">
              <w:rPr>
                <w:b/>
                <w:lang w:val="en-US"/>
              </w:rPr>
              <w:t xml:space="preserve">Order on interventions with respect to oral argument </w:t>
            </w:r>
            <w:r w:rsidR="003172C2" w:rsidRPr="00817EFC">
              <w:rPr>
                <w:szCs w:val="24"/>
                <w:lang w:val="en-US"/>
              </w:rPr>
              <w:fldChar w:fldCharType="begin"/>
            </w:r>
            <w:r w:rsidRPr="00817EFC">
              <w:rPr>
                <w:szCs w:val="24"/>
              </w:rPr>
              <w:instrText xml:space="preserve"> SEQ CHAPTER \h \r 1</w:instrText>
            </w:r>
            <w:r w:rsidR="003172C2" w:rsidRPr="00817EFC">
              <w:rPr>
                <w:szCs w:val="24"/>
                <w:lang w:val="en-US"/>
              </w:rPr>
              <w:fldChar w:fldCharType="end"/>
            </w:r>
          </w:p>
        </w:tc>
        <w:tc>
          <w:tcPr>
            <w:tcW w:w="1170" w:type="dxa"/>
          </w:tcPr>
          <w:p w:rsidR="00817EFC" w:rsidRPr="00817EFC" w:rsidRDefault="00817EFC" w:rsidP="00817EFC"/>
          <w:p w:rsidR="00817EFC" w:rsidRPr="00817EFC" w:rsidRDefault="00817EFC" w:rsidP="00817EFC"/>
          <w:p w:rsidR="00817EFC" w:rsidRPr="00817EFC" w:rsidRDefault="00817EFC" w:rsidP="00817EFC"/>
        </w:tc>
        <w:tc>
          <w:tcPr>
            <w:tcW w:w="4327" w:type="dxa"/>
          </w:tcPr>
          <w:p w:rsidR="00817EFC" w:rsidRPr="00817EFC" w:rsidRDefault="00817EFC" w:rsidP="00817EFC">
            <w:pPr>
              <w:jc w:val="both"/>
              <w:rPr>
                <w:b/>
                <w:lang w:val="fr-CA"/>
              </w:rPr>
            </w:pPr>
            <w:r w:rsidRPr="00817EFC">
              <w:rPr>
                <w:b/>
                <w:lang w:val="fr-CA"/>
              </w:rPr>
              <w:t>Ordonnance relative à la présentation d’une plaidoirie orale par les intervenants</w:t>
            </w:r>
            <w:r w:rsidRPr="00817EFC">
              <w:rPr>
                <w:szCs w:val="24"/>
                <w:lang w:val="fr-CA"/>
              </w:rPr>
              <w:t xml:space="preserve"> </w:t>
            </w:r>
            <w:r w:rsidR="003172C2" w:rsidRPr="00817EFC">
              <w:rPr>
                <w:szCs w:val="24"/>
                <w:lang w:val="en-US"/>
              </w:rPr>
              <w:fldChar w:fldCharType="begin"/>
            </w:r>
            <w:r w:rsidRPr="00817EFC">
              <w:rPr>
                <w:szCs w:val="24"/>
                <w:lang w:val="fr-CA"/>
              </w:rPr>
              <w:instrText xml:space="preserve"> SEQ CHAPTER \h \r 1</w:instrText>
            </w:r>
            <w:r w:rsidR="003172C2" w:rsidRPr="00817EFC">
              <w:rPr>
                <w:szCs w:val="24"/>
                <w:lang w:val="en-US"/>
              </w:rPr>
              <w:fldChar w:fldCharType="end"/>
            </w:r>
          </w:p>
        </w:tc>
      </w:tr>
      <w:tr w:rsidR="00817EFC" w:rsidRPr="00817EFC" w:rsidTr="00817EFC">
        <w:trPr>
          <w:trHeight w:hRule="exact" w:val="360"/>
        </w:trPr>
        <w:tc>
          <w:tcPr>
            <w:tcW w:w="1458" w:type="dxa"/>
          </w:tcPr>
          <w:p w:rsidR="00817EFC" w:rsidRPr="00817EFC" w:rsidRDefault="00817EFC" w:rsidP="00817EFC">
            <w:r w:rsidRPr="00817EFC">
              <w:t>RE:</w:t>
            </w:r>
          </w:p>
        </w:tc>
        <w:tc>
          <w:tcPr>
            <w:tcW w:w="2880" w:type="dxa"/>
          </w:tcPr>
          <w:p w:rsidR="00817EFC" w:rsidRPr="00817EFC" w:rsidRDefault="00817EFC" w:rsidP="00817EFC">
            <w:r w:rsidRPr="00817EFC">
              <w:rPr>
                <w:lang w:val="en-US"/>
              </w:rPr>
              <w:t>Attorney General of Manitoba;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458" w:type="dxa"/>
          </w:tcPr>
          <w:p w:rsidR="00817EFC" w:rsidRPr="00817EFC" w:rsidRDefault="00817EFC" w:rsidP="00817EFC"/>
        </w:tc>
        <w:tc>
          <w:tcPr>
            <w:tcW w:w="2880" w:type="dxa"/>
          </w:tcPr>
          <w:p w:rsidR="00817EFC" w:rsidRPr="00817EFC" w:rsidRDefault="00817EFC" w:rsidP="00817EFC">
            <w:r w:rsidRPr="00817EFC">
              <w:rPr>
                <w:lang w:val="en-US"/>
              </w:rPr>
              <w:t>Attorney General of British Columbia;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576"/>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Attorney General for Saskatchewan;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Attorney General of Alberta;</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Grand Council of Treaty #3;</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1080"/>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Blood Tribe, Beaver Lake Cree Nation, Ermineskin Cree Nation, Siksika Nation and Whitefish Lake First Nation #128;</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Fort McKay First Nation;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pPr>
              <w:rPr>
                <w:lang w:val="en-US"/>
              </w:rPr>
            </w:pPr>
            <w:r w:rsidRPr="00817EFC">
              <w:rPr>
                <w:lang w:val="en-US"/>
              </w:rPr>
              <w:t>Te’mexw Treaty Association;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1296"/>
        </w:trPr>
        <w:tc>
          <w:tcPr>
            <w:tcW w:w="1458" w:type="dxa"/>
          </w:tcPr>
          <w:p w:rsidR="00817EFC" w:rsidRPr="00817EFC" w:rsidRDefault="00817EFC" w:rsidP="00817EFC"/>
        </w:tc>
        <w:tc>
          <w:tcPr>
            <w:tcW w:w="2880" w:type="dxa"/>
          </w:tcPr>
          <w:p w:rsidR="00817EFC" w:rsidRPr="00817EFC" w:rsidRDefault="00817EFC" w:rsidP="00817EFC">
            <w:r w:rsidRPr="00817EFC">
              <w:rPr>
                <w:lang w:val="en-US"/>
              </w:rPr>
              <w:t>Ochiichagwe’Babigo’Ining First Nation, Ojibways of Onigaming First Nation, Big Grassy First Nation and Naotkamegwanning First Nation;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r w:rsidRPr="00817EFC">
              <w:rPr>
                <w:lang w:val="en-US"/>
              </w:rPr>
              <w:t>Métis Nation of Ontario;</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1296"/>
        </w:trPr>
        <w:tc>
          <w:tcPr>
            <w:tcW w:w="1458" w:type="dxa"/>
          </w:tcPr>
          <w:p w:rsidR="00817EFC" w:rsidRPr="00817EFC" w:rsidRDefault="00817EFC" w:rsidP="00817EFC"/>
        </w:tc>
        <w:tc>
          <w:tcPr>
            <w:tcW w:w="2880" w:type="dxa"/>
          </w:tcPr>
          <w:p w:rsidR="00817EFC" w:rsidRPr="00817EFC" w:rsidRDefault="00817EFC" w:rsidP="00817EFC">
            <w:r w:rsidRPr="00817EFC">
              <w:rPr>
                <w:lang w:val="en-US"/>
              </w:rPr>
              <w:t>Cowichan Tribes, represented by Chief William Charles Seymour, on his own behalf and on behalf of the members of the Cowichan Tribes;</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r w:rsidRPr="00817EFC">
              <w:rPr>
                <w:lang w:val="en-US"/>
              </w:rPr>
              <w:t>Lac Seul First Nation;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hRule="exact" w:val="360"/>
        </w:trPr>
        <w:tc>
          <w:tcPr>
            <w:tcW w:w="1458" w:type="dxa"/>
          </w:tcPr>
          <w:p w:rsidR="00817EFC" w:rsidRPr="00817EFC" w:rsidRDefault="00817EFC" w:rsidP="00817EFC"/>
        </w:tc>
        <w:tc>
          <w:tcPr>
            <w:tcW w:w="2880" w:type="dxa"/>
          </w:tcPr>
          <w:p w:rsidR="00817EFC" w:rsidRPr="00817EFC" w:rsidRDefault="00817EFC" w:rsidP="00817EFC">
            <w:r w:rsidRPr="00817EFC">
              <w:rPr>
                <w:lang w:val="en-US"/>
              </w:rPr>
              <w:t>Sandy Lake First Nation;</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rPr>
          <w:trHeight w:val="864"/>
        </w:trPr>
        <w:tc>
          <w:tcPr>
            <w:tcW w:w="1458" w:type="dxa"/>
          </w:tcPr>
          <w:p w:rsidR="00817EFC" w:rsidRPr="00817EFC" w:rsidRDefault="00817EFC" w:rsidP="00817EFC"/>
        </w:tc>
        <w:tc>
          <w:tcPr>
            <w:tcW w:w="2880" w:type="dxa"/>
          </w:tcPr>
          <w:p w:rsidR="00817EFC" w:rsidRPr="00817EFC" w:rsidRDefault="00817EFC" w:rsidP="00817EFC">
            <w:r w:rsidRPr="00817EFC">
              <w:rPr>
                <w:lang w:val="en-US"/>
              </w:rPr>
              <w:t>Assembly of First Nations/National Indian Brotherhood</w:t>
            </w:r>
          </w:p>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458" w:type="dxa"/>
          </w:tcPr>
          <w:p w:rsidR="00817EFC" w:rsidRPr="00817EFC" w:rsidRDefault="00817EFC" w:rsidP="00817EFC"/>
        </w:tc>
        <w:tc>
          <w:tcPr>
            <w:tcW w:w="2880" w:type="dxa"/>
          </w:tcPr>
          <w:p w:rsidR="00817EFC" w:rsidRPr="00817EFC" w:rsidRDefault="00817EFC" w:rsidP="00817EFC"/>
        </w:tc>
        <w:tc>
          <w:tcPr>
            <w:tcW w:w="1170" w:type="dxa"/>
          </w:tcPr>
          <w:p w:rsidR="00817EFC" w:rsidRPr="00817EFC" w:rsidRDefault="00817EFC" w:rsidP="00817EFC"/>
        </w:tc>
        <w:tc>
          <w:tcPr>
            <w:tcW w:w="4327" w:type="dxa"/>
          </w:tcPr>
          <w:p w:rsidR="00817EFC" w:rsidRPr="00817EFC" w:rsidRDefault="00817EFC" w:rsidP="00817EFC"/>
        </w:tc>
      </w:tr>
      <w:tr w:rsidR="00817EFC" w:rsidRPr="00817EFC" w:rsidTr="00817EFC">
        <w:tc>
          <w:tcPr>
            <w:tcW w:w="1458" w:type="dxa"/>
          </w:tcPr>
          <w:p w:rsidR="00817EFC" w:rsidRPr="00817EFC" w:rsidRDefault="00817EFC" w:rsidP="00817EFC"/>
        </w:tc>
        <w:tc>
          <w:tcPr>
            <w:tcW w:w="2880" w:type="dxa"/>
          </w:tcPr>
          <w:p w:rsidR="00817EFC" w:rsidRPr="00817EFC" w:rsidRDefault="00817EFC" w:rsidP="00817EFC">
            <w:pPr>
              <w:tabs>
                <w:tab w:val="left" w:pos="-1440"/>
                <w:tab w:val="left" w:pos="-720"/>
              </w:tabs>
              <w:jc w:val="both"/>
              <w:rPr>
                <w:lang w:val="fr-CA"/>
              </w:rPr>
            </w:pPr>
            <w:r w:rsidRPr="00817EFC">
              <w:rPr>
                <w:lang w:val="fr-CA"/>
              </w:rPr>
              <w:t>Andrew Keewatin Jr. et al.</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pPr>
            <w:r w:rsidRPr="00817EFC">
              <w:rPr>
                <w:lang w:val="fr-CA"/>
              </w:rPr>
              <w:tab/>
            </w:r>
            <w:r w:rsidRPr="00817EFC">
              <w:t>v. (35379)</w:t>
            </w:r>
          </w:p>
          <w:p w:rsidR="00817EFC" w:rsidRPr="00817EFC" w:rsidRDefault="00817EFC" w:rsidP="00817EFC">
            <w:pPr>
              <w:tabs>
                <w:tab w:val="left" w:pos="-1440"/>
                <w:tab w:val="left" w:pos="-720"/>
              </w:tabs>
              <w:jc w:val="both"/>
            </w:pPr>
          </w:p>
          <w:p w:rsidR="00817EFC" w:rsidRPr="00817EFC" w:rsidRDefault="00817EFC" w:rsidP="00817EFC">
            <w:pPr>
              <w:jc w:val="both"/>
            </w:pPr>
            <w:r w:rsidRPr="00817EFC">
              <w:t>Minister of Natural Resources et al. (Ont</w:t>
            </w:r>
            <w:r w:rsidRPr="00817EFC">
              <w:rPr>
                <w:lang w:val="fr-CA"/>
              </w:rPr>
              <w:t>.)</w:t>
            </w:r>
          </w:p>
        </w:tc>
        <w:tc>
          <w:tcPr>
            <w:tcW w:w="1170" w:type="dxa"/>
          </w:tcPr>
          <w:p w:rsidR="00817EFC" w:rsidRPr="00817EFC" w:rsidRDefault="00817EFC" w:rsidP="00817EFC"/>
        </w:tc>
        <w:tc>
          <w:tcPr>
            <w:tcW w:w="4327" w:type="dxa"/>
          </w:tcPr>
          <w:p w:rsidR="00817EFC" w:rsidRPr="00817EFC" w:rsidRDefault="00817EFC" w:rsidP="00817EFC"/>
        </w:tc>
      </w:tr>
    </w:tbl>
    <w:p w:rsidR="00817EFC" w:rsidRPr="00817EFC" w:rsidRDefault="00817EFC" w:rsidP="00817EFC">
      <w:pPr>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sz w:val="20"/>
          <w:szCs w:val="20"/>
          <w:lang w:eastAsia="en-CA"/>
        </w:rPr>
        <w:t>FURTHER TO THE ORDERS</w:t>
      </w:r>
      <w:r w:rsidRPr="00817EFC">
        <w:rPr>
          <w:rFonts w:eastAsia="Times New Roman" w:cs="Times New Roman"/>
          <w:sz w:val="20"/>
          <w:szCs w:val="20"/>
          <w:lang w:eastAsia="en-CA"/>
        </w:rPr>
        <w:t xml:space="preserve"> dated March 26, 2014 and April 15, 2014 granting leave to intervene to the Attorney General of Manitoba, the Attorney General of British Columbia, the Attorney General for Saskatchewan, the Attorney General of Alberta, the Grand Council of Treaty #3, the Blood Tribe, Beaver Lake Cree Nation, Ermineskin Cree Nation, Siksika Nation and Whitefish Lake First Nation #128, the Fort McKay First Nation, the Te'mexw Treaty Association, the Ochiichagwe’Babigo’Ining First Nation, Ojibways of Onigaming First Nation, Big Grassy First Nation and Naotkamegwanning First Nation, the Métis Nation of Ontario, the Cowichan Tribes, represented by Chief William Charles Seymour, on his own behalf and on behalf of the members of the Cowichan Tribes, the Lac Seul First Nation, the Sandy Lake First Nation and the Assembly of First Nations/National Indian Brotherhood;</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b/>
          <w:bCs/>
          <w:sz w:val="20"/>
          <w:szCs w:val="20"/>
          <w:lang w:eastAsia="en-CA"/>
        </w:rPr>
      </w:pPr>
      <w:r w:rsidRPr="00817EFC">
        <w:rPr>
          <w:rFonts w:eastAsia="Times New Roman" w:cs="Times New Roman"/>
          <w:b/>
          <w:bCs/>
          <w:sz w:val="20"/>
          <w:szCs w:val="20"/>
          <w:lang w:eastAsia="en-CA"/>
        </w:rPr>
        <w:t>IT IS HEREBY FURTHER ORDERED THAT:</w:t>
      </w:r>
    </w:p>
    <w:p w:rsidR="00817EFC" w:rsidRPr="00817EFC" w:rsidRDefault="00817EFC" w:rsidP="00817EFC">
      <w:pPr>
        <w:spacing w:line="233" w:lineRule="auto"/>
        <w:jc w:val="both"/>
        <w:rPr>
          <w:rFonts w:eastAsia="Times New Roman" w:cs="Times New Roman"/>
          <w:bCs/>
          <w:sz w:val="20"/>
          <w:szCs w:val="20"/>
          <w:lang w:eastAsia="en-CA"/>
        </w:rPr>
      </w:pPr>
    </w:p>
    <w:p w:rsidR="00817EFC" w:rsidRPr="00817EFC" w:rsidRDefault="00817EFC" w:rsidP="00817EFC">
      <w:pPr>
        <w:widowControl w:val="0"/>
        <w:numPr>
          <w:ilvl w:val="0"/>
          <w:numId w:val="14"/>
        </w:numPr>
        <w:autoSpaceDE w:val="0"/>
        <w:autoSpaceDN w:val="0"/>
        <w:adjustRightInd w:val="0"/>
        <w:spacing w:line="233" w:lineRule="auto"/>
        <w:contextualSpacing/>
        <w:jc w:val="both"/>
        <w:rPr>
          <w:rFonts w:cs="Times New Roman"/>
          <w:bCs/>
          <w:sz w:val="20"/>
          <w:szCs w:val="20"/>
        </w:rPr>
      </w:pPr>
      <w:r w:rsidRPr="00817EFC">
        <w:rPr>
          <w:rFonts w:cs="Times New Roman"/>
          <w:sz w:val="20"/>
          <w:szCs w:val="20"/>
        </w:rPr>
        <w:t>The Attorney General of Manitoba, the Attorney General of British Columbia, the Attorney General for Saskatchewan, the Attorney General of Alberta, the Grand Council of Treaty #3, the Blood Tribe, Beaver Lake Cree Nation, Ermineskin Cree Nation, Siksika Nation and Whitefish Lake First Nation #128, the Te'mexw Treaty Association, the Ochiichagwe’Babigo’Ining First Nation, Ojibways of Onigaming First Nation, Big Grassy First Nation and Naotkamegwanning First Nation, the Métis Nation of Ontario, the Cowichan Tribes, represented by Chief William Charles Seymour, on his own behalf and on behalf of the members of the Cowichan Tribes, and the Assembly of First Nations/National Indian Brotherhood are each granted permission to present oral argument not exceeding 10 minutes at the hearing of the appeal.</w:t>
      </w:r>
    </w:p>
    <w:p w:rsidR="00817EFC" w:rsidRPr="00817EFC" w:rsidRDefault="00817EFC" w:rsidP="00817EFC">
      <w:pPr>
        <w:spacing w:line="233" w:lineRule="auto"/>
        <w:ind w:left="720"/>
        <w:contextualSpacing/>
        <w:jc w:val="both"/>
        <w:rPr>
          <w:rFonts w:cs="Times New Roman"/>
          <w:sz w:val="20"/>
          <w:szCs w:val="20"/>
        </w:rPr>
      </w:pPr>
    </w:p>
    <w:p w:rsidR="00817EFC" w:rsidRPr="00817EFC" w:rsidRDefault="00817EFC" w:rsidP="00817EFC">
      <w:pPr>
        <w:widowControl w:val="0"/>
        <w:numPr>
          <w:ilvl w:val="0"/>
          <w:numId w:val="14"/>
        </w:numPr>
        <w:autoSpaceDE w:val="0"/>
        <w:autoSpaceDN w:val="0"/>
        <w:adjustRightInd w:val="0"/>
        <w:spacing w:line="233" w:lineRule="auto"/>
        <w:contextualSpacing/>
        <w:jc w:val="both"/>
        <w:rPr>
          <w:rFonts w:cs="Times New Roman"/>
          <w:bCs/>
          <w:sz w:val="20"/>
          <w:szCs w:val="20"/>
        </w:rPr>
      </w:pPr>
      <w:r w:rsidRPr="00817EFC">
        <w:rPr>
          <w:rFonts w:cs="Times New Roman"/>
          <w:sz w:val="20"/>
          <w:szCs w:val="20"/>
        </w:rPr>
        <w:t>The Lac Seul First Nation and the Sandy Lake First Nation are granted permission to present joint oral argument not exceeding 10 minutes at the hearing of the appeal.</w:t>
      </w:r>
    </w:p>
    <w:p w:rsidR="00817EFC" w:rsidRPr="00817EFC" w:rsidRDefault="00817EFC" w:rsidP="00817EFC">
      <w:pPr>
        <w:spacing w:line="233" w:lineRule="auto"/>
        <w:ind w:left="720"/>
        <w:contextualSpacing/>
        <w:jc w:val="both"/>
        <w:rPr>
          <w:rFonts w:cs="Times New Roman"/>
          <w:bCs/>
          <w:sz w:val="20"/>
          <w:szCs w:val="20"/>
        </w:rPr>
      </w:pPr>
    </w:p>
    <w:p w:rsidR="00817EFC" w:rsidRPr="00817EFC" w:rsidRDefault="00817EFC" w:rsidP="00817EFC">
      <w:pPr>
        <w:widowControl w:val="0"/>
        <w:numPr>
          <w:ilvl w:val="0"/>
          <w:numId w:val="14"/>
        </w:numPr>
        <w:autoSpaceDE w:val="0"/>
        <w:autoSpaceDN w:val="0"/>
        <w:adjustRightInd w:val="0"/>
        <w:spacing w:line="233" w:lineRule="auto"/>
        <w:contextualSpacing/>
        <w:jc w:val="both"/>
        <w:rPr>
          <w:rFonts w:cs="Times New Roman"/>
          <w:bCs/>
          <w:sz w:val="20"/>
          <w:szCs w:val="20"/>
        </w:rPr>
      </w:pPr>
      <w:r w:rsidRPr="00817EFC">
        <w:rPr>
          <w:rFonts w:cs="Times New Roman"/>
          <w:sz w:val="20"/>
          <w:szCs w:val="20"/>
        </w:rPr>
        <w:t>The factum of the Fort McKay First Nation will be considered without the need for oral argument.</w:t>
      </w:r>
    </w:p>
    <w:p w:rsidR="00817EFC" w:rsidRPr="00817EFC" w:rsidRDefault="00817EFC" w:rsidP="00817EFC">
      <w:pPr>
        <w:spacing w:line="233" w:lineRule="auto"/>
        <w:jc w:val="both"/>
        <w:rPr>
          <w:rFonts w:eastAsia="Times New Roman" w:cs="Times New Roman"/>
          <w:bCs/>
          <w:sz w:val="20"/>
          <w:szCs w:val="20"/>
          <w:lang w:eastAsia="en-CA"/>
        </w:rPr>
      </w:pPr>
    </w:p>
    <w:p w:rsidR="00817EFC" w:rsidRPr="00817EFC" w:rsidRDefault="00817EFC" w:rsidP="00817EFC">
      <w:pPr>
        <w:spacing w:line="233" w:lineRule="auto"/>
        <w:jc w:val="both"/>
        <w:rPr>
          <w:rFonts w:eastAsia="Times New Roman" w:cs="Times New Roman"/>
          <w:bCs/>
          <w:sz w:val="20"/>
          <w:szCs w:val="20"/>
          <w:lang w:eastAsia="en-CA"/>
        </w:rPr>
      </w:pPr>
    </w:p>
    <w:p w:rsidR="00817EFC" w:rsidRPr="00817EFC" w:rsidRDefault="00817EFC" w:rsidP="00817EFC">
      <w:pPr>
        <w:spacing w:line="233" w:lineRule="auto"/>
        <w:jc w:val="both"/>
        <w:rPr>
          <w:rFonts w:eastAsia="Times New Roman" w:cs="Times New Roman"/>
          <w:bCs/>
          <w:sz w:val="20"/>
          <w:szCs w:val="20"/>
          <w:lang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 xml:space="preserve">À LA SUITE DES ORDONNANCES </w:t>
      </w:r>
      <w:r w:rsidRPr="00817EFC">
        <w:rPr>
          <w:rFonts w:eastAsia="Times New Roman" w:cs="Times New Roman"/>
          <w:sz w:val="20"/>
          <w:szCs w:val="20"/>
          <w:lang w:val="fr-CA" w:eastAsia="en-CA"/>
        </w:rPr>
        <w:t>datées du 26 mars 2014 et du 15 avril 2014 accordant l’autorisation d’intervenir au procureur général du Manitoba, au procureur général de la Colombie</w:t>
      </w:r>
      <w:r w:rsidRPr="00817EFC">
        <w:rPr>
          <w:rFonts w:eastAsia="Times New Roman" w:cs="Times New Roman"/>
          <w:sz w:val="20"/>
          <w:szCs w:val="20"/>
          <w:lang w:val="fr-CA" w:eastAsia="en-CA"/>
        </w:rPr>
        <w:noBreakHyphen/>
        <w:t>Britannique, au procureur général de la Saskatchewan, au procureur général de l’Alberta, au Grand Council Treaty N</w:t>
      </w:r>
      <w:r w:rsidRPr="00817EFC">
        <w:rPr>
          <w:rFonts w:eastAsia="Times New Roman" w:cs="Times New Roman"/>
          <w:sz w:val="20"/>
          <w:szCs w:val="20"/>
          <w:vertAlign w:val="superscript"/>
          <w:lang w:val="fr-CA" w:eastAsia="en-CA"/>
        </w:rPr>
        <w:t>o</w:t>
      </w:r>
      <w:r w:rsidRPr="00817EFC">
        <w:rPr>
          <w:rFonts w:eastAsia="Times New Roman" w:cs="Times New Roman"/>
          <w:sz w:val="20"/>
          <w:szCs w:val="20"/>
          <w:lang w:val="fr-CA" w:eastAsia="en-CA"/>
        </w:rPr>
        <w:t> 3, à la Tribu des Blood, à la Beaver Lake Cree Nation, à l’Ermineskin Cree Nation, à la Siksika Nation et à la Première Nation Whitefish Lake N</w:t>
      </w:r>
      <w:r w:rsidRPr="00817EFC">
        <w:rPr>
          <w:rFonts w:eastAsia="Times New Roman" w:cs="Times New Roman"/>
          <w:sz w:val="20"/>
          <w:szCs w:val="20"/>
          <w:vertAlign w:val="superscript"/>
          <w:lang w:val="fr-CA" w:eastAsia="en-CA"/>
        </w:rPr>
        <w:t>o</w:t>
      </w:r>
      <w:r w:rsidRPr="00817EFC">
        <w:rPr>
          <w:rFonts w:eastAsia="Times New Roman" w:cs="Times New Roman"/>
          <w:sz w:val="20"/>
          <w:szCs w:val="20"/>
          <w:lang w:val="fr-CA" w:eastAsia="en-CA"/>
        </w:rPr>
        <w:t> 128, à la Fort McKay First Nation, à la Te’mexw Treaty Association, à l’Ochiichagwe’Babigo’Ining First Nation, à l’Ojibways of Onigaming First Nation, à la Première Nation Big Grassy et à la Première Nation Naotkamegwanning, à la Métis Nation of Ontario, aux Cowichan Tribes, représentées par le chef William Charles Seymour, en son propre nom et en celui des membres des Cowichan Tribes, à la Première Nation Lac Seul, à la Première Nation Sandy Lake et à l’Assemblée des Premières Nations/la Fraternité nationale des Indiens;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b/>
          <w:bCs/>
          <w:sz w:val="20"/>
          <w:szCs w:val="20"/>
          <w:lang w:val="fr-CA" w:eastAsia="en-CA"/>
        </w:rPr>
      </w:pPr>
      <w:r w:rsidRPr="00817EFC">
        <w:rPr>
          <w:rFonts w:eastAsia="Times New Roman" w:cs="Times New Roman"/>
          <w:b/>
          <w:bCs/>
          <w:sz w:val="20"/>
          <w:szCs w:val="20"/>
          <w:lang w:val="fr-CA" w:eastAsia="en-CA"/>
        </w:rPr>
        <w:t>IL EST EN OUTRE ORDONNÉ CE QUI SUIT :</w:t>
      </w:r>
    </w:p>
    <w:p w:rsidR="00817EFC" w:rsidRPr="00817EFC" w:rsidRDefault="00817EFC" w:rsidP="00817EFC">
      <w:pPr>
        <w:spacing w:line="233" w:lineRule="auto"/>
        <w:jc w:val="both"/>
        <w:rPr>
          <w:rFonts w:eastAsia="Times New Roman" w:cs="Times New Roman"/>
          <w:bCs/>
          <w:sz w:val="20"/>
          <w:szCs w:val="20"/>
          <w:lang w:val="fr-CA" w:eastAsia="en-CA"/>
        </w:rPr>
      </w:pPr>
    </w:p>
    <w:p w:rsidR="00817EFC" w:rsidRPr="00817EFC" w:rsidRDefault="00817EFC" w:rsidP="00817EFC">
      <w:pPr>
        <w:widowControl w:val="0"/>
        <w:numPr>
          <w:ilvl w:val="0"/>
          <w:numId w:val="15"/>
        </w:numPr>
        <w:autoSpaceDE w:val="0"/>
        <w:autoSpaceDN w:val="0"/>
        <w:adjustRightInd w:val="0"/>
        <w:spacing w:line="233" w:lineRule="auto"/>
        <w:contextualSpacing/>
        <w:jc w:val="both"/>
        <w:rPr>
          <w:rFonts w:cs="Times New Roman"/>
          <w:bCs/>
          <w:sz w:val="20"/>
          <w:szCs w:val="20"/>
          <w:lang w:val="fr-CA"/>
        </w:rPr>
      </w:pPr>
      <w:r w:rsidRPr="00817EFC">
        <w:rPr>
          <w:rFonts w:cs="Times New Roman"/>
          <w:sz w:val="20"/>
          <w:szCs w:val="20"/>
          <w:lang w:val="fr-CA"/>
        </w:rPr>
        <w:t>Le procureur général du Manitoba, le procureur général de la Colombie</w:t>
      </w:r>
      <w:r w:rsidRPr="00817EFC">
        <w:rPr>
          <w:rFonts w:cs="Times New Roman"/>
          <w:sz w:val="20"/>
          <w:szCs w:val="20"/>
          <w:lang w:val="fr-CA"/>
        </w:rPr>
        <w:noBreakHyphen/>
        <w:t>Britannique, le procureur général de la Saskatchewan, le procureur général de l’Alberta, le Grand Council Treaty N</w:t>
      </w:r>
      <w:r w:rsidRPr="00817EFC">
        <w:rPr>
          <w:rFonts w:cs="Times New Roman"/>
          <w:sz w:val="20"/>
          <w:szCs w:val="20"/>
          <w:vertAlign w:val="superscript"/>
          <w:lang w:val="fr-CA"/>
        </w:rPr>
        <w:t>o</w:t>
      </w:r>
      <w:r w:rsidRPr="00817EFC">
        <w:rPr>
          <w:rFonts w:cs="Times New Roman"/>
          <w:sz w:val="20"/>
          <w:szCs w:val="20"/>
          <w:lang w:val="fr-CA"/>
        </w:rPr>
        <w:t> 3, la Tribu des Blood, la Beaver Lake Cree Nation, l’Ermineskin Cree Nation, la Siksika Nation et la Première Nation Whitefish Lake N</w:t>
      </w:r>
      <w:r w:rsidRPr="00817EFC">
        <w:rPr>
          <w:rFonts w:cs="Times New Roman"/>
          <w:sz w:val="20"/>
          <w:szCs w:val="20"/>
          <w:vertAlign w:val="superscript"/>
          <w:lang w:val="fr-CA"/>
        </w:rPr>
        <w:t>o</w:t>
      </w:r>
      <w:r w:rsidRPr="00817EFC">
        <w:rPr>
          <w:rFonts w:cs="Times New Roman"/>
          <w:sz w:val="20"/>
          <w:szCs w:val="20"/>
          <w:lang w:val="fr-CA"/>
        </w:rPr>
        <w:t xml:space="preserve"> 128, la Te’mexw Treaty Association, l’Ochiichagwe’Babigo’Ining First Nation, l’Ojibways of Onigaming First Nation, la Première Nation Big Grassy et la Première Nation Naotkamegwanning, la Métis Nation of Ontario, les Cowichan Tribes, représentées par le chef William Charles Seymour, en son propre nom et en celui des </w:t>
      </w:r>
      <w:r w:rsidRPr="00817EFC">
        <w:rPr>
          <w:rFonts w:cs="Times New Roman"/>
          <w:sz w:val="20"/>
          <w:szCs w:val="20"/>
          <w:lang w:val="fr-CA"/>
        </w:rPr>
        <w:lastRenderedPageBreak/>
        <w:t>membres des Cowichan Tribes, et l’Assemblée des Premières Nations/la Fraternité nationale des Indiens sont autorisés à présenter chacun une plaidoirie orale d’au plus 10 minutes lors de l’audition de l’appel.</w:t>
      </w:r>
    </w:p>
    <w:p w:rsidR="00817EFC" w:rsidRPr="00817EFC" w:rsidRDefault="00817EFC" w:rsidP="00817EFC">
      <w:pPr>
        <w:spacing w:line="233" w:lineRule="auto"/>
        <w:ind w:left="720"/>
        <w:contextualSpacing/>
        <w:jc w:val="both"/>
        <w:rPr>
          <w:rFonts w:cs="Times New Roman"/>
          <w:sz w:val="20"/>
          <w:szCs w:val="20"/>
          <w:lang w:val="fr-CA"/>
        </w:rPr>
      </w:pPr>
    </w:p>
    <w:p w:rsidR="00817EFC" w:rsidRPr="00817EFC" w:rsidRDefault="00817EFC" w:rsidP="00817EFC">
      <w:pPr>
        <w:widowControl w:val="0"/>
        <w:numPr>
          <w:ilvl w:val="0"/>
          <w:numId w:val="15"/>
        </w:numPr>
        <w:autoSpaceDE w:val="0"/>
        <w:autoSpaceDN w:val="0"/>
        <w:adjustRightInd w:val="0"/>
        <w:spacing w:line="233" w:lineRule="auto"/>
        <w:contextualSpacing/>
        <w:jc w:val="both"/>
        <w:rPr>
          <w:rFonts w:cs="Times New Roman"/>
          <w:bCs/>
          <w:sz w:val="20"/>
          <w:szCs w:val="20"/>
          <w:lang w:val="fr-CA"/>
        </w:rPr>
      </w:pPr>
      <w:r w:rsidRPr="00817EFC">
        <w:rPr>
          <w:rFonts w:cs="Times New Roman"/>
          <w:sz w:val="20"/>
          <w:szCs w:val="20"/>
          <w:lang w:val="fr-CA"/>
        </w:rPr>
        <w:t>La Première Nation Lac Seul et la Première Nation Sandy Lake sont autorisées à présenter une plaidoirie orale conjointe d’au plus 10 minutes lors de l’audition de l’appel.</w:t>
      </w:r>
    </w:p>
    <w:p w:rsidR="00817EFC" w:rsidRPr="00817EFC" w:rsidRDefault="00817EFC" w:rsidP="00817EFC">
      <w:pPr>
        <w:spacing w:line="233" w:lineRule="auto"/>
        <w:ind w:left="720"/>
        <w:contextualSpacing/>
        <w:jc w:val="both"/>
        <w:rPr>
          <w:rFonts w:cs="Times New Roman"/>
          <w:bCs/>
          <w:sz w:val="20"/>
          <w:szCs w:val="20"/>
          <w:lang w:val="fr-CA"/>
        </w:rPr>
      </w:pPr>
    </w:p>
    <w:p w:rsidR="00817EFC" w:rsidRPr="00817EFC" w:rsidRDefault="00817EFC" w:rsidP="00817EFC">
      <w:pPr>
        <w:widowControl w:val="0"/>
        <w:numPr>
          <w:ilvl w:val="0"/>
          <w:numId w:val="15"/>
        </w:numPr>
        <w:autoSpaceDE w:val="0"/>
        <w:autoSpaceDN w:val="0"/>
        <w:adjustRightInd w:val="0"/>
        <w:spacing w:line="233" w:lineRule="auto"/>
        <w:contextualSpacing/>
        <w:jc w:val="both"/>
        <w:rPr>
          <w:rFonts w:cs="Times New Roman"/>
          <w:bCs/>
          <w:sz w:val="20"/>
          <w:szCs w:val="20"/>
          <w:lang w:val="fr-CA"/>
        </w:rPr>
      </w:pPr>
      <w:r w:rsidRPr="00817EFC">
        <w:rPr>
          <w:rFonts w:cs="Times New Roman"/>
          <w:sz w:val="20"/>
          <w:szCs w:val="20"/>
          <w:lang w:val="fr-CA"/>
        </w:rPr>
        <w:t>Le mémoire de la Fort McKay First Nation sera examiné sans qu’il soit nécessaire que cette intervenante présente une plaidoirie orale.</w:t>
      </w:r>
    </w:p>
    <w:p w:rsidR="00817EFC" w:rsidRPr="00817EFC" w:rsidRDefault="00817EFC" w:rsidP="00817EFC">
      <w:pPr>
        <w:jc w:val="both"/>
        <w:rPr>
          <w:rFonts w:eastAsia="Times New Roman" w:cs="Times New Roman"/>
          <w:sz w:val="20"/>
          <w:szCs w:val="20"/>
          <w:lang w:val="fr-CA" w:eastAsia="en-CA"/>
        </w:rPr>
      </w:pPr>
    </w:p>
    <w:p w:rsidR="00817EFC" w:rsidRPr="00817EFC" w:rsidRDefault="00F27688" w:rsidP="00817EFC">
      <w:pPr>
        <w:rPr>
          <w:rFonts w:eastAsia="Times New Roman" w:cs="Times New Roman"/>
          <w:sz w:val="20"/>
          <w:szCs w:val="20"/>
          <w:lang w:eastAsia="en-CA"/>
        </w:rPr>
      </w:pPr>
      <w:r>
        <w:rPr>
          <w:rFonts w:eastAsia="Times New Roman" w:cs="Times New Roman"/>
          <w:sz w:val="20"/>
          <w:szCs w:val="20"/>
          <w:lang w:val="fr-CA" w:eastAsia="en-CA"/>
        </w:rPr>
        <w:pict>
          <v:rect id="_x0000_i1097" style="width:2in;height:1pt" o:hrpct="0" o:hralign="center" o:hrstd="t" o:hrnoshade="t" o:hr="t" fillcolor="black [3213]" stroked="f"/>
        </w:pict>
      </w:r>
    </w:p>
    <w:p w:rsidR="00817EFC" w:rsidRPr="00817EFC" w:rsidRDefault="00817EFC" w:rsidP="00817EFC">
      <w:pPr>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08.05.2014</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val="fr-CA" w:eastAsia="en-CA"/>
        </w:rPr>
      </w:pPr>
      <w:r w:rsidRPr="00817EFC">
        <w:rPr>
          <w:rFonts w:eastAsia="Times New Roman" w:cs="Times New Roman"/>
          <w:sz w:val="20"/>
          <w:szCs w:val="20"/>
          <w:lang w:val="fr-CA" w:eastAsia="en-CA"/>
        </w:rPr>
        <w:t>Before / Devant :   KARAKATSANIS J. / LA JUGE KARAKATSANIS</w:t>
      </w:r>
    </w:p>
    <w:p w:rsidR="00817EFC" w:rsidRPr="00817EFC" w:rsidRDefault="00817EFC" w:rsidP="00817EFC">
      <w:pPr>
        <w:tabs>
          <w:tab w:val="left" w:pos="-1440"/>
          <w:tab w:val="left" w:pos="-720"/>
        </w:tabs>
        <w:jc w:val="both"/>
        <w:rPr>
          <w:rFonts w:eastAsia="Times New Roman" w:cs="Times New Roman"/>
          <w:sz w:val="20"/>
          <w:szCs w:val="20"/>
          <w:lang w:val="fr-CA" w:eastAsia="en-C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17EFC" w:rsidRPr="00FA68AD" w:rsidTr="00817EFC">
        <w:tc>
          <w:tcPr>
            <w:tcW w:w="4338" w:type="dxa"/>
          </w:tcPr>
          <w:p w:rsidR="00817EFC" w:rsidRPr="00817EFC" w:rsidRDefault="00817EFC" w:rsidP="00817EFC">
            <w:pPr>
              <w:tabs>
                <w:tab w:val="left" w:pos="-1440"/>
                <w:tab w:val="left" w:pos="-720"/>
              </w:tabs>
              <w:jc w:val="both"/>
              <w:rPr>
                <w:b/>
              </w:rPr>
            </w:pPr>
            <w:r w:rsidRPr="00817EFC">
              <w:rPr>
                <w:b/>
                <w:bCs/>
                <w:lang w:val="en-GB"/>
              </w:rPr>
              <w:t>Motion to file a reply factum on appeal</w:t>
            </w:r>
          </w:p>
        </w:tc>
        <w:tc>
          <w:tcPr>
            <w:tcW w:w="1170" w:type="dxa"/>
          </w:tcPr>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pPr>
          </w:p>
        </w:tc>
        <w:tc>
          <w:tcPr>
            <w:tcW w:w="4327" w:type="dxa"/>
          </w:tcPr>
          <w:p w:rsidR="00817EFC" w:rsidRPr="00817EFC" w:rsidRDefault="00817EFC" w:rsidP="00817EFC">
            <w:pPr>
              <w:tabs>
                <w:tab w:val="left" w:pos="-1440"/>
                <w:tab w:val="left" w:pos="-720"/>
              </w:tabs>
              <w:jc w:val="both"/>
              <w:rPr>
                <w:lang w:val="fr-CA"/>
              </w:rPr>
            </w:pPr>
            <w:r w:rsidRPr="00817EFC">
              <w:rPr>
                <w:b/>
                <w:bCs/>
                <w:lang w:val="fr-CA"/>
              </w:rPr>
              <w:t>Requête en vue de déposer un mémoire en réplique concernant l’appel</w:t>
            </w:r>
            <w:r w:rsidRPr="00817EFC">
              <w:rPr>
                <w:szCs w:val="24"/>
                <w:lang w:val="fr-CA"/>
              </w:rPr>
              <w:t xml:space="preserve"> </w:t>
            </w:r>
            <w:r w:rsidR="003172C2" w:rsidRPr="00817EFC">
              <w:rPr>
                <w:szCs w:val="24"/>
                <w:lang w:val="en-US"/>
              </w:rPr>
              <w:fldChar w:fldCharType="begin"/>
            </w:r>
            <w:r w:rsidRPr="00817EFC">
              <w:rPr>
                <w:szCs w:val="24"/>
                <w:lang w:val="fr-CA"/>
              </w:rPr>
              <w:instrText xml:space="preserve"> SEQ CHAPTER \h \r 1</w:instrText>
            </w:r>
            <w:r w:rsidR="003172C2" w:rsidRPr="00817EFC">
              <w:rPr>
                <w:szCs w:val="24"/>
                <w:lang w:val="en-US"/>
              </w:rPr>
              <w:fldChar w:fldCharType="end"/>
            </w:r>
            <w:r w:rsidR="003172C2" w:rsidRPr="00817EFC">
              <w:rPr>
                <w:szCs w:val="24"/>
                <w:lang w:val="en-US"/>
              </w:rPr>
              <w:fldChar w:fldCharType="begin"/>
            </w:r>
            <w:r w:rsidRPr="00817EFC">
              <w:rPr>
                <w:szCs w:val="24"/>
                <w:lang w:val="fr-CA"/>
              </w:rPr>
              <w:instrText xml:space="preserve"> SEQ CHAPTER \h \r 1</w:instrText>
            </w:r>
            <w:r w:rsidR="003172C2" w:rsidRPr="00817EFC">
              <w:rPr>
                <w:szCs w:val="24"/>
                <w:lang w:val="en-US"/>
              </w:rPr>
              <w:fldChar w:fldCharType="end"/>
            </w:r>
          </w:p>
        </w:tc>
      </w:tr>
      <w:tr w:rsidR="00817EFC" w:rsidRPr="00817EFC" w:rsidTr="00817EFC">
        <w:tc>
          <w:tcPr>
            <w:tcW w:w="4338" w:type="dxa"/>
          </w:tcPr>
          <w:p w:rsidR="00817EFC" w:rsidRPr="00817EFC" w:rsidRDefault="00817EFC" w:rsidP="00817EFC">
            <w:pPr>
              <w:tabs>
                <w:tab w:val="left" w:pos="-1440"/>
                <w:tab w:val="left" w:pos="-720"/>
              </w:tabs>
              <w:jc w:val="both"/>
              <w:rPr>
                <w:lang w:val="fr-CA"/>
              </w:rPr>
            </w:pPr>
            <w:r w:rsidRPr="00817EFC">
              <w:rPr>
                <w:lang w:val="fr-CA"/>
              </w:rPr>
              <w:t>Andrew Keewatin Jr. et al.</w:t>
            </w:r>
          </w:p>
          <w:p w:rsidR="00817EFC" w:rsidRPr="00817EFC" w:rsidRDefault="00817EFC" w:rsidP="00817EFC">
            <w:pPr>
              <w:tabs>
                <w:tab w:val="left" w:pos="-1440"/>
                <w:tab w:val="left" w:pos="-720"/>
              </w:tabs>
              <w:jc w:val="both"/>
              <w:rPr>
                <w:lang w:val="fr-CA"/>
              </w:rPr>
            </w:pPr>
          </w:p>
          <w:p w:rsidR="00817EFC" w:rsidRPr="00817EFC" w:rsidRDefault="00817EFC" w:rsidP="00817EFC">
            <w:pPr>
              <w:tabs>
                <w:tab w:val="left" w:pos="-1440"/>
                <w:tab w:val="left" w:pos="-720"/>
              </w:tabs>
              <w:jc w:val="both"/>
            </w:pPr>
            <w:r w:rsidRPr="00817EFC">
              <w:rPr>
                <w:lang w:val="fr-CA"/>
              </w:rPr>
              <w:tab/>
            </w:r>
            <w:r w:rsidRPr="00817EFC">
              <w:t>v. (35379)</w:t>
            </w:r>
          </w:p>
          <w:p w:rsidR="00817EFC" w:rsidRPr="00817EFC" w:rsidRDefault="00817EFC" w:rsidP="00817EFC">
            <w:pPr>
              <w:tabs>
                <w:tab w:val="left" w:pos="-1440"/>
                <w:tab w:val="left" w:pos="-720"/>
              </w:tabs>
              <w:jc w:val="both"/>
            </w:pPr>
          </w:p>
          <w:p w:rsidR="00817EFC" w:rsidRPr="00817EFC" w:rsidRDefault="00817EFC" w:rsidP="00817EFC">
            <w:pPr>
              <w:tabs>
                <w:tab w:val="left" w:pos="-1440"/>
                <w:tab w:val="left" w:pos="-720"/>
              </w:tabs>
              <w:jc w:val="both"/>
              <w:rPr>
                <w:lang w:val="fr-CA"/>
              </w:rPr>
            </w:pPr>
            <w:r w:rsidRPr="00817EFC">
              <w:t>Minister of Natural Resources et al. (Ont</w:t>
            </w:r>
            <w:r w:rsidRPr="00817EFC">
              <w:rPr>
                <w:lang w:val="fr-CA"/>
              </w:rPr>
              <w:t>.)</w:t>
            </w:r>
          </w:p>
        </w:tc>
        <w:tc>
          <w:tcPr>
            <w:tcW w:w="1170" w:type="dxa"/>
          </w:tcPr>
          <w:p w:rsidR="00817EFC" w:rsidRPr="00817EFC" w:rsidRDefault="00817EFC" w:rsidP="00817EFC">
            <w:pPr>
              <w:tabs>
                <w:tab w:val="left" w:pos="-1440"/>
                <w:tab w:val="left" w:pos="-720"/>
              </w:tabs>
              <w:jc w:val="both"/>
              <w:rPr>
                <w:lang w:val="fr-CA"/>
              </w:rPr>
            </w:pPr>
          </w:p>
        </w:tc>
        <w:tc>
          <w:tcPr>
            <w:tcW w:w="4327" w:type="dxa"/>
          </w:tcPr>
          <w:p w:rsidR="00817EFC" w:rsidRPr="00817EFC" w:rsidRDefault="00817EFC" w:rsidP="00817EFC">
            <w:pPr>
              <w:tabs>
                <w:tab w:val="left" w:pos="-1440"/>
                <w:tab w:val="left" w:pos="-720"/>
              </w:tabs>
              <w:jc w:val="both"/>
              <w:rPr>
                <w:lang w:val="fr-CA"/>
              </w:rPr>
            </w:pPr>
          </w:p>
        </w:tc>
      </w:tr>
    </w:tbl>
    <w:p w:rsidR="00817EFC" w:rsidRPr="00817EFC" w:rsidRDefault="00817EFC" w:rsidP="00817EFC">
      <w:pPr>
        <w:tabs>
          <w:tab w:val="left" w:pos="-1440"/>
          <w:tab w:val="left" w:pos="-720"/>
        </w:tabs>
        <w:jc w:val="both"/>
        <w:rPr>
          <w:rFonts w:eastAsia="Times New Roman" w:cs="Times New Roman"/>
          <w:sz w:val="20"/>
          <w:szCs w:val="20"/>
          <w:lang w:val="fr-CA" w:eastAsia="en-CA"/>
        </w:rPr>
      </w:pPr>
    </w:p>
    <w:p w:rsidR="00817EFC" w:rsidRPr="00817EFC" w:rsidRDefault="00817EFC" w:rsidP="00817EFC">
      <w:pPr>
        <w:tabs>
          <w:tab w:val="left" w:pos="-1440"/>
          <w:tab w:val="left" w:pos="-720"/>
        </w:tabs>
        <w:jc w:val="both"/>
        <w:rPr>
          <w:rFonts w:eastAsia="Times New Roman" w:cs="Times New Roman"/>
          <w:sz w:val="20"/>
          <w:szCs w:val="20"/>
          <w:lang w:eastAsia="en-CA"/>
        </w:rPr>
      </w:pPr>
      <w:r w:rsidRPr="00817EFC">
        <w:rPr>
          <w:rFonts w:eastAsia="Times New Roman" w:cs="Times New Roman"/>
          <w:b/>
          <w:sz w:val="20"/>
          <w:szCs w:val="20"/>
          <w:lang w:eastAsia="en-CA"/>
        </w:rPr>
        <w:t>DISMISSED / REJETÉE</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eastAsia="en-CA"/>
        </w:rPr>
      </w:pPr>
      <w:r w:rsidRPr="00817EFC">
        <w:rPr>
          <w:rFonts w:eastAsia="Times New Roman" w:cs="Times New Roman"/>
          <w:b/>
          <w:sz w:val="20"/>
          <w:szCs w:val="20"/>
          <w:lang w:val="en-US" w:eastAsia="en-CA"/>
        </w:rPr>
        <w:t xml:space="preserve">UPON APPLICATION </w:t>
      </w:r>
      <w:r w:rsidRPr="00817EFC">
        <w:rPr>
          <w:rFonts w:eastAsia="Times New Roman" w:cs="Times New Roman"/>
          <w:sz w:val="20"/>
          <w:szCs w:val="20"/>
          <w:lang w:val="en-US" w:eastAsia="en-CA"/>
        </w:rPr>
        <w:t xml:space="preserve">by </w:t>
      </w:r>
      <w:r w:rsidRPr="00817EFC">
        <w:rPr>
          <w:rFonts w:eastAsia="Times New Roman" w:cs="Times New Roman"/>
          <w:sz w:val="20"/>
          <w:szCs w:val="20"/>
          <w:lang w:eastAsia="en-CA"/>
        </w:rPr>
        <w:t>the appellant, Leslie Cameron, on his own behalf and on behalf of all other members of Wabauskang First Nation, for an order granting leave to file a consolidated reply to the respondents and interveners in this appeal not exceeding 10 pages;</w:t>
      </w:r>
    </w:p>
    <w:p w:rsidR="00817EFC" w:rsidRPr="00817EFC" w:rsidRDefault="00817EFC" w:rsidP="00817EFC">
      <w:pPr>
        <w:spacing w:line="233" w:lineRule="auto"/>
        <w:jc w:val="both"/>
        <w:rPr>
          <w:rFonts w:eastAsia="Times New Roman" w:cs="Times New Roman"/>
          <w:sz w:val="20"/>
          <w:szCs w:val="20"/>
          <w:lang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AND THE MATERIAL FILED</w:t>
      </w:r>
      <w:r w:rsidRPr="00817EFC">
        <w:rPr>
          <w:rFonts w:eastAsia="Times New Roman" w:cs="Times New Roman"/>
          <w:sz w:val="20"/>
          <w:szCs w:val="20"/>
          <w:lang w:val="en-US" w:eastAsia="en-CA"/>
        </w:rPr>
        <w:t xml:space="preserve"> having been read;</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spacing w:line="233" w:lineRule="auto"/>
        <w:jc w:val="both"/>
        <w:rPr>
          <w:rFonts w:eastAsia="Times New Roman" w:cs="Times New Roman"/>
          <w:sz w:val="20"/>
          <w:szCs w:val="20"/>
          <w:lang w:val="en-US" w:eastAsia="en-CA"/>
        </w:rPr>
      </w:pPr>
      <w:r w:rsidRPr="00817EFC">
        <w:rPr>
          <w:rFonts w:eastAsia="Times New Roman" w:cs="Times New Roman"/>
          <w:b/>
          <w:bCs/>
          <w:sz w:val="20"/>
          <w:szCs w:val="20"/>
          <w:lang w:val="en-US" w:eastAsia="en-CA"/>
        </w:rPr>
        <w:t>IT IS HEREBY ORDERED THAT:</w:t>
      </w:r>
    </w:p>
    <w:p w:rsidR="00817EFC" w:rsidRPr="00817EFC" w:rsidRDefault="00817EFC" w:rsidP="00817EFC">
      <w:pPr>
        <w:spacing w:line="233" w:lineRule="auto"/>
        <w:jc w:val="both"/>
        <w:rPr>
          <w:rFonts w:eastAsia="Times New Roman" w:cs="Times New Roman"/>
          <w:sz w:val="20"/>
          <w:szCs w:val="20"/>
          <w:lang w:val="en-US" w:eastAsia="en-CA"/>
        </w:rPr>
      </w:pPr>
    </w:p>
    <w:p w:rsidR="00817EFC" w:rsidRPr="00817EFC" w:rsidRDefault="00817EFC" w:rsidP="00817EFC">
      <w:pPr>
        <w:jc w:val="both"/>
        <w:rPr>
          <w:rFonts w:cs="Times New Roman"/>
          <w:sz w:val="20"/>
          <w:szCs w:val="20"/>
          <w:lang w:val="fr-CA" w:eastAsia="en-CA"/>
        </w:rPr>
      </w:pPr>
      <w:r w:rsidRPr="00817EFC">
        <w:rPr>
          <w:rFonts w:eastAsia="Times New Roman" w:cs="Times New Roman"/>
          <w:sz w:val="20"/>
          <w:szCs w:val="20"/>
          <w:lang w:val="fr-CA" w:eastAsia="en-CA"/>
        </w:rPr>
        <w:t xml:space="preserve">The motion is dismissed. </w:t>
      </w:r>
    </w:p>
    <w:p w:rsidR="00817EFC" w:rsidRPr="00817EFC" w:rsidRDefault="00817EFC" w:rsidP="00817EFC">
      <w:pPr>
        <w:jc w:val="both"/>
        <w:rPr>
          <w:rFonts w:cs="Times New Roman"/>
          <w:sz w:val="20"/>
          <w:szCs w:val="20"/>
          <w:lang w:val="fr-CA" w:eastAsia="en-CA"/>
        </w:rPr>
      </w:pPr>
    </w:p>
    <w:p w:rsidR="00817EFC" w:rsidRPr="00817EFC" w:rsidRDefault="00817EFC" w:rsidP="00817EFC">
      <w:pPr>
        <w:jc w:val="both"/>
        <w:rPr>
          <w:rFonts w:cs="Times New Roman"/>
          <w:sz w:val="20"/>
          <w:szCs w:val="20"/>
          <w:lang w:val="fr-CA" w:eastAsia="en-CA"/>
        </w:rPr>
      </w:pPr>
    </w:p>
    <w:p w:rsidR="00817EFC" w:rsidRPr="00817EFC" w:rsidRDefault="00817EFC" w:rsidP="00817EFC">
      <w:pPr>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sz w:val="20"/>
          <w:szCs w:val="20"/>
          <w:lang w:val="fr-CA" w:eastAsia="en-CA"/>
        </w:rPr>
        <w:t xml:space="preserve">À LA SUITE DE LA REQUÊTE </w:t>
      </w:r>
      <w:r w:rsidRPr="00817EFC">
        <w:rPr>
          <w:rFonts w:eastAsia="Times New Roman" w:cs="Times New Roman"/>
          <w:sz w:val="20"/>
          <w:szCs w:val="20"/>
          <w:lang w:val="fr-CA" w:eastAsia="en-CA"/>
        </w:rPr>
        <w:t>présentée par l’appelant, Leslie Cameron, en son propre nom et en celui de tous les autres membres de la Wabauskang First Nation, pour obtenir l’autorisation de déposer une réplique consolidée d’au plus 10 pages à l’intention des intimés et des intervenants;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ET APRÈS EXAMEN</w:t>
      </w:r>
      <w:r w:rsidRPr="00817EFC">
        <w:rPr>
          <w:rFonts w:eastAsia="Times New Roman" w:cs="Times New Roman"/>
          <w:sz w:val="20"/>
          <w:szCs w:val="20"/>
          <w:lang w:val="fr-CA" w:eastAsia="en-CA"/>
        </w:rPr>
        <w:t xml:space="preserve"> des documents déposés;</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spacing w:line="233" w:lineRule="auto"/>
        <w:jc w:val="both"/>
        <w:rPr>
          <w:rFonts w:eastAsia="Times New Roman" w:cs="Times New Roman"/>
          <w:sz w:val="20"/>
          <w:szCs w:val="20"/>
          <w:lang w:val="fr-CA" w:eastAsia="en-CA"/>
        </w:rPr>
      </w:pPr>
      <w:r w:rsidRPr="00817EFC">
        <w:rPr>
          <w:rFonts w:eastAsia="Times New Roman" w:cs="Times New Roman"/>
          <w:b/>
          <w:bCs/>
          <w:sz w:val="20"/>
          <w:szCs w:val="20"/>
          <w:lang w:val="fr-CA" w:eastAsia="en-CA"/>
        </w:rPr>
        <w:t>IL EST ORDONNÉ CE QUI SUIT :</w:t>
      </w:r>
    </w:p>
    <w:p w:rsidR="00817EFC" w:rsidRPr="00817EFC" w:rsidRDefault="00817EFC" w:rsidP="00817EFC">
      <w:pPr>
        <w:spacing w:line="233" w:lineRule="auto"/>
        <w:jc w:val="both"/>
        <w:rPr>
          <w:rFonts w:eastAsia="Times New Roman" w:cs="Times New Roman"/>
          <w:sz w:val="20"/>
          <w:szCs w:val="20"/>
          <w:lang w:val="fr-CA" w:eastAsia="en-CA"/>
        </w:rPr>
      </w:pPr>
    </w:p>
    <w:p w:rsidR="00817EFC" w:rsidRPr="00817EFC" w:rsidRDefault="00817EFC" w:rsidP="00817EFC">
      <w:pPr>
        <w:jc w:val="both"/>
        <w:rPr>
          <w:rFonts w:cs="Times New Roman"/>
          <w:sz w:val="20"/>
          <w:szCs w:val="20"/>
          <w:lang w:val="fr-CA" w:eastAsia="en-CA"/>
        </w:rPr>
      </w:pPr>
      <w:r w:rsidRPr="00817EFC">
        <w:rPr>
          <w:rFonts w:eastAsia="Times New Roman" w:cs="Times New Roman"/>
          <w:sz w:val="20"/>
          <w:szCs w:val="20"/>
          <w:lang w:val="fr-CA" w:eastAsia="en-CA"/>
        </w:rPr>
        <w:t xml:space="preserve">La requête est rejetée. </w:t>
      </w:r>
    </w:p>
    <w:p w:rsidR="00817EFC" w:rsidRPr="00817EFC" w:rsidRDefault="00817EFC" w:rsidP="00817EFC">
      <w:pPr>
        <w:tabs>
          <w:tab w:val="left" w:pos="-1440"/>
          <w:tab w:val="left" w:pos="-720"/>
        </w:tabs>
        <w:jc w:val="both"/>
        <w:rPr>
          <w:rFonts w:eastAsia="Times New Roman" w:cs="Times New Roman"/>
          <w:sz w:val="20"/>
          <w:szCs w:val="20"/>
          <w:lang w:eastAsia="en-CA"/>
        </w:rPr>
      </w:pPr>
    </w:p>
    <w:p w:rsidR="00817EFC" w:rsidRPr="00817EFC" w:rsidRDefault="00F27688" w:rsidP="00817EF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A68A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C3299A" w:rsidP="005F1ED8">
            <w:pPr>
              <w:rPr>
                <w:sz w:val="20"/>
                <w:szCs w:val="20"/>
              </w:rPr>
            </w:pPr>
            <w:r>
              <w:rPr>
                <w:sz w:val="20"/>
                <w:szCs w:val="20"/>
              </w:rPr>
              <w:t>0</w:t>
            </w:r>
            <w:r w:rsidR="0086340B">
              <w:rPr>
                <w:sz w:val="20"/>
                <w:szCs w:val="20"/>
              </w:rPr>
              <w:t>1</w:t>
            </w:r>
            <w:r w:rsidR="0086340B" w:rsidRPr="003B3977">
              <w:rPr>
                <w:sz w:val="20"/>
                <w:szCs w:val="20"/>
              </w:rPr>
              <w:t>.</w:t>
            </w:r>
            <w:r>
              <w:rPr>
                <w:sz w:val="20"/>
                <w:szCs w:val="20"/>
              </w:rPr>
              <w:t>05</w:t>
            </w:r>
            <w:r w:rsidR="0086340B" w:rsidRPr="003B3977">
              <w:rPr>
                <w:sz w:val="20"/>
                <w:szCs w:val="20"/>
              </w:rPr>
              <w:t>.201</w:t>
            </w:r>
            <w:r>
              <w:rPr>
                <w:sz w:val="20"/>
                <w:szCs w:val="20"/>
              </w:rPr>
              <w:t>4</w:t>
            </w:r>
          </w:p>
          <w:p w:rsidR="0086340B" w:rsidRPr="003B3977" w:rsidRDefault="0086340B" w:rsidP="005F1ED8">
            <w:pPr>
              <w:rPr>
                <w:sz w:val="20"/>
                <w:szCs w:val="20"/>
              </w:rPr>
            </w:pPr>
          </w:p>
          <w:p w:rsidR="0086340B" w:rsidRDefault="00C3299A" w:rsidP="005F1ED8">
            <w:pPr>
              <w:rPr>
                <w:b/>
                <w:sz w:val="20"/>
                <w:szCs w:val="20"/>
              </w:rPr>
            </w:pPr>
            <w:r w:rsidRPr="003B3977">
              <w:rPr>
                <w:b/>
                <w:sz w:val="20"/>
                <w:szCs w:val="20"/>
              </w:rPr>
              <w:t xml:space="preserve">Her Majesty the Queen </w:t>
            </w:r>
          </w:p>
          <w:p w:rsidR="00C3299A" w:rsidRPr="003B3977" w:rsidRDefault="00C3299A"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C3299A">
              <w:rPr>
                <w:b/>
                <w:sz w:val="20"/>
                <w:szCs w:val="20"/>
              </w:rPr>
              <w:t>866</w:t>
            </w:r>
            <w:r w:rsidRPr="003B3977">
              <w:rPr>
                <w:b/>
                <w:sz w:val="20"/>
                <w:szCs w:val="20"/>
              </w:rPr>
              <w:t>)</w:t>
            </w:r>
          </w:p>
          <w:p w:rsidR="0086340B" w:rsidRPr="003B3977" w:rsidRDefault="0086340B" w:rsidP="005F1ED8">
            <w:pPr>
              <w:rPr>
                <w:b/>
                <w:sz w:val="20"/>
                <w:szCs w:val="20"/>
              </w:rPr>
            </w:pPr>
          </w:p>
          <w:p w:rsidR="0086340B" w:rsidRPr="003B3977" w:rsidRDefault="00C3299A" w:rsidP="005F1ED8">
            <w:pPr>
              <w:rPr>
                <w:b/>
                <w:sz w:val="20"/>
                <w:szCs w:val="20"/>
              </w:rPr>
            </w:pPr>
            <w:r>
              <w:rPr>
                <w:b/>
                <w:sz w:val="20"/>
                <w:szCs w:val="20"/>
              </w:rPr>
              <w:t>P</w:t>
            </w:r>
            <w:r w:rsidR="0086340B">
              <w:rPr>
                <w:b/>
                <w:sz w:val="20"/>
                <w:szCs w:val="20"/>
              </w:rPr>
              <w:t>au</w:t>
            </w:r>
            <w:r>
              <w:rPr>
                <w:b/>
                <w:sz w:val="20"/>
                <w:szCs w:val="20"/>
              </w:rPr>
              <w:t>l Fra</w:t>
            </w:r>
            <w:r w:rsidR="0086340B">
              <w:rPr>
                <w:b/>
                <w:sz w:val="20"/>
                <w:szCs w:val="20"/>
              </w:rPr>
              <w:t>n</w:t>
            </w:r>
            <w:r>
              <w:rPr>
                <w:b/>
                <w:sz w:val="20"/>
                <w:szCs w:val="20"/>
              </w:rPr>
              <w:t>c</w:t>
            </w:r>
            <w:r w:rsidR="0086340B">
              <w:rPr>
                <w:b/>
                <w:sz w:val="20"/>
                <w:szCs w:val="20"/>
              </w:rPr>
              <w:t>i</w:t>
            </w:r>
            <w:r>
              <w:rPr>
                <w:b/>
                <w:sz w:val="20"/>
                <w:szCs w:val="20"/>
              </w:rPr>
              <w:t>s Ta</w:t>
            </w:r>
            <w:r w:rsidR="0086340B">
              <w:rPr>
                <w:b/>
                <w:sz w:val="20"/>
                <w:szCs w:val="20"/>
              </w:rPr>
              <w:t>t</w:t>
            </w:r>
            <w:r w:rsidR="0086340B" w:rsidRPr="003B3977">
              <w:rPr>
                <w:b/>
                <w:sz w:val="20"/>
                <w:szCs w:val="20"/>
              </w:rPr>
              <w:t>t</w:t>
            </w:r>
            <w:r>
              <w:rPr>
                <w:b/>
                <w:sz w:val="20"/>
                <w:szCs w:val="20"/>
              </w:rPr>
              <w:t>on</w:t>
            </w:r>
            <w:r w:rsidR="0086340B" w:rsidRPr="003B3977">
              <w:rPr>
                <w:b/>
                <w:sz w:val="20"/>
                <w:szCs w:val="20"/>
              </w:rPr>
              <w:t xml:space="preserve"> (</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C3299A" w:rsidRPr="003B3977">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F27688" w:rsidP="005F1ED8">
            <w:pPr>
              <w:rPr>
                <w:sz w:val="20"/>
                <w:szCs w:val="20"/>
                <w:lang w:val="fr-CA"/>
              </w:rPr>
            </w:pPr>
            <w:r>
              <w:rPr>
                <w:sz w:val="20"/>
                <w:szCs w:val="20"/>
                <w:lang w:val="fr-CA"/>
              </w:rPr>
              <w:pict>
                <v:rect id="_x0000_i110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FA68A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E456F" w:rsidRDefault="006B7E8F" w:rsidP="007C47C2">
      <w:pPr>
        <w:widowControl w:val="0"/>
        <w:rPr>
          <w:sz w:val="20"/>
          <w:szCs w:val="20"/>
        </w:rPr>
      </w:pPr>
      <w:r w:rsidRPr="00CE456F">
        <w:rPr>
          <w:sz w:val="20"/>
          <w:szCs w:val="20"/>
        </w:rPr>
        <w:t>1</w:t>
      </w:r>
      <w:r w:rsidR="007C47C2" w:rsidRPr="00CE456F">
        <w:rPr>
          <w:sz w:val="20"/>
          <w:szCs w:val="20"/>
        </w:rPr>
        <w:t>2.0</w:t>
      </w:r>
      <w:r w:rsidRPr="00CE456F">
        <w:rPr>
          <w:sz w:val="20"/>
          <w:szCs w:val="20"/>
        </w:rPr>
        <w:t>5</w:t>
      </w:r>
      <w:r w:rsidR="007C47C2" w:rsidRPr="00CE456F">
        <w:rPr>
          <w:sz w:val="20"/>
          <w:szCs w:val="20"/>
        </w:rPr>
        <w:t>.2014</w:t>
      </w:r>
    </w:p>
    <w:p w:rsidR="007C47C2" w:rsidRPr="00CE456F" w:rsidRDefault="007C47C2" w:rsidP="007C47C2">
      <w:pPr>
        <w:widowControl w:val="0"/>
        <w:rPr>
          <w:sz w:val="20"/>
          <w:szCs w:val="20"/>
        </w:rPr>
      </w:pPr>
    </w:p>
    <w:p w:rsidR="006B7E8F" w:rsidRPr="00C64B21" w:rsidRDefault="006B7E8F" w:rsidP="006B7E8F">
      <w:pPr>
        <w:widowControl w:val="0"/>
        <w:ind w:left="720" w:hanging="720"/>
        <w:rPr>
          <w:sz w:val="20"/>
          <w:szCs w:val="20"/>
          <w:u w:val="single"/>
        </w:rPr>
      </w:pPr>
      <w:r w:rsidRPr="00C64B21">
        <w:rPr>
          <w:sz w:val="20"/>
          <w:szCs w:val="20"/>
        </w:rPr>
        <w:t xml:space="preserve">Coram: </w:t>
      </w:r>
      <w:r w:rsidRPr="00C64B21">
        <w:rPr>
          <w:sz w:val="20"/>
          <w:szCs w:val="20"/>
        </w:rPr>
        <w:tab/>
      </w:r>
      <w:r w:rsidRPr="00C64B21">
        <w:rPr>
          <w:sz w:val="20"/>
          <w:szCs w:val="20"/>
          <w:u w:val="single"/>
        </w:rPr>
        <w:t>McLachlin C.J. and Abella, Rothstein, Cromwell, Moldaver, Karakatsanis and Wagner JJ.</w:t>
      </w:r>
    </w:p>
    <w:p w:rsidR="007C47C2" w:rsidRPr="00CE456F"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B7E8F" w:rsidTr="00D13CF2">
        <w:tc>
          <w:tcPr>
            <w:tcW w:w="4380" w:type="dxa"/>
            <w:tcMar>
              <w:left w:w="0" w:type="dxa"/>
              <w:right w:w="0" w:type="dxa"/>
            </w:tcMar>
          </w:tcPr>
          <w:p w:rsidR="007C47C2" w:rsidRPr="006B7E8F" w:rsidRDefault="006B7E8F" w:rsidP="00D13CF2">
            <w:pPr>
              <w:widowControl w:val="0"/>
              <w:rPr>
                <w:b/>
                <w:sz w:val="20"/>
                <w:szCs w:val="20"/>
              </w:rPr>
            </w:pPr>
            <w:r w:rsidRPr="006B7E8F">
              <w:rPr>
                <w:b/>
                <w:sz w:val="20"/>
                <w:szCs w:val="20"/>
              </w:rPr>
              <w:t>David M. Potter</w:t>
            </w:r>
            <w:r w:rsidR="007C47C2" w:rsidRPr="006B7E8F">
              <w:rPr>
                <w:b/>
                <w:sz w:val="20"/>
                <w:szCs w:val="20"/>
              </w:rPr>
              <w:t xml:space="preserve"> </w:t>
            </w:r>
          </w:p>
          <w:p w:rsidR="007C47C2" w:rsidRPr="006B7E8F" w:rsidRDefault="007C47C2" w:rsidP="00D13CF2">
            <w:pPr>
              <w:widowControl w:val="0"/>
              <w:rPr>
                <w:b/>
                <w:sz w:val="20"/>
                <w:szCs w:val="20"/>
              </w:rPr>
            </w:pPr>
          </w:p>
          <w:p w:rsidR="007C47C2" w:rsidRPr="006B7E8F" w:rsidRDefault="007C47C2" w:rsidP="00D13CF2">
            <w:pPr>
              <w:widowControl w:val="0"/>
              <w:rPr>
                <w:b/>
                <w:sz w:val="20"/>
                <w:szCs w:val="20"/>
              </w:rPr>
            </w:pPr>
            <w:r w:rsidRPr="006B7E8F">
              <w:rPr>
                <w:b/>
                <w:sz w:val="20"/>
                <w:szCs w:val="20"/>
              </w:rPr>
              <w:tab/>
            </w:r>
            <w:r w:rsidR="006B7E8F" w:rsidRPr="006B7E8F">
              <w:rPr>
                <w:b/>
                <w:sz w:val="20"/>
                <w:szCs w:val="20"/>
              </w:rPr>
              <w:t>v</w:t>
            </w:r>
            <w:r w:rsidRPr="006B7E8F">
              <w:rPr>
                <w:b/>
                <w:sz w:val="20"/>
                <w:szCs w:val="20"/>
              </w:rPr>
              <w:t>.</w:t>
            </w:r>
            <w:r w:rsidR="006B7E8F">
              <w:rPr>
                <w:b/>
                <w:sz w:val="20"/>
                <w:szCs w:val="20"/>
              </w:rPr>
              <w:t xml:space="preserve"> </w:t>
            </w:r>
            <w:r w:rsidR="006B7E8F" w:rsidRPr="00C64B21">
              <w:rPr>
                <w:sz w:val="20"/>
                <w:szCs w:val="20"/>
              </w:rPr>
              <w:t>(</w:t>
            </w:r>
            <w:hyperlink r:id="rId98" w:history="1">
              <w:r w:rsidR="006B7E8F" w:rsidRPr="00C64B21">
                <w:rPr>
                  <w:color w:val="0000FF"/>
                  <w:sz w:val="20"/>
                  <w:szCs w:val="20"/>
                  <w:u w:val="single"/>
                </w:rPr>
                <w:t>35422</w:t>
              </w:r>
            </w:hyperlink>
            <w:r w:rsidR="006B7E8F" w:rsidRPr="00C64B21">
              <w:rPr>
                <w:sz w:val="20"/>
                <w:szCs w:val="20"/>
              </w:rPr>
              <w:t>)</w:t>
            </w:r>
          </w:p>
          <w:p w:rsidR="007C47C2" w:rsidRPr="006B7E8F" w:rsidRDefault="007C47C2" w:rsidP="00D13CF2">
            <w:pPr>
              <w:widowControl w:val="0"/>
              <w:rPr>
                <w:b/>
                <w:sz w:val="20"/>
                <w:szCs w:val="20"/>
              </w:rPr>
            </w:pPr>
          </w:p>
          <w:p w:rsidR="007C47C2" w:rsidRPr="00EA0658" w:rsidRDefault="006B7E8F" w:rsidP="006B7E8F">
            <w:pPr>
              <w:widowControl w:val="0"/>
              <w:rPr>
                <w:sz w:val="20"/>
                <w:szCs w:val="20"/>
                <w:lang w:val="fr-CA"/>
              </w:rPr>
            </w:pPr>
            <w:r w:rsidRPr="006B7E8F">
              <w:rPr>
                <w:b/>
                <w:sz w:val="20"/>
                <w:szCs w:val="20"/>
              </w:rPr>
              <w:t>New Brunswick Legal Aid Services Commission, a statutory body corporate pursuant to a special act of the Province of New Brunswick (N.B.</w:t>
            </w:r>
            <w:r w:rsidR="007C47C2" w:rsidRPr="006B7E8F">
              <w:rPr>
                <w:b/>
                <w:sz w:val="20"/>
                <w:szCs w:val="20"/>
              </w:rPr>
              <w:t xml:space="preserve">) </w:t>
            </w:r>
            <w:r w:rsidR="007C47C2" w:rsidRPr="00E75133">
              <w:rPr>
                <w:b/>
                <w:sz w:val="20"/>
                <w:szCs w:val="20"/>
                <w:lang w:val="fr-CA"/>
              </w:rPr>
              <w:t>(Civil) (</w:t>
            </w:r>
            <w:r>
              <w:rPr>
                <w:b/>
                <w:sz w:val="20"/>
                <w:szCs w:val="20"/>
                <w:lang w:val="fr-CA"/>
              </w:rPr>
              <w:t>By Le</w:t>
            </w:r>
            <w:r w:rsidR="007C47C2" w:rsidRPr="00E75133">
              <w:rPr>
                <w:b/>
                <w:sz w:val="20"/>
                <w:szCs w:val="20"/>
                <w:lang w:val="fr-CA"/>
              </w:rPr>
              <w:t>a</w:t>
            </w:r>
            <w:r>
              <w:rPr>
                <w:b/>
                <w:sz w:val="20"/>
                <w:szCs w:val="20"/>
                <w:lang w:val="fr-CA"/>
              </w:rPr>
              <w:t>ve</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D13CF2">
            <w:pPr>
              <w:widowControl w:val="0"/>
              <w:jc w:val="center"/>
              <w:rPr>
                <w:sz w:val="20"/>
                <w:szCs w:val="20"/>
                <w:lang w:val="fr-CA"/>
              </w:rPr>
            </w:pPr>
          </w:p>
        </w:tc>
        <w:tc>
          <w:tcPr>
            <w:tcW w:w="4380" w:type="dxa"/>
            <w:tcMar>
              <w:left w:w="0" w:type="dxa"/>
              <w:right w:w="0" w:type="dxa"/>
            </w:tcMar>
          </w:tcPr>
          <w:p w:rsidR="0047481C" w:rsidRDefault="0047481C" w:rsidP="0047481C">
            <w:pPr>
              <w:jc w:val="both"/>
              <w:rPr>
                <w:sz w:val="20"/>
                <w:szCs w:val="20"/>
              </w:rPr>
            </w:pPr>
            <w:r w:rsidRPr="00C17B07">
              <w:rPr>
                <w:sz w:val="20"/>
                <w:szCs w:val="20"/>
              </w:rPr>
              <w:t>Eugene J. Mockler</w:t>
            </w:r>
            <w:r>
              <w:rPr>
                <w:sz w:val="20"/>
                <w:szCs w:val="20"/>
              </w:rPr>
              <w:t xml:space="preserve"> and </w:t>
            </w:r>
            <w:r w:rsidRPr="00C17B07">
              <w:rPr>
                <w:sz w:val="20"/>
                <w:szCs w:val="20"/>
              </w:rPr>
              <w:t>Perri Ravon</w:t>
            </w:r>
            <w:r>
              <w:rPr>
                <w:sz w:val="20"/>
                <w:szCs w:val="20"/>
              </w:rPr>
              <w:t xml:space="preserve"> f</w:t>
            </w:r>
            <w:r w:rsidRPr="00C17B07">
              <w:rPr>
                <w:sz w:val="20"/>
                <w:szCs w:val="20"/>
              </w:rPr>
              <w:t xml:space="preserve">or the </w:t>
            </w:r>
            <w:r>
              <w:rPr>
                <w:sz w:val="20"/>
                <w:szCs w:val="20"/>
              </w:rPr>
              <w:t>a</w:t>
            </w:r>
            <w:r w:rsidRPr="00C17B07">
              <w:rPr>
                <w:sz w:val="20"/>
                <w:szCs w:val="20"/>
              </w:rPr>
              <w:t>ppellant</w:t>
            </w:r>
            <w:r>
              <w:rPr>
                <w:sz w:val="20"/>
                <w:szCs w:val="20"/>
              </w:rPr>
              <w:t>.</w:t>
            </w:r>
          </w:p>
          <w:p w:rsidR="0047481C" w:rsidRPr="00C17B07" w:rsidRDefault="0047481C" w:rsidP="0047481C">
            <w:pPr>
              <w:jc w:val="both"/>
              <w:rPr>
                <w:sz w:val="20"/>
                <w:szCs w:val="20"/>
              </w:rPr>
            </w:pPr>
          </w:p>
          <w:p w:rsidR="007C47C2" w:rsidRPr="0047481C" w:rsidRDefault="0047481C" w:rsidP="0047481C">
            <w:pPr>
              <w:widowControl w:val="0"/>
              <w:jc w:val="both"/>
              <w:rPr>
                <w:sz w:val="20"/>
                <w:szCs w:val="20"/>
              </w:rPr>
            </w:pPr>
            <w:r w:rsidRPr="00C17B07">
              <w:rPr>
                <w:sz w:val="20"/>
                <w:szCs w:val="20"/>
              </w:rPr>
              <w:t>Clarence L. Bennett</w:t>
            </w:r>
            <w:r>
              <w:rPr>
                <w:sz w:val="20"/>
                <w:szCs w:val="20"/>
              </w:rPr>
              <w:t xml:space="preserve"> and </w:t>
            </w:r>
            <w:r w:rsidRPr="00C17B07">
              <w:rPr>
                <w:sz w:val="20"/>
                <w:szCs w:val="20"/>
              </w:rPr>
              <w:t>Josie H. Marks</w:t>
            </w:r>
            <w:r>
              <w:rPr>
                <w:sz w:val="20"/>
                <w:szCs w:val="20"/>
              </w:rPr>
              <w:t xml:space="preserve"> f</w:t>
            </w:r>
            <w:r w:rsidRPr="00C17B07">
              <w:rPr>
                <w:sz w:val="20"/>
                <w:szCs w:val="20"/>
              </w:rPr>
              <w:t xml:space="preserve">or the </w:t>
            </w:r>
            <w:r>
              <w:rPr>
                <w:sz w:val="20"/>
                <w:szCs w:val="20"/>
              </w:rPr>
              <w:t>r</w:t>
            </w:r>
            <w:r w:rsidRPr="00C17B07">
              <w:rPr>
                <w:sz w:val="20"/>
                <w:szCs w:val="20"/>
              </w:rPr>
              <w:t>espondent</w:t>
            </w:r>
            <w:r>
              <w:rPr>
                <w:sz w:val="20"/>
                <w:szCs w:val="20"/>
              </w:rPr>
              <w:t>.</w:t>
            </w:r>
          </w:p>
        </w:tc>
      </w:tr>
    </w:tbl>
    <w:p w:rsidR="007C47C2" w:rsidRPr="0047481C"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FA68AD" w:rsidTr="00D13CF2">
        <w:tc>
          <w:tcPr>
            <w:tcW w:w="4380" w:type="dxa"/>
            <w:tcMar>
              <w:left w:w="0" w:type="dxa"/>
              <w:right w:w="0" w:type="dxa"/>
            </w:tcMar>
          </w:tcPr>
          <w:p w:rsidR="007C47C2" w:rsidRPr="00CC4D84" w:rsidRDefault="007C47C2" w:rsidP="00D13CF2">
            <w:pPr>
              <w:widowControl w:val="0"/>
              <w:jc w:val="both"/>
              <w:rPr>
                <w:b/>
                <w:sz w:val="20"/>
                <w:szCs w:val="20"/>
                <w:u w:val="single"/>
              </w:rPr>
            </w:pPr>
            <w:r w:rsidRPr="00CC4D84">
              <w:rPr>
                <w:b/>
                <w:sz w:val="20"/>
                <w:szCs w:val="20"/>
                <w:u w:val="single"/>
              </w:rPr>
              <w:t>Nature of the case:</w:t>
            </w:r>
          </w:p>
          <w:p w:rsidR="007C47C2" w:rsidRPr="001A663B" w:rsidRDefault="007C47C2" w:rsidP="00D13CF2">
            <w:pPr>
              <w:widowControl w:val="0"/>
              <w:jc w:val="both"/>
              <w:rPr>
                <w:b/>
                <w:sz w:val="20"/>
                <w:szCs w:val="20"/>
              </w:rPr>
            </w:pPr>
          </w:p>
          <w:p w:rsidR="007C47C2" w:rsidRPr="00C1697B" w:rsidRDefault="00F66694" w:rsidP="00D13CF2">
            <w:pPr>
              <w:widowControl w:val="0"/>
              <w:jc w:val="both"/>
              <w:rPr>
                <w:b/>
                <w:sz w:val="20"/>
                <w:szCs w:val="20"/>
              </w:rPr>
            </w:pPr>
            <w:r w:rsidRPr="00E53D8D">
              <w:rPr>
                <w:sz w:val="20"/>
                <w:szCs w:val="20"/>
              </w:rPr>
              <w:t>Employment law - Constructive dismissal - Repudiation of employment contract - Appellant holding public office pursuant to appointment by Lieutenant-Governor in Council - Parties in discussions seeking to bring employment contract to end when appellant suspended with pay for indefinite period - Appellant initiating action for constructive dismissal - Commission stopping his pay and benefits, arguing that appellant effectively resigned when he initiated action - Whether administrative suspension which the employer intends will end with termination of employment contract constitutes constructive dismissal - Whether employee necessarily resigns by bringing action for constructive dismissal - Whether amounts received under a pension should be deducted from damages for constructive dismissal</w:t>
            </w:r>
          </w:p>
        </w:tc>
        <w:tc>
          <w:tcPr>
            <w:tcW w:w="720" w:type="dxa"/>
            <w:tcMar>
              <w:left w:w="0" w:type="dxa"/>
              <w:right w:w="0" w:type="dxa"/>
            </w:tcMar>
          </w:tcPr>
          <w:p w:rsidR="007C47C2" w:rsidRPr="00C1697B" w:rsidRDefault="007C47C2" w:rsidP="00D13CF2">
            <w:pPr>
              <w:widowControl w:val="0"/>
              <w:jc w:val="center"/>
              <w:rPr>
                <w:sz w:val="20"/>
                <w:szCs w:val="20"/>
              </w:rPr>
            </w:pPr>
          </w:p>
        </w:tc>
        <w:tc>
          <w:tcPr>
            <w:tcW w:w="4380" w:type="dxa"/>
            <w:tcMar>
              <w:left w:w="0" w:type="dxa"/>
              <w:right w:w="0" w:type="dxa"/>
            </w:tcMar>
          </w:tcPr>
          <w:p w:rsidR="007C47C2" w:rsidRPr="00CC4D84" w:rsidRDefault="007C47C2" w:rsidP="00D13CF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D13CF2">
            <w:pPr>
              <w:widowControl w:val="0"/>
              <w:jc w:val="both"/>
              <w:rPr>
                <w:sz w:val="20"/>
                <w:szCs w:val="20"/>
                <w:lang w:val="fr-CA"/>
              </w:rPr>
            </w:pPr>
          </w:p>
          <w:p w:rsidR="007C47C2" w:rsidRPr="00C1697B" w:rsidRDefault="00F66694" w:rsidP="00D13CF2">
            <w:pPr>
              <w:widowControl w:val="0"/>
              <w:jc w:val="both"/>
              <w:rPr>
                <w:sz w:val="20"/>
                <w:szCs w:val="20"/>
                <w:lang w:val="fr-CA"/>
              </w:rPr>
            </w:pPr>
            <w:r w:rsidRPr="005A4C74">
              <w:rPr>
                <w:sz w:val="20"/>
                <w:szCs w:val="20"/>
                <w:lang w:val="fr-CA"/>
              </w:rPr>
              <w:t>Droit de l’emploi - Congédiement déguisé - Répudiation du contrat d’emploi - Appelant nommé par le lieutenant-gouverneur en conseil à une charge publique - Suspension de l’appelant avec salaire pour une durée indéterminée intervenue après le début de discussions entre les parties en vue de mettre fin au contrat d’emploi - Action intentée par l’appelant pour congédiement déguisé - Suspension par la Commission du salaire et des avantages sociaux de l’appelant au motif que l’appelant avait en fait démissionné de son poste - La suspension administrative qui se soldera, de l’avis de l’employeur, par la fin du contrat d’emploi équivaut-elle à un congédiement déguisé? - L’employé démissionne-t-il nécessairement en introduisant une action pour congédiement déguisé? - Les sommes d’argent versées dans le régime de pension doivent-elles être défalquées du montant des dommages-intérêts obtenus pour congédiement déguisé?</w:t>
            </w:r>
          </w:p>
        </w:tc>
      </w:tr>
    </w:tbl>
    <w:p w:rsidR="007C47C2" w:rsidRDefault="007C47C2" w:rsidP="007C47C2">
      <w:pPr>
        <w:widowControl w:val="0"/>
        <w:rPr>
          <w:sz w:val="20"/>
          <w:szCs w:val="20"/>
          <w:lang w:val="fr-CA"/>
        </w:rPr>
      </w:pPr>
    </w:p>
    <w:p w:rsidR="002A27D1" w:rsidRDefault="00F27688" w:rsidP="002A27D1">
      <w:pPr>
        <w:widowControl w:val="0"/>
        <w:rPr>
          <w:sz w:val="20"/>
          <w:szCs w:val="20"/>
        </w:rPr>
      </w:pPr>
      <w:r>
        <w:rPr>
          <w:sz w:val="20"/>
          <w:szCs w:val="20"/>
          <w:lang w:val="fr-CA"/>
        </w:rPr>
        <w:pict>
          <v:rect id="_x0000_i1104" style="width:2in;height:1pt" o:hrpct="0" o:hralign="center" o:hrstd="t" o:hrnoshade="t" o:hr="t" fillcolor="black [3213]" stroked="f"/>
        </w:pict>
      </w:r>
    </w:p>
    <w:p w:rsidR="002A27D1" w:rsidRDefault="002A27D1" w:rsidP="002A27D1">
      <w:pPr>
        <w:widowControl w:val="0"/>
        <w:rPr>
          <w:sz w:val="20"/>
          <w:szCs w:val="20"/>
        </w:rPr>
      </w:pPr>
    </w:p>
    <w:p w:rsidR="006B7E8F" w:rsidRPr="006B7E8F" w:rsidRDefault="006B7E8F" w:rsidP="006B7E8F">
      <w:pPr>
        <w:widowControl w:val="0"/>
        <w:rPr>
          <w:sz w:val="20"/>
          <w:szCs w:val="20"/>
        </w:rPr>
      </w:pPr>
      <w:r w:rsidRPr="006B7E8F">
        <w:rPr>
          <w:sz w:val="20"/>
          <w:szCs w:val="20"/>
        </w:rPr>
        <w:t>1</w:t>
      </w:r>
      <w:r>
        <w:rPr>
          <w:sz w:val="20"/>
          <w:szCs w:val="20"/>
        </w:rPr>
        <w:t>3</w:t>
      </w:r>
      <w:r w:rsidRPr="006B7E8F">
        <w:rPr>
          <w:sz w:val="20"/>
          <w:szCs w:val="20"/>
        </w:rPr>
        <w:t>.05.2014</w:t>
      </w:r>
    </w:p>
    <w:p w:rsidR="006B7E8F" w:rsidRDefault="006B7E8F" w:rsidP="006B7E8F">
      <w:pPr>
        <w:widowControl w:val="0"/>
        <w:rPr>
          <w:sz w:val="20"/>
          <w:szCs w:val="20"/>
        </w:rPr>
      </w:pPr>
    </w:p>
    <w:p w:rsidR="00F66694" w:rsidRPr="003C3EC8" w:rsidRDefault="00F66694" w:rsidP="00F66694">
      <w:pPr>
        <w:widowControl w:val="0"/>
        <w:ind w:left="720" w:hanging="720"/>
        <w:rPr>
          <w:sz w:val="20"/>
          <w:szCs w:val="20"/>
          <w:u w:val="single"/>
        </w:rPr>
      </w:pPr>
      <w:r w:rsidRPr="003C3EC8">
        <w:rPr>
          <w:sz w:val="20"/>
          <w:szCs w:val="20"/>
        </w:rPr>
        <w:t xml:space="preserve">Coram: </w:t>
      </w:r>
      <w:r w:rsidRPr="003C3EC8">
        <w:rPr>
          <w:sz w:val="20"/>
          <w:szCs w:val="20"/>
        </w:rPr>
        <w:tab/>
      </w:r>
      <w:r w:rsidRPr="003C3EC8">
        <w:rPr>
          <w:sz w:val="20"/>
          <w:szCs w:val="20"/>
          <w:u w:val="single"/>
        </w:rPr>
        <w:t>McLachlin C.J. and LeBel, Abella, Cromwell, Moldaver, Karakatsanis and Wagner JJ.</w:t>
      </w:r>
    </w:p>
    <w:p w:rsidR="006B7E8F" w:rsidRPr="006B7E8F" w:rsidRDefault="006B7E8F" w:rsidP="006B7E8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B7E8F" w:rsidRPr="00FA68AD" w:rsidTr="006B7E8F">
        <w:tc>
          <w:tcPr>
            <w:tcW w:w="4380" w:type="dxa"/>
            <w:tcMar>
              <w:left w:w="0" w:type="dxa"/>
              <w:right w:w="0" w:type="dxa"/>
            </w:tcMar>
          </w:tcPr>
          <w:p w:rsidR="006B7E8F" w:rsidRPr="006B7E8F" w:rsidRDefault="00F4382D" w:rsidP="006B7E8F">
            <w:pPr>
              <w:widowControl w:val="0"/>
              <w:rPr>
                <w:b/>
                <w:sz w:val="20"/>
                <w:szCs w:val="20"/>
              </w:rPr>
            </w:pPr>
            <w:r>
              <w:rPr>
                <w:b/>
                <w:sz w:val="20"/>
                <w:szCs w:val="20"/>
              </w:rPr>
              <w:t>Attorney Gener</w:t>
            </w:r>
            <w:r w:rsidR="006B7E8F" w:rsidRPr="006B7E8F">
              <w:rPr>
                <w:b/>
                <w:sz w:val="20"/>
                <w:szCs w:val="20"/>
              </w:rPr>
              <w:t>a</w:t>
            </w:r>
            <w:r>
              <w:rPr>
                <w:b/>
                <w:sz w:val="20"/>
                <w:szCs w:val="20"/>
              </w:rPr>
              <w:t>l of Canada</w:t>
            </w:r>
            <w:r w:rsidR="006B7E8F" w:rsidRPr="006B7E8F">
              <w:rPr>
                <w:b/>
                <w:sz w:val="20"/>
                <w:szCs w:val="20"/>
              </w:rPr>
              <w:t xml:space="preserve"> </w:t>
            </w:r>
          </w:p>
          <w:p w:rsidR="006B7E8F" w:rsidRPr="006B7E8F" w:rsidRDefault="006B7E8F" w:rsidP="006B7E8F">
            <w:pPr>
              <w:widowControl w:val="0"/>
              <w:rPr>
                <w:b/>
                <w:sz w:val="20"/>
                <w:szCs w:val="20"/>
              </w:rPr>
            </w:pPr>
          </w:p>
          <w:p w:rsidR="006B7E8F" w:rsidRPr="006B7E8F" w:rsidRDefault="006B7E8F" w:rsidP="006B7E8F">
            <w:pPr>
              <w:widowControl w:val="0"/>
              <w:rPr>
                <w:b/>
                <w:sz w:val="20"/>
                <w:szCs w:val="20"/>
              </w:rPr>
            </w:pPr>
            <w:r w:rsidRPr="006B7E8F">
              <w:rPr>
                <w:b/>
                <w:sz w:val="20"/>
                <w:szCs w:val="20"/>
              </w:rPr>
              <w:tab/>
              <w:t>v.</w:t>
            </w:r>
            <w:r w:rsidR="00F66694">
              <w:rPr>
                <w:b/>
                <w:sz w:val="20"/>
                <w:szCs w:val="20"/>
              </w:rPr>
              <w:t xml:space="preserve"> </w:t>
            </w:r>
            <w:r w:rsidR="00F66694" w:rsidRPr="003C3EC8">
              <w:rPr>
                <w:sz w:val="20"/>
                <w:szCs w:val="20"/>
              </w:rPr>
              <w:t>(</w:t>
            </w:r>
            <w:hyperlink r:id="rId99" w:history="1">
              <w:r w:rsidR="00F66694" w:rsidRPr="003C3EC8">
                <w:rPr>
                  <w:rStyle w:val="Hyperlink"/>
                  <w:sz w:val="20"/>
                  <w:szCs w:val="20"/>
                </w:rPr>
                <w:t>35399</w:t>
              </w:r>
            </w:hyperlink>
            <w:r w:rsidR="00F66694" w:rsidRPr="003C3EC8">
              <w:rPr>
                <w:sz w:val="20"/>
                <w:szCs w:val="20"/>
              </w:rPr>
              <w:t>)</w:t>
            </w:r>
          </w:p>
          <w:p w:rsidR="006B7E8F" w:rsidRPr="006B7E8F" w:rsidRDefault="006B7E8F" w:rsidP="006B7E8F">
            <w:pPr>
              <w:widowControl w:val="0"/>
              <w:rPr>
                <w:b/>
                <w:sz w:val="20"/>
                <w:szCs w:val="20"/>
              </w:rPr>
            </w:pPr>
          </w:p>
          <w:p w:rsidR="006B7E8F" w:rsidRPr="00EA0658" w:rsidRDefault="00F4382D" w:rsidP="00F4382D">
            <w:pPr>
              <w:widowControl w:val="0"/>
              <w:rPr>
                <w:sz w:val="20"/>
                <w:szCs w:val="20"/>
                <w:lang w:val="fr-CA"/>
              </w:rPr>
            </w:pPr>
            <w:r>
              <w:rPr>
                <w:b/>
                <w:sz w:val="20"/>
                <w:szCs w:val="20"/>
              </w:rPr>
              <w:t>F</w:t>
            </w:r>
            <w:r w:rsidR="006B7E8F" w:rsidRPr="006B7E8F">
              <w:rPr>
                <w:b/>
                <w:sz w:val="20"/>
                <w:szCs w:val="20"/>
              </w:rPr>
              <w:t>e</w:t>
            </w:r>
            <w:r>
              <w:rPr>
                <w:b/>
                <w:sz w:val="20"/>
                <w:szCs w:val="20"/>
              </w:rPr>
              <w:t>der</w:t>
            </w:r>
            <w:r w:rsidR="006B7E8F" w:rsidRPr="006B7E8F">
              <w:rPr>
                <w:b/>
                <w:sz w:val="20"/>
                <w:szCs w:val="20"/>
              </w:rPr>
              <w:t>a</w:t>
            </w:r>
            <w:r>
              <w:rPr>
                <w:b/>
                <w:sz w:val="20"/>
                <w:szCs w:val="20"/>
              </w:rPr>
              <w:t>t</w:t>
            </w:r>
            <w:r w:rsidR="006B7E8F" w:rsidRPr="006B7E8F">
              <w:rPr>
                <w:b/>
                <w:sz w:val="20"/>
                <w:szCs w:val="20"/>
              </w:rPr>
              <w:t>i</w:t>
            </w:r>
            <w:r>
              <w:rPr>
                <w:b/>
                <w:sz w:val="20"/>
                <w:szCs w:val="20"/>
              </w:rPr>
              <w:t xml:space="preserve">on </w:t>
            </w:r>
            <w:r w:rsidR="006B7E8F" w:rsidRPr="006B7E8F">
              <w:rPr>
                <w:b/>
                <w:sz w:val="20"/>
                <w:szCs w:val="20"/>
              </w:rPr>
              <w:t>o</w:t>
            </w:r>
            <w:r>
              <w:rPr>
                <w:b/>
                <w:sz w:val="20"/>
                <w:szCs w:val="20"/>
              </w:rPr>
              <w:t>f L</w:t>
            </w:r>
            <w:r w:rsidR="006B7E8F" w:rsidRPr="006B7E8F">
              <w:rPr>
                <w:b/>
                <w:sz w:val="20"/>
                <w:szCs w:val="20"/>
              </w:rPr>
              <w:t>a</w:t>
            </w:r>
            <w:r>
              <w:rPr>
                <w:b/>
                <w:sz w:val="20"/>
                <w:szCs w:val="20"/>
              </w:rPr>
              <w:t>w S</w:t>
            </w:r>
            <w:r w:rsidR="006B7E8F" w:rsidRPr="006B7E8F">
              <w:rPr>
                <w:b/>
                <w:sz w:val="20"/>
                <w:szCs w:val="20"/>
              </w:rPr>
              <w:t>o</w:t>
            </w:r>
            <w:r>
              <w:rPr>
                <w:b/>
                <w:sz w:val="20"/>
                <w:szCs w:val="20"/>
              </w:rPr>
              <w:t>cieti</w:t>
            </w:r>
            <w:r w:rsidR="006B7E8F" w:rsidRPr="006B7E8F">
              <w:rPr>
                <w:b/>
                <w:sz w:val="20"/>
                <w:szCs w:val="20"/>
              </w:rPr>
              <w:t>e</w:t>
            </w:r>
            <w:r>
              <w:rPr>
                <w:b/>
                <w:sz w:val="20"/>
                <w:szCs w:val="20"/>
              </w:rPr>
              <w:t>s o</w:t>
            </w:r>
            <w:r w:rsidR="006B7E8F" w:rsidRPr="006B7E8F">
              <w:rPr>
                <w:b/>
                <w:sz w:val="20"/>
                <w:szCs w:val="20"/>
              </w:rPr>
              <w:t xml:space="preserve">f </w:t>
            </w:r>
            <w:r>
              <w:rPr>
                <w:b/>
                <w:sz w:val="20"/>
                <w:szCs w:val="20"/>
              </w:rPr>
              <w:t>Ca</w:t>
            </w:r>
            <w:r w:rsidR="006B7E8F" w:rsidRPr="006B7E8F">
              <w:rPr>
                <w:b/>
                <w:sz w:val="20"/>
                <w:szCs w:val="20"/>
              </w:rPr>
              <w:t>n</w:t>
            </w:r>
            <w:r>
              <w:rPr>
                <w:b/>
                <w:sz w:val="20"/>
                <w:szCs w:val="20"/>
              </w:rPr>
              <w:t>ada</w:t>
            </w:r>
            <w:r w:rsidR="006B7E8F" w:rsidRPr="006B7E8F">
              <w:rPr>
                <w:b/>
                <w:sz w:val="20"/>
                <w:szCs w:val="20"/>
              </w:rPr>
              <w:t xml:space="preserve"> (B.</w:t>
            </w:r>
            <w:r>
              <w:rPr>
                <w:b/>
                <w:sz w:val="20"/>
                <w:szCs w:val="20"/>
              </w:rPr>
              <w:t>C.</w:t>
            </w:r>
            <w:r w:rsidR="006B7E8F" w:rsidRPr="006B7E8F">
              <w:rPr>
                <w:b/>
                <w:sz w:val="20"/>
                <w:szCs w:val="20"/>
              </w:rPr>
              <w:t xml:space="preserve">) </w:t>
            </w:r>
            <w:r w:rsidR="006B7E8F" w:rsidRPr="00E75133">
              <w:rPr>
                <w:b/>
                <w:sz w:val="20"/>
                <w:szCs w:val="20"/>
                <w:lang w:val="fr-CA"/>
              </w:rPr>
              <w:t>(Civil) (</w:t>
            </w:r>
            <w:r w:rsidR="006B7E8F">
              <w:rPr>
                <w:b/>
                <w:sz w:val="20"/>
                <w:szCs w:val="20"/>
                <w:lang w:val="fr-CA"/>
              </w:rPr>
              <w:t>By Le</w:t>
            </w:r>
            <w:r w:rsidR="006B7E8F" w:rsidRPr="00E75133">
              <w:rPr>
                <w:b/>
                <w:sz w:val="20"/>
                <w:szCs w:val="20"/>
                <w:lang w:val="fr-CA"/>
              </w:rPr>
              <w:t>a</w:t>
            </w:r>
            <w:r w:rsidR="006B7E8F">
              <w:rPr>
                <w:b/>
                <w:sz w:val="20"/>
                <w:szCs w:val="20"/>
                <w:lang w:val="fr-CA"/>
              </w:rPr>
              <w:t>ve</w:t>
            </w:r>
            <w:r w:rsidR="006B7E8F" w:rsidRPr="00E75133">
              <w:rPr>
                <w:b/>
                <w:sz w:val="20"/>
                <w:szCs w:val="20"/>
                <w:lang w:val="fr-CA"/>
              </w:rPr>
              <w:t>)</w:t>
            </w:r>
            <w:r w:rsidR="006B7E8F" w:rsidRPr="00E75133">
              <w:rPr>
                <w:sz w:val="20"/>
                <w:szCs w:val="20"/>
                <w:lang w:val="fr-CA"/>
              </w:rPr>
              <w:t xml:space="preserve"> </w:t>
            </w:r>
          </w:p>
        </w:tc>
        <w:tc>
          <w:tcPr>
            <w:tcW w:w="720" w:type="dxa"/>
            <w:tcMar>
              <w:left w:w="0" w:type="dxa"/>
              <w:right w:w="0" w:type="dxa"/>
            </w:tcMar>
          </w:tcPr>
          <w:p w:rsidR="006B7E8F" w:rsidRPr="00EA0658" w:rsidRDefault="006B7E8F" w:rsidP="006B7E8F">
            <w:pPr>
              <w:widowControl w:val="0"/>
              <w:jc w:val="center"/>
              <w:rPr>
                <w:sz w:val="20"/>
                <w:szCs w:val="20"/>
                <w:lang w:val="fr-CA"/>
              </w:rPr>
            </w:pPr>
          </w:p>
        </w:tc>
        <w:tc>
          <w:tcPr>
            <w:tcW w:w="4380" w:type="dxa"/>
            <w:tcMar>
              <w:left w:w="0" w:type="dxa"/>
              <w:right w:w="0" w:type="dxa"/>
            </w:tcMar>
          </w:tcPr>
          <w:p w:rsidR="00740146" w:rsidRDefault="00740146" w:rsidP="00740146">
            <w:pPr>
              <w:jc w:val="both"/>
              <w:rPr>
                <w:sz w:val="20"/>
                <w:szCs w:val="20"/>
              </w:rPr>
            </w:pPr>
            <w:r w:rsidRPr="00EA141D">
              <w:rPr>
                <w:sz w:val="20"/>
                <w:szCs w:val="20"/>
              </w:rPr>
              <w:t xml:space="preserve">Christopher Rupar </w:t>
            </w:r>
            <w:r>
              <w:rPr>
                <w:sz w:val="20"/>
                <w:szCs w:val="20"/>
              </w:rPr>
              <w:t xml:space="preserve">and </w:t>
            </w:r>
            <w:r w:rsidRPr="00EA141D">
              <w:rPr>
                <w:sz w:val="20"/>
                <w:szCs w:val="20"/>
              </w:rPr>
              <w:t>Jan Brongers</w:t>
            </w:r>
            <w:r>
              <w:rPr>
                <w:sz w:val="20"/>
                <w:szCs w:val="20"/>
              </w:rPr>
              <w:t xml:space="preserve"> f</w:t>
            </w:r>
            <w:r w:rsidRPr="00EA141D">
              <w:rPr>
                <w:sz w:val="20"/>
                <w:szCs w:val="20"/>
              </w:rPr>
              <w:t xml:space="preserve">or the </w:t>
            </w:r>
            <w:r>
              <w:rPr>
                <w:sz w:val="20"/>
                <w:szCs w:val="20"/>
              </w:rPr>
              <w:t>a</w:t>
            </w:r>
            <w:r w:rsidRPr="00EA141D">
              <w:rPr>
                <w:sz w:val="20"/>
                <w:szCs w:val="20"/>
              </w:rPr>
              <w:t>ppellant</w:t>
            </w:r>
            <w:r>
              <w:rPr>
                <w:sz w:val="20"/>
                <w:szCs w:val="20"/>
              </w:rPr>
              <w:t>.</w:t>
            </w:r>
          </w:p>
          <w:p w:rsidR="00740146" w:rsidRPr="00EA141D" w:rsidRDefault="00740146" w:rsidP="00740146">
            <w:pPr>
              <w:jc w:val="both"/>
              <w:rPr>
                <w:sz w:val="20"/>
                <w:szCs w:val="20"/>
              </w:rPr>
            </w:pPr>
          </w:p>
          <w:p w:rsidR="00740146" w:rsidRDefault="00740146" w:rsidP="00740146">
            <w:pPr>
              <w:jc w:val="both"/>
              <w:rPr>
                <w:sz w:val="20"/>
                <w:szCs w:val="20"/>
              </w:rPr>
            </w:pPr>
            <w:r w:rsidRPr="00EA141D">
              <w:rPr>
                <w:sz w:val="20"/>
                <w:szCs w:val="20"/>
              </w:rPr>
              <w:t>John J.L. Hunter, Q.C.</w:t>
            </w:r>
            <w:r>
              <w:rPr>
                <w:sz w:val="20"/>
                <w:szCs w:val="20"/>
              </w:rPr>
              <w:t xml:space="preserve"> and </w:t>
            </w:r>
            <w:r w:rsidRPr="00EA141D">
              <w:rPr>
                <w:sz w:val="20"/>
                <w:szCs w:val="20"/>
              </w:rPr>
              <w:t>Roy W. Millen</w:t>
            </w:r>
            <w:r>
              <w:rPr>
                <w:sz w:val="20"/>
                <w:szCs w:val="20"/>
              </w:rPr>
              <w:t xml:space="preserve"> f</w:t>
            </w:r>
            <w:r w:rsidRPr="00EA141D">
              <w:rPr>
                <w:sz w:val="20"/>
                <w:szCs w:val="20"/>
              </w:rPr>
              <w:t xml:space="preserve">or the </w:t>
            </w:r>
            <w:r>
              <w:rPr>
                <w:sz w:val="20"/>
                <w:szCs w:val="20"/>
              </w:rPr>
              <w:t>r</w:t>
            </w:r>
            <w:r w:rsidRPr="00EA141D">
              <w:rPr>
                <w:sz w:val="20"/>
                <w:szCs w:val="20"/>
              </w:rPr>
              <w:t>espondent</w:t>
            </w:r>
            <w:r>
              <w:rPr>
                <w:sz w:val="20"/>
                <w:szCs w:val="20"/>
              </w:rPr>
              <w:t>.</w:t>
            </w:r>
          </w:p>
          <w:p w:rsidR="00740146" w:rsidRPr="00EA141D" w:rsidRDefault="00740146" w:rsidP="00740146">
            <w:pPr>
              <w:jc w:val="both"/>
              <w:rPr>
                <w:sz w:val="20"/>
                <w:szCs w:val="20"/>
              </w:rPr>
            </w:pPr>
          </w:p>
          <w:p w:rsidR="00740146" w:rsidRDefault="00740146" w:rsidP="00740146">
            <w:pPr>
              <w:jc w:val="both"/>
              <w:rPr>
                <w:sz w:val="20"/>
                <w:szCs w:val="20"/>
              </w:rPr>
            </w:pPr>
            <w:r w:rsidRPr="00EA141D">
              <w:rPr>
                <w:sz w:val="20"/>
                <w:szCs w:val="20"/>
              </w:rPr>
              <w:t>Michal Fairburn</w:t>
            </w:r>
            <w:r>
              <w:rPr>
                <w:sz w:val="20"/>
                <w:szCs w:val="20"/>
              </w:rPr>
              <w:t xml:space="preserve"> and </w:t>
            </w:r>
            <w:r w:rsidRPr="00EA141D">
              <w:rPr>
                <w:sz w:val="20"/>
                <w:szCs w:val="20"/>
              </w:rPr>
              <w:t>Justin Safayeni</w:t>
            </w:r>
            <w:r>
              <w:rPr>
                <w:sz w:val="20"/>
                <w:szCs w:val="20"/>
              </w:rPr>
              <w:t xml:space="preserve"> f</w:t>
            </w:r>
            <w:r w:rsidRPr="00EA141D">
              <w:rPr>
                <w:sz w:val="20"/>
                <w:szCs w:val="20"/>
              </w:rPr>
              <w:t xml:space="preserve">or the </w:t>
            </w:r>
            <w:r>
              <w:rPr>
                <w:sz w:val="20"/>
                <w:szCs w:val="20"/>
              </w:rPr>
              <w:t>i</w:t>
            </w:r>
            <w:r w:rsidRPr="00EA141D">
              <w:rPr>
                <w:sz w:val="20"/>
                <w:szCs w:val="20"/>
              </w:rPr>
              <w:t>ntervener</w:t>
            </w:r>
            <w:r>
              <w:rPr>
                <w:sz w:val="20"/>
                <w:szCs w:val="20"/>
              </w:rPr>
              <w:t xml:space="preserve"> </w:t>
            </w:r>
            <w:r w:rsidRPr="00EA141D">
              <w:rPr>
                <w:sz w:val="20"/>
                <w:szCs w:val="20"/>
              </w:rPr>
              <w:t>Criminal Lawyers' Association (Ontario)</w:t>
            </w:r>
            <w:r>
              <w:rPr>
                <w:sz w:val="20"/>
                <w:szCs w:val="20"/>
              </w:rPr>
              <w:t>.</w:t>
            </w:r>
          </w:p>
          <w:p w:rsidR="00740146" w:rsidRPr="00EA141D" w:rsidRDefault="00740146" w:rsidP="00740146">
            <w:pPr>
              <w:jc w:val="both"/>
              <w:rPr>
                <w:sz w:val="20"/>
                <w:szCs w:val="20"/>
              </w:rPr>
            </w:pPr>
          </w:p>
          <w:p w:rsidR="00740146" w:rsidRPr="00EA141D" w:rsidRDefault="00740146" w:rsidP="00740146">
            <w:pPr>
              <w:jc w:val="both"/>
              <w:rPr>
                <w:sz w:val="20"/>
                <w:szCs w:val="20"/>
              </w:rPr>
            </w:pPr>
            <w:r w:rsidRPr="00EA141D">
              <w:rPr>
                <w:sz w:val="20"/>
                <w:szCs w:val="20"/>
              </w:rPr>
              <w:t>Mahmud Jamal</w:t>
            </w:r>
            <w:r>
              <w:rPr>
                <w:sz w:val="20"/>
                <w:szCs w:val="20"/>
              </w:rPr>
              <w:t xml:space="preserve">, </w:t>
            </w:r>
            <w:r w:rsidRPr="00EA141D">
              <w:rPr>
                <w:sz w:val="20"/>
                <w:szCs w:val="20"/>
              </w:rPr>
              <w:t>David Rankin</w:t>
            </w:r>
            <w:r>
              <w:rPr>
                <w:sz w:val="20"/>
                <w:szCs w:val="20"/>
              </w:rPr>
              <w:t xml:space="preserve"> and </w:t>
            </w:r>
            <w:r w:rsidRPr="00EA141D">
              <w:rPr>
                <w:sz w:val="20"/>
                <w:szCs w:val="20"/>
              </w:rPr>
              <w:t>Pierre-Alexandre Henri</w:t>
            </w:r>
            <w:r>
              <w:rPr>
                <w:sz w:val="20"/>
                <w:szCs w:val="20"/>
              </w:rPr>
              <w:t xml:space="preserve"> f</w:t>
            </w:r>
            <w:r w:rsidRPr="00EA141D">
              <w:rPr>
                <w:sz w:val="20"/>
                <w:szCs w:val="20"/>
              </w:rPr>
              <w:t xml:space="preserve">or the </w:t>
            </w:r>
            <w:r>
              <w:rPr>
                <w:sz w:val="20"/>
                <w:szCs w:val="20"/>
              </w:rPr>
              <w:t>i</w:t>
            </w:r>
            <w:r w:rsidRPr="00EA141D">
              <w:rPr>
                <w:sz w:val="20"/>
                <w:szCs w:val="20"/>
              </w:rPr>
              <w:t xml:space="preserve">ntervener Canadian Civil Liberties </w:t>
            </w:r>
            <w:r w:rsidRPr="00EA141D">
              <w:rPr>
                <w:sz w:val="20"/>
                <w:szCs w:val="20"/>
              </w:rPr>
              <w:lastRenderedPageBreak/>
              <w:t>Association</w:t>
            </w:r>
            <w:r>
              <w:rPr>
                <w:sz w:val="20"/>
                <w:szCs w:val="20"/>
              </w:rPr>
              <w:t>.</w:t>
            </w:r>
          </w:p>
          <w:p w:rsidR="00740146" w:rsidRPr="00EA141D" w:rsidRDefault="00740146" w:rsidP="00740146">
            <w:pPr>
              <w:tabs>
                <w:tab w:val="center" w:pos="4680"/>
              </w:tabs>
              <w:jc w:val="both"/>
              <w:rPr>
                <w:sz w:val="20"/>
                <w:szCs w:val="20"/>
              </w:rPr>
            </w:pPr>
          </w:p>
          <w:p w:rsidR="00740146" w:rsidRPr="00EA141D" w:rsidRDefault="00740146" w:rsidP="00740146">
            <w:pPr>
              <w:jc w:val="both"/>
              <w:rPr>
                <w:sz w:val="20"/>
                <w:szCs w:val="20"/>
              </w:rPr>
            </w:pPr>
            <w:r w:rsidRPr="00EA141D">
              <w:rPr>
                <w:sz w:val="20"/>
                <w:szCs w:val="20"/>
              </w:rPr>
              <w:t>Leonard T. Doust, Q.C.</w:t>
            </w:r>
            <w:r>
              <w:rPr>
                <w:sz w:val="20"/>
                <w:szCs w:val="20"/>
              </w:rPr>
              <w:t xml:space="preserve"> and </w:t>
            </w:r>
            <w:r w:rsidRPr="00EA141D">
              <w:rPr>
                <w:sz w:val="20"/>
                <w:szCs w:val="20"/>
              </w:rPr>
              <w:t>Michael A. Feder</w:t>
            </w:r>
            <w:r>
              <w:rPr>
                <w:sz w:val="20"/>
                <w:szCs w:val="20"/>
              </w:rPr>
              <w:t xml:space="preserve"> f</w:t>
            </w:r>
            <w:r w:rsidRPr="00EA141D">
              <w:rPr>
                <w:sz w:val="20"/>
                <w:szCs w:val="20"/>
              </w:rPr>
              <w:t xml:space="preserve">or the </w:t>
            </w:r>
            <w:r>
              <w:rPr>
                <w:sz w:val="20"/>
                <w:szCs w:val="20"/>
              </w:rPr>
              <w:t>i</w:t>
            </w:r>
            <w:r w:rsidRPr="00EA141D">
              <w:rPr>
                <w:sz w:val="20"/>
                <w:szCs w:val="20"/>
              </w:rPr>
              <w:t>ntervener Law Society of British Columbia</w:t>
            </w:r>
            <w:r>
              <w:rPr>
                <w:sz w:val="20"/>
                <w:szCs w:val="20"/>
              </w:rPr>
              <w:t>.</w:t>
            </w:r>
          </w:p>
          <w:p w:rsidR="00740146" w:rsidRPr="00EA141D" w:rsidRDefault="00740146" w:rsidP="00740146">
            <w:pPr>
              <w:ind w:left="2880" w:firstLine="720"/>
              <w:jc w:val="both"/>
              <w:rPr>
                <w:sz w:val="20"/>
                <w:szCs w:val="20"/>
              </w:rPr>
            </w:pPr>
          </w:p>
          <w:p w:rsidR="00740146" w:rsidRPr="00EA141D" w:rsidRDefault="00740146" w:rsidP="00740146">
            <w:pPr>
              <w:jc w:val="both"/>
              <w:rPr>
                <w:sz w:val="20"/>
                <w:szCs w:val="20"/>
                <w:lang w:val="en-US"/>
              </w:rPr>
            </w:pPr>
            <w:r w:rsidRPr="00EA141D">
              <w:rPr>
                <w:sz w:val="20"/>
                <w:szCs w:val="20"/>
              </w:rPr>
              <w:t>Craig A.B. Ferris</w:t>
            </w:r>
            <w:r>
              <w:rPr>
                <w:sz w:val="20"/>
                <w:szCs w:val="20"/>
              </w:rPr>
              <w:t xml:space="preserve"> and </w:t>
            </w:r>
            <w:r w:rsidRPr="00EA141D">
              <w:rPr>
                <w:sz w:val="20"/>
                <w:szCs w:val="20"/>
              </w:rPr>
              <w:t xml:space="preserve">Laura Bevan </w:t>
            </w:r>
            <w:r>
              <w:rPr>
                <w:sz w:val="20"/>
                <w:szCs w:val="20"/>
              </w:rPr>
              <w:t>f</w:t>
            </w:r>
            <w:r w:rsidRPr="00EA141D">
              <w:rPr>
                <w:sz w:val="20"/>
                <w:szCs w:val="20"/>
              </w:rPr>
              <w:t xml:space="preserve">or the </w:t>
            </w:r>
            <w:r>
              <w:rPr>
                <w:sz w:val="20"/>
                <w:szCs w:val="20"/>
              </w:rPr>
              <w:t>i</w:t>
            </w:r>
            <w:r w:rsidRPr="00EA141D">
              <w:rPr>
                <w:sz w:val="20"/>
                <w:szCs w:val="20"/>
              </w:rPr>
              <w:t>ntervener</w:t>
            </w:r>
            <w:r>
              <w:rPr>
                <w:sz w:val="20"/>
                <w:szCs w:val="20"/>
              </w:rPr>
              <w:t xml:space="preserve"> </w:t>
            </w:r>
            <w:r w:rsidRPr="00EA141D">
              <w:rPr>
                <w:sz w:val="20"/>
                <w:szCs w:val="20"/>
                <w:lang w:val="en-US"/>
              </w:rPr>
              <w:t>Canadian Bar Association</w:t>
            </w:r>
            <w:r>
              <w:rPr>
                <w:sz w:val="20"/>
                <w:szCs w:val="20"/>
                <w:lang w:val="en-US"/>
              </w:rPr>
              <w:t>.</w:t>
            </w:r>
          </w:p>
          <w:p w:rsidR="00740146" w:rsidRPr="00EA141D" w:rsidRDefault="00740146" w:rsidP="00740146">
            <w:pPr>
              <w:jc w:val="both"/>
              <w:rPr>
                <w:sz w:val="20"/>
                <w:szCs w:val="20"/>
                <w:lang w:val="en-US"/>
              </w:rPr>
            </w:pPr>
          </w:p>
          <w:p w:rsidR="00740146" w:rsidRPr="00EA141D" w:rsidRDefault="00740146" w:rsidP="00740146">
            <w:pPr>
              <w:jc w:val="both"/>
              <w:rPr>
                <w:sz w:val="20"/>
                <w:szCs w:val="20"/>
              </w:rPr>
            </w:pPr>
            <w:r w:rsidRPr="00EA141D">
              <w:rPr>
                <w:sz w:val="20"/>
                <w:szCs w:val="20"/>
                <w:lang w:val="en-US"/>
              </w:rPr>
              <w:t>Paul D. Stern</w:t>
            </w:r>
            <w:r>
              <w:rPr>
                <w:sz w:val="20"/>
                <w:szCs w:val="20"/>
                <w:lang w:val="en-US"/>
              </w:rPr>
              <w:t xml:space="preserve"> and </w:t>
            </w:r>
            <w:r w:rsidRPr="00EA141D">
              <w:rPr>
                <w:sz w:val="20"/>
                <w:szCs w:val="20"/>
              </w:rPr>
              <w:t>Robert A. Centa</w:t>
            </w:r>
            <w:r>
              <w:rPr>
                <w:sz w:val="20"/>
                <w:szCs w:val="20"/>
              </w:rPr>
              <w:t xml:space="preserve"> f</w:t>
            </w:r>
            <w:r w:rsidRPr="00EA141D">
              <w:rPr>
                <w:sz w:val="20"/>
                <w:szCs w:val="20"/>
                <w:lang w:val="en-US"/>
              </w:rPr>
              <w:t xml:space="preserve">or the </w:t>
            </w:r>
            <w:r>
              <w:rPr>
                <w:sz w:val="20"/>
                <w:szCs w:val="20"/>
                <w:lang w:val="en-US"/>
              </w:rPr>
              <w:t>i</w:t>
            </w:r>
            <w:r w:rsidRPr="00EA141D">
              <w:rPr>
                <w:sz w:val="20"/>
                <w:szCs w:val="20"/>
                <w:lang w:val="en-US"/>
              </w:rPr>
              <w:t>ntervener</w:t>
            </w:r>
            <w:r>
              <w:rPr>
                <w:sz w:val="20"/>
                <w:szCs w:val="20"/>
                <w:lang w:val="en-US"/>
              </w:rPr>
              <w:t xml:space="preserve"> </w:t>
            </w:r>
            <w:r w:rsidRPr="00EA141D">
              <w:rPr>
                <w:sz w:val="20"/>
                <w:szCs w:val="20"/>
              </w:rPr>
              <w:t>Advocates</w:t>
            </w:r>
            <w:r>
              <w:rPr>
                <w:sz w:val="20"/>
                <w:szCs w:val="20"/>
              </w:rPr>
              <w:t>’</w:t>
            </w:r>
            <w:r w:rsidRPr="00EA141D">
              <w:rPr>
                <w:sz w:val="20"/>
                <w:szCs w:val="20"/>
              </w:rPr>
              <w:t xml:space="preserve"> Society.</w:t>
            </w:r>
          </w:p>
          <w:p w:rsidR="00740146" w:rsidRPr="00EA141D" w:rsidRDefault="00740146" w:rsidP="00740146">
            <w:pPr>
              <w:jc w:val="both"/>
              <w:rPr>
                <w:sz w:val="20"/>
                <w:szCs w:val="20"/>
              </w:rPr>
            </w:pPr>
          </w:p>
          <w:p w:rsidR="006B7E8F" w:rsidRPr="00EA0658" w:rsidRDefault="00740146" w:rsidP="00740146">
            <w:pPr>
              <w:jc w:val="both"/>
              <w:rPr>
                <w:sz w:val="20"/>
                <w:szCs w:val="20"/>
                <w:lang w:val="fr-CA"/>
              </w:rPr>
            </w:pPr>
            <w:r w:rsidRPr="00EA141D">
              <w:rPr>
                <w:sz w:val="20"/>
                <w:szCs w:val="20"/>
                <w:lang w:val="fr-CA"/>
              </w:rPr>
              <w:t xml:space="preserve">Raymond Doray </w:t>
            </w:r>
            <w:r>
              <w:rPr>
                <w:sz w:val="20"/>
                <w:szCs w:val="20"/>
                <w:lang w:val="fr-CA"/>
              </w:rPr>
              <w:t xml:space="preserve">and </w:t>
            </w:r>
            <w:r w:rsidRPr="00EA141D">
              <w:rPr>
                <w:sz w:val="20"/>
                <w:szCs w:val="20"/>
                <w:lang w:val="fr-CA"/>
              </w:rPr>
              <w:t>Loïc Berdnikoff</w:t>
            </w:r>
            <w:r>
              <w:rPr>
                <w:sz w:val="20"/>
                <w:szCs w:val="20"/>
                <w:lang w:val="fr-CA"/>
              </w:rPr>
              <w:t xml:space="preserve"> p</w:t>
            </w:r>
            <w:r w:rsidRPr="00EA141D">
              <w:rPr>
                <w:sz w:val="20"/>
                <w:szCs w:val="20"/>
                <w:lang w:val="fr-CA"/>
              </w:rPr>
              <w:t xml:space="preserve">our les </w:t>
            </w:r>
            <w:r>
              <w:rPr>
                <w:sz w:val="20"/>
                <w:szCs w:val="20"/>
                <w:lang w:val="fr-CA"/>
              </w:rPr>
              <w:t>i</w:t>
            </w:r>
            <w:r w:rsidRPr="00EA141D">
              <w:rPr>
                <w:sz w:val="20"/>
                <w:szCs w:val="20"/>
                <w:lang w:val="fr-CA"/>
              </w:rPr>
              <w:t>ntervenants</w:t>
            </w:r>
            <w:r>
              <w:rPr>
                <w:sz w:val="20"/>
                <w:szCs w:val="20"/>
                <w:lang w:val="fr-CA"/>
              </w:rPr>
              <w:t xml:space="preserve"> </w:t>
            </w:r>
            <w:r w:rsidRPr="00EA141D">
              <w:rPr>
                <w:sz w:val="20"/>
                <w:szCs w:val="20"/>
                <w:lang w:val="fr-CA"/>
              </w:rPr>
              <w:t>Barreau du Québec et al.</w:t>
            </w:r>
          </w:p>
        </w:tc>
      </w:tr>
    </w:tbl>
    <w:p w:rsidR="006B7E8F" w:rsidRPr="00EA0658" w:rsidRDefault="006B7E8F" w:rsidP="006B7E8F">
      <w:pPr>
        <w:widowControl w:val="0"/>
        <w:rPr>
          <w:sz w:val="20"/>
          <w:szCs w:val="20"/>
          <w:lang w:val="fr-CA"/>
        </w:rPr>
      </w:pPr>
    </w:p>
    <w:p w:rsidR="006B7E8F" w:rsidRPr="0085476B" w:rsidRDefault="006B7E8F" w:rsidP="006B7E8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B7E8F" w:rsidRDefault="006B7E8F" w:rsidP="006B7E8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B7E8F" w:rsidRPr="00FA68AD" w:rsidTr="006B7E8F">
        <w:tc>
          <w:tcPr>
            <w:tcW w:w="4380" w:type="dxa"/>
            <w:tcMar>
              <w:left w:w="0" w:type="dxa"/>
              <w:right w:w="0" w:type="dxa"/>
            </w:tcMar>
          </w:tcPr>
          <w:p w:rsidR="006B7E8F" w:rsidRPr="00CC4D84" w:rsidRDefault="006B7E8F" w:rsidP="006B7E8F">
            <w:pPr>
              <w:widowControl w:val="0"/>
              <w:jc w:val="both"/>
              <w:rPr>
                <w:b/>
                <w:sz w:val="20"/>
                <w:szCs w:val="20"/>
                <w:u w:val="single"/>
              </w:rPr>
            </w:pPr>
            <w:r w:rsidRPr="00CC4D84">
              <w:rPr>
                <w:b/>
                <w:sz w:val="20"/>
                <w:szCs w:val="20"/>
                <w:u w:val="single"/>
              </w:rPr>
              <w:t>Nature of the case:</w:t>
            </w:r>
          </w:p>
          <w:p w:rsidR="006B7E8F" w:rsidRPr="001A663B" w:rsidRDefault="006B7E8F" w:rsidP="006B7E8F">
            <w:pPr>
              <w:widowControl w:val="0"/>
              <w:jc w:val="both"/>
              <w:rPr>
                <w:b/>
                <w:sz w:val="20"/>
                <w:szCs w:val="20"/>
              </w:rPr>
            </w:pPr>
          </w:p>
          <w:p w:rsidR="006B7E8F" w:rsidRPr="00C1697B" w:rsidRDefault="002D039E" w:rsidP="006B7E8F">
            <w:pPr>
              <w:widowControl w:val="0"/>
              <w:jc w:val="both"/>
              <w:rPr>
                <w:b/>
                <w:sz w:val="20"/>
                <w:szCs w:val="20"/>
              </w:rPr>
            </w:pPr>
            <w:r w:rsidRPr="00396DD9">
              <w:rPr>
                <w:i/>
                <w:sz w:val="20"/>
                <w:szCs w:val="20"/>
              </w:rPr>
              <w:t>Charter of Rights and Freedoms</w:t>
            </w:r>
            <w:r w:rsidRPr="00396DD9">
              <w:rPr>
                <w:sz w:val="20"/>
                <w:szCs w:val="20"/>
              </w:rPr>
              <w:t xml:space="preserve"> - Constitutional Law - Fundamental justice - Right to life, liberty and security of the person - Search and seizure - Whether it is constitutionally permissible to impose obligations under the </w:t>
            </w:r>
            <w:r w:rsidRPr="00396DD9">
              <w:rPr>
                <w:i/>
                <w:iCs/>
                <w:sz w:val="20"/>
                <w:szCs w:val="20"/>
              </w:rPr>
              <w:t>Proceeds of Crime (Money Laundering) and Terrorist Financing Act</w:t>
            </w:r>
            <w:r w:rsidRPr="00396DD9">
              <w:rPr>
                <w:iCs/>
                <w:sz w:val="20"/>
                <w:szCs w:val="20"/>
              </w:rPr>
              <w:t>,</w:t>
            </w:r>
            <w:r w:rsidRPr="00396DD9">
              <w:rPr>
                <w:sz w:val="20"/>
                <w:szCs w:val="20"/>
              </w:rPr>
              <w:t xml:space="preserve"> S.C. 2000, c. 17, and its related Regulations on lawyers, notaries and law firms - Whether the </w:t>
            </w:r>
            <w:r w:rsidRPr="00396DD9">
              <w:rPr>
                <w:i/>
                <w:sz w:val="20"/>
                <w:szCs w:val="20"/>
              </w:rPr>
              <w:t xml:space="preserve">Act </w:t>
            </w:r>
            <w:r w:rsidRPr="00396DD9">
              <w:rPr>
                <w:sz w:val="20"/>
                <w:szCs w:val="20"/>
              </w:rPr>
              <w:t>and</w:t>
            </w:r>
            <w:r w:rsidRPr="00396DD9">
              <w:rPr>
                <w:i/>
                <w:sz w:val="20"/>
                <w:szCs w:val="20"/>
              </w:rPr>
              <w:t xml:space="preserve"> Regulations</w:t>
            </w:r>
            <w:r w:rsidRPr="00396DD9">
              <w:rPr>
                <w:sz w:val="20"/>
                <w:szCs w:val="20"/>
              </w:rPr>
              <w:t xml:space="preserve"> breach ss. 7 or 8 of the </w:t>
            </w:r>
            <w:r w:rsidRPr="00396DD9">
              <w:rPr>
                <w:i/>
                <w:sz w:val="20"/>
                <w:szCs w:val="20"/>
              </w:rPr>
              <w:t>Charter</w:t>
            </w:r>
            <w:r w:rsidRPr="00396DD9">
              <w:rPr>
                <w:sz w:val="20"/>
                <w:szCs w:val="20"/>
              </w:rPr>
              <w:t xml:space="preserve"> in a manner that fails to conform to principles of fundamental justice - </w:t>
            </w:r>
            <w:r w:rsidRPr="00396DD9">
              <w:rPr>
                <w:i/>
                <w:iCs/>
                <w:sz w:val="20"/>
                <w:szCs w:val="20"/>
              </w:rPr>
              <w:t>Proceeds of Crime (Money Laundering) and Terrorist Financing Act</w:t>
            </w:r>
            <w:r w:rsidRPr="00396DD9">
              <w:rPr>
                <w:iCs/>
                <w:sz w:val="20"/>
                <w:szCs w:val="20"/>
              </w:rPr>
              <w:t xml:space="preserve">, </w:t>
            </w:r>
            <w:r w:rsidRPr="00396DD9">
              <w:rPr>
                <w:sz w:val="20"/>
                <w:szCs w:val="20"/>
              </w:rPr>
              <w:t xml:space="preserve">ss. 5(i), 5(j), 62, 63, 63.1 or 64 - </w:t>
            </w:r>
            <w:r w:rsidRPr="00396DD9">
              <w:rPr>
                <w:i/>
                <w:sz w:val="20"/>
                <w:szCs w:val="20"/>
              </w:rPr>
              <w:t>Proceeds of Crime (Money Laundering) and Terrorist Financing Regulations</w:t>
            </w:r>
            <w:r w:rsidRPr="00396DD9">
              <w:rPr>
                <w:sz w:val="20"/>
                <w:szCs w:val="20"/>
              </w:rPr>
              <w:t>, SOR/2002-184, ss. 11.1, 33.3, 33.4 or 59.4</w:t>
            </w:r>
          </w:p>
        </w:tc>
        <w:tc>
          <w:tcPr>
            <w:tcW w:w="720" w:type="dxa"/>
            <w:tcMar>
              <w:left w:w="0" w:type="dxa"/>
              <w:right w:w="0" w:type="dxa"/>
            </w:tcMar>
          </w:tcPr>
          <w:p w:rsidR="006B7E8F" w:rsidRPr="00C1697B" w:rsidRDefault="006B7E8F" w:rsidP="006B7E8F">
            <w:pPr>
              <w:widowControl w:val="0"/>
              <w:jc w:val="center"/>
              <w:rPr>
                <w:sz w:val="20"/>
                <w:szCs w:val="20"/>
              </w:rPr>
            </w:pPr>
          </w:p>
        </w:tc>
        <w:tc>
          <w:tcPr>
            <w:tcW w:w="4380" w:type="dxa"/>
            <w:tcMar>
              <w:left w:w="0" w:type="dxa"/>
              <w:right w:w="0" w:type="dxa"/>
            </w:tcMar>
          </w:tcPr>
          <w:p w:rsidR="006B7E8F" w:rsidRPr="00CC4D84" w:rsidRDefault="006B7E8F" w:rsidP="006B7E8F">
            <w:pPr>
              <w:widowControl w:val="0"/>
              <w:jc w:val="both"/>
              <w:rPr>
                <w:b/>
                <w:sz w:val="20"/>
                <w:szCs w:val="20"/>
                <w:u w:val="single"/>
                <w:lang w:val="fr-CA"/>
              </w:rPr>
            </w:pPr>
            <w:r w:rsidRPr="00CC4D84">
              <w:rPr>
                <w:b/>
                <w:sz w:val="20"/>
                <w:szCs w:val="20"/>
                <w:u w:val="single"/>
                <w:lang w:val="fr-CA"/>
              </w:rPr>
              <w:t>Nature de la cause :</w:t>
            </w:r>
          </w:p>
          <w:p w:rsidR="006B7E8F" w:rsidRPr="00C1697B" w:rsidRDefault="006B7E8F" w:rsidP="006B7E8F">
            <w:pPr>
              <w:widowControl w:val="0"/>
              <w:jc w:val="both"/>
              <w:rPr>
                <w:sz w:val="20"/>
                <w:szCs w:val="20"/>
                <w:lang w:val="fr-CA"/>
              </w:rPr>
            </w:pPr>
          </w:p>
          <w:p w:rsidR="006B7E8F" w:rsidRPr="00C1697B" w:rsidRDefault="002D039E" w:rsidP="006B7E8F">
            <w:pPr>
              <w:widowControl w:val="0"/>
              <w:jc w:val="both"/>
              <w:rPr>
                <w:sz w:val="20"/>
                <w:szCs w:val="20"/>
                <w:lang w:val="fr-CA"/>
              </w:rPr>
            </w:pPr>
            <w:r w:rsidRPr="00220AD0">
              <w:rPr>
                <w:i/>
                <w:sz w:val="20"/>
                <w:szCs w:val="20"/>
                <w:lang w:val="fr-CA"/>
              </w:rPr>
              <w:t>Charte des droits et libertés</w:t>
            </w:r>
            <w:r w:rsidRPr="00220AD0">
              <w:rPr>
                <w:sz w:val="20"/>
                <w:szCs w:val="20"/>
                <w:lang w:val="fr-CA"/>
              </w:rPr>
              <w:t xml:space="preserve"> - Droit constitutionnel - Justice fondamentale - Droit à la vie, à la liberté et à la sécurité de la personne - Fouilles, perquisitions et saisies - La Constitution permet-elle d’imposer les obligations de la </w:t>
            </w:r>
            <w:r w:rsidRPr="00220AD0">
              <w:rPr>
                <w:i/>
                <w:sz w:val="20"/>
                <w:szCs w:val="20"/>
                <w:lang w:val="fr-CA"/>
              </w:rPr>
              <w:t>Loi sur le recyclage des produits de la criminalité et le financement des activités terroristes</w:t>
            </w:r>
            <w:r w:rsidRPr="00220AD0">
              <w:rPr>
                <w:sz w:val="20"/>
                <w:szCs w:val="20"/>
                <w:lang w:val="fr-CA"/>
              </w:rPr>
              <w:t xml:space="preserve">, L.C. 2000, ch. 17, et de son règlement d’application aux avocats, aux notaires et aux cabinets juridiques? - La </w:t>
            </w:r>
            <w:r w:rsidRPr="00220AD0">
              <w:rPr>
                <w:i/>
                <w:sz w:val="20"/>
                <w:szCs w:val="20"/>
                <w:lang w:val="fr-CA"/>
              </w:rPr>
              <w:t xml:space="preserve">Loi </w:t>
            </w:r>
            <w:r w:rsidRPr="00220AD0">
              <w:rPr>
                <w:sz w:val="20"/>
                <w:szCs w:val="20"/>
                <w:lang w:val="fr-CA"/>
              </w:rPr>
              <w:t xml:space="preserve">et son règlement d’application portent-ils atteinte à l’art. 7 ou à l’art. 8 de la </w:t>
            </w:r>
            <w:r w:rsidRPr="00220AD0">
              <w:rPr>
                <w:i/>
                <w:sz w:val="20"/>
                <w:szCs w:val="20"/>
                <w:lang w:val="fr-CA"/>
              </w:rPr>
              <w:t>Charte</w:t>
            </w:r>
            <w:r w:rsidRPr="00220AD0">
              <w:rPr>
                <w:sz w:val="20"/>
                <w:szCs w:val="20"/>
                <w:lang w:val="fr-CA"/>
              </w:rPr>
              <w:t xml:space="preserve"> d’une manière non conforme aux principes de justice fondamentale? - </w:t>
            </w:r>
            <w:r w:rsidRPr="00220AD0">
              <w:rPr>
                <w:i/>
                <w:iCs/>
                <w:sz w:val="20"/>
                <w:szCs w:val="20"/>
                <w:lang w:val="fr-CA"/>
              </w:rPr>
              <w:t>Loi sur le recyclage des produits de la criminalité et le financement des activités terroristes</w:t>
            </w:r>
            <w:r w:rsidRPr="00220AD0">
              <w:rPr>
                <w:iCs/>
                <w:sz w:val="20"/>
                <w:szCs w:val="20"/>
                <w:lang w:val="fr-CA"/>
              </w:rPr>
              <w:t>, art.</w:t>
            </w:r>
            <w:r w:rsidRPr="00220AD0">
              <w:rPr>
                <w:sz w:val="20"/>
                <w:szCs w:val="20"/>
                <w:lang w:val="fr-CA"/>
              </w:rPr>
              <w:t> 5</w:t>
            </w:r>
            <w:r w:rsidRPr="00220AD0">
              <w:rPr>
                <w:i/>
                <w:sz w:val="20"/>
                <w:szCs w:val="20"/>
                <w:lang w:val="fr-CA"/>
              </w:rPr>
              <w:t>i</w:t>
            </w:r>
            <w:r w:rsidRPr="00220AD0">
              <w:rPr>
                <w:sz w:val="20"/>
                <w:szCs w:val="20"/>
                <w:lang w:val="fr-CA"/>
              </w:rPr>
              <w:t>), 5</w:t>
            </w:r>
            <w:r w:rsidRPr="00220AD0">
              <w:rPr>
                <w:i/>
                <w:sz w:val="20"/>
                <w:szCs w:val="20"/>
                <w:lang w:val="fr-CA"/>
              </w:rPr>
              <w:t>j</w:t>
            </w:r>
            <w:r w:rsidRPr="00220AD0">
              <w:rPr>
                <w:sz w:val="20"/>
                <w:szCs w:val="20"/>
                <w:lang w:val="fr-CA"/>
              </w:rPr>
              <w:t xml:space="preserve">), 62, 63, 63.1 ou 64 - </w:t>
            </w:r>
            <w:r w:rsidRPr="00220AD0">
              <w:rPr>
                <w:i/>
                <w:sz w:val="20"/>
                <w:szCs w:val="20"/>
                <w:lang w:val="fr-CA"/>
              </w:rPr>
              <w:t>Règlement sur le recyclage des produits de la criminalité et le financement des activités terroristes</w:t>
            </w:r>
            <w:r w:rsidRPr="00220AD0">
              <w:rPr>
                <w:sz w:val="20"/>
                <w:szCs w:val="20"/>
                <w:lang w:val="fr-CA"/>
              </w:rPr>
              <w:t>, DORS/2002-184, art. 11.1, 33.3, 33.4 ou 59.4</w:t>
            </w:r>
          </w:p>
        </w:tc>
      </w:tr>
    </w:tbl>
    <w:p w:rsidR="006B7E8F" w:rsidRDefault="006B7E8F" w:rsidP="006B7E8F">
      <w:pPr>
        <w:widowControl w:val="0"/>
        <w:rPr>
          <w:sz w:val="20"/>
          <w:szCs w:val="20"/>
          <w:lang w:val="fr-CA"/>
        </w:rPr>
      </w:pPr>
    </w:p>
    <w:p w:rsidR="006B7E8F" w:rsidRDefault="00F27688" w:rsidP="006B7E8F">
      <w:pPr>
        <w:widowControl w:val="0"/>
        <w:rPr>
          <w:sz w:val="20"/>
          <w:szCs w:val="20"/>
        </w:rPr>
      </w:pPr>
      <w:r>
        <w:rPr>
          <w:sz w:val="20"/>
          <w:szCs w:val="20"/>
          <w:lang w:val="fr-CA"/>
        </w:rPr>
        <w:pict>
          <v:rect id="_x0000_i1105" style="width:2in;height:1pt" o:hrpct="0" o:hralign="center" o:hrstd="t" o:hrnoshade="t" o:hr="t" fillcolor="black [3213]" stroked="f"/>
        </w:pict>
      </w:r>
    </w:p>
    <w:p w:rsidR="006B7E8F" w:rsidRDefault="006B7E8F" w:rsidP="006B7E8F">
      <w:pPr>
        <w:widowControl w:val="0"/>
        <w:rPr>
          <w:sz w:val="20"/>
          <w:szCs w:val="20"/>
        </w:rPr>
      </w:pPr>
    </w:p>
    <w:p w:rsidR="006B7E8F" w:rsidRPr="00CE456F" w:rsidRDefault="006B7E8F" w:rsidP="006B7E8F">
      <w:pPr>
        <w:widowControl w:val="0"/>
        <w:rPr>
          <w:sz w:val="20"/>
          <w:szCs w:val="20"/>
        </w:rPr>
      </w:pPr>
      <w:r w:rsidRPr="00CE456F">
        <w:rPr>
          <w:sz w:val="20"/>
          <w:szCs w:val="20"/>
        </w:rPr>
        <w:t>1</w:t>
      </w:r>
      <w:r w:rsidR="00F4382D" w:rsidRPr="00CE456F">
        <w:rPr>
          <w:sz w:val="20"/>
          <w:szCs w:val="20"/>
        </w:rPr>
        <w:t>4</w:t>
      </w:r>
      <w:r w:rsidRPr="00CE456F">
        <w:rPr>
          <w:sz w:val="20"/>
          <w:szCs w:val="20"/>
        </w:rPr>
        <w:t>.05.2014</w:t>
      </w:r>
    </w:p>
    <w:p w:rsidR="006B7E8F" w:rsidRPr="00CE456F" w:rsidRDefault="006B7E8F" w:rsidP="006B7E8F">
      <w:pPr>
        <w:widowControl w:val="0"/>
        <w:rPr>
          <w:sz w:val="20"/>
          <w:szCs w:val="20"/>
        </w:rPr>
      </w:pPr>
    </w:p>
    <w:p w:rsidR="00F66694" w:rsidRPr="002D450E" w:rsidRDefault="00F66694" w:rsidP="00F66694">
      <w:pPr>
        <w:widowControl w:val="0"/>
        <w:ind w:left="720" w:hanging="720"/>
        <w:rPr>
          <w:sz w:val="20"/>
          <w:szCs w:val="20"/>
          <w:u w:val="single"/>
        </w:rPr>
      </w:pPr>
      <w:r w:rsidRPr="002D450E">
        <w:rPr>
          <w:sz w:val="20"/>
          <w:szCs w:val="20"/>
        </w:rPr>
        <w:t xml:space="preserve">Coram: </w:t>
      </w:r>
      <w:r w:rsidRPr="002D450E">
        <w:rPr>
          <w:sz w:val="20"/>
          <w:szCs w:val="20"/>
        </w:rPr>
        <w:tab/>
      </w:r>
      <w:r w:rsidRPr="002D450E">
        <w:rPr>
          <w:sz w:val="20"/>
          <w:szCs w:val="20"/>
          <w:u w:val="single"/>
        </w:rPr>
        <w:t>McLachlin C.J. and LeBel, Abella, Rothstein, Cromwell, Moldaver and Wagner JJ.</w:t>
      </w:r>
    </w:p>
    <w:p w:rsidR="006B7E8F" w:rsidRPr="006B7E8F" w:rsidRDefault="006B7E8F" w:rsidP="006B7E8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B7E8F" w:rsidRPr="00FA68AD" w:rsidTr="006B7E8F">
        <w:tc>
          <w:tcPr>
            <w:tcW w:w="4380" w:type="dxa"/>
            <w:tcMar>
              <w:left w:w="0" w:type="dxa"/>
              <w:right w:w="0" w:type="dxa"/>
            </w:tcMar>
          </w:tcPr>
          <w:p w:rsidR="006B7E8F" w:rsidRPr="00F4382D" w:rsidRDefault="00F4382D" w:rsidP="006B7E8F">
            <w:pPr>
              <w:widowControl w:val="0"/>
              <w:rPr>
                <w:b/>
                <w:sz w:val="20"/>
                <w:szCs w:val="20"/>
                <w:lang w:val="fr-CA"/>
              </w:rPr>
            </w:pPr>
            <w:r w:rsidRPr="00F4382D">
              <w:rPr>
                <w:b/>
                <w:sz w:val="20"/>
                <w:szCs w:val="20"/>
                <w:lang w:val="fr-CA"/>
              </w:rPr>
              <w:t>Canad</w:t>
            </w:r>
            <w:r w:rsidR="006B7E8F" w:rsidRPr="00F4382D">
              <w:rPr>
                <w:b/>
                <w:sz w:val="20"/>
                <w:szCs w:val="20"/>
                <w:lang w:val="fr-CA"/>
              </w:rPr>
              <w:t>i</w:t>
            </w:r>
            <w:r w:rsidRPr="00F4382D">
              <w:rPr>
                <w:b/>
                <w:sz w:val="20"/>
                <w:szCs w:val="20"/>
                <w:lang w:val="fr-CA"/>
              </w:rPr>
              <w:t>an Artists’ Representation / Front des artistes cana</w:t>
            </w:r>
            <w:r w:rsidR="006B7E8F" w:rsidRPr="00F4382D">
              <w:rPr>
                <w:b/>
                <w:sz w:val="20"/>
                <w:szCs w:val="20"/>
                <w:lang w:val="fr-CA"/>
              </w:rPr>
              <w:t>d</w:t>
            </w:r>
            <w:r w:rsidRPr="00F4382D">
              <w:rPr>
                <w:b/>
                <w:sz w:val="20"/>
                <w:szCs w:val="20"/>
                <w:lang w:val="fr-CA"/>
              </w:rPr>
              <w:t>i</w:t>
            </w:r>
            <w:r w:rsidR="006B7E8F" w:rsidRPr="00F4382D">
              <w:rPr>
                <w:b/>
                <w:sz w:val="20"/>
                <w:szCs w:val="20"/>
                <w:lang w:val="fr-CA"/>
              </w:rPr>
              <w:t>e</w:t>
            </w:r>
            <w:r w:rsidRPr="00F4382D">
              <w:rPr>
                <w:b/>
                <w:sz w:val="20"/>
                <w:szCs w:val="20"/>
                <w:lang w:val="fr-CA"/>
              </w:rPr>
              <w:t>ns et al.</w:t>
            </w:r>
            <w:r w:rsidR="006B7E8F" w:rsidRPr="00F4382D">
              <w:rPr>
                <w:b/>
                <w:sz w:val="20"/>
                <w:szCs w:val="20"/>
                <w:lang w:val="fr-CA"/>
              </w:rPr>
              <w:t xml:space="preserve"> </w:t>
            </w:r>
          </w:p>
          <w:p w:rsidR="006B7E8F" w:rsidRPr="00F4382D" w:rsidRDefault="006B7E8F" w:rsidP="006B7E8F">
            <w:pPr>
              <w:widowControl w:val="0"/>
              <w:rPr>
                <w:b/>
                <w:sz w:val="20"/>
                <w:szCs w:val="20"/>
                <w:lang w:val="fr-CA"/>
              </w:rPr>
            </w:pPr>
          </w:p>
          <w:p w:rsidR="006B7E8F" w:rsidRPr="006B7E8F" w:rsidRDefault="006B7E8F" w:rsidP="006B7E8F">
            <w:pPr>
              <w:widowControl w:val="0"/>
              <w:rPr>
                <w:b/>
                <w:sz w:val="20"/>
                <w:szCs w:val="20"/>
              </w:rPr>
            </w:pPr>
            <w:r w:rsidRPr="00F4382D">
              <w:rPr>
                <w:b/>
                <w:sz w:val="20"/>
                <w:szCs w:val="20"/>
                <w:lang w:val="fr-CA"/>
              </w:rPr>
              <w:tab/>
            </w:r>
            <w:r w:rsidRPr="006B7E8F">
              <w:rPr>
                <w:b/>
                <w:sz w:val="20"/>
                <w:szCs w:val="20"/>
              </w:rPr>
              <w:t>v.</w:t>
            </w:r>
            <w:r w:rsidR="00F66694">
              <w:rPr>
                <w:b/>
                <w:sz w:val="20"/>
                <w:szCs w:val="20"/>
              </w:rPr>
              <w:t xml:space="preserve"> </w:t>
            </w:r>
            <w:r w:rsidR="00F66694" w:rsidRPr="002D450E">
              <w:rPr>
                <w:sz w:val="20"/>
                <w:szCs w:val="20"/>
              </w:rPr>
              <w:t>(</w:t>
            </w:r>
            <w:hyperlink r:id="rId100" w:history="1">
              <w:r w:rsidR="00F66694" w:rsidRPr="002D450E">
                <w:rPr>
                  <w:rStyle w:val="Hyperlink"/>
                  <w:sz w:val="20"/>
                  <w:szCs w:val="20"/>
                </w:rPr>
                <w:t>35353</w:t>
              </w:r>
            </w:hyperlink>
            <w:r w:rsidR="00F66694" w:rsidRPr="002D450E">
              <w:rPr>
                <w:sz w:val="20"/>
                <w:szCs w:val="20"/>
              </w:rPr>
              <w:t>)</w:t>
            </w:r>
          </w:p>
          <w:p w:rsidR="006B7E8F" w:rsidRPr="006B7E8F" w:rsidRDefault="006B7E8F" w:rsidP="006B7E8F">
            <w:pPr>
              <w:widowControl w:val="0"/>
              <w:rPr>
                <w:b/>
                <w:sz w:val="20"/>
                <w:szCs w:val="20"/>
              </w:rPr>
            </w:pPr>
          </w:p>
          <w:p w:rsidR="006B7E8F" w:rsidRPr="00EA0658" w:rsidRDefault="006B7E8F" w:rsidP="00F4382D">
            <w:pPr>
              <w:widowControl w:val="0"/>
              <w:rPr>
                <w:sz w:val="20"/>
                <w:szCs w:val="20"/>
                <w:lang w:val="fr-CA"/>
              </w:rPr>
            </w:pPr>
            <w:r w:rsidRPr="006B7E8F">
              <w:rPr>
                <w:b/>
                <w:sz w:val="20"/>
                <w:szCs w:val="20"/>
              </w:rPr>
              <w:t>Nat</w:t>
            </w:r>
            <w:r w:rsidR="00F4382D">
              <w:rPr>
                <w:b/>
                <w:sz w:val="20"/>
                <w:szCs w:val="20"/>
              </w:rPr>
              <w:t>i</w:t>
            </w:r>
            <w:r w:rsidRPr="006B7E8F">
              <w:rPr>
                <w:b/>
                <w:sz w:val="20"/>
                <w:szCs w:val="20"/>
              </w:rPr>
              <w:t>o</w:t>
            </w:r>
            <w:r w:rsidR="00F4382D">
              <w:rPr>
                <w:b/>
                <w:sz w:val="20"/>
                <w:szCs w:val="20"/>
              </w:rPr>
              <w:t>n</w:t>
            </w:r>
            <w:r w:rsidRPr="006B7E8F">
              <w:rPr>
                <w:b/>
                <w:sz w:val="20"/>
                <w:szCs w:val="20"/>
              </w:rPr>
              <w:t>a</w:t>
            </w:r>
            <w:r w:rsidR="00F4382D">
              <w:rPr>
                <w:b/>
                <w:sz w:val="20"/>
                <w:szCs w:val="20"/>
              </w:rPr>
              <w:t>l G</w:t>
            </w:r>
            <w:r w:rsidRPr="006B7E8F">
              <w:rPr>
                <w:b/>
                <w:sz w:val="20"/>
                <w:szCs w:val="20"/>
              </w:rPr>
              <w:t>al</w:t>
            </w:r>
            <w:r w:rsidR="00F4382D">
              <w:rPr>
                <w:b/>
                <w:sz w:val="20"/>
                <w:szCs w:val="20"/>
              </w:rPr>
              <w:t>le</w:t>
            </w:r>
            <w:r w:rsidRPr="006B7E8F">
              <w:rPr>
                <w:b/>
                <w:sz w:val="20"/>
                <w:szCs w:val="20"/>
              </w:rPr>
              <w:t>r</w:t>
            </w:r>
            <w:r w:rsidR="00F4382D">
              <w:rPr>
                <w:b/>
                <w:sz w:val="20"/>
                <w:szCs w:val="20"/>
              </w:rPr>
              <w:t xml:space="preserve">y </w:t>
            </w:r>
            <w:r w:rsidRPr="006B7E8F">
              <w:rPr>
                <w:b/>
                <w:sz w:val="20"/>
                <w:szCs w:val="20"/>
              </w:rPr>
              <w:t xml:space="preserve">of </w:t>
            </w:r>
            <w:r w:rsidR="00F4382D">
              <w:rPr>
                <w:b/>
                <w:sz w:val="20"/>
                <w:szCs w:val="20"/>
              </w:rPr>
              <w:t>Ca</w:t>
            </w:r>
            <w:r w:rsidRPr="006B7E8F">
              <w:rPr>
                <w:b/>
                <w:sz w:val="20"/>
                <w:szCs w:val="20"/>
              </w:rPr>
              <w:t>n</w:t>
            </w:r>
            <w:r w:rsidR="00F4382D">
              <w:rPr>
                <w:b/>
                <w:sz w:val="20"/>
                <w:szCs w:val="20"/>
              </w:rPr>
              <w:t>ada</w:t>
            </w:r>
            <w:r w:rsidRPr="006B7E8F">
              <w:rPr>
                <w:b/>
                <w:sz w:val="20"/>
                <w:szCs w:val="20"/>
              </w:rPr>
              <w:t xml:space="preserve"> (</w:t>
            </w:r>
            <w:r w:rsidR="00F4382D">
              <w:rPr>
                <w:b/>
                <w:sz w:val="20"/>
                <w:szCs w:val="20"/>
              </w:rPr>
              <w:t>F.C.</w:t>
            </w:r>
            <w:r w:rsidRPr="006B7E8F">
              <w:rPr>
                <w:b/>
                <w:sz w:val="20"/>
                <w:szCs w:val="20"/>
              </w:rPr>
              <w:t xml:space="preserve">) </w:t>
            </w:r>
            <w:r w:rsidRPr="00E75133">
              <w:rPr>
                <w:b/>
                <w:sz w:val="20"/>
                <w:szCs w:val="20"/>
                <w:lang w:val="fr-CA"/>
              </w:rPr>
              <w:t>(Civil) (</w:t>
            </w:r>
            <w:r>
              <w:rPr>
                <w:b/>
                <w:sz w:val="20"/>
                <w:szCs w:val="20"/>
                <w:lang w:val="fr-CA"/>
              </w:rPr>
              <w:t>By</w:t>
            </w:r>
            <w:r w:rsidR="00F4382D">
              <w:rPr>
                <w:b/>
                <w:sz w:val="20"/>
                <w:szCs w:val="20"/>
                <w:lang w:val="fr-CA"/>
              </w:rPr>
              <w:t> </w:t>
            </w:r>
            <w:r>
              <w:rPr>
                <w:b/>
                <w:sz w:val="20"/>
                <w:szCs w:val="20"/>
                <w:lang w:val="fr-CA"/>
              </w:rPr>
              <w:t>Le</w:t>
            </w:r>
            <w:r w:rsidRPr="00E75133">
              <w:rPr>
                <w:b/>
                <w:sz w:val="20"/>
                <w:szCs w:val="20"/>
                <w:lang w:val="fr-CA"/>
              </w:rPr>
              <w:t>a</w:t>
            </w:r>
            <w:r>
              <w:rPr>
                <w:b/>
                <w:sz w:val="20"/>
                <w:szCs w:val="20"/>
                <w:lang w:val="fr-CA"/>
              </w:rPr>
              <w:t>ve</w:t>
            </w:r>
            <w:r w:rsidRPr="00E75133">
              <w:rPr>
                <w:b/>
                <w:sz w:val="20"/>
                <w:szCs w:val="20"/>
                <w:lang w:val="fr-CA"/>
              </w:rPr>
              <w:t>)</w:t>
            </w:r>
            <w:r w:rsidRPr="00E75133">
              <w:rPr>
                <w:sz w:val="20"/>
                <w:szCs w:val="20"/>
                <w:lang w:val="fr-CA"/>
              </w:rPr>
              <w:t xml:space="preserve"> </w:t>
            </w:r>
          </w:p>
        </w:tc>
        <w:tc>
          <w:tcPr>
            <w:tcW w:w="720" w:type="dxa"/>
            <w:tcMar>
              <w:left w:w="0" w:type="dxa"/>
              <w:right w:w="0" w:type="dxa"/>
            </w:tcMar>
          </w:tcPr>
          <w:p w:rsidR="006B7E8F" w:rsidRPr="00EA0658" w:rsidRDefault="006B7E8F" w:rsidP="006B7E8F">
            <w:pPr>
              <w:widowControl w:val="0"/>
              <w:jc w:val="center"/>
              <w:rPr>
                <w:sz w:val="20"/>
                <w:szCs w:val="20"/>
                <w:lang w:val="fr-CA"/>
              </w:rPr>
            </w:pPr>
          </w:p>
        </w:tc>
        <w:tc>
          <w:tcPr>
            <w:tcW w:w="4380" w:type="dxa"/>
            <w:tcMar>
              <w:left w:w="0" w:type="dxa"/>
              <w:right w:w="0" w:type="dxa"/>
            </w:tcMar>
          </w:tcPr>
          <w:p w:rsidR="00740146" w:rsidRDefault="00740146" w:rsidP="00740146">
            <w:pPr>
              <w:jc w:val="both"/>
              <w:rPr>
                <w:sz w:val="20"/>
                <w:szCs w:val="20"/>
              </w:rPr>
            </w:pPr>
            <w:r w:rsidRPr="00B2391A">
              <w:rPr>
                <w:sz w:val="20"/>
                <w:szCs w:val="20"/>
              </w:rPr>
              <w:t>David Yazbeck</w:t>
            </w:r>
            <w:r>
              <w:rPr>
                <w:sz w:val="20"/>
                <w:szCs w:val="20"/>
              </w:rPr>
              <w:t xml:space="preserve">, </w:t>
            </w:r>
            <w:r w:rsidRPr="00B2391A">
              <w:rPr>
                <w:sz w:val="20"/>
                <w:szCs w:val="20"/>
              </w:rPr>
              <w:t>Michael Fisher</w:t>
            </w:r>
            <w:r>
              <w:rPr>
                <w:sz w:val="20"/>
                <w:szCs w:val="20"/>
              </w:rPr>
              <w:t xml:space="preserve"> and </w:t>
            </w:r>
            <w:r w:rsidRPr="00B2391A">
              <w:rPr>
                <w:sz w:val="20"/>
                <w:szCs w:val="20"/>
              </w:rPr>
              <w:t>Wassim Garzouzi</w:t>
            </w:r>
            <w:r>
              <w:rPr>
                <w:sz w:val="20"/>
                <w:szCs w:val="20"/>
              </w:rPr>
              <w:t xml:space="preserve"> f</w:t>
            </w:r>
            <w:r w:rsidRPr="00B2391A">
              <w:rPr>
                <w:sz w:val="20"/>
                <w:szCs w:val="20"/>
              </w:rPr>
              <w:t xml:space="preserve">or the </w:t>
            </w:r>
            <w:r>
              <w:rPr>
                <w:sz w:val="20"/>
                <w:szCs w:val="20"/>
              </w:rPr>
              <w:t>a</w:t>
            </w:r>
            <w:r w:rsidRPr="00B2391A">
              <w:rPr>
                <w:sz w:val="20"/>
                <w:szCs w:val="20"/>
              </w:rPr>
              <w:t>ppellant</w:t>
            </w:r>
            <w:r>
              <w:rPr>
                <w:sz w:val="20"/>
                <w:szCs w:val="20"/>
              </w:rPr>
              <w:t>.</w:t>
            </w:r>
          </w:p>
          <w:p w:rsidR="00740146" w:rsidRPr="00B2391A" w:rsidRDefault="00740146" w:rsidP="00740146">
            <w:pPr>
              <w:jc w:val="both"/>
              <w:rPr>
                <w:sz w:val="20"/>
                <w:szCs w:val="20"/>
              </w:rPr>
            </w:pPr>
          </w:p>
          <w:p w:rsidR="00740146" w:rsidRPr="00B2391A" w:rsidRDefault="00740146" w:rsidP="00740146">
            <w:pPr>
              <w:jc w:val="both"/>
              <w:rPr>
                <w:sz w:val="20"/>
                <w:szCs w:val="20"/>
              </w:rPr>
            </w:pPr>
            <w:r w:rsidRPr="00B2391A">
              <w:rPr>
                <w:sz w:val="20"/>
                <w:szCs w:val="20"/>
              </w:rPr>
              <w:t>Joshua S. Phillips</w:t>
            </w:r>
            <w:r w:rsidRPr="00B2391A">
              <w:rPr>
                <w:sz w:val="20"/>
                <w:szCs w:val="20"/>
              </w:rPr>
              <w:tab/>
            </w:r>
            <w:r>
              <w:rPr>
                <w:sz w:val="20"/>
                <w:szCs w:val="20"/>
              </w:rPr>
              <w:t xml:space="preserve"> and </w:t>
            </w:r>
            <w:r w:rsidRPr="00B2391A">
              <w:rPr>
                <w:sz w:val="20"/>
                <w:szCs w:val="20"/>
              </w:rPr>
              <w:t>Karen Ensslen</w:t>
            </w:r>
            <w:r>
              <w:rPr>
                <w:sz w:val="20"/>
                <w:szCs w:val="20"/>
              </w:rPr>
              <w:t xml:space="preserve"> f</w:t>
            </w:r>
            <w:r w:rsidRPr="00B2391A">
              <w:rPr>
                <w:sz w:val="20"/>
                <w:szCs w:val="20"/>
              </w:rPr>
              <w:t xml:space="preserve">or the </w:t>
            </w:r>
            <w:r>
              <w:rPr>
                <w:sz w:val="20"/>
                <w:szCs w:val="20"/>
              </w:rPr>
              <w:t>i</w:t>
            </w:r>
            <w:r w:rsidRPr="00B2391A">
              <w:rPr>
                <w:sz w:val="20"/>
                <w:szCs w:val="20"/>
              </w:rPr>
              <w:t>ntervener</w:t>
            </w:r>
            <w:r>
              <w:rPr>
                <w:sz w:val="20"/>
                <w:szCs w:val="20"/>
              </w:rPr>
              <w:t xml:space="preserve"> </w:t>
            </w:r>
            <w:r w:rsidRPr="00B2391A">
              <w:rPr>
                <w:sz w:val="20"/>
                <w:szCs w:val="20"/>
              </w:rPr>
              <w:t>Writers Guild of Canada and Canadian Screenwriters Collection Society</w:t>
            </w:r>
            <w:r>
              <w:rPr>
                <w:sz w:val="20"/>
                <w:szCs w:val="20"/>
              </w:rPr>
              <w:t>.</w:t>
            </w:r>
          </w:p>
          <w:p w:rsidR="00740146" w:rsidRPr="00B2391A" w:rsidRDefault="00740146" w:rsidP="00740146">
            <w:pPr>
              <w:jc w:val="both"/>
              <w:rPr>
                <w:sz w:val="20"/>
                <w:szCs w:val="20"/>
              </w:rPr>
            </w:pPr>
          </w:p>
          <w:p w:rsidR="00740146" w:rsidRDefault="00740146" w:rsidP="00740146">
            <w:pPr>
              <w:jc w:val="both"/>
              <w:rPr>
                <w:sz w:val="20"/>
                <w:szCs w:val="20"/>
              </w:rPr>
            </w:pPr>
            <w:r w:rsidRPr="00B2391A">
              <w:rPr>
                <w:sz w:val="20"/>
                <w:szCs w:val="20"/>
              </w:rPr>
              <w:t>Guy P. Dancosse</w:t>
            </w:r>
            <w:r>
              <w:rPr>
                <w:sz w:val="20"/>
                <w:szCs w:val="20"/>
              </w:rPr>
              <w:t xml:space="preserve">, </w:t>
            </w:r>
            <w:r w:rsidRPr="00B2391A">
              <w:rPr>
                <w:sz w:val="20"/>
                <w:szCs w:val="20"/>
              </w:rPr>
              <w:t>Sophie Roy-Lafleur and Guy Régimbald</w:t>
            </w:r>
            <w:r>
              <w:rPr>
                <w:sz w:val="20"/>
                <w:szCs w:val="20"/>
              </w:rPr>
              <w:t xml:space="preserve"> f</w:t>
            </w:r>
            <w:r w:rsidRPr="00B2391A">
              <w:rPr>
                <w:sz w:val="20"/>
                <w:szCs w:val="20"/>
              </w:rPr>
              <w:t xml:space="preserve">or the </w:t>
            </w:r>
            <w:r>
              <w:rPr>
                <w:sz w:val="20"/>
                <w:szCs w:val="20"/>
              </w:rPr>
              <w:t>r</w:t>
            </w:r>
            <w:r w:rsidRPr="00B2391A">
              <w:rPr>
                <w:sz w:val="20"/>
                <w:szCs w:val="20"/>
              </w:rPr>
              <w:t>espondent</w:t>
            </w:r>
            <w:r>
              <w:rPr>
                <w:sz w:val="20"/>
                <w:szCs w:val="20"/>
              </w:rPr>
              <w:t>.</w:t>
            </w:r>
          </w:p>
          <w:p w:rsidR="00740146" w:rsidRDefault="00740146" w:rsidP="00740146">
            <w:pPr>
              <w:jc w:val="both"/>
              <w:rPr>
                <w:sz w:val="20"/>
                <w:szCs w:val="20"/>
              </w:rPr>
            </w:pPr>
          </w:p>
          <w:p w:rsidR="006B7E8F" w:rsidRPr="00EA0658" w:rsidRDefault="00740146" w:rsidP="00740146">
            <w:pPr>
              <w:widowControl w:val="0"/>
              <w:jc w:val="both"/>
              <w:rPr>
                <w:sz w:val="20"/>
                <w:szCs w:val="20"/>
                <w:lang w:val="fr-CA"/>
              </w:rPr>
            </w:pPr>
            <w:r w:rsidRPr="00B2391A">
              <w:rPr>
                <w:sz w:val="20"/>
                <w:szCs w:val="20"/>
                <w:lang w:val="fr-CA"/>
              </w:rPr>
              <w:t>Colette Matteau</w:t>
            </w:r>
            <w:r>
              <w:rPr>
                <w:sz w:val="20"/>
                <w:szCs w:val="20"/>
                <w:lang w:val="fr-CA"/>
              </w:rPr>
              <w:t xml:space="preserve"> p</w:t>
            </w:r>
            <w:r w:rsidRPr="00B2391A">
              <w:rPr>
                <w:sz w:val="20"/>
                <w:szCs w:val="20"/>
                <w:lang w:val="fr-CA"/>
              </w:rPr>
              <w:t>our les intervenants</w:t>
            </w:r>
            <w:r>
              <w:rPr>
                <w:sz w:val="20"/>
                <w:szCs w:val="20"/>
                <w:lang w:val="fr-CA"/>
              </w:rPr>
              <w:t xml:space="preserve"> </w:t>
            </w:r>
            <w:r w:rsidRPr="00B2391A">
              <w:rPr>
                <w:sz w:val="20"/>
                <w:szCs w:val="20"/>
                <w:lang w:val="fr-CA"/>
              </w:rPr>
              <w:t>Société du droit de reproduction des auteurs</w:t>
            </w:r>
            <w:r>
              <w:rPr>
                <w:sz w:val="20"/>
                <w:szCs w:val="20"/>
                <w:lang w:val="fr-CA"/>
              </w:rPr>
              <w:t xml:space="preserve"> </w:t>
            </w:r>
            <w:r w:rsidRPr="00B2391A">
              <w:rPr>
                <w:sz w:val="20"/>
                <w:szCs w:val="20"/>
                <w:lang w:val="fr-CA"/>
              </w:rPr>
              <w:t xml:space="preserve">Compositeurs et éditeurs </w:t>
            </w:r>
            <w:r w:rsidRPr="00B2391A">
              <w:rPr>
                <w:sz w:val="20"/>
                <w:szCs w:val="20"/>
                <w:lang w:val="fr-CA"/>
              </w:rPr>
              <w:lastRenderedPageBreak/>
              <w:t>du Canada et SODRAC 2003 Inc.</w:t>
            </w:r>
          </w:p>
        </w:tc>
      </w:tr>
    </w:tbl>
    <w:p w:rsidR="006B7E8F" w:rsidRPr="00EA0658" w:rsidRDefault="006B7E8F" w:rsidP="006B7E8F">
      <w:pPr>
        <w:widowControl w:val="0"/>
        <w:rPr>
          <w:sz w:val="20"/>
          <w:szCs w:val="20"/>
          <w:lang w:val="fr-CA"/>
        </w:rPr>
      </w:pPr>
    </w:p>
    <w:p w:rsidR="00F66694" w:rsidRPr="003200C7" w:rsidRDefault="00F66694" w:rsidP="00F66694">
      <w:pPr>
        <w:widowControl w:val="0"/>
        <w:rPr>
          <w:sz w:val="20"/>
          <w:szCs w:val="20"/>
        </w:rPr>
      </w:pPr>
      <w:r>
        <w:rPr>
          <w:b/>
          <w:sz w:val="20"/>
          <w:szCs w:val="20"/>
        </w:rPr>
        <w:t>ALLOW</w:t>
      </w:r>
      <w:r w:rsidRPr="0085476B">
        <w:rPr>
          <w:b/>
          <w:sz w:val="20"/>
          <w:szCs w:val="20"/>
        </w:rPr>
        <w:t xml:space="preserve">ED </w:t>
      </w:r>
      <w:r w:rsidR="003200C7">
        <w:rPr>
          <w:b/>
          <w:sz w:val="20"/>
          <w:szCs w:val="20"/>
        </w:rPr>
        <w:t xml:space="preserve">(Reasons to follow) </w:t>
      </w:r>
      <w:r w:rsidRPr="0085476B">
        <w:rPr>
          <w:b/>
          <w:sz w:val="20"/>
          <w:szCs w:val="20"/>
        </w:rPr>
        <w:t xml:space="preserve">/ </w:t>
      </w:r>
      <w:r>
        <w:rPr>
          <w:b/>
          <w:sz w:val="20"/>
          <w:szCs w:val="20"/>
        </w:rPr>
        <w:t>ACCU</w:t>
      </w:r>
      <w:r w:rsidRPr="003200C7">
        <w:rPr>
          <w:b/>
          <w:sz w:val="20"/>
          <w:szCs w:val="20"/>
        </w:rPr>
        <w:t>EILLI</w:t>
      </w:r>
      <w:r w:rsidR="003200C7" w:rsidRPr="003200C7">
        <w:rPr>
          <w:b/>
          <w:sz w:val="20"/>
          <w:szCs w:val="20"/>
        </w:rPr>
        <w:t xml:space="preserve"> (</w:t>
      </w:r>
      <w:r w:rsidR="003200C7">
        <w:rPr>
          <w:b/>
          <w:sz w:val="20"/>
          <w:szCs w:val="20"/>
        </w:rPr>
        <w:t>m</w:t>
      </w:r>
      <w:r w:rsidR="003200C7" w:rsidRPr="003200C7">
        <w:rPr>
          <w:b/>
          <w:sz w:val="20"/>
          <w:szCs w:val="20"/>
        </w:rPr>
        <w:t xml:space="preserve">otifs </w:t>
      </w:r>
      <w:r w:rsidR="003200C7">
        <w:rPr>
          <w:b/>
          <w:sz w:val="20"/>
          <w:szCs w:val="20"/>
        </w:rPr>
        <w:t>à suivre)</w:t>
      </w:r>
    </w:p>
    <w:p w:rsidR="00F66694" w:rsidRPr="005E31A3" w:rsidRDefault="00F66694" w:rsidP="00F6669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66694" w:rsidRPr="00FA68AD" w:rsidTr="00F66694">
        <w:tc>
          <w:tcPr>
            <w:tcW w:w="4380" w:type="dxa"/>
            <w:tcMar>
              <w:left w:w="0" w:type="dxa"/>
              <w:right w:w="0" w:type="dxa"/>
            </w:tcMar>
          </w:tcPr>
          <w:p w:rsidR="00F66694" w:rsidRPr="00CC4D84" w:rsidRDefault="00F66694" w:rsidP="00F66694">
            <w:pPr>
              <w:widowControl w:val="0"/>
              <w:jc w:val="both"/>
              <w:rPr>
                <w:b/>
                <w:sz w:val="20"/>
                <w:szCs w:val="20"/>
                <w:u w:val="single"/>
              </w:rPr>
            </w:pPr>
            <w:r>
              <w:rPr>
                <w:b/>
                <w:sz w:val="20"/>
                <w:szCs w:val="20"/>
                <w:u w:val="single"/>
              </w:rPr>
              <w:t>JUDGMENT</w:t>
            </w:r>
            <w:r w:rsidRPr="00CC4D84">
              <w:rPr>
                <w:b/>
                <w:sz w:val="20"/>
                <w:szCs w:val="20"/>
                <w:u w:val="single"/>
              </w:rPr>
              <w:t>:</w:t>
            </w:r>
          </w:p>
          <w:p w:rsidR="00F66694" w:rsidRPr="001A663B" w:rsidRDefault="00F66694" w:rsidP="00F66694">
            <w:pPr>
              <w:widowControl w:val="0"/>
              <w:jc w:val="both"/>
              <w:rPr>
                <w:b/>
                <w:sz w:val="20"/>
                <w:szCs w:val="20"/>
              </w:rPr>
            </w:pPr>
          </w:p>
          <w:p w:rsidR="00724899" w:rsidRPr="005B77C6" w:rsidRDefault="00724899" w:rsidP="00724899">
            <w:pPr>
              <w:jc w:val="both"/>
              <w:rPr>
                <w:rFonts w:cs="Times New Roman"/>
                <w:sz w:val="20"/>
                <w:szCs w:val="20"/>
              </w:rPr>
            </w:pPr>
            <w:r w:rsidRPr="005B77C6">
              <w:rPr>
                <w:rFonts w:cs="Times New Roman"/>
                <w:sz w:val="20"/>
                <w:szCs w:val="20"/>
              </w:rPr>
              <w:t xml:space="preserve">The appeal from the judgment of the Federal Court of Appeal, Number A-84-12, 2013 FCA 64, dated March 4, 2013, was heard on May 14, 2014, and the Court on that day delivered the following judgment orally: </w:t>
            </w:r>
          </w:p>
          <w:p w:rsidR="00724899" w:rsidRPr="005B77C6" w:rsidRDefault="00724899" w:rsidP="00724899">
            <w:pPr>
              <w:jc w:val="both"/>
              <w:rPr>
                <w:rFonts w:cs="Times New Roman"/>
                <w:sz w:val="20"/>
                <w:szCs w:val="20"/>
              </w:rPr>
            </w:pPr>
          </w:p>
          <w:p w:rsidR="00724899" w:rsidRDefault="00724899" w:rsidP="00724899">
            <w:pPr>
              <w:jc w:val="both"/>
              <w:rPr>
                <w:rFonts w:cs="Times New Roman"/>
                <w:smallCaps/>
                <w:sz w:val="20"/>
                <w:szCs w:val="20"/>
              </w:rPr>
            </w:pPr>
          </w:p>
          <w:p w:rsidR="00F66694" w:rsidRPr="00C1697B" w:rsidRDefault="00724899" w:rsidP="00724899">
            <w:pPr>
              <w:jc w:val="both"/>
              <w:rPr>
                <w:b/>
                <w:sz w:val="20"/>
                <w:szCs w:val="20"/>
              </w:rPr>
            </w:pPr>
            <w:r w:rsidRPr="005B77C6">
              <w:rPr>
                <w:rFonts w:cs="Times New Roman"/>
                <w:smallCaps/>
                <w:sz w:val="20"/>
                <w:szCs w:val="20"/>
              </w:rPr>
              <w:t xml:space="preserve">The Chief Justice — </w:t>
            </w:r>
            <w:r w:rsidRPr="005B77C6">
              <w:rPr>
                <w:rFonts w:cs="Times New Roman"/>
                <w:sz w:val="20"/>
                <w:szCs w:val="20"/>
              </w:rPr>
              <w:t>The appeal is allowed, with reasons to follow.</w:t>
            </w:r>
          </w:p>
        </w:tc>
        <w:tc>
          <w:tcPr>
            <w:tcW w:w="720" w:type="dxa"/>
            <w:tcMar>
              <w:left w:w="0" w:type="dxa"/>
              <w:right w:w="0" w:type="dxa"/>
            </w:tcMar>
          </w:tcPr>
          <w:p w:rsidR="00F66694" w:rsidRPr="00C1697B" w:rsidRDefault="00F66694" w:rsidP="00F66694">
            <w:pPr>
              <w:widowControl w:val="0"/>
              <w:jc w:val="center"/>
              <w:rPr>
                <w:sz w:val="20"/>
                <w:szCs w:val="20"/>
              </w:rPr>
            </w:pPr>
          </w:p>
        </w:tc>
        <w:tc>
          <w:tcPr>
            <w:tcW w:w="4380" w:type="dxa"/>
            <w:tcMar>
              <w:left w:w="0" w:type="dxa"/>
              <w:right w:w="0" w:type="dxa"/>
            </w:tcMar>
          </w:tcPr>
          <w:p w:rsidR="00F66694" w:rsidRPr="00CC4D84" w:rsidRDefault="00F66694" w:rsidP="00F6669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F66694" w:rsidRPr="00BD0326" w:rsidRDefault="00F66694" w:rsidP="00F66694">
            <w:pPr>
              <w:jc w:val="both"/>
              <w:rPr>
                <w:sz w:val="20"/>
                <w:szCs w:val="20"/>
                <w:lang w:val="fr-CA"/>
              </w:rPr>
            </w:pPr>
          </w:p>
          <w:p w:rsidR="00724899" w:rsidRPr="005B77C6" w:rsidRDefault="00724899" w:rsidP="00724899">
            <w:pPr>
              <w:jc w:val="both"/>
              <w:rPr>
                <w:rFonts w:cs="Times New Roman"/>
                <w:sz w:val="20"/>
                <w:szCs w:val="20"/>
                <w:lang w:val="fr-CA"/>
              </w:rPr>
            </w:pPr>
            <w:r w:rsidRPr="005B77C6">
              <w:rPr>
                <w:rFonts w:cs="Times New Roman"/>
                <w:sz w:val="20"/>
                <w:szCs w:val="20"/>
                <w:lang w:val="fr-CA"/>
              </w:rPr>
              <w:t>L’appel interjeté contre l’arrêt de la Cour d’appel fédérale, numéro A-84-12, 2013 CAF 64, en date du 4 mars 2013, a été entendu le 14 mai 2014, et la Cour a prononcé oralement le même jour le jugement suivant</w:t>
            </w:r>
            <w:r>
              <w:rPr>
                <w:rFonts w:cs="Times New Roman"/>
                <w:sz w:val="20"/>
                <w:szCs w:val="20"/>
                <w:lang w:val="fr-CA"/>
              </w:rPr>
              <w:t> </w:t>
            </w:r>
            <w:r w:rsidRPr="005B77C6">
              <w:rPr>
                <w:rFonts w:cs="Times New Roman"/>
                <w:sz w:val="20"/>
                <w:szCs w:val="20"/>
                <w:lang w:val="fr-CA"/>
              </w:rPr>
              <w:t>:</w:t>
            </w:r>
          </w:p>
          <w:p w:rsidR="00724899" w:rsidRPr="005B77C6" w:rsidRDefault="00724899" w:rsidP="00724899">
            <w:pPr>
              <w:jc w:val="both"/>
              <w:rPr>
                <w:rFonts w:cs="Times New Roman"/>
                <w:sz w:val="20"/>
                <w:szCs w:val="20"/>
                <w:lang w:val="fr-CA"/>
              </w:rPr>
            </w:pPr>
          </w:p>
          <w:p w:rsidR="00724899" w:rsidRPr="005B77C6" w:rsidRDefault="00724899" w:rsidP="00724899">
            <w:pPr>
              <w:jc w:val="both"/>
              <w:rPr>
                <w:rFonts w:cs="Times New Roman"/>
                <w:sz w:val="20"/>
                <w:szCs w:val="20"/>
                <w:lang w:val="fr-CA"/>
              </w:rPr>
            </w:pPr>
            <w:r w:rsidRPr="005B77C6">
              <w:rPr>
                <w:rFonts w:cs="Times New Roman"/>
                <w:sz w:val="20"/>
                <w:szCs w:val="20"/>
                <w:lang w:val="fr-CA"/>
              </w:rPr>
              <w:t>[</w:t>
            </w:r>
            <w:r w:rsidRPr="005B77C6">
              <w:rPr>
                <w:rFonts w:cs="Times New Roman"/>
                <w:smallCaps/>
                <w:sz w:val="20"/>
                <w:szCs w:val="20"/>
                <w:lang w:val="fr-CA"/>
              </w:rPr>
              <w:t>traduction</w:t>
            </w:r>
            <w:r w:rsidRPr="005B77C6">
              <w:rPr>
                <w:rFonts w:cs="Times New Roman"/>
                <w:sz w:val="20"/>
                <w:szCs w:val="20"/>
                <w:lang w:val="fr-CA"/>
              </w:rPr>
              <w:t>]</w:t>
            </w:r>
          </w:p>
          <w:p w:rsidR="00F66694" w:rsidRPr="00C1697B" w:rsidRDefault="00724899" w:rsidP="00724899">
            <w:pPr>
              <w:jc w:val="both"/>
              <w:rPr>
                <w:sz w:val="20"/>
                <w:szCs w:val="20"/>
                <w:lang w:val="fr-CA"/>
              </w:rPr>
            </w:pPr>
            <w:r w:rsidRPr="005B77C6">
              <w:rPr>
                <w:rFonts w:cs="Times New Roman"/>
                <w:smallCaps/>
                <w:sz w:val="20"/>
                <w:szCs w:val="20"/>
                <w:lang w:val="fr-CA"/>
              </w:rPr>
              <w:t xml:space="preserve">La Juge en Chef — </w:t>
            </w:r>
            <w:r w:rsidRPr="005B77C6">
              <w:rPr>
                <w:rFonts w:cs="Times New Roman"/>
                <w:sz w:val="20"/>
                <w:szCs w:val="20"/>
                <w:lang w:val="fr-CA"/>
              </w:rPr>
              <w:t>L’appel est accueilli, avec motifs à suivre.</w:t>
            </w:r>
          </w:p>
        </w:tc>
      </w:tr>
    </w:tbl>
    <w:p w:rsidR="00F66694" w:rsidRPr="005E31A3" w:rsidRDefault="00F66694" w:rsidP="00F6669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B7E8F" w:rsidRPr="006B7E8F" w:rsidTr="006B7E8F">
        <w:tc>
          <w:tcPr>
            <w:tcW w:w="4380" w:type="dxa"/>
            <w:tcMar>
              <w:left w:w="0" w:type="dxa"/>
              <w:right w:w="0" w:type="dxa"/>
            </w:tcMar>
          </w:tcPr>
          <w:p w:rsidR="006B7E8F" w:rsidRPr="00CC4D84" w:rsidRDefault="006B7E8F" w:rsidP="006B7E8F">
            <w:pPr>
              <w:widowControl w:val="0"/>
              <w:jc w:val="both"/>
              <w:rPr>
                <w:b/>
                <w:sz w:val="20"/>
                <w:szCs w:val="20"/>
                <w:u w:val="single"/>
              </w:rPr>
            </w:pPr>
            <w:r w:rsidRPr="00CC4D84">
              <w:rPr>
                <w:b/>
                <w:sz w:val="20"/>
                <w:szCs w:val="20"/>
                <w:u w:val="single"/>
              </w:rPr>
              <w:t>Nature of the case:</w:t>
            </w:r>
          </w:p>
          <w:p w:rsidR="006B7E8F" w:rsidRPr="001A663B" w:rsidRDefault="006B7E8F" w:rsidP="006B7E8F">
            <w:pPr>
              <w:widowControl w:val="0"/>
              <w:jc w:val="both"/>
              <w:rPr>
                <w:b/>
                <w:sz w:val="20"/>
                <w:szCs w:val="20"/>
              </w:rPr>
            </w:pPr>
          </w:p>
          <w:p w:rsidR="006B7E8F" w:rsidRPr="00C1697B" w:rsidRDefault="002D039E" w:rsidP="006B7E8F">
            <w:pPr>
              <w:widowControl w:val="0"/>
              <w:jc w:val="both"/>
              <w:rPr>
                <w:b/>
                <w:sz w:val="20"/>
                <w:szCs w:val="20"/>
              </w:rPr>
            </w:pPr>
            <w:r w:rsidRPr="002E46D9">
              <w:rPr>
                <w:sz w:val="20"/>
                <w:szCs w:val="20"/>
              </w:rPr>
              <w:t xml:space="preserve">Labour relations - Collective bargaining - Duty to bargain in good faith - Administrative law - Judicial review - Copyright - Canadian Artists and Producers Professional Relations Tribunal finding that National Gallery failed to bargain in good faith when it reversed its bargaining position and refused to negotiate minimum fees for right to use existing works - Whether Court of Appeal erred in reviewing Tribunal’s decision on a correctness standard - Whether Court of Appeal erred in finding that certified artists’ associations are precluded from bargaining minimum fees for use of existing works in scale agreements under </w:t>
            </w:r>
            <w:r w:rsidRPr="002E46D9">
              <w:rPr>
                <w:i/>
                <w:sz w:val="20"/>
                <w:szCs w:val="20"/>
              </w:rPr>
              <w:t>Status of the Artist Act</w:t>
            </w:r>
            <w:r w:rsidRPr="002E46D9">
              <w:rPr>
                <w:sz w:val="20"/>
                <w:szCs w:val="20"/>
              </w:rPr>
              <w:t xml:space="preserve"> - Whether Court of Appeal erred in finding that Tribunal was unable to conclude that National Gallery bargained in bad faith, after it misinterpreted legislative scope of collective bargaining in Tribunal’s enabling legislation - </w:t>
            </w:r>
            <w:r w:rsidRPr="002E46D9">
              <w:rPr>
                <w:i/>
                <w:sz w:val="20"/>
                <w:szCs w:val="20"/>
              </w:rPr>
              <w:t>Status of the Artist Act</w:t>
            </w:r>
            <w:r w:rsidRPr="002E46D9">
              <w:rPr>
                <w:sz w:val="20"/>
                <w:szCs w:val="20"/>
              </w:rPr>
              <w:t xml:space="preserve">, S.C. 1992, c. 33 - </w:t>
            </w:r>
            <w:r w:rsidRPr="002E46D9">
              <w:rPr>
                <w:i/>
                <w:sz w:val="20"/>
                <w:szCs w:val="20"/>
              </w:rPr>
              <w:t>Copyright Act</w:t>
            </w:r>
            <w:r w:rsidRPr="002E46D9">
              <w:rPr>
                <w:sz w:val="20"/>
                <w:szCs w:val="20"/>
              </w:rPr>
              <w:t>, R.S.C. 1985, c. C-42.</w:t>
            </w:r>
          </w:p>
        </w:tc>
        <w:tc>
          <w:tcPr>
            <w:tcW w:w="720" w:type="dxa"/>
            <w:tcMar>
              <w:left w:w="0" w:type="dxa"/>
              <w:right w:w="0" w:type="dxa"/>
            </w:tcMar>
          </w:tcPr>
          <w:p w:rsidR="006B7E8F" w:rsidRPr="00C1697B" w:rsidRDefault="006B7E8F" w:rsidP="006B7E8F">
            <w:pPr>
              <w:widowControl w:val="0"/>
              <w:jc w:val="center"/>
              <w:rPr>
                <w:sz w:val="20"/>
                <w:szCs w:val="20"/>
              </w:rPr>
            </w:pPr>
          </w:p>
        </w:tc>
        <w:tc>
          <w:tcPr>
            <w:tcW w:w="4380" w:type="dxa"/>
            <w:tcMar>
              <w:left w:w="0" w:type="dxa"/>
              <w:right w:w="0" w:type="dxa"/>
            </w:tcMar>
          </w:tcPr>
          <w:p w:rsidR="006B7E8F" w:rsidRPr="00CC4D84" w:rsidRDefault="006B7E8F" w:rsidP="006B7E8F">
            <w:pPr>
              <w:widowControl w:val="0"/>
              <w:jc w:val="both"/>
              <w:rPr>
                <w:b/>
                <w:sz w:val="20"/>
                <w:szCs w:val="20"/>
                <w:u w:val="single"/>
                <w:lang w:val="fr-CA"/>
              </w:rPr>
            </w:pPr>
            <w:r w:rsidRPr="00CC4D84">
              <w:rPr>
                <w:b/>
                <w:sz w:val="20"/>
                <w:szCs w:val="20"/>
                <w:u w:val="single"/>
                <w:lang w:val="fr-CA"/>
              </w:rPr>
              <w:t>Nature de la cause :</w:t>
            </w:r>
          </w:p>
          <w:p w:rsidR="006B7E8F" w:rsidRPr="00C1697B" w:rsidRDefault="006B7E8F" w:rsidP="006B7E8F">
            <w:pPr>
              <w:widowControl w:val="0"/>
              <w:jc w:val="both"/>
              <w:rPr>
                <w:sz w:val="20"/>
                <w:szCs w:val="20"/>
                <w:lang w:val="fr-CA"/>
              </w:rPr>
            </w:pPr>
          </w:p>
          <w:p w:rsidR="006B7E8F" w:rsidRPr="00C1697B" w:rsidRDefault="002D039E" w:rsidP="006B7E8F">
            <w:pPr>
              <w:widowControl w:val="0"/>
              <w:jc w:val="both"/>
              <w:rPr>
                <w:sz w:val="20"/>
                <w:szCs w:val="20"/>
                <w:lang w:val="fr-CA"/>
              </w:rPr>
            </w:pPr>
            <w:r w:rsidRPr="007179B5">
              <w:rPr>
                <w:sz w:val="20"/>
                <w:szCs w:val="20"/>
                <w:lang w:val="fr-CA"/>
              </w:rPr>
              <w:t xml:space="preserve">Relations du travail - Négociations collectives - Obligation de négocier de bonne foi - Droit administratif - Contrôle judiciaire - Droit d’auteur - Conclusion du </w:t>
            </w:r>
            <w:r w:rsidRPr="007179B5">
              <w:rPr>
                <w:color w:val="000000"/>
                <w:sz w:val="20"/>
                <w:szCs w:val="20"/>
                <w:lang w:val="fr-CA"/>
              </w:rPr>
              <w:t xml:space="preserve">Tribunal canadien des relations professionnelles artistes-producteurs que le Musée des Beaux-Arts n’a pas négocié de bonne foi lorsqu’il est revenu sur sa </w:t>
            </w:r>
            <w:r w:rsidRPr="007179B5">
              <w:rPr>
                <w:sz w:val="20"/>
                <w:szCs w:val="20"/>
                <w:lang w:val="fr-CA"/>
              </w:rPr>
              <w:t>position de négociation et a refusé de négocier les tarifs minimums pour l’utilisation d’œuvres existantes - La Cour d’appel a</w:t>
            </w:r>
            <w:r w:rsidRPr="007179B5">
              <w:rPr>
                <w:sz w:val="20"/>
                <w:szCs w:val="20"/>
                <w:lang w:val="fr-CA"/>
              </w:rPr>
              <w:noBreakHyphen/>
              <w:t>t</w:t>
            </w:r>
            <w:r w:rsidRPr="007179B5">
              <w:rPr>
                <w:sz w:val="20"/>
                <w:szCs w:val="20"/>
                <w:lang w:val="fr-CA"/>
              </w:rPr>
              <w:noBreakHyphen/>
              <w:t>elle commis une erreur en contrôlant la décision du Tribunal selon la norme de la décision correcte? - La Cour d’appel a</w:t>
            </w:r>
            <w:r w:rsidRPr="007179B5">
              <w:rPr>
                <w:sz w:val="20"/>
                <w:szCs w:val="20"/>
                <w:lang w:val="fr-CA"/>
              </w:rPr>
              <w:noBreakHyphen/>
              <w:t>t</w:t>
            </w:r>
            <w:r w:rsidRPr="007179B5">
              <w:rPr>
                <w:sz w:val="20"/>
                <w:szCs w:val="20"/>
                <w:lang w:val="fr-CA"/>
              </w:rPr>
              <w:noBreakHyphen/>
              <w:t xml:space="preserve">elle commis une erreur en concluant que des associations d’artistes accréditées ne peuvent négocier les tarifs minimums fixés dans les accords-cadres en application de la </w:t>
            </w:r>
            <w:r w:rsidRPr="007179B5">
              <w:rPr>
                <w:i/>
                <w:sz w:val="20"/>
                <w:szCs w:val="20"/>
                <w:lang w:val="fr-CA"/>
              </w:rPr>
              <w:t>Loi sur le statut de l’artiste</w:t>
            </w:r>
            <w:r w:rsidRPr="007179B5">
              <w:rPr>
                <w:sz w:val="20"/>
                <w:szCs w:val="20"/>
                <w:lang w:val="fr-CA"/>
              </w:rPr>
              <w:t xml:space="preserve"> pour l’utilisation d’œuvres existantes? - La Cour d’appel a</w:t>
            </w:r>
            <w:r w:rsidRPr="007179B5">
              <w:rPr>
                <w:sz w:val="20"/>
                <w:szCs w:val="20"/>
                <w:lang w:val="fr-CA"/>
              </w:rPr>
              <w:noBreakHyphen/>
              <w:t>t</w:t>
            </w:r>
            <w:r w:rsidRPr="007179B5">
              <w:rPr>
                <w:sz w:val="20"/>
                <w:szCs w:val="20"/>
                <w:lang w:val="fr-CA"/>
              </w:rPr>
              <w:noBreakHyphen/>
              <w:t>elle commis une erreur en décidant que le Tribunal ne pouvait conclure que le Musée des Beaux</w:t>
            </w:r>
            <w:r w:rsidRPr="007179B5">
              <w:rPr>
                <w:sz w:val="20"/>
                <w:szCs w:val="20"/>
                <w:lang w:val="fr-CA"/>
              </w:rPr>
              <w:noBreakHyphen/>
              <w:t xml:space="preserve">Arts avait négocié de mauvaise foi, après avoir mal interprété la portée légale de la négociation collective donnée par sa loi constitutive? - </w:t>
            </w:r>
            <w:r w:rsidRPr="007179B5">
              <w:rPr>
                <w:i/>
                <w:sz w:val="20"/>
                <w:szCs w:val="20"/>
                <w:lang w:val="fr-CA"/>
              </w:rPr>
              <w:t>Loi sur le statut de l’artiste</w:t>
            </w:r>
            <w:r w:rsidRPr="007179B5">
              <w:rPr>
                <w:sz w:val="20"/>
                <w:szCs w:val="20"/>
                <w:lang w:val="fr-CA"/>
              </w:rPr>
              <w:t xml:space="preserve">, L.C. 1992, ch. 33 - </w:t>
            </w:r>
            <w:r w:rsidRPr="007179B5">
              <w:rPr>
                <w:i/>
                <w:sz w:val="20"/>
                <w:szCs w:val="20"/>
                <w:lang w:val="fr-CA"/>
              </w:rPr>
              <w:t>Loi sur le droit d’auteur</w:t>
            </w:r>
            <w:r w:rsidRPr="007179B5">
              <w:rPr>
                <w:sz w:val="20"/>
                <w:szCs w:val="20"/>
                <w:lang w:val="fr-CA"/>
              </w:rPr>
              <w:t>, L.R.C. 1985, ch. C-42.</w:t>
            </w:r>
          </w:p>
        </w:tc>
      </w:tr>
    </w:tbl>
    <w:p w:rsidR="006B7E8F" w:rsidRDefault="006B7E8F" w:rsidP="006B7E8F">
      <w:pPr>
        <w:widowControl w:val="0"/>
        <w:rPr>
          <w:sz w:val="20"/>
          <w:szCs w:val="20"/>
          <w:lang w:val="fr-CA"/>
        </w:rPr>
      </w:pPr>
    </w:p>
    <w:p w:rsidR="006B7E8F" w:rsidRDefault="00F27688" w:rsidP="006B7E8F">
      <w:pPr>
        <w:widowControl w:val="0"/>
        <w:rPr>
          <w:sz w:val="20"/>
          <w:szCs w:val="20"/>
        </w:rPr>
      </w:pPr>
      <w:r>
        <w:rPr>
          <w:sz w:val="20"/>
          <w:szCs w:val="20"/>
          <w:lang w:val="fr-CA"/>
        </w:rPr>
        <w:pict>
          <v:rect id="_x0000_i1106" style="width:2in;height:1pt" o:hrpct="0" o:hralign="center" o:hrstd="t" o:hrnoshade="t" o:hr="t" fillcolor="black [3213]" stroked="f"/>
        </w:pict>
      </w:r>
    </w:p>
    <w:p w:rsidR="006B7E8F" w:rsidRDefault="006B7E8F" w:rsidP="006B7E8F">
      <w:pPr>
        <w:widowControl w:val="0"/>
        <w:rPr>
          <w:sz w:val="20"/>
          <w:szCs w:val="20"/>
        </w:rPr>
      </w:pPr>
    </w:p>
    <w:p w:rsidR="002B23D5" w:rsidRPr="002B23D5" w:rsidRDefault="002B23D5" w:rsidP="002B23D5">
      <w:pPr>
        <w:widowControl w:val="0"/>
        <w:rPr>
          <w:sz w:val="20"/>
          <w:szCs w:val="20"/>
        </w:rPr>
      </w:pPr>
      <w:r w:rsidRPr="002B23D5">
        <w:rPr>
          <w:sz w:val="20"/>
          <w:szCs w:val="20"/>
        </w:rPr>
        <w:t>1</w:t>
      </w:r>
      <w:r>
        <w:rPr>
          <w:sz w:val="20"/>
          <w:szCs w:val="20"/>
        </w:rPr>
        <w:t>5</w:t>
      </w:r>
      <w:r w:rsidRPr="002B23D5">
        <w:rPr>
          <w:sz w:val="20"/>
          <w:szCs w:val="20"/>
        </w:rPr>
        <w:t>.05.2014</w:t>
      </w:r>
    </w:p>
    <w:p w:rsidR="002B23D5" w:rsidRPr="002B23D5" w:rsidRDefault="002B23D5" w:rsidP="002B23D5">
      <w:pPr>
        <w:widowControl w:val="0"/>
        <w:rPr>
          <w:sz w:val="20"/>
          <w:szCs w:val="20"/>
        </w:rPr>
      </w:pPr>
    </w:p>
    <w:p w:rsidR="00B31B79" w:rsidRPr="00BC53B4" w:rsidRDefault="00B31B79" w:rsidP="00B31B79">
      <w:pPr>
        <w:widowControl w:val="0"/>
        <w:ind w:left="720" w:hanging="720"/>
        <w:rPr>
          <w:sz w:val="20"/>
          <w:szCs w:val="20"/>
          <w:u w:val="single"/>
        </w:rPr>
      </w:pPr>
      <w:r w:rsidRPr="00BC53B4">
        <w:rPr>
          <w:sz w:val="20"/>
          <w:szCs w:val="20"/>
        </w:rPr>
        <w:t xml:space="preserve">Coram: </w:t>
      </w:r>
      <w:r w:rsidRPr="00BC53B4">
        <w:rPr>
          <w:sz w:val="20"/>
          <w:szCs w:val="20"/>
        </w:rPr>
        <w:tab/>
      </w:r>
      <w:r w:rsidRPr="00BC53B4">
        <w:rPr>
          <w:sz w:val="20"/>
          <w:szCs w:val="20"/>
          <w:u w:val="single"/>
        </w:rPr>
        <w:t>McLachlin C.J. and LeBel, Abella, Rothstein, Cromwell, Moldaver and Wagner JJ.</w:t>
      </w:r>
    </w:p>
    <w:p w:rsidR="002B23D5" w:rsidRPr="006B7E8F" w:rsidRDefault="002B23D5" w:rsidP="002B23D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B23D5" w:rsidRPr="002B23D5" w:rsidTr="002B23D5">
        <w:tc>
          <w:tcPr>
            <w:tcW w:w="4380" w:type="dxa"/>
            <w:tcMar>
              <w:left w:w="0" w:type="dxa"/>
              <w:right w:w="0" w:type="dxa"/>
            </w:tcMar>
          </w:tcPr>
          <w:p w:rsidR="002B23D5" w:rsidRPr="00F4382D" w:rsidRDefault="002B23D5" w:rsidP="002B23D5">
            <w:pPr>
              <w:widowControl w:val="0"/>
              <w:rPr>
                <w:b/>
                <w:sz w:val="20"/>
                <w:szCs w:val="20"/>
                <w:lang w:val="fr-CA"/>
              </w:rPr>
            </w:pPr>
            <w:r>
              <w:rPr>
                <w:b/>
                <w:sz w:val="20"/>
                <w:szCs w:val="20"/>
                <w:lang w:val="fr-CA"/>
              </w:rPr>
              <w:t>A</w:t>
            </w:r>
            <w:r w:rsidRPr="00F4382D">
              <w:rPr>
                <w:b/>
                <w:sz w:val="20"/>
                <w:szCs w:val="20"/>
                <w:lang w:val="fr-CA"/>
              </w:rPr>
              <w:t>nd</w:t>
            </w:r>
            <w:r>
              <w:rPr>
                <w:b/>
                <w:sz w:val="20"/>
                <w:szCs w:val="20"/>
                <w:lang w:val="fr-CA"/>
              </w:rPr>
              <w:t>rew</w:t>
            </w:r>
            <w:r w:rsidRPr="00F4382D">
              <w:rPr>
                <w:b/>
                <w:sz w:val="20"/>
                <w:szCs w:val="20"/>
                <w:lang w:val="fr-CA"/>
              </w:rPr>
              <w:t xml:space="preserve"> </w:t>
            </w:r>
            <w:r>
              <w:rPr>
                <w:b/>
                <w:sz w:val="20"/>
                <w:szCs w:val="20"/>
                <w:lang w:val="fr-CA"/>
              </w:rPr>
              <w:t>K</w:t>
            </w:r>
            <w:r w:rsidRPr="00F4382D">
              <w:rPr>
                <w:b/>
                <w:sz w:val="20"/>
                <w:szCs w:val="20"/>
                <w:lang w:val="fr-CA"/>
              </w:rPr>
              <w:t>ee</w:t>
            </w:r>
            <w:r>
              <w:rPr>
                <w:b/>
                <w:sz w:val="20"/>
                <w:szCs w:val="20"/>
                <w:lang w:val="fr-CA"/>
              </w:rPr>
              <w:t>w</w:t>
            </w:r>
            <w:r w:rsidRPr="00F4382D">
              <w:rPr>
                <w:b/>
                <w:sz w:val="20"/>
                <w:szCs w:val="20"/>
                <w:lang w:val="fr-CA"/>
              </w:rPr>
              <w:t xml:space="preserve">atin </w:t>
            </w:r>
            <w:r>
              <w:rPr>
                <w:b/>
                <w:sz w:val="20"/>
                <w:szCs w:val="20"/>
                <w:lang w:val="fr-CA"/>
              </w:rPr>
              <w:t>J</w:t>
            </w:r>
            <w:r w:rsidRPr="00F4382D">
              <w:rPr>
                <w:b/>
                <w:sz w:val="20"/>
                <w:szCs w:val="20"/>
                <w:lang w:val="fr-CA"/>
              </w:rPr>
              <w:t>r</w:t>
            </w:r>
            <w:r>
              <w:rPr>
                <w:b/>
                <w:sz w:val="20"/>
                <w:szCs w:val="20"/>
                <w:lang w:val="fr-CA"/>
              </w:rPr>
              <w:t>. e</w:t>
            </w:r>
            <w:r w:rsidRPr="00F4382D">
              <w:rPr>
                <w:b/>
                <w:sz w:val="20"/>
                <w:szCs w:val="20"/>
                <w:lang w:val="fr-CA"/>
              </w:rPr>
              <w:t>t</w:t>
            </w:r>
            <w:r>
              <w:rPr>
                <w:b/>
                <w:sz w:val="20"/>
                <w:szCs w:val="20"/>
                <w:lang w:val="fr-CA"/>
              </w:rPr>
              <w:t xml:space="preserve"> </w:t>
            </w:r>
            <w:r w:rsidRPr="00F4382D">
              <w:rPr>
                <w:b/>
                <w:sz w:val="20"/>
                <w:szCs w:val="20"/>
                <w:lang w:val="fr-CA"/>
              </w:rPr>
              <w:t xml:space="preserve">al. </w:t>
            </w:r>
          </w:p>
          <w:p w:rsidR="002B23D5" w:rsidRPr="00F4382D" w:rsidRDefault="002B23D5" w:rsidP="002B23D5">
            <w:pPr>
              <w:widowControl w:val="0"/>
              <w:rPr>
                <w:b/>
                <w:sz w:val="20"/>
                <w:szCs w:val="20"/>
                <w:lang w:val="fr-CA"/>
              </w:rPr>
            </w:pPr>
          </w:p>
          <w:p w:rsidR="002B23D5" w:rsidRPr="006B7E8F" w:rsidRDefault="002B23D5" w:rsidP="002B23D5">
            <w:pPr>
              <w:widowControl w:val="0"/>
              <w:rPr>
                <w:b/>
                <w:sz w:val="20"/>
                <w:szCs w:val="20"/>
              </w:rPr>
            </w:pPr>
            <w:r w:rsidRPr="00F4382D">
              <w:rPr>
                <w:b/>
                <w:sz w:val="20"/>
                <w:szCs w:val="20"/>
                <w:lang w:val="fr-CA"/>
              </w:rPr>
              <w:tab/>
            </w:r>
            <w:r w:rsidRPr="006B7E8F">
              <w:rPr>
                <w:b/>
                <w:sz w:val="20"/>
                <w:szCs w:val="20"/>
              </w:rPr>
              <w:t>v.</w:t>
            </w:r>
            <w:r w:rsidR="00B31B79">
              <w:rPr>
                <w:b/>
                <w:sz w:val="20"/>
                <w:szCs w:val="20"/>
              </w:rPr>
              <w:t xml:space="preserve"> </w:t>
            </w:r>
            <w:r w:rsidR="00B31B79" w:rsidRPr="00A26320">
              <w:rPr>
                <w:sz w:val="20"/>
                <w:szCs w:val="20"/>
              </w:rPr>
              <w:t>(</w:t>
            </w:r>
            <w:hyperlink r:id="rId101" w:history="1">
              <w:r w:rsidR="00B31B79" w:rsidRPr="00A26320">
                <w:rPr>
                  <w:rStyle w:val="Hyperlink"/>
                  <w:sz w:val="20"/>
                  <w:szCs w:val="20"/>
                </w:rPr>
                <w:t>35379</w:t>
              </w:r>
            </w:hyperlink>
            <w:r w:rsidR="00B31B79" w:rsidRPr="00A26320">
              <w:rPr>
                <w:sz w:val="20"/>
                <w:szCs w:val="20"/>
              </w:rPr>
              <w:t>)</w:t>
            </w:r>
          </w:p>
          <w:p w:rsidR="002B23D5" w:rsidRPr="006B7E8F" w:rsidRDefault="002B23D5" w:rsidP="002B23D5">
            <w:pPr>
              <w:widowControl w:val="0"/>
              <w:rPr>
                <w:b/>
                <w:sz w:val="20"/>
                <w:szCs w:val="20"/>
              </w:rPr>
            </w:pPr>
          </w:p>
          <w:p w:rsidR="002B23D5" w:rsidRPr="002B23D5" w:rsidRDefault="002B23D5" w:rsidP="002B23D5">
            <w:pPr>
              <w:widowControl w:val="0"/>
              <w:rPr>
                <w:sz w:val="20"/>
                <w:szCs w:val="20"/>
              </w:rPr>
            </w:pPr>
            <w:r>
              <w:rPr>
                <w:b/>
                <w:sz w:val="20"/>
                <w:szCs w:val="20"/>
              </w:rPr>
              <w:t>Ministe</w:t>
            </w:r>
            <w:r w:rsidRPr="006B7E8F">
              <w:rPr>
                <w:b/>
                <w:sz w:val="20"/>
                <w:szCs w:val="20"/>
              </w:rPr>
              <w:t>r</w:t>
            </w:r>
            <w:r>
              <w:rPr>
                <w:b/>
                <w:sz w:val="20"/>
                <w:szCs w:val="20"/>
              </w:rPr>
              <w:t xml:space="preserve"> of Natural Resources et al.</w:t>
            </w:r>
            <w:r w:rsidRPr="006B7E8F">
              <w:rPr>
                <w:b/>
                <w:sz w:val="20"/>
                <w:szCs w:val="20"/>
              </w:rPr>
              <w:t xml:space="preserve"> (</w:t>
            </w:r>
            <w:r>
              <w:rPr>
                <w:b/>
                <w:sz w:val="20"/>
                <w:szCs w:val="20"/>
              </w:rPr>
              <w:t>Ont.</w:t>
            </w:r>
            <w:r w:rsidRPr="006B7E8F">
              <w:rPr>
                <w:b/>
                <w:sz w:val="20"/>
                <w:szCs w:val="20"/>
              </w:rPr>
              <w:t xml:space="preserve">) </w:t>
            </w:r>
            <w:r w:rsidRPr="002B23D5">
              <w:rPr>
                <w:b/>
                <w:sz w:val="20"/>
                <w:szCs w:val="20"/>
              </w:rPr>
              <w:t>(Civil) (By Leave)</w:t>
            </w:r>
            <w:r w:rsidRPr="002B23D5">
              <w:rPr>
                <w:sz w:val="20"/>
                <w:szCs w:val="20"/>
              </w:rPr>
              <w:t xml:space="preserve"> </w:t>
            </w:r>
          </w:p>
        </w:tc>
        <w:tc>
          <w:tcPr>
            <w:tcW w:w="720" w:type="dxa"/>
            <w:tcMar>
              <w:left w:w="0" w:type="dxa"/>
              <w:right w:w="0" w:type="dxa"/>
            </w:tcMar>
          </w:tcPr>
          <w:p w:rsidR="002B23D5" w:rsidRPr="002B23D5" w:rsidRDefault="002B23D5" w:rsidP="002B23D5">
            <w:pPr>
              <w:widowControl w:val="0"/>
              <w:jc w:val="center"/>
              <w:rPr>
                <w:sz w:val="20"/>
                <w:szCs w:val="20"/>
              </w:rPr>
            </w:pPr>
          </w:p>
        </w:tc>
        <w:tc>
          <w:tcPr>
            <w:tcW w:w="4380" w:type="dxa"/>
            <w:tcMar>
              <w:left w:w="0" w:type="dxa"/>
              <w:right w:w="0" w:type="dxa"/>
            </w:tcMar>
          </w:tcPr>
          <w:p w:rsidR="002B3817" w:rsidRPr="007D5128" w:rsidRDefault="002B3817" w:rsidP="002B3817">
            <w:pPr>
              <w:jc w:val="both"/>
              <w:rPr>
                <w:sz w:val="20"/>
                <w:szCs w:val="20"/>
                <w:lang w:val="en-US"/>
              </w:rPr>
            </w:pPr>
            <w:r w:rsidRPr="007D5128">
              <w:rPr>
                <w:sz w:val="20"/>
                <w:szCs w:val="20"/>
              </w:rPr>
              <w:t>Robert J.M. Janes</w:t>
            </w:r>
            <w:r>
              <w:rPr>
                <w:sz w:val="20"/>
                <w:szCs w:val="20"/>
              </w:rPr>
              <w:t xml:space="preserve"> and </w:t>
            </w:r>
            <w:r w:rsidRPr="007D5128">
              <w:rPr>
                <w:sz w:val="20"/>
                <w:szCs w:val="20"/>
                <w:lang w:val="en-US"/>
              </w:rPr>
              <w:t>Elin R. Sigurdson</w:t>
            </w:r>
            <w:r>
              <w:rPr>
                <w:sz w:val="20"/>
                <w:szCs w:val="20"/>
                <w:lang w:val="en-US"/>
              </w:rPr>
              <w:t xml:space="preserve"> f</w:t>
            </w:r>
            <w:r w:rsidRPr="007D5128">
              <w:rPr>
                <w:sz w:val="20"/>
                <w:szCs w:val="20"/>
              </w:rPr>
              <w:t xml:space="preserve">or the </w:t>
            </w:r>
            <w:r>
              <w:rPr>
                <w:sz w:val="20"/>
                <w:szCs w:val="20"/>
              </w:rPr>
              <w:t>a</w:t>
            </w:r>
            <w:r w:rsidRPr="007D5128">
              <w:rPr>
                <w:sz w:val="20"/>
                <w:szCs w:val="20"/>
              </w:rPr>
              <w:t>ppellants</w:t>
            </w:r>
            <w:r>
              <w:rPr>
                <w:sz w:val="20"/>
                <w:szCs w:val="20"/>
              </w:rPr>
              <w:t xml:space="preserve"> </w:t>
            </w:r>
            <w:r w:rsidRPr="007D5128">
              <w:rPr>
                <w:sz w:val="20"/>
                <w:szCs w:val="20"/>
                <w:lang w:val="en-US"/>
              </w:rPr>
              <w:t>Andrew Keewatin Jr. et al.</w:t>
            </w:r>
          </w:p>
          <w:p w:rsidR="002B3817" w:rsidRPr="007D5128" w:rsidRDefault="002B3817" w:rsidP="002B3817">
            <w:pPr>
              <w:jc w:val="both"/>
              <w:rPr>
                <w:sz w:val="20"/>
                <w:szCs w:val="20"/>
                <w:lang w:val="en-US"/>
              </w:rPr>
            </w:pPr>
          </w:p>
          <w:p w:rsidR="002B3817" w:rsidRPr="007D5128" w:rsidRDefault="002B3817" w:rsidP="002B3817">
            <w:pPr>
              <w:jc w:val="both"/>
              <w:rPr>
                <w:sz w:val="20"/>
                <w:szCs w:val="20"/>
              </w:rPr>
            </w:pPr>
            <w:r w:rsidRPr="007D5128">
              <w:rPr>
                <w:sz w:val="20"/>
                <w:szCs w:val="20"/>
              </w:rPr>
              <w:t>Bruce McIvor</w:t>
            </w:r>
            <w:r>
              <w:rPr>
                <w:sz w:val="20"/>
                <w:szCs w:val="20"/>
              </w:rPr>
              <w:t xml:space="preserve"> and </w:t>
            </w:r>
            <w:r w:rsidRPr="007D5128">
              <w:rPr>
                <w:sz w:val="20"/>
                <w:szCs w:val="20"/>
              </w:rPr>
              <w:t>Kathryn Buttery</w:t>
            </w:r>
            <w:r>
              <w:rPr>
                <w:sz w:val="20"/>
                <w:szCs w:val="20"/>
              </w:rPr>
              <w:t xml:space="preserve"> f</w:t>
            </w:r>
            <w:r w:rsidRPr="007D5128">
              <w:rPr>
                <w:sz w:val="20"/>
                <w:szCs w:val="20"/>
              </w:rPr>
              <w:t xml:space="preserve">or the </w:t>
            </w:r>
            <w:r>
              <w:rPr>
                <w:sz w:val="20"/>
                <w:szCs w:val="20"/>
              </w:rPr>
              <w:t>a</w:t>
            </w:r>
            <w:r w:rsidRPr="007D5128">
              <w:rPr>
                <w:sz w:val="20"/>
                <w:szCs w:val="20"/>
              </w:rPr>
              <w:t>ppellant</w:t>
            </w:r>
            <w:r>
              <w:rPr>
                <w:sz w:val="20"/>
                <w:szCs w:val="20"/>
              </w:rPr>
              <w:t xml:space="preserve"> </w:t>
            </w:r>
            <w:r w:rsidRPr="007D5128">
              <w:rPr>
                <w:sz w:val="20"/>
                <w:szCs w:val="20"/>
              </w:rPr>
              <w:t>Leslie Cameron, on his own behalf and on behalf of all other members of Wabauskang First Nation</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Zachary Davis</w:t>
            </w:r>
            <w:r>
              <w:rPr>
                <w:sz w:val="20"/>
                <w:szCs w:val="20"/>
              </w:rPr>
              <w:t xml:space="preserve">, </w:t>
            </w:r>
            <w:r w:rsidRPr="007D5128">
              <w:rPr>
                <w:sz w:val="20"/>
                <w:szCs w:val="20"/>
              </w:rPr>
              <w:t>Peter W. Hutchins</w:t>
            </w:r>
            <w:r>
              <w:rPr>
                <w:sz w:val="20"/>
                <w:szCs w:val="20"/>
              </w:rPr>
              <w:t xml:space="preserve"> and </w:t>
            </w:r>
            <w:r w:rsidRPr="007D5128">
              <w:rPr>
                <w:sz w:val="20"/>
                <w:szCs w:val="20"/>
              </w:rPr>
              <w:t>Jessica Labranche</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Grand Council of Treaty #3</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Meaghan M. Conroy</w:t>
            </w:r>
            <w:r>
              <w:rPr>
                <w:sz w:val="20"/>
                <w:szCs w:val="20"/>
              </w:rPr>
              <w:t xml:space="preserve"> and </w:t>
            </w:r>
            <w:r w:rsidRPr="007D5128">
              <w:rPr>
                <w:sz w:val="20"/>
                <w:szCs w:val="20"/>
              </w:rPr>
              <w:t>Abram Averbach</w:t>
            </w:r>
            <w:r>
              <w:rPr>
                <w:sz w:val="20"/>
                <w:szCs w:val="20"/>
              </w:rPr>
              <w:t xml:space="preserve"> f</w:t>
            </w:r>
            <w:r w:rsidRPr="007D5128">
              <w:rPr>
                <w:sz w:val="20"/>
                <w:szCs w:val="20"/>
              </w:rPr>
              <w:t xml:space="preserve">or the </w:t>
            </w:r>
            <w:r>
              <w:rPr>
                <w:sz w:val="20"/>
                <w:szCs w:val="20"/>
              </w:rPr>
              <w:t>i</w:t>
            </w:r>
            <w:r w:rsidRPr="007D5128">
              <w:rPr>
                <w:sz w:val="20"/>
                <w:szCs w:val="20"/>
              </w:rPr>
              <w:t>nterveners</w:t>
            </w:r>
            <w:r>
              <w:rPr>
                <w:sz w:val="20"/>
                <w:szCs w:val="20"/>
              </w:rPr>
              <w:t xml:space="preserve"> </w:t>
            </w:r>
            <w:r w:rsidRPr="007D5128">
              <w:rPr>
                <w:sz w:val="20"/>
                <w:szCs w:val="20"/>
              </w:rPr>
              <w:t>Blood Tribe et al.</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Karey Brooks</w:t>
            </w:r>
            <w:r>
              <w:rPr>
                <w:sz w:val="20"/>
                <w:szCs w:val="20"/>
              </w:rPr>
              <w:t xml:space="preserve"> </w:t>
            </w:r>
            <w:r w:rsidRPr="007D5128">
              <w:rPr>
                <w:sz w:val="20"/>
                <w:szCs w:val="20"/>
              </w:rPr>
              <w:t>(by videoconference)</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Te</w:t>
            </w:r>
            <w:r>
              <w:rPr>
                <w:sz w:val="20"/>
                <w:szCs w:val="20"/>
              </w:rPr>
              <w:t>’</w:t>
            </w:r>
            <w:r w:rsidRPr="007D5128">
              <w:rPr>
                <w:sz w:val="20"/>
                <w:szCs w:val="20"/>
              </w:rPr>
              <w:t>mexw Treaty Association</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Donald R. Colborne</w:t>
            </w:r>
            <w:r>
              <w:rPr>
                <w:sz w:val="20"/>
                <w:szCs w:val="20"/>
              </w:rPr>
              <w:t xml:space="preserve"> f</w:t>
            </w:r>
            <w:r w:rsidRPr="007D5128">
              <w:rPr>
                <w:sz w:val="20"/>
                <w:szCs w:val="20"/>
              </w:rPr>
              <w:t xml:space="preserve">or the </w:t>
            </w:r>
            <w:r>
              <w:rPr>
                <w:sz w:val="20"/>
                <w:szCs w:val="20"/>
              </w:rPr>
              <w:t>i</w:t>
            </w:r>
            <w:r w:rsidRPr="007D5128">
              <w:rPr>
                <w:sz w:val="20"/>
                <w:szCs w:val="20"/>
              </w:rPr>
              <w:t>nterveners</w:t>
            </w:r>
            <w:r>
              <w:rPr>
                <w:sz w:val="20"/>
                <w:szCs w:val="20"/>
              </w:rPr>
              <w:t xml:space="preserve"> </w:t>
            </w:r>
            <w:r w:rsidRPr="007D5128">
              <w:rPr>
                <w:sz w:val="20"/>
                <w:szCs w:val="20"/>
              </w:rPr>
              <w:t>Ochiichagwe’Babigo’Ining First Nation et al.</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Jason Madden</w:t>
            </w:r>
            <w:r>
              <w:rPr>
                <w:sz w:val="20"/>
                <w:szCs w:val="20"/>
              </w:rPr>
              <w:t xml:space="preserve"> and </w:t>
            </w:r>
            <w:r w:rsidRPr="007D5128">
              <w:rPr>
                <w:sz w:val="20"/>
                <w:szCs w:val="20"/>
              </w:rPr>
              <w:t>Nuri G. Frame</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Métis Nation of Ontario</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David M. Robbins</w:t>
            </w:r>
            <w:r>
              <w:rPr>
                <w:sz w:val="20"/>
                <w:szCs w:val="20"/>
              </w:rPr>
              <w:t xml:space="preserve">, </w:t>
            </w:r>
            <w:r w:rsidRPr="007D5128">
              <w:rPr>
                <w:sz w:val="20"/>
                <w:szCs w:val="20"/>
              </w:rPr>
              <w:t>Dominique Nouvet</w:t>
            </w:r>
            <w:r>
              <w:rPr>
                <w:sz w:val="20"/>
                <w:szCs w:val="20"/>
              </w:rPr>
              <w:t xml:space="preserve"> and </w:t>
            </w:r>
            <w:r w:rsidRPr="007D5128">
              <w:rPr>
                <w:sz w:val="20"/>
                <w:szCs w:val="20"/>
              </w:rPr>
              <w:t>Heather Mahony</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Cowichan Tribes, represented by Chief William Charles Seymour, on his own behalf and on behalf of the members of Cowichan Tribes</w:t>
            </w:r>
            <w:r>
              <w:rPr>
                <w:sz w:val="20"/>
                <w:szCs w:val="20"/>
              </w:rPr>
              <w:t>.</w:t>
            </w:r>
          </w:p>
          <w:p w:rsidR="002B3817" w:rsidRPr="007D5128" w:rsidRDefault="002B3817" w:rsidP="002B3817">
            <w:pPr>
              <w:jc w:val="both"/>
              <w:rPr>
                <w:sz w:val="20"/>
                <w:szCs w:val="20"/>
              </w:rPr>
            </w:pPr>
          </w:p>
          <w:p w:rsidR="002B3817" w:rsidRPr="00D2567D" w:rsidRDefault="002B3817" w:rsidP="002B3817">
            <w:pPr>
              <w:jc w:val="both"/>
              <w:rPr>
                <w:sz w:val="20"/>
                <w:szCs w:val="20"/>
              </w:rPr>
            </w:pPr>
            <w:r w:rsidRPr="007D5128">
              <w:rPr>
                <w:sz w:val="20"/>
                <w:szCs w:val="20"/>
              </w:rPr>
              <w:t>David G. Leitch</w:t>
            </w:r>
            <w:r>
              <w:rPr>
                <w:sz w:val="20"/>
                <w:szCs w:val="20"/>
              </w:rPr>
              <w:t xml:space="preserve"> f</w:t>
            </w:r>
            <w:r w:rsidRPr="007D5128">
              <w:rPr>
                <w:sz w:val="20"/>
                <w:szCs w:val="20"/>
              </w:rPr>
              <w:t xml:space="preserve">or the </w:t>
            </w:r>
            <w:r>
              <w:rPr>
                <w:sz w:val="20"/>
                <w:szCs w:val="20"/>
              </w:rPr>
              <w:t>i</w:t>
            </w:r>
            <w:r w:rsidRPr="007D5128">
              <w:rPr>
                <w:sz w:val="20"/>
                <w:szCs w:val="20"/>
              </w:rPr>
              <w:t>nterveners</w:t>
            </w:r>
            <w:r>
              <w:rPr>
                <w:sz w:val="20"/>
                <w:szCs w:val="20"/>
              </w:rPr>
              <w:t xml:space="preserve"> </w:t>
            </w:r>
            <w:r w:rsidRPr="00D2567D">
              <w:rPr>
                <w:sz w:val="20"/>
                <w:szCs w:val="20"/>
              </w:rPr>
              <w:t>Lac Seul First Nation et al.</w:t>
            </w:r>
          </w:p>
          <w:p w:rsidR="002B3817" w:rsidRPr="00D2567D"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Joseph J. Arvay, Q.C.</w:t>
            </w:r>
            <w:r>
              <w:rPr>
                <w:sz w:val="20"/>
                <w:szCs w:val="20"/>
              </w:rPr>
              <w:t xml:space="preserve"> and </w:t>
            </w:r>
            <w:r w:rsidRPr="007D5128">
              <w:rPr>
                <w:sz w:val="20"/>
                <w:szCs w:val="20"/>
              </w:rPr>
              <w:t>Catherine J. Boies Parker</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Assembly of First Nations/National Indian Brotherhood</w:t>
            </w:r>
            <w:r>
              <w:rPr>
                <w:sz w:val="20"/>
                <w:szCs w:val="20"/>
              </w:rPr>
              <w:t>.</w:t>
            </w:r>
          </w:p>
          <w:p w:rsidR="002B3817" w:rsidRPr="007D5128" w:rsidRDefault="002B3817" w:rsidP="002B3817">
            <w:pPr>
              <w:jc w:val="both"/>
              <w:rPr>
                <w:sz w:val="20"/>
                <w:szCs w:val="20"/>
              </w:rPr>
            </w:pPr>
          </w:p>
          <w:p w:rsidR="002B3817" w:rsidRDefault="002B3817" w:rsidP="002B3817">
            <w:pPr>
              <w:jc w:val="both"/>
              <w:rPr>
                <w:sz w:val="20"/>
                <w:szCs w:val="20"/>
              </w:rPr>
            </w:pPr>
            <w:r>
              <w:rPr>
                <w:sz w:val="20"/>
                <w:szCs w:val="20"/>
              </w:rPr>
              <w:t>Written submission f</w:t>
            </w:r>
            <w:r w:rsidRPr="007D5128">
              <w:rPr>
                <w:sz w:val="20"/>
                <w:szCs w:val="20"/>
              </w:rPr>
              <w:t xml:space="preserve">or the </w:t>
            </w:r>
            <w:r>
              <w:rPr>
                <w:sz w:val="20"/>
                <w:szCs w:val="20"/>
              </w:rPr>
              <w:t>i</w:t>
            </w:r>
            <w:r w:rsidRPr="007D5128">
              <w:rPr>
                <w:sz w:val="20"/>
                <w:szCs w:val="20"/>
              </w:rPr>
              <w:t>ntervener</w:t>
            </w:r>
            <w:r>
              <w:rPr>
                <w:sz w:val="20"/>
                <w:szCs w:val="20"/>
              </w:rPr>
              <w:t xml:space="preserve"> F</w:t>
            </w:r>
            <w:r w:rsidRPr="007D5128">
              <w:rPr>
                <w:sz w:val="20"/>
                <w:szCs w:val="20"/>
              </w:rPr>
              <w:t>ort McKay First Nation</w:t>
            </w:r>
            <w:r>
              <w:rPr>
                <w:sz w:val="20"/>
                <w:szCs w:val="20"/>
              </w:rPr>
              <w:t>.</w:t>
            </w:r>
          </w:p>
          <w:p w:rsidR="002B3817" w:rsidRPr="007D5128" w:rsidRDefault="002B3817" w:rsidP="002B3817">
            <w:pPr>
              <w:ind w:left="3600"/>
              <w:jc w:val="both"/>
              <w:rPr>
                <w:sz w:val="20"/>
                <w:szCs w:val="20"/>
              </w:rPr>
            </w:pPr>
          </w:p>
          <w:p w:rsidR="002B3817" w:rsidRPr="007D5128" w:rsidRDefault="002B3817" w:rsidP="002B3817">
            <w:pPr>
              <w:jc w:val="both"/>
              <w:rPr>
                <w:sz w:val="20"/>
                <w:szCs w:val="20"/>
              </w:rPr>
            </w:pPr>
            <w:r w:rsidRPr="007D5128">
              <w:rPr>
                <w:sz w:val="20"/>
                <w:szCs w:val="20"/>
              </w:rPr>
              <w:t>Michael R. Stephenson</w:t>
            </w:r>
            <w:r>
              <w:rPr>
                <w:sz w:val="20"/>
                <w:szCs w:val="20"/>
              </w:rPr>
              <w:t xml:space="preserve">, </w:t>
            </w:r>
            <w:r w:rsidRPr="007D5128">
              <w:rPr>
                <w:sz w:val="20"/>
                <w:szCs w:val="20"/>
              </w:rPr>
              <w:t>Mark Crow</w:t>
            </w:r>
            <w:r>
              <w:rPr>
                <w:sz w:val="20"/>
                <w:szCs w:val="20"/>
              </w:rPr>
              <w:t xml:space="preserve"> and </w:t>
            </w:r>
            <w:r w:rsidRPr="00D2567D">
              <w:rPr>
                <w:sz w:val="20"/>
                <w:szCs w:val="20"/>
              </w:rPr>
              <w:t>Christine Perruzza</w:t>
            </w:r>
            <w:r>
              <w:rPr>
                <w:sz w:val="20"/>
                <w:szCs w:val="20"/>
              </w:rPr>
              <w:t xml:space="preserve"> f</w:t>
            </w:r>
            <w:r w:rsidRPr="007D5128">
              <w:rPr>
                <w:sz w:val="20"/>
                <w:szCs w:val="20"/>
              </w:rPr>
              <w:t xml:space="preserve">or the </w:t>
            </w:r>
            <w:r>
              <w:rPr>
                <w:sz w:val="20"/>
                <w:szCs w:val="20"/>
              </w:rPr>
              <w:t>r</w:t>
            </w:r>
            <w:r w:rsidRPr="007D5128">
              <w:rPr>
                <w:sz w:val="20"/>
                <w:szCs w:val="20"/>
              </w:rPr>
              <w:t>espondent</w:t>
            </w:r>
            <w:r>
              <w:rPr>
                <w:sz w:val="20"/>
                <w:szCs w:val="20"/>
              </w:rPr>
              <w:t xml:space="preserve"> </w:t>
            </w:r>
            <w:r w:rsidRPr="007D5128">
              <w:rPr>
                <w:sz w:val="20"/>
                <w:szCs w:val="20"/>
              </w:rPr>
              <w:t>Minister of Natural Resources</w:t>
            </w:r>
            <w:r>
              <w:rPr>
                <w:sz w:val="20"/>
                <w:szCs w:val="20"/>
              </w:rPr>
              <w:t>.</w:t>
            </w:r>
          </w:p>
          <w:p w:rsidR="002B3817" w:rsidRPr="00D2567D" w:rsidRDefault="002B3817" w:rsidP="002B3817">
            <w:pPr>
              <w:jc w:val="both"/>
              <w:rPr>
                <w:sz w:val="20"/>
                <w:szCs w:val="20"/>
              </w:rPr>
            </w:pPr>
          </w:p>
          <w:p w:rsidR="002B3817" w:rsidRPr="007D5128" w:rsidRDefault="002B3817" w:rsidP="002B3817">
            <w:pPr>
              <w:jc w:val="both"/>
              <w:rPr>
                <w:sz w:val="20"/>
                <w:szCs w:val="20"/>
              </w:rPr>
            </w:pPr>
            <w:r w:rsidRPr="007D5128">
              <w:rPr>
                <w:sz w:val="20"/>
                <w:szCs w:val="20"/>
                <w:lang w:val="en-US"/>
              </w:rPr>
              <w:t>Mark R. Kindrachuk, Q.C.</w:t>
            </w:r>
            <w:r>
              <w:rPr>
                <w:sz w:val="20"/>
                <w:szCs w:val="20"/>
                <w:lang w:val="en-US"/>
              </w:rPr>
              <w:t xml:space="preserve"> and </w:t>
            </w:r>
            <w:r w:rsidRPr="007D5128">
              <w:rPr>
                <w:sz w:val="20"/>
                <w:szCs w:val="20"/>
              </w:rPr>
              <w:t>Mitchell R. Taylor, Q.C.</w:t>
            </w:r>
            <w:r>
              <w:rPr>
                <w:sz w:val="20"/>
                <w:szCs w:val="20"/>
              </w:rPr>
              <w:t xml:space="preserve"> f</w:t>
            </w:r>
            <w:r w:rsidRPr="007D5128">
              <w:rPr>
                <w:sz w:val="20"/>
                <w:szCs w:val="20"/>
              </w:rPr>
              <w:t xml:space="preserve">or the </w:t>
            </w:r>
            <w:r>
              <w:rPr>
                <w:sz w:val="20"/>
                <w:szCs w:val="20"/>
              </w:rPr>
              <w:t>r</w:t>
            </w:r>
            <w:r w:rsidRPr="007D5128">
              <w:rPr>
                <w:sz w:val="20"/>
                <w:szCs w:val="20"/>
              </w:rPr>
              <w:t>espondent</w:t>
            </w:r>
            <w:r>
              <w:rPr>
                <w:sz w:val="20"/>
                <w:szCs w:val="20"/>
              </w:rPr>
              <w:t xml:space="preserve"> A</w:t>
            </w:r>
            <w:r w:rsidRPr="007D5128">
              <w:rPr>
                <w:sz w:val="20"/>
                <w:szCs w:val="20"/>
              </w:rPr>
              <w:t>ttorney General of Canada</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Christopher J. Matthews</w:t>
            </w:r>
            <w:r>
              <w:rPr>
                <w:sz w:val="20"/>
                <w:szCs w:val="20"/>
              </w:rPr>
              <w:t xml:space="preserve"> f</w:t>
            </w:r>
            <w:r w:rsidRPr="007D5128">
              <w:rPr>
                <w:sz w:val="20"/>
                <w:szCs w:val="20"/>
              </w:rPr>
              <w:t xml:space="preserve">or the </w:t>
            </w:r>
            <w:r>
              <w:rPr>
                <w:sz w:val="20"/>
                <w:szCs w:val="20"/>
              </w:rPr>
              <w:t>r</w:t>
            </w:r>
            <w:r w:rsidRPr="007D5128">
              <w:rPr>
                <w:sz w:val="20"/>
                <w:szCs w:val="20"/>
              </w:rPr>
              <w:t>espondent</w:t>
            </w:r>
            <w:r>
              <w:rPr>
                <w:sz w:val="20"/>
                <w:szCs w:val="20"/>
              </w:rPr>
              <w:t xml:space="preserve"> </w:t>
            </w:r>
            <w:r w:rsidRPr="007D5128">
              <w:rPr>
                <w:sz w:val="20"/>
                <w:szCs w:val="20"/>
              </w:rPr>
              <w:t>Resolute FP Canada Inc. (formerly Abitibi-Consolidated Inc.)</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Thomas F. Isaac</w:t>
            </w:r>
            <w:r>
              <w:rPr>
                <w:sz w:val="20"/>
                <w:szCs w:val="20"/>
              </w:rPr>
              <w:t xml:space="preserve">, </w:t>
            </w:r>
            <w:r w:rsidRPr="007D5128">
              <w:rPr>
                <w:sz w:val="20"/>
                <w:szCs w:val="20"/>
              </w:rPr>
              <w:t>William J. Burden</w:t>
            </w:r>
            <w:r>
              <w:rPr>
                <w:sz w:val="20"/>
                <w:szCs w:val="20"/>
              </w:rPr>
              <w:t xml:space="preserve">, </w:t>
            </w:r>
            <w:r w:rsidRPr="007D5128">
              <w:rPr>
                <w:sz w:val="20"/>
                <w:szCs w:val="20"/>
              </w:rPr>
              <w:t>Linda I. Knol</w:t>
            </w:r>
            <w:r>
              <w:rPr>
                <w:sz w:val="20"/>
                <w:szCs w:val="20"/>
              </w:rPr>
              <w:t xml:space="preserve"> and </w:t>
            </w:r>
            <w:r w:rsidRPr="007D5128">
              <w:rPr>
                <w:sz w:val="20"/>
                <w:szCs w:val="20"/>
              </w:rPr>
              <w:t>Brian P. Dominique</w:t>
            </w:r>
            <w:r>
              <w:rPr>
                <w:sz w:val="20"/>
                <w:szCs w:val="20"/>
              </w:rPr>
              <w:t xml:space="preserve"> f</w:t>
            </w:r>
            <w:r w:rsidRPr="007D5128">
              <w:rPr>
                <w:sz w:val="20"/>
                <w:szCs w:val="20"/>
              </w:rPr>
              <w:t xml:space="preserve">or the </w:t>
            </w:r>
            <w:r>
              <w:rPr>
                <w:sz w:val="20"/>
                <w:szCs w:val="20"/>
              </w:rPr>
              <w:t>r</w:t>
            </w:r>
            <w:r w:rsidRPr="007D5128">
              <w:rPr>
                <w:sz w:val="20"/>
                <w:szCs w:val="20"/>
              </w:rPr>
              <w:t>espondent</w:t>
            </w:r>
            <w:r>
              <w:rPr>
                <w:sz w:val="20"/>
                <w:szCs w:val="20"/>
              </w:rPr>
              <w:t xml:space="preserve"> </w:t>
            </w:r>
            <w:r w:rsidRPr="007D5128">
              <w:rPr>
                <w:sz w:val="20"/>
                <w:szCs w:val="20"/>
              </w:rPr>
              <w:t>Goldcorp Inc.</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Heather Leonoff, Q.C.</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Attorney General of Manitoba</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Paul E. Yearwood</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Attorney General of British Columbia</w:t>
            </w:r>
            <w:r>
              <w:rPr>
                <w:sz w:val="20"/>
                <w:szCs w:val="20"/>
              </w:rPr>
              <w:t>.</w:t>
            </w:r>
          </w:p>
          <w:p w:rsidR="002B3817" w:rsidRPr="007D5128" w:rsidRDefault="002B3817" w:rsidP="002B3817">
            <w:pPr>
              <w:jc w:val="both"/>
              <w:rPr>
                <w:sz w:val="20"/>
                <w:szCs w:val="20"/>
              </w:rPr>
            </w:pPr>
          </w:p>
          <w:p w:rsidR="002B3817" w:rsidRPr="007D5128" w:rsidRDefault="002B3817" w:rsidP="002B3817">
            <w:pPr>
              <w:jc w:val="both"/>
              <w:rPr>
                <w:sz w:val="20"/>
                <w:szCs w:val="20"/>
              </w:rPr>
            </w:pPr>
            <w:r w:rsidRPr="007D5128">
              <w:rPr>
                <w:sz w:val="20"/>
                <w:szCs w:val="20"/>
              </w:rPr>
              <w:t>Richard James Fyfe</w:t>
            </w:r>
            <w:r>
              <w:rPr>
                <w:sz w:val="20"/>
                <w:szCs w:val="20"/>
              </w:rPr>
              <w:t xml:space="preserve"> and </w:t>
            </w:r>
            <w:r w:rsidRPr="007D5128">
              <w:rPr>
                <w:sz w:val="20"/>
                <w:szCs w:val="20"/>
              </w:rPr>
              <w:t>Macrina Badger</w:t>
            </w:r>
            <w:r>
              <w:rPr>
                <w:sz w:val="20"/>
                <w:szCs w:val="20"/>
              </w:rPr>
              <w:t xml:space="preserve"> f</w:t>
            </w:r>
            <w:r w:rsidRPr="007D5128">
              <w:rPr>
                <w:sz w:val="20"/>
                <w:szCs w:val="20"/>
              </w:rPr>
              <w:t xml:space="preserve">or the </w:t>
            </w:r>
            <w:r>
              <w:rPr>
                <w:sz w:val="20"/>
                <w:szCs w:val="20"/>
              </w:rPr>
              <w:lastRenderedPageBreak/>
              <w:t>i</w:t>
            </w:r>
            <w:r w:rsidRPr="007D5128">
              <w:rPr>
                <w:sz w:val="20"/>
                <w:szCs w:val="20"/>
              </w:rPr>
              <w:t>ntervener</w:t>
            </w:r>
            <w:r>
              <w:rPr>
                <w:sz w:val="20"/>
                <w:szCs w:val="20"/>
              </w:rPr>
              <w:t xml:space="preserve"> </w:t>
            </w:r>
            <w:r w:rsidRPr="007D5128">
              <w:rPr>
                <w:sz w:val="20"/>
                <w:szCs w:val="20"/>
              </w:rPr>
              <w:t>Attorney General of Saskatchewan</w:t>
            </w:r>
            <w:r>
              <w:rPr>
                <w:sz w:val="20"/>
                <w:szCs w:val="20"/>
              </w:rPr>
              <w:t>.</w:t>
            </w:r>
          </w:p>
          <w:p w:rsidR="002B3817" w:rsidRPr="007D5128" w:rsidRDefault="002B3817" w:rsidP="002B3817">
            <w:pPr>
              <w:jc w:val="both"/>
              <w:rPr>
                <w:sz w:val="20"/>
                <w:szCs w:val="20"/>
              </w:rPr>
            </w:pPr>
          </w:p>
          <w:p w:rsidR="002B23D5" w:rsidRPr="002B23D5" w:rsidRDefault="002B3817" w:rsidP="002B3817">
            <w:pPr>
              <w:jc w:val="both"/>
              <w:rPr>
                <w:sz w:val="20"/>
                <w:szCs w:val="20"/>
              </w:rPr>
            </w:pPr>
            <w:r w:rsidRPr="007D5128">
              <w:rPr>
                <w:sz w:val="20"/>
                <w:szCs w:val="20"/>
              </w:rPr>
              <w:t>Douglas B. Titosky</w:t>
            </w:r>
            <w:r>
              <w:rPr>
                <w:sz w:val="20"/>
                <w:szCs w:val="20"/>
              </w:rPr>
              <w:t xml:space="preserve"> f</w:t>
            </w:r>
            <w:r w:rsidRPr="007D5128">
              <w:rPr>
                <w:sz w:val="20"/>
                <w:szCs w:val="20"/>
              </w:rPr>
              <w:t xml:space="preserve">or the </w:t>
            </w:r>
            <w:r>
              <w:rPr>
                <w:sz w:val="20"/>
                <w:szCs w:val="20"/>
              </w:rPr>
              <w:t>i</w:t>
            </w:r>
            <w:r w:rsidRPr="007D5128">
              <w:rPr>
                <w:sz w:val="20"/>
                <w:szCs w:val="20"/>
              </w:rPr>
              <w:t>ntervener</w:t>
            </w:r>
            <w:r>
              <w:rPr>
                <w:sz w:val="20"/>
                <w:szCs w:val="20"/>
              </w:rPr>
              <w:t xml:space="preserve"> </w:t>
            </w:r>
            <w:r w:rsidRPr="007D5128">
              <w:rPr>
                <w:sz w:val="20"/>
                <w:szCs w:val="20"/>
              </w:rPr>
              <w:t>Attorney General of Alberta</w:t>
            </w:r>
            <w:r>
              <w:rPr>
                <w:sz w:val="20"/>
                <w:szCs w:val="20"/>
              </w:rPr>
              <w:t>.</w:t>
            </w:r>
          </w:p>
        </w:tc>
      </w:tr>
    </w:tbl>
    <w:p w:rsidR="002B23D5" w:rsidRPr="002B23D5" w:rsidRDefault="002B23D5" w:rsidP="002B23D5">
      <w:pPr>
        <w:widowControl w:val="0"/>
        <w:rPr>
          <w:sz w:val="20"/>
          <w:szCs w:val="20"/>
        </w:rPr>
      </w:pPr>
    </w:p>
    <w:p w:rsidR="002B23D5" w:rsidRPr="0085476B" w:rsidRDefault="002B23D5" w:rsidP="002B23D5">
      <w:pPr>
        <w:widowControl w:val="0"/>
        <w:rPr>
          <w:sz w:val="20"/>
          <w:szCs w:val="20"/>
        </w:rPr>
      </w:pPr>
      <w:r>
        <w:rPr>
          <w:b/>
          <w:sz w:val="20"/>
          <w:szCs w:val="20"/>
        </w:rPr>
        <w:t>RESERV</w:t>
      </w:r>
      <w:r w:rsidRPr="0085476B">
        <w:rPr>
          <w:b/>
          <w:sz w:val="20"/>
          <w:szCs w:val="20"/>
        </w:rPr>
        <w:t xml:space="preserve">ED / </w:t>
      </w:r>
      <w:r w:rsidRPr="002B23D5">
        <w:rPr>
          <w:b/>
          <w:sz w:val="20"/>
          <w:szCs w:val="20"/>
        </w:rPr>
        <w:t>EN DÉLIBÉRÉ</w:t>
      </w:r>
    </w:p>
    <w:p w:rsidR="002B23D5" w:rsidRDefault="002B23D5" w:rsidP="002B23D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B23D5" w:rsidRPr="00FA68AD" w:rsidTr="002B23D5">
        <w:tc>
          <w:tcPr>
            <w:tcW w:w="4380" w:type="dxa"/>
            <w:tcMar>
              <w:left w:w="0" w:type="dxa"/>
              <w:right w:w="0" w:type="dxa"/>
            </w:tcMar>
          </w:tcPr>
          <w:p w:rsidR="002B23D5" w:rsidRPr="00CC4D84" w:rsidRDefault="002B23D5" w:rsidP="002B23D5">
            <w:pPr>
              <w:widowControl w:val="0"/>
              <w:jc w:val="both"/>
              <w:rPr>
                <w:b/>
                <w:sz w:val="20"/>
                <w:szCs w:val="20"/>
                <w:u w:val="single"/>
              </w:rPr>
            </w:pPr>
            <w:r w:rsidRPr="00CC4D84">
              <w:rPr>
                <w:b/>
                <w:sz w:val="20"/>
                <w:szCs w:val="20"/>
                <w:u w:val="single"/>
              </w:rPr>
              <w:t>Nature of the case:</w:t>
            </w:r>
          </w:p>
          <w:p w:rsidR="002B23D5" w:rsidRPr="001A663B" w:rsidRDefault="002B23D5" w:rsidP="002B23D5">
            <w:pPr>
              <w:widowControl w:val="0"/>
              <w:jc w:val="both"/>
              <w:rPr>
                <w:b/>
                <w:sz w:val="20"/>
                <w:szCs w:val="20"/>
              </w:rPr>
            </w:pPr>
          </w:p>
          <w:p w:rsidR="002B23D5" w:rsidRPr="00C1697B" w:rsidRDefault="002D039E" w:rsidP="002B23D5">
            <w:pPr>
              <w:widowControl w:val="0"/>
              <w:jc w:val="both"/>
              <w:rPr>
                <w:b/>
                <w:sz w:val="20"/>
                <w:szCs w:val="20"/>
              </w:rPr>
            </w:pPr>
            <w:r w:rsidRPr="0077393C">
              <w:rPr>
                <w:sz w:val="20"/>
                <w:szCs w:val="20"/>
              </w:rPr>
              <w:t xml:space="preserve">Aboriginal law - Treaty rights - Division of powers - Inter-jurisdictional immunity - Interpretation of treaty - Power to “take up” lands - Treaty including clause providing entitlement to “Government of the Dominion of Canada” to take up lands, subject to Ojibway’s right to hunt and fish on lands - Appellants’ initiating action after Ontario issued licences for forestry operations on portion of lands subject to treaty and added to Ontario in 1912 - Whether Court of Appeal erred in holding that Ontario has exclusive jurisdiction to take up lands within treaty territory so as to limit harvesting rights? - Whether Court of Appeal erred in setting aside trial judge’s interpretation of treaty and findings concerning intention of parties at time treaty negotiation? - Whether Court of Appeal erred in applying doctrines of evolution of treaty rights and devolution so as to modify the appellants’ harvesting rights? - Whether Court of Appeal erred in failing to consider whether Ontario’s provincial forestry legislation is constitutionally applicable insofar as it impairs Canada’s exclusive jurisdiction pursuant to s. 91(24) of the </w:t>
            </w:r>
            <w:r w:rsidRPr="0077393C">
              <w:rPr>
                <w:i/>
                <w:sz w:val="20"/>
                <w:szCs w:val="20"/>
              </w:rPr>
              <w:t>Constitution Act, 1867</w:t>
            </w:r>
            <w:r w:rsidRPr="0077393C">
              <w:rPr>
                <w:sz w:val="20"/>
                <w:szCs w:val="20"/>
              </w:rPr>
              <w:t>? - Treaty 3.</w:t>
            </w:r>
          </w:p>
        </w:tc>
        <w:tc>
          <w:tcPr>
            <w:tcW w:w="720" w:type="dxa"/>
            <w:tcMar>
              <w:left w:w="0" w:type="dxa"/>
              <w:right w:w="0" w:type="dxa"/>
            </w:tcMar>
          </w:tcPr>
          <w:p w:rsidR="002B23D5" w:rsidRPr="00C1697B" w:rsidRDefault="002B23D5" w:rsidP="002B23D5">
            <w:pPr>
              <w:widowControl w:val="0"/>
              <w:jc w:val="center"/>
              <w:rPr>
                <w:sz w:val="20"/>
                <w:szCs w:val="20"/>
              </w:rPr>
            </w:pPr>
          </w:p>
        </w:tc>
        <w:tc>
          <w:tcPr>
            <w:tcW w:w="4380" w:type="dxa"/>
            <w:tcMar>
              <w:left w:w="0" w:type="dxa"/>
              <w:right w:w="0" w:type="dxa"/>
            </w:tcMar>
          </w:tcPr>
          <w:p w:rsidR="002B23D5" w:rsidRPr="002D039E" w:rsidRDefault="002B23D5" w:rsidP="002B23D5">
            <w:pPr>
              <w:widowControl w:val="0"/>
              <w:jc w:val="both"/>
              <w:rPr>
                <w:b/>
                <w:sz w:val="20"/>
                <w:szCs w:val="20"/>
                <w:u w:val="single"/>
                <w:lang w:val="fr-CA"/>
              </w:rPr>
            </w:pPr>
            <w:r w:rsidRPr="002D039E">
              <w:rPr>
                <w:b/>
                <w:sz w:val="20"/>
                <w:szCs w:val="20"/>
                <w:u w:val="single"/>
                <w:lang w:val="fr-CA"/>
              </w:rPr>
              <w:t>Nature de la cause :</w:t>
            </w:r>
          </w:p>
          <w:p w:rsidR="002B23D5" w:rsidRPr="002D039E" w:rsidRDefault="002B23D5" w:rsidP="002B23D5">
            <w:pPr>
              <w:widowControl w:val="0"/>
              <w:jc w:val="both"/>
              <w:rPr>
                <w:sz w:val="20"/>
                <w:szCs w:val="20"/>
                <w:lang w:val="fr-CA"/>
              </w:rPr>
            </w:pPr>
          </w:p>
          <w:p w:rsidR="002B23D5" w:rsidRPr="002D039E" w:rsidRDefault="002D039E" w:rsidP="002B23D5">
            <w:pPr>
              <w:widowControl w:val="0"/>
              <w:jc w:val="both"/>
              <w:rPr>
                <w:sz w:val="20"/>
                <w:szCs w:val="20"/>
                <w:lang w:val="fr-CA"/>
              </w:rPr>
            </w:pPr>
            <w:r w:rsidRPr="00874DE9">
              <w:rPr>
                <w:sz w:val="20"/>
                <w:szCs w:val="20"/>
                <w:lang w:val="fr-CA"/>
              </w:rPr>
              <w:t xml:space="preserve">Droit des Autochtones - Droits issus de traités - Partage des compétences - </w:t>
            </w:r>
            <w:r w:rsidRPr="00874DE9">
              <w:rPr>
                <w:sz w:val="20"/>
                <w:szCs w:val="20"/>
                <w:lang w:val="fr-FR"/>
              </w:rPr>
              <w:t>Doctrine de l’exclusivité des compétences</w:t>
            </w:r>
            <w:r w:rsidRPr="00874DE9">
              <w:rPr>
                <w:sz w:val="20"/>
                <w:szCs w:val="20"/>
                <w:lang w:val="fr-CA"/>
              </w:rPr>
              <w:t xml:space="preserve"> - Interprétation d’un traité - Pouvoir de prendre des terres - Traité qui contient une clause conférant le droit du « gouvernement du Canada » de prendre des terres, sous réserve du droit des Ojibways de chasser et de pêcher sur ces terres - Action intentée par les appelants après que l’Ontario eut décerné des permis d’exploitation forestière sur une partie des terres visées par un traité et annexées à l’Ontario en 1912 - La Cour d’appel a-t-elle commis une erreur en concluant que l’Ontario a le pouvoir exclusif de prendre des terres se trouvant sur un territoire visé par un traité de manière à limiter l’exercice des droits de récolte? - La Cour d’appel a-t-elle commis une erreur en rejetant l’interprétation retenue par la juge de première instance et en écartant les conclusions tirées par celle-ci relativement à l’intention des parties au moment de la négociation du traité? - La Cour d’appel a-t-elle commis une erreur en appliquant les principes de l’évolution des droits issus de traités et de la dévolution, de manière à modifier les droits de récolte des appelants? - La Cour d’appel a-t-elle commis une erreur en ne se demandant pas si la législation provinciale ontarienne sur les forêts est constitutionnellement applicable dans la mesure où elle porte atteinte à la compétence exclusive du Canada en vertu du par. 91(24) de la </w:t>
            </w:r>
            <w:r w:rsidRPr="00874DE9">
              <w:rPr>
                <w:i/>
                <w:sz w:val="20"/>
                <w:szCs w:val="20"/>
                <w:lang w:val="fr-CA"/>
              </w:rPr>
              <w:t>Loi constitutionnelle de 1867</w:t>
            </w:r>
            <w:r w:rsidRPr="00874DE9">
              <w:rPr>
                <w:sz w:val="20"/>
                <w:szCs w:val="20"/>
                <w:lang w:val="fr-CA"/>
              </w:rPr>
              <w:t>? - Traité n</w:t>
            </w:r>
            <w:r w:rsidRPr="00874DE9">
              <w:rPr>
                <w:sz w:val="20"/>
                <w:szCs w:val="20"/>
                <w:vertAlign w:val="superscript"/>
                <w:lang w:val="fr-CA"/>
              </w:rPr>
              <w:t>o</w:t>
            </w:r>
            <w:r w:rsidRPr="00874DE9">
              <w:rPr>
                <w:sz w:val="20"/>
                <w:szCs w:val="20"/>
                <w:lang w:val="fr-CA"/>
              </w:rPr>
              <w:t> 3.</w:t>
            </w:r>
          </w:p>
        </w:tc>
      </w:tr>
    </w:tbl>
    <w:p w:rsidR="002B23D5" w:rsidRPr="002D039E" w:rsidRDefault="002B23D5" w:rsidP="002B23D5">
      <w:pPr>
        <w:widowControl w:val="0"/>
        <w:rPr>
          <w:sz w:val="20"/>
          <w:szCs w:val="20"/>
          <w:lang w:val="fr-CA"/>
        </w:rPr>
      </w:pPr>
    </w:p>
    <w:p w:rsidR="002B23D5" w:rsidRDefault="00F27688" w:rsidP="002B23D5">
      <w:pPr>
        <w:widowControl w:val="0"/>
        <w:rPr>
          <w:sz w:val="20"/>
          <w:szCs w:val="20"/>
        </w:rPr>
      </w:pPr>
      <w:r>
        <w:rPr>
          <w:sz w:val="20"/>
          <w:szCs w:val="20"/>
          <w:lang w:val="fr-CA"/>
        </w:rPr>
        <w:pict>
          <v:rect id="_x0000_i1107" style="width:2in;height:1pt" o:hrpct="0" o:hralign="center" o:hrstd="t" o:hrnoshade="t" o:hr="t" fillcolor="black [3213]" stroked="f"/>
        </w:pict>
      </w:r>
    </w:p>
    <w:p w:rsidR="002B23D5" w:rsidRDefault="002B23D5" w:rsidP="002B23D5">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A68A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E8216E" w:rsidRDefault="00F462AA" w:rsidP="0052229C">
      <w:pPr>
        <w:rPr>
          <w:b/>
          <w:sz w:val="20"/>
          <w:szCs w:val="20"/>
        </w:rPr>
      </w:pPr>
      <w:r w:rsidRPr="00E8216E">
        <w:rPr>
          <w:b/>
          <w:sz w:val="20"/>
          <w:szCs w:val="20"/>
        </w:rPr>
        <w:t>M</w:t>
      </w:r>
      <w:r w:rsidR="0052229C" w:rsidRPr="00E8216E">
        <w:rPr>
          <w:b/>
          <w:sz w:val="20"/>
          <w:szCs w:val="20"/>
        </w:rPr>
        <w:t>AY 1</w:t>
      </w:r>
      <w:r w:rsidRPr="00E8216E">
        <w:rPr>
          <w:b/>
          <w:sz w:val="20"/>
          <w:szCs w:val="20"/>
        </w:rPr>
        <w:t>4</w:t>
      </w:r>
      <w:r w:rsidR="0052229C" w:rsidRPr="00E8216E">
        <w:rPr>
          <w:b/>
          <w:sz w:val="20"/>
          <w:szCs w:val="20"/>
        </w:rPr>
        <w:t>, 2014 / LE 1</w:t>
      </w:r>
      <w:r w:rsidRPr="00E8216E">
        <w:rPr>
          <w:b/>
          <w:sz w:val="20"/>
          <w:szCs w:val="20"/>
        </w:rPr>
        <w:t>4</w:t>
      </w:r>
      <w:r w:rsidR="0052229C" w:rsidRPr="00E8216E">
        <w:rPr>
          <w:b/>
          <w:sz w:val="20"/>
          <w:szCs w:val="20"/>
        </w:rPr>
        <w:t xml:space="preserve"> </w:t>
      </w:r>
      <w:r w:rsidRPr="00E8216E">
        <w:rPr>
          <w:b/>
          <w:sz w:val="20"/>
          <w:szCs w:val="20"/>
        </w:rPr>
        <w:t>M</w:t>
      </w:r>
      <w:r w:rsidR="0052229C" w:rsidRPr="00E8216E">
        <w:rPr>
          <w:b/>
          <w:sz w:val="20"/>
          <w:szCs w:val="20"/>
        </w:rPr>
        <w:t>AI 2014</w:t>
      </w:r>
    </w:p>
    <w:p w:rsidR="0052229C" w:rsidRPr="00E8216E" w:rsidRDefault="0052229C" w:rsidP="0052229C">
      <w:pPr>
        <w:rPr>
          <w:sz w:val="20"/>
          <w:szCs w:val="20"/>
        </w:rPr>
      </w:pPr>
    </w:p>
    <w:p w:rsidR="00A07C92" w:rsidRPr="007B4EB0" w:rsidRDefault="003172C2" w:rsidP="00A07C92">
      <w:pPr>
        <w:ind w:left="1440" w:hanging="1440"/>
        <w:jc w:val="both"/>
        <w:rPr>
          <w:sz w:val="20"/>
          <w:szCs w:val="20"/>
        </w:rPr>
      </w:pPr>
      <w:r w:rsidRPr="007B4EB0">
        <w:rPr>
          <w:b/>
          <w:sz w:val="20"/>
          <w:szCs w:val="20"/>
        </w:rPr>
        <w:fldChar w:fldCharType="begin"/>
      </w:r>
      <w:r w:rsidR="00A07C92" w:rsidRPr="007B4EB0">
        <w:rPr>
          <w:b/>
          <w:sz w:val="20"/>
          <w:szCs w:val="20"/>
        </w:rPr>
        <w:instrText xml:space="preserve"> SEQ CHAPTER \h \r 1</w:instrText>
      </w:r>
      <w:r w:rsidRPr="007B4EB0">
        <w:rPr>
          <w:b/>
          <w:sz w:val="20"/>
          <w:szCs w:val="20"/>
        </w:rPr>
        <w:fldChar w:fldCharType="end"/>
      </w:r>
      <w:r w:rsidR="00A07C92" w:rsidRPr="007B4EB0">
        <w:rPr>
          <w:b/>
          <w:sz w:val="20"/>
          <w:szCs w:val="20"/>
        </w:rPr>
        <w:t>34884</w:t>
      </w:r>
      <w:r w:rsidR="00A07C92" w:rsidRPr="007B4EB0">
        <w:rPr>
          <w:sz w:val="20"/>
          <w:szCs w:val="20"/>
        </w:rPr>
        <w:tab/>
      </w:r>
      <w:r w:rsidR="00A07C92" w:rsidRPr="007B4EB0">
        <w:rPr>
          <w:b/>
          <w:sz w:val="20"/>
          <w:szCs w:val="20"/>
          <w:u w:val="single"/>
        </w:rPr>
        <w:t>Minister of Citizenship and Immigration and Minister of Public Safety and Emergency Preparedness v. Mohamed Harkat – and – Attorney General of Ontario, British Columbia Civil Liberties Association, Canadian Council of Criminal Defence Lawyers, Canadian Civil Liberties Association, Canadian Bar Association, Canadian Association of Refugee Lawyers, Canadian Council for Refugees, International Civil Liberties Monitoring Group, Canadian Council on American-Islamic Relations (now known as National Council of Canadian Muslims), Amnesty International and Criminal Lawyers’ Association (Ontario)</w:t>
      </w:r>
      <w:r w:rsidR="00A07C92" w:rsidRPr="007B4EB0">
        <w:rPr>
          <w:b/>
          <w:sz w:val="20"/>
          <w:szCs w:val="20"/>
        </w:rPr>
        <w:t xml:space="preserve"> </w:t>
      </w:r>
      <w:r w:rsidR="00A07C92" w:rsidRPr="007B4EB0">
        <w:rPr>
          <w:iCs/>
          <w:sz w:val="20"/>
          <w:szCs w:val="20"/>
        </w:rPr>
        <w:t>(F.C.)</w:t>
      </w:r>
    </w:p>
    <w:p w:rsidR="00A07C92" w:rsidRPr="007B4EB0" w:rsidRDefault="00A07C92" w:rsidP="00A07C92">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B4EB0">
        <w:rPr>
          <w:b/>
          <w:sz w:val="20"/>
          <w:szCs w:val="20"/>
        </w:rPr>
        <w:t>2014 SCC 37/ 2014 CSC 37</w:t>
      </w:r>
    </w:p>
    <w:p w:rsidR="00A07C92" w:rsidRPr="007B4EB0" w:rsidRDefault="00A07C92" w:rsidP="00A07C9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A07C92" w:rsidRPr="007B4EB0" w:rsidRDefault="00A07C92" w:rsidP="00A07C92">
      <w:pPr>
        <w:ind w:left="1440" w:hanging="1440"/>
        <w:rPr>
          <w:sz w:val="20"/>
          <w:szCs w:val="20"/>
          <w:u w:val="single"/>
        </w:rPr>
      </w:pPr>
      <w:r w:rsidRPr="007B4EB0">
        <w:rPr>
          <w:sz w:val="20"/>
          <w:szCs w:val="20"/>
        </w:rPr>
        <w:t>Coram:</w:t>
      </w:r>
      <w:r w:rsidRPr="007B4EB0">
        <w:rPr>
          <w:sz w:val="20"/>
          <w:szCs w:val="20"/>
        </w:rPr>
        <w:tab/>
      </w:r>
      <w:r w:rsidRPr="007B4EB0">
        <w:rPr>
          <w:sz w:val="20"/>
          <w:szCs w:val="20"/>
          <w:u w:val="single"/>
        </w:rPr>
        <w:t xml:space="preserve">McLachlin C.J. and LeBel, Abella, Rothstein, Cromwell, Moldaver, Karakatsanis and Wagner JJ. </w:t>
      </w:r>
    </w:p>
    <w:p w:rsidR="00A07C92" w:rsidRPr="007B4EB0" w:rsidRDefault="00A07C92" w:rsidP="00A07C92">
      <w:pPr>
        <w:ind w:left="1440" w:hanging="1440"/>
        <w:jc w:val="both"/>
        <w:rPr>
          <w:sz w:val="20"/>
          <w:szCs w:val="20"/>
          <w:u w:val="single"/>
        </w:rPr>
      </w:pPr>
    </w:p>
    <w:p w:rsidR="00A07C92" w:rsidRPr="007B4EB0" w:rsidRDefault="00A07C92" w:rsidP="00A07C92">
      <w:pPr>
        <w:jc w:val="both"/>
        <w:rPr>
          <w:rFonts w:eastAsia="Calibri"/>
          <w:sz w:val="20"/>
          <w:szCs w:val="20"/>
        </w:rPr>
      </w:pPr>
      <w:r w:rsidRPr="007B4EB0">
        <w:rPr>
          <w:rFonts w:eastAsia="Calibri"/>
          <w:sz w:val="20"/>
          <w:szCs w:val="20"/>
        </w:rPr>
        <w:t xml:space="preserve">The appeal from the judgment of the Federal Court of Appeal, Number A-76-11, 2012 FCA 122, dated April 25, 2012, heard on October 10 and 11, 2013, is allowed in part, Abella and Cromwell JJ. dissenting in part. The cross-appeal is dismissed. The </w:t>
      </w:r>
      <w:r w:rsidRPr="007B4EB0">
        <w:rPr>
          <w:rFonts w:eastAsia="Calibri"/>
          <w:i/>
          <w:sz w:val="20"/>
          <w:szCs w:val="20"/>
        </w:rPr>
        <w:t>IRPA</w:t>
      </w:r>
      <w:r w:rsidRPr="007B4EB0">
        <w:rPr>
          <w:rFonts w:eastAsia="Calibri"/>
          <w:sz w:val="20"/>
          <w:szCs w:val="20"/>
        </w:rPr>
        <w:t xml:space="preserve"> scheme is constitutional. The designated judge’s conclusion that the security certificate was reasonable is reinstated.</w:t>
      </w:r>
    </w:p>
    <w:p w:rsidR="00A07C92" w:rsidRPr="007B4EB0" w:rsidRDefault="00A07C92" w:rsidP="00A07C92">
      <w:pPr>
        <w:jc w:val="both"/>
        <w:rPr>
          <w:rFonts w:eastAsia="Calibri"/>
          <w:sz w:val="20"/>
          <w:szCs w:val="20"/>
        </w:rPr>
      </w:pPr>
    </w:p>
    <w:p w:rsidR="00A07C92" w:rsidRPr="007B4EB0" w:rsidRDefault="00A07C92" w:rsidP="00A07C92">
      <w:pPr>
        <w:jc w:val="both"/>
        <w:rPr>
          <w:rFonts w:eastAsia="Calibri"/>
          <w:sz w:val="20"/>
          <w:szCs w:val="20"/>
          <w:lang w:val="fr-CA"/>
        </w:rPr>
      </w:pPr>
      <w:r w:rsidRPr="007B4EB0">
        <w:rPr>
          <w:rFonts w:eastAsia="Calibri"/>
          <w:sz w:val="20"/>
          <w:szCs w:val="20"/>
          <w:lang w:val="fr-CA"/>
        </w:rPr>
        <w:t xml:space="preserve">L’appel interjeté contre l’arrêt de la Cour d’appel fédérale, numéro A-76-11, 2012 CAF 122, en date du 25 avril 2012, entendu les 10 et 11 octobre 2013, est accueilli en partie. Les juges Abella et Cromwell sont dissidents en partie. L’appel incident est rejeté. Le régime instauré par la </w:t>
      </w:r>
      <w:r w:rsidRPr="007B4EB0">
        <w:rPr>
          <w:rFonts w:eastAsia="Calibri"/>
          <w:i/>
          <w:sz w:val="20"/>
          <w:szCs w:val="20"/>
          <w:lang w:val="fr-CA"/>
        </w:rPr>
        <w:t>LIPR</w:t>
      </w:r>
      <w:r w:rsidRPr="007B4EB0">
        <w:rPr>
          <w:rFonts w:eastAsia="Calibri"/>
          <w:sz w:val="20"/>
          <w:szCs w:val="20"/>
          <w:lang w:val="fr-CA"/>
        </w:rPr>
        <w:t xml:space="preserve"> est constitutionnel. La conclusion du juge désigné selon laquelle le certificat de sécurité était raisonnable est rétablie.</w:t>
      </w:r>
    </w:p>
    <w:p w:rsidR="0052229C" w:rsidRPr="00E8216E" w:rsidRDefault="0052229C" w:rsidP="0052229C">
      <w:pPr>
        <w:rPr>
          <w:sz w:val="20"/>
          <w:szCs w:val="20"/>
          <w:lang w:val="fr-CA"/>
        </w:rPr>
      </w:pPr>
    </w:p>
    <w:p w:rsidR="0052229C" w:rsidRPr="003B3977" w:rsidRDefault="00F27688" w:rsidP="0052229C">
      <w:pPr>
        <w:spacing w:line="0" w:lineRule="atLeast"/>
        <w:rPr>
          <w:sz w:val="20"/>
          <w:szCs w:val="20"/>
        </w:rPr>
      </w:pPr>
      <w:r>
        <w:rPr>
          <w:b/>
          <w:sz w:val="20"/>
          <w:szCs w:val="20"/>
        </w:rPr>
        <w:pict>
          <v:rect id="_x0000_i1110"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462AA" w:rsidRPr="00F462AA" w:rsidRDefault="00F462AA" w:rsidP="00F462AA">
      <w:pPr>
        <w:ind w:left="720" w:hanging="720"/>
        <w:rPr>
          <w:sz w:val="20"/>
          <w:szCs w:val="20"/>
        </w:rPr>
      </w:pPr>
      <w:r w:rsidRPr="00F462AA">
        <w:rPr>
          <w:i/>
          <w:sz w:val="20"/>
          <w:szCs w:val="20"/>
        </w:rPr>
        <w:t xml:space="preserve">Minister of Citizenship and Immigration et al. v. Mohamed Harkat et al. </w:t>
      </w:r>
      <w:r w:rsidRPr="00F462AA">
        <w:rPr>
          <w:sz w:val="20"/>
          <w:szCs w:val="20"/>
        </w:rPr>
        <w:t>(F.C.) (</w:t>
      </w:r>
      <w:hyperlink r:id="rId114" w:history="1">
        <w:r w:rsidRPr="00F462AA">
          <w:rPr>
            <w:rStyle w:val="Hyperlink"/>
            <w:sz w:val="20"/>
            <w:szCs w:val="20"/>
          </w:rPr>
          <w:t>34884</w:t>
        </w:r>
      </w:hyperlink>
      <w:r w:rsidRPr="00F462AA">
        <w:rPr>
          <w:sz w:val="20"/>
          <w:szCs w:val="20"/>
        </w:rPr>
        <w:t>)</w:t>
      </w:r>
    </w:p>
    <w:p w:rsidR="00D13F89" w:rsidRPr="00754A7E" w:rsidRDefault="00D13F89" w:rsidP="00D13F89">
      <w:pPr>
        <w:jc w:val="both"/>
        <w:rPr>
          <w:b/>
          <w:sz w:val="20"/>
          <w:szCs w:val="20"/>
        </w:rPr>
      </w:pPr>
      <w:r w:rsidRPr="00754A7E">
        <w:rPr>
          <w:b/>
          <w:sz w:val="20"/>
          <w:szCs w:val="20"/>
        </w:rPr>
        <w:t xml:space="preserve">Indexed as:  Canada (Citizenship and Immigration) </w:t>
      </w:r>
      <w:r w:rsidRPr="00754A7E">
        <w:rPr>
          <w:b/>
          <w:i/>
          <w:sz w:val="20"/>
          <w:szCs w:val="20"/>
        </w:rPr>
        <w:t>v.</w:t>
      </w:r>
      <w:r w:rsidRPr="00754A7E">
        <w:rPr>
          <w:b/>
          <w:sz w:val="20"/>
          <w:szCs w:val="20"/>
        </w:rPr>
        <w:t xml:space="preserve"> Harkat</w:t>
      </w:r>
      <w:r>
        <w:rPr>
          <w:b/>
          <w:sz w:val="20"/>
          <w:szCs w:val="20"/>
        </w:rPr>
        <w:t xml:space="preserve"> /</w:t>
      </w:r>
    </w:p>
    <w:p w:rsidR="00F462AA" w:rsidRPr="00D13F89" w:rsidRDefault="00D13F89" w:rsidP="0052229C">
      <w:pPr>
        <w:ind w:left="1440" w:hanging="1440"/>
        <w:jc w:val="both"/>
        <w:rPr>
          <w:rFonts w:eastAsia="Calibri"/>
          <w:i/>
          <w:sz w:val="20"/>
          <w:szCs w:val="20"/>
          <w:lang w:val="fr-CA"/>
        </w:rPr>
      </w:pPr>
      <w:r w:rsidRPr="001B0E4D">
        <w:rPr>
          <w:b/>
          <w:sz w:val="20"/>
          <w:szCs w:val="20"/>
          <w:lang w:val="fr-CA"/>
        </w:rPr>
        <w:t xml:space="preserve">Répertorié : Canada (Citoyenneté et Immigration) </w:t>
      </w:r>
      <w:r w:rsidRPr="001B0E4D">
        <w:rPr>
          <w:b/>
          <w:i/>
          <w:sz w:val="20"/>
          <w:szCs w:val="20"/>
          <w:lang w:val="fr-CA"/>
        </w:rPr>
        <w:t>c.</w:t>
      </w:r>
      <w:r w:rsidRPr="001B0E4D">
        <w:rPr>
          <w:b/>
          <w:sz w:val="20"/>
          <w:szCs w:val="20"/>
          <w:lang w:val="fr-CA"/>
        </w:rPr>
        <w:t xml:space="preserve"> Harkat</w:t>
      </w:r>
    </w:p>
    <w:p w:rsidR="0052229C" w:rsidRPr="00A07C92" w:rsidRDefault="0052229C" w:rsidP="0052229C">
      <w:pPr>
        <w:pStyle w:val="SCCSystemYear"/>
        <w:jc w:val="both"/>
        <w:rPr>
          <w:sz w:val="20"/>
        </w:rPr>
      </w:pPr>
      <w:r w:rsidRPr="00A07C92">
        <w:rPr>
          <w:sz w:val="20"/>
        </w:rPr>
        <w:t>Neutral citation:  2014 SCC </w:t>
      </w:r>
      <w:r w:rsidR="00A07C92" w:rsidRPr="00A07C92">
        <w:rPr>
          <w:sz w:val="20"/>
        </w:rPr>
        <w:t>37</w:t>
      </w:r>
      <w:r w:rsidRPr="00A07C92">
        <w:rPr>
          <w:sz w:val="20"/>
        </w:rPr>
        <w:t xml:space="preserve"> / Référence neutre : 2014 CSC </w:t>
      </w:r>
      <w:r w:rsidR="00A07C92">
        <w:rPr>
          <w:sz w:val="20"/>
        </w:rPr>
        <w:t>37</w:t>
      </w:r>
    </w:p>
    <w:p w:rsidR="0052229C" w:rsidRPr="006B7E8F" w:rsidRDefault="0052229C" w:rsidP="0052229C">
      <w:pPr>
        <w:rPr>
          <w:rFonts w:cs="Times New Roman"/>
          <w:sz w:val="20"/>
          <w:szCs w:val="20"/>
        </w:rPr>
      </w:pPr>
      <w:r w:rsidRPr="006B7E8F">
        <w:rPr>
          <w:rFonts w:cs="Times New Roman"/>
          <w:sz w:val="20"/>
          <w:szCs w:val="20"/>
        </w:rPr>
        <w:t xml:space="preserve">Hearing:  </w:t>
      </w:r>
      <w:r w:rsidR="00D13F89">
        <w:rPr>
          <w:rFonts w:cs="Times New Roman"/>
          <w:sz w:val="20"/>
          <w:szCs w:val="20"/>
        </w:rPr>
        <w:t>October 10 and 11</w:t>
      </w:r>
      <w:r w:rsidRPr="006B7E8F">
        <w:rPr>
          <w:rFonts w:cs="Times New Roman"/>
          <w:sz w:val="20"/>
          <w:szCs w:val="20"/>
        </w:rPr>
        <w:t xml:space="preserve">, 2013 / Judgment:  </w:t>
      </w:r>
      <w:r w:rsidR="00F462AA" w:rsidRPr="006B7E8F">
        <w:rPr>
          <w:rFonts w:cs="Times New Roman"/>
          <w:sz w:val="20"/>
          <w:szCs w:val="20"/>
        </w:rPr>
        <w:t>M</w:t>
      </w:r>
      <w:r w:rsidRPr="006B7E8F">
        <w:rPr>
          <w:rFonts w:cs="Times New Roman"/>
          <w:sz w:val="20"/>
          <w:szCs w:val="20"/>
        </w:rPr>
        <w:t>ay 1</w:t>
      </w:r>
      <w:r w:rsidR="00F462AA" w:rsidRPr="006B7E8F">
        <w:rPr>
          <w:rFonts w:cs="Times New Roman"/>
          <w:sz w:val="20"/>
          <w:szCs w:val="20"/>
        </w:rPr>
        <w:t>4</w:t>
      </w:r>
      <w:r w:rsidRPr="006B7E8F">
        <w:rPr>
          <w:rFonts w:cs="Times New Roman"/>
          <w:sz w:val="20"/>
          <w:szCs w:val="20"/>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D13F89">
        <w:rPr>
          <w:rFonts w:cs="Times New Roman"/>
          <w:sz w:val="20"/>
          <w:szCs w:val="20"/>
          <w:lang w:val="fr-CA"/>
        </w:rPr>
        <w:t>10 et 11 octobre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Pr>
          <w:rFonts w:cs="Times New Roman"/>
          <w:sz w:val="20"/>
          <w:szCs w:val="20"/>
          <w:lang w:val="fr-CA"/>
        </w:rPr>
        <w:t>1</w:t>
      </w:r>
      <w:r w:rsidR="00F462AA">
        <w:rPr>
          <w:rFonts w:cs="Times New Roman"/>
          <w:sz w:val="20"/>
          <w:szCs w:val="20"/>
          <w:lang w:val="fr-CA"/>
        </w:rPr>
        <w:t>4</w:t>
      </w:r>
      <w:r>
        <w:rPr>
          <w:rFonts w:cs="Times New Roman"/>
          <w:sz w:val="20"/>
          <w:szCs w:val="20"/>
          <w:lang w:val="fr-CA"/>
        </w:rPr>
        <w:t xml:space="preserve"> </w:t>
      </w:r>
      <w:r w:rsidR="00F462AA">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Pr>
          <w:rFonts w:cs="Times New Roman"/>
          <w:sz w:val="20"/>
          <w:szCs w:val="20"/>
          <w:lang w:val="fr-CA"/>
        </w:rPr>
        <w:t>4</w:t>
      </w:r>
    </w:p>
    <w:p w:rsidR="005C6840" w:rsidRPr="003B3977" w:rsidRDefault="00F27688" w:rsidP="005C6840">
      <w:pPr>
        <w:rPr>
          <w:rFonts w:cs="Times New Roman"/>
          <w:sz w:val="20"/>
          <w:szCs w:val="20"/>
          <w:lang w:val="fr-CA"/>
        </w:rPr>
      </w:pPr>
      <w:r>
        <w:rPr>
          <w:rFonts w:cs="Times New Roman"/>
          <w:i/>
          <w:sz w:val="20"/>
          <w:szCs w:val="20"/>
        </w:rPr>
        <w:pict>
          <v:rect id="_x0000_i111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13F89" w:rsidRPr="00754A7E" w:rsidRDefault="00D13F89" w:rsidP="00D13F89">
      <w:pPr>
        <w:pStyle w:val="SCCNormalDoubleSpacing"/>
        <w:spacing w:line="240" w:lineRule="auto"/>
        <w:rPr>
          <w:i/>
          <w:sz w:val="20"/>
        </w:rPr>
      </w:pPr>
      <w:r w:rsidRPr="00754A7E">
        <w:rPr>
          <w:sz w:val="20"/>
        </w:rPr>
        <w:tab/>
      </w:r>
      <w:r w:rsidRPr="00754A7E">
        <w:rPr>
          <w:i/>
          <w:sz w:val="20"/>
        </w:rPr>
        <w:t>Constitutional law — Charter of Rights — Right to life, liberty and security of person — Certificate issued against foreign national stating that he is inadmissible to Canada on national security grounds for allegedly engaging in terrorism — Named person challenging constitutionality of security certificate scheme on grounds that it prevents full disclosure and personal participation in hearings — Whether scheme under which security certificate issued deprives named person of right to life, liberty and security of person in accordance with principles of fundamental justice — Canadian Charter of Rights and Freedoms, s. 7 — Immigration and Refugee Protection Act, S.C. 2001, c. 27, ss. 77(2), 83(1)(c), 83(1)(d), 83(1)(e), 83(1)(h), 83(1)(i), 85.4(2), 85.5(b).</w:t>
      </w:r>
    </w:p>
    <w:p w:rsidR="00D13F89" w:rsidRDefault="00D13F89" w:rsidP="00D13F89">
      <w:pPr>
        <w:pStyle w:val="SCCNormalDoubleSpacing"/>
        <w:spacing w:line="240" w:lineRule="auto"/>
        <w:rPr>
          <w:i/>
          <w:sz w:val="20"/>
        </w:rPr>
      </w:pPr>
    </w:p>
    <w:p w:rsidR="00D13F89" w:rsidRPr="00754A7E" w:rsidRDefault="00D13F89" w:rsidP="00D13F89">
      <w:pPr>
        <w:pStyle w:val="SCCNormalDoubleSpacing"/>
        <w:spacing w:line="240" w:lineRule="auto"/>
        <w:rPr>
          <w:i/>
          <w:sz w:val="20"/>
        </w:rPr>
      </w:pPr>
      <w:r w:rsidRPr="00754A7E">
        <w:rPr>
          <w:i/>
          <w:sz w:val="20"/>
        </w:rPr>
        <w:tab/>
        <w:t>Immigration — Inadmissibility and removal — National security — Certificate issued against foreign national stating that he is inadmissible to Canada on national security grounds for allegedly engaging in terrorism — Judge reviewing reasonableness of certificate finding sufficient evidence to demonstrate that certificate was reasonable and upholding certificate — Whether designated judge erred in concluding that certificate was reasonable.</w:t>
      </w:r>
    </w:p>
    <w:p w:rsidR="00D13F89" w:rsidRDefault="00D13F89" w:rsidP="00D13F89">
      <w:pPr>
        <w:pStyle w:val="SCCNormalDoubleSpacing"/>
        <w:spacing w:line="240" w:lineRule="auto"/>
        <w:rPr>
          <w:i/>
          <w:sz w:val="20"/>
        </w:rPr>
      </w:pPr>
    </w:p>
    <w:p w:rsidR="00D13F89" w:rsidRPr="00754A7E" w:rsidRDefault="00D13F89" w:rsidP="00D13F89">
      <w:pPr>
        <w:pStyle w:val="SCCNormalDoubleSpacing"/>
        <w:spacing w:line="240" w:lineRule="auto"/>
        <w:rPr>
          <w:i/>
          <w:sz w:val="20"/>
        </w:rPr>
      </w:pPr>
      <w:r w:rsidRPr="00754A7E">
        <w:rPr>
          <w:i/>
          <w:sz w:val="20"/>
        </w:rPr>
        <w:tab/>
        <w:t>Evidence — Privilege — Informer privilege — Information used against named person obtained by CSIS from human sources — Whether CSIS human sources are covered by class privilege — Whether CSIS human sources can be cross-examined.</w:t>
      </w:r>
    </w:p>
    <w:p w:rsidR="00D13F89" w:rsidRDefault="00D13F89" w:rsidP="00D13F89">
      <w:pPr>
        <w:pStyle w:val="SCCNormalDoubleSpacing"/>
        <w:spacing w:line="240" w:lineRule="auto"/>
        <w:rPr>
          <w:i/>
          <w:sz w:val="20"/>
        </w:rPr>
      </w:pPr>
    </w:p>
    <w:p w:rsidR="00D13F89" w:rsidRPr="00754A7E" w:rsidRDefault="00D13F89" w:rsidP="00D13F89">
      <w:pPr>
        <w:pStyle w:val="SCCNormalDoubleSpacing"/>
        <w:spacing w:line="240" w:lineRule="auto"/>
        <w:rPr>
          <w:i/>
          <w:sz w:val="20"/>
        </w:rPr>
      </w:pPr>
      <w:r w:rsidRPr="00754A7E">
        <w:rPr>
          <w:i/>
          <w:sz w:val="20"/>
        </w:rPr>
        <w:tab/>
        <w:t>Constitutional law — Charter of Rights — Procedural fairness — Duty to disclose — Remedy — Summaries of intercepted conversations tendered as evidence against named person — Source materials for summaries destroyed in accordance with internal policy of CSIS — Whether destruction of source materials breached named person’s right to procedural fairness — Whether designated judge erred in refusing to exclude summaries of intercepted conversations — Canadian Charter of Rights and Freedoms, ss. 7, 24(1).</w:t>
      </w:r>
    </w:p>
    <w:p w:rsidR="00D13F89" w:rsidRDefault="00D13F89" w:rsidP="00D13F89">
      <w:pPr>
        <w:pStyle w:val="SCCNormalDoubleSpacing"/>
        <w:spacing w:line="240" w:lineRule="auto"/>
        <w:rPr>
          <w:i/>
          <w:sz w:val="20"/>
        </w:rPr>
      </w:pPr>
    </w:p>
    <w:p w:rsidR="00D13F89" w:rsidRPr="00754A7E" w:rsidRDefault="00D13F89" w:rsidP="00D13F89">
      <w:pPr>
        <w:pStyle w:val="SCCNormalDoubleSpacing"/>
        <w:spacing w:line="240" w:lineRule="auto"/>
        <w:rPr>
          <w:i/>
          <w:sz w:val="20"/>
        </w:rPr>
      </w:pPr>
      <w:r w:rsidRPr="00754A7E">
        <w:rPr>
          <w:i/>
          <w:sz w:val="20"/>
        </w:rPr>
        <w:tab/>
        <w:t>Stay of proceedings — Duties of candour and utmost good faith — Fairness of process — Ex parte proceedings — Review of reasonableness of security certificate — Whether ministers made reasonable efforts to obtain information sought by special advocates — Whether ministers breached duties of candour and utmost good faith — Whether proceedings against named person were fair — Whether named person entitled to stay of proceedings.</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H is alleged to have come to Canada for the purpose of engaging in terrorism.  In 2002, a security certificate was issued against H under the scheme then contained in the </w:t>
      </w:r>
      <w:r w:rsidRPr="00754A7E">
        <w:rPr>
          <w:i/>
          <w:sz w:val="20"/>
        </w:rPr>
        <w:t>Immigration and Refugee Protection Act</w:t>
      </w:r>
      <w:r w:rsidRPr="00754A7E">
        <w:rPr>
          <w:sz w:val="20"/>
        </w:rPr>
        <w:t>, S.C. 2001, c. 27 (“</w:t>
      </w:r>
      <w:r w:rsidRPr="00754A7E">
        <w:rPr>
          <w:i/>
          <w:sz w:val="20"/>
        </w:rPr>
        <w:t>IRPA</w:t>
      </w:r>
      <w:r w:rsidRPr="00754A7E">
        <w:rPr>
          <w:sz w:val="20"/>
        </w:rPr>
        <w:t xml:space="preserve">”).  The certificate declared H inadmissible to Canada on national security grounds.  After a successful constitutional challenge of the then existing </w:t>
      </w:r>
      <w:r w:rsidRPr="00754A7E">
        <w:rPr>
          <w:i/>
          <w:sz w:val="20"/>
        </w:rPr>
        <w:t>IRPA</w:t>
      </w:r>
      <w:r w:rsidRPr="00754A7E">
        <w:rPr>
          <w:sz w:val="20"/>
        </w:rPr>
        <w:t xml:space="preserve"> security certificate scheme and subsequent amendments to the </w:t>
      </w:r>
      <w:r w:rsidRPr="00754A7E">
        <w:rPr>
          <w:i/>
          <w:sz w:val="20"/>
        </w:rPr>
        <w:t>IRPA</w:t>
      </w:r>
      <w:r w:rsidRPr="00754A7E">
        <w:rPr>
          <w:sz w:val="20"/>
        </w:rPr>
        <w:t xml:space="preserve">, a second security certificate was issued against H and referred to the Federal Court for a determination as to its reasonableness.  During the proceedings, the special advocates appointed to protect the interests of H in the closed hearings sought to obtain disclosure of the identity of human sources who provided information regarding H to the Canadian Security Intelligence Service (“CSIS”) as well as permission to interview and to cross-examine them.  The designated judge rejected their request, finding that the common law police informer privilege should be extended to cover CSIS human sources.  The designated judge also rejected their request to compel the ministers to obtain updated information from foreign intelligence agencies on several alleged terrorists with whom H was claimed to have associated.  In addition, H’s request to exclude from the evidence summaries of intercepted conversations on the ground that the original recordings and notes of these conversations were destroyed pursuant to CSIS policy OPS-217 was refused by the designated judge.  The designated judge found the security certificate scheme under the amended </w:t>
      </w:r>
      <w:r w:rsidRPr="00754A7E">
        <w:rPr>
          <w:i/>
          <w:sz w:val="20"/>
        </w:rPr>
        <w:t>IRPA</w:t>
      </w:r>
      <w:r w:rsidRPr="00754A7E">
        <w:rPr>
          <w:sz w:val="20"/>
        </w:rPr>
        <w:t xml:space="preserve"> to be constitutional, and concluded that the certificate declaring H inadmissible to Canada was reasonable.  On appeal, the Federal Court of Appeal upheld the constitutionality of the scheme but found that the identity of CSIS human sources is not protected by privilege.  It also excluded from the evidence the summaries of intercepted conversations to </w:t>
      </w:r>
      <w:r w:rsidRPr="00754A7E">
        <w:rPr>
          <w:sz w:val="20"/>
        </w:rPr>
        <w:lastRenderedPageBreak/>
        <w:t>which H had not been privy, and remitted the matter to the designated judge for redetermination on the basis of what remained of the record after the exclusion of the summaries.</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r>
      <w:r w:rsidRPr="00754A7E">
        <w:rPr>
          <w:rStyle w:val="QuoteChar"/>
          <w:sz w:val="20"/>
        </w:rPr>
        <w:t>Held (Abella and Cromwell JJ. dissenting in part on the appeal):</w:t>
      </w:r>
      <w:r w:rsidRPr="00754A7E">
        <w:rPr>
          <w:sz w:val="20"/>
        </w:rPr>
        <w:t xml:space="preserve">  The appeal should be allowed in part.  The cross-appeal should be dismissed.  The </w:t>
      </w:r>
      <w:r w:rsidRPr="00754A7E">
        <w:rPr>
          <w:i/>
          <w:sz w:val="20"/>
        </w:rPr>
        <w:t>IRPA</w:t>
      </w:r>
      <w:r w:rsidRPr="00754A7E">
        <w:rPr>
          <w:sz w:val="20"/>
        </w:rPr>
        <w:t xml:space="preserve"> scheme is constitutional.  CSIS human sources are not protected by a class privilege.  The designated judge’s conclusion that the security certificate was reasonable is reinstated.</w:t>
      </w:r>
    </w:p>
    <w:p w:rsidR="00D13F89" w:rsidRDefault="00D13F89" w:rsidP="00D13F89">
      <w:pPr>
        <w:pStyle w:val="SCCNormalDoubleSpacing"/>
        <w:spacing w:line="240" w:lineRule="auto"/>
        <w:rPr>
          <w:sz w:val="20"/>
        </w:rPr>
      </w:pPr>
    </w:p>
    <w:p w:rsidR="00D13F89" w:rsidRDefault="00D13F89" w:rsidP="00D13F89">
      <w:pPr>
        <w:pStyle w:val="SCCNormalDoubleSpacing"/>
        <w:spacing w:line="240" w:lineRule="auto"/>
        <w:rPr>
          <w:sz w:val="20"/>
        </w:rPr>
      </w:pPr>
      <w:r w:rsidRPr="00754A7E">
        <w:rPr>
          <w:sz w:val="20"/>
        </w:rPr>
        <w:tab/>
      </w:r>
      <w:r w:rsidRPr="00754A7E">
        <w:rPr>
          <w:i/>
          <w:sz w:val="20"/>
        </w:rPr>
        <w:t xml:space="preserve">Per </w:t>
      </w:r>
      <w:r w:rsidRPr="00754A7E">
        <w:rPr>
          <w:b/>
          <w:sz w:val="20"/>
        </w:rPr>
        <w:t>McLachlin C.J.</w:t>
      </w:r>
      <w:r w:rsidRPr="00754A7E">
        <w:rPr>
          <w:sz w:val="20"/>
        </w:rPr>
        <w:t xml:space="preserve"> and LeBel, Rothstein, Moldaver, Karakatsanis and Wagner JJ.: </w:t>
      </w:r>
    </w:p>
    <w:p w:rsidR="00D13F89" w:rsidRPr="00754A7E" w:rsidRDefault="00D13F89" w:rsidP="00D13F89">
      <w:pPr>
        <w:pStyle w:val="SCCNormalDoubleSpacing"/>
        <w:spacing w:line="240" w:lineRule="auto"/>
        <w:rPr>
          <w:sz w:val="20"/>
        </w:rPr>
      </w:pPr>
    </w:p>
    <w:p w:rsidR="00D13F89" w:rsidRPr="00754A7E" w:rsidRDefault="00D13F89" w:rsidP="00D13F89">
      <w:pPr>
        <w:pStyle w:val="SCCNormalDoubleSpacing"/>
        <w:keepNext/>
        <w:spacing w:line="240" w:lineRule="auto"/>
        <w:rPr>
          <w:i/>
          <w:sz w:val="20"/>
        </w:rPr>
      </w:pPr>
      <w:r w:rsidRPr="00754A7E">
        <w:rPr>
          <w:i/>
          <w:sz w:val="20"/>
        </w:rPr>
        <w:t>Constitutionality of IRPA Scheme</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The impugned provisions of the </w:t>
      </w:r>
      <w:r w:rsidRPr="00754A7E">
        <w:rPr>
          <w:i/>
          <w:sz w:val="20"/>
        </w:rPr>
        <w:t>IRPA</w:t>
      </w:r>
      <w:r w:rsidRPr="00754A7E">
        <w:rPr>
          <w:sz w:val="20"/>
        </w:rPr>
        <w:t xml:space="preserve"> scheme are constitutional.  They do not violate the named person’s right to know and meet the case against him, or the right to have a decision made on the facts and the law.  The alleged defects of the </w:t>
      </w:r>
      <w:r w:rsidRPr="00754A7E">
        <w:rPr>
          <w:i/>
          <w:sz w:val="20"/>
        </w:rPr>
        <w:t>IRPA</w:t>
      </w:r>
      <w:r w:rsidRPr="00754A7E">
        <w:rPr>
          <w:sz w:val="20"/>
        </w:rPr>
        <w:t xml:space="preserve"> scheme must be assessed in light of the scheme’s overall design and of the two central principles that guide the scheme:  (1) the designated judge is intended to play a gatekeeper role, is vested with broad discretion and must ensure not only that the record supports the reasonableness of the ministers’ finding of inadmissibility but also that the overall process is fair; and (2) participation of the special advocates in closed hearings is intended to be a substantial substitute for personal participation by the named person in those hearings.  However, the scheme remains an imperfect substitute for full disclosure in an open court, and the designated judge has an ongoing responsibility to assess the overall fairness of the process and to grant remedies under s. 24(1) of the </w:t>
      </w:r>
      <w:r w:rsidRPr="00754A7E">
        <w:rPr>
          <w:i/>
          <w:sz w:val="20"/>
        </w:rPr>
        <w:t>Charter</w:t>
      </w:r>
      <w:r w:rsidRPr="00754A7E">
        <w:rPr>
          <w:sz w:val="20"/>
        </w:rPr>
        <w:t xml:space="preserve"> where appropriate.</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The </w:t>
      </w:r>
      <w:r w:rsidRPr="00754A7E">
        <w:rPr>
          <w:i/>
          <w:sz w:val="20"/>
        </w:rPr>
        <w:t>IRPA</w:t>
      </w:r>
      <w:r w:rsidRPr="00754A7E">
        <w:rPr>
          <w:sz w:val="20"/>
        </w:rPr>
        <w:t xml:space="preserve"> scheme provides sufficient disclosure to the named person to be constitutionally compliant, since the designated judge has a statutory duty to ensure that the named person is reasonably informed of the case against him or her throughout the proceedings.  However, the </w:t>
      </w:r>
      <w:r w:rsidRPr="00754A7E">
        <w:rPr>
          <w:i/>
          <w:sz w:val="20"/>
        </w:rPr>
        <w:t>IRPA</w:t>
      </w:r>
      <w:r w:rsidRPr="00754A7E">
        <w:rPr>
          <w:sz w:val="20"/>
        </w:rPr>
        <w:t xml:space="preserve"> scheme’s requirement that the named person be “reasonably informed” of the case should be read as a recognition that the named person must receive an incompressible minimum amount of disclosure.  A named person is “reasonably informed” if he or she has personally received sufficient disclosure to be able to give meaningful instructions to his public counsel and meaningful guidance and information to his or her special advocates which will allow them to challenge the information and evidence presented in the closed hearings.  The level of disclosure required for a named person to be reasonably informed is case-specific, depending on the allegations and evidence against him or her.  Ultimately, the designated judge is the arbiter of whether this standard has been met.</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Only information and evidence that raises a serious risk of injury to national security or danger to the safety of a person can be withheld from the named person.  The designated judge must be vigilant and skeptical with respect to the claims of national security confidentiality and must ensure that only information or evidence which would injure national security or endanger the safety of a person is withheld from the named person.  Systematic overclaiming would infringe the named person’s right to a fair process or undermine the integrity of the judicial system, requiring a remedy under s. 24(1) of the </w:t>
      </w:r>
      <w:r w:rsidRPr="00754A7E">
        <w:rPr>
          <w:i/>
          <w:sz w:val="20"/>
        </w:rPr>
        <w:t>Charter</w:t>
      </w:r>
      <w:r w:rsidRPr="00754A7E">
        <w:rPr>
          <w:sz w:val="20"/>
        </w:rPr>
        <w:t>.</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The </w:t>
      </w:r>
      <w:r w:rsidRPr="00754A7E">
        <w:rPr>
          <w:i/>
          <w:sz w:val="20"/>
        </w:rPr>
        <w:t>IRPA</w:t>
      </w:r>
      <w:r w:rsidRPr="00754A7E">
        <w:rPr>
          <w:sz w:val="20"/>
        </w:rPr>
        <w:t xml:space="preserve"> scheme’s approach to disclosure, which fails to provide for a balancing of countervailing interests, does not render the scheme unconstitutional.  Section 7 of the </w:t>
      </w:r>
      <w:r w:rsidRPr="00754A7E">
        <w:rPr>
          <w:i/>
          <w:sz w:val="20"/>
        </w:rPr>
        <w:t xml:space="preserve">Charter </w:t>
      </w:r>
      <w:r w:rsidRPr="00754A7E">
        <w:rPr>
          <w:sz w:val="20"/>
        </w:rPr>
        <w:t>does not require a balancing approach to disclosure, rather, it requires a fair process.  Parliament’s choice to adopt a categorical prohibition against disclosure of sensitive information, as opposed to a balancing approach, does not as such constitute a breach of the right to a fair process.</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The communications restrictions imposed on special advocates do not render the scheme unconstitutional.  They are not absolute and can be lifted with judicial authorization, subject to conditions deemed appropriate by the designated judge.  The judicial authorization process gives the designated judge a sufficiently broad discretion to allow all communications that are necessary for the special advocates to perform their duties.  This broad discretion averts unfairness as the designated judge can ensure that the special advocates function as closely as possible to ordinary counsel in a public hearing.  The judge should take a liberal approach in authorizing communications and only refuse authorization where the Minister has demonstrated, on a balance of probabilities, a real risk of injurious disclosure.  In addition, the named person and his public counsel can send an unlimited amount of one-way communications to the special advocates at any time throughout the proceedings. </w:t>
      </w:r>
    </w:p>
    <w:p w:rsidR="00D13F89" w:rsidRDefault="00D13F89" w:rsidP="00D13F89">
      <w:pPr>
        <w:pStyle w:val="SCCNormalDoubleSpacing"/>
        <w:spacing w:line="240" w:lineRule="auto"/>
        <w:rPr>
          <w:sz w:val="20"/>
        </w:rPr>
      </w:pPr>
    </w:p>
    <w:p w:rsidR="00D13F89" w:rsidRDefault="00D13F89" w:rsidP="00D13F89">
      <w:pPr>
        <w:pStyle w:val="SCCNormalDoubleSpacing"/>
        <w:spacing w:line="240" w:lineRule="auto"/>
        <w:rPr>
          <w:sz w:val="20"/>
        </w:rPr>
      </w:pPr>
      <w:r w:rsidRPr="00754A7E">
        <w:rPr>
          <w:sz w:val="20"/>
        </w:rPr>
        <w:lastRenderedPageBreak/>
        <w:tab/>
        <w:t xml:space="preserve">The admission of hearsay evidence or the denial of the opportunity for special advocates to cross-examine sources do not render the </w:t>
      </w:r>
      <w:r w:rsidRPr="00754A7E">
        <w:rPr>
          <w:i/>
          <w:sz w:val="20"/>
        </w:rPr>
        <w:t>IRPA</w:t>
      </w:r>
      <w:r w:rsidRPr="00754A7E">
        <w:rPr>
          <w:sz w:val="20"/>
        </w:rPr>
        <w:t xml:space="preserve"> scheme unconstitutional.  The </w:t>
      </w:r>
      <w:r w:rsidRPr="00754A7E">
        <w:rPr>
          <w:i/>
          <w:sz w:val="20"/>
        </w:rPr>
        <w:t>IRPA</w:t>
      </w:r>
      <w:r w:rsidRPr="00754A7E">
        <w:rPr>
          <w:sz w:val="20"/>
        </w:rPr>
        <w:t xml:space="preserve"> scheme achieves the purpose of excluding unreliable evidence by alternative means to the rule against hearsay evidence and the right to cross-examine witnesses – it provides the designated judge with broad discretion to exclude evidence that is not “reliable and appropriate”, which allows the judge to exclude not only evidence that he or she finds, after a searching review, to be unreliable, but also evidence whose probative value is outweighed by its prejudicial effect against the named person.</w:t>
      </w:r>
    </w:p>
    <w:p w:rsidR="00D13F89" w:rsidRPr="00754A7E" w:rsidRDefault="00D13F89" w:rsidP="00D13F89">
      <w:pPr>
        <w:pStyle w:val="SCCNormalDoubleSpacing"/>
        <w:spacing w:line="240" w:lineRule="auto"/>
        <w:rPr>
          <w:sz w:val="20"/>
        </w:rPr>
      </w:pPr>
    </w:p>
    <w:p w:rsidR="00D13F89" w:rsidRPr="00754A7E" w:rsidRDefault="00D13F89" w:rsidP="00D13F89">
      <w:pPr>
        <w:pStyle w:val="SCCNormalDoubleSpacing"/>
        <w:keepNext/>
        <w:spacing w:line="240" w:lineRule="auto"/>
        <w:rPr>
          <w:i/>
          <w:sz w:val="20"/>
        </w:rPr>
      </w:pPr>
      <w:r w:rsidRPr="00754A7E">
        <w:rPr>
          <w:i/>
          <w:sz w:val="20"/>
        </w:rPr>
        <w:t>Privilege for CSIS Human Sources</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t xml:space="preserve">CSIS human sources are not protected by a class privilege.  First, police informer privilege does not attach to CSIS human sources.  The differences between traditional policing and modern intelligence gathering preclude automatically applying traditional police informer privilege to CSIS human sources.  While evidence gathered by the police is traditionally used in criminal trials that provide the accused with significant evidentiary safeguards, the intelligence gathered by CSIS may be used to establish criminal conduct in proceedings that have relaxed rules of evidence and allow for the admission of hearsay evidence.  Second, this Court should not create a new privilege for CSIS human sources.  If Parliament deems it desirable that CSIS human sources’ identities and related information be privileged, it can enact appropriate protections.  The </w:t>
      </w:r>
      <w:r w:rsidRPr="00754A7E">
        <w:rPr>
          <w:i/>
          <w:sz w:val="20"/>
        </w:rPr>
        <w:t>IRPA</w:t>
      </w:r>
      <w:r w:rsidRPr="00754A7E">
        <w:rPr>
          <w:sz w:val="20"/>
        </w:rPr>
        <w:t xml:space="preserve"> scheme already affords broad protection to human sources by precluding the public disclosure of information that would injure national security or endanger a person.</w:t>
      </w:r>
    </w:p>
    <w:p w:rsidR="00D13F89" w:rsidRDefault="00D13F89" w:rsidP="00D13F89">
      <w:pPr>
        <w:pStyle w:val="SCCNormalDoubleSpacing"/>
        <w:widowControl w:val="0"/>
        <w:spacing w:line="240" w:lineRule="auto"/>
        <w:rPr>
          <w:sz w:val="20"/>
        </w:rPr>
      </w:pPr>
    </w:p>
    <w:p w:rsidR="00D13F89" w:rsidRDefault="00D13F89" w:rsidP="00D13F89">
      <w:pPr>
        <w:pStyle w:val="SCCNormalDoubleSpacing"/>
        <w:widowControl w:val="0"/>
        <w:spacing w:line="240" w:lineRule="auto"/>
        <w:rPr>
          <w:sz w:val="20"/>
        </w:rPr>
      </w:pPr>
      <w:r w:rsidRPr="00754A7E">
        <w:rPr>
          <w:sz w:val="20"/>
        </w:rPr>
        <w:tab/>
        <w:t>Although the identity of CSIS human sources is not privileged, special advocates do not have an unlimited ability to interview and cross-examine human sources.  The discretion of the designated judge to allow the special advocates to interview and cross-examine human sources in a closed hearing should be exercised as a last resort.  A generalized practice of calling CSIS human sources before a court, even if only in closed hearings, may have a chilling effect on potential sources and hinder CSIS’ ability to recruit new sources.  In this case, there is no need to authorize the exceptional measure of interviewing and cross-examining human sources.</w:t>
      </w:r>
    </w:p>
    <w:p w:rsidR="00D13F89" w:rsidRPr="00754A7E" w:rsidRDefault="00D13F89" w:rsidP="00D13F89">
      <w:pPr>
        <w:pStyle w:val="SCCNormalDoubleSpacing"/>
        <w:widowControl w:val="0"/>
        <w:spacing w:line="240" w:lineRule="auto"/>
        <w:rPr>
          <w:sz w:val="20"/>
        </w:rPr>
      </w:pPr>
    </w:p>
    <w:p w:rsidR="00D13F89" w:rsidRPr="00754A7E" w:rsidRDefault="00D13F89" w:rsidP="00D13F89">
      <w:pPr>
        <w:pStyle w:val="SCCNormalDoubleSpacing"/>
        <w:keepNext/>
        <w:spacing w:line="240" w:lineRule="auto"/>
        <w:rPr>
          <w:i/>
          <w:sz w:val="20"/>
        </w:rPr>
      </w:pPr>
      <w:r w:rsidRPr="00754A7E">
        <w:rPr>
          <w:i/>
          <w:sz w:val="20"/>
        </w:rPr>
        <w:t>Summaries</w:t>
      </w:r>
    </w:p>
    <w:p w:rsidR="00D13F89" w:rsidRDefault="00D13F89" w:rsidP="00D13F89">
      <w:pPr>
        <w:pStyle w:val="SCCNormalDoubleSpacing"/>
        <w:widowControl w:val="0"/>
        <w:spacing w:line="240" w:lineRule="auto"/>
        <w:rPr>
          <w:sz w:val="20"/>
        </w:rPr>
      </w:pPr>
    </w:p>
    <w:p w:rsidR="00D13F89" w:rsidRDefault="00D13F89" w:rsidP="00D13F89">
      <w:pPr>
        <w:pStyle w:val="SCCNormalDoubleSpacing"/>
        <w:widowControl w:val="0"/>
        <w:spacing w:line="240" w:lineRule="auto"/>
        <w:rPr>
          <w:sz w:val="20"/>
        </w:rPr>
      </w:pPr>
      <w:r w:rsidRPr="00754A7E">
        <w:rPr>
          <w:sz w:val="20"/>
        </w:rPr>
        <w:tab/>
        <w:t xml:space="preserve">The appropriate remedy for the destruction of materials pursuant to CSIS policy OPS-217 must be assessed on a case-by-case basis and must be tailored to address the prejudicial effect on the named person’s case.  The summaries of materials destroyed pursuant to policy OPS-217 should only be excluded under s. 24(1) of the </w:t>
      </w:r>
      <w:r w:rsidRPr="00754A7E">
        <w:rPr>
          <w:i/>
          <w:sz w:val="20"/>
        </w:rPr>
        <w:t>Charter</w:t>
      </w:r>
      <w:r w:rsidRPr="00754A7E">
        <w:rPr>
          <w:sz w:val="20"/>
        </w:rPr>
        <w:t xml:space="preserve"> if their admission would result in an unfair trial or would otherwise undermine the integrity of the justice system.  In this case, the designated judge did not err in refusing to exclude the summaries of intercepted conversations that were tendered as evidence by the ministers.  Although the destruction of the original CSIS operational materials caused the ministers to fail to meet their disclosure obligations towards H and therefore to breach s. 7 of the </w:t>
      </w:r>
      <w:r w:rsidRPr="00754A7E">
        <w:rPr>
          <w:i/>
          <w:sz w:val="20"/>
        </w:rPr>
        <w:t>Charter</w:t>
      </w:r>
      <w:r w:rsidRPr="00754A7E">
        <w:rPr>
          <w:sz w:val="20"/>
        </w:rPr>
        <w:t>, the exclusion of the summaries is not necessary to remedy the prejudice to H’s ability to know and meet the case against him, or to safeguard the integrity of the justice system.  The disclosure of the summaries in an abridged version to H and in an unredacted form to his special advocates was sufficient to prevent significant prejudice to H’s ability to know and meet the case against him.</w:t>
      </w:r>
    </w:p>
    <w:p w:rsidR="00D13F89" w:rsidRPr="00754A7E" w:rsidRDefault="00D13F89" w:rsidP="00D13F89">
      <w:pPr>
        <w:pStyle w:val="SCCNormalDoubleSpacing"/>
        <w:widowControl w:val="0"/>
        <w:spacing w:line="240" w:lineRule="auto"/>
        <w:rPr>
          <w:sz w:val="20"/>
        </w:rPr>
      </w:pPr>
    </w:p>
    <w:p w:rsidR="00D13F89" w:rsidRPr="00754A7E" w:rsidRDefault="00D13F89" w:rsidP="00D13F89">
      <w:pPr>
        <w:pStyle w:val="SCCNormalDoubleSpacing"/>
        <w:keepNext/>
        <w:spacing w:line="240" w:lineRule="auto"/>
        <w:rPr>
          <w:i/>
          <w:sz w:val="20"/>
        </w:rPr>
      </w:pPr>
      <w:r w:rsidRPr="00754A7E">
        <w:rPr>
          <w:i/>
          <w:sz w:val="20"/>
        </w:rPr>
        <w:t>Duties of Candour and Utmost Good Faith and Fairness of Process</w:t>
      </w:r>
    </w:p>
    <w:p w:rsidR="00D13F89" w:rsidRDefault="00D13F89" w:rsidP="00D13F89">
      <w:pPr>
        <w:pStyle w:val="SCCNormalDoubleSpacing"/>
        <w:widowControl w:val="0"/>
        <w:spacing w:line="240" w:lineRule="auto"/>
        <w:rPr>
          <w:sz w:val="20"/>
        </w:rPr>
      </w:pPr>
    </w:p>
    <w:p w:rsidR="00D13F89" w:rsidRDefault="00D13F89" w:rsidP="00D13F89">
      <w:pPr>
        <w:pStyle w:val="SCCNormalDoubleSpacing"/>
        <w:widowControl w:val="0"/>
        <w:spacing w:line="240" w:lineRule="auto"/>
        <w:rPr>
          <w:sz w:val="20"/>
        </w:rPr>
      </w:pPr>
      <w:r w:rsidRPr="00754A7E">
        <w:rPr>
          <w:sz w:val="20"/>
        </w:rPr>
        <w:tab/>
        <w:t xml:space="preserve">The duties of candour and utmost good faith apply when a party relies upon evidence in </w:t>
      </w:r>
      <w:r w:rsidRPr="00754A7E">
        <w:rPr>
          <w:i/>
          <w:sz w:val="20"/>
        </w:rPr>
        <w:t xml:space="preserve">ex parte </w:t>
      </w:r>
      <w:r w:rsidRPr="00754A7E">
        <w:rPr>
          <w:sz w:val="20"/>
        </w:rPr>
        <w:t>proceedings.  They require an ongoing effort to update, throughout the proceedings, the information and evidence regarding the named person.  What constitutes reasonable efforts will turn on the facts of each case, however, the ministers have no general obligation to provide disclosure of evidence or information that is beyond their control.  In this case, reasonable efforts were made by the ministers and they did not breach those duties.  The proceedings against H were fair and a stay of proceedings should not be granted.</w:t>
      </w:r>
    </w:p>
    <w:p w:rsidR="00D13F89" w:rsidRPr="00754A7E" w:rsidRDefault="00D13F89" w:rsidP="00D13F89">
      <w:pPr>
        <w:pStyle w:val="SCCNormalDoubleSpacing"/>
        <w:widowControl w:val="0"/>
        <w:spacing w:line="240" w:lineRule="auto"/>
        <w:rPr>
          <w:sz w:val="20"/>
        </w:rPr>
      </w:pPr>
    </w:p>
    <w:p w:rsidR="00D13F89" w:rsidRPr="00754A7E" w:rsidRDefault="00D13F89" w:rsidP="00D13F89">
      <w:pPr>
        <w:pStyle w:val="SCCNormalDoubleSpacing"/>
        <w:keepNext/>
        <w:spacing w:line="240" w:lineRule="auto"/>
        <w:rPr>
          <w:i/>
          <w:sz w:val="20"/>
        </w:rPr>
      </w:pPr>
      <w:r w:rsidRPr="00754A7E">
        <w:rPr>
          <w:i/>
          <w:sz w:val="20"/>
        </w:rPr>
        <w:t>Reasonableness of Certificate</w:t>
      </w:r>
    </w:p>
    <w:p w:rsidR="00D13F89" w:rsidRDefault="00D13F89" w:rsidP="00D13F89">
      <w:pPr>
        <w:pStyle w:val="SCCNormalDoubleSpacing"/>
        <w:spacing w:line="240" w:lineRule="auto"/>
        <w:rPr>
          <w:sz w:val="20"/>
        </w:rPr>
      </w:pPr>
    </w:p>
    <w:p w:rsidR="00D13F89" w:rsidRPr="00754A7E" w:rsidRDefault="00D13F89" w:rsidP="00D13F89">
      <w:pPr>
        <w:pStyle w:val="SCCNormalDoubleSpacing"/>
        <w:spacing w:line="240" w:lineRule="auto"/>
        <w:rPr>
          <w:sz w:val="20"/>
        </w:rPr>
      </w:pPr>
      <w:r w:rsidRPr="00754A7E">
        <w:rPr>
          <w:sz w:val="20"/>
        </w:rPr>
        <w:tab/>
        <w:t xml:space="preserve">The designated judge committed no reviewable errors in finding that the ministers’ decision to declare H inadmissible to Canada was reasonable.  The designated judge’s weighing of the factual evidence on the record is entitled to appellate deference and should only be interfered with if he committed a palpable and overriding error.  </w:t>
      </w:r>
      <w:r w:rsidRPr="00754A7E">
        <w:rPr>
          <w:sz w:val="20"/>
        </w:rPr>
        <w:lastRenderedPageBreak/>
        <w:t>There is no palpable and overriding error in his weighing of the evidence or in his assessment of H’s credibility, both of which in his view provided reasonable grounds to establish H’s inadmissibility.</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r>
      <w:r w:rsidRPr="00754A7E">
        <w:rPr>
          <w:i/>
          <w:sz w:val="20"/>
        </w:rPr>
        <w:t>Per</w:t>
      </w:r>
      <w:r w:rsidRPr="00754A7E">
        <w:rPr>
          <w:sz w:val="20"/>
        </w:rPr>
        <w:t xml:space="preserve"> </w:t>
      </w:r>
      <w:r w:rsidRPr="00754A7E">
        <w:rPr>
          <w:b/>
          <w:sz w:val="20"/>
        </w:rPr>
        <w:t>Abella</w:t>
      </w:r>
      <w:r w:rsidRPr="00754A7E">
        <w:rPr>
          <w:sz w:val="20"/>
        </w:rPr>
        <w:t xml:space="preserve"> and </w:t>
      </w:r>
      <w:r w:rsidRPr="00754A7E">
        <w:rPr>
          <w:b/>
          <w:sz w:val="20"/>
        </w:rPr>
        <w:t>Cromwell JJ.</w:t>
      </w:r>
      <w:r w:rsidRPr="00754A7E">
        <w:rPr>
          <w:sz w:val="20"/>
        </w:rPr>
        <w:t xml:space="preserve"> (dissenting in part on the appeal): Individuals who come forward with information about a potential terrorist threat, often risk their lives in doing so if their identity is disclosed.  Offering only the possibility of anonymity if a court subsequently agrees to protect an informer’s identity, requires informers to choose between risk of personal harm if their identity is not protected, or risk of harm to the public if the information is not disclosed. </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t xml:space="preserve">CSIS informants who provide national security information based on a promise of confidentiality are entitled to the assurance that their confidentiality will be protected.  This can only be guaranteed by a class privilege, as is done in criminal law cases.  A case-by-case approach results in an informant not knowing whether the promise will be kept until a judge engages in a retrospective assessment.  This is hardly conducive to encouraging informants to risk their lives by coming forward to offer highly sensitive information in terrorism cases. </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t xml:space="preserve">Informer privilege has been judicially recognized for more than two centuries and has a dual purpose: protection of a channel of information and the safety of those supplying it.  It has been applied in settings other than criminal prosecutions, including commissions of inquiry.  The privilege for informers in the context of state officials investigating matters of national security is a well-established one.  Before CSIS was created as an independent agency, the intelligence function it now carries out was performed by the RCMP Security Service, and informer privilege applied to RCMP Security Service informants.  While the functions of CSIS and the RCMP are distinct, the rationale for the informer privilege applies equally to the work of both.  The transfer of functions from the RCMP Security Service to CSIS should have no bearing on whether the privilege continues to exist. </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t xml:space="preserve">The CSIS informer privilege is not abrogated by statute.  In order to abrogate a common law privilege, Parliament must clearly express an intention to do so.  </w:t>
      </w:r>
      <w:r w:rsidRPr="00754A7E">
        <w:rPr>
          <w:i/>
          <w:sz w:val="20"/>
        </w:rPr>
        <w:t>IRPA</w:t>
      </w:r>
      <w:r w:rsidRPr="00754A7E">
        <w:rPr>
          <w:sz w:val="20"/>
        </w:rPr>
        <w:t xml:space="preserve"> makes no reference to informer privilege and does not evince a clear intention to deprive CSIS informants of its benefit.</w:t>
      </w:r>
    </w:p>
    <w:p w:rsidR="00D13F89" w:rsidRDefault="00D13F89" w:rsidP="00D13F89">
      <w:pPr>
        <w:pStyle w:val="SCCNormalDoubleSpacing"/>
        <w:widowControl w:val="0"/>
        <w:spacing w:line="240" w:lineRule="auto"/>
        <w:rPr>
          <w:sz w:val="20"/>
        </w:rPr>
      </w:pPr>
    </w:p>
    <w:p w:rsidR="00D13F89" w:rsidRPr="00754A7E" w:rsidRDefault="00D13F89" w:rsidP="00D13F89">
      <w:pPr>
        <w:pStyle w:val="SCCNormalDoubleSpacing"/>
        <w:widowControl w:val="0"/>
        <w:spacing w:line="240" w:lineRule="auto"/>
        <w:rPr>
          <w:sz w:val="20"/>
        </w:rPr>
      </w:pPr>
      <w:r w:rsidRPr="00754A7E">
        <w:rPr>
          <w:sz w:val="20"/>
        </w:rPr>
        <w:tab/>
        <w:t>Given the intensity of the interests at stake in the security certificate context, it would be appropriate to recognize a limited exception specifically crafted for the security certificate process which would address only disclosure to the special advocate, not to the subject of the proceedings.  Identity should be disclosed only if the reviewing judge is satisfied that other measures, including withdrawing the substance of the informant’s evidence from consideration in support of the certificate, are not sufficient to ensure a just outcome.  Even when disclosure of identity is ordered, there should be no cross-examination of the source by the special advocate.  Requiring a human source to testify will have a profound chilling effect on the willingness of other sources to come forward, and will undoubtedly damage the relationship between CSIS and the source compelled to testify.  CSIS operatives must be able to provide confident assurances to their sources that their identities will not be revealed, not vague assurances hedged with qualifications.  Moreover, the human sources themselves, who are not subject to the necessary security clearance, may learn sensitive material in the closed proceedings which CSIS will then be unable to control.</w:t>
      </w:r>
    </w:p>
    <w:p w:rsidR="00D13F89" w:rsidRPr="00D13F89" w:rsidRDefault="00D13F89" w:rsidP="00D13F89">
      <w:pPr>
        <w:pStyle w:val="ParaNoNdepar-AltN"/>
        <w:numPr>
          <w:ilvl w:val="0"/>
          <w:numId w:val="0"/>
        </w:numPr>
        <w:spacing w:before="0" w:after="0" w:line="240" w:lineRule="auto"/>
        <w:rPr>
          <w:rFonts w:cs="Times New Roman"/>
          <w:sz w:val="20"/>
          <w:szCs w:val="20"/>
          <w:lang w:val="en-CA"/>
        </w:rPr>
      </w:pPr>
    </w:p>
    <w:p w:rsidR="00D13F89" w:rsidRPr="00D13F89" w:rsidRDefault="00D13F89" w:rsidP="00D13F89">
      <w:pPr>
        <w:pStyle w:val="ParaNoNdepar-AltN"/>
        <w:numPr>
          <w:ilvl w:val="0"/>
          <w:numId w:val="0"/>
        </w:numPr>
        <w:spacing w:before="0" w:after="0" w:line="240" w:lineRule="auto"/>
        <w:rPr>
          <w:rFonts w:cs="Times New Roman"/>
          <w:sz w:val="20"/>
          <w:szCs w:val="20"/>
          <w:lang w:val="en-CA"/>
        </w:rPr>
      </w:pPr>
      <w:r w:rsidRPr="00D13F89">
        <w:rPr>
          <w:rFonts w:cs="Times New Roman"/>
          <w:sz w:val="20"/>
          <w:szCs w:val="20"/>
          <w:lang w:val="en-CA"/>
        </w:rPr>
        <w:tab/>
        <w:t>We would therefore allow the ministers’ appeal on the informant privilege issue and restore the designated judge’s disposition of this issue.</w:t>
      </w:r>
    </w:p>
    <w:p w:rsidR="00D13F89" w:rsidRPr="00D13F89" w:rsidRDefault="00D13F89" w:rsidP="00D13F89">
      <w:pPr>
        <w:pStyle w:val="ParaNoNdepar-AltN"/>
        <w:numPr>
          <w:ilvl w:val="0"/>
          <w:numId w:val="0"/>
        </w:numPr>
        <w:spacing w:before="0" w:after="0" w:line="240" w:lineRule="auto"/>
        <w:rPr>
          <w:rFonts w:cs="Times New Roman"/>
          <w:sz w:val="20"/>
          <w:szCs w:val="20"/>
          <w:lang w:val="en-CA"/>
        </w:rPr>
      </w:pPr>
    </w:p>
    <w:p w:rsidR="00D13F89" w:rsidRPr="00754A7E" w:rsidRDefault="00D13F89" w:rsidP="00D13F89">
      <w:pPr>
        <w:pStyle w:val="SCCNormalDoubleSpacing"/>
        <w:spacing w:line="240" w:lineRule="auto"/>
        <w:rPr>
          <w:sz w:val="20"/>
          <w:lang w:val="en-US"/>
        </w:rPr>
      </w:pPr>
      <w:r w:rsidRPr="00754A7E">
        <w:rPr>
          <w:sz w:val="20"/>
        </w:rPr>
        <w:tab/>
        <w:t>APPEAL and CROSS</w:t>
      </w:r>
      <w:r w:rsidRPr="00754A7E">
        <w:rPr>
          <w:sz w:val="20"/>
        </w:rPr>
        <w:noBreakHyphen/>
        <w:t>APPEAL from a judgment of the Federal Court of Appeal (Blais C.J. and L</w:t>
      </w:r>
      <w:r w:rsidRPr="00754A7E">
        <w:rPr>
          <w:sz w:val="20"/>
          <w:lang w:val="en-US"/>
        </w:rPr>
        <w:t>étourneau and Layden</w:t>
      </w:r>
      <w:r w:rsidRPr="00754A7E">
        <w:rPr>
          <w:sz w:val="20"/>
          <w:lang w:val="en-US"/>
        </w:rPr>
        <w:noBreakHyphen/>
        <w:t>Stevenson JJ.A.), 2012 FCA 122, [2012] 3 F.C.R. 635, 349 D.L.R. (4th) 519, 7 Imm. L.R. (4th) 175, 429 N.R. 1, 260 C.R.R. (2d) 290, [2012] F.C.J. No. 492 (QL), 2012 CarswellNat 1155, setting aside three decisions of Noël J., 2009 FC 204, [2009] 4 F.C.R. 370, 339 F.T.R. 65, 306 D.L.R. (4th) 269, 78 Imm. L.R. (3d) 303, [2008] F.C.J. No. 1823 (QL), 2008 CarswellNat 5335; 2010 FC 1241, [2012] 3 F.C.R. 251, 380 F.T.R. 61, [2010] F.C.J. No. 1426 (QL), 2010 CarswellNat 4699; and 2010 FC 1243, 380 F.T.R. 255, 224 C.R.R. (2d) 167, 95 Imm. L.R. (3d) 1, [2010] F.C.J. No. 1428 (QL), 2010 CarswellNat 5848; and affirming a decision of Noël J., 2010 FC 1242, [2012] 3 F.C.R. 432, 380 F.T.R. 163, 224 C.R.R. (2d) 93, 94 Imm. L.R. (3d) 179, [2010] F.C.J. No. 1427 (QL), 2010 CarswellNat 4714.  Appeal allowed in part, Abella and Cromwell JJ. dissenting in part.  Cross</w:t>
      </w:r>
      <w:r w:rsidRPr="00754A7E">
        <w:rPr>
          <w:sz w:val="20"/>
          <w:lang w:val="en-US"/>
        </w:rPr>
        <w:noBreakHyphen/>
        <w:t>appeal dismissed.</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Urszula Kaczmarczyk</w:t>
      </w:r>
      <w:r w:rsidRPr="00754A7E">
        <w:rPr>
          <w:rStyle w:val="SCCCounselPartyRoleChar"/>
          <w:sz w:val="20"/>
        </w:rPr>
        <w:t xml:space="preserve">, </w:t>
      </w:r>
      <w:r w:rsidRPr="00754A7E">
        <w:rPr>
          <w:rStyle w:val="SCCCounselPartyRoleChar"/>
          <w:i/>
          <w:sz w:val="20"/>
        </w:rPr>
        <w:t>Q.C.</w:t>
      </w:r>
      <w:r w:rsidRPr="00754A7E">
        <w:rPr>
          <w:rStyle w:val="SCCCounselPartyRoleChar"/>
          <w:sz w:val="20"/>
        </w:rPr>
        <w:t xml:space="preserve">, </w:t>
      </w:r>
      <w:r w:rsidRPr="00754A7E">
        <w:rPr>
          <w:rStyle w:val="SCCCounselPartyRoleChar"/>
          <w:i/>
          <w:sz w:val="20"/>
        </w:rPr>
        <w:t>Robert Frater</w:t>
      </w:r>
      <w:r w:rsidRPr="00754A7E">
        <w:rPr>
          <w:rStyle w:val="SCCCounselPartyRoleChar"/>
          <w:sz w:val="20"/>
        </w:rPr>
        <w:t xml:space="preserve">, </w:t>
      </w:r>
      <w:r w:rsidRPr="00754A7E">
        <w:rPr>
          <w:rStyle w:val="SCCCounselPartyRoleChar"/>
          <w:i/>
          <w:sz w:val="20"/>
        </w:rPr>
        <w:t>Marianne Zoric</w:t>
      </w:r>
      <w:r w:rsidRPr="00754A7E">
        <w:rPr>
          <w:rStyle w:val="SCCCounselPartyRoleChar"/>
          <w:sz w:val="20"/>
        </w:rPr>
        <w:t xml:space="preserve"> and </w:t>
      </w:r>
      <w:r w:rsidRPr="00754A7E">
        <w:rPr>
          <w:rStyle w:val="SCCCounselPartyRoleChar"/>
          <w:i/>
          <w:sz w:val="20"/>
        </w:rPr>
        <w:t>Andr</w:t>
      </w:r>
      <w:r w:rsidRPr="00754A7E">
        <w:rPr>
          <w:rStyle w:val="SCCCounselPartyRoleChar"/>
          <w:i/>
          <w:sz w:val="20"/>
          <w:lang w:val="en-US"/>
        </w:rPr>
        <w:t>é Séguin</w:t>
      </w:r>
      <w:r w:rsidRPr="00754A7E">
        <w:rPr>
          <w:rStyle w:val="SCCCounselPartyRoleChar"/>
          <w:sz w:val="20"/>
          <w:lang w:val="en-US"/>
        </w:rPr>
        <w:t>,</w:t>
      </w:r>
      <w:r w:rsidRPr="00754A7E">
        <w:rPr>
          <w:rStyle w:val="SCCCounselPartyRoleChar"/>
          <w:sz w:val="20"/>
        </w:rPr>
        <w:t xml:space="preserve"> for the appellants/respondents on cross-appeal.</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Matthew C. Webber</w:t>
      </w:r>
      <w:r w:rsidRPr="00D13F89">
        <w:rPr>
          <w:rStyle w:val="SCCCounselSeparatorChar"/>
          <w:sz w:val="20"/>
          <w:lang w:val="en-CA"/>
        </w:rPr>
        <w:t xml:space="preserve">, </w:t>
      </w:r>
      <w:r w:rsidRPr="00754A7E">
        <w:rPr>
          <w:rStyle w:val="SCCCounselNameChar"/>
          <w:sz w:val="20"/>
        </w:rPr>
        <w:t xml:space="preserve">Norman D. Boxall, Meaghan Thomas </w:t>
      </w:r>
      <w:r w:rsidRPr="00D13F89">
        <w:rPr>
          <w:rStyle w:val="SCCCounselSeparatorChar"/>
          <w:sz w:val="20"/>
          <w:lang w:val="en-CA"/>
        </w:rPr>
        <w:t xml:space="preserve">and </w:t>
      </w:r>
      <w:r w:rsidRPr="00754A7E">
        <w:rPr>
          <w:rStyle w:val="SCCCounselNameChar"/>
          <w:sz w:val="20"/>
        </w:rPr>
        <w:t>Leo Russomanno</w:t>
      </w:r>
      <w:r w:rsidRPr="00754A7E">
        <w:rPr>
          <w:rStyle w:val="SCCCounselPartyRoleChar"/>
          <w:sz w:val="20"/>
        </w:rPr>
        <w:t>, for the respondent/appellant on cross-appeal.</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Robert W. Hubbard</w:t>
      </w:r>
      <w:r w:rsidRPr="00D13F89">
        <w:rPr>
          <w:rStyle w:val="SCCCounselSeparatorChar"/>
          <w:sz w:val="20"/>
          <w:lang w:val="en-CA"/>
        </w:rPr>
        <w:t xml:space="preserve"> and </w:t>
      </w:r>
      <w:r w:rsidRPr="00754A7E">
        <w:rPr>
          <w:rStyle w:val="SCCCounselNameChar"/>
          <w:sz w:val="20"/>
        </w:rPr>
        <w:t>Greg Skerkowski</w:t>
      </w:r>
      <w:r w:rsidRPr="00754A7E">
        <w:rPr>
          <w:rStyle w:val="SCCCounselPartyRoleChar"/>
          <w:sz w:val="20"/>
        </w:rPr>
        <w:t>, for the intervener the Attorney General of Ontario.</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Nader R. Hasan</w:t>
      </w:r>
      <w:r w:rsidRPr="00D13F89">
        <w:rPr>
          <w:rStyle w:val="SCCCounselSeparatorChar"/>
          <w:sz w:val="20"/>
          <w:lang w:val="en-CA"/>
        </w:rPr>
        <w:t xml:space="preserve"> and </w:t>
      </w:r>
      <w:r w:rsidRPr="00754A7E">
        <w:rPr>
          <w:rStyle w:val="SCCCounselNameChar"/>
          <w:sz w:val="20"/>
        </w:rPr>
        <w:t>Gerald Chan</w:t>
      </w:r>
      <w:r w:rsidRPr="00754A7E">
        <w:rPr>
          <w:rStyle w:val="SCCCounselPartyRoleChar"/>
          <w:sz w:val="20"/>
        </w:rPr>
        <w:t>, for the intervener the British Columbia Civil Liberties Association.</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John Norris</w:t>
      </w:r>
      <w:r w:rsidRPr="00D13F89">
        <w:rPr>
          <w:rStyle w:val="SCCCounselSeparatorChar"/>
          <w:sz w:val="20"/>
          <w:lang w:val="en-CA"/>
        </w:rPr>
        <w:t xml:space="preserve"> and </w:t>
      </w:r>
      <w:r w:rsidRPr="00754A7E">
        <w:rPr>
          <w:rStyle w:val="SCCCounselNameChar"/>
          <w:sz w:val="20"/>
        </w:rPr>
        <w:t>François Dadour</w:t>
      </w:r>
      <w:r w:rsidRPr="00754A7E">
        <w:rPr>
          <w:rStyle w:val="SCCCounselPartyRoleChar"/>
          <w:sz w:val="20"/>
        </w:rPr>
        <w:t>, for the intervener the Canadian Council of Criminal Defence Lawyers.</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Anil K. Kapoor</w:t>
      </w:r>
      <w:r w:rsidRPr="00D13F89">
        <w:rPr>
          <w:rStyle w:val="SCCCounselSeparatorChar"/>
          <w:sz w:val="20"/>
          <w:lang w:val="en-CA"/>
        </w:rPr>
        <w:t xml:space="preserve"> and </w:t>
      </w:r>
      <w:r w:rsidRPr="00754A7E">
        <w:rPr>
          <w:rStyle w:val="SCCCounselNameChar"/>
          <w:sz w:val="20"/>
        </w:rPr>
        <w:t>Lindsay Trevelyan</w:t>
      </w:r>
      <w:r w:rsidRPr="00754A7E">
        <w:rPr>
          <w:rStyle w:val="SCCCounselPartyRoleChar"/>
          <w:sz w:val="20"/>
        </w:rPr>
        <w:t>, for the intervener the Canadian Civil Liberties Association.</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Lorne Waldman</w:t>
      </w:r>
      <w:r w:rsidRPr="00D13F89">
        <w:rPr>
          <w:rStyle w:val="SCCCounselSeparatorChar"/>
          <w:sz w:val="20"/>
          <w:lang w:val="en-CA"/>
        </w:rPr>
        <w:t xml:space="preserve">, </w:t>
      </w:r>
      <w:r w:rsidRPr="00754A7E">
        <w:rPr>
          <w:rStyle w:val="SCCCounselNameChar"/>
          <w:sz w:val="20"/>
        </w:rPr>
        <w:t>Peter Edelmann, Jacqueline Swaisland</w:t>
      </w:r>
      <w:r w:rsidRPr="00D13F89">
        <w:rPr>
          <w:rStyle w:val="SCCCounselSeparatorChar"/>
          <w:sz w:val="20"/>
          <w:lang w:val="en-CA"/>
        </w:rPr>
        <w:t xml:space="preserve"> and </w:t>
      </w:r>
      <w:r w:rsidRPr="00754A7E">
        <w:rPr>
          <w:rStyle w:val="SCCCounselNameChar"/>
          <w:sz w:val="20"/>
        </w:rPr>
        <w:t>Clare Crummey</w:t>
      </w:r>
      <w:r w:rsidRPr="00754A7E">
        <w:rPr>
          <w:rStyle w:val="SCCCounselPartyRoleChar"/>
          <w:sz w:val="20"/>
        </w:rPr>
        <w:t>, for the intervener the Canadian Bar Association.</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rStyle w:val="SCCCounselPartyRoleChar"/>
          <w:sz w:val="20"/>
        </w:rPr>
      </w:pPr>
      <w:r w:rsidRPr="00754A7E">
        <w:rPr>
          <w:rStyle w:val="SCCCounselNameChar"/>
          <w:sz w:val="20"/>
        </w:rPr>
        <w:tab/>
        <w:t xml:space="preserve">Marlys A. Edwardh </w:t>
      </w:r>
      <w:r w:rsidRPr="00D13F89">
        <w:rPr>
          <w:rStyle w:val="SCCCounselSeparatorChar"/>
          <w:sz w:val="20"/>
          <w:lang w:val="en-CA"/>
        </w:rPr>
        <w:t xml:space="preserve">and </w:t>
      </w:r>
      <w:r w:rsidRPr="00754A7E">
        <w:rPr>
          <w:rStyle w:val="SCCCounselNameChar"/>
          <w:sz w:val="20"/>
        </w:rPr>
        <w:t>Adriel Weaver</w:t>
      </w:r>
      <w:r w:rsidRPr="00754A7E">
        <w:rPr>
          <w:rStyle w:val="SCCCounselPartyRoleChar"/>
          <w:sz w:val="20"/>
        </w:rPr>
        <w:t>, for the intervener the Canadian Association of Refugee Lawyers.</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Barbara Jackman</w:t>
      </w:r>
      <w:r w:rsidRPr="00D13F89">
        <w:rPr>
          <w:rStyle w:val="SCCCounselSeparatorChar"/>
          <w:sz w:val="20"/>
          <w:lang w:val="en-CA"/>
        </w:rPr>
        <w:t xml:space="preserve">, </w:t>
      </w:r>
      <w:r w:rsidRPr="00754A7E">
        <w:rPr>
          <w:rStyle w:val="SCCCounselNameChar"/>
          <w:sz w:val="20"/>
        </w:rPr>
        <w:t>Sharryn J. Aiken</w:t>
      </w:r>
      <w:r w:rsidRPr="00D13F89">
        <w:rPr>
          <w:rStyle w:val="SCCCounselSeparatorChar"/>
          <w:sz w:val="20"/>
          <w:lang w:val="en-CA"/>
        </w:rPr>
        <w:t xml:space="preserve"> and </w:t>
      </w:r>
      <w:r w:rsidRPr="00754A7E">
        <w:rPr>
          <w:rStyle w:val="SCCCounselNameChar"/>
          <w:sz w:val="20"/>
        </w:rPr>
        <w:t>Andrew J. Brouwer</w:t>
      </w:r>
      <w:r w:rsidRPr="00754A7E">
        <w:rPr>
          <w:rStyle w:val="SCCCounselPartyRoleChar"/>
          <w:sz w:val="20"/>
        </w:rPr>
        <w:t>, for the interveners the Canadian Council for Refugees and the International Civil Liberties Monitoring Group.</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Faisal Bhabha</w:t>
      </w:r>
      <w:r w:rsidRPr="00D13F89">
        <w:rPr>
          <w:rStyle w:val="SCCCounselSeparatorChar"/>
          <w:sz w:val="20"/>
          <w:lang w:val="en-CA"/>
        </w:rPr>
        <w:t xml:space="preserve"> and </w:t>
      </w:r>
      <w:r w:rsidRPr="00754A7E">
        <w:rPr>
          <w:rStyle w:val="SCCCounselNameChar"/>
          <w:sz w:val="20"/>
        </w:rPr>
        <w:t>Khalid M. Elgazzar</w:t>
      </w:r>
      <w:r w:rsidRPr="00754A7E">
        <w:rPr>
          <w:rStyle w:val="SCCCounselPartyRoleChar"/>
          <w:sz w:val="20"/>
        </w:rPr>
        <w:t>, for the intervener the Canadian Council on American</w:t>
      </w:r>
      <w:r w:rsidRPr="00754A7E">
        <w:rPr>
          <w:rStyle w:val="SCCCounselPartyRoleChar"/>
          <w:sz w:val="20"/>
        </w:rPr>
        <w:noBreakHyphen/>
        <w:t>Islamic Relations (now known as National Council of Canadian Muslims).</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rStyle w:val="SCCCounselPartyRoleChar"/>
          <w:sz w:val="20"/>
        </w:rPr>
      </w:pPr>
      <w:r w:rsidRPr="00754A7E">
        <w:rPr>
          <w:rStyle w:val="SCCCounselNameChar"/>
          <w:sz w:val="20"/>
        </w:rPr>
        <w:tab/>
        <w:t>Michael Bossin</w:t>
      </w:r>
      <w:r w:rsidRPr="00D13F89">
        <w:rPr>
          <w:rStyle w:val="SCCCounselSeparatorChar"/>
          <w:sz w:val="20"/>
          <w:lang w:val="en-CA"/>
        </w:rPr>
        <w:t xml:space="preserve">, </w:t>
      </w:r>
      <w:r w:rsidRPr="00754A7E">
        <w:rPr>
          <w:rStyle w:val="SCCCounselNameChar"/>
          <w:sz w:val="20"/>
        </w:rPr>
        <w:t>Laïla Demirdache</w:t>
      </w:r>
      <w:r w:rsidRPr="00D13F89">
        <w:rPr>
          <w:rStyle w:val="SCCCounselSeparatorChar"/>
          <w:sz w:val="20"/>
          <w:lang w:val="en-CA"/>
        </w:rPr>
        <w:t xml:space="preserve"> and </w:t>
      </w:r>
      <w:r w:rsidRPr="00754A7E">
        <w:rPr>
          <w:rStyle w:val="SCCCounselNameChar"/>
          <w:sz w:val="20"/>
        </w:rPr>
        <w:t>Anna Shea</w:t>
      </w:r>
      <w:r w:rsidRPr="00754A7E">
        <w:rPr>
          <w:rStyle w:val="SCCCounselPartyRoleChar"/>
          <w:sz w:val="20"/>
        </w:rPr>
        <w:t>, for the intervener Amnesty International.</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Breese Davies</w:t>
      </w:r>
      <w:r w:rsidRPr="00D13F89">
        <w:rPr>
          <w:rStyle w:val="SCCCounselSeparatorChar"/>
          <w:sz w:val="20"/>
          <w:lang w:val="en-CA"/>
        </w:rPr>
        <w:t xml:space="preserve"> and </w:t>
      </w:r>
      <w:r w:rsidRPr="00754A7E">
        <w:rPr>
          <w:rStyle w:val="SCCCounselNameChar"/>
          <w:sz w:val="20"/>
        </w:rPr>
        <w:t>Erin Dann</w:t>
      </w:r>
      <w:r w:rsidRPr="00754A7E">
        <w:rPr>
          <w:rStyle w:val="SCCCounselPartyRoleChar"/>
          <w:sz w:val="20"/>
        </w:rPr>
        <w:t>, for the intervener the Criminal Lawyers’ Association (Ontario).</w:t>
      </w:r>
    </w:p>
    <w:p w:rsidR="00D13F89" w:rsidRDefault="00D13F89" w:rsidP="00D13F89">
      <w:pPr>
        <w:pStyle w:val="SCCNormalDoubleSpacing"/>
        <w:spacing w:line="240" w:lineRule="auto"/>
        <w:rPr>
          <w:rStyle w:val="SCCCounselNameChar"/>
          <w:sz w:val="20"/>
        </w:rPr>
      </w:pPr>
    </w:p>
    <w:p w:rsidR="00D13F89" w:rsidRPr="00754A7E" w:rsidRDefault="00D13F89" w:rsidP="00D13F89">
      <w:pPr>
        <w:pStyle w:val="SCCNormalDoubleSpacing"/>
        <w:spacing w:line="240" w:lineRule="auto"/>
        <w:rPr>
          <w:sz w:val="20"/>
        </w:rPr>
      </w:pPr>
      <w:r w:rsidRPr="00754A7E">
        <w:rPr>
          <w:rStyle w:val="SCCCounselNameChar"/>
          <w:sz w:val="20"/>
        </w:rPr>
        <w:tab/>
        <w:t>Paul J. J. Cavalluzzo</w:t>
      </w:r>
      <w:r w:rsidRPr="00D13F89">
        <w:rPr>
          <w:rStyle w:val="SCCCounselSeparatorChar"/>
          <w:sz w:val="20"/>
          <w:lang w:val="en-CA"/>
        </w:rPr>
        <w:t xml:space="preserve"> and </w:t>
      </w:r>
      <w:r w:rsidRPr="00754A7E">
        <w:rPr>
          <w:rStyle w:val="SCCCounselNameChar"/>
          <w:sz w:val="20"/>
        </w:rPr>
        <w:t>Paul D. Copeland</w:t>
      </w:r>
      <w:r w:rsidRPr="00754A7E">
        <w:rPr>
          <w:rStyle w:val="SCCCounselPartyRoleChar"/>
          <w:sz w:val="20"/>
        </w:rPr>
        <w:t>, as Special Advocates.</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 for the appellants/respondents on cross-appeal:  Attorney General of Canada, Toronto and Ottawa.</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respondent/appellant on cross-appeal:  Webber Schroeder Goldstein Abergel, Ottawa; Bayne, Sellar, Boxall, Ottawa.</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 for the intervener the Attorney General of Ontario:  Attorney General of Ontario, Toronto.</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the British Columbia Civil Liberties Association:  Ruby Shiller Chan Hasan, Toronto.</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lang w:val="en-US"/>
        </w:rPr>
      </w:pPr>
      <w:r w:rsidRPr="00754A7E">
        <w:rPr>
          <w:sz w:val="20"/>
        </w:rPr>
        <w:tab/>
        <w:t>Solicitors for the intervener the Canadian Council of Criminal Defence Lawyers:  John Norris, Toronto</w:t>
      </w:r>
      <w:r w:rsidRPr="00754A7E">
        <w:rPr>
          <w:sz w:val="20"/>
          <w:lang w:val="en-US"/>
        </w:rPr>
        <w:t>; Poupart, Dadour, Touma &amp; Associés, Montréal.</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the Canadian Civil Liberties Association:  Kapoor Barristers, Toronto.</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the Canadian Bar Association:  Waldman &amp; Associates, Toronto; Edelmann &amp; Co., Vancouver.</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the Canadian Association of Refugee Lawyers:  Sack Goldblatt Mitchell, Toronto.</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 xml:space="preserve">Solicitors for the interveners the Canadian Council for Refugees and the International Civil Liberties Monitoring Group:  Jackman Nazami &amp; Associates, Toronto; Queen’s University, Kingston; Refugee Law Office, Toronto. </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lastRenderedPageBreak/>
        <w:tab/>
        <w:t>Solicitors for the intervener the Canadian Council on American</w:t>
      </w:r>
      <w:r w:rsidRPr="00754A7E">
        <w:rPr>
          <w:sz w:val="20"/>
        </w:rPr>
        <w:noBreakHyphen/>
        <w:t xml:space="preserve">Islamic Relations (now known as National Council of Canadian Muslims):  Office Khalid Elgazzar, Barrister, Ottawa; Osgoode Law School of York University, Toronto. </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Amnesty International:  Community Legal Services</w:t>
      </w:r>
      <w:r w:rsidRPr="00754A7E">
        <w:rPr>
          <w:sz w:val="20"/>
        </w:rPr>
        <w:noBreakHyphen/>
        <w:t>Ottawa Centre, Ottawa; Amnesty International Canada, Ottawa.</w:t>
      </w:r>
    </w:p>
    <w:p w:rsidR="00D13F89" w:rsidRDefault="00D13F89" w:rsidP="00D13F89">
      <w:pPr>
        <w:pStyle w:val="SCCLawFirm"/>
        <w:spacing w:line="240" w:lineRule="auto"/>
        <w:rPr>
          <w:sz w:val="20"/>
        </w:rPr>
      </w:pPr>
    </w:p>
    <w:p w:rsidR="00D13F89" w:rsidRPr="00754A7E" w:rsidRDefault="00D13F89" w:rsidP="00D13F89">
      <w:pPr>
        <w:pStyle w:val="SCCLawFirm"/>
        <w:spacing w:line="240" w:lineRule="auto"/>
        <w:rPr>
          <w:sz w:val="20"/>
        </w:rPr>
      </w:pPr>
      <w:r w:rsidRPr="00754A7E">
        <w:rPr>
          <w:sz w:val="20"/>
        </w:rPr>
        <w:tab/>
        <w:t>Solicitors for the intervener the Criminal Lawyers’ Association (Ontario):  Breese Davies Law, Toronto; Di Luca Copeland, Toronto.</w:t>
      </w:r>
    </w:p>
    <w:p w:rsidR="00D13F89" w:rsidRDefault="00D13F89" w:rsidP="00D13F89">
      <w:pPr>
        <w:pStyle w:val="SCCLawFirm"/>
        <w:spacing w:line="240" w:lineRule="auto"/>
        <w:rPr>
          <w:sz w:val="20"/>
        </w:rPr>
      </w:pPr>
    </w:p>
    <w:p w:rsidR="00D13F89" w:rsidRDefault="00D13F89" w:rsidP="00D13F89">
      <w:pPr>
        <w:pStyle w:val="SCCLawFirm"/>
        <w:spacing w:line="240" w:lineRule="auto"/>
        <w:rPr>
          <w:sz w:val="20"/>
          <w:lang w:val="en-US"/>
        </w:rPr>
      </w:pPr>
      <w:r w:rsidRPr="00754A7E">
        <w:rPr>
          <w:sz w:val="20"/>
        </w:rPr>
        <w:tab/>
        <w:t>Solicitors for the Special Advocates:  Cavalluzzo Shilton McIntyre Cornish, Toronto</w:t>
      </w:r>
      <w:r w:rsidRPr="00754A7E">
        <w:rPr>
          <w:sz w:val="20"/>
          <w:lang w:val="en-US"/>
        </w:rPr>
        <w:t>; Copeland, Duncan, Toronto.</w:t>
      </w:r>
    </w:p>
    <w:p w:rsidR="0052229C" w:rsidRPr="00FC08A1" w:rsidRDefault="0052229C" w:rsidP="0052229C">
      <w:pPr>
        <w:rPr>
          <w:rFonts w:cs="Times New Roman"/>
          <w:sz w:val="20"/>
          <w:szCs w:val="20"/>
          <w:lang w:val="fr-CA"/>
        </w:rPr>
      </w:pPr>
      <w:r w:rsidRPr="00FC08A1">
        <w:rPr>
          <w:rFonts w:cs="Times New Roman"/>
          <w:sz w:val="20"/>
          <w:szCs w:val="20"/>
          <w:lang w:val="fr-CA"/>
        </w:rPr>
        <w:t>________________________</w:t>
      </w:r>
    </w:p>
    <w:p w:rsidR="0052229C" w:rsidRPr="00FC08A1" w:rsidRDefault="0052229C" w:rsidP="0052229C">
      <w:pPr>
        <w:rPr>
          <w:rFonts w:cs="Times New Roman"/>
          <w:sz w:val="20"/>
          <w:szCs w:val="20"/>
          <w:lang w:val="fr-CA"/>
        </w:rPr>
      </w:pPr>
    </w:p>
    <w:p w:rsidR="00FC08A1" w:rsidRPr="001B0E4D" w:rsidRDefault="00FC08A1" w:rsidP="00FC08A1">
      <w:pPr>
        <w:jc w:val="both"/>
        <w:rPr>
          <w:sz w:val="20"/>
          <w:szCs w:val="20"/>
          <w:lang w:val="fr-CA"/>
        </w:rPr>
      </w:pPr>
      <w:r w:rsidRPr="001B0E4D">
        <w:rPr>
          <w:sz w:val="20"/>
          <w:szCs w:val="20"/>
          <w:lang w:val="fr-CA"/>
        </w:rPr>
        <w:t>Présents : La juge en chef McLachlin et les juges LeBel, Abella, Rothstein, Cromwell, Moldaver, Karakatsanis et Wagner.</w:t>
      </w:r>
    </w:p>
    <w:p w:rsidR="00FC08A1" w:rsidRDefault="00FC08A1" w:rsidP="00FC08A1">
      <w:pPr>
        <w:jc w:val="both"/>
        <w:rPr>
          <w:smallCaps/>
          <w:sz w:val="20"/>
          <w:lang w:val="fr-CA"/>
        </w:rPr>
      </w:pPr>
    </w:p>
    <w:p w:rsidR="00FC08A1" w:rsidRPr="001B0E4D" w:rsidRDefault="00FC08A1" w:rsidP="00FC08A1">
      <w:pPr>
        <w:pStyle w:val="SCCNormalDoubleSpacing"/>
        <w:spacing w:line="240" w:lineRule="auto"/>
        <w:rPr>
          <w:i/>
          <w:sz w:val="20"/>
          <w:lang w:val="fr-CA"/>
        </w:rPr>
      </w:pPr>
      <w:r w:rsidRPr="001B0E4D">
        <w:rPr>
          <w:sz w:val="20"/>
          <w:lang w:val="fr-CA"/>
        </w:rPr>
        <w:tab/>
      </w:r>
      <w:r w:rsidRPr="001B0E4D">
        <w:rPr>
          <w:i/>
          <w:sz w:val="20"/>
          <w:lang w:val="fr-CA"/>
        </w:rPr>
        <w:t>Droit constitutionnel — Charte des droits — Droit à la vie, à la liberté et à la sécurité de la personne — Certificat délivré contre un étranger atteste que cette personne est interdite de territoire au Canada pour raison de sécurité nationale parce qu’elle se serait livrée à des activités terroristes — Constitutionnalité du régime des certificats de sécurité contestée par la personne visée au motif qu’il empêche la divulgation complète et sa participation personnelle aux audiences — Le régime en vertu duquel sont délivrés les certificats de sécurité porte</w:t>
      </w:r>
      <w:r w:rsidRPr="001B0E4D">
        <w:rPr>
          <w:i/>
          <w:sz w:val="20"/>
          <w:lang w:val="fr-CA"/>
        </w:rPr>
        <w:noBreakHyphen/>
        <w:t>t</w:t>
      </w:r>
      <w:r w:rsidRPr="001B0E4D">
        <w:rPr>
          <w:i/>
          <w:sz w:val="20"/>
          <w:lang w:val="fr-CA"/>
        </w:rPr>
        <w:noBreakHyphen/>
        <w:t>il atteinte au droit à la vie, à la liberté et à la sécurité de la personne protégé par les principes de justice fondamentale? — Charte canadienne des droits et libertés, art. 7 — Loi sur l’immigration et la protection des réfugiés, L.C. 2001, ch. 27, art. 77(2), 83(1)c), 83(1)d), 83(1)e), 83(1)h), 83(1)i), 85.4(2), 85.5b).</w:t>
      </w:r>
    </w:p>
    <w:p w:rsidR="00FC08A1" w:rsidRDefault="00FC08A1" w:rsidP="00FC08A1">
      <w:pPr>
        <w:pStyle w:val="SCCNormalDoubleSpacing"/>
        <w:spacing w:line="240" w:lineRule="auto"/>
        <w:rPr>
          <w:i/>
          <w:sz w:val="20"/>
          <w:lang w:val="fr-CA"/>
        </w:rPr>
      </w:pPr>
    </w:p>
    <w:p w:rsidR="00FC08A1" w:rsidRPr="001B0E4D" w:rsidRDefault="00FC08A1" w:rsidP="00FC08A1">
      <w:pPr>
        <w:pStyle w:val="SCCNormalDoubleSpacing"/>
        <w:spacing w:line="240" w:lineRule="auto"/>
        <w:rPr>
          <w:i/>
          <w:sz w:val="20"/>
          <w:lang w:val="fr-CA"/>
        </w:rPr>
      </w:pPr>
      <w:r w:rsidRPr="001B0E4D">
        <w:rPr>
          <w:i/>
          <w:sz w:val="20"/>
          <w:lang w:val="fr-CA"/>
        </w:rPr>
        <w:tab/>
        <w:t>Immigration — Interdiction de territoire et renvoi — Sécurité nationale — Certificat délivré contre un étranger atteste que cette personne est interdite de territoire au Canada pour raison de sécurité nationale parce qu’elle se serait livrée à des activités terroristes — Juge chargé de se prononcer sur le caractère raisonnable du certificat d’avis qu’il y a une preuve suffisante pour l’établir et confirme la validité du certificat en question — Le juge désigné a</w:t>
      </w:r>
      <w:r w:rsidRPr="001B0E4D">
        <w:rPr>
          <w:i/>
          <w:sz w:val="20"/>
          <w:lang w:val="fr-CA"/>
        </w:rPr>
        <w:noBreakHyphen/>
        <w:t>t</w:t>
      </w:r>
      <w:r w:rsidRPr="001B0E4D">
        <w:rPr>
          <w:i/>
          <w:sz w:val="20"/>
          <w:lang w:val="fr-CA"/>
        </w:rPr>
        <w:noBreakHyphen/>
        <w:t>il commis une erreur en concluant au caractère raisonnable du certificat?</w:t>
      </w:r>
    </w:p>
    <w:p w:rsidR="00FC08A1" w:rsidRDefault="00FC08A1" w:rsidP="00FC08A1">
      <w:pPr>
        <w:pStyle w:val="SCCNormalDoubleSpacing"/>
        <w:spacing w:line="240" w:lineRule="auto"/>
        <w:rPr>
          <w:i/>
          <w:sz w:val="20"/>
          <w:lang w:val="fr-CA"/>
        </w:rPr>
      </w:pPr>
    </w:p>
    <w:p w:rsidR="00FC08A1" w:rsidRPr="001B0E4D" w:rsidRDefault="00FC08A1" w:rsidP="00FC08A1">
      <w:pPr>
        <w:pStyle w:val="SCCNormalDoubleSpacing"/>
        <w:spacing w:line="240" w:lineRule="auto"/>
        <w:rPr>
          <w:i/>
          <w:sz w:val="20"/>
          <w:lang w:val="fr-CA"/>
        </w:rPr>
      </w:pPr>
      <w:r w:rsidRPr="001B0E4D">
        <w:rPr>
          <w:i/>
          <w:sz w:val="20"/>
          <w:lang w:val="fr-CA"/>
        </w:rPr>
        <w:tab/>
        <w:t>Preuve — Privilège — Privilège relatif aux indicateurs — Renseignements utilisés contre la personne visée obtenus par le SCRS de sources humaines — Les sources humaines du SCRS sont</w:t>
      </w:r>
      <w:r w:rsidRPr="001B0E4D">
        <w:rPr>
          <w:i/>
          <w:sz w:val="20"/>
          <w:lang w:val="fr-CA"/>
        </w:rPr>
        <w:noBreakHyphen/>
        <w:t>elles protégées par un privilège générique? — Les sources humaines du SCRS peuvent</w:t>
      </w:r>
      <w:r w:rsidRPr="001B0E4D">
        <w:rPr>
          <w:i/>
          <w:sz w:val="20"/>
          <w:lang w:val="fr-CA"/>
        </w:rPr>
        <w:noBreakHyphen/>
        <w:t>elles être contre</w:t>
      </w:r>
      <w:r w:rsidRPr="001B0E4D">
        <w:rPr>
          <w:i/>
          <w:sz w:val="20"/>
          <w:lang w:val="fr-CA"/>
        </w:rPr>
        <w:noBreakHyphen/>
        <w:t>interrogées?</w:t>
      </w:r>
    </w:p>
    <w:p w:rsidR="00FC08A1" w:rsidRDefault="00FC08A1" w:rsidP="00FC08A1">
      <w:pPr>
        <w:pStyle w:val="SCCNormalDoubleSpacing"/>
        <w:spacing w:line="240" w:lineRule="auto"/>
        <w:rPr>
          <w:i/>
          <w:sz w:val="20"/>
          <w:lang w:val="fr-CA"/>
        </w:rPr>
      </w:pPr>
    </w:p>
    <w:p w:rsidR="00FC08A1" w:rsidRPr="001B0E4D" w:rsidRDefault="00FC08A1" w:rsidP="00FC08A1">
      <w:pPr>
        <w:pStyle w:val="SCCNormalDoubleSpacing"/>
        <w:spacing w:line="240" w:lineRule="auto"/>
        <w:rPr>
          <w:i/>
          <w:sz w:val="20"/>
          <w:lang w:val="fr-CA"/>
        </w:rPr>
      </w:pPr>
      <w:r w:rsidRPr="001B0E4D">
        <w:rPr>
          <w:i/>
          <w:sz w:val="20"/>
          <w:lang w:val="fr-CA"/>
        </w:rPr>
        <w:tab/>
        <w:t>Droit constitutionnel — Charte des droits — Équité procédurale – Obligation de divulgation — Réparation — Résumés de conversations interceptées produits en preuve contre la personne visée — Documents à l’origine des résumés détruits conformément à une politique interne du SCRS — La destruction des documents à l’origine des résumés a</w:t>
      </w:r>
      <w:r w:rsidRPr="001B0E4D">
        <w:rPr>
          <w:i/>
          <w:sz w:val="20"/>
          <w:lang w:val="fr-CA"/>
        </w:rPr>
        <w:noBreakHyphen/>
        <w:t>t</w:t>
      </w:r>
      <w:r w:rsidRPr="001B0E4D">
        <w:rPr>
          <w:i/>
          <w:sz w:val="20"/>
          <w:lang w:val="fr-CA"/>
        </w:rPr>
        <w:noBreakHyphen/>
        <w:t>elle porté atteinte au droit à l’équité procédurale de la personne visée? — Le juge désigné a</w:t>
      </w:r>
      <w:r w:rsidRPr="001B0E4D">
        <w:rPr>
          <w:i/>
          <w:sz w:val="20"/>
          <w:lang w:val="fr-CA"/>
        </w:rPr>
        <w:noBreakHyphen/>
        <w:t>t</w:t>
      </w:r>
      <w:r w:rsidRPr="001B0E4D">
        <w:rPr>
          <w:i/>
          <w:sz w:val="20"/>
          <w:lang w:val="fr-CA"/>
        </w:rPr>
        <w:noBreakHyphen/>
        <w:t xml:space="preserve">il commis une erreur en refusant d’exclure les résumés des conversations interceptées? — Charte canadienne des droits et libertés, art. 7, 24(1). </w:t>
      </w:r>
    </w:p>
    <w:p w:rsidR="00FC08A1" w:rsidRDefault="00FC08A1" w:rsidP="00FC08A1">
      <w:pPr>
        <w:pStyle w:val="SCCNormalDoubleSpacing"/>
        <w:spacing w:line="240" w:lineRule="auto"/>
        <w:rPr>
          <w:i/>
          <w:sz w:val="20"/>
          <w:lang w:val="fr-CA"/>
        </w:rPr>
      </w:pPr>
    </w:p>
    <w:p w:rsidR="00FC08A1" w:rsidRPr="001B0E4D" w:rsidRDefault="00FC08A1" w:rsidP="00FC08A1">
      <w:pPr>
        <w:pStyle w:val="SCCNormalDoubleSpacing"/>
        <w:spacing w:line="240" w:lineRule="auto"/>
        <w:rPr>
          <w:i/>
          <w:sz w:val="20"/>
          <w:lang w:val="fr-CA"/>
        </w:rPr>
      </w:pPr>
      <w:r w:rsidRPr="001B0E4D">
        <w:rPr>
          <w:i/>
          <w:sz w:val="20"/>
          <w:lang w:val="fr-CA"/>
        </w:rPr>
        <w:tab/>
        <w:t>Arrêt des procédures — Obligations de franchise et de bonne foi la plus absolue — Équité du processus — Procédures ex parte — Examen du caractère raisonnable du certificat de sécurité — Les ministres ont</w:t>
      </w:r>
      <w:r w:rsidRPr="001B0E4D">
        <w:rPr>
          <w:i/>
          <w:sz w:val="20"/>
          <w:lang w:val="fr-CA"/>
        </w:rPr>
        <w:noBreakHyphen/>
        <w:t>ils fourni des efforts raisonnables pour obtenir les renseignements demandés par les avocats spéciaux? — Les ministres ont</w:t>
      </w:r>
      <w:r w:rsidRPr="001B0E4D">
        <w:rPr>
          <w:i/>
          <w:sz w:val="20"/>
          <w:lang w:val="fr-CA"/>
        </w:rPr>
        <w:noBreakHyphen/>
        <w:t>ils manqué à leurs obligations de franchise et de bonne foi la plus absolue? — Les procédures contre la personne visée étaient</w:t>
      </w:r>
      <w:r w:rsidRPr="001B0E4D">
        <w:rPr>
          <w:i/>
          <w:sz w:val="20"/>
          <w:lang w:val="fr-CA"/>
        </w:rPr>
        <w:noBreakHyphen/>
        <w:t>elles équitables? — La personne visée a</w:t>
      </w:r>
      <w:r w:rsidRPr="001B0E4D">
        <w:rPr>
          <w:i/>
          <w:sz w:val="20"/>
          <w:lang w:val="fr-CA"/>
        </w:rPr>
        <w:noBreakHyphen/>
        <w:t>t</w:t>
      </w:r>
      <w:r w:rsidRPr="001B0E4D">
        <w:rPr>
          <w:i/>
          <w:sz w:val="20"/>
          <w:lang w:val="fr-CA"/>
        </w:rPr>
        <w:noBreakHyphen/>
        <w:t>elle droit à l’arrêt des procédures?</w:t>
      </w:r>
    </w:p>
    <w:p w:rsidR="00FC08A1" w:rsidRDefault="00FC08A1" w:rsidP="00FC08A1">
      <w:pPr>
        <w:pStyle w:val="SCCNormalDoubleSpacing"/>
        <w:spacing w:line="240" w:lineRule="auto"/>
        <w:rPr>
          <w:i/>
          <w:sz w:val="20"/>
          <w:lang w:val="fr-CA"/>
        </w:rPr>
      </w:pPr>
    </w:p>
    <w:p w:rsidR="00FC08A1" w:rsidRPr="001B0E4D" w:rsidRDefault="00FC08A1" w:rsidP="00FC08A1">
      <w:pPr>
        <w:pStyle w:val="SCCNormalDoubleSpacing"/>
        <w:spacing w:line="240" w:lineRule="auto"/>
        <w:rPr>
          <w:sz w:val="20"/>
          <w:lang w:val="fr-CA"/>
        </w:rPr>
      </w:pPr>
      <w:r w:rsidRPr="001B0E4D">
        <w:rPr>
          <w:i/>
          <w:sz w:val="20"/>
          <w:lang w:val="fr-CA"/>
        </w:rPr>
        <w:tab/>
      </w:r>
      <w:r w:rsidRPr="001B0E4D">
        <w:rPr>
          <w:sz w:val="20"/>
          <w:lang w:val="fr-CA"/>
        </w:rPr>
        <w:t xml:space="preserve">Selon les allégations, H serait entré au Canada pour se livrer à des activités terroristes.  En 2002, un certificat de sécurité a été délivré contre lui conformément au régime alors établi par la </w:t>
      </w:r>
      <w:r w:rsidRPr="001B0E4D">
        <w:rPr>
          <w:i/>
          <w:sz w:val="20"/>
          <w:lang w:val="fr-CA"/>
        </w:rPr>
        <w:t>Loi sur l’immigration et la protection des réfugiés</w:t>
      </w:r>
      <w:r w:rsidRPr="001B0E4D">
        <w:rPr>
          <w:sz w:val="20"/>
          <w:lang w:val="fr-CA"/>
        </w:rPr>
        <w:t>, L.C. 2001, ch. 27 (« </w:t>
      </w:r>
      <w:r w:rsidRPr="001B0E4D">
        <w:rPr>
          <w:i/>
          <w:sz w:val="20"/>
          <w:lang w:val="fr-CA"/>
        </w:rPr>
        <w:t>LIPR</w:t>
      </w:r>
      <w:r w:rsidRPr="001B0E4D">
        <w:rPr>
          <w:sz w:val="20"/>
          <w:lang w:val="fr-CA"/>
        </w:rPr>
        <w:t xml:space="preserve"> »).  Selon ce certificat, H était interdit de territoire au Canada pour raison de sécurité nationale.  Après la contestation constitutionnelle couronnée de succès du régime de la </w:t>
      </w:r>
      <w:r w:rsidRPr="001B0E4D">
        <w:rPr>
          <w:i/>
          <w:sz w:val="20"/>
          <w:lang w:val="fr-CA"/>
        </w:rPr>
        <w:t>LIPR</w:t>
      </w:r>
      <w:r w:rsidRPr="001B0E4D">
        <w:rPr>
          <w:sz w:val="20"/>
          <w:lang w:val="fr-CA"/>
        </w:rPr>
        <w:t xml:space="preserve"> relatif aux certificats de sécurité qui était alors en vigueur et les modifications subséquentes de cette loi, un deuxième certificat de sécurité a été délivré contre H et déposé à la Cour fédérale pour que celle</w:t>
      </w:r>
      <w:r w:rsidRPr="001B0E4D">
        <w:rPr>
          <w:sz w:val="20"/>
          <w:lang w:val="fr-CA"/>
        </w:rPr>
        <w:noBreakHyphen/>
        <w:t xml:space="preserve">ci décide de son caractère raisonnable.  Au </w:t>
      </w:r>
      <w:r w:rsidRPr="001B0E4D">
        <w:rPr>
          <w:sz w:val="20"/>
          <w:lang w:val="fr-CA"/>
        </w:rPr>
        <w:lastRenderedPageBreak/>
        <w:t>cours de la procédure, les avocats spéciaux nommés pour défendre les intérêts de H durant les audiences à huis clos ont tenté d’obtenir la divulgation de l’identité des sources humaines ayant fourni au Service canadien du renseignement de sécurité (« SCRS ») des renseignements relatifs à H, ainsi que l’autorisation de les questionner et de les contre</w:t>
      </w:r>
      <w:r w:rsidRPr="001B0E4D">
        <w:rPr>
          <w:sz w:val="20"/>
          <w:lang w:val="fr-CA"/>
        </w:rPr>
        <w:noBreakHyphen/>
        <w:t>interroger.  Le juge désigné a rejeté leur demande, concluant que le privilège de common law relatif aux indicateurs de police devrait être élargi et s’appliquer également aux sources humaines du SCRS.  Il a également rejeté leur demande visant à contraindre les ministres à obtenir d’organismes étrangers de renseignement des informations à jour sur plusieurs présumés terroristes avec lesquels H se serait associé.  Il a aussi rejeté la demande de H pour faire exclure de la preuve les résumés des conversations interceptées au motif que les enregistrements originaux et les notes concernant ces conversations avaient été détruits conformément à la politique OPS</w:t>
      </w:r>
      <w:r w:rsidRPr="001B0E4D">
        <w:rPr>
          <w:sz w:val="20"/>
          <w:lang w:val="fr-CA"/>
        </w:rPr>
        <w:noBreakHyphen/>
        <w:t xml:space="preserve">217 du SCRC.  Selon le juge désigné, le régime des certificats de sécurité établi par la </w:t>
      </w:r>
      <w:r w:rsidRPr="001B0E4D">
        <w:rPr>
          <w:i/>
          <w:sz w:val="20"/>
          <w:lang w:val="fr-CA"/>
        </w:rPr>
        <w:t>LIPR</w:t>
      </w:r>
      <w:r w:rsidRPr="001B0E4D">
        <w:rPr>
          <w:sz w:val="20"/>
          <w:lang w:val="fr-CA"/>
        </w:rPr>
        <w:t xml:space="preserve"> modifiée est constitutionnel et le certificat attestant que H est interdit de territoire au Canada est raisonnable.  En appel, la Cour d’appel fédérale a confirmé la constitutionnalité du régime, mais a conclu que l’identité des sources humaines du SCRC n’était pas protégée par un privilège.  Elle a également exclu de la preuve les résumés des conversations interceptées auxquelles H n’avait pas participé, et elle a renvoyé l’affaire au juge désigné pour que celui</w:t>
      </w:r>
      <w:r w:rsidRPr="001B0E4D">
        <w:rPr>
          <w:sz w:val="20"/>
          <w:lang w:val="fr-CA"/>
        </w:rPr>
        <w:noBreakHyphen/>
        <w:t>ci rende un nouveau jugement en se fondant sur ce qu’il restait du dossier après l’exclusion des résumés.</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r>
      <w:r w:rsidRPr="001B0E4D">
        <w:rPr>
          <w:rStyle w:val="QuoteChar"/>
          <w:rFonts w:eastAsiaTheme="minorEastAsia"/>
          <w:sz w:val="20"/>
          <w:lang w:val="fr-CA"/>
        </w:rPr>
        <w:t xml:space="preserve">Arrêt (les juges Abella et Cromwell sont dissidents en partie </w:t>
      </w:r>
      <w:r w:rsidRPr="001B0E4D">
        <w:rPr>
          <w:sz w:val="20"/>
          <w:lang w:val="fr-CA"/>
        </w:rPr>
        <w:t>quant au pourvoi</w:t>
      </w:r>
      <w:r w:rsidRPr="001B0E4D">
        <w:rPr>
          <w:rStyle w:val="QuoteChar"/>
          <w:rFonts w:eastAsiaTheme="minorEastAsia"/>
          <w:sz w:val="20"/>
          <w:lang w:val="fr-CA"/>
        </w:rPr>
        <w:t>) :</w:t>
      </w:r>
      <w:r w:rsidRPr="001B0E4D">
        <w:rPr>
          <w:sz w:val="20"/>
          <w:lang w:val="fr-CA"/>
        </w:rPr>
        <w:t xml:space="preserve"> Le pourvoi est accueilli en partie.  Le pourvoi incident est rejeté.  Le régime établi par la </w:t>
      </w:r>
      <w:r w:rsidRPr="001B0E4D">
        <w:rPr>
          <w:i/>
          <w:sz w:val="20"/>
          <w:lang w:val="fr-CA"/>
        </w:rPr>
        <w:t>LIPR</w:t>
      </w:r>
      <w:r w:rsidRPr="001B0E4D">
        <w:rPr>
          <w:sz w:val="20"/>
          <w:lang w:val="fr-CA"/>
        </w:rPr>
        <w:t xml:space="preserve"> est constitutionnel.  Les sources humaines du SCRS ne sont pas protégées par un privilège générique.  La conclusion du juge désigné selon laquelle le certificat de sécurité est raisonnable est rétablie. </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rPr>
      </w:pPr>
      <w:r w:rsidRPr="001B0E4D">
        <w:rPr>
          <w:sz w:val="20"/>
          <w:lang w:val="fr-CA"/>
        </w:rPr>
        <w:tab/>
      </w:r>
      <w:r w:rsidRPr="001B0E4D">
        <w:rPr>
          <w:i/>
          <w:sz w:val="20"/>
          <w:lang w:val="fr-CA"/>
        </w:rPr>
        <w:t xml:space="preserve">La </w:t>
      </w:r>
      <w:r w:rsidRPr="001B0E4D">
        <w:rPr>
          <w:b/>
          <w:sz w:val="20"/>
          <w:lang w:val="fr-CA"/>
        </w:rPr>
        <w:t xml:space="preserve">juge en chef McLachlin </w:t>
      </w:r>
      <w:r w:rsidRPr="001B0E4D">
        <w:rPr>
          <w:sz w:val="20"/>
          <w:lang w:val="fr-CA"/>
        </w:rPr>
        <w:t xml:space="preserve">et les juges LeBel, Rothstein, Moldaver, Karakatsanis et Wagner : </w:t>
      </w:r>
    </w:p>
    <w:p w:rsidR="00FC08A1" w:rsidRPr="001B0E4D" w:rsidRDefault="00FC08A1" w:rsidP="00FC08A1">
      <w:pPr>
        <w:pStyle w:val="SCCNormalDoubleSpacing"/>
        <w:spacing w:line="240" w:lineRule="auto"/>
        <w:rPr>
          <w:sz w:val="20"/>
          <w:lang w:val="fr-CA"/>
        </w:rPr>
      </w:pPr>
    </w:p>
    <w:p w:rsidR="00FC08A1" w:rsidRPr="001B0E4D" w:rsidRDefault="00FC08A1" w:rsidP="00FC08A1">
      <w:pPr>
        <w:pStyle w:val="SCCNormalDoubleSpacing"/>
        <w:keepNext/>
        <w:spacing w:line="240" w:lineRule="auto"/>
        <w:rPr>
          <w:i/>
          <w:sz w:val="20"/>
          <w:lang w:val="fr-CA"/>
        </w:rPr>
      </w:pPr>
      <w:r w:rsidRPr="001B0E4D">
        <w:rPr>
          <w:i/>
          <w:sz w:val="20"/>
          <w:lang w:val="fr-CA"/>
        </w:rPr>
        <w:t>Constitutionnalité du régime établi par la LIPR</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r>
      <w:r w:rsidRPr="001B0E4D">
        <w:rPr>
          <w:sz w:val="20"/>
          <w:lang w:val="fr-CA" w:bidi="en-US"/>
        </w:rPr>
        <w:t xml:space="preserve">Les </w:t>
      </w:r>
      <w:r w:rsidRPr="001B0E4D">
        <w:rPr>
          <w:sz w:val="20"/>
          <w:lang w:val="fr-CA"/>
        </w:rPr>
        <w:t>dispositions</w:t>
      </w:r>
      <w:r w:rsidRPr="001B0E4D">
        <w:rPr>
          <w:sz w:val="20"/>
          <w:lang w:val="fr-CA" w:bidi="en-US"/>
        </w:rPr>
        <w:t xml:space="preserve"> contestées du régime établi par la </w:t>
      </w:r>
      <w:r w:rsidRPr="001B0E4D">
        <w:rPr>
          <w:i/>
          <w:sz w:val="20"/>
          <w:lang w:val="fr-CA" w:bidi="en-US"/>
        </w:rPr>
        <w:t>LIPR</w:t>
      </w:r>
      <w:r w:rsidRPr="001B0E4D">
        <w:rPr>
          <w:sz w:val="20"/>
          <w:lang w:val="fr-CA" w:bidi="en-US"/>
        </w:rPr>
        <w:t xml:space="preserve"> sont constitutionnelles.  Elles n’enfreignent pas le droit de la personne visée de connaître et de contester la preuve qui pèse contre elle, ni son droit à ce qu’une décision soit rendue compte tenu des faits et du droit.  Les vices dont serait entaché le régime établi par la </w:t>
      </w:r>
      <w:r w:rsidRPr="001B0E4D">
        <w:rPr>
          <w:i/>
          <w:sz w:val="20"/>
          <w:lang w:val="fr-CA" w:bidi="en-US"/>
        </w:rPr>
        <w:t>LIPR</w:t>
      </w:r>
      <w:r w:rsidRPr="001B0E4D">
        <w:rPr>
          <w:sz w:val="20"/>
          <w:lang w:val="fr-CA" w:bidi="en-US"/>
        </w:rPr>
        <w:t xml:space="preserve"> doivent être examinés à la lumière de la structure globale du régime et des deux principes fondamentaux autour desquels il s’articule </w:t>
      </w:r>
      <w:r w:rsidRPr="001B0E4D">
        <w:rPr>
          <w:sz w:val="20"/>
          <w:lang w:val="fr-CA"/>
        </w:rPr>
        <w:t>: (1) </w:t>
      </w:r>
      <w:r w:rsidRPr="001B0E4D">
        <w:rPr>
          <w:sz w:val="20"/>
          <w:lang w:val="fr-CA" w:bidi="en-US"/>
        </w:rPr>
        <w:t>le juge désigné est censé jouer le rôle de gardien</w:t>
      </w:r>
      <w:r w:rsidRPr="001B0E4D">
        <w:rPr>
          <w:sz w:val="20"/>
          <w:lang w:val="fr-CA"/>
        </w:rPr>
        <w:t xml:space="preserve">, </w:t>
      </w:r>
      <w:r w:rsidRPr="001B0E4D">
        <w:rPr>
          <w:sz w:val="20"/>
          <w:lang w:val="fr-CA" w:bidi="en-US"/>
        </w:rPr>
        <w:t>il est investi d’un large pouvoir discrétionnaire et il doit s’assurer non seulement que le dossier étaie le caractère raisonnable de la conclusion d’interdiction de territoire tirée par les ministres, mais aussi que l’ensemble du processus est équitable</w:t>
      </w:r>
      <w:r w:rsidRPr="001B0E4D">
        <w:rPr>
          <w:sz w:val="20"/>
          <w:lang w:val="fr-CA"/>
        </w:rPr>
        <w:t>; et (2) </w:t>
      </w:r>
      <w:r w:rsidRPr="001B0E4D">
        <w:rPr>
          <w:sz w:val="20"/>
          <w:lang w:val="fr-CA" w:bidi="en-US"/>
        </w:rPr>
        <w:t>la participation des avocats spéciaux aux audiences à huis clos vise à remplacer, pour l’essentiel, la participation personnelle de la personne visée à ces audiences.  Toutefois, ce régime demeure un substitut imparfait à la divulgation complète en audience publique</w:t>
      </w:r>
      <w:r w:rsidRPr="001B0E4D">
        <w:rPr>
          <w:sz w:val="20"/>
          <w:lang w:val="fr-CA"/>
        </w:rPr>
        <w:t xml:space="preserve">, et le juge désigné </w:t>
      </w:r>
      <w:r w:rsidRPr="001B0E4D">
        <w:rPr>
          <w:sz w:val="20"/>
          <w:lang w:val="fr-CA" w:bidi="en-US"/>
        </w:rPr>
        <w:t xml:space="preserve">a la responsabilité tout au long de l’instance d’évaluer l’équité globale du processus et d’accorder des réparations en application du par. 24(1) de la </w:t>
      </w:r>
      <w:r w:rsidRPr="001B0E4D">
        <w:rPr>
          <w:i/>
          <w:sz w:val="20"/>
          <w:lang w:val="fr-CA" w:bidi="en-US"/>
        </w:rPr>
        <w:t>Charte</w:t>
      </w:r>
      <w:r w:rsidRPr="001B0E4D">
        <w:rPr>
          <w:sz w:val="20"/>
          <w:lang w:val="fr-CA" w:bidi="en-US"/>
        </w:rPr>
        <w:t xml:space="preserve"> lorsqu’il est approprié de le faire</w:t>
      </w:r>
      <w:r w:rsidRPr="001B0E4D">
        <w:rPr>
          <w:sz w:val="20"/>
          <w:lang w:val="fr-CA"/>
        </w:rPr>
        <w:t>.</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bidi="en-US"/>
        </w:rPr>
      </w:pPr>
      <w:r w:rsidRPr="001B0E4D">
        <w:rPr>
          <w:sz w:val="20"/>
          <w:lang w:val="fr-CA"/>
        </w:rPr>
        <w:tab/>
        <w:t xml:space="preserve">Le régime établi par la </w:t>
      </w:r>
      <w:r w:rsidRPr="001B0E4D">
        <w:rPr>
          <w:i/>
          <w:sz w:val="20"/>
          <w:lang w:val="fr-CA"/>
        </w:rPr>
        <w:t>LIPR</w:t>
      </w:r>
      <w:r w:rsidRPr="001B0E4D">
        <w:rPr>
          <w:sz w:val="20"/>
          <w:lang w:val="fr-CA"/>
        </w:rPr>
        <w:t xml:space="preserve"> </w:t>
      </w:r>
      <w:r w:rsidRPr="001B0E4D">
        <w:rPr>
          <w:sz w:val="20"/>
          <w:lang w:val="fr-CA" w:bidi="en-US"/>
        </w:rPr>
        <w:t xml:space="preserve">prévoit la divulgation à la personne visée de suffisamment de </w:t>
      </w:r>
      <w:r w:rsidRPr="001B0E4D">
        <w:rPr>
          <w:sz w:val="20"/>
          <w:lang w:val="fr-CA"/>
        </w:rPr>
        <w:t>renseignements</w:t>
      </w:r>
      <w:r w:rsidRPr="001B0E4D">
        <w:rPr>
          <w:sz w:val="20"/>
          <w:lang w:val="fr-CA" w:bidi="en-US"/>
        </w:rPr>
        <w:t xml:space="preserve"> pour respecter la Constitution, puisque le juge désigné a l’obligation légale de veiller à ce que cette personne soit suffisamment informée de la thèse contre elle durant l’instance.  </w:t>
      </w:r>
      <w:r w:rsidRPr="001B0E4D">
        <w:rPr>
          <w:sz w:val="20"/>
          <w:lang w:val="fr-CA"/>
        </w:rPr>
        <w:t xml:space="preserve">Cependant, l’exigence du régime établi par la </w:t>
      </w:r>
      <w:r w:rsidRPr="001B0E4D">
        <w:rPr>
          <w:i/>
          <w:sz w:val="20"/>
          <w:lang w:val="fr-CA"/>
        </w:rPr>
        <w:t>LIPR</w:t>
      </w:r>
      <w:r w:rsidRPr="001B0E4D">
        <w:rPr>
          <w:sz w:val="20"/>
          <w:lang w:val="fr-CA"/>
        </w:rPr>
        <w:t xml:space="preserve"> voulant que la </w:t>
      </w:r>
      <w:r w:rsidRPr="001B0E4D">
        <w:rPr>
          <w:sz w:val="20"/>
          <w:lang w:val="fr-CA" w:bidi="en-US"/>
        </w:rPr>
        <w:t>personne visée soit « suffisamment informée » de cette thèse doit être considérée comme une reconnaissance de l’obligation de lui fournir une quantité minimale incompressible de renseignements.  La personne visée est « suffisamment informée » si elle a reçu elle</w:t>
      </w:r>
      <w:r w:rsidRPr="001B0E4D">
        <w:rPr>
          <w:sz w:val="20"/>
          <w:lang w:val="fr-CA" w:bidi="en-US"/>
        </w:rPr>
        <w:noBreakHyphen/>
        <w:t>même suffisamment de renseignements pour pouvoir donner à ses avocats spéciaux des renseignements qui leur permettront de contester l’information et la preuve présentées aux audiences à huis clos.  L’étendue de la divulgation requise pour que la personne visée soit suffisamment informée varie d’une affaire à l’autre, selon les allégations et la preuve contre elle.</w:t>
      </w:r>
      <w:r w:rsidRPr="001B0E4D">
        <w:rPr>
          <w:sz w:val="20"/>
          <w:lang w:val="fr-CA"/>
        </w:rPr>
        <w:t xml:space="preserve">  </w:t>
      </w:r>
      <w:r w:rsidRPr="001B0E4D">
        <w:rPr>
          <w:sz w:val="20"/>
          <w:lang w:val="fr-CA" w:bidi="en-US"/>
        </w:rPr>
        <w:t>En dernier ressort, c’est au juge désigné qu’il appartient de décider si cette norme a été respectée</w:t>
      </w:r>
      <w:r w:rsidRPr="001B0E4D">
        <w:rPr>
          <w:sz w:val="20"/>
          <w:lang w:val="fr-CA"/>
        </w:rPr>
        <w:t>.</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u w:val="single"/>
          <w:lang w:val="fr-CA"/>
        </w:rPr>
      </w:pPr>
      <w:r w:rsidRPr="001B0E4D">
        <w:rPr>
          <w:sz w:val="20"/>
          <w:lang w:val="fr-CA"/>
        </w:rPr>
        <w:tab/>
      </w:r>
      <w:r w:rsidRPr="001B0E4D">
        <w:rPr>
          <w:sz w:val="20"/>
          <w:lang w:val="fr-CA" w:bidi="en-US"/>
        </w:rPr>
        <w:t xml:space="preserve">Seuls les renseignements et les éléments de preuve qui soulèvent un risque sérieux d’atteinte à la sécurité nationale ou à la sécurité d’autrui peuvent être soustraits à la connaissance de la personne visée.  Le juge désigné doit être vigilant et sceptique quant aux réclamations de confidentialité fondées sur la sécurité nationale et doit garantir que seuls les renseignements ou les éléments de preuve qui porteraient atteinte à la sécurité nationale ou à celle d’autrui sont soustraits à la connaissance de la personne visée. </w:t>
      </w:r>
      <w:r w:rsidRPr="001B0E4D">
        <w:rPr>
          <w:sz w:val="20"/>
          <w:lang w:val="fr-CA"/>
        </w:rPr>
        <w:t xml:space="preserve"> La multiplication systématique des réclamations peut porter atteinte au droit de la personne visée à un processus équitable ou miner l’intégrité du système judiciaire, exigeant ainsi l’octroi d’une réparation en application du par. 24(1) de la </w:t>
      </w:r>
      <w:r w:rsidRPr="001B0E4D">
        <w:rPr>
          <w:i/>
          <w:sz w:val="20"/>
          <w:lang w:val="fr-CA"/>
        </w:rPr>
        <w:t>Charte</w:t>
      </w:r>
      <w:r w:rsidRPr="001B0E4D">
        <w:rPr>
          <w:sz w:val="20"/>
          <w:lang w:val="fr-CA"/>
        </w:rPr>
        <w:t>.</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 xml:space="preserve">L’approche prévue par le régime établi par la </w:t>
      </w:r>
      <w:r w:rsidRPr="001B0E4D">
        <w:rPr>
          <w:i/>
          <w:sz w:val="20"/>
          <w:lang w:val="fr-CA"/>
        </w:rPr>
        <w:t>LIPR</w:t>
      </w:r>
      <w:r w:rsidRPr="001B0E4D">
        <w:rPr>
          <w:sz w:val="20"/>
          <w:lang w:val="fr-CA"/>
        </w:rPr>
        <w:t xml:space="preserve"> en matière de divulgation — qui ne prévoit pas la mise en balance des intérêts contraires — ne rend pas le régime inconstitutionnel.  L’article 7 de la </w:t>
      </w:r>
      <w:r w:rsidRPr="001B0E4D">
        <w:rPr>
          <w:i/>
          <w:sz w:val="20"/>
          <w:lang w:val="fr-CA"/>
        </w:rPr>
        <w:t>Charte</w:t>
      </w:r>
      <w:r w:rsidRPr="001B0E4D">
        <w:rPr>
          <w:sz w:val="20"/>
          <w:lang w:val="fr-CA"/>
        </w:rPr>
        <w:t xml:space="preserve"> n’exige pas l’existence d’une approche de mise en balance quant à la divulgation; il exige plutôt que le processus soit équitable.</w:t>
      </w:r>
      <w:r w:rsidRPr="001B0E4D">
        <w:rPr>
          <w:i/>
          <w:sz w:val="20"/>
          <w:lang w:val="fr-CA"/>
        </w:rPr>
        <w:t xml:space="preserve">  </w:t>
      </w:r>
      <w:r w:rsidRPr="001B0E4D">
        <w:rPr>
          <w:sz w:val="20"/>
          <w:lang w:val="fr-CA"/>
        </w:rPr>
        <w:t>Le choix du législateur d’une interdiction totale de divulguer les renseignements sensibles — plutôt qu’une approche qui prévoit une mise en balance — ne constitue donc pas une atteinte au droit à un processus équitable.</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Les restrictions aux communications auxquelles doivent se conformer les avocats spéciaux ne rendent pas le régime inconstitutionnel.  Elles ne sont pas absolues et peuvent être levées par une autorisation judiciaire, aux conditions que le juge désigné estime indiquées.  Le recours à l’autorisation judiciaire donne au juge désigné un pouvoir discrétionnaire suffisamment vaste pour autoriser toutes les communications nécessaires pour que les avocats spéciaux s’acquittent de leurs fonctions</w:t>
      </w:r>
      <w:r w:rsidRPr="001B0E4D">
        <w:rPr>
          <w:sz w:val="20"/>
          <w:lang w:val="fr-CA" w:bidi="en-US"/>
        </w:rPr>
        <w:t>.  Ce vaste pouvoir discrétionnaire prévient l’iniquité parce que le juge désigné peut s’assurer que les avocats spéciaux agissent autant que possible comme le feraient des avocats ordinaires au cours d’audiences publiques.  Le juge devrait adopter une approche libérale lorsqu’il est question d’autoriser les communications et ne refuser son autorisation que dans les cas où le ministre a fait la preuve, selon la prépondérance des probabilités, d’un risque réel de préjudice en cas de divulgation</w:t>
      </w:r>
      <w:r w:rsidRPr="001B0E4D">
        <w:rPr>
          <w:sz w:val="20"/>
          <w:lang w:val="fr-CA"/>
        </w:rPr>
        <w:t xml:space="preserve">.  En outre, </w:t>
      </w:r>
      <w:r w:rsidRPr="001B0E4D">
        <w:rPr>
          <w:sz w:val="20"/>
          <w:lang w:val="fr-CA" w:bidi="en-US"/>
        </w:rPr>
        <w:t>la personne visée et ses avocats publics peuvent, eux, transmettre aux avocats spéciaux, à tout moment durant les procédures, une quantité illimitée de communications à sens unique.</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rPr>
      </w:pPr>
      <w:r w:rsidRPr="001B0E4D">
        <w:rPr>
          <w:sz w:val="20"/>
          <w:lang w:val="fr-CA"/>
        </w:rPr>
        <w:tab/>
        <w:t>Admettre des éléments de preuve par ouï</w:t>
      </w:r>
      <w:r w:rsidRPr="001B0E4D">
        <w:rPr>
          <w:sz w:val="20"/>
          <w:lang w:val="fr-CA"/>
        </w:rPr>
        <w:noBreakHyphen/>
        <w:t>dire ou ne pas donner aux avocats spéciaux la possibilité de contre</w:t>
      </w:r>
      <w:r w:rsidRPr="001B0E4D">
        <w:rPr>
          <w:sz w:val="20"/>
          <w:lang w:val="fr-CA"/>
        </w:rPr>
        <w:noBreakHyphen/>
        <w:t xml:space="preserve">interroger certaines sources ne rendent pas le régime établi par la </w:t>
      </w:r>
      <w:r w:rsidRPr="001B0E4D">
        <w:rPr>
          <w:i/>
          <w:sz w:val="20"/>
          <w:lang w:val="fr-CA"/>
        </w:rPr>
        <w:t>LIPR</w:t>
      </w:r>
      <w:r w:rsidRPr="001B0E4D">
        <w:rPr>
          <w:sz w:val="20"/>
          <w:lang w:val="fr-CA"/>
        </w:rPr>
        <w:t xml:space="preserve"> inconstitutionnel.  Ce régime atteint l’objectif consistant à écarter les éléments de preuve indignes de foi par d’autres moyens que la règle interdisant le ouï</w:t>
      </w:r>
      <w:r w:rsidRPr="001B0E4D">
        <w:rPr>
          <w:sz w:val="20"/>
          <w:lang w:val="fr-CA"/>
        </w:rPr>
        <w:noBreakHyphen/>
        <w:t>dire et le droit de contre</w:t>
      </w:r>
      <w:r w:rsidRPr="001B0E4D">
        <w:rPr>
          <w:sz w:val="20"/>
          <w:lang w:val="fr-CA"/>
        </w:rPr>
        <w:noBreakHyphen/>
        <w:t xml:space="preserve">interroger les témoins; il confère au juge désigné le vaste pouvoir discrétionnaire d’exclure des éléments de preuve qui ne seraient pas « dignes de foi et utiles », ce qui lui permet d’exclure non seulement les éléments de preuve qu’il juge, après examen, indignes de foi, mais également ceux dont l’effet préjudiciable à l’endroit de la personne visée l’emporte sur leur valeur probante.  </w:t>
      </w:r>
    </w:p>
    <w:p w:rsidR="00FC08A1" w:rsidRPr="001B0E4D" w:rsidRDefault="00FC08A1" w:rsidP="00FC08A1">
      <w:pPr>
        <w:pStyle w:val="SCCNormalDoubleSpacing"/>
        <w:spacing w:line="240" w:lineRule="auto"/>
        <w:rPr>
          <w:sz w:val="20"/>
          <w:lang w:val="fr-CA" w:bidi="en-US"/>
        </w:rPr>
      </w:pPr>
    </w:p>
    <w:p w:rsidR="00FC08A1" w:rsidRPr="001B0E4D" w:rsidRDefault="00FC08A1" w:rsidP="00FC08A1">
      <w:pPr>
        <w:pStyle w:val="SCCNormalDoubleSpacing"/>
        <w:keepNext/>
        <w:spacing w:line="240" w:lineRule="auto"/>
        <w:rPr>
          <w:i/>
          <w:sz w:val="20"/>
          <w:lang w:val="fr-CA"/>
        </w:rPr>
      </w:pPr>
      <w:r w:rsidRPr="001B0E4D">
        <w:rPr>
          <w:i/>
          <w:sz w:val="20"/>
          <w:lang w:val="fr-CA"/>
        </w:rPr>
        <w:t>Privilège pour les sources humaines du SCRS</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bidi="en-US"/>
        </w:rPr>
      </w:pPr>
      <w:r w:rsidRPr="001B0E4D">
        <w:rPr>
          <w:sz w:val="20"/>
          <w:lang w:val="fr-CA"/>
        </w:rPr>
        <w:tab/>
      </w:r>
      <w:r w:rsidRPr="001B0E4D">
        <w:rPr>
          <w:sz w:val="20"/>
          <w:lang w:val="fr-CA" w:bidi="en-US"/>
        </w:rPr>
        <w:t>Les sources humaines du SCRS ne sont pas protégées par un privilège générique.</w:t>
      </w:r>
      <w:r w:rsidRPr="001B0E4D">
        <w:rPr>
          <w:sz w:val="20"/>
          <w:lang w:val="fr-CA"/>
        </w:rPr>
        <w:t xml:space="preserve">  Premièrement, le privilège relatif aux indicateurs de police ne vaut pas pour les sources humaines du SCRS.  Les différences entre le travail classique des policiers et la collecte moderne de renseignements empêchent d’appliquer systématiquement le privilège d’indicateur de police traditionnel aux sources humaines du SCRS.</w:t>
      </w:r>
      <w:r w:rsidRPr="001B0E4D">
        <w:rPr>
          <w:sz w:val="20"/>
          <w:lang w:val="fr-CA" w:bidi="en-US"/>
        </w:rPr>
        <w:t xml:space="preserve"> </w:t>
      </w:r>
      <w:r w:rsidRPr="001B0E4D">
        <w:rPr>
          <w:sz w:val="20"/>
          <w:lang w:val="fr-CA"/>
        </w:rPr>
        <w:t xml:space="preserve"> Les éléments de preuve recueillis par les policiers sont traditionnellement utilisés lors de procès criminels où l’accusé dispose de garanties importantes en matière de preuve, tandis que les renseignements obtenus par le SCRS peuvent servir à établir l’existence d’une conduite criminelle dans une instance où les règles de preuve sont souples et permettent d’admettre une preuve par ouï</w:t>
      </w:r>
      <w:r w:rsidRPr="001B0E4D">
        <w:rPr>
          <w:sz w:val="20"/>
          <w:lang w:val="fr-CA"/>
        </w:rPr>
        <w:noBreakHyphen/>
        <w:t>dire.  Deuxièmement, la Cour ne devrait pas créer</w:t>
      </w:r>
      <w:r w:rsidRPr="001B0E4D">
        <w:rPr>
          <w:sz w:val="20"/>
          <w:lang w:val="fr-CA" w:bidi="en-US"/>
        </w:rPr>
        <w:t xml:space="preserve"> un nouveau privilège pour les sources humaines du SCRS. </w:t>
      </w:r>
      <w:r w:rsidRPr="001B0E4D">
        <w:rPr>
          <w:sz w:val="20"/>
          <w:lang w:val="fr-CA"/>
        </w:rPr>
        <w:t xml:space="preserve"> Si le législateur juge souhaitable de protéger au moyen d’un privilège l’identité des sources humaines du SCRS et les renseignements connexes, il peut adopter les mesures de protection voulues.  Le régime établi par la </w:t>
      </w:r>
      <w:r w:rsidRPr="001B0E4D">
        <w:rPr>
          <w:i/>
          <w:sz w:val="20"/>
          <w:lang w:val="fr-CA"/>
        </w:rPr>
        <w:t>LIPR</w:t>
      </w:r>
      <w:r w:rsidRPr="001B0E4D">
        <w:rPr>
          <w:sz w:val="20"/>
          <w:lang w:val="fr-CA"/>
        </w:rPr>
        <w:t xml:space="preserve"> accorde déjà aux sources humaines une grande protection en interdisant de rendre publics des renseignements dont la divulgation porterait atteinte à la sécurité nationale ou à la sécurité d’autrui.</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bidi="en-US"/>
        </w:rPr>
      </w:pPr>
      <w:r w:rsidRPr="001B0E4D">
        <w:rPr>
          <w:sz w:val="20"/>
          <w:lang w:val="fr-CA"/>
        </w:rPr>
        <w:tab/>
        <w:t xml:space="preserve">Même si </w:t>
      </w:r>
      <w:r w:rsidRPr="001B0E4D">
        <w:rPr>
          <w:sz w:val="20"/>
          <w:lang w:val="fr-CA" w:bidi="en-US"/>
        </w:rPr>
        <w:t xml:space="preserve">l’identité des sources humaines du SCRS n’est pas protégée par un privilège, les avocats </w:t>
      </w:r>
      <w:r w:rsidRPr="001B0E4D">
        <w:rPr>
          <w:sz w:val="20"/>
          <w:lang w:val="fr-CA"/>
        </w:rPr>
        <w:t>spéciaux</w:t>
      </w:r>
      <w:r w:rsidRPr="001B0E4D">
        <w:rPr>
          <w:sz w:val="20"/>
          <w:lang w:val="fr-CA" w:bidi="en-US"/>
        </w:rPr>
        <w:t xml:space="preserve"> n’ont pas pour autant un droit illimité de questionner et de contre</w:t>
      </w:r>
      <w:r w:rsidRPr="001B0E4D">
        <w:rPr>
          <w:sz w:val="20"/>
          <w:lang w:val="fr-CA" w:bidi="en-US"/>
        </w:rPr>
        <w:noBreakHyphen/>
        <w:t>interroger ces sources.</w:t>
      </w:r>
      <w:r w:rsidRPr="001B0E4D">
        <w:rPr>
          <w:sz w:val="20"/>
          <w:lang w:val="fr-CA"/>
        </w:rPr>
        <w:t xml:space="preserve">  Le pouvoir discrétionnaire du juge désigné d’autoriser les avocats spéciaux à </w:t>
      </w:r>
      <w:r w:rsidRPr="001B0E4D">
        <w:rPr>
          <w:sz w:val="20"/>
          <w:lang w:val="fr-CA" w:bidi="en-US"/>
        </w:rPr>
        <w:t>questionner et à contre</w:t>
      </w:r>
      <w:r w:rsidRPr="001B0E4D">
        <w:rPr>
          <w:sz w:val="20"/>
          <w:lang w:val="fr-CA" w:bidi="en-US"/>
        </w:rPr>
        <w:noBreakHyphen/>
        <w:t>interroger les sources humaines lors d’audiences à huis clos devrait être exercé en dernier recours.  Une pratique qui consisterait à assigner systématiquement les sources humaines du SCRS à témoigner devant un tribunal, même uniquement lors d’audience à huis clos, pourrait refroidir les ardeurs de sources potentielles et nuire à la capacité du SCRS d’en recruter de nouvelles.</w:t>
      </w:r>
      <w:r w:rsidRPr="001B0E4D">
        <w:rPr>
          <w:sz w:val="20"/>
          <w:lang w:val="fr-CA"/>
        </w:rPr>
        <w:t xml:space="preserve">  </w:t>
      </w:r>
      <w:r w:rsidRPr="001B0E4D">
        <w:rPr>
          <w:sz w:val="20"/>
          <w:lang w:val="fr-CA" w:bidi="en-US"/>
        </w:rPr>
        <w:t>Il est inutile en l’espèce que la Cour autorise la mesure exceptionnelle qui consiste à questionner et à contre</w:t>
      </w:r>
      <w:r w:rsidRPr="001B0E4D">
        <w:rPr>
          <w:sz w:val="20"/>
          <w:lang w:val="fr-CA" w:bidi="en-US"/>
        </w:rPr>
        <w:noBreakHyphen/>
        <w:t xml:space="preserve">interroger les sources humaines.  </w:t>
      </w:r>
    </w:p>
    <w:p w:rsidR="00FC08A1" w:rsidRPr="001B0E4D" w:rsidRDefault="00FC08A1" w:rsidP="00FC08A1">
      <w:pPr>
        <w:pStyle w:val="SCCNormalDoubleSpacing"/>
        <w:spacing w:line="240" w:lineRule="auto"/>
        <w:rPr>
          <w:sz w:val="20"/>
          <w:lang w:val="fr-CA" w:bidi="en-US"/>
        </w:rPr>
      </w:pPr>
    </w:p>
    <w:p w:rsidR="00FC08A1" w:rsidRPr="001B0E4D" w:rsidRDefault="00FC08A1" w:rsidP="00FC08A1">
      <w:pPr>
        <w:pStyle w:val="SCCNormalDoubleSpacing"/>
        <w:keepNext/>
        <w:spacing w:line="240" w:lineRule="auto"/>
        <w:rPr>
          <w:i/>
          <w:sz w:val="20"/>
          <w:lang w:val="fr-CA"/>
        </w:rPr>
      </w:pPr>
      <w:r w:rsidRPr="001B0E4D">
        <w:rPr>
          <w:i/>
          <w:sz w:val="20"/>
          <w:lang w:val="fr-CA"/>
        </w:rPr>
        <w:t>Résumés</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bidi="en-US"/>
        </w:rPr>
      </w:pPr>
      <w:r w:rsidRPr="001B0E4D">
        <w:rPr>
          <w:sz w:val="20"/>
          <w:lang w:val="fr-CA"/>
        </w:rPr>
        <w:tab/>
      </w:r>
      <w:r w:rsidRPr="001B0E4D">
        <w:rPr>
          <w:sz w:val="20"/>
          <w:lang w:val="fr-CA" w:bidi="en-US"/>
        </w:rPr>
        <w:t>La réparation qu’il convient d’accorder pour la destruction des documents en application de la politique OPS</w:t>
      </w:r>
      <w:r w:rsidRPr="001B0E4D">
        <w:rPr>
          <w:sz w:val="20"/>
          <w:lang w:val="fr-CA" w:bidi="en-US"/>
        </w:rPr>
        <w:noBreakHyphen/>
        <w:t>217 du SCRS doit être évaluée au cas par cas et doit être conçue pour remédier à l’effet préjudiciable qu’elle a eu sur la cause de la personne visée.  Les résumés des documents détruits en application de la politique OPS</w:t>
      </w:r>
      <w:r w:rsidRPr="001B0E4D">
        <w:rPr>
          <w:sz w:val="20"/>
          <w:lang w:val="fr-CA" w:bidi="en-US"/>
        </w:rPr>
        <w:noBreakHyphen/>
        <w:t xml:space="preserve">217 ne </w:t>
      </w:r>
      <w:r w:rsidRPr="001B0E4D">
        <w:rPr>
          <w:sz w:val="20"/>
          <w:lang w:val="fr-CA" w:bidi="en-US"/>
        </w:rPr>
        <w:lastRenderedPageBreak/>
        <w:t xml:space="preserve">devraient être exclus en application du par. 24(1) de la </w:t>
      </w:r>
      <w:r w:rsidRPr="001B0E4D">
        <w:rPr>
          <w:i/>
          <w:sz w:val="20"/>
          <w:lang w:val="fr-CA" w:bidi="en-US"/>
        </w:rPr>
        <w:t>Charte</w:t>
      </w:r>
      <w:r w:rsidRPr="001B0E4D">
        <w:rPr>
          <w:sz w:val="20"/>
          <w:lang w:val="fr-CA" w:bidi="en-US"/>
        </w:rPr>
        <w:t xml:space="preserve"> que lorsque leur utilisation rendrait le procès inéquitable ou minerait autrement l’intégrité du système de justice.  En l’espèce, le juge désigné n’a pas commis d’erreur en refusant d’exclure les résumés des conversations interceptées produits en preuve par les ministres</w:t>
      </w:r>
      <w:r w:rsidRPr="001B0E4D">
        <w:rPr>
          <w:sz w:val="20"/>
          <w:lang w:val="fr-CA"/>
        </w:rPr>
        <w:t xml:space="preserve">.  Bien que, en raison de la destruction des documents opérationnels originaux du SCRS, les ministres n’aient pas satisfait à leurs obligations en matière de communication envers H et aient donc contrevenu à l’art. 7 de la </w:t>
      </w:r>
      <w:r w:rsidRPr="001B0E4D">
        <w:rPr>
          <w:i/>
          <w:sz w:val="20"/>
          <w:lang w:val="fr-CA"/>
        </w:rPr>
        <w:t>Charte</w:t>
      </w:r>
      <w:r w:rsidRPr="001B0E4D">
        <w:rPr>
          <w:sz w:val="20"/>
          <w:lang w:val="fr-CA"/>
        </w:rPr>
        <w:t xml:space="preserve">, </w:t>
      </w:r>
      <w:r w:rsidRPr="001B0E4D">
        <w:rPr>
          <w:sz w:val="20"/>
          <w:lang w:val="fr-CA" w:bidi="en-US"/>
        </w:rPr>
        <w:t xml:space="preserve">l’exclusion des résumés n’est pas nécessaire pour remédier à l’atteinte à la capacité de H de connaître la preuve qui pèse contre lui et d’y répondre ou pour sauvegarder l’intégrité du système de justice.  La communication d’une version caviardée des résumés à M. Harkat et d’une version intégrale à ses avocats spéciaux était suffisante pour empêcher qu’il soit porté atteinte de manière importante à la capacité de M. Harkat de connaître la preuve qui pèse contre lui et d’y répondre.  </w:t>
      </w:r>
    </w:p>
    <w:p w:rsidR="00FC08A1" w:rsidRPr="001B0E4D" w:rsidRDefault="00FC08A1" w:rsidP="00FC08A1">
      <w:pPr>
        <w:pStyle w:val="SCCNormalDoubleSpacing"/>
        <w:spacing w:line="240" w:lineRule="auto"/>
        <w:rPr>
          <w:sz w:val="20"/>
          <w:lang w:val="fr-CA"/>
        </w:rPr>
      </w:pPr>
    </w:p>
    <w:p w:rsidR="00FC08A1" w:rsidRPr="001B0E4D" w:rsidRDefault="00FC08A1" w:rsidP="00FC08A1">
      <w:pPr>
        <w:pStyle w:val="SCCNormalDoubleSpacing"/>
        <w:keepNext/>
        <w:spacing w:line="240" w:lineRule="auto"/>
        <w:rPr>
          <w:i/>
          <w:sz w:val="20"/>
          <w:lang w:val="fr-CA"/>
        </w:rPr>
      </w:pPr>
      <w:r w:rsidRPr="001B0E4D">
        <w:rPr>
          <w:i/>
          <w:sz w:val="20"/>
          <w:lang w:val="fr-CA"/>
        </w:rPr>
        <w:t>Obligations de franchise et de bonne foi la plus absolue, et équité du processus</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rPr>
      </w:pPr>
      <w:r w:rsidRPr="001B0E4D">
        <w:rPr>
          <w:sz w:val="20"/>
          <w:lang w:val="fr-CA"/>
        </w:rPr>
        <w:tab/>
        <w:t xml:space="preserve">Les obligations de franchise et de bonne foi la plus absolue s’appliquent lorsqu’une partie se fonde sur des éléments de preuve durant des procédures </w:t>
      </w:r>
      <w:r w:rsidRPr="001B0E4D">
        <w:rPr>
          <w:i/>
          <w:sz w:val="20"/>
          <w:lang w:val="fr-CA"/>
        </w:rPr>
        <w:t>ex parte</w:t>
      </w:r>
      <w:r w:rsidRPr="001B0E4D">
        <w:rPr>
          <w:sz w:val="20"/>
          <w:lang w:val="fr-CA"/>
        </w:rPr>
        <w:t xml:space="preserve">.  Elles supposent que la partie qui y est tenue fasse des efforts constants pour mettre à jour les renseignements et la preuve relatifs à la personne visée et ce, tout au long des procédures.  </w:t>
      </w:r>
      <w:r w:rsidRPr="001B0E4D">
        <w:rPr>
          <w:sz w:val="20"/>
          <w:lang w:val="fr-CA" w:bidi="en-US"/>
        </w:rPr>
        <w:t xml:space="preserve">Ce qui équivaut à des efforts raisonnables dépendra des faits de chaque cas; </w:t>
      </w:r>
      <w:r w:rsidRPr="001B0E4D">
        <w:rPr>
          <w:sz w:val="20"/>
          <w:lang w:val="fr-CA"/>
        </w:rPr>
        <w:t>toutefois, les ministres n’ont aucune obligation générale de communiquer des éléments de preuve ou des renseignements dont ils n’ont pas le contrôle.  En l’espèce, les ministres ont fait des efforts raisonnables et n’ont pas manqué à ces obligations.  La procédure contre H a été équitable et il n’y a pas lieu d’accorder un arrêt des procédures.</w:t>
      </w:r>
    </w:p>
    <w:p w:rsidR="00FC08A1" w:rsidRPr="001B0E4D" w:rsidRDefault="00FC08A1" w:rsidP="00FC08A1">
      <w:pPr>
        <w:pStyle w:val="SCCNormalDoubleSpacing"/>
        <w:spacing w:line="240" w:lineRule="auto"/>
        <w:rPr>
          <w:sz w:val="20"/>
          <w:lang w:val="fr-CA"/>
        </w:rPr>
      </w:pPr>
    </w:p>
    <w:p w:rsidR="00FC08A1" w:rsidRPr="001B0E4D" w:rsidRDefault="00FC08A1" w:rsidP="00FC08A1">
      <w:pPr>
        <w:pStyle w:val="SCCNormalDoubleSpacing"/>
        <w:keepNext/>
        <w:spacing w:line="240" w:lineRule="auto"/>
        <w:rPr>
          <w:sz w:val="20"/>
          <w:lang w:val="fr-CA"/>
        </w:rPr>
      </w:pPr>
      <w:r w:rsidRPr="001B0E4D">
        <w:rPr>
          <w:i/>
          <w:sz w:val="20"/>
          <w:lang w:val="fr-CA"/>
        </w:rPr>
        <w:t>Caractère raisonnable du certificat</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 xml:space="preserve">Le juge désigné n’a commis aucune erreur susceptible de contrôle en concluant au caractère raisonnable de la décision des ministres d’interdire H de territoire au Canada.  Les tribunaux d’appel doivent faire preuve de déférence lorsqu’ils sont appelés à se prononcer sur la mise en balance de la preuve factuelle par le juge désigné et n’intervenir à cet égard que si ce dernier a commis une erreur manifeste et dominante.  Le juge désigné n’a commis aucune erreur manifeste et dominante lorsqu’il a soupesé les éléments de preuve ou évalué la crédibilité de H, deux éléments qui, à ses yeux, donnaient des motifs raisonnables de conclure à l’interdiction de territoire de H.  </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r>
      <w:r w:rsidRPr="001B0E4D">
        <w:rPr>
          <w:i/>
          <w:sz w:val="20"/>
          <w:lang w:val="fr-CA"/>
        </w:rPr>
        <w:t>Les</w:t>
      </w:r>
      <w:r w:rsidRPr="001B0E4D">
        <w:rPr>
          <w:sz w:val="20"/>
          <w:lang w:val="fr-CA"/>
        </w:rPr>
        <w:t xml:space="preserve"> juges </w:t>
      </w:r>
      <w:r w:rsidRPr="001B0E4D">
        <w:rPr>
          <w:b/>
          <w:sz w:val="20"/>
          <w:lang w:val="fr-CA"/>
        </w:rPr>
        <w:t>Abella</w:t>
      </w:r>
      <w:r w:rsidRPr="001B0E4D">
        <w:rPr>
          <w:sz w:val="20"/>
          <w:lang w:val="fr-CA"/>
        </w:rPr>
        <w:t xml:space="preserve"> et </w:t>
      </w:r>
      <w:r w:rsidRPr="001B0E4D">
        <w:rPr>
          <w:b/>
          <w:sz w:val="20"/>
          <w:lang w:val="fr-CA"/>
        </w:rPr>
        <w:t xml:space="preserve">Cromwell </w:t>
      </w:r>
      <w:r w:rsidRPr="001B0E4D">
        <w:rPr>
          <w:sz w:val="20"/>
          <w:lang w:val="fr-CA"/>
        </w:rPr>
        <w:t xml:space="preserve">(dissidents en partie quant au pourvoi) : La personne qui offre des renseignements au sujet d’une menace terroriste le fait souvent au péril de sa vie si son identité est dévoilée.  Lui offrir la possibilité de garder l’anonymat uniquement si un tribunal accepte par la suite de protéger son identité, c’est l’obliger à choisir entre courir le risque de subir un préjudice personnel si son identité n’est pas protégée et risquer de mettre en danger la population en s’abstenant de divulguer les renseignements.  </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Les indicateurs du SCRS qui fournissent des renseignements relatifs à la sécurité nationale après avoir reçu une promesse d’anonymat ont droit à l’assurance que leur identité sera protégée.  Seul un privilège générique peut offrir une telle garantie, comme c’est le cas dans le contexte des causes en matière criminelle.  Avec une approche au cas par cas, l’indicateur ignore si la promesse sera tenue jusqu’à ce qu’un juge procède à un examen rétrospectif.  Cela ne concourt guère à encourager les indicateurs à risquer leur vie en offrant des renseignements hautement sensibles dans des causes relatives au terrorisme.</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Le privilège relatif aux indicateurs est reconnu par la jurisprudence depuis plus de deux siècles et vise un double objectif : la protection d’un canal d’information, d’une part, et la sécurité de ceux qui fournissent les renseignements, d’autre part.  Ce privilège a été appliqué dans d’autres contextes que les poursuites criminelles, dont celui des commissions d’enquête.  Le privilège qui protège les indicateurs dans le contexte d’enquêtes menées par des représentants de l’État quant à des questions de sécurité nationale est bien établi.  Avant que le SCRS ne soit créé à titre d’organisme indépendant, la fonction en matière de renseignement dont il s’acquitte maintenant était assumée par le Service de sécurité de la GRC, et le privilège relatif aux indicateurs s’appliquait aux indicateurs de ce service.  Bien que les fonctions du SCRS et celles de la GRC soient distinctes, le fondement de l’existence du privilège relatif aux indicateurs s’applique tout autant au travail de l’un qu’à celui de l’autre.  Le transfert des fonctions du Service de sécurité de la GRC au SCRS ne devrait avoir aucune incidence sur la poursuite ou non de l’existence du privilège.</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 xml:space="preserve">Le privilège relatif aux indicateurs du SCRS n’a pas été abrogé par la loi.  Pour abroger un privilège reconnu par la common law, le législateur doit exprimer clairement son intention de le faire.  La </w:t>
      </w:r>
      <w:r w:rsidRPr="001B0E4D">
        <w:rPr>
          <w:i/>
          <w:sz w:val="20"/>
          <w:lang w:val="fr-CA"/>
        </w:rPr>
        <w:t>LIPR</w:t>
      </w:r>
      <w:r w:rsidRPr="001B0E4D">
        <w:rPr>
          <w:sz w:val="20"/>
          <w:lang w:val="fr-CA"/>
        </w:rPr>
        <w:t xml:space="preserve"> ne fait pas référence au </w:t>
      </w:r>
      <w:r w:rsidRPr="001B0E4D">
        <w:rPr>
          <w:sz w:val="20"/>
          <w:lang w:val="fr-CA"/>
        </w:rPr>
        <w:lastRenderedPageBreak/>
        <w:t xml:space="preserve">privilège relatif aux indicateurs et elle n’exprime pas une intention claire de priver les indicateurs du SCRS des avantages qu’il procure.  </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1B0E4D">
        <w:rPr>
          <w:sz w:val="20"/>
          <w:lang w:val="fr-CA"/>
        </w:rPr>
        <w:tab/>
        <w:t>Compte tenu de l’importance des intérêts en jeu dans le contexte des certificats de sécurité, il serait approprié de reconnaître l’existence d’une exception limitée, conçue spécifiquement pour le processus applicable aux certificats de sécurité et dont la portée se limiterait à la divulgation à l’avocat spécial et ne viserait pas le sujet des procédures.  L’identité ne devrait être communiquée que si le juge siégeant en révision est convaincu que d’autres mesures, y compris le retrait de l’essentiel du témoignage de l’indicateur des éléments pris en compte au soutien du certificat, ne sont pas suffisantes pour garantir une issue équitable.  Même lorsque la communication de l’identité est ordonnée, la source ne devrait pas être contre</w:t>
      </w:r>
      <w:r w:rsidRPr="001B0E4D">
        <w:rPr>
          <w:sz w:val="20"/>
          <w:lang w:val="fr-CA"/>
        </w:rPr>
        <w:noBreakHyphen/>
        <w:t>interrogée par l’avocat spécial.  Exiger qu’une source humaine témoigne refroidirait considérablement la volonté d’autres sources de collaborer avec les autorités et mettrait sans aucun doute à mal la relation entre le SCRS et la source assignée à témoigner.  Les agents du SCRS doivent pouvoir donner à leurs sources l’assurance ferme que leur identité ne sera pas révélée et non pas des assurances vagues assorties de conditions.  En outre, les sources humaines elles</w:t>
      </w:r>
      <w:r w:rsidRPr="001B0E4D">
        <w:rPr>
          <w:sz w:val="20"/>
          <w:lang w:val="fr-CA"/>
        </w:rPr>
        <w:noBreakHyphen/>
        <w:t>mêmes, qui ne sont pas assujetties à l’habilitation de sécurité obligatoire, pourraient prendre connaissance d’information sensible durant les procédures à huis clos et le SCRS serait dès lors incapable d’en assurer le contrôle.</w:t>
      </w:r>
    </w:p>
    <w:p w:rsidR="00FC08A1" w:rsidRDefault="00FC08A1" w:rsidP="00FC08A1">
      <w:pPr>
        <w:pStyle w:val="SCCNormalDoubleSpacing"/>
        <w:spacing w:line="240" w:lineRule="auto"/>
        <w:rPr>
          <w:sz w:val="20"/>
          <w:lang w:val="fr-CA"/>
        </w:rPr>
      </w:pPr>
    </w:p>
    <w:p w:rsidR="00FC08A1" w:rsidRDefault="00FC08A1" w:rsidP="00FC08A1">
      <w:pPr>
        <w:pStyle w:val="SCCNormalDoubleSpacing"/>
        <w:spacing w:line="240" w:lineRule="auto"/>
        <w:rPr>
          <w:sz w:val="20"/>
          <w:lang w:val="fr-CA"/>
        </w:rPr>
      </w:pPr>
      <w:r w:rsidRPr="001B0E4D">
        <w:rPr>
          <w:sz w:val="20"/>
          <w:lang w:val="fr-CA"/>
        </w:rPr>
        <w:tab/>
        <w:t xml:space="preserve">Nous sommes donc d’avis d’accueillir le pourvoi des ministres en ce qui a trait à la question du privilège relatif à l’indicateur et de rétablir la décision du juge désigné à cet égard.  </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sz w:val="20"/>
          <w:lang w:val="fr-CA"/>
        </w:rPr>
      </w:pPr>
      <w:r w:rsidRPr="00FC08A1">
        <w:rPr>
          <w:sz w:val="20"/>
          <w:lang w:val="fr-CA"/>
        </w:rPr>
        <w:tab/>
        <w:t>POURVOI et POURVOI INCIDENT contre un arrêt de la Cour d’appel fédérale (le juge en chef Blais et les juges Létourneau et Layden</w:t>
      </w:r>
      <w:r w:rsidRPr="00FC08A1">
        <w:rPr>
          <w:sz w:val="20"/>
          <w:lang w:val="fr-CA"/>
        </w:rPr>
        <w:noBreakHyphen/>
        <w:t>Stevenson), 2012 CAF 122, [2012] 3 R.C.F. 635, 349 D.L.R. (4th) 519, 7 Imm. L.R. (4th) 175, 429 N.R. 1, 260 C.R.R. (2d) 290, [2012] A.C.F. n</w:t>
      </w:r>
      <w:r w:rsidRPr="00FC08A1">
        <w:rPr>
          <w:sz w:val="20"/>
          <w:vertAlign w:val="superscript"/>
          <w:lang w:val="fr-CA"/>
        </w:rPr>
        <w:t>o</w:t>
      </w:r>
      <w:r w:rsidRPr="00FC08A1">
        <w:rPr>
          <w:sz w:val="20"/>
          <w:lang w:val="fr-CA"/>
        </w:rPr>
        <w:t> 492 (QL), 2012 CarswellNat 1156, qui a infirmé trois décisions du juge Noël, 2009 CF 204, [2009] 4 R.C.F. 370, 339 F.T.R. 65, 306 D.L.R. (4th) 269, 78 Imm. L.R. (3d) 303, [2008] A.C.F. n</w:t>
      </w:r>
      <w:r w:rsidRPr="00FC08A1">
        <w:rPr>
          <w:sz w:val="20"/>
          <w:vertAlign w:val="superscript"/>
          <w:lang w:val="fr-CA"/>
        </w:rPr>
        <w:t>o</w:t>
      </w:r>
      <w:r w:rsidRPr="00FC08A1">
        <w:rPr>
          <w:sz w:val="20"/>
          <w:lang w:val="fr-CA"/>
        </w:rPr>
        <w:t> 1823 (QL), 2008 CarswellNat 5667; 2010 CF 1241, [2012] 3 R.C.F. 251, 380 F.T.R. 61, [2010] A.C.F. n</w:t>
      </w:r>
      <w:r w:rsidRPr="00FC08A1">
        <w:rPr>
          <w:sz w:val="20"/>
          <w:vertAlign w:val="superscript"/>
          <w:lang w:val="fr-CA"/>
        </w:rPr>
        <w:t>o</w:t>
      </w:r>
      <w:r w:rsidRPr="00FC08A1">
        <w:rPr>
          <w:sz w:val="20"/>
          <w:lang w:val="fr-CA"/>
        </w:rPr>
        <w:t xml:space="preserve"> 1426 (QL), 2010 CarswellNat 4700; et 2010 CF 1243, 380 F.T.R. 255, 224 C.R.R. (2d) 167, 95 Imm. L.R. (3d) 1, [2010] A.C.F. n</w:t>
      </w:r>
      <w:r w:rsidRPr="00FC08A1">
        <w:rPr>
          <w:sz w:val="20"/>
          <w:vertAlign w:val="superscript"/>
          <w:lang w:val="fr-CA"/>
        </w:rPr>
        <w:t>o</w:t>
      </w:r>
      <w:r w:rsidRPr="00FC08A1">
        <w:rPr>
          <w:sz w:val="20"/>
          <w:lang w:val="fr-CA"/>
        </w:rPr>
        <w:t> 1428 (QL), 2010 CarswellNat 5849; et qui a confirmé une décision du juge Noël, 2010 CF 1242, [2012] 3 R.C.F. 432, 380 F.T.R. 163, 224 C.R.R. (2d) 93, 94 Imm. L.R. (3d) 179, [2010] A.C.F. n</w:t>
      </w:r>
      <w:r w:rsidRPr="00FC08A1">
        <w:rPr>
          <w:sz w:val="20"/>
          <w:vertAlign w:val="superscript"/>
          <w:lang w:val="fr-CA"/>
        </w:rPr>
        <w:t>o</w:t>
      </w:r>
      <w:r w:rsidRPr="00FC08A1">
        <w:rPr>
          <w:sz w:val="20"/>
          <w:lang w:val="fr-CA"/>
        </w:rPr>
        <w:t xml:space="preserve"> 1427 (QL), 2010 CarswellNat 4715.  </w:t>
      </w:r>
      <w:r w:rsidRPr="001B0E4D">
        <w:rPr>
          <w:sz w:val="20"/>
          <w:lang w:val="fr-CA"/>
        </w:rPr>
        <w:t xml:space="preserve">Pourvoi accueilli en partie, les juges Abella et Cromwell sont dissidents en partie.  Pourvoi incident rejeté.  </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Urszula Kaczmarczyk</w:t>
      </w:r>
      <w:r w:rsidRPr="001B0E4D">
        <w:rPr>
          <w:rStyle w:val="SCCCounselPartyRoleChar"/>
          <w:sz w:val="20"/>
          <w:lang w:val="fr-CA"/>
        </w:rPr>
        <w:t xml:space="preserve">, </w:t>
      </w:r>
      <w:r w:rsidRPr="001B0E4D">
        <w:rPr>
          <w:rStyle w:val="SCCCounselPartyRoleChar"/>
          <w:i/>
          <w:sz w:val="20"/>
          <w:lang w:val="fr-CA"/>
        </w:rPr>
        <w:t>c.r.</w:t>
      </w:r>
      <w:r w:rsidRPr="001B0E4D">
        <w:rPr>
          <w:rStyle w:val="SCCCounselPartyRoleChar"/>
          <w:sz w:val="20"/>
          <w:lang w:val="fr-CA"/>
        </w:rPr>
        <w:t xml:space="preserve">, </w:t>
      </w:r>
      <w:r w:rsidRPr="001B0E4D">
        <w:rPr>
          <w:rStyle w:val="SCCCounselPartyRoleChar"/>
          <w:i/>
          <w:sz w:val="20"/>
          <w:lang w:val="fr-CA"/>
        </w:rPr>
        <w:t>Robert Frater</w:t>
      </w:r>
      <w:r w:rsidRPr="001B0E4D">
        <w:rPr>
          <w:rStyle w:val="SCCCounselPartyRoleChar"/>
          <w:sz w:val="20"/>
          <w:lang w:val="fr-CA"/>
        </w:rPr>
        <w:t xml:space="preserve">, </w:t>
      </w:r>
      <w:r w:rsidRPr="001B0E4D">
        <w:rPr>
          <w:rStyle w:val="SCCCounselPartyRoleChar"/>
          <w:i/>
          <w:sz w:val="20"/>
          <w:lang w:val="fr-CA"/>
        </w:rPr>
        <w:t>Marianne Zoric</w:t>
      </w:r>
      <w:r w:rsidRPr="001B0E4D">
        <w:rPr>
          <w:rStyle w:val="SCCCounselPartyRoleChar"/>
          <w:sz w:val="20"/>
          <w:lang w:val="fr-CA"/>
        </w:rPr>
        <w:t xml:space="preserve"> et </w:t>
      </w:r>
      <w:r w:rsidRPr="001B0E4D">
        <w:rPr>
          <w:rStyle w:val="SCCCounselPartyRoleChar"/>
          <w:i/>
          <w:sz w:val="20"/>
          <w:lang w:val="fr-CA"/>
        </w:rPr>
        <w:t>André Séguin</w:t>
      </w:r>
      <w:r w:rsidRPr="001B0E4D">
        <w:rPr>
          <w:rStyle w:val="SCCCounselPartyRoleChar"/>
          <w:sz w:val="20"/>
          <w:lang w:val="fr-CA"/>
        </w:rPr>
        <w:t>, pour les appelants/intimés au pourvoi incident.</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Matthew C. Webber</w:t>
      </w:r>
      <w:r w:rsidRPr="001B0E4D">
        <w:rPr>
          <w:rStyle w:val="SCCCounselSeparatorChar"/>
          <w:sz w:val="20"/>
        </w:rPr>
        <w:t xml:space="preserve">, </w:t>
      </w:r>
      <w:r w:rsidRPr="001B0E4D">
        <w:rPr>
          <w:rStyle w:val="SCCCounselNameChar"/>
          <w:sz w:val="20"/>
          <w:lang w:val="fr-CA"/>
        </w:rPr>
        <w:t xml:space="preserve">Norman D. Boxall, Meaghan Thomas </w:t>
      </w:r>
      <w:r w:rsidRPr="001B0E4D">
        <w:rPr>
          <w:rStyle w:val="SCCCounselSeparatorChar"/>
          <w:sz w:val="20"/>
        </w:rPr>
        <w:t xml:space="preserve">et </w:t>
      </w:r>
      <w:r w:rsidRPr="001B0E4D">
        <w:rPr>
          <w:rStyle w:val="SCCCounselNameChar"/>
          <w:sz w:val="20"/>
          <w:lang w:val="fr-CA"/>
        </w:rPr>
        <w:t>Leo Russomanno</w:t>
      </w:r>
      <w:r w:rsidRPr="001B0E4D">
        <w:rPr>
          <w:rStyle w:val="SCCCounselPartyRoleChar"/>
          <w:sz w:val="20"/>
          <w:lang w:val="fr-CA"/>
        </w:rPr>
        <w:t>, pour l’intimé/appelant au pourvoi incident.</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Robert W. Hubbard</w:t>
      </w:r>
      <w:r w:rsidRPr="001B0E4D">
        <w:rPr>
          <w:rStyle w:val="SCCCounselSeparatorChar"/>
          <w:sz w:val="20"/>
        </w:rPr>
        <w:t xml:space="preserve"> et </w:t>
      </w:r>
      <w:r w:rsidRPr="001B0E4D">
        <w:rPr>
          <w:rStyle w:val="SCCCounselNameChar"/>
          <w:sz w:val="20"/>
          <w:lang w:val="fr-CA"/>
        </w:rPr>
        <w:t>Greg Skerkowski</w:t>
      </w:r>
      <w:r w:rsidRPr="001B0E4D">
        <w:rPr>
          <w:rStyle w:val="SCCCounselPartyRoleChar"/>
          <w:sz w:val="20"/>
          <w:lang w:val="fr-CA"/>
        </w:rPr>
        <w:t>, pour l’intervenant le procureur général de l’Ontario.</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Nader R. Hasan</w:t>
      </w:r>
      <w:r w:rsidRPr="001B0E4D">
        <w:rPr>
          <w:rStyle w:val="SCCCounselSeparatorChar"/>
          <w:sz w:val="20"/>
        </w:rPr>
        <w:t xml:space="preserve"> et </w:t>
      </w:r>
      <w:r w:rsidRPr="001B0E4D">
        <w:rPr>
          <w:rStyle w:val="SCCCounselNameChar"/>
          <w:sz w:val="20"/>
          <w:lang w:val="fr-CA"/>
        </w:rPr>
        <w:t>Gerald Chan</w:t>
      </w:r>
      <w:r w:rsidRPr="001B0E4D">
        <w:rPr>
          <w:rStyle w:val="SCCCounselPartyRoleChar"/>
          <w:sz w:val="20"/>
          <w:lang w:val="fr-CA"/>
        </w:rPr>
        <w:t>, pour l’intervenante l’</w:t>
      </w:r>
      <w:r w:rsidRPr="001B0E4D">
        <w:rPr>
          <w:sz w:val="20"/>
          <w:lang w:val="fr-FR"/>
        </w:rPr>
        <w:t>Association des libertés civiles de la Colombie</w:t>
      </w:r>
      <w:r w:rsidRPr="001B0E4D">
        <w:rPr>
          <w:sz w:val="20"/>
          <w:lang w:val="fr-FR"/>
        </w:rPr>
        <w:noBreakHyphen/>
        <w:t>Britannique</w:t>
      </w:r>
      <w:r w:rsidRPr="001B0E4D">
        <w:rPr>
          <w:rStyle w:val="SCCCounselPartyRoleChar"/>
          <w:sz w:val="20"/>
          <w:lang w:val="fr-CA"/>
        </w:rPr>
        <w:t>.</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John Norris</w:t>
      </w:r>
      <w:r w:rsidRPr="001B0E4D">
        <w:rPr>
          <w:rStyle w:val="SCCCounselSeparatorChar"/>
          <w:sz w:val="20"/>
        </w:rPr>
        <w:t xml:space="preserve"> et </w:t>
      </w:r>
      <w:r w:rsidRPr="001B0E4D">
        <w:rPr>
          <w:rStyle w:val="SCCCounselNameChar"/>
          <w:sz w:val="20"/>
          <w:lang w:val="fr-CA"/>
        </w:rPr>
        <w:t>François Dadour</w:t>
      </w:r>
      <w:r w:rsidRPr="001B0E4D">
        <w:rPr>
          <w:rStyle w:val="SCCCounselPartyRoleChar"/>
          <w:sz w:val="20"/>
          <w:lang w:val="fr-CA"/>
        </w:rPr>
        <w:t>, pour l’intervenant le Conseil canadien des avocats de la défense.</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Anil K. Kapoor</w:t>
      </w:r>
      <w:r w:rsidRPr="001B0E4D">
        <w:rPr>
          <w:rStyle w:val="SCCCounselSeparatorChar"/>
          <w:sz w:val="20"/>
        </w:rPr>
        <w:t xml:space="preserve"> et </w:t>
      </w:r>
      <w:r w:rsidRPr="001B0E4D">
        <w:rPr>
          <w:rStyle w:val="SCCCounselNameChar"/>
          <w:sz w:val="20"/>
          <w:lang w:val="fr-CA"/>
        </w:rPr>
        <w:t>Lindsay Trevelyan</w:t>
      </w:r>
      <w:r w:rsidRPr="001B0E4D">
        <w:rPr>
          <w:rStyle w:val="SCCCounselPartyRoleChar"/>
          <w:sz w:val="20"/>
          <w:lang w:val="fr-CA"/>
        </w:rPr>
        <w:t>, pour l’intervenante l’Association canadienne des libertés civiles.</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Lorne Waldman</w:t>
      </w:r>
      <w:r w:rsidRPr="001B0E4D">
        <w:rPr>
          <w:rStyle w:val="SCCCounselSeparatorChar"/>
          <w:sz w:val="20"/>
        </w:rPr>
        <w:t xml:space="preserve">, </w:t>
      </w:r>
      <w:r w:rsidRPr="001B0E4D">
        <w:rPr>
          <w:rStyle w:val="SCCCounselNameChar"/>
          <w:sz w:val="20"/>
          <w:lang w:val="fr-CA"/>
        </w:rPr>
        <w:t>Peter Edelmann, Jacqueline Swaisland</w:t>
      </w:r>
      <w:r w:rsidRPr="001B0E4D">
        <w:rPr>
          <w:rStyle w:val="SCCCounselSeparatorChar"/>
          <w:sz w:val="20"/>
        </w:rPr>
        <w:t xml:space="preserve"> et </w:t>
      </w:r>
      <w:r w:rsidRPr="001B0E4D">
        <w:rPr>
          <w:rStyle w:val="SCCCounselNameChar"/>
          <w:sz w:val="20"/>
          <w:lang w:val="fr-CA"/>
        </w:rPr>
        <w:t>Clare Crummey</w:t>
      </w:r>
      <w:r w:rsidRPr="001B0E4D">
        <w:rPr>
          <w:rStyle w:val="SCCCounselPartyRoleChar"/>
          <w:sz w:val="20"/>
          <w:lang w:val="fr-CA"/>
        </w:rPr>
        <w:t>, pour l’intervenante l’Association du barreau canadien.</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 xml:space="preserve">Marlys A. Edwardh </w:t>
      </w:r>
      <w:r w:rsidRPr="001B0E4D">
        <w:rPr>
          <w:rStyle w:val="SCCCounselSeparatorChar"/>
          <w:sz w:val="20"/>
        </w:rPr>
        <w:t xml:space="preserve">et </w:t>
      </w:r>
      <w:r w:rsidRPr="001B0E4D">
        <w:rPr>
          <w:rStyle w:val="SCCCounselNameChar"/>
          <w:sz w:val="20"/>
          <w:lang w:val="fr-CA"/>
        </w:rPr>
        <w:t>Adriel Weaver</w:t>
      </w:r>
      <w:r w:rsidRPr="001B0E4D">
        <w:rPr>
          <w:rStyle w:val="SCCCounselPartyRoleChar"/>
          <w:sz w:val="20"/>
          <w:lang w:val="fr-CA"/>
        </w:rPr>
        <w:t>, pour l’intervenante l’Association canadienne des avocats et avocates en droit des réfugiés.</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Barbara Jackman</w:t>
      </w:r>
      <w:r w:rsidRPr="001B0E4D">
        <w:rPr>
          <w:rStyle w:val="SCCCounselSeparatorChar"/>
          <w:sz w:val="20"/>
        </w:rPr>
        <w:t xml:space="preserve">, </w:t>
      </w:r>
      <w:r w:rsidRPr="001B0E4D">
        <w:rPr>
          <w:rStyle w:val="SCCCounselNameChar"/>
          <w:sz w:val="20"/>
          <w:lang w:val="fr-CA"/>
        </w:rPr>
        <w:t>Sharryn J. Aiken</w:t>
      </w:r>
      <w:r w:rsidRPr="001B0E4D">
        <w:rPr>
          <w:rStyle w:val="SCCCounselSeparatorChar"/>
          <w:sz w:val="20"/>
        </w:rPr>
        <w:t xml:space="preserve"> et </w:t>
      </w:r>
      <w:r w:rsidRPr="001B0E4D">
        <w:rPr>
          <w:rStyle w:val="SCCCounselNameChar"/>
          <w:sz w:val="20"/>
          <w:lang w:val="fr-CA"/>
        </w:rPr>
        <w:t>Andrew J. Brouwer</w:t>
      </w:r>
      <w:r w:rsidRPr="001B0E4D">
        <w:rPr>
          <w:rStyle w:val="SCCCounselPartyRoleChar"/>
          <w:sz w:val="20"/>
          <w:lang w:val="fr-CA"/>
        </w:rPr>
        <w:t>, pour les intervenants le Conseil canadien pour les réfugiés et la Coalition pour la surveillance internationale des libertés civiles.</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lastRenderedPageBreak/>
        <w:tab/>
        <w:t>Faisal Bhabha</w:t>
      </w:r>
      <w:r w:rsidRPr="001B0E4D">
        <w:rPr>
          <w:rStyle w:val="SCCCounselSeparatorChar"/>
          <w:sz w:val="20"/>
        </w:rPr>
        <w:t xml:space="preserve"> et </w:t>
      </w:r>
      <w:r w:rsidRPr="001B0E4D">
        <w:rPr>
          <w:rStyle w:val="SCCCounselNameChar"/>
          <w:sz w:val="20"/>
          <w:lang w:val="fr-CA"/>
        </w:rPr>
        <w:t>Khalid M. Elgazzar</w:t>
      </w:r>
      <w:r w:rsidRPr="001B0E4D">
        <w:rPr>
          <w:rStyle w:val="SCCCounselPartyRoleChar"/>
          <w:sz w:val="20"/>
          <w:lang w:val="fr-CA"/>
        </w:rPr>
        <w:t>, pour l’intervenant Canadian Council on American</w:t>
      </w:r>
      <w:r w:rsidRPr="001B0E4D">
        <w:rPr>
          <w:rStyle w:val="SCCCounselPartyRoleChar"/>
          <w:sz w:val="20"/>
          <w:lang w:val="fr-CA"/>
        </w:rPr>
        <w:noBreakHyphen/>
        <w:t>Islamic Relations (</w:t>
      </w:r>
      <w:r w:rsidRPr="001B0E4D">
        <w:rPr>
          <w:sz w:val="20"/>
          <w:lang w:val="fr-CA"/>
        </w:rPr>
        <w:t>maintenant connu sous le nom de Conseil national des musulmans canadiens</w:t>
      </w:r>
      <w:r w:rsidRPr="001B0E4D">
        <w:rPr>
          <w:rStyle w:val="SCCCounselPartyRoleChar"/>
          <w:sz w:val="20"/>
          <w:lang w:val="fr-CA"/>
        </w:rPr>
        <w:t>).</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rStyle w:val="SCCCounselPartyRoleChar"/>
          <w:sz w:val="20"/>
          <w:lang w:val="fr-CA"/>
        </w:rPr>
      </w:pPr>
      <w:r w:rsidRPr="001B0E4D">
        <w:rPr>
          <w:rStyle w:val="SCCCounselNameChar"/>
          <w:sz w:val="20"/>
          <w:lang w:val="fr-CA"/>
        </w:rPr>
        <w:tab/>
        <w:t>Michael Bossin</w:t>
      </w:r>
      <w:r w:rsidRPr="001B0E4D">
        <w:rPr>
          <w:rStyle w:val="SCCCounselSeparatorChar"/>
          <w:sz w:val="20"/>
        </w:rPr>
        <w:t xml:space="preserve">, </w:t>
      </w:r>
      <w:r w:rsidRPr="001B0E4D">
        <w:rPr>
          <w:rStyle w:val="SCCCounselNameChar"/>
          <w:sz w:val="20"/>
          <w:lang w:val="fr-CA"/>
        </w:rPr>
        <w:t>Laïla Demirdache</w:t>
      </w:r>
      <w:r w:rsidRPr="001B0E4D">
        <w:rPr>
          <w:rStyle w:val="SCCCounselSeparatorChar"/>
          <w:sz w:val="20"/>
        </w:rPr>
        <w:t xml:space="preserve"> et </w:t>
      </w:r>
      <w:r w:rsidRPr="001B0E4D">
        <w:rPr>
          <w:rStyle w:val="SCCCounselNameChar"/>
          <w:sz w:val="20"/>
          <w:lang w:val="fr-CA"/>
        </w:rPr>
        <w:t>Anna Shea</w:t>
      </w:r>
      <w:r w:rsidRPr="001B0E4D">
        <w:rPr>
          <w:rStyle w:val="SCCCounselPartyRoleChar"/>
          <w:sz w:val="20"/>
          <w:lang w:val="fr-CA"/>
        </w:rPr>
        <w:t>, pour l’intervenante l’Amnistie internationale.</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rStyle w:val="SCCCounselPartyRoleChar"/>
          <w:sz w:val="20"/>
          <w:lang w:val="fr-CA"/>
        </w:rPr>
      </w:pPr>
      <w:r w:rsidRPr="001B0E4D">
        <w:rPr>
          <w:rStyle w:val="SCCCounselNameChar"/>
          <w:sz w:val="20"/>
          <w:lang w:val="fr-CA"/>
        </w:rPr>
        <w:tab/>
        <w:t>Breese Davies</w:t>
      </w:r>
      <w:r w:rsidRPr="001B0E4D">
        <w:rPr>
          <w:rStyle w:val="SCCCounselSeparatorChar"/>
          <w:sz w:val="20"/>
        </w:rPr>
        <w:t xml:space="preserve"> et </w:t>
      </w:r>
      <w:r w:rsidRPr="001B0E4D">
        <w:rPr>
          <w:rStyle w:val="SCCCounselNameChar"/>
          <w:sz w:val="20"/>
          <w:lang w:val="fr-CA"/>
        </w:rPr>
        <w:t>Erin Dann</w:t>
      </w:r>
      <w:r w:rsidRPr="001B0E4D">
        <w:rPr>
          <w:rStyle w:val="SCCCounselPartyRoleChar"/>
          <w:sz w:val="20"/>
          <w:lang w:val="fr-CA"/>
        </w:rPr>
        <w:t>, pour l’intervenante Criminal Lawyers’ Association (Ontario).</w:t>
      </w:r>
    </w:p>
    <w:p w:rsidR="00FC08A1" w:rsidRDefault="00FC08A1" w:rsidP="00FC08A1">
      <w:pPr>
        <w:pStyle w:val="SCCNormalDoubleSpacing"/>
        <w:spacing w:line="240" w:lineRule="auto"/>
        <w:rPr>
          <w:rStyle w:val="SCCCounselNameChar"/>
          <w:sz w:val="20"/>
          <w:lang w:val="fr-CA"/>
        </w:rPr>
      </w:pPr>
    </w:p>
    <w:p w:rsidR="00FC08A1" w:rsidRPr="001B0E4D" w:rsidRDefault="00FC08A1" w:rsidP="00FC08A1">
      <w:pPr>
        <w:pStyle w:val="SCCNormalDoubleSpacing"/>
        <w:spacing w:line="240" w:lineRule="auto"/>
        <w:rPr>
          <w:sz w:val="20"/>
          <w:lang w:val="fr-CA"/>
        </w:rPr>
      </w:pPr>
      <w:r w:rsidRPr="001B0E4D">
        <w:rPr>
          <w:rStyle w:val="SCCCounselNameChar"/>
          <w:sz w:val="20"/>
          <w:lang w:val="fr-CA"/>
        </w:rPr>
        <w:tab/>
        <w:t>Paul J. J. Cavalluzzo</w:t>
      </w:r>
      <w:r w:rsidRPr="001B0E4D">
        <w:rPr>
          <w:rStyle w:val="SCCCounselSeparatorChar"/>
          <w:sz w:val="20"/>
        </w:rPr>
        <w:t xml:space="preserve"> et </w:t>
      </w:r>
      <w:r w:rsidRPr="001B0E4D">
        <w:rPr>
          <w:rStyle w:val="SCCCounselNameChar"/>
          <w:sz w:val="20"/>
          <w:lang w:val="fr-CA"/>
        </w:rPr>
        <w:t>Paul D. Copeland</w:t>
      </w:r>
      <w:r w:rsidRPr="001B0E4D">
        <w:rPr>
          <w:rStyle w:val="SCCCounselPartyRoleChar"/>
          <w:sz w:val="20"/>
          <w:lang w:val="fr-CA"/>
        </w:rPr>
        <w:t>, comme avocats spéciaux.</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 xml:space="preserve">Procureur des appelants/intimés au pourvoi incident : Procureur général du Canada, Toronto et Ottawa. </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w:t>
      </w:r>
      <w:r w:rsidRPr="001B0E4D">
        <w:rPr>
          <w:rStyle w:val="SCCCounselPartyRoleChar"/>
          <w:sz w:val="20"/>
          <w:lang w:val="fr-CA"/>
        </w:rPr>
        <w:t>intimé/appelant au pourvoi incident</w:t>
      </w:r>
      <w:r w:rsidRPr="001B0E4D">
        <w:rPr>
          <w:sz w:val="20"/>
          <w:lang w:val="fr-CA"/>
        </w:rPr>
        <w:t> : Webber Schroeder Goldstein Abergel, Ottawa; Bayne, Sellar, Boxall, Ottawa.</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 de l’intervenant le procureur général de l’Ontario : Procureur général de l’Ontario, Toronto.</w:t>
      </w:r>
    </w:p>
    <w:p w:rsidR="00FC08A1" w:rsidRDefault="00FC08A1" w:rsidP="00FC08A1">
      <w:pPr>
        <w:pStyle w:val="SCCNormalDoubleSpacing"/>
        <w:spacing w:line="240" w:lineRule="auto"/>
        <w:rPr>
          <w:sz w:val="20"/>
          <w:lang w:val="fr-CA"/>
        </w:rPr>
      </w:pPr>
    </w:p>
    <w:p w:rsidR="00FC08A1" w:rsidRPr="001B0E4D" w:rsidRDefault="00FC08A1" w:rsidP="00FC08A1">
      <w:pPr>
        <w:pStyle w:val="SCCNormalDoubleSpacing"/>
        <w:spacing w:line="240" w:lineRule="auto"/>
        <w:rPr>
          <w:i/>
          <w:sz w:val="20"/>
          <w:lang w:val="fr-CA"/>
        </w:rPr>
      </w:pPr>
      <w:r w:rsidRPr="001B0E4D">
        <w:rPr>
          <w:sz w:val="20"/>
          <w:lang w:val="fr-CA"/>
        </w:rPr>
        <w:tab/>
      </w:r>
      <w:r w:rsidRPr="001B0E4D">
        <w:rPr>
          <w:i/>
          <w:sz w:val="20"/>
          <w:lang w:val="fr-CA"/>
        </w:rPr>
        <w:t xml:space="preserve">Procureurs de l’intervenante </w:t>
      </w:r>
      <w:r w:rsidRPr="001B0E4D">
        <w:rPr>
          <w:rStyle w:val="SCCCounselPartyRoleChar"/>
          <w:i/>
          <w:sz w:val="20"/>
          <w:lang w:val="fr-CA"/>
        </w:rPr>
        <w:t>l’</w:t>
      </w:r>
      <w:r w:rsidRPr="001B0E4D">
        <w:rPr>
          <w:i/>
          <w:sz w:val="20"/>
          <w:lang w:val="fr-FR"/>
        </w:rPr>
        <w:t>Association des libertés civiles de la Colombie</w:t>
      </w:r>
      <w:r w:rsidRPr="001B0E4D">
        <w:rPr>
          <w:i/>
          <w:sz w:val="20"/>
          <w:lang w:val="fr-FR"/>
        </w:rPr>
        <w:noBreakHyphen/>
        <w:t>Britannique</w:t>
      </w:r>
      <w:r w:rsidRPr="001B0E4D">
        <w:rPr>
          <w:rStyle w:val="SCCCounselPartyRoleChar"/>
          <w:i/>
          <w:sz w:val="20"/>
          <w:lang w:val="fr-CA"/>
        </w:rPr>
        <w:t> :</w:t>
      </w:r>
      <w:r w:rsidRPr="001B0E4D">
        <w:rPr>
          <w:i/>
          <w:sz w:val="20"/>
          <w:lang w:val="fr-CA"/>
        </w:rPr>
        <w:t> Ruby Shiller Chan Hasan, Toronto.</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 le Conseil canadien des avocats de la défense : John Norris, Toronto; Poupart, Dadour, Touma &amp; Associés, Montréal.</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l’intervenante l’Association canadienne des libertés civiles : Kapoor Barristers, Toronto.</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l’intervenante l’Association du barreau canadien : Waldman &amp; Associates, Toronto; Edelmann &amp; Co., Vancouver.</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l’intervenante l’Association canadienne des avocats et avocates en droit des réfugiés : Sack Goldblatt Mitchell, Toronto.</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 xml:space="preserve">Procureurs des intervenants </w:t>
      </w:r>
      <w:r w:rsidRPr="001B0E4D">
        <w:rPr>
          <w:rStyle w:val="SCCCounselPartyRoleChar"/>
          <w:sz w:val="20"/>
          <w:lang w:val="fr-CA"/>
        </w:rPr>
        <w:t>le Conseil canadien pour les réfugiés et la Coalition pour la surveillance internationale des libertés civiles</w:t>
      </w:r>
      <w:r w:rsidRPr="001B0E4D">
        <w:rPr>
          <w:sz w:val="20"/>
          <w:lang w:val="fr-CA"/>
        </w:rPr>
        <w:t> : Jackman Nazami &amp; Associates, Toronto; Université Queen’s, Kingston; Refugee Law Office, Toronto.</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 xml:space="preserve">Procureurs de l’intervenant </w:t>
      </w:r>
      <w:r w:rsidRPr="001B0E4D">
        <w:rPr>
          <w:rStyle w:val="SCCCounselPartyRoleChar"/>
          <w:sz w:val="20"/>
          <w:lang w:val="fr-CA"/>
        </w:rPr>
        <w:t>Canadian Council on American</w:t>
      </w:r>
      <w:r w:rsidRPr="001B0E4D">
        <w:rPr>
          <w:rStyle w:val="SCCCounselPartyRoleChar"/>
          <w:sz w:val="20"/>
          <w:lang w:val="fr-CA"/>
        </w:rPr>
        <w:noBreakHyphen/>
        <w:t>Islamic Relations (</w:t>
      </w:r>
      <w:r w:rsidRPr="001B0E4D">
        <w:rPr>
          <w:sz w:val="20"/>
          <w:lang w:val="fr-CA"/>
        </w:rPr>
        <w:t>maintenant connu sous le nom de Conseil national des musulmans canadiens</w:t>
      </w:r>
      <w:r w:rsidRPr="001B0E4D">
        <w:rPr>
          <w:rStyle w:val="SCCCounselPartyRoleChar"/>
          <w:sz w:val="20"/>
          <w:lang w:val="fr-CA"/>
        </w:rPr>
        <w:t>)</w:t>
      </w:r>
      <w:r w:rsidRPr="001B0E4D">
        <w:rPr>
          <w:sz w:val="20"/>
          <w:lang w:val="fr-CA"/>
        </w:rPr>
        <w:t> : Office Khalid Elgazzar, Barrister, Ottawa; Osgoode Law School of York University, Toronto.</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l’intervenante l’Amnistie internationale : Clinique juridique communautaire</w:t>
      </w:r>
      <w:r w:rsidRPr="001B0E4D">
        <w:rPr>
          <w:sz w:val="20"/>
          <w:lang w:val="fr-CA"/>
        </w:rPr>
        <w:noBreakHyphen/>
        <w:t>Ottawa Centre, Ottawa; Amnistie internationale Canada, Ottawa.</w:t>
      </w:r>
    </w:p>
    <w:p w:rsidR="00FC08A1" w:rsidRDefault="00FC08A1" w:rsidP="00FC08A1">
      <w:pPr>
        <w:pStyle w:val="SCCLawFirm"/>
        <w:spacing w:line="240" w:lineRule="auto"/>
        <w:rPr>
          <w:sz w:val="20"/>
          <w:lang w:val="fr-CA"/>
        </w:rPr>
      </w:pPr>
    </w:p>
    <w:p w:rsidR="00FC08A1" w:rsidRPr="001B0E4D" w:rsidRDefault="00FC08A1" w:rsidP="00FC08A1">
      <w:pPr>
        <w:pStyle w:val="SCCLawFirm"/>
        <w:spacing w:line="240" w:lineRule="auto"/>
        <w:rPr>
          <w:sz w:val="20"/>
          <w:lang w:val="fr-CA"/>
        </w:rPr>
      </w:pPr>
      <w:r w:rsidRPr="001B0E4D">
        <w:rPr>
          <w:sz w:val="20"/>
          <w:lang w:val="fr-CA"/>
        </w:rPr>
        <w:tab/>
        <w:t>Procureurs de l’intervenante Criminal Lawyers’ Association (Ontario) : Breese Davies Law, Toronto; Di Luca Copeland, Toronto.</w:t>
      </w:r>
    </w:p>
    <w:p w:rsidR="00FC08A1" w:rsidRDefault="00FC08A1" w:rsidP="00FC08A1">
      <w:pPr>
        <w:pStyle w:val="SCCLawFirm"/>
        <w:spacing w:line="240" w:lineRule="auto"/>
        <w:rPr>
          <w:sz w:val="20"/>
          <w:lang w:val="fr-CA"/>
        </w:rPr>
      </w:pPr>
    </w:p>
    <w:p w:rsidR="00FC08A1" w:rsidRDefault="00FC08A1" w:rsidP="00FC08A1">
      <w:pPr>
        <w:pStyle w:val="SCCLawFirm"/>
        <w:spacing w:line="240" w:lineRule="auto"/>
        <w:rPr>
          <w:sz w:val="20"/>
          <w:lang w:val="fr-CA"/>
        </w:rPr>
      </w:pPr>
      <w:r w:rsidRPr="001B0E4D">
        <w:rPr>
          <w:sz w:val="20"/>
          <w:lang w:val="fr-CA"/>
        </w:rPr>
        <w:tab/>
        <w:t xml:space="preserve">Procureurs des </w:t>
      </w:r>
      <w:r w:rsidRPr="001B0E4D">
        <w:rPr>
          <w:rStyle w:val="SCCCounselPartyRoleChar"/>
          <w:sz w:val="20"/>
          <w:lang w:val="fr-CA"/>
        </w:rPr>
        <w:t>avocats spéciaux</w:t>
      </w:r>
      <w:r w:rsidRPr="001B0E4D">
        <w:rPr>
          <w:sz w:val="20"/>
          <w:lang w:val="fr-CA"/>
        </w:rPr>
        <w:t> : Cavalluzzo Shilton McIntyre Cornish, Toronto; Copeland, Duncan, Toronto.</w:t>
      </w:r>
    </w:p>
    <w:p w:rsidR="003B3977" w:rsidRPr="00FC08A1" w:rsidRDefault="003B3977" w:rsidP="005C6840">
      <w:pPr>
        <w:rPr>
          <w:rFonts w:cs="Times New Roman"/>
          <w:sz w:val="20"/>
          <w:szCs w:val="20"/>
          <w:lang w:val="fr-CA"/>
        </w:rPr>
      </w:pPr>
    </w:p>
    <w:p w:rsidR="00902E51" w:rsidRPr="00352A49" w:rsidRDefault="00F27688" w:rsidP="00BA0DCE">
      <w:pPr>
        <w:rPr>
          <w:sz w:val="20"/>
          <w:szCs w:val="20"/>
          <w:lang w:val="fr-CA"/>
        </w:rPr>
      </w:pPr>
      <w:r>
        <w:rPr>
          <w:rFonts w:cs="Times New Roman"/>
          <w:sz w:val="20"/>
          <w:szCs w:val="20"/>
          <w:lang w:val="fr-CA"/>
        </w:rPr>
        <w:pict>
          <v:rect id="_x0000_i1114"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576" w:footer="960" w:gutter="0"/>
          <w:cols w:space="720"/>
          <w:titlePg/>
          <w:docGrid w:linePitch="272"/>
        </w:sectPr>
      </w:pPr>
    </w:p>
    <w:p w:rsidR="0081610A" w:rsidRPr="002E0C7E" w:rsidRDefault="003172C2"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21"/>
      <w:footerReference w:type="default" r:id="rId12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99" w:rsidRDefault="00724899" w:rsidP="00A87207">
      <w:r>
        <w:separator/>
      </w:r>
    </w:p>
  </w:endnote>
  <w:endnote w:type="continuationSeparator" w:id="0">
    <w:p w:rsidR="00724899" w:rsidRDefault="007248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pStyle w:val="Footer"/>
      <w:rPr>
        <w:lang w:val="fr-CA"/>
      </w:rPr>
    </w:pPr>
    <w:r>
      <w:rPr>
        <w:lang w:val="fr-CA"/>
      </w:rPr>
      <w:pict>
        <v:rect id="_x0000_i1084" style="width:480.95pt;height:1pt" o:hralign="center" o:hrstd="t" o:hrnoshade="t" o:hr="t" fillcolor="black [3213]" stroked="f"/>
      </w:pict>
    </w:r>
  </w:p>
  <w:p w:rsidR="00724899" w:rsidRDefault="00724899" w:rsidP="00245129">
    <w:pPr>
      <w:tabs>
        <w:tab w:val="center" w:pos="4680"/>
      </w:tabs>
    </w:pPr>
    <w:r>
      <w:tab/>
    </w:r>
    <w:r w:rsidRPr="0009648D">
      <w:t xml:space="preserve">- </w:t>
    </w:r>
    <w:r w:rsidR="00F27688">
      <w:fldChar w:fldCharType="begin"/>
    </w:r>
    <w:r w:rsidR="00F27688">
      <w:instrText xml:space="preserve"> PAGE   \* MERGEFORMAT </w:instrText>
    </w:r>
    <w:r w:rsidR="00F27688">
      <w:fldChar w:fldCharType="separate"/>
    </w:r>
    <w:r w:rsidR="00F27688">
      <w:rPr>
        <w:noProof/>
      </w:rPr>
      <w:t>848</w:t>
    </w:r>
    <w:r w:rsidR="00F2768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EB2B90">
    <w:pPr>
      <w:tabs>
        <w:tab w:val="center" w:pos="4680"/>
      </w:tabs>
    </w:pPr>
    <w:r>
      <w:pict>
        <v:rect id="_x0000_i1086" style="width:480.95pt;height:1pt" o:hralign="center" o:hrstd="t" o:hrnoshade="t" o:hr="t" fillcolor="black" stroked="f"/>
      </w:pict>
    </w:r>
  </w:p>
  <w:p w:rsidR="00724899" w:rsidRPr="002864CC" w:rsidRDefault="00724899" w:rsidP="00EB2B90">
    <w:pPr>
      <w:tabs>
        <w:tab w:val="center" w:pos="4680"/>
      </w:tabs>
    </w:pPr>
    <w:r w:rsidRPr="002864CC">
      <w:tab/>
      <w:t xml:space="preserve">- </w:t>
    </w:r>
    <w:r w:rsidR="00F27688">
      <w:fldChar w:fldCharType="begin"/>
    </w:r>
    <w:r w:rsidR="00F27688">
      <w:instrText xml:space="preserve"> PAGE   \* MERGEFORMAT </w:instrText>
    </w:r>
    <w:r w:rsidR="00F27688">
      <w:fldChar w:fldCharType="separate"/>
    </w:r>
    <w:r w:rsidR="00F27688">
      <w:rPr>
        <w:noProof/>
      </w:rPr>
      <w:t>881</w:t>
    </w:r>
    <w:r w:rsidR="00F27688">
      <w:rPr>
        <w:noProof/>
      </w:rPr>
      <w:fldChar w:fldCharType="end"/>
    </w:r>
    <w:r w:rsidRPr="002864CC">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pStyle w:val="Footer"/>
    </w:pPr>
    <w:r>
      <w:pict>
        <v:rect id="_x0000_i1087" style="width:480.95pt;height:1pt" o:hralign="center" o:hrstd="t" o:hrnoshade="t" o:hr="t" fillcolor="black" stroked="f"/>
      </w:pict>
    </w:r>
  </w:p>
  <w:p w:rsidR="00724899" w:rsidRPr="002864CC" w:rsidRDefault="00724899" w:rsidP="00EB2B90">
    <w:pPr>
      <w:tabs>
        <w:tab w:val="center" w:pos="4680"/>
      </w:tabs>
    </w:pPr>
    <w:r>
      <w:tab/>
      <w:t xml:space="preserve">- </w:t>
    </w:r>
    <w:r w:rsidR="00F27688">
      <w:fldChar w:fldCharType="begin"/>
    </w:r>
    <w:r w:rsidR="00F27688">
      <w:instrText xml:space="preserve"> PAGE   \* MERGEFORMAT </w:instrText>
    </w:r>
    <w:r w:rsidR="00F27688">
      <w:fldChar w:fldCharType="separate"/>
    </w:r>
    <w:r w:rsidR="00F27688">
      <w:rPr>
        <w:noProof/>
      </w:rPr>
      <w:t>879</w:t>
    </w:r>
    <w:r w:rsidR="00F2768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755F22">
    <w:pPr>
      <w:tabs>
        <w:tab w:val="left" w:pos="-1440"/>
        <w:tab w:val="left" w:pos="-720"/>
      </w:tabs>
    </w:pPr>
    <w:r>
      <w:pict>
        <v:rect id="_x0000_i1099" style="width:480.95pt;height:1pt" o:hralign="center" o:hrstd="t" o:hrnoshade="t" o:hr="t" fillcolor="black [3213]" stroked="f"/>
      </w:pict>
    </w:r>
  </w:p>
  <w:p w:rsidR="00724899" w:rsidRDefault="00724899" w:rsidP="00EB2B90">
    <w:pPr>
      <w:tabs>
        <w:tab w:val="center" w:pos="4680"/>
      </w:tabs>
    </w:pPr>
    <w:r>
      <w:tab/>
      <w:t xml:space="preserve">- </w:t>
    </w:r>
    <w:r w:rsidR="00F27688">
      <w:fldChar w:fldCharType="begin"/>
    </w:r>
    <w:r w:rsidR="00F27688">
      <w:instrText xml:space="preserve"> PAGE   \* MERGEFORMAT </w:instrText>
    </w:r>
    <w:r w:rsidR="00F27688">
      <w:fldChar w:fldCharType="separate"/>
    </w:r>
    <w:r w:rsidR="00F27688">
      <w:rPr>
        <w:noProof/>
      </w:rPr>
      <w:t>894</w:t>
    </w:r>
    <w:r w:rsidR="00F2768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EB2B90">
    <w:pPr>
      <w:tabs>
        <w:tab w:val="center" w:pos="4680"/>
      </w:tabs>
    </w:pPr>
    <w:r>
      <w:pict>
        <v:rect id="_x0000_i1100" style="width:480.95pt;height:1pt" o:hralign="center" o:hrstd="t" o:hrnoshade="t" o:hr="t" fillcolor="black [3213]" stroked="f"/>
      </w:pict>
    </w:r>
  </w:p>
  <w:p w:rsidR="00724899" w:rsidRPr="0031432F" w:rsidRDefault="00724899" w:rsidP="00EB2B90">
    <w:pPr>
      <w:tabs>
        <w:tab w:val="center" w:pos="4680"/>
      </w:tabs>
    </w:pPr>
    <w:r>
      <w:tab/>
      <w:t xml:space="preserve">- </w:t>
    </w:r>
    <w:r w:rsidR="00F27688">
      <w:fldChar w:fldCharType="begin"/>
    </w:r>
    <w:r w:rsidR="00F27688">
      <w:instrText xml:space="preserve"> PAGE   \* MERGEFORMAT </w:instrText>
    </w:r>
    <w:r w:rsidR="00F27688">
      <w:fldChar w:fldCharType="separate"/>
    </w:r>
    <w:r w:rsidR="00F27688">
      <w:rPr>
        <w:noProof/>
      </w:rPr>
      <w:t>882</w:t>
    </w:r>
    <w:r w:rsidR="00F2768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2" style="width:480.95pt;height:1pt" o:hralign="center" o:hrstd="t" o:hrnoshade="t" o:hr="t" fillcolor="black [3213]" stroked="f"/>
      </w:pict>
    </w:r>
  </w:p>
  <w:p w:rsidR="00724899" w:rsidRDefault="00724899" w:rsidP="00EB2B90">
    <w:pPr>
      <w:tabs>
        <w:tab w:val="center" w:pos="4680"/>
      </w:tabs>
    </w:pPr>
    <w:r>
      <w:tab/>
      <w:t xml:space="preserve">- </w:t>
    </w:r>
    <w:r w:rsidR="00F27688">
      <w:fldChar w:fldCharType="begin"/>
    </w:r>
    <w:r w:rsidR="00F27688">
      <w:instrText xml:space="preserve"> PAGE   \* MERGEFORMAT </w:instrText>
    </w:r>
    <w:r w:rsidR="00F27688">
      <w:fldChar w:fldCharType="separate"/>
    </w:r>
    <w:r>
      <w:rPr>
        <w:noProof/>
      </w:rPr>
      <w:t>524</w:t>
    </w:r>
    <w:r w:rsidR="00F27688">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pStyle w:val="Footer"/>
      <w:rPr>
        <w:lang w:val="fr-CA"/>
      </w:rPr>
    </w:pPr>
    <w:r>
      <w:rPr>
        <w:lang w:val="fr-CA"/>
      </w:rPr>
      <w:pict>
        <v:rect id="_x0000_i1103" style="width:480.95pt;height:1pt" o:hralign="center" o:hrstd="t" o:hrnoshade="t" o:hr="t" fillcolor="black [3213]" stroked="f"/>
      </w:pict>
    </w:r>
  </w:p>
  <w:p w:rsidR="00724899" w:rsidRDefault="00724899" w:rsidP="00EB2B90">
    <w:pPr>
      <w:tabs>
        <w:tab w:val="center" w:pos="4680"/>
      </w:tabs>
    </w:pPr>
    <w:r>
      <w:tab/>
      <w:t xml:space="preserve">- </w:t>
    </w:r>
    <w:r w:rsidR="00F27688">
      <w:fldChar w:fldCharType="begin"/>
    </w:r>
    <w:r w:rsidR="00F27688">
      <w:instrText xml:space="preserve"> PAGE   \* MERGEFORMAT </w:instrText>
    </w:r>
    <w:r w:rsidR="00F27688">
      <w:fldChar w:fldCharType="separate"/>
    </w:r>
    <w:r w:rsidR="00F27688">
      <w:rPr>
        <w:noProof/>
      </w:rPr>
      <w:t>895</w:t>
    </w:r>
    <w:r w:rsidR="00F27688">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732DB7">
    <w:r>
      <w:pict>
        <v:rect id="_x0000_i1108" style="width:480.95pt;height:1pt" o:hralign="center" o:hrstd="t" o:hrnoshade="t" o:hr="t" fillcolor="black" stroked="f"/>
      </w:pict>
    </w:r>
  </w:p>
  <w:p w:rsidR="00724899" w:rsidRDefault="00724899">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pStyle w:val="Footer"/>
    </w:pPr>
    <w:r>
      <w:pict>
        <v:rect id="_x0000_i1109" style="width:480.95pt;height:1pt" o:hralign="center" o:hrstd="t" o:hrnoshade="t" o:hr="t" fillcolor="black" stroked="f"/>
      </w:pict>
    </w:r>
  </w:p>
  <w:p w:rsidR="00724899" w:rsidRPr="00283C52" w:rsidRDefault="00724899">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732DB7">
    <w:r>
      <w:pict>
        <v:rect id="_x0000_i1111" style="width:480.95pt;height:1pt" o:hralign="center" o:hrstd="t" o:hrnoshade="t" o:hr="t" fillcolor="black" stroked="f"/>
      </w:pict>
    </w:r>
  </w:p>
  <w:p w:rsidR="00724899" w:rsidRDefault="00724899">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pStyle w:val="Footer"/>
    </w:pPr>
    <w:r>
      <w:pict>
        <v:rect id="_x0000_i1112" style="width:480.95pt;height:1pt" o:hralign="center" o:hrstd="t" o:hrnoshade="t" o:hr="t" fillcolor="black [3213]" stroked="f"/>
      </w:pict>
    </w:r>
  </w:p>
  <w:p w:rsidR="00724899" w:rsidRPr="003C2C0F" w:rsidRDefault="00724899" w:rsidP="00697C62">
    <w:pPr>
      <w:tabs>
        <w:tab w:val="center" w:pos="4680"/>
      </w:tabs>
    </w:pPr>
    <w:r>
      <w:tab/>
      <w:t xml:space="preserve">- </w:t>
    </w:r>
    <w:r w:rsidR="00F27688">
      <w:fldChar w:fldCharType="begin"/>
    </w:r>
    <w:r w:rsidR="00F27688">
      <w:instrText xml:space="preserve"> PAGE   \* MERGEFORMAT </w:instrText>
    </w:r>
    <w:r w:rsidR="00F27688">
      <w:fldChar w:fldCharType="separate"/>
    </w:r>
    <w:r w:rsidR="00F27688">
      <w:rPr>
        <w:noProof/>
      </w:rPr>
      <w:t>899</w:t>
    </w:r>
    <w:r w:rsidR="00F27688">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4899" w:rsidRDefault="00F2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5" style="width:480.95pt;height:1pt" o:hralign="center" o:hrstd="t" o:hrnoshade="t" o:hr="t" fillcolor="black [3213]" stroked="f"/>
      </w:pict>
    </w:r>
  </w:p>
  <w:p w:rsidR="00724899" w:rsidRDefault="00724899" w:rsidP="00782AE4">
    <w:pPr>
      <w:tabs>
        <w:tab w:val="center" w:pos="4680"/>
      </w:tabs>
    </w:pPr>
    <w:r>
      <w:tab/>
      <w:t xml:space="preserve">- </w:t>
    </w:r>
    <w:r w:rsidR="003172C2" w:rsidRPr="001775C1">
      <w:rPr>
        <w:szCs w:val="24"/>
      </w:rPr>
      <w:fldChar w:fldCharType="begin"/>
    </w:r>
    <w:r w:rsidRPr="001775C1">
      <w:rPr>
        <w:szCs w:val="24"/>
      </w:rPr>
      <w:instrText xml:space="preserve"> PAGE   \* MERGEFORMAT </w:instrText>
    </w:r>
    <w:r w:rsidR="003172C2" w:rsidRPr="001775C1">
      <w:rPr>
        <w:szCs w:val="24"/>
      </w:rPr>
      <w:fldChar w:fldCharType="separate"/>
    </w:r>
    <w:r w:rsidR="00F27688">
      <w:rPr>
        <w:noProof/>
        <w:szCs w:val="24"/>
      </w:rPr>
      <w:t>910</w:t>
    </w:r>
    <w:r w:rsidR="003172C2"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782AE4">
    <w:pPr>
      <w:tabs>
        <w:tab w:val="center" w:pos="4680"/>
      </w:tabs>
    </w:pPr>
    <w:r>
      <w:pict>
        <v:rect id="_x0000_i1116" style="width:480.95pt;height:1pt" o:hralign="center" o:hrstd="t" o:hrnoshade="t" o:hr="t" fillcolor="black [3213]" stroked="f"/>
      </w:pict>
    </w:r>
  </w:p>
  <w:p w:rsidR="00724899" w:rsidRDefault="00724899" w:rsidP="00782AE4">
    <w:pPr>
      <w:tabs>
        <w:tab w:val="center" w:pos="4680"/>
      </w:tabs>
    </w:pPr>
    <w:r>
      <w:tab/>
      <w:t xml:space="preserve">- </w:t>
    </w:r>
    <w:r w:rsidR="003172C2" w:rsidRPr="001775C1">
      <w:rPr>
        <w:szCs w:val="24"/>
      </w:rPr>
      <w:fldChar w:fldCharType="begin"/>
    </w:r>
    <w:r w:rsidRPr="001775C1">
      <w:rPr>
        <w:szCs w:val="24"/>
      </w:rPr>
      <w:instrText xml:space="preserve"> PAGE   \* MERGEFORMAT </w:instrText>
    </w:r>
    <w:r w:rsidR="003172C2" w:rsidRPr="001775C1">
      <w:rPr>
        <w:szCs w:val="24"/>
      </w:rPr>
      <w:fldChar w:fldCharType="separate"/>
    </w:r>
    <w:r w:rsidR="00F27688">
      <w:rPr>
        <w:noProof/>
        <w:szCs w:val="24"/>
      </w:rPr>
      <w:t>900</w:t>
    </w:r>
    <w:r w:rsidR="003172C2"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Pr="00924065" w:rsidRDefault="0072489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A87207">
    <w:pPr>
      <w:pStyle w:val="Footer"/>
    </w:pPr>
    <w:r>
      <w:pict>
        <v:rect id="_x0000_i1044" style="width:480.95pt;height:1pt" o:hralign="center" o:hrstd="t" o:hrnoshade="t" o:hr="t" fillcolor="black [3213]" stroked="f"/>
      </w:pict>
    </w:r>
  </w:p>
  <w:p w:rsidR="00724899" w:rsidRPr="00B7374B" w:rsidRDefault="00724899" w:rsidP="00B7374B">
    <w:pPr>
      <w:tabs>
        <w:tab w:val="center" w:pos="4680"/>
      </w:tabs>
      <w:rPr>
        <w:szCs w:val="24"/>
      </w:rPr>
    </w:pPr>
    <w:r w:rsidRPr="00954D22">
      <w:rPr>
        <w:szCs w:val="24"/>
      </w:rPr>
      <w:tab/>
      <w:t xml:space="preserve">- </w:t>
    </w:r>
    <w:r w:rsidR="003172C2" w:rsidRPr="00954D22">
      <w:rPr>
        <w:szCs w:val="24"/>
      </w:rPr>
      <w:fldChar w:fldCharType="begin"/>
    </w:r>
    <w:r w:rsidRPr="00954D22">
      <w:rPr>
        <w:szCs w:val="24"/>
      </w:rPr>
      <w:instrText xml:space="preserve"> PAGE   \* MERGEFORMAT </w:instrText>
    </w:r>
    <w:r w:rsidR="003172C2" w:rsidRPr="00954D22">
      <w:rPr>
        <w:szCs w:val="24"/>
      </w:rPr>
      <w:fldChar w:fldCharType="separate"/>
    </w:r>
    <w:r w:rsidR="00F27688">
      <w:rPr>
        <w:noProof/>
        <w:szCs w:val="24"/>
      </w:rPr>
      <w:t>846</w:t>
    </w:r>
    <w:r w:rsidR="003172C2"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755F22">
    <w:pPr>
      <w:tabs>
        <w:tab w:val="left" w:pos="-1440"/>
        <w:tab w:val="left" w:pos="-720"/>
      </w:tabs>
    </w:pPr>
    <w:r>
      <w:pict>
        <v:rect id="_x0000_i1045" style="width:480.95pt;height:1pt" o:hralign="center" o:hrstd="t" o:hrnoshade="t" o:hr="t" fillcolor="black [3213]" stroked="f"/>
      </w:pict>
    </w:r>
  </w:p>
  <w:p w:rsidR="00724899" w:rsidRPr="00954D22" w:rsidRDefault="00724899" w:rsidP="00B7374B">
    <w:pPr>
      <w:tabs>
        <w:tab w:val="center" w:pos="4680"/>
      </w:tabs>
      <w:rPr>
        <w:szCs w:val="24"/>
      </w:rPr>
    </w:pPr>
    <w:r w:rsidRPr="00954D22">
      <w:rPr>
        <w:szCs w:val="24"/>
      </w:rPr>
      <w:tab/>
      <w:t xml:space="preserve">- </w:t>
    </w:r>
    <w:r w:rsidR="003172C2">
      <w:rPr>
        <w:szCs w:val="24"/>
      </w:rPr>
      <w:fldChar w:fldCharType="begin"/>
    </w:r>
    <w:r>
      <w:rPr>
        <w:szCs w:val="24"/>
      </w:rPr>
      <w:instrText xml:space="preserve"> PAGE   \* MERGEFORMAT </w:instrText>
    </w:r>
    <w:r w:rsidR="003172C2">
      <w:rPr>
        <w:szCs w:val="24"/>
      </w:rPr>
      <w:fldChar w:fldCharType="separate"/>
    </w:r>
    <w:r w:rsidR="00F27688">
      <w:rPr>
        <w:noProof/>
        <w:szCs w:val="24"/>
      </w:rPr>
      <w:t>844</w:t>
    </w:r>
    <w:r w:rsidR="003172C2">
      <w:rPr>
        <w:szCs w:val="24"/>
      </w:rPr>
      <w:fldChar w:fldCharType="end"/>
    </w:r>
    <w:r w:rsidRPr="00954D22">
      <w:rPr>
        <w:szCs w:val="24"/>
      </w:rPr>
      <w:t xml:space="preserve"> -</w:t>
    </w:r>
  </w:p>
  <w:p w:rsidR="00724899" w:rsidRDefault="007248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A87207">
    <w:pPr>
      <w:pStyle w:val="Footer"/>
    </w:pPr>
    <w:r>
      <w:pict>
        <v:rect id="_x0000_i1047" style="width:480.95pt;height:1pt" o:hralign="center" o:hrstd="t" o:hrnoshade="t" o:hr="t" fillcolor="black [3213]" stroked="f"/>
      </w:pict>
    </w:r>
  </w:p>
  <w:p w:rsidR="00724899" w:rsidRPr="00B7374B" w:rsidRDefault="00724899" w:rsidP="00B7374B">
    <w:pPr>
      <w:tabs>
        <w:tab w:val="center" w:pos="4680"/>
      </w:tabs>
      <w:rPr>
        <w:szCs w:val="24"/>
      </w:rPr>
    </w:pPr>
    <w:r w:rsidRPr="00954D22">
      <w:rPr>
        <w:szCs w:val="24"/>
      </w:rPr>
      <w:tab/>
      <w:t xml:space="preserve">- </w:t>
    </w:r>
    <w:r w:rsidR="003172C2" w:rsidRPr="00954D22">
      <w:rPr>
        <w:szCs w:val="24"/>
      </w:rPr>
      <w:fldChar w:fldCharType="begin"/>
    </w:r>
    <w:r w:rsidRPr="00954D22">
      <w:rPr>
        <w:szCs w:val="24"/>
      </w:rPr>
      <w:instrText xml:space="preserve"> PAGE   \* MERGEFORMAT </w:instrText>
    </w:r>
    <w:r w:rsidR="003172C2" w:rsidRPr="00954D22">
      <w:rPr>
        <w:szCs w:val="24"/>
      </w:rPr>
      <w:fldChar w:fldCharType="separate"/>
    </w:r>
    <w:r>
      <w:rPr>
        <w:noProof/>
        <w:szCs w:val="24"/>
      </w:rPr>
      <w:t>847</w:t>
    </w:r>
    <w:r w:rsidR="003172C2"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724899" w:rsidRPr="00954D22" w:rsidRDefault="00724899" w:rsidP="00B7374B">
    <w:pPr>
      <w:tabs>
        <w:tab w:val="center" w:pos="4680"/>
      </w:tabs>
      <w:rPr>
        <w:szCs w:val="24"/>
      </w:rPr>
    </w:pPr>
    <w:r w:rsidRPr="00954D22">
      <w:rPr>
        <w:szCs w:val="24"/>
      </w:rPr>
      <w:tab/>
      <w:t xml:space="preserve">- </w:t>
    </w:r>
    <w:r w:rsidR="003172C2" w:rsidRPr="00954D22">
      <w:rPr>
        <w:szCs w:val="24"/>
      </w:rPr>
      <w:fldChar w:fldCharType="begin"/>
    </w:r>
    <w:r w:rsidRPr="00954D22">
      <w:rPr>
        <w:szCs w:val="24"/>
      </w:rPr>
      <w:instrText xml:space="preserve"> PAGE   \* MERGEFORMAT </w:instrText>
    </w:r>
    <w:r w:rsidR="003172C2" w:rsidRPr="00954D22">
      <w:rPr>
        <w:szCs w:val="24"/>
      </w:rPr>
      <w:fldChar w:fldCharType="separate"/>
    </w:r>
    <w:r w:rsidR="00F27688">
      <w:rPr>
        <w:noProof/>
        <w:szCs w:val="24"/>
      </w:rPr>
      <w:t>847</w:t>
    </w:r>
    <w:r w:rsidR="003172C2"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4899" w:rsidRDefault="0072489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F2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724899" w:rsidRPr="0009648D" w:rsidRDefault="00724899" w:rsidP="00ED7E83">
    <w:pPr>
      <w:tabs>
        <w:tab w:val="center" w:pos="4680"/>
      </w:tabs>
    </w:pPr>
    <w:r>
      <w:tab/>
    </w:r>
    <w:r w:rsidRPr="0009648D">
      <w:t xml:space="preserve">- </w:t>
    </w:r>
    <w:r w:rsidR="00F27688">
      <w:fldChar w:fldCharType="begin"/>
    </w:r>
    <w:r w:rsidR="00F27688">
      <w:instrText xml:space="preserve"> PAGE   \* MERGEFORMAT </w:instrText>
    </w:r>
    <w:r w:rsidR="00F27688">
      <w:fldChar w:fldCharType="separate"/>
    </w:r>
    <w:r w:rsidR="00F27688">
      <w:rPr>
        <w:noProof/>
      </w:rPr>
      <w:t>878</w:t>
    </w:r>
    <w:r w:rsidR="00F2768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99" w:rsidRDefault="00724899" w:rsidP="00A87207">
      <w:r>
        <w:separator/>
      </w:r>
    </w:p>
  </w:footnote>
  <w:footnote w:type="continuationSeparator" w:id="0">
    <w:p w:rsidR="00724899" w:rsidRDefault="0072489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tc>
        <w:tcPr>
          <w:tcW w:w="4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24899" w:rsidRPr="000204A4"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724899" w:rsidRPr="000204A4"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24899" w:rsidRPr="000204A4"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4899" w:rsidRPr="00890FEB" w:rsidTr="00245129">
      <w:tc>
        <w:tcPr>
          <w:tcW w:w="4200" w:type="dxa"/>
          <w:tcMar>
            <w:left w:w="0" w:type="dxa"/>
            <w:right w:w="0" w:type="dxa"/>
          </w:tcMar>
        </w:tcPr>
        <w:p w:rsidR="00724899" w:rsidRPr="00890FEB" w:rsidRDefault="00724899" w:rsidP="00EB2B90">
          <w:pPr>
            <w:rPr>
              <w:sz w:val="20"/>
              <w:szCs w:val="20"/>
            </w:rPr>
          </w:pPr>
          <w:r w:rsidRPr="00890FEB">
            <w:rPr>
              <w:sz w:val="20"/>
              <w:szCs w:val="20"/>
            </w:rPr>
            <w:t>JUDGEMENT ON MOTION</w:t>
          </w:r>
        </w:p>
      </w:tc>
      <w:tc>
        <w:tcPr>
          <w:tcW w:w="1200" w:type="dxa"/>
          <w:tcMar>
            <w:left w:w="0" w:type="dxa"/>
            <w:right w:w="0" w:type="dxa"/>
          </w:tcMar>
        </w:tcPr>
        <w:p w:rsidR="00724899" w:rsidRPr="00890FEB" w:rsidRDefault="00724899" w:rsidP="00890FEB">
          <w:pPr>
            <w:jc w:val="center"/>
            <w:rPr>
              <w:sz w:val="20"/>
              <w:szCs w:val="20"/>
            </w:rPr>
          </w:pPr>
        </w:p>
        <w:p w:rsidR="00724899" w:rsidRPr="00890FEB" w:rsidRDefault="00724899" w:rsidP="00890FEB">
          <w:pPr>
            <w:jc w:val="center"/>
            <w:rPr>
              <w:sz w:val="20"/>
              <w:szCs w:val="20"/>
            </w:rPr>
          </w:pPr>
        </w:p>
      </w:tc>
      <w:tc>
        <w:tcPr>
          <w:tcW w:w="4080" w:type="dxa"/>
          <w:tcMar>
            <w:left w:w="0" w:type="dxa"/>
            <w:right w:w="0" w:type="dxa"/>
          </w:tcMar>
        </w:tcPr>
        <w:p w:rsidR="00724899" w:rsidRPr="00890FEB" w:rsidRDefault="00724899" w:rsidP="00890FEB">
          <w:pPr>
            <w:rPr>
              <w:sz w:val="20"/>
              <w:szCs w:val="20"/>
              <w:lang w:val="fr-CA"/>
            </w:rPr>
          </w:pPr>
          <w:r w:rsidRPr="00890FEB">
            <w:rPr>
              <w:sz w:val="20"/>
              <w:szCs w:val="20"/>
              <w:lang w:val="fr-CA"/>
            </w:rPr>
            <w:t>JUGEMENTS SUR REQUÊTES</w:t>
          </w:r>
        </w:p>
      </w:tc>
    </w:tr>
  </w:tbl>
  <w:p w:rsidR="00724899" w:rsidRPr="002864CC" w:rsidRDefault="00724899" w:rsidP="00EB2B90">
    <w:pPr>
      <w:rPr>
        <w:lang w:val="fr-CA"/>
      </w:rPr>
    </w:pPr>
  </w:p>
  <w:p w:rsidR="00724899" w:rsidRPr="000204A4" w:rsidRDefault="00724899" w:rsidP="00EB2B90">
    <w:pPr>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24899">
      <w:tc>
        <w:tcPr>
          <w:tcW w:w="423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24899"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4899"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24899">
      <w:trPr>
        <w:gridAfter w:val="2"/>
        <w:wAfter w:w="5250" w:type="dxa"/>
      </w:trPr>
      <w:tc>
        <w:tcPr>
          <w:tcW w:w="4230" w:type="dxa"/>
          <w:tcMar>
            <w:left w:w="0" w:type="dxa"/>
            <w:right w:w="0" w:type="dxa"/>
          </w:tcMar>
        </w:tcPr>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24899" w:rsidRPr="00755F22" w:rsidTr="00245129">
      <w:tc>
        <w:tcPr>
          <w:tcW w:w="4230" w:type="dxa"/>
          <w:tcMar>
            <w:left w:w="0" w:type="dxa"/>
            <w:right w:w="0" w:type="dxa"/>
          </w:tcMar>
        </w:tcPr>
        <w:p w:rsidR="00724899" w:rsidRPr="00755F22" w:rsidRDefault="00724899" w:rsidP="00831CA9">
          <w:pPr>
            <w:keepNext/>
            <w:keepLines/>
            <w:rPr>
              <w:sz w:val="20"/>
              <w:szCs w:val="20"/>
            </w:rPr>
          </w:pPr>
          <w:r w:rsidRPr="00755F22">
            <w:rPr>
              <w:sz w:val="20"/>
              <w:szCs w:val="20"/>
            </w:rPr>
            <w:t>MOTIONS</w:t>
          </w:r>
        </w:p>
      </w:tc>
      <w:tc>
        <w:tcPr>
          <w:tcW w:w="1170" w:type="dxa"/>
          <w:tcMar>
            <w:left w:w="0" w:type="dxa"/>
            <w:right w:w="0" w:type="dxa"/>
          </w:tcMar>
        </w:tcPr>
        <w:p w:rsidR="00724899" w:rsidRPr="00755F22" w:rsidRDefault="00724899" w:rsidP="00831CA9">
          <w:pPr>
            <w:keepLines/>
            <w:jc w:val="center"/>
            <w:rPr>
              <w:sz w:val="20"/>
              <w:szCs w:val="20"/>
            </w:rPr>
          </w:pPr>
        </w:p>
        <w:p w:rsidR="00724899" w:rsidRPr="00755F22" w:rsidRDefault="00724899" w:rsidP="00831CA9">
          <w:pPr>
            <w:keepLines/>
            <w:tabs>
              <w:tab w:val="left" w:pos="-1440"/>
              <w:tab w:val="left" w:pos="-720"/>
            </w:tabs>
            <w:jc w:val="center"/>
            <w:rPr>
              <w:sz w:val="20"/>
              <w:szCs w:val="20"/>
            </w:rPr>
          </w:pPr>
        </w:p>
      </w:tc>
      <w:tc>
        <w:tcPr>
          <w:tcW w:w="4080" w:type="dxa"/>
          <w:tcMar>
            <w:left w:w="0" w:type="dxa"/>
            <w:right w:w="0" w:type="dxa"/>
          </w:tcMar>
        </w:tcPr>
        <w:p w:rsidR="00724899" w:rsidRPr="00BA6468" w:rsidRDefault="00724899" w:rsidP="00BA6468">
          <w:pPr>
            <w:keepLines/>
            <w:rPr>
              <w:sz w:val="20"/>
              <w:szCs w:val="20"/>
              <w:lang w:val="fr-CA"/>
            </w:rPr>
          </w:pPr>
          <w:r w:rsidRPr="00BA6468">
            <w:rPr>
              <w:sz w:val="20"/>
              <w:szCs w:val="20"/>
              <w:lang w:val="fr-CA"/>
            </w:rPr>
            <w:t>REQUÊTES</w:t>
          </w:r>
        </w:p>
      </w:tc>
    </w:tr>
  </w:tbl>
  <w:p w:rsidR="00724899" w:rsidRDefault="00724899"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tc>
        <w:tcPr>
          <w:tcW w:w="4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4899" w:rsidRPr="00B01A03"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24899" w:rsidRPr="00B01A03"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24899" w:rsidRPr="00B01A03"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24899" w:rsidRPr="00FA68AD" w:rsidTr="00245129">
      <w:tc>
        <w:tcPr>
          <w:tcW w:w="4200" w:type="dxa"/>
          <w:tcMar>
            <w:left w:w="0" w:type="dxa"/>
            <w:right w:w="0" w:type="dxa"/>
          </w:tcMar>
        </w:tcPr>
        <w:p w:rsidR="00724899" w:rsidRPr="00F40249" w:rsidRDefault="0072489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24899" w:rsidRDefault="00724899" w:rsidP="00102926">
          <w:pPr>
            <w:keepNext/>
            <w:keepLines/>
            <w:tabs>
              <w:tab w:val="left" w:pos="-1440"/>
              <w:tab w:val="left" w:pos="-720"/>
            </w:tabs>
            <w:jc w:val="center"/>
            <w:rPr>
              <w:sz w:val="20"/>
              <w:szCs w:val="20"/>
            </w:rPr>
          </w:pPr>
        </w:p>
        <w:p w:rsidR="00724899" w:rsidRDefault="00724899" w:rsidP="00102926">
          <w:pPr>
            <w:keepNext/>
            <w:keepLines/>
            <w:tabs>
              <w:tab w:val="left" w:pos="-1440"/>
              <w:tab w:val="left" w:pos="-720"/>
            </w:tabs>
            <w:jc w:val="center"/>
            <w:rPr>
              <w:sz w:val="20"/>
              <w:szCs w:val="20"/>
            </w:rPr>
          </w:pPr>
        </w:p>
        <w:p w:rsidR="00724899" w:rsidRPr="00F40249" w:rsidRDefault="00724899" w:rsidP="00102926">
          <w:pPr>
            <w:keepNext/>
            <w:keepLines/>
            <w:tabs>
              <w:tab w:val="left" w:pos="-1440"/>
              <w:tab w:val="left" w:pos="-720"/>
            </w:tabs>
            <w:jc w:val="center"/>
            <w:rPr>
              <w:sz w:val="20"/>
              <w:szCs w:val="20"/>
            </w:rPr>
          </w:pPr>
        </w:p>
      </w:tc>
      <w:tc>
        <w:tcPr>
          <w:tcW w:w="4230" w:type="dxa"/>
          <w:tcMar>
            <w:left w:w="0" w:type="dxa"/>
            <w:right w:w="0" w:type="dxa"/>
          </w:tcMar>
        </w:tcPr>
        <w:p w:rsidR="00724899" w:rsidRPr="00F40249" w:rsidRDefault="0072489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24899" w:rsidRPr="00B01A03" w:rsidRDefault="0072489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tc>
        <w:tcPr>
          <w:tcW w:w="4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4899" w:rsidRPr="00283C52"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24899" w:rsidRPr="00283C52"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24899" w:rsidRPr="00283C52"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rsidTr="00245129">
      <w:tc>
        <w:tcPr>
          <w:tcW w:w="4200" w:type="dxa"/>
          <w:tcMar>
            <w:left w:w="0" w:type="dxa"/>
            <w:right w:w="0" w:type="dxa"/>
          </w:tcMar>
        </w:tcPr>
        <w:p w:rsidR="00724899" w:rsidRPr="00732DB7" w:rsidRDefault="0072489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24899" w:rsidRPr="00732DB7" w:rsidRDefault="00724899" w:rsidP="00732DB7">
          <w:pPr>
            <w:keepNext/>
            <w:keepLines/>
            <w:tabs>
              <w:tab w:val="left" w:pos="-1440"/>
              <w:tab w:val="left" w:pos="-720"/>
            </w:tabs>
            <w:jc w:val="center"/>
            <w:rPr>
              <w:sz w:val="20"/>
              <w:szCs w:val="20"/>
            </w:rPr>
          </w:pPr>
        </w:p>
        <w:p w:rsidR="00724899" w:rsidRPr="00732DB7" w:rsidRDefault="00724899" w:rsidP="00732DB7">
          <w:pPr>
            <w:keepNext/>
            <w:keepLines/>
            <w:tabs>
              <w:tab w:val="left" w:pos="-1440"/>
              <w:tab w:val="left" w:pos="-720"/>
            </w:tabs>
            <w:jc w:val="center"/>
            <w:rPr>
              <w:sz w:val="20"/>
              <w:szCs w:val="20"/>
            </w:rPr>
          </w:pPr>
        </w:p>
        <w:p w:rsidR="00724899" w:rsidRPr="00732DB7" w:rsidRDefault="00724899" w:rsidP="00732DB7">
          <w:pPr>
            <w:keepNext/>
            <w:keepLines/>
            <w:tabs>
              <w:tab w:val="left" w:pos="-1440"/>
              <w:tab w:val="left" w:pos="-720"/>
            </w:tabs>
            <w:jc w:val="center"/>
            <w:rPr>
              <w:sz w:val="20"/>
              <w:szCs w:val="20"/>
            </w:rPr>
          </w:pPr>
        </w:p>
      </w:tc>
      <w:tc>
        <w:tcPr>
          <w:tcW w:w="4080" w:type="dxa"/>
          <w:tcMar>
            <w:left w:w="0" w:type="dxa"/>
            <w:right w:w="0" w:type="dxa"/>
          </w:tcMar>
        </w:tcPr>
        <w:p w:rsidR="00724899" w:rsidRPr="00732DB7" w:rsidRDefault="0072489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24899" w:rsidRPr="00283C52" w:rsidRDefault="0072489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tc>
        <w:tcPr>
          <w:tcW w:w="4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24899" w:rsidRPr="003C2C0F"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24899" w:rsidRPr="003C2C0F"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24899" w:rsidRPr="003C2C0F"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rsidTr="00245129">
      <w:tc>
        <w:tcPr>
          <w:tcW w:w="4200" w:type="dxa"/>
          <w:tcMar>
            <w:left w:w="0" w:type="dxa"/>
            <w:right w:w="0" w:type="dxa"/>
          </w:tcMar>
        </w:tcPr>
        <w:p w:rsidR="00724899" w:rsidRPr="00FF6EEC" w:rsidRDefault="00724899" w:rsidP="00FF6EEC">
          <w:pPr>
            <w:rPr>
              <w:sz w:val="20"/>
              <w:szCs w:val="20"/>
            </w:rPr>
          </w:pPr>
          <w:r w:rsidRPr="00FF6EEC">
            <w:rPr>
              <w:sz w:val="20"/>
              <w:szCs w:val="20"/>
            </w:rPr>
            <w:t>PRONOUNCEMENTS OF APPEALS RESERVED</w:t>
          </w:r>
        </w:p>
      </w:tc>
      <w:tc>
        <w:tcPr>
          <w:tcW w:w="1200" w:type="dxa"/>
          <w:tcMar>
            <w:left w:w="0" w:type="dxa"/>
            <w:right w:w="0" w:type="dxa"/>
          </w:tcMar>
        </w:tcPr>
        <w:p w:rsidR="00724899" w:rsidRPr="00FF6EEC" w:rsidRDefault="00724899" w:rsidP="00FF6EEC">
          <w:pPr>
            <w:jc w:val="center"/>
            <w:rPr>
              <w:sz w:val="20"/>
              <w:szCs w:val="20"/>
            </w:rPr>
          </w:pPr>
        </w:p>
        <w:p w:rsidR="00724899" w:rsidRPr="00FF6EEC" w:rsidRDefault="00724899" w:rsidP="00FF6EEC">
          <w:pPr>
            <w:jc w:val="center"/>
            <w:rPr>
              <w:sz w:val="20"/>
              <w:szCs w:val="20"/>
            </w:rPr>
          </w:pPr>
        </w:p>
        <w:p w:rsidR="00724899" w:rsidRPr="00FF6EEC" w:rsidRDefault="00724899" w:rsidP="00FF6EEC">
          <w:pPr>
            <w:jc w:val="center"/>
            <w:rPr>
              <w:sz w:val="20"/>
              <w:szCs w:val="20"/>
            </w:rPr>
          </w:pPr>
        </w:p>
      </w:tc>
      <w:tc>
        <w:tcPr>
          <w:tcW w:w="4080" w:type="dxa"/>
          <w:tcMar>
            <w:left w:w="0" w:type="dxa"/>
            <w:right w:w="0" w:type="dxa"/>
          </w:tcMar>
        </w:tcPr>
        <w:p w:rsidR="00724899" w:rsidRPr="00FF6EEC" w:rsidRDefault="00724899" w:rsidP="00FF6EEC">
          <w:pPr>
            <w:rPr>
              <w:sz w:val="20"/>
              <w:szCs w:val="20"/>
              <w:lang w:val="fr-CA"/>
            </w:rPr>
          </w:pPr>
          <w:r w:rsidRPr="00FF6EEC">
            <w:rPr>
              <w:sz w:val="20"/>
              <w:szCs w:val="20"/>
              <w:lang w:val="fr-CA"/>
            </w:rPr>
            <w:t>JUGEMENTS RENDUS SUR LES APPELS EN DÉLIBÉRÉ</w:t>
          </w:r>
        </w:p>
      </w:tc>
    </w:tr>
  </w:tbl>
  <w:p w:rsidR="00724899" w:rsidRPr="003C2C0F" w:rsidRDefault="0072489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24899">
      <w:tc>
        <w:tcPr>
          <w:tcW w:w="423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24899"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4899"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24899" w:rsidRPr="00782AE4" w:rsidTr="00245129">
      <w:tc>
        <w:tcPr>
          <w:tcW w:w="4230" w:type="dxa"/>
          <w:tcMar>
            <w:left w:w="0" w:type="dxa"/>
            <w:right w:w="0" w:type="dxa"/>
          </w:tcMar>
        </w:tcPr>
        <w:p w:rsidR="00724899" w:rsidRPr="00782AE4" w:rsidRDefault="00724899" w:rsidP="00102926">
          <w:pPr>
            <w:keepNext/>
            <w:keepLines/>
            <w:tabs>
              <w:tab w:val="left" w:pos="-1440"/>
              <w:tab w:val="left" w:pos="-720"/>
            </w:tabs>
            <w:rPr>
              <w:sz w:val="20"/>
              <w:szCs w:val="20"/>
            </w:rPr>
          </w:pPr>
          <w:r w:rsidRPr="00782AE4">
            <w:rPr>
              <w:sz w:val="20"/>
              <w:szCs w:val="20"/>
            </w:rPr>
            <w:t xml:space="preserve">HEADNOTES OF RECENT </w:t>
          </w:r>
        </w:p>
        <w:p w:rsidR="00724899" w:rsidRPr="00782AE4"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24899" w:rsidRDefault="00724899" w:rsidP="00102926">
          <w:pPr>
            <w:keepNext/>
            <w:keepLines/>
            <w:tabs>
              <w:tab w:val="left" w:pos="-1440"/>
              <w:tab w:val="left" w:pos="-720"/>
            </w:tabs>
            <w:jc w:val="center"/>
            <w:rPr>
              <w:sz w:val="20"/>
              <w:szCs w:val="20"/>
            </w:rPr>
          </w:pPr>
        </w:p>
        <w:p w:rsidR="00724899" w:rsidRDefault="00724899" w:rsidP="00102926">
          <w:pPr>
            <w:keepNext/>
            <w:keepLines/>
            <w:tabs>
              <w:tab w:val="left" w:pos="-1440"/>
              <w:tab w:val="left" w:pos="-720"/>
            </w:tabs>
            <w:jc w:val="center"/>
            <w:rPr>
              <w:sz w:val="20"/>
              <w:szCs w:val="20"/>
            </w:rPr>
          </w:pPr>
        </w:p>
        <w:p w:rsidR="00724899" w:rsidRPr="00782AE4" w:rsidRDefault="00724899" w:rsidP="00102926">
          <w:pPr>
            <w:keepNext/>
            <w:keepLines/>
            <w:tabs>
              <w:tab w:val="left" w:pos="-1440"/>
              <w:tab w:val="left" w:pos="-720"/>
            </w:tabs>
            <w:jc w:val="center"/>
            <w:rPr>
              <w:sz w:val="20"/>
              <w:szCs w:val="20"/>
            </w:rPr>
          </w:pPr>
        </w:p>
      </w:tc>
      <w:tc>
        <w:tcPr>
          <w:tcW w:w="4080" w:type="dxa"/>
          <w:tcMar>
            <w:left w:w="0" w:type="dxa"/>
            <w:right w:w="0" w:type="dxa"/>
          </w:tcMar>
        </w:tcPr>
        <w:p w:rsidR="00724899" w:rsidRPr="00102926"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24899" w:rsidRPr="00782AE4" w:rsidRDefault="00724899" w:rsidP="00102926">
          <w:pPr>
            <w:keepLines/>
            <w:tabs>
              <w:tab w:val="left" w:pos="-1440"/>
              <w:tab w:val="left" w:pos="-720"/>
            </w:tabs>
            <w:rPr>
              <w:sz w:val="20"/>
              <w:szCs w:val="20"/>
            </w:rPr>
          </w:pPr>
          <w:r w:rsidRPr="00102926">
            <w:rPr>
              <w:sz w:val="20"/>
              <w:szCs w:val="20"/>
              <w:lang w:val="fr-CA"/>
            </w:rPr>
            <w:t>RÉCENTS</w:t>
          </w:r>
        </w:p>
      </w:tc>
    </w:tr>
  </w:tbl>
  <w:p w:rsidR="00724899" w:rsidRDefault="007248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24899" w:rsidRPr="0044776A" w:rsidTr="00245129">
      <w:tc>
        <w:tcPr>
          <w:tcW w:w="4290" w:type="dxa"/>
          <w:tcMar>
            <w:left w:w="0" w:type="dxa"/>
            <w:right w:w="0" w:type="dxa"/>
          </w:tcMar>
        </w:tcPr>
        <w:p w:rsidR="00724899" w:rsidRPr="0044776A" w:rsidRDefault="0072489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24899" w:rsidRPr="0044776A" w:rsidRDefault="00724899" w:rsidP="002E2327">
          <w:pPr>
            <w:keepNext/>
            <w:keepLines/>
            <w:tabs>
              <w:tab w:val="left" w:pos="-1440"/>
              <w:tab w:val="left" w:pos="-720"/>
            </w:tabs>
            <w:jc w:val="center"/>
            <w:rPr>
              <w:sz w:val="20"/>
              <w:szCs w:val="20"/>
            </w:rPr>
          </w:pPr>
        </w:p>
        <w:p w:rsidR="00724899" w:rsidRPr="0044776A" w:rsidRDefault="00724899" w:rsidP="002E2327">
          <w:pPr>
            <w:keepNext/>
            <w:keepLines/>
            <w:tabs>
              <w:tab w:val="left" w:pos="-1440"/>
              <w:tab w:val="left" w:pos="-720"/>
            </w:tabs>
            <w:jc w:val="center"/>
            <w:rPr>
              <w:sz w:val="20"/>
              <w:szCs w:val="20"/>
            </w:rPr>
          </w:pPr>
        </w:p>
        <w:p w:rsidR="00724899" w:rsidRPr="0044776A" w:rsidRDefault="00724899" w:rsidP="002E2327">
          <w:pPr>
            <w:keepNext/>
            <w:keepLines/>
            <w:tabs>
              <w:tab w:val="left" w:pos="-1440"/>
              <w:tab w:val="left" w:pos="-720"/>
            </w:tabs>
            <w:jc w:val="center"/>
            <w:rPr>
              <w:sz w:val="20"/>
              <w:szCs w:val="20"/>
            </w:rPr>
          </w:pPr>
        </w:p>
      </w:tc>
      <w:tc>
        <w:tcPr>
          <w:tcW w:w="4320" w:type="dxa"/>
          <w:tcMar>
            <w:left w:w="0" w:type="dxa"/>
            <w:right w:w="0" w:type="dxa"/>
          </w:tcMar>
        </w:tcPr>
        <w:p w:rsidR="00724899" w:rsidRPr="0044776A" w:rsidRDefault="00724899" w:rsidP="002E2327">
          <w:pPr>
            <w:keepLines/>
            <w:rPr>
              <w:sz w:val="20"/>
              <w:szCs w:val="20"/>
              <w:lang w:val="fr-CA"/>
            </w:rPr>
          </w:pPr>
          <w:r w:rsidRPr="0044776A">
            <w:rPr>
              <w:sz w:val="20"/>
              <w:szCs w:val="20"/>
              <w:lang w:val="fr-CA"/>
            </w:rPr>
            <w:t>DEMANDES D'AUTORISATION D'APPEL DÉPOSÉES</w:t>
          </w:r>
        </w:p>
      </w:tc>
    </w:tr>
  </w:tbl>
  <w:p w:rsidR="00724899" w:rsidRDefault="007248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rsidTr="00245129">
      <w:tc>
        <w:tcPr>
          <w:tcW w:w="4200" w:type="dxa"/>
          <w:tcMar>
            <w:left w:w="0" w:type="dxa"/>
            <w:right w:w="0" w:type="dxa"/>
          </w:tcMar>
        </w:tcPr>
        <w:p w:rsidR="00724899" w:rsidRPr="0044776A" w:rsidRDefault="00724899" w:rsidP="0044776A">
          <w:pPr>
            <w:keepNext/>
            <w:keepLines/>
            <w:widowControl w:val="0"/>
            <w:rPr>
              <w:sz w:val="20"/>
              <w:szCs w:val="20"/>
            </w:rPr>
          </w:pPr>
          <w:r>
            <w:rPr>
              <w:sz w:val="20"/>
              <w:szCs w:val="20"/>
            </w:rPr>
            <w:t>APPLICATIONS FOR LEAVE</w:t>
          </w:r>
        </w:p>
        <w:p w:rsidR="00724899" w:rsidRPr="0044776A" w:rsidRDefault="0072489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24899" w:rsidRPr="0044776A" w:rsidRDefault="00724899" w:rsidP="0044776A">
          <w:pPr>
            <w:keepNext/>
            <w:keepLines/>
            <w:widowControl w:val="0"/>
            <w:jc w:val="center"/>
            <w:rPr>
              <w:sz w:val="20"/>
              <w:szCs w:val="20"/>
            </w:rPr>
          </w:pPr>
        </w:p>
        <w:p w:rsidR="00724899" w:rsidRPr="0044776A" w:rsidRDefault="00724899" w:rsidP="0044776A">
          <w:pPr>
            <w:keepNext/>
            <w:keepLines/>
            <w:widowControl w:val="0"/>
            <w:jc w:val="center"/>
            <w:rPr>
              <w:sz w:val="20"/>
              <w:szCs w:val="20"/>
            </w:rPr>
          </w:pPr>
        </w:p>
        <w:p w:rsidR="00724899" w:rsidRPr="0044776A" w:rsidRDefault="00724899" w:rsidP="0044776A">
          <w:pPr>
            <w:keepNext/>
            <w:keepLines/>
            <w:widowControl w:val="0"/>
            <w:jc w:val="center"/>
            <w:rPr>
              <w:sz w:val="20"/>
              <w:szCs w:val="20"/>
            </w:rPr>
          </w:pPr>
        </w:p>
      </w:tc>
      <w:tc>
        <w:tcPr>
          <w:tcW w:w="4080" w:type="dxa"/>
          <w:tcMar>
            <w:left w:w="0" w:type="dxa"/>
            <w:right w:w="0" w:type="dxa"/>
          </w:tcMar>
        </w:tcPr>
        <w:p w:rsidR="00724899" w:rsidRPr="0044776A" w:rsidRDefault="00724899" w:rsidP="0044776A">
          <w:pPr>
            <w:keepLines/>
            <w:widowControl w:val="0"/>
            <w:rPr>
              <w:sz w:val="20"/>
              <w:szCs w:val="20"/>
              <w:lang w:val="fr-CA"/>
            </w:rPr>
          </w:pPr>
          <w:r w:rsidRPr="0044776A">
            <w:rPr>
              <w:sz w:val="20"/>
              <w:szCs w:val="20"/>
              <w:lang w:val="fr-CA"/>
            </w:rPr>
            <w:t>DEMANDES SOUMISES À LA COUR DEPUIS LA DERNIÈRE PARUTION</w:t>
          </w:r>
        </w:p>
        <w:p w:rsidR="00724899" w:rsidRPr="0044776A" w:rsidRDefault="00724899" w:rsidP="0044776A">
          <w:pPr>
            <w:widowControl w:val="0"/>
            <w:rPr>
              <w:sz w:val="20"/>
              <w:szCs w:val="20"/>
              <w:lang w:val="fr-CA"/>
            </w:rPr>
          </w:pPr>
        </w:p>
      </w:tc>
    </w:tr>
  </w:tbl>
  <w:p w:rsidR="00724899" w:rsidRPr="002E2327" w:rsidRDefault="0072489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99" w:rsidRDefault="007248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tc>
        <w:tcPr>
          <w:tcW w:w="4200" w:type="dxa"/>
          <w:tcMar>
            <w:left w:w="0" w:type="dxa"/>
            <w:right w:w="0" w:type="dxa"/>
          </w:tcMar>
        </w:tcPr>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24899"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24899"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4899" w:rsidRPr="00FF6BA5"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24899" w:rsidRPr="00FF6BA5"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24899" w:rsidRPr="00FF6BA5"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24899" w:rsidRPr="00FF6BA5" w:rsidRDefault="00724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24899" w:rsidRPr="00FA68AD" w:rsidTr="00245129">
      <w:tc>
        <w:tcPr>
          <w:tcW w:w="4200" w:type="dxa"/>
          <w:tcMar>
            <w:left w:w="0" w:type="dxa"/>
            <w:right w:w="0" w:type="dxa"/>
          </w:tcMar>
        </w:tcPr>
        <w:p w:rsidR="00724899" w:rsidRPr="00755F22"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24899" w:rsidRPr="00755F22" w:rsidRDefault="007248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24899" w:rsidRPr="00755F22" w:rsidRDefault="007248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4899" w:rsidRPr="00755F22" w:rsidRDefault="007248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4899" w:rsidRPr="00755F22" w:rsidRDefault="007248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24899" w:rsidRPr="00755F22" w:rsidRDefault="007248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24899" w:rsidRPr="00FF6BA5" w:rsidRDefault="0072489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7D0"/>
    <w:multiLevelType w:val="hybridMultilevel"/>
    <w:tmpl w:val="7108A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F14E2C"/>
    <w:multiLevelType w:val="hybridMultilevel"/>
    <w:tmpl w:val="1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41728"/>
    <w:multiLevelType w:val="hybridMultilevel"/>
    <w:tmpl w:val="42C0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B2D0D"/>
    <w:multiLevelType w:val="hybridMultilevel"/>
    <w:tmpl w:val="42C0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023659"/>
    <w:multiLevelType w:val="hybridMultilevel"/>
    <w:tmpl w:val="BB8A13E8"/>
    <w:lvl w:ilvl="0" w:tplc="FCBED15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A58C0"/>
    <w:multiLevelType w:val="hybridMultilevel"/>
    <w:tmpl w:val="7108A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F2448F"/>
    <w:multiLevelType w:val="hybridMultilevel"/>
    <w:tmpl w:val="15C2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00198"/>
    <w:multiLevelType w:val="hybridMultilevel"/>
    <w:tmpl w:val="D514FEB8"/>
    <w:lvl w:ilvl="0" w:tplc="93187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203A9182"/>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5795"/>
  </w:hdrShapeDefaults>
  <w:footnotePr>
    <w:footnote w:id="-1"/>
    <w:footnote w:id="0"/>
  </w:footnotePr>
  <w:endnotePr>
    <w:endnote w:id="-1"/>
    <w:endnote w:id="0"/>
  </w:endnotePr>
  <w:compat>
    <w:compatSetting w:name="compatibilityMode" w:uri="http://schemas.microsoft.com/office/word" w:val="12"/>
  </w:compat>
  <w:rsids>
    <w:rsidRoot w:val="00D13CF2"/>
    <w:rsid w:val="00011C08"/>
    <w:rsid w:val="0003223B"/>
    <w:rsid w:val="000327B2"/>
    <w:rsid w:val="00044705"/>
    <w:rsid w:val="0004528B"/>
    <w:rsid w:val="00065E5D"/>
    <w:rsid w:val="0007290A"/>
    <w:rsid w:val="00090BD5"/>
    <w:rsid w:val="00091FA6"/>
    <w:rsid w:val="000931B1"/>
    <w:rsid w:val="00096BD9"/>
    <w:rsid w:val="000B3C9A"/>
    <w:rsid w:val="000B40A2"/>
    <w:rsid w:val="000B4624"/>
    <w:rsid w:val="000B7AB6"/>
    <w:rsid w:val="000C0ACD"/>
    <w:rsid w:val="000C0D2A"/>
    <w:rsid w:val="000C5CE8"/>
    <w:rsid w:val="000D798A"/>
    <w:rsid w:val="000E2959"/>
    <w:rsid w:val="000F0B60"/>
    <w:rsid w:val="00102926"/>
    <w:rsid w:val="0010587F"/>
    <w:rsid w:val="00111C6B"/>
    <w:rsid w:val="0012102B"/>
    <w:rsid w:val="0013369E"/>
    <w:rsid w:val="00136639"/>
    <w:rsid w:val="00162E9D"/>
    <w:rsid w:val="00164E6D"/>
    <w:rsid w:val="00183454"/>
    <w:rsid w:val="001A64F9"/>
    <w:rsid w:val="001B157C"/>
    <w:rsid w:val="001B4006"/>
    <w:rsid w:val="001B5C23"/>
    <w:rsid w:val="001C5F86"/>
    <w:rsid w:val="001D0D5F"/>
    <w:rsid w:val="001D6B8C"/>
    <w:rsid w:val="001F1F83"/>
    <w:rsid w:val="001F32B3"/>
    <w:rsid w:val="001F40DF"/>
    <w:rsid w:val="002021A9"/>
    <w:rsid w:val="002139A7"/>
    <w:rsid w:val="00215F7C"/>
    <w:rsid w:val="0022323B"/>
    <w:rsid w:val="002410B8"/>
    <w:rsid w:val="00242AEE"/>
    <w:rsid w:val="00245129"/>
    <w:rsid w:val="00245879"/>
    <w:rsid w:val="00267FD5"/>
    <w:rsid w:val="00274D34"/>
    <w:rsid w:val="00283ED8"/>
    <w:rsid w:val="002868D0"/>
    <w:rsid w:val="00295212"/>
    <w:rsid w:val="002A008C"/>
    <w:rsid w:val="002A27D1"/>
    <w:rsid w:val="002A4AFA"/>
    <w:rsid w:val="002B23D5"/>
    <w:rsid w:val="002B3817"/>
    <w:rsid w:val="002B516C"/>
    <w:rsid w:val="002D039E"/>
    <w:rsid w:val="002D72EB"/>
    <w:rsid w:val="002E2327"/>
    <w:rsid w:val="002E3583"/>
    <w:rsid w:val="002E5576"/>
    <w:rsid w:val="003148A1"/>
    <w:rsid w:val="003172C2"/>
    <w:rsid w:val="003200C7"/>
    <w:rsid w:val="00331B52"/>
    <w:rsid w:val="003359D3"/>
    <w:rsid w:val="00355967"/>
    <w:rsid w:val="00360FDC"/>
    <w:rsid w:val="00382C47"/>
    <w:rsid w:val="00384384"/>
    <w:rsid w:val="003866AE"/>
    <w:rsid w:val="003B3977"/>
    <w:rsid w:val="003E1D4C"/>
    <w:rsid w:val="003F192B"/>
    <w:rsid w:val="003F64A6"/>
    <w:rsid w:val="00432989"/>
    <w:rsid w:val="00440E24"/>
    <w:rsid w:val="0044776A"/>
    <w:rsid w:val="00460AFC"/>
    <w:rsid w:val="00473258"/>
    <w:rsid w:val="0047471F"/>
    <w:rsid w:val="0047481C"/>
    <w:rsid w:val="00496EB7"/>
    <w:rsid w:val="004B195E"/>
    <w:rsid w:val="004B3D85"/>
    <w:rsid w:val="004B66B4"/>
    <w:rsid w:val="004B7F60"/>
    <w:rsid w:val="004C1AAC"/>
    <w:rsid w:val="004E1E0A"/>
    <w:rsid w:val="004F090E"/>
    <w:rsid w:val="00501F3C"/>
    <w:rsid w:val="0052229C"/>
    <w:rsid w:val="00527CC7"/>
    <w:rsid w:val="00562B40"/>
    <w:rsid w:val="00571CA4"/>
    <w:rsid w:val="00582136"/>
    <w:rsid w:val="00584F7D"/>
    <w:rsid w:val="005C6840"/>
    <w:rsid w:val="005E0F27"/>
    <w:rsid w:val="005F1ED8"/>
    <w:rsid w:val="005F263E"/>
    <w:rsid w:val="00600252"/>
    <w:rsid w:val="00602C96"/>
    <w:rsid w:val="00612A40"/>
    <w:rsid w:val="0062714A"/>
    <w:rsid w:val="00675479"/>
    <w:rsid w:val="00680709"/>
    <w:rsid w:val="00696BF9"/>
    <w:rsid w:val="00697C62"/>
    <w:rsid w:val="006A2B6A"/>
    <w:rsid w:val="006A329B"/>
    <w:rsid w:val="006A7EB8"/>
    <w:rsid w:val="006B6926"/>
    <w:rsid w:val="006B7E8F"/>
    <w:rsid w:val="006C3F47"/>
    <w:rsid w:val="006C5F7A"/>
    <w:rsid w:val="006E06AF"/>
    <w:rsid w:val="006F350F"/>
    <w:rsid w:val="00716777"/>
    <w:rsid w:val="00724899"/>
    <w:rsid w:val="00732DB7"/>
    <w:rsid w:val="00740146"/>
    <w:rsid w:val="0074238B"/>
    <w:rsid w:val="00744F78"/>
    <w:rsid w:val="00745EF7"/>
    <w:rsid w:val="00755F22"/>
    <w:rsid w:val="00766E4A"/>
    <w:rsid w:val="007820CE"/>
    <w:rsid w:val="00782AE4"/>
    <w:rsid w:val="00793276"/>
    <w:rsid w:val="0079724F"/>
    <w:rsid w:val="007A3EAE"/>
    <w:rsid w:val="007C04FC"/>
    <w:rsid w:val="007C47C2"/>
    <w:rsid w:val="007D3E0F"/>
    <w:rsid w:val="007D58BB"/>
    <w:rsid w:val="007E4282"/>
    <w:rsid w:val="007F387B"/>
    <w:rsid w:val="00802863"/>
    <w:rsid w:val="00815B3C"/>
    <w:rsid w:val="0081610A"/>
    <w:rsid w:val="00817EFC"/>
    <w:rsid w:val="0082783A"/>
    <w:rsid w:val="0083184B"/>
    <w:rsid w:val="00831CA9"/>
    <w:rsid w:val="00850E1F"/>
    <w:rsid w:val="0085476B"/>
    <w:rsid w:val="0086340B"/>
    <w:rsid w:val="00864A27"/>
    <w:rsid w:val="00873C4B"/>
    <w:rsid w:val="00874764"/>
    <w:rsid w:val="00890FEB"/>
    <w:rsid w:val="00895E7E"/>
    <w:rsid w:val="008A5C1A"/>
    <w:rsid w:val="008D292F"/>
    <w:rsid w:val="008D6F14"/>
    <w:rsid w:val="008E03DC"/>
    <w:rsid w:val="00902E51"/>
    <w:rsid w:val="00924065"/>
    <w:rsid w:val="00930D68"/>
    <w:rsid w:val="00932DB4"/>
    <w:rsid w:val="00941A4B"/>
    <w:rsid w:val="00943277"/>
    <w:rsid w:val="00946242"/>
    <w:rsid w:val="0095096B"/>
    <w:rsid w:val="009559D2"/>
    <w:rsid w:val="0096146C"/>
    <w:rsid w:val="00970CD3"/>
    <w:rsid w:val="009723FA"/>
    <w:rsid w:val="00984546"/>
    <w:rsid w:val="00996510"/>
    <w:rsid w:val="009A31D7"/>
    <w:rsid w:val="009A36D5"/>
    <w:rsid w:val="009D1F15"/>
    <w:rsid w:val="009D46F4"/>
    <w:rsid w:val="009D555E"/>
    <w:rsid w:val="009F3024"/>
    <w:rsid w:val="00A0355E"/>
    <w:rsid w:val="00A07C92"/>
    <w:rsid w:val="00A25F6E"/>
    <w:rsid w:val="00A26320"/>
    <w:rsid w:val="00A35E3C"/>
    <w:rsid w:val="00A375D1"/>
    <w:rsid w:val="00A51D10"/>
    <w:rsid w:val="00A52A83"/>
    <w:rsid w:val="00A6552C"/>
    <w:rsid w:val="00A85397"/>
    <w:rsid w:val="00A87207"/>
    <w:rsid w:val="00A935AA"/>
    <w:rsid w:val="00A956D3"/>
    <w:rsid w:val="00A9703B"/>
    <w:rsid w:val="00AA2BA5"/>
    <w:rsid w:val="00AB2201"/>
    <w:rsid w:val="00AD3259"/>
    <w:rsid w:val="00AF1715"/>
    <w:rsid w:val="00AF3904"/>
    <w:rsid w:val="00B010C0"/>
    <w:rsid w:val="00B10038"/>
    <w:rsid w:val="00B31B79"/>
    <w:rsid w:val="00B4740D"/>
    <w:rsid w:val="00B61629"/>
    <w:rsid w:val="00B7374B"/>
    <w:rsid w:val="00B86316"/>
    <w:rsid w:val="00B90DC0"/>
    <w:rsid w:val="00BA0DCE"/>
    <w:rsid w:val="00BA116A"/>
    <w:rsid w:val="00BA5582"/>
    <w:rsid w:val="00BA6468"/>
    <w:rsid w:val="00BB1D44"/>
    <w:rsid w:val="00BD06DA"/>
    <w:rsid w:val="00BD4217"/>
    <w:rsid w:val="00BD4EFB"/>
    <w:rsid w:val="00BF25F3"/>
    <w:rsid w:val="00C07E3D"/>
    <w:rsid w:val="00C1395A"/>
    <w:rsid w:val="00C1697B"/>
    <w:rsid w:val="00C21644"/>
    <w:rsid w:val="00C21CB5"/>
    <w:rsid w:val="00C3299A"/>
    <w:rsid w:val="00C50A5C"/>
    <w:rsid w:val="00C50FDF"/>
    <w:rsid w:val="00C63381"/>
    <w:rsid w:val="00C73D06"/>
    <w:rsid w:val="00C73E1B"/>
    <w:rsid w:val="00C759B4"/>
    <w:rsid w:val="00C77713"/>
    <w:rsid w:val="00C81BAD"/>
    <w:rsid w:val="00C85BB7"/>
    <w:rsid w:val="00C87D55"/>
    <w:rsid w:val="00CA2DEA"/>
    <w:rsid w:val="00CB3520"/>
    <w:rsid w:val="00CB43D5"/>
    <w:rsid w:val="00CC4D84"/>
    <w:rsid w:val="00CC5803"/>
    <w:rsid w:val="00CE198A"/>
    <w:rsid w:val="00CE456F"/>
    <w:rsid w:val="00CF08C8"/>
    <w:rsid w:val="00D004FC"/>
    <w:rsid w:val="00D13CF2"/>
    <w:rsid w:val="00D13F89"/>
    <w:rsid w:val="00D64901"/>
    <w:rsid w:val="00D747B2"/>
    <w:rsid w:val="00D76BDF"/>
    <w:rsid w:val="00D862C1"/>
    <w:rsid w:val="00D93B50"/>
    <w:rsid w:val="00D94028"/>
    <w:rsid w:val="00D94670"/>
    <w:rsid w:val="00DA46F6"/>
    <w:rsid w:val="00DA4AE3"/>
    <w:rsid w:val="00DB1173"/>
    <w:rsid w:val="00DD0B49"/>
    <w:rsid w:val="00DE0502"/>
    <w:rsid w:val="00DE349D"/>
    <w:rsid w:val="00E06DFA"/>
    <w:rsid w:val="00E20A0A"/>
    <w:rsid w:val="00E24D17"/>
    <w:rsid w:val="00E356C7"/>
    <w:rsid w:val="00E41A5A"/>
    <w:rsid w:val="00E45FE4"/>
    <w:rsid w:val="00E56822"/>
    <w:rsid w:val="00E576C5"/>
    <w:rsid w:val="00E64FA7"/>
    <w:rsid w:val="00E770CB"/>
    <w:rsid w:val="00E8216E"/>
    <w:rsid w:val="00E903A1"/>
    <w:rsid w:val="00E940EB"/>
    <w:rsid w:val="00E9703F"/>
    <w:rsid w:val="00EB2B90"/>
    <w:rsid w:val="00ED0CA0"/>
    <w:rsid w:val="00ED7E83"/>
    <w:rsid w:val="00EE091F"/>
    <w:rsid w:val="00EF4B63"/>
    <w:rsid w:val="00F0068D"/>
    <w:rsid w:val="00F0576D"/>
    <w:rsid w:val="00F14E6D"/>
    <w:rsid w:val="00F15EA8"/>
    <w:rsid w:val="00F16C8D"/>
    <w:rsid w:val="00F26C61"/>
    <w:rsid w:val="00F27688"/>
    <w:rsid w:val="00F33CCE"/>
    <w:rsid w:val="00F365D4"/>
    <w:rsid w:val="00F40249"/>
    <w:rsid w:val="00F4382D"/>
    <w:rsid w:val="00F462AA"/>
    <w:rsid w:val="00F526C8"/>
    <w:rsid w:val="00F66694"/>
    <w:rsid w:val="00F761A3"/>
    <w:rsid w:val="00F77E6D"/>
    <w:rsid w:val="00F9272D"/>
    <w:rsid w:val="00F9518C"/>
    <w:rsid w:val="00FA316E"/>
    <w:rsid w:val="00FA59EF"/>
    <w:rsid w:val="00FA68AD"/>
    <w:rsid w:val="00FB19A2"/>
    <w:rsid w:val="00FC08A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E456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F32B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F32B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559D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87D5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7290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7290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7290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F365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365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365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87476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817EF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3/2013onca685/2013onca685.html?searchUrlHash=AAAAAQANMjAxMyBPTkNBIDY4NQAAAAAB" TargetMode="External"/><Relationship Id="rId117" Type="http://schemas.openxmlformats.org/officeDocument/2006/relationships/footer" Target="footer26.xml"/><Relationship Id="rId21" Type="http://schemas.openxmlformats.org/officeDocument/2006/relationships/footer" Target="footer6.xml"/><Relationship Id="rId42" Type="http://schemas.openxmlformats.org/officeDocument/2006/relationships/hyperlink" Target="http://www.canlii.org/en/on/onsc/doc/2011/2011onsc6711/2011onsc6711.html" TargetMode="External"/><Relationship Id="rId47" Type="http://schemas.openxmlformats.org/officeDocument/2006/relationships/hyperlink" Target="http://canlii.ca/t/fx3vr" TargetMode="External"/><Relationship Id="rId63" Type="http://schemas.openxmlformats.org/officeDocument/2006/relationships/hyperlink" Target="http://www.canlii.org/en/ca/tcc/doc/2012/2012tcc325/2012tcc325.html" TargetMode="External"/><Relationship Id="rId68" Type="http://schemas.openxmlformats.org/officeDocument/2006/relationships/hyperlink" Target="http://canlii.ca/t/g2kbx" TargetMode="External"/><Relationship Id="rId84" Type="http://schemas.openxmlformats.org/officeDocument/2006/relationships/header" Target="header13.xml"/><Relationship Id="rId89" Type="http://schemas.openxmlformats.org/officeDocument/2006/relationships/footer" Target="footer15.xml"/><Relationship Id="rId112" Type="http://schemas.openxmlformats.org/officeDocument/2006/relationships/header" Target="header25.xml"/><Relationship Id="rId16" Type="http://schemas.openxmlformats.org/officeDocument/2006/relationships/header" Target="header4.xml"/><Relationship Id="rId107" Type="http://schemas.openxmlformats.org/officeDocument/2006/relationships/footer" Target="footer22.xml"/><Relationship Id="rId11" Type="http://schemas.openxmlformats.org/officeDocument/2006/relationships/header" Target="header2.xml"/><Relationship Id="rId32" Type="http://schemas.openxmlformats.org/officeDocument/2006/relationships/hyperlink" Target="http://canlii.ca/t/fvzcs" TargetMode="External"/><Relationship Id="rId37" Type="http://schemas.openxmlformats.org/officeDocument/2006/relationships/hyperlink" Target="http://www.canlii.org/en/ab/abca/doc/2013/2013abca443/2013abca443.html" TargetMode="External"/><Relationship Id="rId53" Type="http://schemas.openxmlformats.org/officeDocument/2006/relationships/hyperlink" Target="http://www.canlii.org/en/bc/bcca/doc/2013/2013bcca559/2013bcca559.html?searchUrlHash=AAAAAQAOMjAxMyBCQ0NBIDU1OSAAAAAAAQ" TargetMode="External"/><Relationship Id="rId58" Type="http://schemas.openxmlformats.org/officeDocument/2006/relationships/hyperlink" Target="http://www.canlii.org/en/ab/abqb/doc/2011/2011abqb632/2011abqb632.html?searchUrlHash=AAAAAQANMjAxMSBhYnFiIDYzMgAAAAAB" TargetMode="External"/><Relationship Id="rId74" Type="http://schemas.openxmlformats.org/officeDocument/2006/relationships/header" Target="header8.xml"/><Relationship Id="rId79" Type="http://schemas.openxmlformats.org/officeDocument/2006/relationships/footer" Target="footer10.xml"/><Relationship Id="rId102" Type="http://schemas.openxmlformats.org/officeDocument/2006/relationships/header" Target="header20.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anlii.org/en/ab/abqb/doc/2011/2011abqb632/2011abqb632.html?searchUrlHash=AAAAAQANMjAxMSBhYnFiIDYzMgAAAAAB" TargetMode="External"/><Relationship Id="rId82" Type="http://schemas.openxmlformats.org/officeDocument/2006/relationships/footer" Target="footer11.xml"/><Relationship Id="rId90" Type="http://schemas.openxmlformats.org/officeDocument/2006/relationships/header" Target="header16.xml"/><Relationship Id="rId95" Type="http://schemas.openxmlformats.org/officeDocument/2006/relationships/footer" Target="footer1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3/2013onca685/2013onca685.html?searchUrlHash=AAAAAQANMjAxMyBPTkNBIDY4NQAAAAAB" TargetMode="External"/><Relationship Id="rId30" Type="http://schemas.openxmlformats.org/officeDocument/2006/relationships/hyperlink" Target="http://canlii.ca/t/fvzcs" TargetMode="External"/><Relationship Id="rId35" Type="http://schemas.openxmlformats.org/officeDocument/2006/relationships/hyperlink" Target="http://www.canlii.org/en/ab/abca/doc/2013/2013abca443/2013abca443.html" TargetMode="External"/><Relationship Id="rId43" Type="http://schemas.openxmlformats.org/officeDocument/2006/relationships/hyperlink" Target="http://canlii.ca/t/fznz3" TargetMode="External"/><Relationship Id="rId48" Type="http://schemas.openxmlformats.org/officeDocument/2006/relationships/hyperlink" Target="http://canlii.ca/t/g2qn2" TargetMode="External"/><Relationship Id="rId56" Type="http://schemas.openxmlformats.org/officeDocument/2006/relationships/hyperlink" Target="http://www.canlii.org/en/bc/bcca/doc/2013/2013bcca559/2013bcca559.html?searchUrlHash=AAAAAQAOMjAxMyBCQ0NBIDU1OSAAAAAAAQ" TargetMode="External"/><Relationship Id="rId64" Type="http://schemas.openxmlformats.org/officeDocument/2006/relationships/hyperlink" Target="http://www.canlii.org/en/ca/fca/doc/2013/2013fca283/2013fca283.html" TargetMode="External"/><Relationship Id="rId69" Type="http://schemas.openxmlformats.org/officeDocument/2006/relationships/hyperlink" Target="http://www.canlii.org/en/bc/bcca/doc/2014/2014bcca10/2014bcca10.html" TargetMode="External"/><Relationship Id="rId77" Type="http://schemas.openxmlformats.org/officeDocument/2006/relationships/footer" Target="footer9.xml"/><Relationship Id="rId100" Type="http://schemas.openxmlformats.org/officeDocument/2006/relationships/hyperlink" Target="http://www.scc-csc.ca/case-dossier/info/sum-som-eng.aspx?cas=35353" TargetMode="External"/><Relationship Id="rId105" Type="http://schemas.openxmlformats.org/officeDocument/2006/relationships/footer" Target="footer21.xml"/><Relationship Id="rId113" Type="http://schemas.openxmlformats.org/officeDocument/2006/relationships/footer" Target="footer25.xml"/><Relationship Id="rId118" Type="http://schemas.openxmlformats.org/officeDocument/2006/relationships/footer" Target="footer27.xml"/><Relationship Id="rId8" Type="http://schemas.openxmlformats.org/officeDocument/2006/relationships/hyperlink" Target="http://www.scc-csc.ca" TargetMode="External"/><Relationship Id="rId51" Type="http://schemas.openxmlformats.org/officeDocument/2006/relationships/hyperlink" Target="http://www.canlii.org/en/bc/bcsc/doc/2011/2011bcsc1440/2011bcsc1440.html?searchUrlHash=AAAAAQAOMjAxMSBCQ1NDIDE0NDAAAAAAAQ" TargetMode="External"/><Relationship Id="rId72" Type="http://schemas.openxmlformats.org/officeDocument/2006/relationships/hyperlink" Target="http://www.canlii.org/en/qc/qccs/doc/2013/2013qccs1492/2013qccs1492.html" TargetMode="External"/><Relationship Id="rId80" Type="http://schemas.openxmlformats.org/officeDocument/2006/relationships/header" Target="header11.xml"/><Relationship Id="rId85" Type="http://schemas.openxmlformats.org/officeDocument/2006/relationships/footer" Target="footer13.xml"/><Relationship Id="rId93" Type="http://schemas.openxmlformats.org/officeDocument/2006/relationships/header" Target="header18.xml"/><Relationship Id="rId98" Type="http://schemas.openxmlformats.org/officeDocument/2006/relationships/hyperlink" Target="http://www.scc-csc.ca/case-dossier/info/sum-som-eng.aspx?cas=35422" TargetMode="External"/><Relationship Id="rId121" Type="http://schemas.openxmlformats.org/officeDocument/2006/relationships/header" Target="header2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0x9n" TargetMode="External"/><Relationship Id="rId33" Type="http://schemas.openxmlformats.org/officeDocument/2006/relationships/hyperlink" Target="http://canlii.ca/t/g270q" TargetMode="External"/><Relationship Id="rId38" Type="http://schemas.openxmlformats.org/officeDocument/2006/relationships/hyperlink" Target="http://canlii.ca/t/fphlr" TargetMode="External"/><Relationship Id="rId46" Type="http://schemas.openxmlformats.org/officeDocument/2006/relationships/hyperlink" Target="http://canlii.ca/t/g2d2d" TargetMode="External"/><Relationship Id="rId59" Type="http://schemas.openxmlformats.org/officeDocument/2006/relationships/hyperlink" Target="http://www.canlii.org/en/ab/abca/doc/2014/2014abca1/2014abca1.html?searchUrlHash=AAAAAQALMjAxNCBBQkNBIDEAAAAAAQ" TargetMode="External"/><Relationship Id="rId67" Type="http://schemas.openxmlformats.org/officeDocument/2006/relationships/hyperlink" Target="http://canlii.ca/t/g2kbx" TargetMode="External"/><Relationship Id="rId103" Type="http://schemas.openxmlformats.org/officeDocument/2006/relationships/header" Target="header21.xml"/><Relationship Id="rId108" Type="http://schemas.openxmlformats.org/officeDocument/2006/relationships/header" Target="header23.xml"/><Relationship Id="rId116" Type="http://schemas.openxmlformats.org/officeDocument/2006/relationships/header" Target="header27.xml"/><Relationship Id="rId124"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canlii.ca/t/g2fjs" TargetMode="External"/><Relationship Id="rId54" Type="http://schemas.openxmlformats.org/officeDocument/2006/relationships/hyperlink" Target="http://www.canlii.org/en/bc/bcsc/doc/2011/2011bcsc1440/2011bcsc1440.html?searchUrlHash=AAAAAQAOMjAxMSBCQ1NDIDE0NDAAAAAAAQ" TargetMode="External"/><Relationship Id="rId62" Type="http://schemas.openxmlformats.org/officeDocument/2006/relationships/hyperlink" Target="http://www.canlii.org/en/ab/abca/doc/2014/2014abca1/2014abca1.html?searchUrlHash=AAAAAQALMjAxNCBBQkNBIDEAAAAAAQ" TargetMode="External"/><Relationship Id="rId70" Type="http://schemas.openxmlformats.org/officeDocument/2006/relationships/hyperlink" Target="http://www.canlii.org/en/bc/bcsc/doc/2012/2012bcsc1308/2012bcsc1308.html" TargetMode="External"/><Relationship Id="rId75" Type="http://schemas.openxmlformats.org/officeDocument/2006/relationships/header" Target="header9.xml"/><Relationship Id="rId83" Type="http://schemas.openxmlformats.org/officeDocument/2006/relationships/footer" Target="footer12.xml"/><Relationship Id="rId88" Type="http://schemas.openxmlformats.org/officeDocument/2006/relationships/footer" Target="footer14.xml"/><Relationship Id="rId91" Type="http://schemas.openxmlformats.org/officeDocument/2006/relationships/footer" Target="footer16.xml"/><Relationship Id="rId96" Type="http://schemas.openxmlformats.org/officeDocument/2006/relationships/header" Target="header19.xml"/><Relationship Id="rId11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0x9r" TargetMode="External"/><Relationship Id="rId36" Type="http://schemas.openxmlformats.org/officeDocument/2006/relationships/hyperlink" Target="http://www.canlii.org/en/ab/abqb/doc/2012/2012abqb579/2012abqb579.html" TargetMode="External"/><Relationship Id="rId49" Type="http://schemas.openxmlformats.org/officeDocument/2006/relationships/hyperlink" Target="http://canlii.ca/t/fx3vr" TargetMode="External"/><Relationship Id="rId57" Type="http://schemas.openxmlformats.org/officeDocument/2006/relationships/hyperlink" Target="http://www.canlii.org/en/ab/abqb/doc/2011/2011abqb572/2011abqb572.html?searchUrlHash=AAAAAQANMjAxMSBBQlFCIDU3MgAAAAAB" TargetMode="External"/><Relationship Id="rId106" Type="http://schemas.openxmlformats.org/officeDocument/2006/relationships/header" Target="header22.xml"/><Relationship Id="rId114" Type="http://schemas.openxmlformats.org/officeDocument/2006/relationships/hyperlink" Target="http://www.scc-csc.ca/case-dossier/info/sum-som-eng.aspx?cas=34884" TargetMode="External"/><Relationship Id="rId119"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yperlink" Target="http://canlii.ca/t/g270q" TargetMode="External"/><Relationship Id="rId44" Type="http://schemas.openxmlformats.org/officeDocument/2006/relationships/hyperlink" Target="http://canlii.ca/t/g2d2d" TargetMode="External"/><Relationship Id="rId52" Type="http://schemas.openxmlformats.org/officeDocument/2006/relationships/hyperlink" Target="http://www.canlii.org/en/bc/bcsc/doc/2013/2013bcsc374/2013bcsc374.html?searchUrlHash=AAAAAQANMjAxMyBCQ1NDIDM3NAAAAAAB" TargetMode="External"/><Relationship Id="rId60" Type="http://schemas.openxmlformats.org/officeDocument/2006/relationships/hyperlink" Target="http://www.canlii.org/en/ab/abqb/doc/2011/2011abqb572/2011abqb572.html?searchUrlHash=AAAAAQANMjAxMSBBQlFCIDU3MgAAAAAB" TargetMode="External"/><Relationship Id="rId65" Type="http://schemas.openxmlformats.org/officeDocument/2006/relationships/hyperlink" Target="http://www.canlii.org/en/ca/tcc/doc/2012/2012tcc325/2012tcc325.html" TargetMode="External"/><Relationship Id="rId73" Type="http://schemas.openxmlformats.org/officeDocument/2006/relationships/hyperlink" Target="http://www.canlii.org/en/qc/qcca/doc/2014/2014qcca85/2014qcca85.html" TargetMode="External"/><Relationship Id="rId78" Type="http://schemas.openxmlformats.org/officeDocument/2006/relationships/header" Target="header10.xml"/><Relationship Id="rId81" Type="http://schemas.openxmlformats.org/officeDocument/2006/relationships/header" Target="header12.xml"/><Relationship Id="rId86" Type="http://schemas.openxmlformats.org/officeDocument/2006/relationships/header" Target="header14.xml"/><Relationship Id="rId94" Type="http://schemas.openxmlformats.org/officeDocument/2006/relationships/footer" Target="footer17.xml"/><Relationship Id="rId99" Type="http://schemas.openxmlformats.org/officeDocument/2006/relationships/hyperlink" Target="http://www.scc-csc.ca/case-dossier/info/sum-som-eng.aspx?cas=35399" TargetMode="External"/><Relationship Id="rId101" Type="http://schemas.openxmlformats.org/officeDocument/2006/relationships/hyperlink" Target="http://www.scc-csc.ca/case-dossier/info/sum-som-eng.aspx?cas=35379" TargetMode="External"/><Relationship Id="rId122"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2fjs" TargetMode="External"/><Relationship Id="rId109" Type="http://schemas.openxmlformats.org/officeDocument/2006/relationships/header" Target="header24.xml"/><Relationship Id="rId34" Type="http://schemas.openxmlformats.org/officeDocument/2006/relationships/hyperlink" Target="http://www.canlii.org/en/ab/abqb/doc/2012/2012abqb579/2012abqb579.html" TargetMode="External"/><Relationship Id="rId50" Type="http://schemas.openxmlformats.org/officeDocument/2006/relationships/hyperlink" Target="http://canlii.ca/t/g2qn2" TargetMode="External"/><Relationship Id="rId55" Type="http://schemas.openxmlformats.org/officeDocument/2006/relationships/hyperlink" Target="http://www.canlii.org/en/bc/bcsc/doc/2013/2013bcsc374/2013bcsc374.html?searchUrlHash=AAAAAQANMjAxMyBCQ1NDIDM3NAAAAAAB" TargetMode="External"/><Relationship Id="rId76" Type="http://schemas.openxmlformats.org/officeDocument/2006/relationships/footer" Target="footer8.xml"/><Relationship Id="rId97" Type="http://schemas.openxmlformats.org/officeDocument/2006/relationships/footer" Target="footer19.xml"/><Relationship Id="rId104" Type="http://schemas.openxmlformats.org/officeDocument/2006/relationships/footer" Target="footer20.xml"/><Relationship Id="rId120" Type="http://schemas.openxmlformats.org/officeDocument/2006/relationships/footer" Target="footer28.xml"/><Relationship Id="rId7" Type="http://schemas.openxmlformats.org/officeDocument/2006/relationships/image" Target="media/image1.wmf"/><Relationship Id="rId71" Type="http://schemas.openxmlformats.org/officeDocument/2006/relationships/hyperlink" Target="http://www.canlii.org/en/bc/bcca/doc/2014/2014bcca10/2014bcca10.html" TargetMode="External"/><Relationship Id="rId92"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canlii.ca/t/g0x9r" TargetMode="External"/><Relationship Id="rId24" Type="http://schemas.openxmlformats.org/officeDocument/2006/relationships/hyperlink" Target="http://canlii.ca/t/g0x9n" TargetMode="External"/><Relationship Id="rId40" Type="http://schemas.openxmlformats.org/officeDocument/2006/relationships/hyperlink" Target="http://canlii.ca/t/fphlr" TargetMode="External"/><Relationship Id="rId45" Type="http://schemas.openxmlformats.org/officeDocument/2006/relationships/hyperlink" Target="http://canlii.ca/t/fznz3" TargetMode="External"/><Relationship Id="rId66" Type="http://schemas.openxmlformats.org/officeDocument/2006/relationships/hyperlink" Target="http://www.canlii.org/en/ca/fca/doc/2013/2013fca283/2013fca283.html" TargetMode="External"/><Relationship Id="rId87" Type="http://schemas.openxmlformats.org/officeDocument/2006/relationships/header" Target="header15.xml"/><Relationship Id="rId110" Type="http://schemas.openxmlformats.org/officeDocument/2006/relationships/footer" Target="footer23.xml"/><Relationship Id="rId11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29223</Words>
  <Characters>166577</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2014-05-12T12:17:00Z</dcterms:created>
  <dcterms:modified xsi:type="dcterms:W3CDTF">2015-12-04T16:13:00Z</dcterms:modified>
</cp:coreProperties>
</file>