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bookmarkStart w:id="0" w:name="_GoBack"/>
      <w:bookmarkEnd w:id="0"/>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167F64"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167F6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67F64"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167F6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167F64"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167F64"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167F64"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7C1059" w:rsidP="00F0068D">
      <w:pPr>
        <w:pBdr>
          <w:bottom w:val="single" w:sz="6" w:space="1" w:color="auto"/>
        </w:pBdr>
        <w:tabs>
          <w:tab w:val="center" w:pos="4680"/>
          <w:tab w:val="right" w:pos="9360"/>
        </w:tabs>
        <w:rPr>
          <w:lang w:val="fr-CA"/>
        </w:rPr>
      </w:pPr>
      <w:r>
        <w:rPr>
          <w:lang w:val="fr-CA"/>
        </w:rPr>
        <w:t>February 9</w:t>
      </w:r>
      <w:r w:rsidR="00440E24" w:rsidRPr="00675479">
        <w:rPr>
          <w:lang w:val="fr-CA"/>
        </w:rPr>
        <w:t>, 201</w:t>
      </w:r>
      <w:r>
        <w:rPr>
          <w:lang w:val="fr-CA"/>
        </w:rPr>
        <w:t>8</w:t>
      </w:r>
      <w:r w:rsidR="00F0068D" w:rsidRPr="00675479">
        <w:rPr>
          <w:lang w:val="fr-CA"/>
        </w:rPr>
        <w:tab/>
        <w:t>1</w:t>
      </w:r>
      <w:r w:rsidR="00FD0390">
        <w:rPr>
          <w:lang w:val="fr-CA"/>
        </w:rPr>
        <w:t>48</w:t>
      </w:r>
      <w:r w:rsidR="00F0068D" w:rsidRPr="00675479">
        <w:rPr>
          <w:lang w:val="fr-CA"/>
        </w:rPr>
        <w:t xml:space="preserve"> - </w:t>
      </w:r>
      <w:r w:rsidR="00855B20">
        <w:rPr>
          <w:lang w:val="fr-CA"/>
        </w:rPr>
        <w:t>18</w:t>
      </w:r>
      <w:r w:rsidR="00C508AC">
        <w:rPr>
          <w:lang w:val="fr-CA"/>
        </w:rPr>
        <w:t>3</w:t>
      </w:r>
      <w:r w:rsidR="00440E24" w:rsidRPr="00675479">
        <w:rPr>
          <w:lang w:val="fr-CA"/>
        </w:rPr>
        <w:tab/>
      </w:r>
      <w:r w:rsidR="00440E24" w:rsidRPr="002E2327">
        <w:rPr>
          <w:lang w:val="fr-CA"/>
        </w:rPr>
        <w:t>Le</w:t>
      </w:r>
      <w:r w:rsidR="00C73D06">
        <w:rPr>
          <w:lang w:val="fr-CA"/>
        </w:rPr>
        <w:t xml:space="preserve"> </w:t>
      </w:r>
      <w:r>
        <w:rPr>
          <w:lang w:val="fr-CA"/>
        </w:rPr>
        <w:t>9 février 2018</w:t>
      </w:r>
    </w:p>
    <w:p w:rsidR="00440E24" w:rsidRPr="00675479" w:rsidRDefault="00440E24" w:rsidP="00440E24">
      <w:pPr>
        <w:pBdr>
          <w:bottom w:val="single" w:sz="6" w:space="1" w:color="auto"/>
        </w:pBdr>
        <w:tabs>
          <w:tab w:val="right" w:pos="9360"/>
        </w:tabs>
        <w:rPr>
          <w:lang w:val="fr-CA"/>
        </w:rPr>
      </w:pPr>
    </w:p>
    <w:p w:rsidR="00440E24" w:rsidRPr="003A01D0" w:rsidRDefault="00440E24" w:rsidP="00440E24">
      <w:pPr>
        <w:pBdr>
          <w:bottom w:val="single" w:sz="6" w:space="1" w:color="auto"/>
        </w:pBdr>
        <w:tabs>
          <w:tab w:val="right" w:pos="9360"/>
        </w:tabs>
        <w:rPr>
          <w:sz w:val="18"/>
          <w:szCs w:val="18"/>
          <w:lang w:val="en-US"/>
        </w:rPr>
      </w:pPr>
      <w:r w:rsidRPr="003A01D0">
        <w:rPr>
          <w:sz w:val="18"/>
          <w:szCs w:val="18"/>
          <w:lang w:val="en-US"/>
        </w:rPr>
        <w:t>© Supreme Court of Canada (</w:t>
      </w:r>
      <w:r w:rsidR="0030050B" w:rsidRPr="003A01D0">
        <w:rPr>
          <w:sz w:val="18"/>
          <w:szCs w:val="18"/>
          <w:lang w:val="en-US"/>
        </w:rPr>
        <w:t>201</w:t>
      </w:r>
      <w:r w:rsidR="003A01D0" w:rsidRPr="003A01D0">
        <w:rPr>
          <w:sz w:val="18"/>
          <w:szCs w:val="18"/>
          <w:lang w:val="en-US"/>
        </w:rPr>
        <w:t>8</w:t>
      </w:r>
      <w:r w:rsidRPr="003A01D0">
        <w:rPr>
          <w:sz w:val="18"/>
          <w:szCs w:val="18"/>
          <w:lang w:val="en-US"/>
        </w:rPr>
        <w:t>)</w:t>
      </w:r>
      <w:r w:rsidRPr="003A01D0">
        <w:rPr>
          <w:sz w:val="18"/>
          <w:szCs w:val="18"/>
          <w:lang w:val="en-US"/>
        </w:rPr>
        <w:tab/>
        <w:t>© Cour suprême du Canada (</w:t>
      </w:r>
      <w:r w:rsidR="0030050B" w:rsidRPr="003A01D0">
        <w:rPr>
          <w:sz w:val="18"/>
          <w:szCs w:val="18"/>
          <w:lang w:val="en-US"/>
        </w:rPr>
        <w:t>201</w:t>
      </w:r>
      <w:r w:rsidR="003A01D0" w:rsidRPr="003A01D0">
        <w:rPr>
          <w:sz w:val="18"/>
          <w:szCs w:val="18"/>
          <w:lang w:val="en-US"/>
        </w:rPr>
        <w:t>8</w:t>
      </w:r>
      <w:r w:rsidRPr="003A01D0">
        <w:rPr>
          <w:sz w:val="18"/>
          <w:szCs w:val="18"/>
          <w:lang w:val="en-US"/>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A87207" w:rsidRPr="002E2327" w:rsidRDefault="00A87207" w:rsidP="00D00ECE">
            <w:pPr>
              <w:tabs>
                <w:tab w:val="right" w:pos="9360"/>
              </w:tabs>
              <w:rPr>
                <w:rFonts w:cs="Times New Roman"/>
                <w:sz w:val="20"/>
                <w:szCs w:val="20"/>
              </w:rPr>
            </w:pPr>
          </w:p>
        </w:tc>
        <w:tc>
          <w:tcPr>
            <w:tcW w:w="1980" w:type="dxa"/>
          </w:tcPr>
          <w:p w:rsidR="0095096B" w:rsidRPr="002E2327" w:rsidRDefault="000E27A5" w:rsidP="0095096B">
            <w:pPr>
              <w:jc w:val="center"/>
              <w:rPr>
                <w:rFonts w:cs="Times New Roman"/>
                <w:sz w:val="20"/>
                <w:szCs w:val="20"/>
              </w:rPr>
            </w:pPr>
            <w:r w:rsidRPr="002E2327">
              <w:rPr>
                <w:rFonts w:cs="Times New Roman"/>
                <w:sz w:val="20"/>
                <w:szCs w:val="20"/>
              </w:rPr>
              <w:fldChar w:fldCharType="begin"/>
            </w:r>
            <w:r w:rsidR="0095096B" w:rsidRPr="002E2327">
              <w:rPr>
                <w:rFonts w:cs="Times New Roman"/>
                <w:sz w:val="20"/>
                <w:szCs w:val="20"/>
              </w:rPr>
              <w:instrText xml:space="preserve"> SEQ CHAPTER \h \r 1</w:instrText>
            </w:r>
            <w:r w:rsidRPr="002E2327">
              <w:rPr>
                <w:rFonts w:cs="Times New Roman"/>
                <w:sz w:val="20"/>
                <w:szCs w:val="20"/>
              </w:rPr>
              <w:fldChar w:fldCharType="end"/>
            </w:r>
            <w:r w:rsidR="002E5DAD">
              <w:rPr>
                <w:rFonts w:cs="Times New Roman"/>
                <w:sz w:val="20"/>
                <w:szCs w:val="20"/>
              </w:rPr>
              <w:t>148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E5DAD" w:rsidP="0095096B">
            <w:pPr>
              <w:jc w:val="center"/>
              <w:rPr>
                <w:rFonts w:cs="Times New Roman"/>
                <w:sz w:val="20"/>
                <w:szCs w:val="20"/>
              </w:rPr>
            </w:pPr>
            <w:r>
              <w:rPr>
                <w:rFonts w:cs="Times New Roman"/>
                <w:sz w:val="20"/>
                <w:szCs w:val="20"/>
              </w:rPr>
              <w:t>149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E5DAD" w:rsidP="0095096B">
            <w:pPr>
              <w:jc w:val="center"/>
              <w:rPr>
                <w:rFonts w:cs="Times New Roman"/>
                <w:sz w:val="20"/>
                <w:szCs w:val="20"/>
              </w:rPr>
            </w:pPr>
            <w:r>
              <w:rPr>
                <w:rFonts w:cs="Times New Roman"/>
                <w:sz w:val="20"/>
                <w:szCs w:val="20"/>
              </w:rPr>
              <w:t>150</w:t>
            </w:r>
            <w:r w:rsidR="005C1549">
              <w:rPr>
                <w:rFonts w:cs="Times New Roman"/>
                <w:sz w:val="20"/>
                <w:szCs w:val="20"/>
              </w:rPr>
              <w:t xml:space="preserve"> </w:t>
            </w:r>
            <w:r>
              <w:rPr>
                <w:rFonts w:cs="Times New Roman"/>
                <w:sz w:val="20"/>
                <w:szCs w:val="20"/>
              </w:rPr>
              <w:t>-</w:t>
            </w:r>
            <w:r w:rsidR="005C1549">
              <w:rPr>
                <w:rFonts w:cs="Times New Roman"/>
                <w:sz w:val="20"/>
                <w:szCs w:val="20"/>
              </w:rPr>
              <w:t xml:space="preserve"> </w:t>
            </w:r>
            <w:r>
              <w:rPr>
                <w:rFonts w:cs="Times New Roman"/>
                <w:sz w:val="20"/>
                <w:szCs w:val="20"/>
              </w:rPr>
              <w:t>17</w:t>
            </w:r>
            <w:r w:rsidR="005C1549">
              <w:rPr>
                <w:rFonts w:cs="Times New Roman"/>
                <w:sz w:val="20"/>
                <w:szCs w:val="20"/>
              </w:rPr>
              <w:t>1</w:t>
            </w:r>
          </w:p>
          <w:p w:rsidR="0095096B" w:rsidRPr="002E2327" w:rsidRDefault="0095096B" w:rsidP="0095096B">
            <w:pPr>
              <w:jc w:val="center"/>
              <w:rPr>
                <w:rFonts w:cs="Times New Roman"/>
                <w:sz w:val="20"/>
                <w:szCs w:val="20"/>
              </w:rPr>
            </w:pPr>
          </w:p>
          <w:p w:rsidR="002E5DAD" w:rsidRDefault="002E5DAD" w:rsidP="0095096B">
            <w:pPr>
              <w:jc w:val="center"/>
              <w:rPr>
                <w:rFonts w:cs="Times New Roman"/>
                <w:sz w:val="20"/>
                <w:szCs w:val="20"/>
              </w:rPr>
            </w:pPr>
          </w:p>
          <w:p w:rsidR="0095096B" w:rsidRPr="002E2327" w:rsidRDefault="00BD1C9C" w:rsidP="0095096B">
            <w:pPr>
              <w:jc w:val="center"/>
              <w:rPr>
                <w:rFonts w:cs="Times New Roman"/>
                <w:sz w:val="20"/>
                <w:szCs w:val="20"/>
              </w:rPr>
            </w:pPr>
            <w:r>
              <w:rPr>
                <w:rFonts w:cs="Times New Roman"/>
                <w:sz w:val="20"/>
                <w:szCs w:val="20"/>
              </w:rPr>
              <w:t>17</w:t>
            </w:r>
            <w:r w:rsidR="005C1549">
              <w:rPr>
                <w:rFonts w:cs="Times New Roman"/>
                <w:sz w:val="20"/>
                <w:szCs w:val="20"/>
              </w:rPr>
              <w:t xml:space="preserve">2 </w:t>
            </w:r>
            <w:r w:rsidR="002E5DAD">
              <w:rPr>
                <w:rFonts w:cs="Times New Roman"/>
                <w:sz w:val="20"/>
                <w:szCs w:val="20"/>
              </w:rPr>
              <w:t>-</w:t>
            </w:r>
            <w:r w:rsidR="005C1549">
              <w:rPr>
                <w:rFonts w:cs="Times New Roman"/>
                <w:sz w:val="20"/>
                <w:szCs w:val="20"/>
              </w:rPr>
              <w:t xml:space="preserve"> </w:t>
            </w:r>
            <w:r w:rsidR="002E5DAD">
              <w:rPr>
                <w:rFonts w:cs="Times New Roman"/>
                <w:sz w:val="20"/>
                <w:szCs w:val="20"/>
              </w:rPr>
              <w:t>17</w:t>
            </w:r>
            <w:r w:rsidR="005C1549">
              <w:rPr>
                <w:rFonts w:cs="Times New Roman"/>
                <w:sz w:val="20"/>
                <w:szCs w:val="20"/>
              </w:rPr>
              <w:t>3</w:t>
            </w:r>
          </w:p>
          <w:p w:rsidR="0095096B" w:rsidRPr="002E2327" w:rsidRDefault="0095096B" w:rsidP="0095096B">
            <w:pPr>
              <w:jc w:val="center"/>
              <w:rPr>
                <w:rFonts w:cs="Times New Roman"/>
                <w:sz w:val="20"/>
                <w:szCs w:val="20"/>
              </w:rPr>
            </w:pPr>
          </w:p>
          <w:p w:rsidR="0095096B" w:rsidRPr="002E2327" w:rsidRDefault="00BD1C9C" w:rsidP="0095096B">
            <w:pPr>
              <w:jc w:val="center"/>
              <w:rPr>
                <w:rFonts w:cs="Times New Roman"/>
                <w:sz w:val="20"/>
                <w:szCs w:val="20"/>
              </w:rPr>
            </w:pPr>
            <w:r>
              <w:rPr>
                <w:rFonts w:cs="Times New Roman"/>
                <w:sz w:val="20"/>
                <w:szCs w:val="20"/>
              </w:rPr>
              <w:t>17</w:t>
            </w:r>
            <w:r w:rsidR="005C1549">
              <w:rPr>
                <w:rFonts w:cs="Times New Roman"/>
                <w:sz w:val="20"/>
                <w:szCs w:val="20"/>
              </w:rPr>
              <w:t>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D1C9C" w:rsidP="0095096B">
            <w:pPr>
              <w:jc w:val="center"/>
              <w:rPr>
                <w:rFonts w:cs="Times New Roman"/>
                <w:sz w:val="20"/>
                <w:szCs w:val="20"/>
              </w:rPr>
            </w:pPr>
            <w:r>
              <w:rPr>
                <w:rFonts w:cs="Times New Roman"/>
                <w:sz w:val="20"/>
                <w:szCs w:val="20"/>
              </w:rPr>
              <w:t>17</w:t>
            </w:r>
            <w:r w:rsidR="00B571C0">
              <w:rPr>
                <w:rFonts w:cs="Times New Roman"/>
                <w:sz w:val="20"/>
                <w:szCs w:val="20"/>
              </w:rPr>
              <w:t xml:space="preserve">5 </w:t>
            </w:r>
            <w:r>
              <w:rPr>
                <w:rFonts w:cs="Times New Roman"/>
                <w:sz w:val="20"/>
                <w:szCs w:val="20"/>
              </w:rPr>
              <w:t>-</w:t>
            </w:r>
            <w:r w:rsidR="00B571C0">
              <w:rPr>
                <w:rFonts w:cs="Times New Roman"/>
                <w:sz w:val="20"/>
                <w:szCs w:val="20"/>
              </w:rPr>
              <w:t xml:space="preserve"> </w:t>
            </w:r>
            <w:r>
              <w:rPr>
                <w:rFonts w:cs="Times New Roman"/>
                <w:sz w:val="20"/>
                <w:szCs w:val="20"/>
              </w:rPr>
              <w:t>1</w:t>
            </w:r>
            <w:r w:rsidR="00B571C0">
              <w:rPr>
                <w:rFonts w:cs="Times New Roman"/>
                <w:sz w:val="20"/>
                <w:szCs w:val="20"/>
              </w:rPr>
              <w:t>79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D1C9C" w:rsidP="0095096B">
            <w:pPr>
              <w:jc w:val="center"/>
              <w:rPr>
                <w:rFonts w:cs="Times New Roman"/>
                <w:sz w:val="20"/>
                <w:szCs w:val="20"/>
              </w:rPr>
            </w:pPr>
            <w:r>
              <w:rPr>
                <w:rFonts w:cs="Times New Roman"/>
                <w:sz w:val="20"/>
                <w:szCs w:val="20"/>
              </w:rPr>
              <w:t>18</w:t>
            </w:r>
            <w:r w:rsidR="00B571C0">
              <w:rPr>
                <w:rFonts w:cs="Times New Roman"/>
                <w:sz w:val="20"/>
                <w:szCs w:val="20"/>
              </w:rPr>
              <w:t>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D1C9C" w:rsidP="0095096B">
            <w:pPr>
              <w:jc w:val="center"/>
              <w:rPr>
                <w:rFonts w:cs="Times New Roman"/>
                <w:sz w:val="20"/>
                <w:szCs w:val="20"/>
              </w:rPr>
            </w:pPr>
            <w:r>
              <w:rPr>
                <w:rFonts w:cs="Times New Roman"/>
                <w:sz w:val="20"/>
                <w:szCs w:val="20"/>
              </w:rPr>
              <w:t>18</w:t>
            </w:r>
            <w:r w:rsidR="00B571C0">
              <w:rPr>
                <w:rFonts w:cs="Times New Roman"/>
                <w:sz w:val="20"/>
                <w:szCs w:val="20"/>
              </w:rPr>
              <w:t>1 - 183</w:t>
            </w:r>
          </w:p>
          <w:p w:rsidR="0095096B" w:rsidRPr="002E2327" w:rsidRDefault="0095096B" w:rsidP="0095096B">
            <w:pPr>
              <w:jc w:val="center"/>
              <w:rPr>
                <w:rFonts w:cs="Times New Roman"/>
                <w:sz w:val="20"/>
                <w:szCs w:val="20"/>
              </w:rPr>
            </w:pPr>
          </w:p>
          <w:p w:rsidR="00A87207" w:rsidRPr="002E2327" w:rsidRDefault="00A87207" w:rsidP="0069725A">
            <w:pPr>
              <w:tabs>
                <w:tab w:val="right" w:pos="9360"/>
              </w:tabs>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A87207" w:rsidRPr="002E2327" w:rsidRDefault="00A87207" w:rsidP="00D00ECE">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167F64"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296A47"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296A47" w:rsidRPr="00296A47" w:rsidTr="003B3977">
        <w:tc>
          <w:tcPr>
            <w:tcW w:w="4320" w:type="dxa"/>
            <w:shd w:val="clear" w:color="auto" w:fill="auto"/>
          </w:tcPr>
          <w:p w:rsidR="00C21644" w:rsidRPr="00296A47" w:rsidRDefault="00E45F15" w:rsidP="005F1ED8">
            <w:pPr>
              <w:rPr>
                <w:b/>
                <w:sz w:val="20"/>
                <w:szCs w:val="20"/>
              </w:rPr>
            </w:pPr>
            <w:r w:rsidRPr="00296A47">
              <w:rPr>
                <w:b/>
                <w:sz w:val="20"/>
                <w:szCs w:val="20"/>
              </w:rPr>
              <w:t>Robert New</w:t>
            </w:r>
          </w:p>
          <w:p w:rsidR="00C21644" w:rsidRPr="00296A47" w:rsidRDefault="00C21644" w:rsidP="005F1ED8">
            <w:pPr>
              <w:tabs>
                <w:tab w:val="left" w:pos="-1440"/>
                <w:tab w:val="left" w:pos="-720"/>
              </w:tabs>
              <w:rPr>
                <w:sz w:val="20"/>
                <w:szCs w:val="20"/>
              </w:rPr>
            </w:pPr>
            <w:r w:rsidRPr="00296A47">
              <w:rPr>
                <w:sz w:val="20"/>
                <w:szCs w:val="20"/>
              </w:rPr>
              <w:tab/>
            </w:r>
            <w:r w:rsidR="00E45F15" w:rsidRPr="00296A47">
              <w:rPr>
                <w:sz w:val="20"/>
                <w:szCs w:val="20"/>
              </w:rPr>
              <w:t>Robert New</w:t>
            </w:r>
          </w:p>
          <w:p w:rsidR="00E45F15" w:rsidRPr="00296A47" w:rsidRDefault="00E45F15" w:rsidP="005F1ED8">
            <w:pPr>
              <w:tabs>
                <w:tab w:val="left" w:pos="-1440"/>
                <w:tab w:val="left" w:pos="-720"/>
              </w:tabs>
              <w:rPr>
                <w:sz w:val="20"/>
                <w:szCs w:val="20"/>
                <w:lang w:val="en-US"/>
              </w:rPr>
            </w:pPr>
          </w:p>
          <w:p w:rsidR="00C21644" w:rsidRPr="00296A47" w:rsidRDefault="000B4390" w:rsidP="005F1ED8">
            <w:pPr>
              <w:tabs>
                <w:tab w:val="left" w:pos="-1440"/>
                <w:tab w:val="left" w:pos="-720"/>
              </w:tabs>
              <w:rPr>
                <w:sz w:val="20"/>
                <w:szCs w:val="20"/>
                <w:lang w:val="en-US"/>
              </w:rPr>
            </w:pPr>
            <w:r w:rsidRPr="00296A47">
              <w:rPr>
                <w:sz w:val="20"/>
                <w:szCs w:val="20"/>
                <w:lang w:val="en-US"/>
              </w:rPr>
              <w:tab/>
              <w:t>v. (</w:t>
            </w:r>
            <w:r w:rsidR="00DA3F5E">
              <w:rPr>
                <w:sz w:val="20"/>
                <w:szCs w:val="20"/>
                <w:lang w:val="en-US"/>
              </w:rPr>
              <w:t>37</w:t>
            </w:r>
            <w:r w:rsidR="00E45F15" w:rsidRPr="00296A47">
              <w:rPr>
                <w:sz w:val="20"/>
                <w:szCs w:val="20"/>
                <w:lang w:val="en-US"/>
              </w:rPr>
              <w:t>6</w:t>
            </w:r>
            <w:r w:rsidR="00DA3F5E">
              <w:rPr>
                <w:sz w:val="20"/>
                <w:szCs w:val="20"/>
                <w:lang w:val="en-US"/>
              </w:rPr>
              <w:t>4</w:t>
            </w:r>
            <w:r w:rsidR="00E45F15" w:rsidRPr="00296A47">
              <w:rPr>
                <w:sz w:val="20"/>
                <w:szCs w:val="20"/>
                <w:lang w:val="en-US"/>
              </w:rPr>
              <w:t>3</w:t>
            </w:r>
            <w:r w:rsidR="00C21644" w:rsidRPr="00296A47">
              <w:rPr>
                <w:sz w:val="20"/>
                <w:szCs w:val="20"/>
                <w:lang w:val="en-US"/>
              </w:rPr>
              <w:t>)</w:t>
            </w:r>
          </w:p>
          <w:p w:rsidR="00C21644" w:rsidRPr="00296A47" w:rsidRDefault="00C21644" w:rsidP="005F1ED8">
            <w:pPr>
              <w:tabs>
                <w:tab w:val="left" w:pos="-1440"/>
                <w:tab w:val="left" w:pos="-720"/>
              </w:tabs>
              <w:rPr>
                <w:sz w:val="20"/>
                <w:szCs w:val="20"/>
                <w:lang w:val="en-US"/>
              </w:rPr>
            </w:pPr>
          </w:p>
          <w:p w:rsidR="00C21644" w:rsidRPr="00296A47" w:rsidRDefault="00C21644" w:rsidP="005F1ED8">
            <w:pPr>
              <w:tabs>
                <w:tab w:val="left" w:pos="-1440"/>
                <w:tab w:val="left" w:pos="-720"/>
              </w:tabs>
              <w:rPr>
                <w:b/>
                <w:sz w:val="20"/>
                <w:szCs w:val="20"/>
              </w:rPr>
            </w:pPr>
            <w:r w:rsidRPr="00296A47">
              <w:rPr>
                <w:sz w:val="20"/>
                <w:szCs w:val="20"/>
                <w:lang w:val="en-US"/>
              </w:rPr>
              <w:t xml:space="preserve"> </w:t>
            </w:r>
            <w:r w:rsidR="00E45F15" w:rsidRPr="00296A47">
              <w:rPr>
                <w:b/>
                <w:sz w:val="20"/>
                <w:szCs w:val="20"/>
              </w:rPr>
              <w:t>Canada (Minister of Justice) et al.</w:t>
            </w:r>
            <w:r w:rsidR="00DA3F5E">
              <w:rPr>
                <w:b/>
                <w:sz w:val="20"/>
                <w:szCs w:val="20"/>
              </w:rPr>
              <w:t xml:space="preserve"> (B.C.)</w:t>
            </w:r>
          </w:p>
          <w:p w:rsidR="00C21644" w:rsidRPr="0069725A" w:rsidRDefault="00C21644" w:rsidP="005F1ED8">
            <w:pPr>
              <w:tabs>
                <w:tab w:val="left" w:pos="-1440"/>
                <w:tab w:val="left" w:pos="-720"/>
              </w:tabs>
              <w:rPr>
                <w:sz w:val="20"/>
                <w:szCs w:val="20"/>
                <w:lang w:val="en-US"/>
              </w:rPr>
            </w:pPr>
            <w:r w:rsidRPr="00296A47">
              <w:rPr>
                <w:sz w:val="20"/>
                <w:szCs w:val="20"/>
              </w:rPr>
              <w:tab/>
            </w:r>
            <w:r w:rsidR="00E45F15" w:rsidRPr="00296A47">
              <w:rPr>
                <w:sz w:val="20"/>
                <w:szCs w:val="20"/>
              </w:rPr>
              <w:t>John Gibb-Carsley</w:t>
            </w:r>
          </w:p>
          <w:p w:rsidR="00C21644" w:rsidRPr="00296A47" w:rsidRDefault="00E45F15" w:rsidP="000B4390">
            <w:pPr>
              <w:tabs>
                <w:tab w:val="left" w:pos="-1440"/>
                <w:tab w:val="left" w:pos="-720"/>
              </w:tabs>
              <w:ind w:left="720"/>
              <w:rPr>
                <w:sz w:val="20"/>
                <w:szCs w:val="20"/>
              </w:rPr>
            </w:pPr>
            <w:r w:rsidRPr="00296A47">
              <w:rPr>
                <w:sz w:val="20"/>
                <w:szCs w:val="20"/>
              </w:rPr>
              <w:t>A.G. of Canada</w:t>
            </w:r>
          </w:p>
          <w:p w:rsidR="00C21644" w:rsidRPr="00296A47" w:rsidRDefault="00C21644" w:rsidP="005F1ED8">
            <w:pPr>
              <w:tabs>
                <w:tab w:val="left" w:pos="-1440"/>
                <w:tab w:val="left" w:pos="-720"/>
              </w:tabs>
              <w:rPr>
                <w:sz w:val="20"/>
                <w:szCs w:val="20"/>
              </w:rPr>
            </w:pPr>
          </w:p>
          <w:p w:rsidR="00C21644" w:rsidRPr="00296A47" w:rsidRDefault="00C21644" w:rsidP="005F1ED8">
            <w:pPr>
              <w:rPr>
                <w:sz w:val="20"/>
                <w:szCs w:val="20"/>
              </w:rPr>
            </w:pPr>
            <w:r w:rsidRPr="00296A47">
              <w:rPr>
                <w:sz w:val="20"/>
                <w:szCs w:val="20"/>
              </w:rPr>
              <w:t xml:space="preserve">FILING DATE: </w:t>
            </w:r>
            <w:r w:rsidR="00296A47" w:rsidRPr="00296A47">
              <w:rPr>
                <w:sz w:val="20"/>
                <w:szCs w:val="20"/>
              </w:rPr>
              <w:t>04</w:t>
            </w:r>
            <w:r w:rsidRPr="00296A47">
              <w:rPr>
                <w:sz w:val="20"/>
                <w:szCs w:val="20"/>
              </w:rPr>
              <w:t>.</w:t>
            </w:r>
            <w:r w:rsidR="00296A47" w:rsidRPr="00296A47">
              <w:rPr>
                <w:sz w:val="20"/>
                <w:szCs w:val="20"/>
              </w:rPr>
              <w:t>12</w:t>
            </w:r>
            <w:r w:rsidRPr="00296A47">
              <w:rPr>
                <w:sz w:val="20"/>
                <w:szCs w:val="20"/>
              </w:rPr>
              <w:t>.201</w:t>
            </w:r>
            <w:r w:rsidR="00E8544A" w:rsidRPr="00296A47">
              <w:rPr>
                <w:sz w:val="20"/>
                <w:szCs w:val="20"/>
              </w:rPr>
              <w:t>7</w:t>
            </w:r>
          </w:p>
          <w:p w:rsidR="00C21644" w:rsidRPr="00296A47" w:rsidRDefault="00167F64"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296A47" w:rsidRDefault="00C21644" w:rsidP="00242AEE">
            <w:pPr>
              <w:jc w:val="center"/>
              <w:rPr>
                <w:sz w:val="20"/>
                <w:szCs w:val="20"/>
              </w:rPr>
            </w:pPr>
          </w:p>
          <w:p w:rsidR="00C21644" w:rsidRPr="00296A47" w:rsidRDefault="00C21644" w:rsidP="00242AEE">
            <w:pPr>
              <w:jc w:val="center"/>
              <w:rPr>
                <w:sz w:val="20"/>
                <w:szCs w:val="20"/>
              </w:rPr>
            </w:pPr>
          </w:p>
          <w:p w:rsidR="00C21644" w:rsidRPr="00296A47" w:rsidRDefault="00C21644" w:rsidP="00242AEE">
            <w:pPr>
              <w:jc w:val="center"/>
              <w:rPr>
                <w:sz w:val="20"/>
                <w:szCs w:val="20"/>
              </w:rPr>
            </w:pPr>
          </w:p>
          <w:p w:rsidR="00C21644" w:rsidRPr="00296A47" w:rsidRDefault="00C21644" w:rsidP="00242AEE">
            <w:pPr>
              <w:jc w:val="center"/>
              <w:rPr>
                <w:sz w:val="20"/>
                <w:szCs w:val="20"/>
              </w:rPr>
            </w:pPr>
          </w:p>
          <w:p w:rsidR="00C21644" w:rsidRPr="00296A47" w:rsidRDefault="00C21644" w:rsidP="00242AEE">
            <w:pPr>
              <w:jc w:val="center"/>
              <w:rPr>
                <w:sz w:val="20"/>
                <w:szCs w:val="20"/>
              </w:rPr>
            </w:pPr>
          </w:p>
          <w:p w:rsidR="00C21644" w:rsidRPr="00296A47" w:rsidRDefault="00C21644" w:rsidP="00242AEE">
            <w:pPr>
              <w:jc w:val="center"/>
              <w:rPr>
                <w:sz w:val="20"/>
                <w:szCs w:val="20"/>
              </w:rPr>
            </w:pPr>
          </w:p>
          <w:p w:rsidR="00C21644" w:rsidRPr="00296A47" w:rsidRDefault="00C21644" w:rsidP="00242AEE">
            <w:pPr>
              <w:jc w:val="center"/>
              <w:rPr>
                <w:sz w:val="20"/>
                <w:szCs w:val="20"/>
              </w:rPr>
            </w:pPr>
          </w:p>
          <w:p w:rsidR="00C21644" w:rsidRPr="00296A47" w:rsidRDefault="00C21644" w:rsidP="00242AEE">
            <w:pPr>
              <w:jc w:val="center"/>
              <w:rPr>
                <w:sz w:val="20"/>
                <w:szCs w:val="20"/>
              </w:rPr>
            </w:pPr>
          </w:p>
          <w:p w:rsidR="00C21644" w:rsidRPr="00296A47" w:rsidRDefault="00C21644" w:rsidP="00242AEE">
            <w:pPr>
              <w:jc w:val="center"/>
              <w:rPr>
                <w:sz w:val="20"/>
                <w:szCs w:val="20"/>
              </w:rPr>
            </w:pPr>
          </w:p>
          <w:p w:rsidR="00C21644" w:rsidRPr="00296A47" w:rsidRDefault="00C21644" w:rsidP="00242AEE">
            <w:pPr>
              <w:jc w:val="center"/>
              <w:rPr>
                <w:sz w:val="20"/>
                <w:szCs w:val="20"/>
              </w:rPr>
            </w:pPr>
          </w:p>
          <w:p w:rsidR="00C21644" w:rsidRPr="00296A47" w:rsidRDefault="00C21644" w:rsidP="00242AEE">
            <w:pPr>
              <w:jc w:val="center"/>
              <w:rPr>
                <w:sz w:val="20"/>
                <w:szCs w:val="20"/>
              </w:rPr>
            </w:pPr>
          </w:p>
          <w:p w:rsidR="00C21644" w:rsidRPr="00296A47" w:rsidRDefault="00C21644" w:rsidP="00242AEE">
            <w:pPr>
              <w:jc w:val="center"/>
              <w:rPr>
                <w:sz w:val="20"/>
                <w:szCs w:val="20"/>
              </w:rPr>
            </w:pPr>
          </w:p>
        </w:tc>
        <w:tc>
          <w:tcPr>
            <w:tcW w:w="4320" w:type="dxa"/>
            <w:shd w:val="clear" w:color="auto" w:fill="auto"/>
          </w:tcPr>
          <w:p w:rsidR="00296A47" w:rsidRPr="00296A47" w:rsidRDefault="00296A47" w:rsidP="00296A47">
            <w:pPr>
              <w:rPr>
                <w:b/>
                <w:sz w:val="20"/>
                <w:szCs w:val="20"/>
              </w:rPr>
            </w:pPr>
            <w:r>
              <w:rPr>
                <w:b/>
                <w:sz w:val="20"/>
                <w:szCs w:val="20"/>
              </w:rPr>
              <w:t>Katherine Lin</w:t>
            </w:r>
          </w:p>
          <w:p w:rsidR="00296A47" w:rsidRPr="00296A47" w:rsidRDefault="00296A47" w:rsidP="00296A47">
            <w:pPr>
              <w:tabs>
                <w:tab w:val="left" w:pos="-1440"/>
                <w:tab w:val="left" w:pos="-720"/>
              </w:tabs>
              <w:rPr>
                <w:sz w:val="20"/>
                <w:szCs w:val="20"/>
              </w:rPr>
            </w:pPr>
            <w:r w:rsidRPr="00296A47">
              <w:rPr>
                <w:sz w:val="20"/>
                <w:szCs w:val="20"/>
              </w:rPr>
              <w:tab/>
            </w:r>
            <w:r>
              <w:rPr>
                <w:sz w:val="20"/>
                <w:szCs w:val="20"/>
              </w:rPr>
              <w:t>Katherine Lin</w:t>
            </w:r>
          </w:p>
          <w:p w:rsidR="00296A47" w:rsidRPr="00296A47" w:rsidRDefault="00296A47" w:rsidP="00296A47">
            <w:pPr>
              <w:tabs>
                <w:tab w:val="left" w:pos="-1440"/>
                <w:tab w:val="left" w:pos="-720"/>
              </w:tabs>
              <w:rPr>
                <w:sz w:val="20"/>
                <w:szCs w:val="20"/>
                <w:lang w:val="en-US"/>
              </w:rPr>
            </w:pPr>
          </w:p>
          <w:p w:rsidR="00296A47" w:rsidRPr="00296A47" w:rsidRDefault="00296A47" w:rsidP="00296A47">
            <w:pPr>
              <w:tabs>
                <w:tab w:val="left" w:pos="-1440"/>
                <w:tab w:val="left" w:pos="-720"/>
              </w:tabs>
              <w:rPr>
                <w:sz w:val="20"/>
                <w:szCs w:val="20"/>
                <w:lang w:val="en-US"/>
              </w:rPr>
            </w:pPr>
            <w:r w:rsidRPr="00296A47">
              <w:rPr>
                <w:sz w:val="20"/>
                <w:szCs w:val="20"/>
                <w:lang w:val="en-US"/>
              </w:rPr>
              <w:tab/>
              <w:t>v. (</w:t>
            </w:r>
            <w:r>
              <w:rPr>
                <w:sz w:val="20"/>
                <w:szCs w:val="20"/>
                <w:lang w:val="en-US"/>
              </w:rPr>
              <w:t>37842</w:t>
            </w:r>
            <w:r w:rsidRPr="00296A47">
              <w:rPr>
                <w:sz w:val="20"/>
                <w:szCs w:val="20"/>
                <w:lang w:val="en-US"/>
              </w:rPr>
              <w:t>)</w:t>
            </w:r>
          </w:p>
          <w:p w:rsidR="00296A47" w:rsidRPr="00296A47" w:rsidRDefault="00296A47" w:rsidP="00296A47">
            <w:pPr>
              <w:tabs>
                <w:tab w:val="left" w:pos="-1440"/>
                <w:tab w:val="left" w:pos="-720"/>
              </w:tabs>
              <w:rPr>
                <w:sz w:val="20"/>
                <w:szCs w:val="20"/>
                <w:lang w:val="en-US"/>
              </w:rPr>
            </w:pPr>
          </w:p>
          <w:p w:rsidR="00296A47" w:rsidRPr="00DA3F5E" w:rsidRDefault="00296A47" w:rsidP="00296A47">
            <w:pPr>
              <w:tabs>
                <w:tab w:val="left" w:pos="-1440"/>
                <w:tab w:val="left" w:pos="-720"/>
              </w:tabs>
              <w:rPr>
                <w:b/>
                <w:sz w:val="20"/>
                <w:szCs w:val="20"/>
                <w:lang w:val="fr-CA"/>
              </w:rPr>
            </w:pPr>
            <w:r w:rsidRPr="00DA3F5E">
              <w:rPr>
                <w:b/>
                <w:sz w:val="20"/>
                <w:szCs w:val="20"/>
                <w:lang w:val="fr-CA"/>
              </w:rPr>
              <w:t>Eric Fleury et al.</w:t>
            </w:r>
            <w:r w:rsidR="00DA3F5E" w:rsidRPr="00DA3F5E">
              <w:rPr>
                <w:b/>
                <w:sz w:val="20"/>
                <w:szCs w:val="20"/>
                <w:lang w:val="fr-CA"/>
              </w:rPr>
              <w:t xml:space="preserve"> (Ont.)</w:t>
            </w:r>
          </w:p>
          <w:p w:rsidR="00296A47" w:rsidRPr="00296A47" w:rsidRDefault="00296A47" w:rsidP="00296A47">
            <w:pPr>
              <w:tabs>
                <w:tab w:val="left" w:pos="-1440"/>
                <w:tab w:val="left" w:pos="-720"/>
              </w:tabs>
              <w:rPr>
                <w:sz w:val="20"/>
                <w:szCs w:val="20"/>
                <w:lang w:val="en-US"/>
              </w:rPr>
            </w:pPr>
            <w:r w:rsidRPr="00DA3F5E">
              <w:rPr>
                <w:sz w:val="20"/>
                <w:szCs w:val="20"/>
                <w:lang w:val="fr-CA"/>
              </w:rPr>
              <w:tab/>
            </w:r>
            <w:r>
              <w:rPr>
                <w:sz w:val="20"/>
                <w:szCs w:val="20"/>
              </w:rPr>
              <w:t>Georgia Tanner</w:t>
            </w:r>
          </w:p>
          <w:p w:rsidR="00296A47" w:rsidRPr="00296A47" w:rsidRDefault="00296A47" w:rsidP="00296A47">
            <w:pPr>
              <w:tabs>
                <w:tab w:val="left" w:pos="-1440"/>
                <w:tab w:val="left" w:pos="-720"/>
              </w:tabs>
              <w:ind w:left="720"/>
              <w:rPr>
                <w:sz w:val="20"/>
                <w:szCs w:val="20"/>
              </w:rPr>
            </w:pPr>
            <w:r>
              <w:rPr>
                <w:sz w:val="20"/>
                <w:szCs w:val="20"/>
              </w:rPr>
              <w:t>City of Toronto</w:t>
            </w:r>
          </w:p>
          <w:p w:rsidR="00296A47" w:rsidRPr="00296A47" w:rsidRDefault="00296A47" w:rsidP="00296A47">
            <w:pPr>
              <w:tabs>
                <w:tab w:val="left" w:pos="-1440"/>
                <w:tab w:val="left" w:pos="-720"/>
              </w:tabs>
              <w:rPr>
                <w:sz w:val="20"/>
                <w:szCs w:val="20"/>
              </w:rPr>
            </w:pPr>
          </w:p>
          <w:p w:rsidR="00296A47" w:rsidRPr="00296A47" w:rsidRDefault="00296A47" w:rsidP="00296A47">
            <w:pPr>
              <w:rPr>
                <w:sz w:val="20"/>
                <w:szCs w:val="20"/>
              </w:rPr>
            </w:pPr>
            <w:r w:rsidRPr="00296A47">
              <w:rPr>
                <w:sz w:val="20"/>
                <w:szCs w:val="20"/>
              </w:rPr>
              <w:t xml:space="preserve">FILING DATE: </w:t>
            </w:r>
            <w:r>
              <w:rPr>
                <w:sz w:val="20"/>
                <w:szCs w:val="20"/>
              </w:rPr>
              <w:t>13</w:t>
            </w:r>
            <w:r w:rsidRPr="00296A47">
              <w:rPr>
                <w:sz w:val="20"/>
                <w:szCs w:val="20"/>
              </w:rPr>
              <w:t>.</w:t>
            </w:r>
            <w:r>
              <w:rPr>
                <w:sz w:val="20"/>
                <w:szCs w:val="20"/>
              </w:rPr>
              <w:t>09</w:t>
            </w:r>
            <w:r w:rsidRPr="00296A47">
              <w:rPr>
                <w:sz w:val="20"/>
                <w:szCs w:val="20"/>
              </w:rPr>
              <w:t>.2017</w:t>
            </w:r>
          </w:p>
          <w:p w:rsidR="00C21644" w:rsidRPr="00296A47" w:rsidRDefault="00167F64" w:rsidP="00E8544A">
            <w:pPr>
              <w:rPr>
                <w:sz w:val="20"/>
                <w:szCs w:val="20"/>
              </w:rPr>
            </w:pPr>
            <w:r>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DE47D4" w:rsidRPr="00296A47" w:rsidRDefault="00DE47D4" w:rsidP="00DE47D4">
            <w:pPr>
              <w:rPr>
                <w:b/>
                <w:sz w:val="20"/>
                <w:szCs w:val="20"/>
              </w:rPr>
            </w:pPr>
            <w:r>
              <w:rPr>
                <w:b/>
                <w:sz w:val="20"/>
                <w:szCs w:val="20"/>
              </w:rPr>
              <w:t>Katherine Lin</w:t>
            </w:r>
          </w:p>
          <w:p w:rsidR="00DE47D4" w:rsidRPr="00296A47" w:rsidRDefault="00DE47D4" w:rsidP="00DE47D4">
            <w:pPr>
              <w:tabs>
                <w:tab w:val="left" w:pos="-1440"/>
                <w:tab w:val="left" w:pos="-720"/>
              </w:tabs>
              <w:rPr>
                <w:sz w:val="20"/>
                <w:szCs w:val="20"/>
              </w:rPr>
            </w:pPr>
            <w:r w:rsidRPr="00296A47">
              <w:rPr>
                <w:sz w:val="20"/>
                <w:szCs w:val="20"/>
              </w:rPr>
              <w:tab/>
            </w:r>
            <w:r>
              <w:rPr>
                <w:sz w:val="20"/>
                <w:szCs w:val="20"/>
              </w:rPr>
              <w:t>Katherine Lin</w:t>
            </w:r>
          </w:p>
          <w:p w:rsidR="00DE47D4" w:rsidRPr="00296A47" w:rsidRDefault="00DE47D4" w:rsidP="00DE47D4">
            <w:pPr>
              <w:tabs>
                <w:tab w:val="left" w:pos="-1440"/>
                <w:tab w:val="left" w:pos="-720"/>
              </w:tabs>
              <w:rPr>
                <w:sz w:val="20"/>
                <w:szCs w:val="20"/>
                <w:lang w:val="en-US"/>
              </w:rPr>
            </w:pPr>
          </w:p>
          <w:p w:rsidR="00DE47D4" w:rsidRPr="00296A47" w:rsidRDefault="00DE47D4" w:rsidP="00DE47D4">
            <w:pPr>
              <w:tabs>
                <w:tab w:val="left" w:pos="-1440"/>
                <w:tab w:val="left" w:pos="-720"/>
              </w:tabs>
              <w:rPr>
                <w:sz w:val="20"/>
                <w:szCs w:val="20"/>
                <w:lang w:val="en-US"/>
              </w:rPr>
            </w:pPr>
            <w:r w:rsidRPr="00296A47">
              <w:rPr>
                <w:sz w:val="20"/>
                <w:szCs w:val="20"/>
                <w:lang w:val="en-US"/>
              </w:rPr>
              <w:tab/>
              <w:t>v. (</w:t>
            </w:r>
            <w:r>
              <w:rPr>
                <w:sz w:val="20"/>
                <w:szCs w:val="20"/>
                <w:lang w:val="en-US"/>
              </w:rPr>
              <w:t>37885</w:t>
            </w:r>
            <w:r w:rsidRPr="00296A47">
              <w:rPr>
                <w:sz w:val="20"/>
                <w:szCs w:val="20"/>
                <w:lang w:val="en-US"/>
              </w:rPr>
              <w:t>)</w:t>
            </w:r>
          </w:p>
          <w:p w:rsidR="00DE47D4" w:rsidRPr="00296A47" w:rsidRDefault="00DE47D4" w:rsidP="00DE47D4">
            <w:pPr>
              <w:tabs>
                <w:tab w:val="left" w:pos="-1440"/>
                <w:tab w:val="left" w:pos="-720"/>
              </w:tabs>
              <w:rPr>
                <w:sz w:val="20"/>
                <w:szCs w:val="20"/>
                <w:lang w:val="en-US"/>
              </w:rPr>
            </w:pPr>
          </w:p>
          <w:p w:rsidR="00DE47D4" w:rsidRPr="00DA3F5E" w:rsidRDefault="00DE47D4" w:rsidP="00DE47D4">
            <w:pPr>
              <w:tabs>
                <w:tab w:val="left" w:pos="-1440"/>
                <w:tab w:val="left" w:pos="-720"/>
              </w:tabs>
              <w:rPr>
                <w:b/>
                <w:sz w:val="20"/>
                <w:szCs w:val="20"/>
                <w:lang w:val="fr-CA"/>
              </w:rPr>
            </w:pPr>
            <w:r w:rsidRPr="00DA3F5E">
              <w:rPr>
                <w:b/>
                <w:sz w:val="20"/>
                <w:szCs w:val="20"/>
                <w:lang w:val="fr-CA"/>
              </w:rPr>
              <w:t>Toronto Police Service Board et al.</w:t>
            </w:r>
            <w:r w:rsidR="00DA3F5E" w:rsidRPr="00DA3F5E">
              <w:rPr>
                <w:b/>
                <w:sz w:val="20"/>
                <w:szCs w:val="20"/>
                <w:lang w:val="fr-CA"/>
              </w:rPr>
              <w:t xml:space="preserve"> (Ont.)</w:t>
            </w:r>
          </w:p>
          <w:p w:rsidR="00DE47D4" w:rsidRPr="00296A47" w:rsidRDefault="00DE47D4" w:rsidP="00DE47D4">
            <w:pPr>
              <w:tabs>
                <w:tab w:val="left" w:pos="-1440"/>
                <w:tab w:val="left" w:pos="-720"/>
              </w:tabs>
              <w:rPr>
                <w:sz w:val="20"/>
                <w:szCs w:val="20"/>
                <w:lang w:val="en-US"/>
              </w:rPr>
            </w:pPr>
            <w:r w:rsidRPr="00DA3F5E">
              <w:rPr>
                <w:sz w:val="20"/>
                <w:szCs w:val="20"/>
                <w:lang w:val="fr-CA"/>
              </w:rPr>
              <w:tab/>
            </w:r>
            <w:r>
              <w:rPr>
                <w:sz w:val="20"/>
                <w:szCs w:val="20"/>
              </w:rPr>
              <w:t>Georgia Tanner</w:t>
            </w:r>
          </w:p>
          <w:p w:rsidR="00DE47D4" w:rsidRPr="00296A47" w:rsidRDefault="00DE47D4" w:rsidP="00DE47D4">
            <w:pPr>
              <w:tabs>
                <w:tab w:val="left" w:pos="-1440"/>
                <w:tab w:val="left" w:pos="-720"/>
              </w:tabs>
              <w:ind w:left="720"/>
              <w:rPr>
                <w:sz w:val="20"/>
                <w:szCs w:val="20"/>
              </w:rPr>
            </w:pPr>
            <w:r>
              <w:rPr>
                <w:sz w:val="20"/>
                <w:szCs w:val="20"/>
              </w:rPr>
              <w:t>City of Toronto</w:t>
            </w:r>
          </w:p>
          <w:p w:rsidR="00DE47D4" w:rsidRPr="00296A47" w:rsidRDefault="00DE47D4" w:rsidP="00DE47D4">
            <w:pPr>
              <w:tabs>
                <w:tab w:val="left" w:pos="-1440"/>
                <w:tab w:val="left" w:pos="-720"/>
              </w:tabs>
              <w:rPr>
                <w:sz w:val="20"/>
                <w:szCs w:val="20"/>
              </w:rPr>
            </w:pPr>
          </w:p>
          <w:p w:rsidR="00DE47D4" w:rsidRPr="00296A47" w:rsidRDefault="00DE47D4" w:rsidP="00DE47D4">
            <w:pPr>
              <w:rPr>
                <w:sz w:val="20"/>
                <w:szCs w:val="20"/>
              </w:rPr>
            </w:pPr>
            <w:r w:rsidRPr="00296A47">
              <w:rPr>
                <w:sz w:val="20"/>
                <w:szCs w:val="20"/>
              </w:rPr>
              <w:t xml:space="preserve">FILING DATE: </w:t>
            </w:r>
            <w:r>
              <w:rPr>
                <w:sz w:val="20"/>
                <w:szCs w:val="20"/>
              </w:rPr>
              <w:t>23</w:t>
            </w:r>
            <w:r w:rsidRPr="00296A47">
              <w:rPr>
                <w:sz w:val="20"/>
                <w:szCs w:val="20"/>
              </w:rPr>
              <w:t>.</w:t>
            </w:r>
            <w:r>
              <w:rPr>
                <w:sz w:val="20"/>
                <w:szCs w:val="20"/>
              </w:rPr>
              <w:t>01</w:t>
            </w:r>
            <w:r w:rsidRPr="00296A47">
              <w:rPr>
                <w:sz w:val="20"/>
                <w:szCs w:val="20"/>
              </w:rPr>
              <w:t>.201</w:t>
            </w:r>
            <w:r>
              <w:rPr>
                <w:sz w:val="20"/>
                <w:szCs w:val="20"/>
              </w:rPr>
              <w:t>8</w:t>
            </w:r>
          </w:p>
          <w:p w:rsidR="00C21644" w:rsidRPr="00A935AA" w:rsidRDefault="00167F64"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DE47D4" w:rsidRPr="00296A47" w:rsidRDefault="00DE47D4" w:rsidP="00DE47D4">
            <w:pPr>
              <w:rPr>
                <w:b/>
                <w:sz w:val="20"/>
                <w:szCs w:val="20"/>
              </w:rPr>
            </w:pPr>
            <w:r>
              <w:rPr>
                <w:b/>
                <w:sz w:val="20"/>
                <w:szCs w:val="20"/>
              </w:rPr>
              <w:t>Katherine Lin</w:t>
            </w:r>
          </w:p>
          <w:p w:rsidR="00DE47D4" w:rsidRPr="00296A47" w:rsidRDefault="00DE47D4" w:rsidP="00DE47D4">
            <w:pPr>
              <w:tabs>
                <w:tab w:val="left" w:pos="-1440"/>
                <w:tab w:val="left" w:pos="-720"/>
              </w:tabs>
              <w:rPr>
                <w:sz w:val="20"/>
                <w:szCs w:val="20"/>
              </w:rPr>
            </w:pPr>
            <w:r w:rsidRPr="00296A47">
              <w:rPr>
                <w:sz w:val="20"/>
                <w:szCs w:val="20"/>
              </w:rPr>
              <w:tab/>
            </w:r>
            <w:r>
              <w:rPr>
                <w:sz w:val="20"/>
                <w:szCs w:val="20"/>
              </w:rPr>
              <w:t>Katherine Lin</w:t>
            </w:r>
          </w:p>
          <w:p w:rsidR="00DE47D4" w:rsidRPr="00296A47" w:rsidRDefault="00DE47D4" w:rsidP="00DE47D4">
            <w:pPr>
              <w:tabs>
                <w:tab w:val="left" w:pos="-1440"/>
                <w:tab w:val="left" w:pos="-720"/>
              </w:tabs>
              <w:rPr>
                <w:sz w:val="20"/>
                <w:szCs w:val="20"/>
                <w:lang w:val="en-US"/>
              </w:rPr>
            </w:pPr>
          </w:p>
          <w:p w:rsidR="00DE47D4" w:rsidRPr="00296A47" w:rsidRDefault="00DE47D4" w:rsidP="00DE47D4">
            <w:pPr>
              <w:tabs>
                <w:tab w:val="left" w:pos="-1440"/>
                <w:tab w:val="left" w:pos="-720"/>
              </w:tabs>
              <w:rPr>
                <w:sz w:val="20"/>
                <w:szCs w:val="20"/>
                <w:lang w:val="en-US"/>
              </w:rPr>
            </w:pPr>
            <w:r w:rsidRPr="00296A47">
              <w:rPr>
                <w:sz w:val="20"/>
                <w:szCs w:val="20"/>
                <w:lang w:val="en-US"/>
              </w:rPr>
              <w:tab/>
              <w:t>v. (</w:t>
            </w:r>
            <w:r>
              <w:rPr>
                <w:sz w:val="20"/>
                <w:szCs w:val="20"/>
                <w:lang w:val="en-US"/>
              </w:rPr>
              <w:t>37910</w:t>
            </w:r>
            <w:r w:rsidRPr="00296A47">
              <w:rPr>
                <w:sz w:val="20"/>
                <w:szCs w:val="20"/>
                <w:lang w:val="en-US"/>
              </w:rPr>
              <w:t>)</w:t>
            </w:r>
          </w:p>
          <w:p w:rsidR="00DE47D4" w:rsidRPr="00296A47" w:rsidRDefault="00DE47D4" w:rsidP="00DE47D4">
            <w:pPr>
              <w:tabs>
                <w:tab w:val="left" w:pos="-1440"/>
                <w:tab w:val="left" w:pos="-720"/>
              </w:tabs>
              <w:rPr>
                <w:sz w:val="20"/>
                <w:szCs w:val="20"/>
                <w:lang w:val="en-US"/>
              </w:rPr>
            </w:pPr>
          </w:p>
          <w:p w:rsidR="00DE47D4" w:rsidRPr="00DA3F5E" w:rsidRDefault="00DE47D4" w:rsidP="00DE47D4">
            <w:pPr>
              <w:tabs>
                <w:tab w:val="left" w:pos="-1440"/>
                <w:tab w:val="left" w:pos="-720"/>
              </w:tabs>
              <w:rPr>
                <w:b/>
                <w:sz w:val="20"/>
                <w:szCs w:val="20"/>
                <w:lang w:val="fr-CA"/>
              </w:rPr>
            </w:pPr>
            <w:r w:rsidRPr="00DA3F5E">
              <w:rPr>
                <w:b/>
                <w:sz w:val="20"/>
                <w:szCs w:val="20"/>
                <w:lang w:val="fr-CA"/>
              </w:rPr>
              <w:t>Toronto Police Service Board et al.</w:t>
            </w:r>
            <w:r w:rsidR="00DA3F5E" w:rsidRPr="00DA3F5E">
              <w:rPr>
                <w:b/>
                <w:sz w:val="20"/>
                <w:szCs w:val="20"/>
                <w:lang w:val="fr-CA"/>
              </w:rPr>
              <w:t xml:space="preserve"> (Ont.)</w:t>
            </w:r>
          </w:p>
          <w:p w:rsidR="00DE47D4" w:rsidRPr="00296A47" w:rsidRDefault="00DE47D4" w:rsidP="00DE47D4">
            <w:pPr>
              <w:tabs>
                <w:tab w:val="left" w:pos="-1440"/>
                <w:tab w:val="left" w:pos="-720"/>
              </w:tabs>
              <w:rPr>
                <w:sz w:val="20"/>
                <w:szCs w:val="20"/>
                <w:lang w:val="en-US"/>
              </w:rPr>
            </w:pPr>
            <w:r w:rsidRPr="00DA3F5E">
              <w:rPr>
                <w:sz w:val="20"/>
                <w:szCs w:val="20"/>
                <w:lang w:val="fr-CA"/>
              </w:rPr>
              <w:tab/>
            </w:r>
            <w:r>
              <w:rPr>
                <w:sz w:val="20"/>
                <w:szCs w:val="20"/>
              </w:rPr>
              <w:t>Georgia Tanner</w:t>
            </w:r>
          </w:p>
          <w:p w:rsidR="00DE47D4" w:rsidRPr="00296A47" w:rsidRDefault="00DE47D4" w:rsidP="00DE47D4">
            <w:pPr>
              <w:tabs>
                <w:tab w:val="left" w:pos="-1440"/>
                <w:tab w:val="left" w:pos="-720"/>
              </w:tabs>
              <w:ind w:left="720"/>
              <w:rPr>
                <w:sz w:val="20"/>
                <w:szCs w:val="20"/>
              </w:rPr>
            </w:pPr>
            <w:r>
              <w:rPr>
                <w:sz w:val="20"/>
                <w:szCs w:val="20"/>
              </w:rPr>
              <w:t>City of Toronto</w:t>
            </w:r>
          </w:p>
          <w:p w:rsidR="00DE47D4" w:rsidRPr="00296A47" w:rsidRDefault="00DE47D4" w:rsidP="00DE47D4">
            <w:pPr>
              <w:tabs>
                <w:tab w:val="left" w:pos="-1440"/>
                <w:tab w:val="left" w:pos="-720"/>
              </w:tabs>
              <w:rPr>
                <w:sz w:val="20"/>
                <w:szCs w:val="20"/>
              </w:rPr>
            </w:pPr>
          </w:p>
          <w:p w:rsidR="00DE47D4" w:rsidRPr="00296A47" w:rsidRDefault="00DE47D4" w:rsidP="00DE47D4">
            <w:pPr>
              <w:rPr>
                <w:sz w:val="20"/>
                <w:szCs w:val="20"/>
              </w:rPr>
            </w:pPr>
            <w:r w:rsidRPr="00296A47">
              <w:rPr>
                <w:sz w:val="20"/>
                <w:szCs w:val="20"/>
              </w:rPr>
              <w:t xml:space="preserve">FILING DATE: </w:t>
            </w:r>
            <w:r>
              <w:rPr>
                <w:sz w:val="20"/>
                <w:szCs w:val="20"/>
              </w:rPr>
              <w:t>23</w:t>
            </w:r>
            <w:r w:rsidRPr="00296A47">
              <w:rPr>
                <w:sz w:val="20"/>
                <w:szCs w:val="20"/>
              </w:rPr>
              <w:t>.</w:t>
            </w:r>
            <w:r w:rsidR="00181EA3">
              <w:rPr>
                <w:sz w:val="20"/>
                <w:szCs w:val="20"/>
              </w:rPr>
              <w:t>1</w:t>
            </w:r>
            <w:r>
              <w:rPr>
                <w:sz w:val="20"/>
                <w:szCs w:val="20"/>
              </w:rPr>
              <w:t>1</w:t>
            </w:r>
            <w:r w:rsidRPr="00296A47">
              <w:rPr>
                <w:sz w:val="20"/>
                <w:szCs w:val="20"/>
              </w:rPr>
              <w:t>.201</w:t>
            </w:r>
            <w:r w:rsidR="00181EA3">
              <w:rPr>
                <w:sz w:val="20"/>
                <w:szCs w:val="20"/>
              </w:rPr>
              <w:t>7</w:t>
            </w:r>
          </w:p>
          <w:p w:rsidR="00C21644" w:rsidRDefault="00167F64" w:rsidP="00E8544A">
            <w:pPr>
              <w:rPr>
                <w:sz w:val="20"/>
                <w:szCs w:val="20"/>
                <w:lang w:val="fr-CA"/>
              </w:rPr>
            </w:pPr>
            <w:r>
              <w:rPr>
                <w:sz w:val="20"/>
                <w:szCs w:val="20"/>
                <w:lang w:val="fr-CA"/>
              </w:rPr>
              <w:pict>
                <v:rect id="_x0000_i1028" style="width:108pt;height:1pt" o:hrpct="0" o:hralign="center" o:hrstd="t" o:hrnoshade="t" o:hr="t" fillcolor="black [3213]" stroked="f"/>
              </w:pict>
            </w:r>
          </w:p>
          <w:p w:rsidR="00DA3F5E" w:rsidRPr="00A935AA" w:rsidRDefault="00DA3F5E" w:rsidP="00E8544A">
            <w:pPr>
              <w:rPr>
                <w:sz w:val="20"/>
                <w:szCs w:val="20"/>
              </w:rPr>
            </w:pPr>
          </w:p>
        </w:tc>
      </w:tr>
      <w:tr w:rsidR="00C21644" w:rsidRPr="00A935AA" w:rsidTr="003B3977">
        <w:tc>
          <w:tcPr>
            <w:tcW w:w="4320" w:type="dxa"/>
            <w:shd w:val="clear" w:color="auto" w:fill="auto"/>
          </w:tcPr>
          <w:p w:rsidR="00181EA3" w:rsidRPr="00181EA3" w:rsidRDefault="00181EA3" w:rsidP="00181EA3">
            <w:pPr>
              <w:rPr>
                <w:b/>
                <w:sz w:val="20"/>
                <w:szCs w:val="20"/>
                <w:lang w:val="fr-CA"/>
              </w:rPr>
            </w:pPr>
            <w:r w:rsidRPr="00181EA3">
              <w:rPr>
                <w:b/>
                <w:sz w:val="20"/>
                <w:szCs w:val="20"/>
                <w:lang w:val="fr-CA"/>
              </w:rPr>
              <w:t>Lihong Yang</w:t>
            </w:r>
          </w:p>
          <w:p w:rsidR="00181EA3" w:rsidRPr="00181EA3" w:rsidRDefault="00181EA3" w:rsidP="00181EA3">
            <w:pPr>
              <w:tabs>
                <w:tab w:val="left" w:pos="-1440"/>
                <w:tab w:val="left" w:pos="-720"/>
              </w:tabs>
              <w:rPr>
                <w:sz w:val="20"/>
                <w:szCs w:val="20"/>
                <w:lang w:val="fr-CA"/>
              </w:rPr>
            </w:pPr>
            <w:r w:rsidRPr="00181EA3">
              <w:rPr>
                <w:sz w:val="20"/>
                <w:szCs w:val="20"/>
                <w:lang w:val="fr-CA"/>
              </w:rPr>
              <w:tab/>
              <w:t>Lihong Yang</w:t>
            </w:r>
          </w:p>
          <w:p w:rsidR="00181EA3" w:rsidRPr="00181EA3" w:rsidRDefault="00181EA3" w:rsidP="00181EA3">
            <w:pPr>
              <w:tabs>
                <w:tab w:val="left" w:pos="-1440"/>
                <w:tab w:val="left" w:pos="-720"/>
              </w:tabs>
              <w:rPr>
                <w:sz w:val="20"/>
                <w:szCs w:val="20"/>
                <w:lang w:val="fr-CA"/>
              </w:rPr>
            </w:pPr>
          </w:p>
          <w:p w:rsidR="00181EA3" w:rsidRPr="00181EA3" w:rsidRDefault="00181EA3" w:rsidP="00181EA3">
            <w:pPr>
              <w:tabs>
                <w:tab w:val="left" w:pos="-1440"/>
                <w:tab w:val="left" w:pos="-720"/>
              </w:tabs>
              <w:rPr>
                <w:sz w:val="20"/>
                <w:szCs w:val="20"/>
                <w:lang w:val="fr-CA"/>
              </w:rPr>
            </w:pPr>
            <w:r w:rsidRPr="00181EA3">
              <w:rPr>
                <w:sz w:val="20"/>
                <w:szCs w:val="20"/>
                <w:lang w:val="fr-CA"/>
              </w:rPr>
              <w:tab/>
              <w:t>v. (37901)</w:t>
            </w:r>
          </w:p>
          <w:p w:rsidR="00181EA3" w:rsidRPr="00181EA3" w:rsidRDefault="00181EA3" w:rsidP="00181EA3">
            <w:pPr>
              <w:tabs>
                <w:tab w:val="left" w:pos="-1440"/>
                <w:tab w:val="left" w:pos="-720"/>
              </w:tabs>
              <w:rPr>
                <w:sz w:val="20"/>
                <w:szCs w:val="20"/>
                <w:lang w:val="fr-CA"/>
              </w:rPr>
            </w:pPr>
          </w:p>
          <w:p w:rsidR="00181EA3" w:rsidRPr="00296A47" w:rsidRDefault="00181EA3" w:rsidP="00181EA3">
            <w:pPr>
              <w:tabs>
                <w:tab w:val="left" w:pos="-1440"/>
                <w:tab w:val="left" w:pos="-720"/>
              </w:tabs>
              <w:rPr>
                <w:b/>
                <w:sz w:val="20"/>
                <w:szCs w:val="20"/>
              </w:rPr>
            </w:pPr>
            <w:r>
              <w:rPr>
                <w:b/>
                <w:sz w:val="20"/>
                <w:szCs w:val="20"/>
              </w:rPr>
              <w:t>Her Majesty the Queen</w:t>
            </w:r>
            <w:r w:rsidR="00DA3F5E">
              <w:rPr>
                <w:b/>
                <w:sz w:val="20"/>
                <w:szCs w:val="20"/>
              </w:rPr>
              <w:t xml:space="preserve"> (B.C.)</w:t>
            </w:r>
          </w:p>
          <w:p w:rsidR="00181EA3" w:rsidRPr="00296A47" w:rsidRDefault="00181EA3" w:rsidP="00181EA3">
            <w:pPr>
              <w:tabs>
                <w:tab w:val="left" w:pos="-1440"/>
                <w:tab w:val="left" w:pos="-720"/>
              </w:tabs>
              <w:rPr>
                <w:sz w:val="20"/>
                <w:szCs w:val="20"/>
                <w:lang w:val="en-US"/>
              </w:rPr>
            </w:pPr>
            <w:r w:rsidRPr="00296A47">
              <w:rPr>
                <w:sz w:val="20"/>
                <w:szCs w:val="20"/>
              </w:rPr>
              <w:tab/>
            </w:r>
            <w:r>
              <w:rPr>
                <w:sz w:val="20"/>
                <w:szCs w:val="20"/>
              </w:rPr>
              <w:t>John R.W. Caldwell</w:t>
            </w:r>
          </w:p>
          <w:p w:rsidR="00181EA3" w:rsidRPr="00296A47" w:rsidRDefault="00181EA3" w:rsidP="00181EA3">
            <w:pPr>
              <w:tabs>
                <w:tab w:val="left" w:pos="-1440"/>
                <w:tab w:val="left" w:pos="-720"/>
              </w:tabs>
              <w:ind w:left="720"/>
              <w:rPr>
                <w:sz w:val="20"/>
                <w:szCs w:val="20"/>
              </w:rPr>
            </w:pPr>
            <w:r>
              <w:rPr>
                <w:sz w:val="20"/>
                <w:szCs w:val="20"/>
              </w:rPr>
              <w:t>A.G. of British Columbia</w:t>
            </w:r>
          </w:p>
          <w:p w:rsidR="00181EA3" w:rsidRPr="00296A47" w:rsidRDefault="00181EA3" w:rsidP="00181EA3">
            <w:pPr>
              <w:tabs>
                <w:tab w:val="left" w:pos="-1440"/>
                <w:tab w:val="left" w:pos="-720"/>
              </w:tabs>
              <w:rPr>
                <w:sz w:val="20"/>
                <w:szCs w:val="20"/>
              </w:rPr>
            </w:pPr>
          </w:p>
          <w:p w:rsidR="00181EA3" w:rsidRPr="00296A47" w:rsidRDefault="00181EA3" w:rsidP="00181EA3">
            <w:pPr>
              <w:rPr>
                <w:sz w:val="20"/>
                <w:szCs w:val="20"/>
              </w:rPr>
            </w:pPr>
            <w:r w:rsidRPr="00296A47">
              <w:rPr>
                <w:sz w:val="20"/>
                <w:szCs w:val="20"/>
              </w:rPr>
              <w:t xml:space="preserve">FILING DATE: </w:t>
            </w:r>
            <w:r>
              <w:rPr>
                <w:sz w:val="20"/>
                <w:szCs w:val="20"/>
              </w:rPr>
              <w:t>30</w:t>
            </w:r>
            <w:r w:rsidRPr="00296A47">
              <w:rPr>
                <w:sz w:val="20"/>
                <w:szCs w:val="20"/>
              </w:rPr>
              <w:t>.</w:t>
            </w:r>
            <w:r>
              <w:rPr>
                <w:sz w:val="20"/>
                <w:szCs w:val="20"/>
              </w:rPr>
              <w:t>11</w:t>
            </w:r>
            <w:r w:rsidRPr="00296A47">
              <w:rPr>
                <w:sz w:val="20"/>
                <w:szCs w:val="20"/>
              </w:rPr>
              <w:t>.201</w:t>
            </w:r>
            <w:r>
              <w:rPr>
                <w:sz w:val="20"/>
                <w:szCs w:val="20"/>
              </w:rPr>
              <w:t>7</w:t>
            </w:r>
          </w:p>
          <w:p w:rsidR="00C21644" w:rsidRPr="00A935AA" w:rsidRDefault="00167F64" w:rsidP="00181EA3">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Pr="00A935AA" w:rsidRDefault="00C21644" w:rsidP="005F1ED8">
            <w:pPr>
              <w:rPr>
                <w:sz w:val="20"/>
                <w:szCs w:val="20"/>
              </w:rPr>
            </w:pPr>
          </w:p>
        </w:tc>
      </w:tr>
    </w:tbl>
    <w:p w:rsidR="00242AEE" w:rsidRDefault="00242AEE" w:rsidP="0095096B">
      <w:pPr>
        <w:tabs>
          <w:tab w:val="right" w:pos="9360"/>
        </w:tabs>
        <w:rPr>
          <w:sz w:val="20"/>
          <w:szCs w:val="20"/>
        </w:rPr>
      </w:pPr>
    </w:p>
    <w:p w:rsidR="00C01FCB" w:rsidRDefault="00C01FCB" w:rsidP="0095096B">
      <w:pPr>
        <w:tabs>
          <w:tab w:val="right" w:pos="9360"/>
        </w:tabs>
        <w:rPr>
          <w:sz w:val="20"/>
          <w:szCs w:val="20"/>
        </w:rPr>
      </w:pPr>
    </w:p>
    <w:p w:rsidR="00C01FCB" w:rsidRDefault="00C01FCB"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0B4390">
          <w:headerReference w:type="default" r:id="rId11"/>
          <w:footerReference w:type="default" r:id="rId12"/>
          <w:headerReference w:type="first" r:id="rId13"/>
          <w:footerReference w:type="first" r:id="rId14"/>
          <w:pgSz w:w="12240" w:h="15840"/>
          <w:pgMar w:top="720" w:right="965" w:bottom="1080" w:left="1656" w:header="706" w:footer="706" w:gutter="0"/>
          <w:pgNumType w:start="148"/>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3A01D0"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DB1E27" w:rsidRDefault="00782F85" w:rsidP="00CB3520">
      <w:pPr>
        <w:widowControl w:val="0"/>
        <w:rPr>
          <w:b/>
          <w:sz w:val="20"/>
          <w:szCs w:val="20"/>
        </w:rPr>
      </w:pPr>
      <w:r w:rsidRPr="00DB1E27">
        <w:rPr>
          <w:b/>
          <w:sz w:val="20"/>
          <w:szCs w:val="20"/>
        </w:rPr>
        <w:t>FEBRUARY 5</w:t>
      </w:r>
      <w:r w:rsidR="00CB3520" w:rsidRPr="00DB1E27">
        <w:rPr>
          <w:b/>
          <w:sz w:val="20"/>
          <w:szCs w:val="20"/>
        </w:rPr>
        <w:t>, 201</w:t>
      </w:r>
      <w:r w:rsidRPr="00DB1E27">
        <w:rPr>
          <w:b/>
          <w:sz w:val="20"/>
          <w:szCs w:val="20"/>
        </w:rPr>
        <w:t>8</w:t>
      </w:r>
      <w:r w:rsidR="00CB3520" w:rsidRPr="00DB1E27">
        <w:rPr>
          <w:b/>
          <w:sz w:val="20"/>
          <w:szCs w:val="20"/>
        </w:rPr>
        <w:t xml:space="preserve"> / LE </w:t>
      </w:r>
      <w:r w:rsidRPr="00DB1E27">
        <w:rPr>
          <w:b/>
          <w:sz w:val="20"/>
          <w:szCs w:val="20"/>
        </w:rPr>
        <w:t>5</w:t>
      </w:r>
      <w:r w:rsidR="00CB3520" w:rsidRPr="00DB1E27">
        <w:rPr>
          <w:b/>
          <w:sz w:val="20"/>
          <w:szCs w:val="20"/>
        </w:rPr>
        <w:t xml:space="preserve"> </w:t>
      </w:r>
      <w:r w:rsidRPr="00DB1E27">
        <w:rPr>
          <w:b/>
          <w:sz w:val="20"/>
          <w:szCs w:val="20"/>
        </w:rPr>
        <w:t>FÉVRIER 2018</w:t>
      </w:r>
    </w:p>
    <w:p w:rsidR="00782F85" w:rsidRPr="00DB1E27" w:rsidRDefault="00782F85" w:rsidP="00CB3520">
      <w:pPr>
        <w:widowControl w:val="0"/>
        <w:jc w:val="center"/>
        <w:rPr>
          <w:b/>
          <w:sz w:val="20"/>
          <w:szCs w:val="20"/>
        </w:rPr>
      </w:pPr>
    </w:p>
    <w:p w:rsidR="00CB3520" w:rsidRPr="00DB1E27" w:rsidRDefault="00CB3520" w:rsidP="00CB3520">
      <w:pPr>
        <w:widowControl w:val="0"/>
        <w:jc w:val="center"/>
        <w:rPr>
          <w:b/>
          <w:sz w:val="20"/>
          <w:szCs w:val="20"/>
        </w:rPr>
      </w:pPr>
      <w:r w:rsidRPr="00DB1E27">
        <w:rPr>
          <w:b/>
          <w:sz w:val="20"/>
          <w:szCs w:val="20"/>
        </w:rPr>
        <w:t xml:space="preserve">CORAM:  Chief Justice </w:t>
      </w:r>
      <w:r w:rsidR="00253236" w:rsidRPr="00DB1E27">
        <w:rPr>
          <w:b/>
          <w:sz w:val="20"/>
          <w:szCs w:val="20"/>
        </w:rPr>
        <w:t xml:space="preserve">Wagner </w:t>
      </w:r>
      <w:r w:rsidRPr="00DB1E27">
        <w:rPr>
          <w:b/>
          <w:sz w:val="20"/>
          <w:szCs w:val="20"/>
        </w:rPr>
        <w:t xml:space="preserve">and </w:t>
      </w:r>
      <w:r w:rsidR="00782F85" w:rsidRPr="00DB1E27">
        <w:rPr>
          <w:b/>
          <w:sz w:val="20"/>
          <w:szCs w:val="20"/>
        </w:rPr>
        <w:t>Rowe and Martin</w:t>
      </w:r>
      <w:r w:rsidR="00FA3373" w:rsidRPr="00DB1E27">
        <w:rPr>
          <w:b/>
          <w:sz w:val="20"/>
          <w:szCs w:val="20"/>
        </w:rPr>
        <w:t xml:space="preserve"> </w:t>
      </w:r>
      <w:r w:rsidRPr="00DB1E27">
        <w:rPr>
          <w:b/>
          <w:sz w:val="20"/>
          <w:szCs w:val="20"/>
        </w:rPr>
        <w:t>JJ.</w:t>
      </w:r>
    </w:p>
    <w:p w:rsidR="00CB3520" w:rsidRPr="00DB1E27" w:rsidRDefault="00CB3520" w:rsidP="00CB3520">
      <w:pPr>
        <w:widowControl w:val="0"/>
        <w:jc w:val="center"/>
        <w:rPr>
          <w:sz w:val="20"/>
          <w:szCs w:val="20"/>
          <w:lang w:val="fr-CA"/>
        </w:rPr>
      </w:pPr>
      <w:r w:rsidRPr="00DB1E27">
        <w:rPr>
          <w:b/>
          <w:sz w:val="20"/>
          <w:szCs w:val="20"/>
          <w:lang w:val="fr-CA"/>
        </w:rPr>
        <w:t>L</w:t>
      </w:r>
      <w:r w:rsidR="00782F85" w:rsidRPr="00DB1E27">
        <w:rPr>
          <w:b/>
          <w:sz w:val="20"/>
          <w:szCs w:val="20"/>
          <w:lang w:val="fr-CA"/>
        </w:rPr>
        <w:t>e</w:t>
      </w:r>
      <w:r w:rsidRPr="00DB1E27">
        <w:rPr>
          <w:b/>
          <w:sz w:val="20"/>
          <w:szCs w:val="20"/>
          <w:lang w:val="fr-CA"/>
        </w:rPr>
        <w:t xml:space="preserve"> juge en chef </w:t>
      </w:r>
      <w:r w:rsidR="00782F85" w:rsidRPr="00DB1E27">
        <w:rPr>
          <w:b/>
          <w:sz w:val="20"/>
          <w:szCs w:val="20"/>
          <w:lang w:val="fr-CA"/>
        </w:rPr>
        <w:t>Wagner</w:t>
      </w:r>
      <w:r w:rsidRPr="00DB1E27">
        <w:rPr>
          <w:b/>
          <w:sz w:val="20"/>
          <w:szCs w:val="20"/>
          <w:lang w:val="fr-CA"/>
        </w:rPr>
        <w:t xml:space="preserve"> et les juges </w:t>
      </w:r>
      <w:r w:rsidR="00782F85" w:rsidRPr="00DB1E27">
        <w:rPr>
          <w:b/>
          <w:sz w:val="20"/>
          <w:szCs w:val="20"/>
          <w:lang w:val="fr-CA"/>
        </w:rPr>
        <w:t>Rowe et Martin</w:t>
      </w:r>
    </w:p>
    <w:p w:rsidR="00CB3520" w:rsidRPr="00DB1E27" w:rsidRDefault="00CB3520" w:rsidP="00CB3520">
      <w:pPr>
        <w:widowControl w:val="0"/>
        <w:rPr>
          <w:sz w:val="20"/>
          <w:szCs w:val="20"/>
          <w:lang w:val="fr-CA"/>
        </w:rPr>
      </w:pPr>
    </w:p>
    <w:p w:rsidR="00CB3520" w:rsidRPr="00DB1E27" w:rsidRDefault="00CB3520" w:rsidP="003A5E82">
      <w:pPr>
        <w:pStyle w:val="ListParagraph"/>
        <w:widowControl w:val="0"/>
        <w:numPr>
          <w:ilvl w:val="0"/>
          <w:numId w:val="1"/>
        </w:numPr>
        <w:ind w:hanging="720"/>
        <w:rPr>
          <w:sz w:val="20"/>
          <w:szCs w:val="20"/>
        </w:rPr>
      </w:pPr>
      <w:r w:rsidRPr="00DB1E27">
        <w:rPr>
          <w:i/>
          <w:sz w:val="20"/>
          <w:szCs w:val="20"/>
        </w:rPr>
        <w:t xml:space="preserve">Her Majesty the Queen v. </w:t>
      </w:r>
      <w:r w:rsidR="00D2440B" w:rsidRPr="00DB1E27">
        <w:rPr>
          <w:i/>
          <w:sz w:val="20"/>
          <w:szCs w:val="20"/>
        </w:rPr>
        <w:t xml:space="preserve">M.H. </w:t>
      </w:r>
      <w:r w:rsidRPr="00DB1E27">
        <w:rPr>
          <w:sz w:val="20"/>
          <w:szCs w:val="20"/>
        </w:rPr>
        <w:t>(</w:t>
      </w:r>
      <w:r w:rsidR="00D2440B" w:rsidRPr="00DB1E27">
        <w:rPr>
          <w:sz w:val="20"/>
          <w:szCs w:val="20"/>
        </w:rPr>
        <w:t>B.C.</w:t>
      </w:r>
      <w:r w:rsidRPr="00DB1E27">
        <w:rPr>
          <w:sz w:val="20"/>
          <w:szCs w:val="20"/>
        </w:rPr>
        <w:t>) (Crim</w:t>
      </w:r>
      <w:r w:rsidR="00365BF2" w:rsidRPr="00DB1E27">
        <w:rPr>
          <w:sz w:val="20"/>
          <w:szCs w:val="20"/>
        </w:rPr>
        <w:t>inal</w:t>
      </w:r>
      <w:r w:rsidRPr="00DB1E27">
        <w:rPr>
          <w:sz w:val="20"/>
          <w:szCs w:val="20"/>
        </w:rPr>
        <w:t>) (By Leave) (</w:t>
      </w:r>
      <w:r w:rsidR="00D2440B" w:rsidRPr="00DB1E27">
        <w:rPr>
          <w:sz w:val="20"/>
          <w:szCs w:val="20"/>
        </w:rPr>
        <w:t>37792</w:t>
      </w:r>
      <w:r w:rsidRPr="00DB1E27">
        <w:rPr>
          <w:sz w:val="20"/>
          <w:szCs w:val="20"/>
        </w:rPr>
        <w:t>)</w:t>
      </w:r>
    </w:p>
    <w:p w:rsidR="00CB3520" w:rsidRPr="00DB1E27" w:rsidRDefault="00CB3520" w:rsidP="003A5E82">
      <w:pPr>
        <w:widowControl w:val="0"/>
        <w:rPr>
          <w:sz w:val="20"/>
          <w:szCs w:val="20"/>
        </w:rPr>
      </w:pPr>
    </w:p>
    <w:p w:rsidR="00CB3520" w:rsidRPr="00DB1E27" w:rsidRDefault="00D2440B" w:rsidP="003A5E82">
      <w:pPr>
        <w:pStyle w:val="ListParagraph"/>
        <w:widowControl w:val="0"/>
        <w:numPr>
          <w:ilvl w:val="0"/>
          <w:numId w:val="1"/>
        </w:numPr>
        <w:ind w:hanging="720"/>
        <w:rPr>
          <w:sz w:val="20"/>
          <w:szCs w:val="20"/>
          <w:lang w:val="fr-CA"/>
        </w:rPr>
      </w:pPr>
      <w:r w:rsidRPr="00DB1E27">
        <w:rPr>
          <w:i/>
          <w:sz w:val="20"/>
          <w:szCs w:val="20"/>
          <w:lang w:val="fr-CA"/>
        </w:rPr>
        <w:t>Gestion Éric Tardif inc., maintenant connue sous le nom de Entreprises T.B. inc., et al</w:t>
      </w:r>
      <w:r w:rsidR="00CB3520" w:rsidRPr="00DB1E27">
        <w:rPr>
          <w:i/>
          <w:sz w:val="20"/>
          <w:szCs w:val="20"/>
          <w:lang w:val="fr-CA"/>
        </w:rPr>
        <w:t>.</w:t>
      </w:r>
      <w:r w:rsidRPr="00DB1E27">
        <w:rPr>
          <w:i/>
          <w:sz w:val="20"/>
          <w:szCs w:val="20"/>
          <w:lang w:val="fr-CA"/>
        </w:rPr>
        <w:t xml:space="preserve"> c. Banque Royale du Canada</w:t>
      </w:r>
      <w:r w:rsidR="00CB3520" w:rsidRPr="00DB1E27">
        <w:rPr>
          <w:sz w:val="20"/>
          <w:szCs w:val="20"/>
          <w:lang w:val="fr-CA"/>
        </w:rPr>
        <w:t xml:space="preserve"> (</w:t>
      </w:r>
      <w:r w:rsidRPr="00DB1E27">
        <w:rPr>
          <w:sz w:val="20"/>
          <w:szCs w:val="20"/>
          <w:lang w:val="fr-CA"/>
        </w:rPr>
        <w:t>Qc</w:t>
      </w:r>
      <w:r w:rsidR="00CB3520" w:rsidRPr="00DB1E27">
        <w:rPr>
          <w:sz w:val="20"/>
          <w:szCs w:val="20"/>
          <w:lang w:val="fr-CA"/>
        </w:rPr>
        <w:t>) (Civil</w:t>
      </w:r>
      <w:r w:rsidRPr="00DB1E27">
        <w:rPr>
          <w:sz w:val="20"/>
          <w:szCs w:val="20"/>
          <w:lang w:val="fr-CA"/>
        </w:rPr>
        <w:t>e</w:t>
      </w:r>
      <w:r w:rsidR="00CB3520" w:rsidRPr="00DB1E27">
        <w:rPr>
          <w:sz w:val="20"/>
          <w:szCs w:val="20"/>
          <w:lang w:val="fr-CA"/>
        </w:rPr>
        <w:t>) (</w:t>
      </w:r>
      <w:r w:rsidRPr="00DB1E27">
        <w:rPr>
          <w:sz w:val="20"/>
          <w:szCs w:val="20"/>
          <w:lang w:val="fr-CA"/>
        </w:rPr>
        <w:t>Autorisation) (37548</w:t>
      </w:r>
      <w:r w:rsidR="00CB3520" w:rsidRPr="00DB1E27">
        <w:rPr>
          <w:sz w:val="20"/>
          <w:szCs w:val="20"/>
          <w:lang w:val="fr-CA"/>
        </w:rPr>
        <w:t>)</w:t>
      </w:r>
    </w:p>
    <w:p w:rsidR="00CB3520" w:rsidRPr="00DB1E27" w:rsidRDefault="00CB3520" w:rsidP="00CB3520">
      <w:pPr>
        <w:widowControl w:val="0"/>
        <w:jc w:val="both"/>
        <w:rPr>
          <w:sz w:val="20"/>
          <w:szCs w:val="20"/>
          <w:lang w:val="fr-CA"/>
        </w:rPr>
      </w:pPr>
    </w:p>
    <w:p w:rsidR="00CB3520" w:rsidRPr="00DB1E27" w:rsidRDefault="00CB3520" w:rsidP="00CB3520">
      <w:pPr>
        <w:widowControl w:val="0"/>
        <w:rPr>
          <w:sz w:val="20"/>
          <w:szCs w:val="20"/>
          <w:lang w:val="fr-CA"/>
        </w:rPr>
      </w:pPr>
    </w:p>
    <w:p w:rsidR="00CB3520" w:rsidRPr="00DB1E27" w:rsidRDefault="00CB3520" w:rsidP="00CB3520">
      <w:pPr>
        <w:widowControl w:val="0"/>
        <w:jc w:val="center"/>
        <w:rPr>
          <w:b/>
          <w:sz w:val="20"/>
          <w:szCs w:val="20"/>
          <w:lang w:val="en-US"/>
        </w:rPr>
      </w:pPr>
      <w:r w:rsidRPr="00DB1E27">
        <w:rPr>
          <w:b/>
          <w:sz w:val="20"/>
          <w:szCs w:val="20"/>
          <w:lang w:val="en-US"/>
        </w:rPr>
        <w:t xml:space="preserve">CORAM: </w:t>
      </w:r>
      <w:r w:rsidR="00FA3373" w:rsidRPr="00DB1E27">
        <w:rPr>
          <w:b/>
          <w:sz w:val="20"/>
          <w:szCs w:val="20"/>
          <w:lang w:val="en-US"/>
        </w:rPr>
        <w:t>Abella</w:t>
      </w:r>
      <w:r w:rsidRPr="00DB1E27">
        <w:rPr>
          <w:b/>
          <w:sz w:val="20"/>
          <w:szCs w:val="20"/>
          <w:lang w:val="en-US"/>
        </w:rPr>
        <w:t xml:space="preserve">, </w:t>
      </w:r>
      <w:r w:rsidR="00337959" w:rsidRPr="00DB1E27">
        <w:rPr>
          <w:b/>
          <w:sz w:val="20"/>
          <w:szCs w:val="20"/>
          <w:lang w:val="en-US"/>
        </w:rPr>
        <w:t xml:space="preserve">Gascon </w:t>
      </w:r>
      <w:r w:rsidRPr="00DB1E27">
        <w:rPr>
          <w:b/>
          <w:sz w:val="20"/>
          <w:szCs w:val="20"/>
          <w:lang w:val="en-US"/>
        </w:rPr>
        <w:t xml:space="preserve">and </w:t>
      </w:r>
      <w:r w:rsidR="00E942C2" w:rsidRPr="00DB1E27">
        <w:rPr>
          <w:b/>
          <w:sz w:val="20"/>
          <w:szCs w:val="20"/>
          <w:lang w:val="en-US"/>
        </w:rPr>
        <w:t>Brown</w:t>
      </w:r>
      <w:r w:rsidRPr="00DB1E27">
        <w:rPr>
          <w:b/>
          <w:sz w:val="20"/>
          <w:szCs w:val="20"/>
          <w:lang w:val="en-US"/>
        </w:rPr>
        <w:t xml:space="preserve"> JJ.</w:t>
      </w:r>
    </w:p>
    <w:p w:rsidR="00CB3520" w:rsidRPr="00DB1E27" w:rsidRDefault="00CB3520" w:rsidP="00CB3520">
      <w:pPr>
        <w:widowControl w:val="0"/>
        <w:jc w:val="center"/>
        <w:rPr>
          <w:b/>
          <w:sz w:val="20"/>
          <w:szCs w:val="20"/>
          <w:lang w:val="fr-CA"/>
        </w:rPr>
      </w:pPr>
      <w:r w:rsidRPr="00DB1E27">
        <w:rPr>
          <w:b/>
          <w:sz w:val="20"/>
          <w:szCs w:val="20"/>
          <w:lang w:val="fr-CA"/>
        </w:rPr>
        <w:t xml:space="preserve">Les juges </w:t>
      </w:r>
      <w:r w:rsidR="00FA3373" w:rsidRPr="00DB1E27">
        <w:rPr>
          <w:b/>
          <w:sz w:val="20"/>
          <w:szCs w:val="20"/>
          <w:lang w:val="fr-CA"/>
        </w:rPr>
        <w:t>Abella</w:t>
      </w:r>
      <w:r w:rsidRPr="00DB1E27">
        <w:rPr>
          <w:b/>
          <w:sz w:val="20"/>
          <w:szCs w:val="20"/>
          <w:lang w:val="fr-CA"/>
        </w:rPr>
        <w:t xml:space="preserve">, </w:t>
      </w:r>
      <w:r w:rsidR="00337959" w:rsidRPr="00DB1E27">
        <w:rPr>
          <w:b/>
          <w:sz w:val="20"/>
          <w:szCs w:val="20"/>
          <w:lang w:val="fr-CA"/>
        </w:rPr>
        <w:t>Gascon</w:t>
      </w:r>
      <w:r w:rsidRPr="00DB1E27">
        <w:rPr>
          <w:b/>
          <w:sz w:val="20"/>
          <w:szCs w:val="20"/>
          <w:lang w:val="fr-CA"/>
        </w:rPr>
        <w:t xml:space="preserve"> et </w:t>
      </w:r>
      <w:r w:rsidR="00E942C2" w:rsidRPr="00DB1E27">
        <w:rPr>
          <w:b/>
          <w:sz w:val="20"/>
          <w:szCs w:val="20"/>
          <w:lang w:val="fr-CA"/>
        </w:rPr>
        <w:t>Brown</w:t>
      </w:r>
    </w:p>
    <w:p w:rsidR="00CB3520" w:rsidRPr="00DB1E27" w:rsidRDefault="00CB3520" w:rsidP="00CB3520">
      <w:pPr>
        <w:widowControl w:val="0"/>
        <w:jc w:val="both"/>
        <w:rPr>
          <w:sz w:val="20"/>
          <w:szCs w:val="20"/>
          <w:lang w:val="fr-CA"/>
        </w:rPr>
      </w:pPr>
    </w:p>
    <w:p w:rsidR="00CB3520" w:rsidRPr="00DB1E27" w:rsidRDefault="002716BE" w:rsidP="003A5E82">
      <w:pPr>
        <w:pStyle w:val="ListParagraph"/>
        <w:widowControl w:val="0"/>
        <w:numPr>
          <w:ilvl w:val="0"/>
          <w:numId w:val="1"/>
        </w:numPr>
        <w:ind w:hanging="720"/>
        <w:rPr>
          <w:sz w:val="20"/>
          <w:szCs w:val="20"/>
          <w:lang w:val="en-US"/>
        </w:rPr>
      </w:pPr>
      <w:r w:rsidRPr="00DB1E27">
        <w:rPr>
          <w:i/>
          <w:sz w:val="20"/>
          <w:szCs w:val="20"/>
        </w:rPr>
        <w:t xml:space="preserve">Bradley David Barton </w:t>
      </w:r>
      <w:r w:rsidR="00CB3520" w:rsidRPr="00DB1E27">
        <w:rPr>
          <w:i/>
          <w:sz w:val="20"/>
          <w:szCs w:val="20"/>
        </w:rPr>
        <w:t xml:space="preserve">v. </w:t>
      </w:r>
      <w:r w:rsidRPr="00DB1E27">
        <w:rPr>
          <w:i/>
          <w:sz w:val="20"/>
          <w:szCs w:val="20"/>
        </w:rPr>
        <w:t xml:space="preserve">Her Majesty the Queen </w:t>
      </w:r>
      <w:r w:rsidR="00CB3520" w:rsidRPr="00DB1E27">
        <w:rPr>
          <w:sz w:val="20"/>
          <w:szCs w:val="20"/>
        </w:rPr>
        <w:t>(</w:t>
      </w:r>
      <w:r w:rsidRPr="00DB1E27">
        <w:rPr>
          <w:sz w:val="20"/>
          <w:szCs w:val="20"/>
        </w:rPr>
        <w:t>Alta.) (Criminal</w:t>
      </w:r>
      <w:r w:rsidR="00CB3520" w:rsidRPr="00DB1E27">
        <w:rPr>
          <w:sz w:val="20"/>
          <w:szCs w:val="20"/>
        </w:rPr>
        <w:t>) (By Leave)</w:t>
      </w:r>
      <w:r w:rsidR="00CB3520" w:rsidRPr="00DB1E27">
        <w:rPr>
          <w:sz w:val="20"/>
          <w:szCs w:val="20"/>
          <w:lang w:val="en-US"/>
        </w:rPr>
        <w:t xml:space="preserve"> (3</w:t>
      </w:r>
      <w:r w:rsidRPr="00DB1E27">
        <w:rPr>
          <w:sz w:val="20"/>
          <w:szCs w:val="20"/>
          <w:lang w:val="en-US"/>
        </w:rPr>
        <w:t>7769</w:t>
      </w:r>
      <w:r w:rsidR="00CB3520" w:rsidRPr="00DB1E27">
        <w:rPr>
          <w:sz w:val="20"/>
          <w:szCs w:val="20"/>
          <w:lang w:val="en-US"/>
        </w:rPr>
        <w:t>)</w:t>
      </w:r>
    </w:p>
    <w:p w:rsidR="00CB3520" w:rsidRPr="00DB1E27" w:rsidRDefault="00CB3520" w:rsidP="003A5E82">
      <w:pPr>
        <w:widowControl w:val="0"/>
        <w:rPr>
          <w:sz w:val="20"/>
          <w:szCs w:val="20"/>
          <w:lang w:val="en-US"/>
        </w:rPr>
      </w:pPr>
    </w:p>
    <w:p w:rsidR="00CB3520" w:rsidRPr="00DB1E27" w:rsidRDefault="00313C81" w:rsidP="003A5E82">
      <w:pPr>
        <w:pStyle w:val="ListParagraph"/>
        <w:widowControl w:val="0"/>
        <w:numPr>
          <w:ilvl w:val="0"/>
          <w:numId w:val="1"/>
        </w:numPr>
        <w:ind w:hanging="720"/>
        <w:rPr>
          <w:sz w:val="20"/>
          <w:szCs w:val="20"/>
          <w:lang w:val="fr-CA"/>
        </w:rPr>
      </w:pPr>
      <w:r w:rsidRPr="00DB1E27">
        <w:rPr>
          <w:i/>
          <w:sz w:val="20"/>
          <w:szCs w:val="20"/>
          <w:lang w:val="en-US"/>
        </w:rPr>
        <w:t>Neloni Gunawardena</w:t>
      </w:r>
      <w:r w:rsidR="00CB3520" w:rsidRPr="00DB1E27">
        <w:rPr>
          <w:i/>
          <w:sz w:val="20"/>
          <w:szCs w:val="20"/>
          <w:lang w:val="en-US"/>
        </w:rPr>
        <w:t xml:space="preserve">. v. </w:t>
      </w:r>
      <w:r w:rsidRPr="00DB1E27">
        <w:rPr>
          <w:i/>
          <w:sz w:val="20"/>
          <w:szCs w:val="20"/>
          <w:lang w:val="en-US"/>
        </w:rPr>
        <w:t>Callum Bruff Murphy, et al.</w:t>
      </w:r>
      <w:r w:rsidRPr="00DB1E27">
        <w:rPr>
          <w:sz w:val="20"/>
          <w:szCs w:val="20"/>
          <w:lang w:val="en-US"/>
        </w:rPr>
        <w:t xml:space="preserve"> </w:t>
      </w:r>
      <w:r w:rsidRPr="00DB1E27">
        <w:rPr>
          <w:sz w:val="20"/>
          <w:szCs w:val="20"/>
          <w:lang w:val="fr-CA"/>
        </w:rPr>
        <w:t>(Ont.) (Civil) (By Leave) (37742</w:t>
      </w:r>
      <w:r w:rsidR="00CB3520" w:rsidRPr="00DB1E27">
        <w:rPr>
          <w:sz w:val="20"/>
          <w:szCs w:val="20"/>
          <w:lang w:val="fr-CA"/>
        </w:rPr>
        <w:t>)</w:t>
      </w:r>
    </w:p>
    <w:p w:rsidR="00CB3520" w:rsidRPr="00DB1E27" w:rsidRDefault="00CB3520" w:rsidP="003A5E82">
      <w:pPr>
        <w:widowControl w:val="0"/>
        <w:rPr>
          <w:sz w:val="20"/>
          <w:szCs w:val="20"/>
          <w:lang w:val="fr-CA"/>
        </w:rPr>
      </w:pPr>
    </w:p>
    <w:p w:rsidR="00CB3520" w:rsidRPr="00DB1E27" w:rsidRDefault="007C4B7E" w:rsidP="003A5E82">
      <w:pPr>
        <w:pStyle w:val="ListParagraph"/>
        <w:widowControl w:val="0"/>
        <w:numPr>
          <w:ilvl w:val="0"/>
          <w:numId w:val="1"/>
        </w:numPr>
        <w:ind w:hanging="720"/>
        <w:rPr>
          <w:sz w:val="20"/>
          <w:szCs w:val="20"/>
          <w:lang w:val="fr-CA"/>
        </w:rPr>
      </w:pPr>
      <w:r w:rsidRPr="00DB1E27">
        <w:rPr>
          <w:i/>
          <w:sz w:val="20"/>
          <w:szCs w:val="20"/>
          <w:lang w:val="fr-CA"/>
        </w:rPr>
        <w:t>Systèmes Techno-Pompes inc., et al c. Travailleurs et Travailleuses unis de l'alimentation et du commerce, section locale 503</w:t>
      </w:r>
      <w:r w:rsidR="00CB3520" w:rsidRPr="00DB1E27">
        <w:rPr>
          <w:sz w:val="20"/>
          <w:szCs w:val="20"/>
          <w:lang w:val="fr-CA"/>
        </w:rPr>
        <w:t xml:space="preserve"> (Qc) (Civile) (Autorisation)</w:t>
      </w:r>
      <w:r w:rsidRPr="00DB1E27">
        <w:rPr>
          <w:sz w:val="20"/>
          <w:szCs w:val="20"/>
          <w:lang w:val="fr-CA"/>
        </w:rPr>
        <w:t xml:space="preserve"> (37732</w:t>
      </w:r>
      <w:r w:rsidR="00CB3520" w:rsidRPr="00DB1E27">
        <w:rPr>
          <w:sz w:val="20"/>
          <w:szCs w:val="20"/>
          <w:lang w:val="fr-CA"/>
        </w:rPr>
        <w:t>)</w:t>
      </w:r>
    </w:p>
    <w:p w:rsidR="00CB3520" w:rsidRPr="00DB1E27" w:rsidRDefault="00CB3520" w:rsidP="00326327">
      <w:pPr>
        <w:widowControl w:val="0"/>
        <w:rPr>
          <w:sz w:val="20"/>
          <w:szCs w:val="20"/>
          <w:lang w:val="fr-CA"/>
        </w:rPr>
      </w:pPr>
    </w:p>
    <w:p w:rsidR="00CB3520" w:rsidRPr="00DB1E27" w:rsidRDefault="00CB3520" w:rsidP="00CB3520">
      <w:pPr>
        <w:widowControl w:val="0"/>
        <w:jc w:val="both"/>
        <w:rPr>
          <w:sz w:val="20"/>
          <w:szCs w:val="20"/>
          <w:lang w:val="fr-CA"/>
        </w:rPr>
      </w:pPr>
    </w:p>
    <w:p w:rsidR="00CB3520" w:rsidRPr="00DB1E27" w:rsidRDefault="00CB3520" w:rsidP="00CB3520">
      <w:pPr>
        <w:widowControl w:val="0"/>
        <w:jc w:val="center"/>
        <w:rPr>
          <w:b/>
          <w:sz w:val="20"/>
          <w:szCs w:val="20"/>
        </w:rPr>
      </w:pPr>
      <w:r w:rsidRPr="00DB1E27">
        <w:rPr>
          <w:b/>
          <w:sz w:val="20"/>
          <w:szCs w:val="20"/>
          <w:lang w:val="en-US"/>
        </w:rPr>
        <w:t xml:space="preserve">CORAM: </w:t>
      </w:r>
      <w:r w:rsidR="00253236" w:rsidRPr="00DB1E27">
        <w:rPr>
          <w:b/>
          <w:sz w:val="20"/>
          <w:szCs w:val="20"/>
          <w:lang w:val="en-US"/>
        </w:rPr>
        <w:t>Moldaver</w:t>
      </w:r>
      <w:r w:rsidR="00E942C2" w:rsidRPr="00DB1E27">
        <w:rPr>
          <w:b/>
          <w:sz w:val="20"/>
          <w:szCs w:val="20"/>
          <w:lang w:val="en-US"/>
        </w:rPr>
        <w:t xml:space="preserve">, </w:t>
      </w:r>
      <w:r w:rsidR="00463DF1" w:rsidRPr="00DB1E27">
        <w:rPr>
          <w:b/>
          <w:sz w:val="20"/>
          <w:szCs w:val="20"/>
          <w:lang w:val="en-US"/>
        </w:rPr>
        <w:t xml:space="preserve">Karakatsanis and </w:t>
      </w:r>
      <w:r w:rsidR="00253236" w:rsidRPr="00DB1E27">
        <w:rPr>
          <w:b/>
          <w:sz w:val="20"/>
          <w:szCs w:val="20"/>
          <w:lang w:val="en-US"/>
        </w:rPr>
        <w:t xml:space="preserve">Côté </w:t>
      </w:r>
      <w:r w:rsidRPr="00DB1E27">
        <w:rPr>
          <w:b/>
          <w:sz w:val="20"/>
          <w:szCs w:val="20"/>
          <w:lang w:val="en-US"/>
        </w:rPr>
        <w:t>J</w:t>
      </w:r>
      <w:r w:rsidRPr="00DB1E27">
        <w:rPr>
          <w:b/>
          <w:sz w:val="20"/>
          <w:szCs w:val="20"/>
        </w:rPr>
        <w:t>J.</w:t>
      </w:r>
    </w:p>
    <w:p w:rsidR="00CB3520" w:rsidRPr="00DB1E27" w:rsidRDefault="00CB3520" w:rsidP="00CB3520">
      <w:pPr>
        <w:widowControl w:val="0"/>
        <w:jc w:val="center"/>
        <w:rPr>
          <w:b/>
          <w:sz w:val="20"/>
          <w:szCs w:val="20"/>
          <w:lang w:val="fr-CA"/>
        </w:rPr>
      </w:pPr>
      <w:r w:rsidRPr="00DB1E27">
        <w:rPr>
          <w:b/>
          <w:sz w:val="20"/>
          <w:szCs w:val="20"/>
          <w:lang w:val="fr-CA"/>
        </w:rPr>
        <w:t xml:space="preserve">Les juges </w:t>
      </w:r>
      <w:r w:rsidR="00253236" w:rsidRPr="00DB1E27">
        <w:rPr>
          <w:b/>
          <w:sz w:val="20"/>
          <w:szCs w:val="20"/>
          <w:lang w:val="fr-CA"/>
        </w:rPr>
        <w:t>Moldaver</w:t>
      </w:r>
      <w:r w:rsidR="00E942C2" w:rsidRPr="00DB1E27">
        <w:rPr>
          <w:b/>
          <w:sz w:val="20"/>
          <w:szCs w:val="20"/>
          <w:lang w:val="fr-CA"/>
        </w:rPr>
        <w:t xml:space="preserve">, </w:t>
      </w:r>
      <w:r w:rsidR="00463DF1" w:rsidRPr="00DB1E27">
        <w:rPr>
          <w:b/>
          <w:sz w:val="20"/>
          <w:szCs w:val="20"/>
          <w:lang w:val="fr-CA"/>
        </w:rPr>
        <w:t xml:space="preserve">Karakatsanis et </w:t>
      </w:r>
      <w:r w:rsidR="00253236" w:rsidRPr="00DB1E27">
        <w:rPr>
          <w:b/>
          <w:sz w:val="20"/>
          <w:szCs w:val="20"/>
          <w:lang w:val="fr-CA"/>
        </w:rPr>
        <w:t>Côté</w:t>
      </w:r>
    </w:p>
    <w:p w:rsidR="00CB3520" w:rsidRPr="00DB1E27" w:rsidRDefault="00CB3520" w:rsidP="00CB3520">
      <w:pPr>
        <w:widowControl w:val="0"/>
        <w:jc w:val="both"/>
        <w:rPr>
          <w:sz w:val="20"/>
          <w:szCs w:val="20"/>
          <w:lang w:val="fr-CA"/>
        </w:rPr>
      </w:pPr>
    </w:p>
    <w:p w:rsidR="00326327" w:rsidRPr="00DB1E27" w:rsidRDefault="00326327" w:rsidP="003A5E82">
      <w:pPr>
        <w:pStyle w:val="ListParagraph"/>
        <w:widowControl w:val="0"/>
        <w:numPr>
          <w:ilvl w:val="0"/>
          <w:numId w:val="1"/>
        </w:numPr>
        <w:ind w:hanging="720"/>
        <w:rPr>
          <w:i/>
          <w:sz w:val="20"/>
          <w:szCs w:val="20"/>
          <w:lang w:val="en-US"/>
        </w:rPr>
      </w:pPr>
      <w:r w:rsidRPr="00DB1E27">
        <w:rPr>
          <w:i/>
          <w:sz w:val="20"/>
          <w:szCs w:val="20"/>
          <w:lang w:val="en-US"/>
        </w:rPr>
        <w:t xml:space="preserve">John Meulendyks, et al. v. Her Majesty the Queen </w:t>
      </w:r>
      <w:r w:rsidRPr="00DB1E27">
        <w:rPr>
          <w:sz w:val="20"/>
          <w:szCs w:val="20"/>
        </w:rPr>
        <w:t>(Ont.) (Criminal) (By Leave) (37807)</w:t>
      </w:r>
      <w:r w:rsidRPr="00DB1E27">
        <w:rPr>
          <w:i/>
          <w:sz w:val="20"/>
          <w:szCs w:val="20"/>
          <w:lang w:val="en-US"/>
        </w:rPr>
        <w:br/>
      </w:r>
    </w:p>
    <w:p w:rsidR="00CB3520" w:rsidRPr="00DB1E27" w:rsidRDefault="00326327" w:rsidP="003A5E82">
      <w:pPr>
        <w:pStyle w:val="ListParagraph"/>
        <w:widowControl w:val="0"/>
        <w:numPr>
          <w:ilvl w:val="0"/>
          <w:numId w:val="1"/>
        </w:numPr>
        <w:ind w:hanging="720"/>
        <w:rPr>
          <w:i/>
          <w:sz w:val="20"/>
          <w:szCs w:val="20"/>
        </w:rPr>
      </w:pPr>
      <w:r w:rsidRPr="00DB1E27">
        <w:rPr>
          <w:i/>
          <w:sz w:val="20"/>
          <w:szCs w:val="20"/>
          <w:lang w:val="en-US"/>
        </w:rPr>
        <w:t xml:space="preserve"> </w:t>
      </w:r>
      <w:r w:rsidR="002D4AB3" w:rsidRPr="00DB1E27">
        <w:rPr>
          <w:i/>
          <w:sz w:val="20"/>
          <w:szCs w:val="20"/>
        </w:rPr>
        <w:t xml:space="preserve">Aviva Insurance Company of Canada </w:t>
      </w:r>
      <w:r w:rsidR="00CB3520" w:rsidRPr="00DB1E27">
        <w:rPr>
          <w:i/>
          <w:sz w:val="20"/>
          <w:szCs w:val="20"/>
        </w:rPr>
        <w:t xml:space="preserve">v. </w:t>
      </w:r>
      <w:r w:rsidR="002D4AB3" w:rsidRPr="00DB1E27">
        <w:rPr>
          <w:i/>
          <w:sz w:val="20"/>
          <w:szCs w:val="20"/>
        </w:rPr>
        <w:t>Erin Dittmann</w:t>
      </w:r>
      <w:r w:rsidR="00CB3520" w:rsidRPr="00DB1E27">
        <w:rPr>
          <w:sz w:val="20"/>
          <w:szCs w:val="20"/>
        </w:rPr>
        <w:t xml:space="preserve"> (</w:t>
      </w:r>
      <w:r w:rsidR="002D4AB3" w:rsidRPr="00DB1E27">
        <w:rPr>
          <w:sz w:val="20"/>
          <w:szCs w:val="20"/>
        </w:rPr>
        <w:t>Ont.</w:t>
      </w:r>
      <w:r w:rsidR="00CB3520" w:rsidRPr="00DB1E27">
        <w:rPr>
          <w:sz w:val="20"/>
          <w:szCs w:val="20"/>
        </w:rPr>
        <w:t>) (Civil) (By Leave) (3</w:t>
      </w:r>
      <w:r w:rsidR="002D4AB3" w:rsidRPr="00DB1E27">
        <w:rPr>
          <w:sz w:val="20"/>
          <w:szCs w:val="20"/>
        </w:rPr>
        <w:t>7762</w:t>
      </w:r>
      <w:r w:rsidR="00CB3520" w:rsidRPr="00DB1E27">
        <w:rPr>
          <w:sz w:val="20"/>
          <w:szCs w:val="20"/>
        </w:rPr>
        <w:t>)</w:t>
      </w:r>
    </w:p>
    <w:p w:rsidR="00CB3520" w:rsidRPr="00DB1E27" w:rsidRDefault="00CB3520" w:rsidP="003A5E82">
      <w:pPr>
        <w:widowControl w:val="0"/>
        <w:rPr>
          <w:sz w:val="20"/>
          <w:szCs w:val="20"/>
        </w:rPr>
      </w:pPr>
    </w:p>
    <w:p w:rsidR="00CB3520" w:rsidRPr="00DB1E27" w:rsidRDefault="00CB3520" w:rsidP="003A5E82">
      <w:pPr>
        <w:pStyle w:val="ListParagraph"/>
        <w:widowControl w:val="0"/>
        <w:numPr>
          <w:ilvl w:val="0"/>
          <w:numId w:val="1"/>
        </w:numPr>
        <w:ind w:hanging="720"/>
        <w:rPr>
          <w:i/>
          <w:sz w:val="20"/>
          <w:szCs w:val="20"/>
        </w:rPr>
      </w:pPr>
      <w:r w:rsidRPr="00DB1E27">
        <w:rPr>
          <w:i/>
          <w:sz w:val="20"/>
          <w:szCs w:val="20"/>
        </w:rPr>
        <w:t>Robert</w:t>
      </w:r>
      <w:r w:rsidR="00583DC1" w:rsidRPr="00DB1E27">
        <w:rPr>
          <w:szCs w:val="24"/>
        </w:rPr>
        <w:t xml:space="preserve"> </w:t>
      </w:r>
      <w:r w:rsidR="00583DC1" w:rsidRPr="00DB1E27">
        <w:rPr>
          <w:i/>
          <w:sz w:val="20"/>
          <w:szCs w:val="20"/>
        </w:rPr>
        <w:t>Brenlee Kemp on her own behalf and as Executrix of the Estate of Shannon Jean Kemp, deceased</w:t>
      </w:r>
      <w:r w:rsidRPr="00DB1E27">
        <w:rPr>
          <w:i/>
          <w:sz w:val="20"/>
          <w:szCs w:val="20"/>
        </w:rPr>
        <w:t xml:space="preserve"> </w:t>
      </w:r>
      <w:r w:rsidR="00583DC1" w:rsidRPr="00DB1E27">
        <w:rPr>
          <w:i/>
          <w:sz w:val="20"/>
          <w:szCs w:val="20"/>
        </w:rPr>
        <w:t xml:space="preserve">v. Vancouver Coastal Health Authority Ltd., dba Vancouver General Hospital, et al. </w:t>
      </w:r>
      <w:r w:rsidRPr="00DB1E27">
        <w:rPr>
          <w:sz w:val="20"/>
          <w:szCs w:val="20"/>
        </w:rPr>
        <w:t>(</w:t>
      </w:r>
      <w:r w:rsidR="00583DC1" w:rsidRPr="00DB1E27">
        <w:rPr>
          <w:sz w:val="20"/>
          <w:szCs w:val="20"/>
        </w:rPr>
        <w:t>B.C.</w:t>
      </w:r>
      <w:r w:rsidRPr="00DB1E27">
        <w:rPr>
          <w:sz w:val="20"/>
          <w:szCs w:val="20"/>
        </w:rPr>
        <w:t>) (Civil) (By Leave)</w:t>
      </w:r>
      <w:r w:rsidR="00583DC1" w:rsidRPr="00DB1E27">
        <w:rPr>
          <w:sz w:val="20"/>
          <w:szCs w:val="20"/>
        </w:rPr>
        <w:t xml:space="preserve"> (37734</w:t>
      </w:r>
      <w:r w:rsidRPr="00DB1E27">
        <w:rPr>
          <w:sz w:val="20"/>
          <w:szCs w:val="20"/>
        </w:rPr>
        <w:t>)</w:t>
      </w:r>
    </w:p>
    <w:p w:rsidR="002E2327" w:rsidRPr="00CB3520" w:rsidRDefault="002E2327" w:rsidP="002E2327">
      <w:pPr>
        <w:widowControl w:val="0"/>
        <w:rPr>
          <w:sz w:val="20"/>
          <w:szCs w:val="20"/>
        </w:rPr>
      </w:pPr>
    </w:p>
    <w:p w:rsidR="002E2327" w:rsidRDefault="00167F64" w:rsidP="002E2327">
      <w:pPr>
        <w:widowControl w:val="0"/>
        <w:rPr>
          <w:sz w:val="20"/>
          <w:szCs w:val="20"/>
        </w:rPr>
      </w:pPr>
      <w:r>
        <w:rPr>
          <w:sz w:val="20"/>
          <w:szCs w:val="20"/>
        </w:rPr>
        <w:pict>
          <v:rect id="_x0000_i1032"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3A01D0"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226DDF" w:rsidRDefault="008D292F" w:rsidP="00ED7E83">
            <w:pPr>
              <w:keepNext/>
              <w:keepLines/>
              <w:jc w:val="both"/>
              <w:rPr>
                <w:b/>
                <w:szCs w:val="24"/>
                <w:lang w:val="fr-CA"/>
              </w:rPr>
            </w:pPr>
            <w:r w:rsidRPr="00226DDF">
              <w:rPr>
                <w:b/>
                <w:szCs w:val="24"/>
                <w:lang w:val="fr-CA"/>
              </w:rPr>
              <w:t>JUGEMENTS RENDUS SUR LES DEMANDES D’AUTORISATION</w:t>
            </w:r>
          </w:p>
        </w:tc>
      </w:tr>
    </w:tbl>
    <w:p w:rsidR="008D292F" w:rsidRPr="00226DDF" w:rsidRDefault="008D292F" w:rsidP="008D292F">
      <w:pPr>
        <w:rPr>
          <w:sz w:val="20"/>
          <w:szCs w:val="20"/>
          <w:lang w:val="fr-CA"/>
        </w:rPr>
      </w:pPr>
    </w:p>
    <w:p w:rsidR="000E2959" w:rsidRPr="00C50A5C" w:rsidRDefault="00DF52E0" w:rsidP="000E2959">
      <w:pPr>
        <w:rPr>
          <w:b/>
          <w:sz w:val="20"/>
          <w:szCs w:val="20"/>
        </w:rPr>
      </w:pPr>
      <w:r>
        <w:rPr>
          <w:b/>
          <w:sz w:val="20"/>
          <w:szCs w:val="20"/>
        </w:rPr>
        <w:t>FEBRUARY</w:t>
      </w:r>
      <w:r w:rsidR="000E2959" w:rsidRPr="00C50A5C">
        <w:rPr>
          <w:b/>
          <w:sz w:val="20"/>
          <w:szCs w:val="20"/>
        </w:rPr>
        <w:t xml:space="preserve"> </w:t>
      </w:r>
      <w:r>
        <w:rPr>
          <w:b/>
          <w:sz w:val="20"/>
          <w:szCs w:val="20"/>
        </w:rPr>
        <w:t>8</w:t>
      </w:r>
      <w:r w:rsidR="000E2959" w:rsidRPr="00C50A5C">
        <w:rPr>
          <w:b/>
          <w:sz w:val="20"/>
          <w:szCs w:val="20"/>
        </w:rPr>
        <w:t xml:space="preserve">, </w:t>
      </w:r>
      <w:r w:rsidR="0030050B">
        <w:rPr>
          <w:b/>
          <w:sz w:val="20"/>
          <w:szCs w:val="20"/>
        </w:rPr>
        <w:t>201</w:t>
      </w:r>
      <w:r>
        <w:rPr>
          <w:b/>
          <w:sz w:val="20"/>
          <w:szCs w:val="20"/>
        </w:rPr>
        <w:t>8</w:t>
      </w:r>
      <w:r w:rsidR="000E2959" w:rsidRPr="00C50A5C">
        <w:rPr>
          <w:b/>
          <w:sz w:val="20"/>
          <w:szCs w:val="20"/>
        </w:rPr>
        <w:t xml:space="preserve"> / LE </w:t>
      </w:r>
      <w:r>
        <w:rPr>
          <w:b/>
          <w:sz w:val="20"/>
          <w:szCs w:val="20"/>
        </w:rPr>
        <w:t>8</w:t>
      </w:r>
      <w:r w:rsidR="000E2959" w:rsidRPr="00C50A5C">
        <w:rPr>
          <w:b/>
          <w:sz w:val="20"/>
          <w:szCs w:val="20"/>
        </w:rPr>
        <w:t xml:space="preserve"> </w:t>
      </w:r>
      <w:r>
        <w:rPr>
          <w:b/>
          <w:sz w:val="20"/>
          <w:szCs w:val="20"/>
        </w:rPr>
        <w:t>FÉ</w:t>
      </w:r>
      <w:r w:rsidR="00681F61">
        <w:rPr>
          <w:b/>
          <w:sz w:val="20"/>
          <w:szCs w:val="20"/>
        </w:rPr>
        <w:t>V</w:t>
      </w:r>
      <w:r>
        <w:rPr>
          <w:b/>
          <w:sz w:val="20"/>
          <w:szCs w:val="20"/>
        </w:rPr>
        <w:t>R</w:t>
      </w:r>
      <w:r w:rsidR="000E2959" w:rsidRPr="00C50A5C">
        <w:rPr>
          <w:b/>
          <w:sz w:val="20"/>
          <w:szCs w:val="20"/>
        </w:rPr>
        <w:t>I</w:t>
      </w:r>
      <w:r w:rsidR="00681F61">
        <w:rPr>
          <w:b/>
          <w:sz w:val="20"/>
          <w:szCs w:val="20"/>
        </w:rPr>
        <w:t>ER</w:t>
      </w:r>
      <w:r w:rsidR="000E2959" w:rsidRPr="00C50A5C">
        <w:rPr>
          <w:b/>
          <w:sz w:val="20"/>
          <w:szCs w:val="20"/>
        </w:rPr>
        <w:t xml:space="preserve"> </w:t>
      </w:r>
      <w:r w:rsidR="0030050B">
        <w:rPr>
          <w:b/>
          <w:sz w:val="20"/>
          <w:szCs w:val="20"/>
        </w:rPr>
        <w:t>201</w:t>
      </w:r>
      <w:r>
        <w:rPr>
          <w:b/>
          <w:sz w:val="20"/>
          <w:szCs w:val="20"/>
        </w:rPr>
        <w:t>8</w:t>
      </w:r>
    </w:p>
    <w:p w:rsidR="00E8544A" w:rsidRDefault="00E8544A" w:rsidP="00E8544A">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0A32" w:rsidRPr="009021BE" w:rsidTr="00DE47D4">
        <w:tc>
          <w:tcPr>
            <w:tcW w:w="543" w:type="pct"/>
          </w:tcPr>
          <w:p w:rsidR="006A0A32" w:rsidRPr="009021BE" w:rsidRDefault="006A0A32" w:rsidP="00DE47D4">
            <w:pPr>
              <w:jc w:val="both"/>
              <w:rPr>
                <w:sz w:val="20"/>
              </w:rPr>
            </w:pPr>
            <w:r w:rsidRPr="009021BE">
              <w:rPr>
                <w:rStyle w:val="SCCFileNumberChar"/>
                <w:sz w:val="20"/>
                <w:szCs w:val="20"/>
              </w:rPr>
              <w:t>37723</w:t>
            </w:r>
          </w:p>
        </w:tc>
        <w:tc>
          <w:tcPr>
            <w:tcW w:w="4457" w:type="pct"/>
            <w:gridSpan w:val="3"/>
          </w:tcPr>
          <w:p w:rsidR="006A0A32" w:rsidRPr="009021BE" w:rsidRDefault="006A0A32" w:rsidP="00DE47D4">
            <w:pPr>
              <w:pStyle w:val="SCCLsocParty"/>
              <w:jc w:val="both"/>
              <w:rPr>
                <w:b/>
                <w:sz w:val="20"/>
                <w:szCs w:val="20"/>
                <w:lang w:val="en-CA"/>
              </w:rPr>
            </w:pPr>
            <w:r w:rsidRPr="009021BE">
              <w:rPr>
                <w:b/>
                <w:sz w:val="20"/>
                <w:szCs w:val="20"/>
                <w:lang w:val="en-CA"/>
              </w:rPr>
              <w:t>Claude Trépanier and Fédération des médecins spécialistes du Québec v. Yves Bolduc, in his capacity as Minister of Health and Social Services, and Attorney General of Quebec</w:t>
            </w:r>
          </w:p>
          <w:p w:rsidR="006A0A32" w:rsidRPr="009021BE" w:rsidRDefault="006A0A32" w:rsidP="00DE47D4">
            <w:pPr>
              <w:jc w:val="both"/>
              <w:rPr>
                <w:sz w:val="20"/>
              </w:rPr>
            </w:pPr>
            <w:r w:rsidRPr="009021BE">
              <w:rPr>
                <w:sz w:val="20"/>
              </w:rPr>
              <w:t>(Que.) (Civil) (By Leave)</w:t>
            </w:r>
          </w:p>
        </w:tc>
      </w:tr>
      <w:tr w:rsidR="00146830" w:rsidRPr="009021BE" w:rsidTr="00DE47D4">
        <w:tc>
          <w:tcPr>
            <w:tcW w:w="543" w:type="pct"/>
          </w:tcPr>
          <w:p w:rsidR="00146830" w:rsidRPr="00AE0F22" w:rsidRDefault="00146830" w:rsidP="00146830">
            <w:pPr>
              <w:jc w:val="both"/>
              <w:rPr>
                <w:rStyle w:val="SCCFileNumberChar"/>
                <w:b w:val="0"/>
                <w:sz w:val="20"/>
                <w:szCs w:val="20"/>
              </w:rPr>
            </w:pPr>
            <w:r w:rsidRPr="00AE0F22">
              <w:rPr>
                <w:rStyle w:val="SCCFileNumberChar"/>
                <w:b w:val="0"/>
                <w:sz w:val="20"/>
                <w:szCs w:val="20"/>
              </w:rPr>
              <w:t xml:space="preserve">Coram: </w:t>
            </w:r>
          </w:p>
        </w:tc>
        <w:tc>
          <w:tcPr>
            <w:tcW w:w="4457" w:type="pct"/>
            <w:gridSpan w:val="3"/>
          </w:tcPr>
          <w:p w:rsidR="00146830" w:rsidRPr="00AE0F22" w:rsidRDefault="00146830" w:rsidP="00146830">
            <w:pPr>
              <w:rPr>
                <w:rFonts w:eastAsia="Calibri" w:cs="Times New Roman"/>
                <w:sz w:val="20"/>
                <w:szCs w:val="20"/>
                <w:u w:val="single"/>
              </w:rPr>
            </w:pPr>
            <w:r w:rsidRPr="00AE0F22">
              <w:rPr>
                <w:rFonts w:eastAsia="Calibri" w:cs="Times New Roman"/>
                <w:sz w:val="20"/>
                <w:szCs w:val="20"/>
                <w:u w:val="single"/>
              </w:rPr>
              <w:t>Wagner C.J. and Abella, Moldaver, Karakatsanis, Gascon, Côté, Brown, Rowe and Martin JJ.</w:t>
            </w:r>
          </w:p>
          <w:p w:rsidR="00146830" w:rsidRPr="00AE0F22" w:rsidRDefault="00146830" w:rsidP="00146830"/>
        </w:tc>
      </w:tr>
      <w:tr w:rsidR="00146830" w:rsidRPr="009021BE" w:rsidTr="00691E3A">
        <w:tc>
          <w:tcPr>
            <w:tcW w:w="5000" w:type="pct"/>
            <w:gridSpan w:val="4"/>
          </w:tcPr>
          <w:p w:rsidR="00146830" w:rsidRPr="00146830" w:rsidRDefault="00146830" w:rsidP="00146830">
            <w:pPr>
              <w:pStyle w:val="SCCLsocParty"/>
              <w:jc w:val="both"/>
              <w:rPr>
                <w:b/>
                <w:sz w:val="20"/>
                <w:szCs w:val="20"/>
                <w:lang w:val="en-CA"/>
              </w:rPr>
            </w:pPr>
            <w:r w:rsidRPr="00146830">
              <w:rPr>
                <w:sz w:val="20"/>
                <w:szCs w:val="20"/>
                <w:lang w:val="en-CA"/>
              </w:rPr>
              <w:t>The application for leave to appeal from the judgment of the Court of Appeal of Quebec (Montréal), Number 500-09-025442-153, 2017 QCCA 860, dated June 1, 2017, is dismissed with costs.</w:t>
            </w:r>
          </w:p>
        </w:tc>
      </w:tr>
      <w:tr w:rsidR="00146830" w:rsidRPr="009021BE" w:rsidTr="00DE47D4">
        <w:tc>
          <w:tcPr>
            <w:tcW w:w="5000" w:type="pct"/>
            <w:gridSpan w:val="4"/>
          </w:tcPr>
          <w:p w:rsidR="00146830" w:rsidRPr="009021BE" w:rsidRDefault="00146830" w:rsidP="00146830">
            <w:pPr>
              <w:jc w:val="both"/>
              <w:rPr>
                <w:sz w:val="20"/>
              </w:rPr>
            </w:pPr>
            <w:r w:rsidRPr="009021BE">
              <w:rPr>
                <w:sz w:val="20"/>
              </w:rPr>
              <w:t xml:space="preserve">Charter of Rights — Freedom of association — Challenge to constitutional validity of legislative provisions preventing physicians participating in </w:t>
            </w:r>
            <w:r w:rsidRPr="009021BE">
              <w:rPr>
                <w:bCs/>
                <w:sz w:val="20"/>
                <w:lang w:val="en"/>
              </w:rPr>
              <w:t xml:space="preserve">Quebec Health Insurance Plan and physicians not </w:t>
            </w:r>
            <w:r w:rsidRPr="009021BE">
              <w:rPr>
                <w:bCs/>
                <w:sz w:val="20"/>
              </w:rPr>
              <w:t xml:space="preserve">participating in Plan from </w:t>
            </w:r>
            <w:r w:rsidRPr="009021BE">
              <w:rPr>
                <w:bCs/>
                <w:sz w:val="20"/>
                <w:lang w:val="en"/>
              </w:rPr>
              <w:t>practising together in same specialized medical centre</w:t>
            </w:r>
            <w:r w:rsidRPr="009021BE">
              <w:rPr>
                <w:sz w:val="20"/>
              </w:rPr>
              <w:t xml:space="preserve"> — Whether s. 333.3 AHSSS infringes freedom of association protected by s. 2(d) of </w:t>
            </w:r>
            <w:r w:rsidRPr="009021BE">
              <w:rPr>
                <w:i/>
                <w:sz w:val="20"/>
              </w:rPr>
              <w:t>Canadian Charter of Rights and Freedoms</w:t>
            </w:r>
            <w:r w:rsidRPr="009021BE">
              <w:rPr>
                <w:sz w:val="20"/>
              </w:rPr>
              <w:t xml:space="preserve"> and s. 3 of </w:t>
            </w:r>
            <w:r w:rsidRPr="009021BE">
              <w:rPr>
                <w:i/>
                <w:sz w:val="20"/>
              </w:rPr>
              <w:t>Charter of human rights and freedoms</w:t>
            </w:r>
            <w:r w:rsidRPr="009021BE">
              <w:rPr>
                <w:sz w:val="20"/>
              </w:rPr>
              <w:t>, CQLR, c. C</w:t>
            </w:r>
            <w:r w:rsidRPr="009021BE">
              <w:rPr>
                <w:sz w:val="20"/>
              </w:rPr>
              <w:noBreakHyphen/>
              <w:t xml:space="preserve">12 — If so, whether infringement justified under s. 1 of </w:t>
            </w:r>
            <w:r w:rsidRPr="009021BE">
              <w:rPr>
                <w:i/>
                <w:sz w:val="20"/>
              </w:rPr>
              <w:t>Canadian Charter of Rights and Freedoms</w:t>
            </w:r>
            <w:r w:rsidRPr="009021BE">
              <w:rPr>
                <w:sz w:val="20"/>
              </w:rPr>
              <w:t xml:space="preserve"> and s. 9.1 of </w:t>
            </w:r>
            <w:r w:rsidRPr="009021BE">
              <w:rPr>
                <w:i/>
                <w:sz w:val="20"/>
              </w:rPr>
              <w:t>Charter of human rights and freedoms</w:t>
            </w:r>
            <w:r w:rsidRPr="009021BE">
              <w:rPr>
                <w:sz w:val="20"/>
              </w:rPr>
              <w:t xml:space="preserve"> — If not, whether invalidity of s. 333.3 AHSSS results in total or partial invalidity of ss. 333.1 and 333.6 AHSSS, ss. 34 and 35 of </w:t>
            </w:r>
            <w:r w:rsidRPr="009021BE">
              <w:rPr>
                <w:i/>
                <w:sz w:val="20"/>
                <w:lang w:val="en"/>
              </w:rPr>
              <w:t>An Act to amend various legislative provisions concerning specialized medical centres and medical imaging laboratories</w:t>
            </w:r>
            <w:r w:rsidRPr="009021BE">
              <w:rPr>
                <w:sz w:val="20"/>
              </w:rPr>
              <w:t xml:space="preserve">, S.Q. 2009, c. 29, and s. 3 of </w:t>
            </w:r>
            <w:r w:rsidRPr="009021BE">
              <w:rPr>
                <w:i/>
                <w:sz w:val="20"/>
                <w:lang w:val="en"/>
              </w:rPr>
              <w:t>Regulation respecting the specialized medical treatments provided in a specialized medical centre</w:t>
            </w:r>
            <w:r w:rsidRPr="009021BE">
              <w:rPr>
                <w:sz w:val="20"/>
              </w:rPr>
              <w:t>, CQLR, c. S</w:t>
            </w:r>
            <w:r w:rsidRPr="009021BE">
              <w:rPr>
                <w:sz w:val="20"/>
              </w:rPr>
              <w:noBreakHyphen/>
              <w:t>4.2, r. 25.</w:t>
            </w:r>
          </w:p>
        </w:tc>
      </w:tr>
      <w:tr w:rsidR="00146830" w:rsidRPr="009021BE" w:rsidTr="00DE47D4">
        <w:tc>
          <w:tcPr>
            <w:tcW w:w="5000" w:type="pct"/>
            <w:gridSpan w:val="4"/>
          </w:tcPr>
          <w:p w:rsidR="00146830" w:rsidRPr="009021BE" w:rsidRDefault="00146830" w:rsidP="00146830">
            <w:pPr>
              <w:jc w:val="both"/>
              <w:rPr>
                <w:sz w:val="20"/>
              </w:rPr>
            </w:pPr>
          </w:p>
        </w:tc>
      </w:tr>
      <w:tr w:rsidR="00146830" w:rsidRPr="009021BE" w:rsidTr="00DE47D4">
        <w:tc>
          <w:tcPr>
            <w:tcW w:w="5000" w:type="pct"/>
            <w:gridSpan w:val="4"/>
          </w:tcPr>
          <w:p w:rsidR="00146830" w:rsidRPr="009021BE" w:rsidRDefault="00146830" w:rsidP="00146830">
            <w:pPr>
              <w:jc w:val="both"/>
              <w:rPr>
                <w:sz w:val="20"/>
              </w:rPr>
            </w:pPr>
            <w:r w:rsidRPr="009021BE">
              <w:rPr>
                <w:sz w:val="20"/>
              </w:rPr>
              <w:t xml:space="preserve">To comply with the directions given by the Supreme Court in </w:t>
            </w:r>
            <w:r w:rsidRPr="009021BE">
              <w:rPr>
                <w:i/>
                <w:sz w:val="20"/>
              </w:rPr>
              <w:t>Chaoulli v. Quebec (Attorney General)</w:t>
            </w:r>
            <w:r w:rsidRPr="009021BE">
              <w:rPr>
                <w:sz w:val="20"/>
              </w:rPr>
              <w:t xml:space="preserve">, [2005] 1 S.C.R. 791, requiring the Quebec government to lift the statutory prohibition against private insurance for health care insured by the public sector, the National Assembly of Quebec passed amending legislation between 2006 and 2009 that introduced into the </w:t>
            </w:r>
            <w:r w:rsidRPr="009021BE">
              <w:rPr>
                <w:i/>
                <w:sz w:val="20"/>
                <w:lang w:val="en"/>
              </w:rPr>
              <w:t>Act respecting health services and social services</w:t>
            </w:r>
            <w:r w:rsidRPr="009021BE">
              <w:rPr>
                <w:sz w:val="20"/>
              </w:rPr>
              <w:t>, CQLR, c. S</w:t>
            </w:r>
            <w:r w:rsidRPr="009021BE">
              <w:rPr>
                <w:sz w:val="20"/>
              </w:rPr>
              <w:noBreakHyphen/>
              <w:t>4.2 (AHSSS), a legal regime determining where physicians can provide certain specialized medical treatments outside institutions in the health network. Under s. 333.3 AHSSS, which sets out the manner in which a specialized medical centre may operate, services must be provided either under the Quebec Health Insurance Plan, and thus by participating physicians, or outside that plan, and thus by non</w:t>
            </w:r>
            <w:r w:rsidRPr="009021BE">
              <w:rPr>
                <w:sz w:val="20"/>
              </w:rPr>
              <w:noBreakHyphen/>
              <w:t>participating physicians. The applicants, Dr. Claude Trépanier, president of the Association des anesthésiologistes du Québec, and the Fédération des médecins spécialistes du Québec, challenged the constitutional validity of these legislative provisions preventing participating and non</w:t>
            </w:r>
            <w:r w:rsidRPr="009021BE">
              <w:rPr>
                <w:sz w:val="20"/>
              </w:rPr>
              <w:noBreakHyphen/>
              <w:t xml:space="preserve">participating physicians from practising together in the same specialized medical centre. They argued that the provisions infringe the freedom of association protected by s. 2(d) of the </w:t>
            </w:r>
            <w:r w:rsidRPr="009021BE">
              <w:rPr>
                <w:i/>
                <w:sz w:val="20"/>
              </w:rPr>
              <w:t>Canadian Charter of Rights and Freedoms</w:t>
            </w:r>
            <w:r w:rsidRPr="009021BE">
              <w:rPr>
                <w:sz w:val="20"/>
              </w:rPr>
              <w:t xml:space="preserve"> and s. 3 of the </w:t>
            </w:r>
            <w:r w:rsidRPr="009021BE">
              <w:rPr>
                <w:i/>
                <w:sz w:val="20"/>
              </w:rPr>
              <w:t>Charter of human rights and freedoms</w:t>
            </w:r>
            <w:r w:rsidRPr="009021BE">
              <w:rPr>
                <w:sz w:val="20"/>
              </w:rPr>
              <w:t>, CQLR, c. C</w:t>
            </w:r>
            <w:r w:rsidRPr="009021BE">
              <w:rPr>
                <w:sz w:val="20"/>
              </w:rPr>
              <w:noBreakHyphen/>
              <w:t>12.</w:t>
            </w:r>
          </w:p>
          <w:p w:rsidR="00146830" w:rsidRPr="009021BE" w:rsidRDefault="00146830" w:rsidP="00146830">
            <w:pPr>
              <w:jc w:val="both"/>
              <w:rPr>
                <w:sz w:val="20"/>
              </w:rPr>
            </w:pPr>
          </w:p>
        </w:tc>
      </w:tr>
      <w:tr w:rsidR="00146830" w:rsidRPr="009021BE" w:rsidTr="00DE47D4">
        <w:tc>
          <w:tcPr>
            <w:tcW w:w="2427" w:type="pct"/>
            <w:gridSpan w:val="2"/>
          </w:tcPr>
          <w:p w:rsidR="00146830" w:rsidRPr="009021BE" w:rsidRDefault="00146830" w:rsidP="00146830">
            <w:pPr>
              <w:jc w:val="both"/>
              <w:rPr>
                <w:sz w:val="20"/>
              </w:rPr>
            </w:pPr>
            <w:r w:rsidRPr="009021BE">
              <w:rPr>
                <w:sz w:val="20"/>
              </w:rPr>
              <w:t>June 16, 2015</w:t>
            </w:r>
          </w:p>
          <w:p w:rsidR="00146830" w:rsidRPr="009021BE" w:rsidRDefault="00146830" w:rsidP="00146830">
            <w:pPr>
              <w:jc w:val="both"/>
              <w:rPr>
                <w:sz w:val="20"/>
              </w:rPr>
            </w:pPr>
            <w:r w:rsidRPr="009021BE">
              <w:rPr>
                <w:sz w:val="20"/>
              </w:rPr>
              <w:t>Quebec Superior Court</w:t>
            </w:r>
          </w:p>
          <w:p w:rsidR="00146830" w:rsidRPr="009021BE" w:rsidRDefault="00146830" w:rsidP="00146830">
            <w:pPr>
              <w:jc w:val="both"/>
              <w:rPr>
                <w:sz w:val="20"/>
              </w:rPr>
            </w:pPr>
            <w:r w:rsidRPr="009021BE">
              <w:rPr>
                <w:sz w:val="20"/>
              </w:rPr>
              <w:t>(Courville J.)</w:t>
            </w:r>
          </w:p>
          <w:p w:rsidR="00146830" w:rsidRPr="009021BE" w:rsidRDefault="00167F64" w:rsidP="00146830">
            <w:pPr>
              <w:jc w:val="both"/>
              <w:rPr>
                <w:sz w:val="20"/>
              </w:rPr>
            </w:pPr>
            <w:hyperlink r:id="rId19" w:history="1">
              <w:r w:rsidR="00146830" w:rsidRPr="009021BE">
                <w:rPr>
                  <w:rStyle w:val="Hyperlink"/>
                  <w:sz w:val="20"/>
                </w:rPr>
                <w:t>2015 QCCS 2680</w:t>
              </w:r>
            </w:hyperlink>
          </w:p>
          <w:p w:rsidR="00146830" w:rsidRPr="009021BE" w:rsidRDefault="00146830" w:rsidP="00146830">
            <w:pPr>
              <w:jc w:val="both"/>
              <w:rPr>
                <w:sz w:val="20"/>
              </w:rPr>
            </w:pPr>
          </w:p>
        </w:tc>
        <w:tc>
          <w:tcPr>
            <w:tcW w:w="243" w:type="pct"/>
          </w:tcPr>
          <w:p w:rsidR="00146830" w:rsidRPr="009021BE" w:rsidRDefault="00146830" w:rsidP="00146830">
            <w:pPr>
              <w:jc w:val="both"/>
              <w:rPr>
                <w:sz w:val="20"/>
              </w:rPr>
            </w:pPr>
          </w:p>
        </w:tc>
        <w:tc>
          <w:tcPr>
            <w:tcW w:w="2330" w:type="pct"/>
          </w:tcPr>
          <w:p w:rsidR="00146830" w:rsidRPr="009021BE" w:rsidRDefault="00146830" w:rsidP="00146830">
            <w:pPr>
              <w:jc w:val="both"/>
              <w:rPr>
                <w:sz w:val="20"/>
              </w:rPr>
            </w:pPr>
            <w:r w:rsidRPr="009021BE">
              <w:rPr>
                <w:sz w:val="20"/>
              </w:rPr>
              <w:t>Motion to institute proceedings for declaration of nullity of legislative provisions dismissed</w:t>
            </w:r>
          </w:p>
          <w:p w:rsidR="00146830" w:rsidRPr="009021BE" w:rsidRDefault="00146830" w:rsidP="00146830">
            <w:pPr>
              <w:jc w:val="both"/>
              <w:rPr>
                <w:sz w:val="20"/>
              </w:rPr>
            </w:pPr>
          </w:p>
        </w:tc>
      </w:tr>
      <w:tr w:rsidR="00146830" w:rsidRPr="009021BE" w:rsidTr="00DE47D4">
        <w:tc>
          <w:tcPr>
            <w:tcW w:w="2427" w:type="pct"/>
            <w:gridSpan w:val="2"/>
          </w:tcPr>
          <w:p w:rsidR="00146830" w:rsidRPr="009021BE" w:rsidRDefault="00146830" w:rsidP="00146830">
            <w:pPr>
              <w:jc w:val="both"/>
              <w:rPr>
                <w:sz w:val="20"/>
              </w:rPr>
            </w:pPr>
            <w:r w:rsidRPr="009021BE">
              <w:rPr>
                <w:sz w:val="20"/>
              </w:rPr>
              <w:t>June 1, 2017</w:t>
            </w:r>
          </w:p>
          <w:p w:rsidR="00146830" w:rsidRPr="009021BE" w:rsidRDefault="00146830" w:rsidP="00146830">
            <w:pPr>
              <w:jc w:val="both"/>
              <w:rPr>
                <w:sz w:val="20"/>
              </w:rPr>
            </w:pPr>
            <w:r w:rsidRPr="009021BE">
              <w:rPr>
                <w:sz w:val="20"/>
              </w:rPr>
              <w:t>Quebec Court of Appeal (Montréal)</w:t>
            </w:r>
          </w:p>
          <w:p w:rsidR="00146830" w:rsidRPr="009021BE" w:rsidRDefault="00146830" w:rsidP="00146830">
            <w:pPr>
              <w:jc w:val="both"/>
              <w:rPr>
                <w:sz w:val="20"/>
              </w:rPr>
            </w:pPr>
            <w:r w:rsidRPr="009021BE">
              <w:rPr>
                <w:sz w:val="20"/>
              </w:rPr>
              <w:t>(Marcotte, Émond and Dumas JJ.A.)</w:t>
            </w:r>
          </w:p>
          <w:p w:rsidR="00146830" w:rsidRPr="009021BE" w:rsidRDefault="00167F64" w:rsidP="00146830">
            <w:pPr>
              <w:jc w:val="both"/>
              <w:rPr>
                <w:sz w:val="20"/>
              </w:rPr>
            </w:pPr>
            <w:hyperlink r:id="rId20" w:history="1">
              <w:r w:rsidR="00146830" w:rsidRPr="009021BE">
                <w:rPr>
                  <w:rStyle w:val="Hyperlink"/>
                  <w:sz w:val="20"/>
                </w:rPr>
                <w:t>2017 QCCA 860</w:t>
              </w:r>
            </w:hyperlink>
          </w:p>
          <w:p w:rsidR="00146830" w:rsidRPr="009021BE" w:rsidRDefault="00146830" w:rsidP="00146830">
            <w:pPr>
              <w:jc w:val="both"/>
              <w:rPr>
                <w:sz w:val="20"/>
              </w:rPr>
            </w:pPr>
          </w:p>
        </w:tc>
        <w:tc>
          <w:tcPr>
            <w:tcW w:w="243" w:type="pct"/>
          </w:tcPr>
          <w:p w:rsidR="00146830" w:rsidRPr="009021BE" w:rsidRDefault="00146830" w:rsidP="00146830">
            <w:pPr>
              <w:jc w:val="both"/>
              <w:rPr>
                <w:sz w:val="20"/>
              </w:rPr>
            </w:pPr>
          </w:p>
        </w:tc>
        <w:tc>
          <w:tcPr>
            <w:tcW w:w="2330" w:type="pct"/>
          </w:tcPr>
          <w:p w:rsidR="00146830" w:rsidRPr="009021BE" w:rsidRDefault="00146830" w:rsidP="00146830">
            <w:pPr>
              <w:jc w:val="both"/>
              <w:rPr>
                <w:sz w:val="20"/>
              </w:rPr>
            </w:pPr>
            <w:r w:rsidRPr="009021BE">
              <w:rPr>
                <w:sz w:val="20"/>
              </w:rPr>
              <w:t xml:space="preserve">Appeal dismissed </w:t>
            </w:r>
          </w:p>
        </w:tc>
      </w:tr>
      <w:tr w:rsidR="00146830" w:rsidRPr="009021BE" w:rsidTr="00DE47D4">
        <w:tc>
          <w:tcPr>
            <w:tcW w:w="2427" w:type="pct"/>
            <w:gridSpan w:val="2"/>
          </w:tcPr>
          <w:p w:rsidR="00146830" w:rsidRPr="009021BE" w:rsidRDefault="00146830" w:rsidP="00146830">
            <w:pPr>
              <w:jc w:val="both"/>
              <w:rPr>
                <w:sz w:val="20"/>
              </w:rPr>
            </w:pPr>
            <w:r w:rsidRPr="009021BE">
              <w:rPr>
                <w:sz w:val="20"/>
              </w:rPr>
              <w:t>August 31, 2017</w:t>
            </w:r>
          </w:p>
          <w:p w:rsidR="00146830" w:rsidRPr="009021BE" w:rsidRDefault="00146830" w:rsidP="00146830">
            <w:pPr>
              <w:jc w:val="both"/>
              <w:rPr>
                <w:sz w:val="20"/>
              </w:rPr>
            </w:pPr>
            <w:r w:rsidRPr="009021BE">
              <w:rPr>
                <w:sz w:val="20"/>
              </w:rPr>
              <w:t>Supreme Court of Canada</w:t>
            </w:r>
          </w:p>
        </w:tc>
        <w:tc>
          <w:tcPr>
            <w:tcW w:w="243" w:type="pct"/>
          </w:tcPr>
          <w:p w:rsidR="00146830" w:rsidRPr="009021BE" w:rsidRDefault="00146830" w:rsidP="00146830">
            <w:pPr>
              <w:jc w:val="both"/>
              <w:rPr>
                <w:sz w:val="20"/>
              </w:rPr>
            </w:pPr>
          </w:p>
        </w:tc>
        <w:tc>
          <w:tcPr>
            <w:tcW w:w="2330" w:type="pct"/>
          </w:tcPr>
          <w:p w:rsidR="00146830" w:rsidRPr="009021BE" w:rsidRDefault="00146830" w:rsidP="00146830">
            <w:pPr>
              <w:jc w:val="both"/>
              <w:rPr>
                <w:sz w:val="20"/>
              </w:rPr>
            </w:pPr>
            <w:r w:rsidRPr="009021BE">
              <w:rPr>
                <w:sz w:val="20"/>
              </w:rPr>
              <w:t>Application for leave to appeal filed</w:t>
            </w:r>
          </w:p>
          <w:p w:rsidR="00146830" w:rsidRPr="009021BE" w:rsidRDefault="00146830" w:rsidP="00146830">
            <w:pPr>
              <w:jc w:val="both"/>
              <w:rPr>
                <w:sz w:val="20"/>
              </w:rPr>
            </w:pPr>
          </w:p>
        </w:tc>
      </w:tr>
    </w:tbl>
    <w:p w:rsidR="006A0A32" w:rsidRDefault="00167F64" w:rsidP="006A0A32">
      <w:pPr>
        <w:jc w:val="both"/>
        <w:rPr>
          <w:sz w:val="20"/>
        </w:rPr>
      </w:pPr>
      <w:r>
        <w:rPr>
          <w:sz w:val="20"/>
          <w:szCs w:val="20"/>
        </w:rPr>
        <w:pict>
          <v:rect id="_x0000_i1035" style="width:2in;height:1pt" o:hrpct="0" o:hralign="center" o:hrstd="t" o:hrnoshade="t" o:hr="t" fillcolor="black" stroked="f"/>
        </w:pict>
      </w:r>
    </w:p>
    <w:p w:rsidR="00BC5022" w:rsidRDefault="00BC5022">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0A32" w:rsidRPr="009021BE" w:rsidTr="00DE47D4">
        <w:tc>
          <w:tcPr>
            <w:tcW w:w="543" w:type="pct"/>
          </w:tcPr>
          <w:p w:rsidR="006A0A32" w:rsidRPr="009021BE" w:rsidRDefault="006A0A32" w:rsidP="00DE47D4">
            <w:pPr>
              <w:jc w:val="both"/>
              <w:rPr>
                <w:sz w:val="20"/>
              </w:rPr>
            </w:pPr>
            <w:r w:rsidRPr="009021BE">
              <w:rPr>
                <w:rStyle w:val="SCCFileNumberChar"/>
                <w:sz w:val="20"/>
                <w:szCs w:val="20"/>
              </w:rPr>
              <w:t>37723</w:t>
            </w:r>
          </w:p>
        </w:tc>
        <w:tc>
          <w:tcPr>
            <w:tcW w:w="4457" w:type="pct"/>
            <w:gridSpan w:val="3"/>
          </w:tcPr>
          <w:p w:rsidR="006A0A32" w:rsidRPr="009021BE" w:rsidRDefault="006A0A32" w:rsidP="00DE47D4">
            <w:pPr>
              <w:pStyle w:val="SCCLsocParty"/>
              <w:jc w:val="both"/>
              <w:rPr>
                <w:b/>
                <w:sz w:val="20"/>
                <w:szCs w:val="20"/>
              </w:rPr>
            </w:pPr>
            <w:r w:rsidRPr="009021BE">
              <w:rPr>
                <w:b/>
                <w:sz w:val="20"/>
                <w:szCs w:val="20"/>
              </w:rPr>
              <w:t>Claude Trépanier et Fédération des médecins spécialistes du Québec c. Yves Bolduc, en sa qualité de ministre de la santé et des services sociaux et Procureure générale du Québec</w:t>
            </w:r>
          </w:p>
          <w:p w:rsidR="006A0A32" w:rsidRPr="009021BE" w:rsidRDefault="006A0A32" w:rsidP="00DE47D4">
            <w:pPr>
              <w:jc w:val="both"/>
              <w:rPr>
                <w:sz w:val="20"/>
              </w:rPr>
            </w:pPr>
            <w:r w:rsidRPr="009021BE">
              <w:rPr>
                <w:sz w:val="20"/>
              </w:rPr>
              <w:t>(Qc) (Civile) (Autorisation)</w:t>
            </w:r>
          </w:p>
        </w:tc>
      </w:tr>
      <w:tr w:rsidR="00D32F6F" w:rsidRPr="003A01D0" w:rsidTr="00DE47D4">
        <w:tc>
          <w:tcPr>
            <w:tcW w:w="543" w:type="pct"/>
          </w:tcPr>
          <w:p w:rsidR="00D32F6F" w:rsidRPr="00D32F6F" w:rsidRDefault="00D32F6F" w:rsidP="00D32F6F">
            <w:pPr>
              <w:jc w:val="both"/>
              <w:rPr>
                <w:rStyle w:val="SCCFileNumberChar"/>
                <w:b w:val="0"/>
                <w:sz w:val="20"/>
                <w:szCs w:val="20"/>
              </w:rPr>
            </w:pPr>
            <w:r w:rsidRPr="00D32F6F">
              <w:rPr>
                <w:rStyle w:val="SCCFileNumberChar"/>
                <w:b w:val="0"/>
                <w:sz w:val="20"/>
                <w:szCs w:val="20"/>
              </w:rPr>
              <w:t xml:space="preserve">Coram: </w:t>
            </w:r>
          </w:p>
        </w:tc>
        <w:tc>
          <w:tcPr>
            <w:tcW w:w="4457" w:type="pct"/>
            <w:gridSpan w:val="3"/>
          </w:tcPr>
          <w:p w:rsidR="00D32F6F" w:rsidRPr="00D32F6F" w:rsidRDefault="00D32F6F" w:rsidP="00D32F6F">
            <w:pPr>
              <w:rPr>
                <w:rFonts w:eastAsia="Calibri" w:cs="Times New Roman"/>
                <w:sz w:val="20"/>
                <w:szCs w:val="20"/>
                <w:u w:val="single"/>
                <w:lang w:val="fr-CA"/>
              </w:rPr>
            </w:pPr>
            <w:r w:rsidRPr="00D32F6F">
              <w:rPr>
                <w:rFonts w:eastAsia="Calibri" w:cs="Times New Roman"/>
                <w:sz w:val="20"/>
                <w:szCs w:val="20"/>
                <w:u w:val="single"/>
                <w:lang w:val="fr-CA"/>
              </w:rPr>
              <w:t>Le juge en chef Wagner et les juges Abella, Moldaver, Karakatsanis, Gascon, Côté, Brown, Rowe et Martin</w:t>
            </w:r>
          </w:p>
          <w:p w:rsidR="00D32F6F" w:rsidRPr="00D32F6F" w:rsidRDefault="00D32F6F" w:rsidP="00D32F6F">
            <w:pPr>
              <w:rPr>
                <w:sz w:val="20"/>
                <w:szCs w:val="20"/>
                <w:lang w:val="fr-CA"/>
              </w:rPr>
            </w:pPr>
          </w:p>
        </w:tc>
      </w:tr>
      <w:tr w:rsidR="00D32F6F" w:rsidRPr="003A01D0" w:rsidTr="00D32F6F">
        <w:tc>
          <w:tcPr>
            <w:tcW w:w="5000" w:type="pct"/>
            <w:gridSpan w:val="4"/>
          </w:tcPr>
          <w:p w:rsidR="00D32F6F" w:rsidRPr="00D32F6F" w:rsidRDefault="00D32F6F" w:rsidP="00D32F6F">
            <w:pPr>
              <w:jc w:val="both"/>
              <w:rPr>
                <w:sz w:val="20"/>
                <w:szCs w:val="20"/>
                <w:lang w:val="fr-CA"/>
              </w:rPr>
            </w:pPr>
            <w:r w:rsidRPr="00D32F6F">
              <w:rPr>
                <w:sz w:val="20"/>
                <w:szCs w:val="20"/>
                <w:lang w:val="fr-CA"/>
              </w:rPr>
              <w:t>La demande d’autorisation d’appel de l’arrêt de la Cour d’appel du Québec (Montréal), numéro 500-09-025442-153, 2017 QCCA 860, daté du 1</w:t>
            </w:r>
            <w:r w:rsidRPr="00D32F6F">
              <w:rPr>
                <w:sz w:val="20"/>
                <w:szCs w:val="20"/>
                <w:vertAlign w:val="superscript"/>
                <w:lang w:val="fr-CA"/>
              </w:rPr>
              <w:t>er</w:t>
            </w:r>
            <w:r w:rsidRPr="00D32F6F">
              <w:rPr>
                <w:sz w:val="20"/>
                <w:szCs w:val="20"/>
                <w:lang w:val="fr-CA"/>
              </w:rPr>
              <w:t xml:space="preserve"> juin 2017, est rejetée avec dépens.</w:t>
            </w:r>
          </w:p>
        </w:tc>
      </w:tr>
      <w:tr w:rsidR="00D32F6F" w:rsidRPr="003A01D0" w:rsidTr="00DE47D4">
        <w:tc>
          <w:tcPr>
            <w:tcW w:w="5000" w:type="pct"/>
            <w:gridSpan w:val="4"/>
          </w:tcPr>
          <w:p w:rsidR="00503A09" w:rsidRPr="009021BE" w:rsidRDefault="00D32F6F" w:rsidP="00D32F6F">
            <w:pPr>
              <w:jc w:val="both"/>
              <w:rPr>
                <w:sz w:val="20"/>
                <w:lang w:val="fr-CA"/>
              </w:rPr>
            </w:pPr>
            <w:r w:rsidRPr="009021BE">
              <w:rPr>
                <w:i/>
                <w:sz w:val="20"/>
                <w:lang w:val="fr-CA"/>
              </w:rPr>
              <w:t>Charte des droits</w:t>
            </w:r>
            <w:r w:rsidRPr="009021BE">
              <w:rPr>
                <w:sz w:val="20"/>
                <w:lang w:val="fr-CA"/>
              </w:rPr>
              <w:t xml:space="preserve"> — Liberté d’association — Contestation de la validité constitutionnelle des dispositions législatives empêchant les médecins participants et non participants au Régime d’assurance maladie du Québec de pratiquer ensemble dans un même centre médical spécialisé — L’art. 333.3 LSSSS contrevient-il à la liberté d’association protégée par l’art. 2d) de la </w:t>
            </w:r>
            <w:r w:rsidRPr="009021BE">
              <w:rPr>
                <w:i/>
                <w:sz w:val="20"/>
                <w:lang w:val="fr-CA"/>
              </w:rPr>
              <w:t>Charte canadienne des droits et libertés</w:t>
            </w:r>
            <w:r w:rsidRPr="009021BE">
              <w:rPr>
                <w:sz w:val="20"/>
                <w:lang w:val="fr-CA"/>
              </w:rPr>
              <w:t xml:space="preserve"> et par l’art. 3 de la </w:t>
            </w:r>
            <w:r w:rsidRPr="009021BE">
              <w:rPr>
                <w:i/>
                <w:sz w:val="20"/>
                <w:lang w:val="fr-CA"/>
              </w:rPr>
              <w:t>Charte des droits et libertés de la personne</w:t>
            </w:r>
            <w:r w:rsidRPr="009021BE">
              <w:rPr>
                <w:sz w:val="20"/>
                <w:lang w:val="fr-CA"/>
              </w:rPr>
              <w:t xml:space="preserve">, RLRQ, c. C-12? — Dans l’affirmative, l’atteinte est-elle justifiée en vertu de l’art. 1 de la </w:t>
            </w:r>
            <w:r w:rsidRPr="009021BE">
              <w:rPr>
                <w:i/>
                <w:sz w:val="20"/>
                <w:lang w:val="fr-CA"/>
              </w:rPr>
              <w:t>Charte canadienne des droits et libertés</w:t>
            </w:r>
            <w:r w:rsidRPr="009021BE">
              <w:rPr>
                <w:sz w:val="20"/>
                <w:lang w:val="fr-CA"/>
              </w:rPr>
              <w:t xml:space="preserve"> et de l’art. 9.1 de la </w:t>
            </w:r>
            <w:r w:rsidRPr="009021BE">
              <w:rPr>
                <w:i/>
                <w:sz w:val="20"/>
                <w:lang w:val="fr-CA"/>
              </w:rPr>
              <w:t>Charte des droits et libertés de la personne</w:t>
            </w:r>
            <w:r w:rsidRPr="009021BE">
              <w:rPr>
                <w:sz w:val="20"/>
                <w:lang w:val="fr-CA"/>
              </w:rPr>
              <w:t xml:space="preserve">? — Dans la négative, l’invalidité de l’art. 333.3 LSSSS entraine-t-elle l’invalidité, en tout ou en partie, des art. 333.1 et 333.6 LSSSS, des art. 34 et 35 de la </w:t>
            </w:r>
            <w:r w:rsidRPr="009021BE">
              <w:rPr>
                <w:i/>
                <w:sz w:val="20"/>
                <w:lang w:val="fr-CA"/>
              </w:rPr>
              <w:t>Loi modifiant diverses dispositions législatives concernant les centres médicaux spécialisés et les laboratoires d’imagerie médicale générale</w:t>
            </w:r>
            <w:r w:rsidRPr="009021BE">
              <w:rPr>
                <w:sz w:val="20"/>
                <w:lang w:val="fr-CA"/>
              </w:rPr>
              <w:t xml:space="preserve">, L.Q. 2009 c. 29 et de l’art. 3 du </w:t>
            </w:r>
            <w:r w:rsidRPr="009021BE">
              <w:rPr>
                <w:i/>
                <w:sz w:val="20"/>
                <w:lang w:val="fr-CA"/>
              </w:rPr>
              <w:t>Règlement sur les traitements médicaux spécialisés dispensés dans un centre médical spécialisé</w:t>
            </w:r>
            <w:r w:rsidRPr="009021BE">
              <w:rPr>
                <w:sz w:val="20"/>
                <w:lang w:val="fr-CA"/>
              </w:rPr>
              <w:t>, RLRQ, c. S-4.2, r. 25?</w:t>
            </w:r>
          </w:p>
        </w:tc>
      </w:tr>
      <w:tr w:rsidR="00D32F6F" w:rsidRPr="003A01D0" w:rsidTr="00DE47D4">
        <w:tc>
          <w:tcPr>
            <w:tcW w:w="5000" w:type="pct"/>
            <w:gridSpan w:val="4"/>
          </w:tcPr>
          <w:p w:rsidR="00D32F6F" w:rsidRPr="009021BE" w:rsidRDefault="00D32F6F" w:rsidP="00D32F6F">
            <w:pPr>
              <w:jc w:val="both"/>
              <w:rPr>
                <w:sz w:val="20"/>
                <w:lang w:val="fr-CA"/>
              </w:rPr>
            </w:pPr>
          </w:p>
        </w:tc>
      </w:tr>
      <w:tr w:rsidR="00D32F6F" w:rsidRPr="003A01D0" w:rsidTr="00DE47D4">
        <w:tc>
          <w:tcPr>
            <w:tcW w:w="5000" w:type="pct"/>
            <w:gridSpan w:val="4"/>
          </w:tcPr>
          <w:p w:rsidR="00D32F6F" w:rsidRPr="009021BE" w:rsidRDefault="00D32F6F" w:rsidP="00D32F6F">
            <w:pPr>
              <w:jc w:val="both"/>
              <w:rPr>
                <w:sz w:val="20"/>
                <w:lang w:val="fr-CA"/>
              </w:rPr>
            </w:pPr>
            <w:r w:rsidRPr="009021BE">
              <w:rPr>
                <w:sz w:val="20"/>
                <w:lang w:val="fr-CA"/>
              </w:rPr>
              <w:t xml:space="preserve">Afin de répondre aux directives de la Cour suprême formulées dans l’arrêt </w:t>
            </w:r>
            <w:r w:rsidRPr="009021BE">
              <w:rPr>
                <w:i/>
                <w:sz w:val="20"/>
                <w:lang w:val="fr-CA"/>
              </w:rPr>
              <w:t>Chaoulli c. Québec (Procureur général)</w:t>
            </w:r>
            <w:r w:rsidRPr="009021BE">
              <w:rPr>
                <w:sz w:val="20"/>
                <w:lang w:val="fr-CA"/>
              </w:rPr>
              <w:t xml:space="preserve">, [2005] 1 R.C.S. 791 enjoignant le gouvernement du Québec de lever l’interdiction légale de souscrire à une assurance privée pour obtenir des soins assurés par le secteur public, l’Assemblée nationale du Québec a adopté entre 2006 et 2009 des lois modificatives qui ont introduit à la </w:t>
            </w:r>
            <w:r w:rsidRPr="009021BE">
              <w:rPr>
                <w:i/>
                <w:sz w:val="20"/>
                <w:lang w:val="fr-CA"/>
              </w:rPr>
              <w:t>Loi sur les services de santé et les services sociaux</w:t>
            </w:r>
            <w:r w:rsidRPr="009021BE">
              <w:rPr>
                <w:sz w:val="20"/>
                <w:lang w:val="fr-CA"/>
              </w:rPr>
              <w:t xml:space="preserve">, RLRQ c. S-4.2 (LSSSS), un régime juridique qui détermine les endroits où les médecins peuvent effectuer certains traitements médicaux spécialisés en dehors des établissements du réseau de santé. Selon l’art. 333.3 LSSSS qui fixe les modalités d’exploitation d’un centre médical spécialisé, les services doivent être fournis soit dans le cadre du régime québécois d’assurance maladie et donc par des médecins participants ou en dehors de ce régime et donc par des médecins non participants. Les demandeurs, le Dr Claude Trépanier, président de l’Association des anesthésiologistes du Québec et la Fédération des médecins spécialistes du Québec contestent la validité constitutionnelle de ces dispositions législatives qui empêchent les médecins participants et les médecins non participants de pratiquer ensemble dans un même centre médical spécialisé. Selon eux, ces dispositions représenteraient une violation de la liberté d’association protégée par les articles 2d) de la </w:t>
            </w:r>
            <w:r w:rsidRPr="009021BE">
              <w:rPr>
                <w:i/>
                <w:sz w:val="20"/>
                <w:lang w:val="fr-CA"/>
              </w:rPr>
              <w:t>Charte canadienne des droits et libertés</w:t>
            </w:r>
            <w:r w:rsidRPr="009021BE">
              <w:rPr>
                <w:sz w:val="20"/>
                <w:lang w:val="fr-CA"/>
              </w:rPr>
              <w:t xml:space="preserve"> et 3 de la </w:t>
            </w:r>
            <w:r w:rsidRPr="009021BE">
              <w:rPr>
                <w:i/>
                <w:sz w:val="20"/>
                <w:lang w:val="fr-CA"/>
              </w:rPr>
              <w:t>Charte des droits et libertés de la personne</w:t>
            </w:r>
            <w:r w:rsidRPr="009021BE">
              <w:rPr>
                <w:sz w:val="20"/>
                <w:lang w:val="fr-CA"/>
              </w:rPr>
              <w:t>, RLRQ, c. C-12.</w:t>
            </w:r>
          </w:p>
          <w:p w:rsidR="00D32F6F" w:rsidRPr="009021BE" w:rsidRDefault="00D32F6F" w:rsidP="00D32F6F">
            <w:pPr>
              <w:jc w:val="both"/>
              <w:rPr>
                <w:sz w:val="20"/>
                <w:lang w:val="fr-CA"/>
              </w:rPr>
            </w:pPr>
          </w:p>
        </w:tc>
      </w:tr>
      <w:tr w:rsidR="00D32F6F" w:rsidRPr="003A01D0" w:rsidTr="00DE47D4">
        <w:tc>
          <w:tcPr>
            <w:tcW w:w="2427" w:type="pct"/>
            <w:gridSpan w:val="2"/>
          </w:tcPr>
          <w:p w:rsidR="00D32F6F" w:rsidRPr="009021BE" w:rsidRDefault="00D32F6F" w:rsidP="00D32F6F">
            <w:pPr>
              <w:jc w:val="both"/>
              <w:rPr>
                <w:sz w:val="20"/>
                <w:lang w:val="fr-CA"/>
              </w:rPr>
            </w:pPr>
            <w:r w:rsidRPr="009021BE">
              <w:rPr>
                <w:sz w:val="20"/>
                <w:lang w:val="fr-CA"/>
              </w:rPr>
              <w:t>Le 16 juin 2015</w:t>
            </w:r>
          </w:p>
          <w:p w:rsidR="00D32F6F" w:rsidRPr="009021BE" w:rsidRDefault="00D32F6F" w:rsidP="00D32F6F">
            <w:pPr>
              <w:jc w:val="both"/>
              <w:rPr>
                <w:sz w:val="20"/>
                <w:lang w:val="fr-CA"/>
              </w:rPr>
            </w:pPr>
            <w:r w:rsidRPr="009021BE">
              <w:rPr>
                <w:sz w:val="20"/>
                <w:lang w:val="fr-CA"/>
              </w:rPr>
              <w:t>Cour supérieure du Québec</w:t>
            </w:r>
          </w:p>
          <w:p w:rsidR="00D32F6F" w:rsidRPr="009021BE" w:rsidRDefault="00D32F6F" w:rsidP="00D32F6F">
            <w:pPr>
              <w:jc w:val="both"/>
              <w:rPr>
                <w:sz w:val="20"/>
              </w:rPr>
            </w:pPr>
            <w:r w:rsidRPr="009021BE">
              <w:rPr>
                <w:sz w:val="20"/>
              </w:rPr>
              <w:t>(La juge Courville)</w:t>
            </w:r>
          </w:p>
          <w:p w:rsidR="00D32F6F" w:rsidRPr="009021BE" w:rsidRDefault="00167F64" w:rsidP="00D32F6F">
            <w:pPr>
              <w:jc w:val="both"/>
              <w:rPr>
                <w:sz w:val="20"/>
              </w:rPr>
            </w:pPr>
            <w:hyperlink r:id="rId21" w:history="1">
              <w:r w:rsidR="00D32F6F" w:rsidRPr="009021BE">
                <w:rPr>
                  <w:rStyle w:val="Hyperlink"/>
                  <w:sz w:val="20"/>
                </w:rPr>
                <w:t>2015 QCCS 2680</w:t>
              </w:r>
            </w:hyperlink>
          </w:p>
          <w:p w:rsidR="00D32F6F" w:rsidRPr="009021BE" w:rsidRDefault="00D32F6F" w:rsidP="00D32F6F">
            <w:pPr>
              <w:jc w:val="both"/>
              <w:rPr>
                <w:sz w:val="20"/>
              </w:rPr>
            </w:pPr>
          </w:p>
        </w:tc>
        <w:tc>
          <w:tcPr>
            <w:tcW w:w="243" w:type="pct"/>
          </w:tcPr>
          <w:p w:rsidR="00D32F6F" w:rsidRPr="009021BE" w:rsidRDefault="00D32F6F" w:rsidP="00D32F6F">
            <w:pPr>
              <w:jc w:val="both"/>
              <w:rPr>
                <w:sz w:val="20"/>
              </w:rPr>
            </w:pPr>
          </w:p>
        </w:tc>
        <w:tc>
          <w:tcPr>
            <w:tcW w:w="2330" w:type="pct"/>
          </w:tcPr>
          <w:p w:rsidR="00D32F6F" w:rsidRPr="009021BE" w:rsidRDefault="00D32F6F" w:rsidP="00D32F6F">
            <w:pPr>
              <w:jc w:val="both"/>
              <w:rPr>
                <w:sz w:val="20"/>
                <w:lang w:val="fr-CA"/>
              </w:rPr>
            </w:pPr>
            <w:r w:rsidRPr="009021BE">
              <w:rPr>
                <w:sz w:val="20"/>
                <w:lang w:val="fr-CA"/>
              </w:rPr>
              <w:t>Requête introductive d’instance en déclaration de nullité de dispositions législatives rejetée.</w:t>
            </w:r>
          </w:p>
          <w:p w:rsidR="00D32F6F" w:rsidRPr="009021BE" w:rsidRDefault="00D32F6F" w:rsidP="00D32F6F">
            <w:pPr>
              <w:jc w:val="both"/>
              <w:rPr>
                <w:sz w:val="20"/>
                <w:lang w:val="fr-CA"/>
              </w:rPr>
            </w:pPr>
          </w:p>
        </w:tc>
      </w:tr>
      <w:tr w:rsidR="00D32F6F" w:rsidRPr="009021BE" w:rsidTr="00DE47D4">
        <w:tc>
          <w:tcPr>
            <w:tcW w:w="2427" w:type="pct"/>
            <w:gridSpan w:val="2"/>
          </w:tcPr>
          <w:p w:rsidR="00D32F6F" w:rsidRPr="009021BE" w:rsidRDefault="00D32F6F" w:rsidP="00D32F6F">
            <w:pPr>
              <w:jc w:val="both"/>
              <w:rPr>
                <w:sz w:val="20"/>
                <w:lang w:val="fr-CA"/>
              </w:rPr>
            </w:pPr>
            <w:r w:rsidRPr="009021BE">
              <w:rPr>
                <w:sz w:val="20"/>
                <w:lang w:val="fr-CA"/>
              </w:rPr>
              <w:t>Le 1</w:t>
            </w:r>
            <w:r w:rsidRPr="009021BE">
              <w:rPr>
                <w:sz w:val="20"/>
                <w:vertAlign w:val="superscript"/>
                <w:lang w:val="fr-CA"/>
              </w:rPr>
              <w:t>er</w:t>
            </w:r>
            <w:r w:rsidRPr="009021BE">
              <w:rPr>
                <w:sz w:val="20"/>
                <w:lang w:val="fr-CA"/>
              </w:rPr>
              <w:t xml:space="preserve"> juin 2017</w:t>
            </w:r>
          </w:p>
          <w:p w:rsidR="00D32F6F" w:rsidRPr="009021BE" w:rsidRDefault="00D32F6F" w:rsidP="00D32F6F">
            <w:pPr>
              <w:jc w:val="both"/>
              <w:rPr>
                <w:sz w:val="20"/>
                <w:lang w:val="fr-CA"/>
              </w:rPr>
            </w:pPr>
            <w:r w:rsidRPr="009021BE">
              <w:rPr>
                <w:sz w:val="20"/>
                <w:lang w:val="fr-CA"/>
              </w:rPr>
              <w:t>Cour d’appel du Québec (Montréal)</w:t>
            </w:r>
          </w:p>
          <w:p w:rsidR="00D32F6F" w:rsidRPr="009021BE" w:rsidRDefault="00D32F6F" w:rsidP="00D32F6F">
            <w:pPr>
              <w:jc w:val="both"/>
              <w:rPr>
                <w:sz w:val="20"/>
                <w:lang w:val="fr-CA"/>
              </w:rPr>
            </w:pPr>
            <w:r w:rsidRPr="009021BE">
              <w:rPr>
                <w:sz w:val="20"/>
                <w:lang w:val="fr-CA"/>
              </w:rPr>
              <w:t>(Les juges Marcotte, Émond et Dumas)</w:t>
            </w:r>
          </w:p>
          <w:p w:rsidR="00D32F6F" w:rsidRPr="009021BE" w:rsidRDefault="00167F64" w:rsidP="00D32F6F">
            <w:pPr>
              <w:jc w:val="both"/>
              <w:rPr>
                <w:sz w:val="20"/>
              </w:rPr>
            </w:pPr>
            <w:hyperlink r:id="rId22" w:history="1">
              <w:r w:rsidR="00D32F6F" w:rsidRPr="009021BE">
                <w:rPr>
                  <w:rStyle w:val="Hyperlink"/>
                  <w:sz w:val="20"/>
                </w:rPr>
                <w:t>2017 QCCA 860</w:t>
              </w:r>
            </w:hyperlink>
          </w:p>
          <w:p w:rsidR="00D32F6F" w:rsidRPr="009021BE" w:rsidRDefault="00D32F6F" w:rsidP="00D32F6F">
            <w:pPr>
              <w:jc w:val="both"/>
              <w:rPr>
                <w:sz w:val="20"/>
              </w:rPr>
            </w:pPr>
          </w:p>
        </w:tc>
        <w:tc>
          <w:tcPr>
            <w:tcW w:w="243" w:type="pct"/>
          </w:tcPr>
          <w:p w:rsidR="00D32F6F" w:rsidRPr="009021BE" w:rsidRDefault="00D32F6F" w:rsidP="00D32F6F">
            <w:pPr>
              <w:jc w:val="both"/>
              <w:rPr>
                <w:sz w:val="20"/>
              </w:rPr>
            </w:pPr>
          </w:p>
        </w:tc>
        <w:tc>
          <w:tcPr>
            <w:tcW w:w="2330" w:type="pct"/>
          </w:tcPr>
          <w:p w:rsidR="00D32F6F" w:rsidRPr="009021BE" w:rsidRDefault="00D32F6F" w:rsidP="00D32F6F">
            <w:pPr>
              <w:jc w:val="both"/>
              <w:rPr>
                <w:sz w:val="20"/>
              </w:rPr>
            </w:pPr>
            <w:r w:rsidRPr="009021BE">
              <w:rPr>
                <w:sz w:val="20"/>
              </w:rPr>
              <w:t xml:space="preserve">Appel rejeté. </w:t>
            </w:r>
          </w:p>
        </w:tc>
      </w:tr>
      <w:tr w:rsidR="00D32F6F" w:rsidRPr="009021BE" w:rsidTr="00DE47D4">
        <w:tc>
          <w:tcPr>
            <w:tcW w:w="2427" w:type="pct"/>
            <w:gridSpan w:val="2"/>
          </w:tcPr>
          <w:p w:rsidR="00D32F6F" w:rsidRPr="009021BE" w:rsidRDefault="00D32F6F" w:rsidP="00D32F6F">
            <w:pPr>
              <w:jc w:val="both"/>
              <w:rPr>
                <w:sz w:val="20"/>
                <w:lang w:val="fr-CA"/>
              </w:rPr>
            </w:pPr>
            <w:r w:rsidRPr="009021BE">
              <w:rPr>
                <w:sz w:val="20"/>
                <w:lang w:val="fr-CA"/>
              </w:rPr>
              <w:t>Le 31 août 2017</w:t>
            </w:r>
          </w:p>
          <w:p w:rsidR="00D32F6F" w:rsidRPr="009021BE" w:rsidRDefault="00D32F6F" w:rsidP="00D32F6F">
            <w:pPr>
              <w:jc w:val="both"/>
              <w:rPr>
                <w:sz w:val="20"/>
                <w:lang w:val="fr-CA"/>
              </w:rPr>
            </w:pPr>
            <w:r w:rsidRPr="009021BE">
              <w:rPr>
                <w:sz w:val="20"/>
                <w:lang w:val="fr-CA"/>
              </w:rPr>
              <w:t>Cour suprême du Canada</w:t>
            </w:r>
          </w:p>
        </w:tc>
        <w:tc>
          <w:tcPr>
            <w:tcW w:w="243" w:type="pct"/>
          </w:tcPr>
          <w:p w:rsidR="00D32F6F" w:rsidRPr="009021BE" w:rsidRDefault="00D32F6F" w:rsidP="00D32F6F">
            <w:pPr>
              <w:jc w:val="both"/>
              <w:rPr>
                <w:sz w:val="20"/>
                <w:lang w:val="fr-CA"/>
              </w:rPr>
            </w:pPr>
          </w:p>
        </w:tc>
        <w:tc>
          <w:tcPr>
            <w:tcW w:w="2330" w:type="pct"/>
          </w:tcPr>
          <w:p w:rsidR="00D32F6F" w:rsidRPr="009021BE" w:rsidRDefault="00D32F6F" w:rsidP="00D32F6F">
            <w:pPr>
              <w:jc w:val="both"/>
              <w:rPr>
                <w:sz w:val="20"/>
              </w:rPr>
            </w:pPr>
            <w:r w:rsidRPr="009021BE">
              <w:rPr>
                <w:sz w:val="20"/>
              </w:rPr>
              <w:t>Demande d’autorisation d’appel déposée</w:t>
            </w:r>
          </w:p>
          <w:p w:rsidR="00D32F6F" w:rsidRPr="009021BE" w:rsidRDefault="00D32F6F" w:rsidP="00D32F6F">
            <w:pPr>
              <w:jc w:val="both"/>
              <w:rPr>
                <w:sz w:val="20"/>
              </w:rPr>
            </w:pPr>
          </w:p>
        </w:tc>
      </w:tr>
    </w:tbl>
    <w:p w:rsidR="00BC5022" w:rsidRDefault="00167F64" w:rsidP="006A0A32">
      <w:pPr>
        <w:jc w:val="both"/>
        <w:rPr>
          <w:sz w:val="20"/>
          <w:szCs w:val="20"/>
        </w:rPr>
      </w:pPr>
      <w:r>
        <w:rPr>
          <w:sz w:val="20"/>
          <w:szCs w:val="20"/>
        </w:rPr>
        <w:pict>
          <v:rect id="_x0000_i1036" style="width:2in;height:1pt" o:hrpct="0" o:hralign="center" o:hrstd="t" o:hrnoshade="t" o:hr="t" fillcolor="black" stroked="f"/>
        </w:pict>
      </w:r>
    </w:p>
    <w:p w:rsidR="00BC5022" w:rsidRDefault="00BC5022">
      <w:pPr>
        <w:rPr>
          <w:sz w:val="20"/>
          <w:szCs w:val="20"/>
        </w:rPr>
      </w:pPr>
      <w:r>
        <w:rPr>
          <w:sz w:val="20"/>
          <w:szCs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0A32" w:rsidRPr="009021BE" w:rsidTr="00DE47D4">
        <w:tc>
          <w:tcPr>
            <w:tcW w:w="543" w:type="pct"/>
          </w:tcPr>
          <w:p w:rsidR="006A0A32" w:rsidRPr="009021BE" w:rsidRDefault="006A0A32" w:rsidP="00DE47D4">
            <w:pPr>
              <w:jc w:val="both"/>
              <w:rPr>
                <w:sz w:val="20"/>
              </w:rPr>
            </w:pPr>
            <w:r w:rsidRPr="009021BE">
              <w:rPr>
                <w:rStyle w:val="SCCFileNumberChar"/>
                <w:sz w:val="20"/>
                <w:szCs w:val="20"/>
              </w:rPr>
              <w:t>37560</w:t>
            </w:r>
          </w:p>
        </w:tc>
        <w:tc>
          <w:tcPr>
            <w:tcW w:w="4457" w:type="pct"/>
            <w:gridSpan w:val="3"/>
          </w:tcPr>
          <w:p w:rsidR="006A0A32" w:rsidRPr="009021BE" w:rsidRDefault="006A0A32" w:rsidP="00DE47D4">
            <w:pPr>
              <w:pStyle w:val="SCCLsocParty"/>
              <w:jc w:val="both"/>
              <w:rPr>
                <w:b/>
                <w:sz w:val="20"/>
                <w:szCs w:val="20"/>
              </w:rPr>
            </w:pPr>
            <w:r w:rsidRPr="009021BE">
              <w:rPr>
                <w:b/>
                <w:sz w:val="20"/>
                <w:szCs w:val="20"/>
              </w:rPr>
              <w:t>Gilles Patenaude v. Ville de Longueuil</w:t>
            </w:r>
          </w:p>
          <w:p w:rsidR="006A0A32" w:rsidRPr="009021BE" w:rsidRDefault="006A0A32" w:rsidP="00DE47D4">
            <w:pPr>
              <w:jc w:val="both"/>
              <w:rPr>
                <w:sz w:val="20"/>
              </w:rPr>
            </w:pPr>
            <w:r w:rsidRPr="009021BE">
              <w:rPr>
                <w:sz w:val="20"/>
              </w:rPr>
              <w:t>(Que.) (Criminal) (By Leave)</w:t>
            </w:r>
          </w:p>
        </w:tc>
      </w:tr>
      <w:tr w:rsidR="00106774" w:rsidRPr="009021BE" w:rsidTr="00DE47D4">
        <w:tc>
          <w:tcPr>
            <w:tcW w:w="543" w:type="pct"/>
          </w:tcPr>
          <w:p w:rsidR="00106774" w:rsidRPr="00AE0F22" w:rsidRDefault="00106774" w:rsidP="00106774">
            <w:pPr>
              <w:jc w:val="both"/>
              <w:rPr>
                <w:rStyle w:val="SCCFileNumberChar"/>
                <w:b w:val="0"/>
                <w:sz w:val="20"/>
                <w:szCs w:val="20"/>
              </w:rPr>
            </w:pPr>
            <w:r w:rsidRPr="00AE0F22">
              <w:rPr>
                <w:rStyle w:val="SCCFileNumberChar"/>
                <w:b w:val="0"/>
                <w:sz w:val="20"/>
                <w:szCs w:val="20"/>
              </w:rPr>
              <w:t xml:space="preserve">Coram: </w:t>
            </w:r>
          </w:p>
        </w:tc>
        <w:tc>
          <w:tcPr>
            <w:tcW w:w="4457" w:type="pct"/>
            <w:gridSpan w:val="3"/>
          </w:tcPr>
          <w:p w:rsidR="00106774" w:rsidRPr="00AE0F22" w:rsidRDefault="00106774" w:rsidP="00106774">
            <w:pPr>
              <w:rPr>
                <w:rFonts w:eastAsia="Calibri" w:cs="Times New Roman"/>
                <w:sz w:val="20"/>
                <w:szCs w:val="20"/>
                <w:u w:val="single"/>
              </w:rPr>
            </w:pPr>
            <w:r w:rsidRPr="00AE0F22">
              <w:rPr>
                <w:rFonts w:eastAsia="Calibri" w:cs="Times New Roman"/>
                <w:sz w:val="20"/>
                <w:szCs w:val="20"/>
                <w:u w:val="single"/>
              </w:rPr>
              <w:t>Wagner C.J. and Abella, Moldaver, Karakatsanis, Gascon, Côté, Brown, Rowe and Martin JJ.</w:t>
            </w:r>
          </w:p>
          <w:p w:rsidR="00106774" w:rsidRPr="00AE0F22" w:rsidRDefault="00106774" w:rsidP="00106774"/>
        </w:tc>
      </w:tr>
      <w:tr w:rsidR="00106774" w:rsidRPr="009021BE" w:rsidTr="00106774">
        <w:tc>
          <w:tcPr>
            <w:tcW w:w="5000" w:type="pct"/>
            <w:gridSpan w:val="4"/>
          </w:tcPr>
          <w:p w:rsidR="00106774" w:rsidRPr="00106774" w:rsidRDefault="00106774" w:rsidP="00106774">
            <w:pPr>
              <w:pStyle w:val="SCCLsocParty"/>
              <w:jc w:val="both"/>
              <w:rPr>
                <w:b/>
                <w:sz w:val="20"/>
                <w:szCs w:val="20"/>
                <w:lang w:val="en-US"/>
              </w:rPr>
            </w:pPr>
            <w:r w:rsidRPr="00106774">
              <w:rPr>
                <w:sz w:val="20"/>
                <w:lang w:val="en-CA"/>
              </w:rPr>
              <w:t>The application for leave to appeal from the judgment of the Court of Appeal of Quebec (Montréal), Number 500-10-006380-172, 2017 QCCA 584, dated April 5, 2017 is dismissed without costs.</w:t>
            </w:r>
          </w:p>
        </w:tc>
      </w:tr>
      <w:tr w:rsidR="00106774" w:rsidRPr="009021BE" w:rsidTr="00DE47D4">
        <w:tc>
          <w:tcPr>
            <w:tcW w:w="5000" w:type="pct"/>
            <w:gridSpan w:val="4"/>
          </w:tcPr>
          <w:p w:rsidR="00503A09" w:rsidRDefault="00106774" w:rsidP="00106774">
            <w:pPr>
              <w:jc w:val="both"/>
              <w:rPr>
                <w:sz w:val="20"/>
              </w:rPr>
            </w:pPr>
            <w:r w:rsidRPr="009021BE">
              <w:rPr>
                <w:i/>
                <w:sz w:val="20"/>
              </w:rPr>
              <w:t>Canadian Charter of Rights and Freedoms</w:t>
            </w:r>
            <w:r w:rsidRPr="009021BE">
              <w:rPr>
                <w:sz w:val="20"/>
              </w:rPr>
              <w:t xml:space="preserve"> – Criminal law – Highway safety code – Constitutional validity of s. 310 of </w:t>
            </w:r>
            <w:r w:rsidRPr="009021BE">
              <w:rPr>
                <w:i/>
                <w:sz w:val="20"/>
              </w:rPr>
              <w:t>Highway Safety Code</w:t>
            </w:r>
            <w:r w:rsidRPr="009021BE">
              <w:rPr>
                <w:sz w:val="20"/>
              </w:rPr>
              <w:t xml:space="preserve"> – Appeal – Leave to appeal – Whether application for leave to appeal raises issue of public importance.</w:t>
            </w:r>
          </w:p>
          <w:p w:rsidR="00503A09" w:rsidRPr="009021BE" w:rsidRDefault="00503A09" w:rsidP="00106774">
            <w:pPr>
              <w:jc w:val="both"/>
              <w:rPr>
                <w:sz w:val="20"/>
              </w:rPr>
            </w:pPr>
          </w:p>
        </w:tc>
      </w:tr>
      <w:tr w:rsidR="00106774" w:rsidRPr="009021BE" w:rsidTr="00DE47D4">
        <w:tc>
          <w:tcPr>
            <w:tcW w:w="5000" w:type="pct"/>
            <w:gridSpan w:val="4"/>
          </w:tcPr>
          <w:p w:rsidR="00106774" w:rsidRPr="009021BE" w:rsidRDefault="00106774" w:rsidP="00106774">
            <w:pPr>
              <w:jc w:val="both"/>
              <w:rPr>
                <w:sz w:val="20"/>
              </w:rPr>
            </w:pPr>
            <w:r w:rsidRPr="009021BE">
              <w:rPr>
                <w:sz w:val="20"/>
              </w:rPr>
              <w:t xml:space="preserve">Gilles Patenaude challenged the constitutional validity of s. 310 of the </w:t>
            </w:r>
            <w:r w:rsidRPr="009021BE">
              <w:rPr>
                <w:i/>
                <w:sz w:val="20"/>
              </w:rPr>
              <w:t>Highway Safety Code</w:t>
            </w:r>
            <w:r w:rsidRPr="009021BE">
              <w:rPr>
                <w:sz w:val="20"/>
              </w:rPr>
              <w:t xml:space="preserve">, including on the basis that the rules in issue are contrary to s. 15 of the </w:t>
            </w:r>
            <w:r w:rsidRPr="009021BE">
              <w:rPr>
                <w:i/>
                <w:sz w:val="20"/>
              </w:rPr>
              <w:t>Canadian Charter of Rights and Freedoms</w:t>
            </w:r>
            <w:r w:rsidRPr="009021BE">
              <w:rPr>
                <w:sz w:val="20"/>
              </w:rPr>
              <w:t>.</w:t>
            </w:r>
          </w:p>
          <w:p w:rsidR="00106774" w:rsidRPr="009021BE" w:rsidRDefault="00106774" w:rsidP="00106774">
            <w:pPr>
              <w:jc w:val="both"/>
              <w:rPr>
                <w:sz w:val="20"/>
              </w:rPr>
            </w:pPr>
            <w:r w:rsidRPr="009021BE">
              <w:rPr>
                <w:sz w:val="20"/>
              </w:rPr>
              <w:t xml:space="preserve"> </w:t>
            </w:r>
          </w:p>
          <w:p w:rsidR="00106774" w:rsidRPr="009021BE" w:rsidRDefault="00106774" w:rsidP="00106774">
            <w:pPr>
              <w:jc w:val="both"/>
              <w:rPr>
                <w:sz w:val="20"/>
              </w:rPr>
            </w:pPr>
            <w:r w:rsidRPr="009021BE">
              <w:rPr>
                <w:sz w:val="20"/>
              </w:rPr>
              <w:t xml:space="preserve">The Municipal Court convicted Mr. Patenaude. The Superior Court dismissed the appeal from the conviction. The Court of Appeal refused leave to appeal from the Superior Court’s judgment. </w:t>
            </w:r>
          </w:p>
        </w:tc>
      </w:tr>
      <w:tr w:rsidR="00106774" w:rsidRPr="009021BE" w:rsidTr="00DE47D4">
        <w:tc>
          <w:tcPr>
            <w:tcW w:w="5000" w:type="pct"/>
            <w:gridSpan w:val="4"/>
          </w:tcPr>
          <w:p w:rsidR="00106774" w:rsidRPr="009021BE" w:rsidRDefault="00106774" w:rsidP="00106774">
            <w:pPr>
              <w:jc w:val="both"/>
              <w:rPr>
                <w:sz w:val="20"/>
              </w:rPr>
            </w:pPr>
          </w:p>
        </w:tc>
      </w:tr>
      <w:tr w:rsidR="00106774" w:rsidRPr="009021BE" w:rsidTr="00DE47D4">
        <w:tc>
          <w:tcPr>
            <w:tcW w:w="2427" w:type="pct"/>
            <w:gridSpan w:val="2"/>
          </w:tcPr>
          <w:p w:rsidR="00106774" w:rsidRPr="009021BE" w:rsidRDefault="00106774" w:rsidP="00106774">
            <w:pPr>
              <w:jc w:val="both"/>
              <w:rPr>
                <w:sz w:val="20"/>
              </w:rPr>
            </w:pPr>
            <w:r w:rsidRPr="009021BE">
              <w:rPr>
                <w:sz w:val="20"/>
              </w:rPr>
              <w:t>February 7, 2017</w:t>
            </w:r>
          </w:p>
          <w:p w:rsidR="00106774" w:rsidRPr="009021BE" w:rsidRDefault="00106774" w:rsidP="00106774">
            <w:pPr>
              <w:jc w:val="both"/>
              <w:rPr>
                <w:sz w:val="20"/>
              </w:rPr>
            </w:pPr>
            <w:r w:rsidRPr="009021BE">
              <w:rPr>
                <w:sz w:val="20"/>
              </w:rPr>
              <w:t>Municipal Court (Longueuil)</w:t>
            </w:r>
          </w:p>
          <w:p w:rsidR="00106774" w:rsidRPr="009021BE" w:rsidRDefault="00106774" w:rsidP="00106774">
            <w:pPr>
              <w:jc w:val="both"/>
              <w:rPr>
                <w:sz w:val="20"/>
              </w:rPr>
            </w:pPr>
            <w:r w:rsidRPr="009021BE">
              <w:rPr>
                <w:sz w:val="20"/>
              </w:rPr>
              <w:t>(Judge Thémens)</w:t>
            </w:r>
          </w:p>
          <w:p w:rsidR="00106774" w:rsidRPr="009021BE" w:rsidRDefault="00106774" w:rsidP="00106774">
            <w:pPr>
              <w:jc w:val="both"/>
              <w:rPr>
                <w:sz w:val="20"/>
              </w:rPr>
            </w:pPr>
          </w:p>
        </w:tc>
        <w:tc>
          <w:tcPr>
            <w:tcW w:w="243" w:type="pct"/>
          </w:tcPr>
          <w:p w:rsidR="00106774" w:rsidRPr="009021BE" w:rsidRDefault="00106774" w:rsidP="00106774">
            <w:pPr>
              <w:jc w:val="both"/>
              <w:rPr>
                <w:sz w:val="20"/>
              </w:rPr>
            </w:pPr>
          </w:p>
        </w:tc>
        <w:tc>
          <w:tcPr>
            <w:tcW w:w="2330" w:type="pct"/>
          </w:tcPr>
          <w:p w:rsidR="00106774" w:rsidRPr="009021BE" w:rsidRDefault="00106774" w:rsidP="00106774">
            <w:pPr>
              <w:jc w:val="both"/>
              <w:rPr>
                <w:sz w:val="20"/>
              </w:rPr>
            </w:pPr>
            <w:r w:rsidRPr="009021BE">
              <w:rPr>
                <w:sz w:val="20"/>
              </w:rPr>
              <w:t xml:space="preserve">Mr. Patenaude convicted </w:t>
            </w:r>
          </w:p>
          <w:p w:rsidR="00106774" w:rsidRPr="009021BE" w:rsidRDefault="00106774" w:rsidP="00106774">
            <w:pPr>
              <w:jc w:val="both"/>
              <w:rPr>
                <w:sz w:val="20"/>
              </w:rPr>
            </w:pPr>
          </w:p>
        </w:tc>
      </w:tr>
      <w:tr w:rsidR="00106774" w:rsidRPr="009021BE" w:rsidTr="00DE47D4">
        <w:tc>
          <w:tcPr>
            <w:tcW w:w="2427" w:type="pct"/>
            <w:gridSpan w:val="2"/>
          </w:tcPr>
          <w:p w:rsidR="00106774" w:rsidRPr="009021BE" w:rsidRDefault="00106774" w:rsidP="00106774">
            <w:pPr>
              <w:jc w:val="both"/>
              <w:rPr>
                <w:sz w:val="20"/>
              </w:rPr>
            </w:pPr>
            <w:r w:rsidRPr="009021BE">
              <w:rPr>
                <w:sz w:val="20"/>
              </w:rPr>
              <w:t>March 3, 2017</w:t>
            </w:r>
          </w:p>
          <w:p w:rsidR="00106774" w:rsidRPr="009021BE" w:rsidRDefault="00106774" w:rsidP="00106774">
            <w:pPr>
              <w:jc w:val="both"/>
              <w:rPr>
                <w:sz w:val="20"/>
              </w:rPr>
            </w:pPr>
            <w:r w:rsidRPr="009021BE">
              <w:rPr>
                <w:sz w:val="20"/>
              </w:rPr>
              <w:t>Quebec Superior Court</w:t>
            </w:r>
          </w:p>
          <w:p w:rsidR="00106774" w:rsidRPr="009021BE" w:rsidRDefault="00106774" w:rsidP="00106774">
            <w:pPr>
              <w:jc w:val="both"/>
              <w:rPr>
                <w:sz w:val="20"/>
              </w:rPr>
            </w:pPr>
            <w:r w:rsidRPr="009021BE">
              <w:rPr>
                <w:sz w:val="20"/>
              </w:rPr>
              <w:t>(David J.)</w:t>
            </w:r>
          </w:p>
          <w:p w:rsidR="00106774" w:rsidRPr="009021BE" w:rsidRDefault="00106774" w:rsidP="00106774">
            <w:pPr>
              <w:jc w:val="both"/>
              <w:rPr>
                <w:sz w:val="20"/>
              </w:rPr>
            </w:pPr>
          </w:p>
        </w:tc>
        <w:tc>
          <w:tcPr>
            <w:tcW w:w="243" w:type="pct"/>
          </w:tcPr>
          <w:p w:rsidR="00106774" w:rsidRPr="009021BE" w:rsidRDefault="00106774" w:rsidP="00106774">
            <w:pPr>
              <w:jc w:val="both"/>
              <w:rPr>
                <w:sz w:val="20"/>
              </w:rPr>
            </w:pPr>
          </w:p>
        </w:tc>
        <w:tc>
          <w:tcPr>
            <w:tcW w:w="2330" w:type="pct"/>
          </w:tcPr>
          <w:p w:rsidR="00106774" w:rsidRPr="009021BE" w:rsidRDefault="00106774" w:rsidP="00106774">
            <w:pPr>
              <w:jc w:val="both"/>
              <w:rPr>
                <w:sz w:val="20"/>
              </w:rPr>
            </w:pPr>
            <w:r w:rsidRPr="009021BE">
              <w:rPr>
                <w:sz w:val="20"/>
              </w:rPr>
              <w:t>Appeal dismissed</w:t>
            </w:r>
          </w:p>
          <w:p w:rsidR="00106774" w:rsidRPr="009021BE" w:rsidRDefault="00106774" w:rsidP="00106774">
            <w:pPr>
              <w:jc w:val="both"/>
              <w:rPr>
                <w:sz w:val="20"/>
              </w:rPr>
            </w:pPr>
          </w:p>
        </w:tc>
      </w:tr>
      <w:tr w:rsidR="00106774" w:rsidRPr="009021BE" w:rsidTr="00DE47D4">
        <w:tc>
          <w:tcPr>
            <w:tcW w:w="2427" w:type="pct"/>
            <w:gridSpan w:val="2"/>
          </w:tcPr>
          <w:p w:rsidR="00106774" w:rsidRPr="009021BE" w:rsidRDefault="00106774" w:rsidP="00106774">
            <w:pPr>
              <w:jc w:val="both"/>
              <w:rPr>
                <w:sz w:val="20"/>
              </w:rPr>
            </w:pPr>
            <w:r w:rsidRPr="009021BE">
              <w:rPr>
                <w:sz w:val="20"/>
              </w:rPr>
              <w:t>April 5, 2017</w:t>
            </w:r>
          </w:p>
          <w:p w:rsidR="00106774" w:rsidRPr="009021BE" w:rsidRDefault="00106774" w:rsidP="00106774">
            <w:pPr>
              <w:jc w:val="both"/>
              <w:rPr>
                <w:sz w:val="20"/>
              </w:rPr>
            </w:pPr>
            <w:r w:rsidRPr="009021BE">
              <w:rPr>
                <w:sz w:val="20"/>
              </w:rPr>
              <w:t>Quebec Court of Appeal (Montréal)</w:t>
            </w:r>
          </w:p>
          <w:p w:rsidR="00106774" w:rsidRPr="009021BE" w:rsidRDefault="00106774" w:rsidP="00106774">
            <w:pPr>
              <w:jc w:val="both"/>
              <w:rPr>
                <w:sz w:val="20"/>
              </w:rPr>
            </w:pPr>
            <w:r w:rsidRPr="009021BE">
              <w:rPr>
                <w:sz w:val="20"/>
              </w:rPr>
              <w:t>(Morissette J.A.)</w:t>
            </w:r>
          </w:p>
          <w:p w:rsidR="00106774" w:rsidRPr="009021BE" w:rsidRDefault="00106774" w:rsidP="00106774">
            <w:pPr>
              <w:jc w:val="both"/>
              <w:rPr>
                <w:sz w:val="20"/>
              </w:rPr>
            </w:pPr>
            <w:r w:rsidRPr="009021BE">
              <w:rPr>
                <w:sz w:val="20"/>
              </w:rPr>
              <w:t xml:space="preserve">Neutral citation: </w:t>
            </w:r>
            <w:hyperlink r:id="rId23" w:history="1">
              <w:r w:rsidRPr="009021BE">
                <w:rPr>
                  <w:rStyle w:val="Hyperlink"/>
                  <w:sz w:val="20"/>
                </w:rPr>
                <w:t>2017 QCCA 584</w:t>
              </w:r>
            </w:hyperlink>
          </w:p>
          <w:p w:rsidR="00106774" w:rsidRPr="009021BE" w:rsidRDefault="00106774" w:rsidP="00106774">
            <w:pPr>
              <w:jc w:val="both"/>
              <w:rPr>
                <w:sz w:val="20"/>
              </w:rPr>
            </w:pPr>
          </w:p>
        </w:tc>
        <w:tc>
          <w:tcPr>
            <w:tcW w:w="243" w:type="pct"/>
          </w:tcPr>
          <w:p w:rsidR="00106774" w:rsidRPr="009021BE" w:rsidRDefault="00106774" w:rsidP="00106774">
            <w:pPr>
              <w:jc w:val="both"/>
              <w:rPr>
                <w:sz w:val="20"/>
              </w:rPr>
            </w:pPr>
          </w:p>
        </w:tc>
        <w:tc>
          <w:tcPr>
            <w:tcW w:w="2330" w:type="pct"/>
          </w:tcPr>
          <w:p w:rsidR="00106774" w:rsidRPr="009021BE" w:rsidRDefault="00106774" w:rsidP="00106774">
            <w:pPr>
              <w:jc w:val="both"/>
              <w:rPr>
                <w:sz w:val="20"/>
              </w:rPr>
            </w:pPr>
            <w:r w:rsidRPr="009021BE">
              <w:rPr>
                <w:sz w:val="20"/>
              </w:rPr>
              <w:t>Motion for leave to appeal dismissed</w:t>
            </w:r>
          </w:p>
          <w:p w:rsidR="00106774" w:rsidRPr="009021BE" w:rsidRDefault="00106774" w:rsidP="00106774">
            <w:pPr>
              <w:jc w:val="both"/>
              <w:rPr>
                <w:sz w:val="20"/>
              </w:rPr>
            </w:pPr>
          </w:p>
        </w:tc>
      </w:tr>
      <w:tr w:rsidR="00106774" w:rsidRPr="009021BE" w:rsidTr="00DE47D4">
        <w:tc>
          <w:tcPr>
            <w:tcW w:w="2427" w:type="pct"/>
            <w:gridSpan w:val="2"/>
          </w:tcPr>
          <w:p w:rsidR="00106774" w:rsidRPr="009021BE" w:rsidRDefault="00106774" w:rsidP="00106774">
            <w:pPr>
              <w:jc w:val="both"/>
              <w:rPr>
                <w:sz w:val="20"/>
              </w:rPr>
            </w:pPr>
            <w:r w:rsidRPr="009021BE">
              <w:rPr>
                <w:sz w:val="20"/>
              </w:rPr>
              <w:t>May 9, 2017</w:t>
            </w:r>
          </w:p>
          <w:p w:rsidR="00106774" w:rsidRPr="009021BE" w:rsidRDefault="00106774" w:rsidP="00106774">
            <w:pPr>
              <w:jc w:val="both"/>
              <w:rPr>
                <w:sz w:val="20"/>
              </w:rPr>
            </w:pPr>
            <w:r w:rsidRPr="009021BE">
              <w:rPr>
                <w:sz w:val="20"/>
              </w:rPr>
              <w:t>Supreme Court of Canada</w:t>
            </w:r>
          </w:p>
        </w:tc>
        <w:tc>
          <w:tcPr>
            <w:tcW w:w="243" w:type="pct"/>
          </w:tcPr>
          <w:p w:rsidR="00106774" w:rsidRPr="009021BE" w:rsidRDefault="00106774" w:rsidP="00106774">
            <w:pPr>
              <w:jc w:val="both"/>
              <w:rPr>
                <w:sz w:val="20"/>
              </w:rPr>
            </w:pPr>
          </w:p>
        </w:tc>
        <w:tc>
          <w:tcPr>
            <w:tcW w:w="2330" w:type="pct"/>
          </w:tcPr>
          <w:p w:rsidR="00106774" w:rsidRPr="009021BE" w:rsidRDefault="00106774" w:rsidP="00106774">
            <w:pPr>
              <w:jc w:val="both"/>
              <w:rPr>
                <w:sz w:val="20"/>
              </w:rPr>
            </w:pPr>
            <w:r w:rsidRPr="009021BE">
              <w:rPr>
                <w:sz w:val="20"/>
              </w:rPr>
              <w:t>Application for leave to appeal filed</w:t>
            </w:r>
          </w:p>
          <w:p w:rsidR="00106774" w:rsidRPr="009021BE" w:rsidRDefault="00106774" w:rsidP="00106774">
            <w:pPr>
              <w:jc w:val="both"/>
              <w:rPr>
                <w:sz w:val="20"/>
              </w:rPr>
            </w:pPr>
          </w:p>
        </w:tc>
      </w:tr>
    </w:tbl>
    <w:p w:rsidR="006A0A32" w:rsidRDefault="00167F64" w:rsidP="006A0A32">
      <w:pPr>
        <w:jc w:val="both"/>
        <w:rPr>
          <w:sz w:val="20"/>
        </w:rPr>
      </w:pPr>
      <w:r>
        <w:rPr>
          <w:sz w:val="20"/>
          <w:szCs w:val="20"/>
        </w:rPr>
        <w:pict>
          <v:rect id="_x0000_i1037" style="width:2in;height:1pt" o:hrpct="0" o:hralign="center" o:hrstd="t" o:hrnoshade="t" o:hr="t" fillcolor="black" stroked="f"/>
        </w:pict>
      </w:r>
    </w:p>
    <w:p w:rsidR="00BC5022" w:rsidRDefault="00BC5022">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0A32" w:rsidRPr="009021BE" w:rsidTr="00DE47D4">
        <w:tc>
          <w:tcPr>
            <w:tcW w:w="543" w:type="pct"/>
          </w:tcPr>
          <w:p w:rsidR="006A0A32" w:rsidRPr="009021BE" w:rsidRDefault="006A0A32" w:rsidP="00DE47D4">
            <w:pPr>
              <w:jc w:val="both"/>
              <w:rPr>
                <w:sz w:val="20"/>
              </w:rPr>
            </w:pPr>
            <w:r w:rsidRPr="009021BE">
              <w:rPr>
                <w:rStyle w:val="SCCFileNumberChar"/>
                <w:sz w:val="20"/>
                <w:szCs w:val="20"/>
              </w:rPr>
              <w:t>37560</w:t>
            </w:r>
          </w:p>
        </w:tc>
        <w:tc>
          <w:tcPr>
            <w:tcW w:w="4457" w:type="pct"/>
          </w:tcPr>
          <w:p w:rsidR="006A0A32" w:rsidRPr="009021BE" w:rsidRDefault="006A0A32" w:rsidP="00DE47D4">
            <w:pPr>
              <w:pStyle w:val="SCCLsocParty"/>
              <w:jc w:val="both"/>
              <w:rPr>
                <w:b/>
                <w:sz w:val="20"/>
                <w:szCs w:val="20"/>
              </w:rPr>
            </w:pPr>
            <w:r w:rsidRPr="009021BE">
              <w:rPr>
                <w:b/>
                <w:sz w:val="20"/>
                <w:szCs w:val="20"/>
              </w:rPr>
              <w:t>Gilles Patenaude c. Ville de Longueuil</w:t>
            </w:r>
          </w:p>
          <w:p w:rsidR="006A0A32" w:rsidRPr="009021BE" w:rsidRDefault="006A0A32" w:rsidP="00DE47D4">
            <w:pPr>
              <w:jc w:val="both"/>
              <w:rPr>
                <w:sz w:val="20"/>
              </w:rPr>
            </w:pPr>
            <w:r w:rsidRPr="009021BE">
              <w:rPr>
                <w:sz w:val="20"/>
              </w:rPr>
              <w:t>(Qc) (Criminelle) (Autorisation)</w:t>
            </w:r>
          </w:p>
        </w:tc>
      </w:tr>
      <w:tr w:rsidR="00106774" w:rsidRPr="003A01D0" w:rsidTr="00DE47D4">
        <w:tc>
          <w:tcPr>
            <w:tcW w:w="543" w:type="pct"/>
          </w:tcPr>
          <w:p w:rsidR="00106774" w:rsidRPr="00D32F6F" w:rsidRDefault="00106774" w:rsidP="00106774">
            <w:pPr>
              <w:jc w:val="both"/>
              <w:rPr>
                <w:rStyle w:val="SCCFileNumberChar"/>
                <w:b w:val="0"/>
                <w:sz w:val="20"/>
                <w:szCs w:val="20"/>
              </w:rPr>
            </w:pPr>
            <w:r w:rsidRPr="00D32F6F">
              <w:rPr>
                <w:rStyle w:val="SCCFileNumberChar"/>
                <w:b w:val="0"/>
                <w:sz w:val="20"/>
                <w:szCs w:val="20"/>
              </w:rPr>
              <w:t xml:space="preserve">Coram: </w:t>
            </w:r>
          </w:p>
        </w:tc>
        <w:tc>
          <w:tcPr>
            <w:tcW w:w="4457" w:type="pct"/>
          </w:tcPr>
          <w:p w:rsidR="00106774" w:rsidRPr="00D32F6F" w:rsidRDefault="00106774" w:rsidP="00106774">
            <w:pPr>
              <w:rPr>
                <w:rFonts w:eastAsia="Calibri" w:cs="Times New Roman"/>
                <w:sz w:val="20"/>
                <w:szCs w:val="20"/>
                <w:u w:val="single"/>
                <w:lang w:val="fr-CA"/>
              </w:rPr>
            </w:pPr>
            <w:r w:rsidRPr="00D32F6F">
              <w:rPr>
                <w:rFonts w:eastAsia="Calibri" w:cs="Times New Roman"/>
                <w:sz w:val="20"/>
                <w:szCs w:val="20"/>
                <w:u w:val="single"/>
                <w:lang w:val="fr-CA"/>
              </w:rPr>
              <w:t>Le juge en chef Wagner et les juges Abella, Moldaver, Karakatsanis, Gascon, Côté, Brown, Rowe et Martin</w:t>
            </w:r>
          </w:p>
          <w:p w:rsidR="00106774" w:rsidRPr="00D32F6F" w:rsidRDefault="00106774" w:rsidP="00106774">
            <w:pPr>
              <w:rPr>
                <w:sz w:val="20"/>
                <w:szCs w:val="20"/>
                <w:lang w:val="fr-CA"/>
              </w:rPr>
            </w:pPr>
          </w:p>
        </w:tc>
      </w:tr>
      <w:tr w:rsidR="00106774" w:rsidRPr="003A01D0" w:rsidTr="00106774">
        <w:tc>
          <w:tcPr>
            <w:tcW w:w="5000" w:type="pct"/>
            <w:gridSpan w:val="2"/>
          </w:tcPr>
          <w:p w:rsidR="00106774" w:rsidRPr="00106774" w:rsidRDefault="00106774" w:rsidP="00106774">
            <w:pPr>
              <w:pStyle w:val="SCCLsocParty"/>
              <w:jc w:val="both"/>
              <w:rPr>
                <w:b/>
                <w:sz w:val="20"/>
                <w:szCs w:val="20"/>
              </w:rPr>
            </w:pPr>
            <w:r w:rsidRPr="00106774">
              <w:rPr>
                <w:sz w:val="20"/>
              </w:rPr>
              <w:t>La demande d’autorisation d’appel de l’arrêt de la Cour d’appel du Québec (Montréal), numéro 500-10-006380-172, 2017 QCCA 584, daté du 5 avril 2017, est rejetée sans dépens.</w:t>
            </w:r>
          </w:p>
        </w:tc>
      </w:tr>
      <w:tr w:rsidR="00106774" w:rsidRPr="003A01D0" w:rsidTr="00DE47D4">
        <w:tc>
          <w:tcPr>
            <w:tcW w:w="5000" w:type="pct"/>
            <w:gridSpan w:val="2"/>
          </w:tcPr>
          <w:p w:rsidR="00503A09" w:rsidRDefault="00106774" w:rsidP="00106774">
            <w:pPr>
              <w:jc w:val="both"/>
              <w:rPr>
                <w:sz w:val="20"/>
                <w:lang w:val="fr-CA"/>
              </w:rPr>
            </w:pPr>
            <w:r w:rsidRPr="009021BE">
              <w:rPr>
                <w:i/>
                <w:sz w:val="20"/>
                <w:lang w:val="fr-CA"/>
              </w:rPr>
              <w:t>Charte canadienne des droits et libertés</w:t>
            </w:r>
            <w:r w:rsidRPr="009021BE">
              <w:rPr>
                <w:sz w:val="20"/>
                <w:lang w:val="fr-CA"/>
              </w:rPr>
              <w:t xml:space="preserve"> – Droit criminel – Code de la sécurité routière – Validité constitutionnelle de l’art. 310 du </w:t>
            </w:r>
            <w:r w:rsidRPr="009021BE">
              <w:rPr>
                <w:i/>
                <w:sz w:val="20"/>
                <w:lang w:val="fr-CA"/>
              </w:rPr>
              <w:t>Code de la sécurité routière</w:t>
            </w:r>
            <w:r w:rsidRPr="009021BE">
              <w:rPr>
                <w:sz w:val="20"/>
                <w:lang w:val="fr-CA"/>
              </w:rPr>
              <w:t xml:space="preserve"> – Appel – Permission d’appeler – La demande d’autorisation d’appel soulève-t-elle une question d’importance pour le public?</w:t>
            </w:r>
          </w:p>
          <w:p w:rsidR="00503A09" w:rsidRPr="009021BE" w:rsidRDefault="00503A09" w:rsidP="00106774">
            <w:pPr>
              <w:jc w:val="both"/>
              <w:rPr>
                <w:sz w:val="20"/>
                <w:lang w:val="fr-CA"/>
              </w:rPr>
            </w:pPr>
          </w:p>
        </w:tc>
      </w:tr>
    </w:tbl>
    <w:p w:rsidR="00BD4227" w:rsidRPr="00C51298" w:rsidRDefault="00BD4227">
      <w:pPr>
        <w:rPr>
          <w:lang w:val="fr-CA"/>
        </w:rPr>
      </w:pPr>
      <w:r w:rsidRPr="00C5129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06774" w:rsidRPr="003A01D0" w:rsidTr="00DE47D4">
        <w:tc>
          <w:tcPr>
            <w:tcW w:w="5000" w:type="pct"/>
            <w:gridSpan w:val="3"/>
          </w:tcPr>
          <w:p w:rsidR="00106774" w:rsidRPr="009021BE" w:rsidRDefault="00106774" w:rsidP="00106774">
            <w:pPr>
              <w:jc w:val="both"/>
              <w:rPr>
                <w:sz w:val="20"/>
                <w:lang w:val="fr-CA"/>
              </w:rPr>
            </w:pPr>
            <w:r w:rsidRPr="009021BE">
              <w:rPr>
                <w:sz w:val="20"/>
                <w:lang w:val="fr-CA"/>
              </w:rPr>
              <w:t xml:space="preserve">Gilles Patenaude s’attaque à la validité constitutionnelle de l’art. 310 du </w:t>
            </w:r>
            <w:r w:rsidRPr="009021BE">
              <w:rPr>
                <w:i/>
                <w:sz w:val="20"/>
                <w:lang w:val="fr-CA"/>
              </w:rPr>
              <w:t>Code de la sécurité routière</w:t>
            </w:r>
            <w:r w:rsidRPr="009021BE">
              <w:rPr>
                <w:sz w:val="20"/>
                <w:lang w:val="fr-CA"/>
              </w:rPr>
              <w:t xml:space="preserve">, notamment au motif que la réglementation en cause serait contraire à l’article 15 de la </w:t>
            </w:r>
            <w:r w:rsidRPr="009021BE">
              <w:rPr>
                <w:i/>
                <w:sz w:val="20"/>
                <w:lang w:val="fr-CA"/>
              </w:rPr>
              <w:t>Charte canadienne des droits et libertés</w:t>
            </w:r>
            <w:r w:rsidRPr="009021BE">
              <w:rPr>
                <w:sz w:val="20"/>
                <w:lang w:val="fr-CA"/>
              </w:rPr>
              <w:t>.</w:t>
            </w:r>
          </w:p>
          <w:p w:rsidR="00106774" w:rsidRPr="009021BE" w:rsidRDefault="00106774" w:rsidP="00106774">
            <w:pPr>
              <w:jc w:val="both"/>
              <w:rPr>
                <w:sz w:val="20"/>
                <w:lang w:val="fr-CA"/>
              </w:rPr>
            </w:pPr>
            <w:r w:rsidRPr="009021BE">
              <w:rPr>
                <w:sz w:val="20"/>
                <w:lang w:val="fr-CA"/>
              </w:rPr>
              <w:t xml:space="preserve"> </w:t>
            </w:r>
          </w:p>
          <w:p w:rsidR="00106774" w:rsidRPr="009021BE" w:rsidRDefault="00106774" w:rsidP="00106774">
            <w:pPr>
              <w:jc w:val="both"/>
              <w:rPr>
                <w:sz w:val="20"/>
                <w:lang w:val="fr-CA"/>
              </w:rPr>
            </w:pPr>
            <w:r w:rsidRPr="009021BE">
              <w:rPr>
                <w:sz w:val="20"/>
                <w:lang w:val="fr-CA"/>
              </w:rPr>
              <w:t xml:space="preserve">La Cour municipale a conclu à la culpabilité de M. Patenaude. La Cour supérieure a rejeté l’appel de la condamnation. La Cour d’appel a refusé la permission d’appeler du jugement de la Cour supérieure. </w:t>
            </w:r>
          </w:p>
        </w:tc>
      </w:tr>
      <w:tr w:rsidR="00106774" w:rsidRPr="003A01D0" w:rsidTr="00DE47D4">
        <w:tc>
          <w:tcPr>
            <w:tcW w:w="5000" w:type="pct"/>
            <w:gridSpan w:val="3"/>
          </w:tcPr>
          <w:p w:rsidR="00106774" w:rsidRPr="009021BE" w:rsidRDefault="00106774" w:rsidP="00106774">
            <w:pPr>
              <w:jc w:val="both"/>
              <w:rPr>
                <w:sz w:val="20"/>
                <w:lang w:val="fr-CA"/>
              </w:rPr>
            </w:pPr>
          </w:p>
        </w:tc>
      </w:tr>
      <w:tr w:rsidR="00106774" w:rsidRPr="009021BE" w:rsidTr="00DE47D4">
        <w:tc>
          <w:tcPr>
            <w:tcW w:w="2427" w:type="pct"/>
          </w:tcPr>
          <w:p w:rsidR="00106774" w:rsidRPr="009021BE" w:rsidRDefault="00106774" w:rsidP="00106774">
            <w:pPr>
              <w:jc w:val="both"/>
              <w:rPr>
                <w:sz w:val="20"/>
                <w:lang w:val="fr-CA"/>
              </w:rPr>
            </w:pPr>
            <w:r w:rsidRPr="009021BE">
              <w:rPr>
                <w:sz w:val="20"/>
                <w:lang w:val="fr-CA"/>
              </w:rPr>
              <w:t>Le 7 février 2017</w:t>
            </w:r>
          </w:p>
          <w:p w:rsidR="00106774" w:rsidRPr="009021BE" w:rsidRDefault="00106774" w:rsidP="00106774">
            <w:pPr>
              <w:jc w:val="both"/>
              <w:rPr>
                <w:sz w:val="20"/>
                <w:lang w:val="fr-CA"/>
              </w:rPr>
            </w:pPr>
            <w:r w:rsidRPr="009021BE">
              <w:rPr>
                <w:sz w:val="20"/>
                <w:lang w:val="fr-CA"/>
              </w:rPr>
              <w:t>Cour municipale (Longueuil)</w:t>
            </w:r>
          </w:p>
          <w:p w:rsidR="00106774" w:rsidRPr="009021BE" w:rsidRDefault="00106774" w:rsidP="00106774">
            <w:pPr>
              <w:jc w:val="both"/>
              <w:rPr>
                <w:sz w:val="20"/>
              </w:rPr>
            </w:pPr>
            <w:r w:rsidRPr="009021BE">
              <w:rPr>
                <w:sz w:val="20"/>
              </w:rPr>
              <w:t>(Le juge Thémens)</w:t>
            </w:r>
          </w:p>
          <w:p w:rsidR="00106774" w:rsidRPr="009021BE" w:rsidRDefault="00106774" w:rsidP="00106774">
            <w:pPr>
              <w:jc w:val="both"/>
              <w:rPr>
                <w:sz w:val="20"/>
              </w:rPr>
            </w:pPr>
          </w:p>
        </w:tc>
        <w:tc>
          <w:tcPr>
            <w:tcW w:w="243" w:type="pct"/>
          </w:tcPr>
          <w:p w:rsidR="00106774" w:rsidRPr="009021BE" w:rsidRDefault="00106774" w:rsidP="00106774">
            <w:pPr>
              <w:jc w:val="both"/>
              <w:rPr>
                <w:sz w:val="20"/>
              </w:rPr>
            </w:pPr>
          </w:p>
        </w:tc>
        <w:tc>
          <w:tcPr>
            <w:tcW w:w="2330" w:type="pct"/>
          </w:tcPr>
          <w:p w:rsidR="00106774" w:rsidRPr="009021BE" w:rsidRDefault="00106774" w:rsidP="00106774">
            <w:pPr>
              <w:jc w:val="both"/>
              <w:rPr>
                <w:sz w:val="20"/>
              </w:rPr>
            </w:pPr>
            <w:r w:rsidRPr="009021BE">
              <w:rPr>
                <w:sz w:val="20"/>
              </w:rPr>
              <w:t xml:space="preserve">M. Patenaude reconnu coupable </w:t>
            </w:r>
          </w:p>
          <w:p w:rsidR="00106774" w:rsidRPr="009021BE" w:rsidRDefault="00106774" w:rsidP="00106774">
            <w:pPr>
              <w:jc w:val="both"/>
              <w:rPr>
                <w:sz w:val="20"/>
              </w:rPr>
            </w:pPr>
          </w:p>
        </w:tc>
      </w:tr>
      <w:tr w:rsidR="00106774" w:rsidRPr="009021BE" w:rsidTr="00DE47D4">
        <w:tc>
          <w:tcPr>
            <w:tcW w:w="2427" w:type="pct"/>
          </w:tcPr>
          <w:p w:rsidR="00106774" w:rsidRPr="009021BE" w:rsidRDefault="00106774" w:rsidP="00106774">
            <w:pPr>
              <w:jc w:val="both"/>
              <w:rPr>
                <w:sz w:val="20"/>
                <w:lang w:val="fr-CA"/>
              </w:rPr>
            </w:pPr>
            <w:r w:rsidRPr="009021BE">
              <w:rPr>
                <w:sz w:val="20"/>
                <w:lang w:val="fr-CA"/>
              </w:rPr>
              <w:t>Le 3 mars 2017</w:t>
            </w:r>
          </w:p>
          <w:p w:rsidR="00106774" w:rsidRPr="009021BE" w:rsidRDefault="00106774" w:rsidP="00106774">
            <w:pPr>
              <w:jc w:val="both"/>
              <w:rPr>
                <w:sz w:val="20"/>
                <w:lang w:val="fr-CA"/>
              </w:rPr>
            </w:pPr>
            <w:r w:rsidRPr="009021BE">
              <w:rPr>
                <w:sz w:val="20"/>
                <w:lang w:val="fr-CA"/>
              </w:rPr>
              <w:t>Cour supérieure du Québec</w:t>
            </w:r>
          </w:p>
          <w:p w:rsidR="00106774" w:rsidRPr="009021BE" w:rsidRDefault="00106774" w:rsidP="00106774">
            <w:pPr>
              <w:jc w:val="both"/>
              <w:rPr>
                <w:sz w:val="20"/>
              </w:rPr>
            </w:pPr>
            <w:r w:rsidRPr="009021BE">
              <w:rPr>
                <w:sz w:val="20"/>
              </w:rPr>
              <w:t>(Le juge David)</w:t>
            </w:r>
          </w:p>
          <w:p w:rsidR="00106774" w:rsidRPr="009021BE" w:rsidRDefault="00106774" w:rsidP="00106774">
            <w:pPr>
              <w:jc w:val="both"/>
              <w:rPr>
                <w:sz w:val="20"/>
              </w:rPr>
            </w:pPr>
          </w:p>
        </w:tc>
        <w:tc>
          <w:tcPr>
            <w:tcW w:w="243" w:type="pct"/>
          </w:tcPr>
          <w:p w:rsidR="00106774" w:rsidRPr="009021BE" w:rsidRDefault="00106774" w:rsidP="00106774">
            <w:pPr>
              <w:jc w:val="both"/>
              <w:rPr>
                <w:sz w:val="20"/>
              </w:rPr>
            </w:pPr>
          </w:p>
        </w:tc>
        <w:tc>
          <w:tcPr>
            <w:tcW w:w="2330" w:type="pct"/>
          </w:tcPr>
          <w:p w:rsidR="00106774" w:rsidRPr="009021BE" w:rsidRDefault="00106774" w:rsidP="00106774">
            <w:pPr>
              <w:jc w:val="both"/>
              <w:rPr>
                <w:sz w:val="20"/>
              </w:rPr>
            </w:pPr>
            <w:r w:rsidRPr="009021BE">
              <w:rPr>
                <w:sz w:val="20"/>
              </w:rPr>
              <w:t>Appel rejeté</w:t>
            </w:r>
          </w:p>
          <w:p w:rsidR="00106774" w:rsidRPr="009021BE" w:rsidRDefault="00106774" w:rsidP="00106774">
            <w:pPr>
              <w:jc w:val="both"/>
              <w:rPr>
                <w:sz w:val="20"/>
              </w:rPr>
            </w:pPr>
          </w:p>
        </w:tc>
      </w:tr>
      <w:tr w:rsidR="00106774" w:rsidRPr="009021BE" w:rsidTr="00DE47D4">
        <w:tc>
          <w:tcPr>
            <w:tcW w:w="2427" w:type="pct"/>
          </w:tcPr>
          <w:p w:rsidR="00106774" w:rsidRPr="009021BE" w:rsidRDefault="00106774" w:rsidP="00106774">
            <w:pPr>
              <w:jc w:val="both"/>
              <w:rPr>
                <w:sz w:val="20"/>
                <w:lang w:val="fr-CA"/>
              </w:rPr>
            </w:pPr>
            <w:r w:rsidRPr="009021BE">
              <w:rPr>
                <w:sz w:val="20"/>
                <w:lang w:val="fr-CA"/>
              </w:rPr>
              <w:t>Le 5 avril 2017</w:t>
            </w:r>
          </w:p>
          <w:p w:rsidR="00106774" w:rsidRPr="009021BE" w:rsidRDefault="00106774" w:rsidP="00106774">
            <w:pPr>
              <w:jc w:val="both"/>
              <w:rPr>
                <w:sz w:val="20"/>
                <w:lang w:val="fr-CA"/>
              </w:rPr>
            </w:pPr>
            <w:r w:rsidRPr="009021BE">
              <w:rPr>
                <w:sz w:val="20"/>
                <w:lang w:val="fr-CA"/>
              </w:rPr>
              <w:t>Cour d’appel du Québec (Montréal)</w:t>
            </w:r>
          </w:p>
          <w:p w:rsidR="00106774" w:rsidRPr="009021BE" w:rsidRDefault="00106774" w:rsidP="00106774">
            <w:pPr>
              <w:jc w:val="both"/>
              <w:rPr>
                <w:sz w:val="20"/>
                <w:lang w:val="fr-CA"/>
              </w:rPr>
            </w:pPr>
            <w:r w:rsidRPr="009021BE">
              <w:rPr>
                <w:sz w:val="20"/>
                <w:lang w:val="fr-CA"/>
              </w:rPr>
              <w:t>(Le juge Morissette)</w:t>
            </w:r>
          </w:p>
          <w:p w:rsidR="00106774" w:rsidRPr="009021BE" w:rsidRDefault="00106774" w:rsidP="00106774">
            <w:pPr>
              <w:jc w:val="both"/>
              <w:rPr>
                <w:sz w:val="20"/>
                <w:lang w:val="fr-CA"/>
              </w:rPr>
            </w:pPr>
            <w:r w:rsidRPr="009021BE">
              <w:rPr>
                <w:sz w:val="20"/>
                <w:lang w:val="fr-CA"/>
              </w:rPr>
              <w:t xml:space="preserve">Référence neutre : </w:t>
            </w:r>
            <w:hyperlink r:id="rId24" w:history="1">
              <w:r w:rsidRPr="009021BE">
                <w:rPr>
                  <w:rStyle w:val="Hyperlink"/>
                  <w:sz w:val="20"/>
                  <w:lang w:val="fr-CA"/>
                </w:rPr>
                <w:t>2017 QCCA 584</w:t>
              </w:r>
            </w:hyperlink>
          </w:p>
          <w:p w:rsidR="00106774" w:rsidRPr="009021BE" w:rsidRDefault="00106774" w:rsidP="00106774">
            <w:pPr>
              <w:jc w:val="both"/>
              <w:rPr>
                <w:sz w:val="20"/>
                <w:lang w:val="fr-CA"/>
              </w:rPr>
            </w:pPr>
          </w:p>
        </w:tc>
        <w:tc>
          <w:tcPr>
            <w:tcW w:w="243" w:type="pct"/>
          </w:tcPr>
          <w:p w:rsidR="00106774" w:rsidRPr="009021BE" w:rsidRDefault="00106774" w:rsidP="00106774">
            <w:pPr>
              <w:jc w:val="both"/>
              <w:rPr>
                <w:sz w:val="20"/>
                <w:lang w:val="fr-CA"/>
              </w:rPr>
            </w:pPr>
          </w:p>
        </w:tc>
        <w:tc>
          <w:tcPr>
            <w:tcW w:w="2330" w:type="pct"/>
          </w:tcPr>
          <w:p w:rsidR="00106774" w:rsidRPr="009021BE" w:rsidRDefault="00106774" w:rsidP="00106774">
            <w:pPr>
              <w:jc w:val="both"/>
              <w:rPr>
                <w:sz w:val="20"/>
              </w:rPr>
            </w:pPr>
            <w:r w:rsidRPr="009021BE">
              <w:rPr>
                <w:sz w:val="20"/>
              </w:rPr>
              <w:t>Requête pour permission d’appeler rejetée</w:t>
            </w:r>
          </w:p>
          <w:p w:rsidR="00106774" w:rsidRPr="009021BE" w:rsidRDefault="00106774" w:rsidP="00106774">
            <w:pPr>
              <w:jc w:val="both"/>
              <w:rPr>
                <w:sz w:val="20"/>
              </w:rPr>
            </w:pPr>
          </w:p>
        </w:tc>
      </w:tr>
      <w:tr w:rsidR="00106774" w:rsidRPr="009021BE" w:rsidTr="00DE47D4">
        <w:tc>
          <w:tcPr>
            <w:tcW w:w="2427" w:type="pct"/>
          </w:tcPr>
          <w:p w:rsidR="00106774" w:rsidRPr="009021BE" w:rsidRDefault="00106774" w:rsidP="00106774">
            <w:pPr>
              <w:jc w:val="both"/>
              <w:rPr>
                <w:sz w:val="20"/>
                <w:lang w:val="fr-CA"/>
              </w:rPr>
            </w:pPr>
            <w:r w:rsidRPr="009021BE">
              <w:rPr>
                <w:sz w:val="20"/>
                <w:lang w:val="fr-CA"/>
              </w:rPr>
              <w:t>Le 9 mai 2017</w:t>
            </w:r>
          </w:p>
          <w:p w:rsidR="00106774" w:rsidRPr="009021BE" w:rsidRDefault="00106774" w:rsidP="00106774">
            <w:pPr>
              <w:jc w:val="both"/>
              <w:rPr>
                <w:sz w:val="20"/>
                <w:lang w:val="fr-CA"/>
              </w:rPr>
            </w:pPr>
            <w:r w:rsidRPr="009021BE">
              <w:rPr>
                <w:sz w:val="20"/>
                <w:lang w:val="fr-CA"/>
              </w:rPr>
              <w:t>Cour suprême du Canada</w:t>
            </w:r>
          </w:p>
        </w:tc>
        <w:tc>
          <w:tcPr>
            <w:tcW w:w="243" w:type="pct"/>
          </w:tcPr>
          <w:p w:rsidR="00106774" w:rsidRPr="009021BE" w:rsidRDefault="00106774" w:rsidP="00106774">
            <w:pPr>
              <w:jc w:val="both"/>
              <w:rPr>
                <w:sz w:val="20"/>
                <w:lang w:val="fr-CA"/>
              </w:rPr>
            </w:pPr>
          </w:p>
        </w:tc>
        <w:tc>
          <w:tcPr>
            <w:tcW w:w="2330" w:type="pct"/>
          </w:tcPr>
          <w:p w:rsidR="00106774" w:rsidRPr="009021BE" w:rsidRDefault="00106774" w:rsidP="00106774">
            <w:pPr>
              <w:jc w:val="both"/>
              <w:rPr>
                <w:sz w:val="20"/>
              </w:rPr>
            </w:pPr>
            <w:r w:rsidRPr="009021BE">
              <w:rPr>
                <w:sz w:val="20"/>
              </w:rPr>
              <w:t>Demande d’autorisation d’appel déposée</w:t>
            </w:r>
          </w:p>
          <w:p w:rsidR="00106774" w:rsidRPr="009021BE" w:rsidRDefault="00106774" w:rsidP="00106774">
            <w:pPr>
              <w:jc w:val="both"/>
              <w:rPr>
                <w:sz w:val="20"/>
              </w:rPr>
            </w:pPr>
          </w:p>
        </w:tc>
      </w:tr>
    </w:tbl>
    <w:p w:rsidR="00BC5022" w:rsidRDefault="00167F64" w:rsidP="006A0A32">
      <w:pPr>
        <w:jc w:val="both"/>
        <w:rPr>
          <w:sz w:val="20"/>
          <w:szCs w:val="20"/>
        </w:rPr>
      </w:pPr>
      <w:r>
        <w:rPr>
          <w:sz w:val="20"/>
          <w:szCs w:val="20"/>
        </w:rPr>
        <w:pict>
          <v:rect id="_x0000_i1038" style="width:2in;height:1pt" o:hrpct="0" o:hralign="center" o:hrstd="t" o:hrnoshade="t" o:hr="t" fillcolor="black" stroked="f"/>
        </w:pict>
      </w:r>
    </w:p>
    <w:p w:rsidR="00BC5022" w:rsidRDefault="00BC502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0A32" w:rsidRPr="009021BE" w:rsidTr="00DE47D4">
        <w:tc>
          <w:tcPr>
            <w:tcW w:w="543" w:type="pct"/>
          </w:tcPr>
          <w:p w:rsidR="006A0A32" w:rsidRPr="009021BE" w:rsidRDefault="006A0A32" w:rsidP="00DE47D4">
            <w:pPr>
              <w:jc w:val="both"/>
              <w:rPr>
                <w:sz w:val="20"/>
              </w:rPr>
            </w:pPr>
            <w:r w:rsidRPr="009021BE">
              <w:rPr>
                <w:rStyle w:val="SCCFileNumberChar"/>
                <w:sz w:val="20"/>
                <w:szCs w:val="20"/>
              </w:rPr>
              <w:t>37640</w:t>
            </w:r>
          </w:p>
        </w:tc>
        <w:tc>
          <w:tcPr>
            <w:tcW w:w="4457" w:type="pct"/>
          </w:tcPr>
          <w:p w:rsidR="006A0A32" w:rsidRPr="009021BE" w:rsidRDefault="006A0A32" w:rsidP="00DE47D4">
            <w:pPr>
              <w:pStyle w:val="SCCLsocParty"/>
              <w:jc w:val="both"/>
              <w:rPr>
                <w:b/>
                <w:sz w:val="20"/>
                <w:szCs w:val="20"/>
                <w:lang w:val="en-US"/>
              </w:rPr>
            </w:pPr>
            <w:r w:rsidRPr="009021BE">
              <w:rPr>
                <w:b/>
                <w:sz w:val="20"/>
                <w:szCs w:val="20"/>
                <w:lang w:val="en-US"/>
              </w:rPr>
              <w:t>St. Albert Housing Society and Big Point Developments Inc. v. City of St. Albert Composite Assessment Review Board and City of St. Albert</w:t>
            </w:r>
          </w:p>
          <w:p w:rsidR="006A0A32" w:rsidRPr="009021BE" w:rsidRDefault="006A0A32" w:rsidP="00DE47D4">
            <w:pPr>
              <w:jc w:val="both"/>
              <w:rPr>
                <w:sz w:val="20"/>
              </w:rPr>
            </w:pPr>
            <w:r w:rsidRPr="009021BE">
              <w:rPr>
                <w:sz w:val="20"/>
              </w:rPr>
              <w:t>(Alta.) (Civil) (By Leave)</w:t>
            </w:r>
          </w:p>
        </w:tc>
      </w:tr>
      <w:tr w:rsidR="003C4DBD" w:rsidRPr="009021BE" w:rsidTr="00DE47D4">
        <w:tc>
          <w:tcPr>
            <w:tcW w:w="543" w:type="pct"/>
          </w:tcPr>
          <w:p w:rsidR="003C4DBD" w:rsidRPr="00AE0F22" w:rsidRDefault="003C4DBD" w:rsidP="003C4DBD">
            <w:pPr>
              <w:jc w:val="both"/>
              <w:rPr>
                <w:rStyle w:val="SCCFileNumberChar"/>
                <w:b w:val="0"/>
                <w:sz w:val="20"/>
                <w:szCs w:val="20"/>
              </w:rPr>
            </w:pPr>
            <w:r w:rsidRPr="00AE0F22">
              <w:rPr>
                <w:rStyle w:val="SCCFileNumberChar"/>
                <w:b w:val="0"/>
                <w:sz w:val="20"/>
                <w:szCs w:val="20"/>
              </w:rPr>
              <w:t xml:space="preserve">Coram: </w:t>
            </w:r>
          </w:p>
        </w:tc>
        <w:tc>
          <w:tcPr>
            <w:tcW w:w="4457" w:type="pct"/>
          </w:tcPr>
          <w:p w:rsidR="003C4DBD" w:rsidRPr="00AE0F22" w:rsidRDefault="003C4DBD" w:rsidP="003C4DBD">
            <w:pPr>
              <w:rPr>
                <w:rFonts w:eastAsia="Calibri" w:cs="Times New Roman"/>
                <w:sz w:val="20"/>
                <w:szCs w:val="20"/>
                <w:u w:val="single"/>
              </w:rPr>
            </w:pPr>
            <w:r w:rsidRPr="00AE0F22">
              <w:rPr>
                <w:rFonts w:eastAsia="Calibri" w:cs="Times New Roman"/>
                <w:sz w:val="20"/>
                <w:szCs w:val="20"/>
                <w:u w:val="single"/>
              </w:rPr>
              <w:t>Wagner C.J. and Abella, Moldaver, Karakatsanis, Gascon, Côté, Brown, Rowe and Martin JJ.</w:t>
            </w:r>
          </w:p>
          <w:p w:rsidR="003C4DBD" w:rsidRPr="00AE0F22" w:rsidRDefault="003C4DBD" w:rsidP="003C4DBD"/>
        </w:tc>
      </w:tr>
      <w:tr w:rsidR="003C4DBD" w:rsidRPr="009021BE" w:rsidTr="003C4DBD">
        <w:tc>
          <w:tcPr>
            <w:tcW w:w="5000" w:type="pct"/>
            <w:gridSpan w:val="2"/>
          </w:tcPr>
          <w:p w:rsidR="003C4DBD" w:rsidRPr="008B057E" w:rsidRDefault="003C4DBD" w:rsidP="003C4DBD">
            <w:pPr>
              <w:pStyle w:val="SCCLsocParty"/>
              <w:jc w:val="both"/>
              <w:rPr>
                <w:b/>
                <w:sz w:val="20"/>
                <w:szCs w:val="20"/>
                <w:lang w:val="en-US"/>
              </w:rPr>
            </w:pPr>
            <w:r w:rsidRPr="008B057E">
              <w:rPr>
                <w:sz w:val="20"/>
                <w:lang w:val="en-US"/>
              </w:rPr>
              <w:t>The application for leave to appeal from the judgment of the Court of Appeal of Alberta (Edmonton), Number 1603-0125-AC, 2017 ABCA 129, dated May 1, 2017, is dismissed with costs to the respondent, City of St. Albert.</w:t>
            </w:r>
          </w:p>
        </w:tc>
      </w:tr>
      <w:tr w:rsidR="003C4DBD" w:rsidRPr="009021BE" w:rsidTr="00DE47D4">
        <w:tc>
          <w:tcPr>
            <w:tcW w:w="5000" w:type="pct"/>
            <w:gridSpan w:val="2"/>
          </w:tcPr>
          <w:p w:rsidR="00503A09" w:rsidRDefault="003C4DBD" w:rsidP="00503A09">
            <w:pPr>
              <w:jc w:val="both"/>
              <w:rPr>
                <w:sz w:val="20"/>
                <w:lang w:val="en"/>
              </w:rPr>
            </w:pPr>
            <w:r w:rsidRPr="009021BE">
              <w:rPr>
                <w:sz w:val="20"/>
              </w:rPr>
              <w:t xml:space="preserve">Administrative law — Boards and tribunals — City of St. Alberta Composite Assessment Review Board — Judicial review — Standard of review — Court of Appeal affirming tax assessment decisions of Review Board — Whether decisions and reasons of Review Board, affirming City’s approach to valuing an affordable housing complex, on the basis of imputed fair market rents, rather than below market rents set by Province, satisfies judicial review standard of reasonableness — </w:t>
            </w:r>
            <w:hyperlink r:id="rId25" w:history="1">
              <w:r w:rsidRPr="009021BE">
                <w:rPr>
                  <w:i/>
                  <w:iCs/>
                  <w:sz w:val="20"/>
                  <w:lang w:val="en"/>
                </w:rPr>
                <w:t>Municipal Government Act</w:t>
              </w:r>
              <w:r w:rsidRPr="009021BE">
                <w:rPr>
                  <w:sz w:val="20"/>
                  <w:lang w:val="en"/>
                </w:rPr>
                <w:t>, R.S.A. 2000, c. M-26</w:t>
              </w:r>
            </w:hyperlink>
            <w:r w:rsidRPr="009021BE">
              <w:rPr>
                <w:sz w:val="20"/>
                <w:lang w:val="en"/>
              </w:rPr>
              <w:t xml:space="preserve"> — </w:t>
            </w:r>
            <w:hyperlink r:id="rId26" w:history="1">
              <w:r w:rsidRPr="009021BE">
                <w:rPr>
                  <w:i/>
                  <w:iCs/>
                  <w:sz w:val="20"/>
                  <w:lang w:val="en"/>
                </w:rPr>
                <w:t>Matters Relating to Assessment and Taxation Regulation</w:t>
              </w:r>
              <w:r w:rsidRPr="009021BE">
                <w:rPr>
                  <w:sz w:val="20"/>
                  <w:lang w:val="en"/>
                </w:rPr>
                <w:t>,</w:t>
              </w:r>
              <w:r w:rsidRPr="009021BE">
                <w:rPr>
                  <w:b/>
                  <w:bCs/>
                  <w:i/>
                  <w:iCs/>
                  <w:sz w:val="20"/>
                  <w:lang w:val="en"/>
                </w:rPr>
                <w:t xml:space="preserve"> </w:t>
              </w:r>
              <w:r w:rsidRPr="009021BE">
                <w:rPr>
                  <w:sz w:val="20"/>
                  <w:lang w:val="en"/>
                </w:rPr>
                <w:t>Alta Reg 220/2004</w:t>
              </w:r>
            </w:hyperlink>
            <w:r w:rsidRPr="009021BE">
              <w:rPr>
                <w:sz w:val="20"/>
                <w:lang w:val="en"/>
              </w:rPr>
              <w:t>. </w:t>
            </w:r>
          </w:p>
          <w:p w:rsidR="00503A09" w:rsidRPr="003C4DBD" w:rsidRDefault="00503A09" w:rsidP="00503A09">
            <w:pPr>
              <w:jc w:val="both"/>
              <w:rPr>
                <w:sz w:val="20"/>
                <w:lang w:val="en"/>
              </w:rPr>
            </w:pPr>
          </w:p>
        </w:tc>
      </w:tr>
      <w:tr w:rsidR="003C4DBD" w:rsidRPr="009021BE" w:rsidTr="00503A09">
        <w:trPr>
          <w:trHeight w:val="1656"/>
        </w:trPr>
        <w:tc>
          <w:tcPr>
            <w:tcW w:w="5000" w:type="pct"/>
            <w:gridSpan w:val="2"/>
          </w:tcPr>
          <w:p w:rsidR="003C4DBD" w:rsidRPr="00503A09" w:rsidRDefault="003C4DBD" w:rsidP="00503A09">
            <w:pPr>
              <w:spacing w:after="240"/>
              <w:jc w:val="both"/>
              <w:rPr>
                <w:sz w:val="20"/>
                <w:lang w:val="en" w:eastAsia="en-CA"/>
              </w:rPr>
            </w:pPr>
            <w:r w:rsidRPr="009021BE">
              <w:rPr>
                <w:sz w:val="20"/>
                <w:lang w:val="en"/>
              </w:rPr>
              <w:t>The City of St. Albert, the Province of Alberta, the St. Albert Housing Society and Big Point Developments Inc. entered into agreements to provide affordable housing in the City of St. Albert. Pursuant to these agreements and through a joint venture, the developer, Big Point, and the not-for-profit organization, the Housing Society, developed affordable housing units at 12 Nevada Place.</w:t>
            </w:r>
            <w:r w:rsidRPr="009021BE">
              <w:rPr>
                <w:sz w:val="20"/>
                <w:lang w:val="en" w:eastAsia="en-CA"/>
              </w:rPr>
              <w:t xml:space="preserve">The Housing Society and Big Point filed a complaint regarding the City’s tax assessments for the 2014 and 2015 taxation years for that property. </w:t>
            </w:r>
            <w:r w:rsidRPr="009021BE">
              <w:rPr>
                <w:sz w:val="20"/>
                <w:lang w:val="en"/>
              </w:rPr>
              <w:t xml:space="preserve">The Review Board confirmed the assessment for 2014 but reduced the assessment for 2015, as requested by the City, from $15,563,000 to $14,461,000. On judicial review, the chambers judge quashed the Review Board decisions and referred the assessments back to the Review Board for reconsideration. </w:t>
            </w:r>
            <w:r w:rsidRPr="009021BE">
              <w:rPr>
                <w:sz w:val="20"/>
                <w:lang w:val="en" w:eastAsia="en-CA"/>
              </w:rPr>
              <w:t>The Court of Appeal allowed the appeal and reinstate</w:t>
            </w:r>
            <w:r w:rsidR="00503A09">
              <w:rPr>
                <w:sz w:val="20"/>
                <w:lang w:val="en" w:eastAsia="en-CA"/>
              </w:rPr>
              <w:t>d the Review Board’s decisions.</w:t>
            </w:r>
          </w:p>
        </w:tc>
      </w:tr>
    </w:tbl>
    <w:p w:rsidR="00BD4227" w:rsidRDefault="00BD4227">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C4DBD" w:rsidRPr="009021BE" w:rsidTr="00DE47D4">
        <w:tc>
          <w:tcPr>
            <w:tcW w:w="2427" w:type="pct"/>
          </w:tcPr>
          <w:p w:rsidR="003C4DBD" w:rsidRPr="009021BE" w:rsidRDefault="003C4DBD" w:rsidP="003C4DBD">
            <w:pPr>
              <w:jc w:val="both"/>
              <w:rPr>
                <w:sz w:val="20"/>
              </w:rPr>
            </w:pPr>
            <w:r w:rsidRPr="009021BE">
              <w:rPr>
                <w:sz w:val="20"/>
              </w:rPr>
              <w:t>December 24, 2014</w:t>
            </w:r>
          </w:p>
          <w:p w:rsidR="003C4DBD" w:rsidRPr="009021BE" w:rsidRDefault="003C4DBD" w:rsidP="003C4DBD">
            <w:pPr>
              <w:jc w:val="both"/>
              <w:rPr>
                <w:sz w:val="20"/>
              </w:rPr>
            </w:pPr>
            <w:r w:rsidRPr="009021BE">
              <w:rPr>
                <w:sz w:val="20"/>
              </w:rPr>
              <w:t>St. Albert Composite Assessment Review Board</w:t>
            </w:r>
          </w:p>
          <w:p w:rsidR="003C4DBD" w:rsidRPr="009021BE" w:rsidRDefault="003C4DBD" w:rsidP="003C4DBD">
            <w:pPr>
              <w:jc w:val="both"/>
              <w:rPr>
                <w:sz w:val="20"/>
              </w:rPr>
            </w:pPr>
            <w:r w:rsidRPr="009021BE">
              <w:rPr>
                <w:sz w:val="20"/>
              </w:rPr>
              <w:t>(Duxbury, C., Presiding Officer)</w:t>
            </w:r>
          </w:p>
          <w:p w:rsidR="003C4DBD" w:rsidRPr="009021BE" w:rsidRDefault="003C4DBD" w:rsidP="003C4DBD">
            <w:pPr>
              <w:jc w:val="both"/>
              <w:rPr>
                <w:sz w:val="20"/>
              </w:rPr>
            </w:pPr>
          </w:p>
        </w:tc>
        <w:tc>
          <w:tcPr>
            <w:tcW w:w="243" w:type="pct"/>
          </w:tcPr>
          <w:p w:rsidR="003C4DBD" w:rsidRPr="009021BE" w:rsidRDefault="003C4DBD" w:rsidP="003C4DBD">
            <w:pPr>
              <w:jc w:val="both"/>
              <w:rPr>
                <w:sz w:val="20"/>
              </w:rPr>
            </w:pPr>
          </w:p>
        </w:tc>
        <w:tc>
          <w:tcPr>
            <w:tcW w:w="2330" w:type="pct"/>
          </w:tcPr>
          <w:p w:rsidR="003C4DBD" w:rsidRPr="009021BE" w:rsidRDefault="003C4DBD" w:rsidP="003C4DBD">
            <w:pPr>
              <w:jc w:val="both"/>
              <w:rPr>
                <w:sz w:val="20"/>
              </w:rPr>
            </w:pPr>
            <w:r w:rsidRPr="009021BE">
              <w:rPr>
                <w:sz w:val="20"/>
              </w:rPr>
              <w:t>Review Board confirmed the 2014 assessment of $13,631,000.</w:t>
            </w:r>
          </w:p>
        </w:tc>
      </w:tr>
      <w:tr w:rsidR="003C4DBD" w:rsidRPr="009021BE" w:rsidTr="00DE47D4">
        <w:tc>
          <w:tcPr>
            <w:tcW w:w="2427" w:type="pct"/>
          </w:tcPr>
          <w:p w:rsidR="003C4DBD" w:rsidRPr="009021BE" w:rsidRDefault="003C4DBD" w:rsidP="003C4DBD">
            <w:pPr>
              <w:jc w:val="both"/>
              <w:rPr>
                <w:sz w:val="20"/>
              </w:rPr>
            </w:pPr>
            <w:r w:rsidRPr="009021BE">
              <w:rPr>
                <w:sz w:val="20"/>
              </w:rPr>
              <w:t>November 5, 2015</w:t>
            </w:r>
          </w:p>
          <w:p w:rsidR="003C4DBD" w:rsidRPr="009021BE" w:rsidRDefault="003C4DBD" w:rsidP="003C4DBD">
            <w:pPr>
              <w:jc w:val="both"/>
              <w:rPr>
                <w:sz w:val="20"/>
              </w:rPr>
            </w:pPr>
            <w:r w:rsidRPr="009021BE">
              <w:rPr>
                <w:sz w:val="20"/>
              </w:rPr>
              <w:t>St. Albert Composite Assessment Review Board</w:t>
            </w:r>
          </w:p>
          <w:p w:rsidR="003C4DBD" w:rsidRPr="009021BE" w:rsidRDefault="003C4DBD" w:rsidP="003C4DBD">
            <w:pPr>
              <w:jc w:val="both"/>
              <w:rPr>
                <w:sz w:val="20"/>
              </w:rPr>
            </w:pPr>
            <w:r w:rsidRPr="009021BE">
              <w:rPr>
                <w:sz w:val="20"/>
              </w:rPr>
              <w:t>(Hagemann, P., Presiding Officer)</w:t>
            </w:r>
          </w:p>
          <w:p w:rsidR="003C4DBD" w:rsidRPr="009021BE" w:rsidRDefault="003C4DBD" w:rsidP="003C4DBD">
            <w:pPr>
              <w:jc w:val="both"/>
              <w:rPr>
                <w:sz w:val="20"/>
              </w:rPr>
            </w:pPr>
          </w:p>
        </w:tc>
        <w:tc>
          <w:tcPr>
            <w:tcW w:w="243" w:type="pct"/>
          </w:tcPr>
          <w:p w:rsidR="003C4DBD" w:rsidRPr="009021BE" w:rsidRDefault="003C4DBD" w:rsidP="003C4DBD">
            <w:pPr>
              <w:jc w:val="both"/>
              <w:rPr>
                <w:sz w:val="20"/>
              </w:rPr>
            </w:pPr>
          </w:p>
        </w:tc>
        <w:tc>
          <w:tcPr>
            <w:tcW w:w="2330" w:type="pct"/>
          </w:tcPr>
          <w:p w:rsidR="003C4DBD" w:rsidRPr="009021BE" w:rsidRDefault="003C4DBD" w:rsidP="003C4DBD">
            <w:pPr>
              <w:jc w:val="both"/>
              <w:rPr>
                <w:sz w:val="20"/>
              </w:rPr>
            </w:pPr>
            <w:r w:rsidRPr="009021BE">
              <w:rPr>
                <w:sz w:val="20"/>
              </w:rPr>
              <w:t>Review Board reduced the 2015 tax assessment from $15,563,000 to $14,610,000.</w:t>
            </w:r>
          </w:p>
        </w:tc>
      </w:tr>
      <w:tr w:rsidR="003C4DBD" w:rsidRPr="009021BE" w:rsidTr="00DE47D4">
        <w:tc>
          <w:tcPr>
            <w:tcW w:w="2427" w:type="pct"/>
          </w:tcPr>
          <w:p w:rsidR="003C4DBD" w:rsidRPr="009021BE" w:rsidRDefault="003C4DBD" w:rsidP="003C4DBD">
            <w:pPr>
              <w:jc w:val="both"/>
              <w:rPr>
                <w:sz w:val="20"/>
              </w:rPr>
            </w:pPr>
            <w:r w:rsidRPr="009021BE">
              <w:rPr>
                <w:sz w:val="20"/>
              </w:rPr>
              <w:t>April 7, 2016</w:t>
            </w:r>
          </w:p>
          <w:p w:rsidR="003C4DBD" w:rsidRPr="009021BE" w:rsidRDefault="003C4DBD" w:rsidP="003C4DBD">
            <w:pPr>
              <w:jc w:val="both"/>
              <w:rPr>
                <w:sz w:val="20"/>
              </w:rPr>
            </w:pPr>
            <w:r w:rsidRPr="009021BE">
              <w:rPr>
                <w:sz w:val="20"/>
              </w:rPr>
              <w:t>Court of Queen’s Bench of Alberta</w:t>
            </w:r>
          </w:p>
          <w:p w:rsidR="003C4DBD" w:rsidRPr="009021BE" w:rsidRDefault="003C4DBD" w:rsidP="003C4DBD">
            <w:pPr>
              <w:jc w:val="both"/>
              <w:rPr>
                <w:sz w:val="20"/>
              </w:rPr>
            </w:pPr>
            <w:r w:rsidRPr="009021BE">
              <w:rPr>
                <w:sz w:val="20"/>
              </w:rPr>
              <w:t>(Shelley J.)</w:t>
            </w:r>
          </w:p>
          <w:p w:rsidR="003C4DBD" w:rsidRPr="009021BE" w:rsidRDefault="00167F64" w:rsidP="003C4DBD">
            <w:pPr>
              <w:jc w:val="both"/>
              <w:rPr>
                <w:sz w:val="20"/>
              </w:rPr>
            </w:pPr>
            <w:hyperlink r:id="rId27" w:history="1">
              <w:r w:rsidR="003C4DBD" w:rsidRPr="009021BE">
                <w:rPr>
                  <w:rStyle w:val="Hyperlink"/>
                  <w:sz w:val="20"/>
                </w:rPr>
                <w:t>2016 ABQB 203</w:t>
              </w:r>
            </w:hyperlink>
          </w:p>
          <w:p w:rsidR="003C4DBD" w:rsidRPr="009021BE" w:rsidRDefault="003C4DBD" w:rsidP="003C4DBD">
            <w:pPr>
              <w:jc w:val="both"/>
              <w:rPr>
                <w:sz w:val="20"/>
              </w:rPr>
            </w:pPr>
          </w:p>
        </w:tc>
        <w:tc>
          <w:tcPr>
            <w:tcW w:w="243" w:type="pct"/>
          </w:tcPr>
          <w:p w:rsidR="003C4DBD" w:rsidRPr="009021BE" w:rsidRDefault="003C4DBD" w:rsidP="003C4DBD">
            <w:pPr>
              <w:jc w:val="both"/>
              <w:rPr>
                <w:sz w:val="20"/>
              </w:rPr>
            </w:pPr>
          </w:p>
        </w:tc>
        <w:tc>
          <w:tcPr>
            <w:tcW w:w="2330" w:type="pct"/>
          </w:tcPr>
          <w:p w:rsidR="003C4DBD" w:rsidRPr="009021BE" w:rsidRDefault="003C4DBD" w:rsidP="003C4DBD">
            <w:pPr>
              <w:jc w:val="both"/>
              <w:rPr>
                <w:sz w:val="20"/>
              </w:rPr>
            </w:pPr>
            <w:r w:rsidRPr="009021BE">
              <w:rPr>
                <w:sz w:val="20"/>
              </w:rPr>
              <w:t xml:space="preserve">Applications for judicial review of Composite Assessment Review Board decisions granted; decisions for 2014 and 2015 assessment years quashed and matter referred back to Review Board for reconsideration. </w:t>
            </w:r>
          </w:p>
          <w:p w:rsidR="003C4DBD" w:rsidRPr="009021BE" w:rsidRDefault="003C4DBD" w:rsidP="003C4DBD">
            <w:pPr>
              <w:jc w:val="both"/>
              <w:rPr>
                <w:sz w:val="20"/>
              </w:rPr>
            </w:pPr>
          </w:p>
        </w:tc>
      </w:tr>
      <w:tr w:rsidR="003C4DBD" w:rsidRPr="009021BE" w:rsidTr="00DE47D4">
        <w:tc>
          <w:tcPr>
            <w:tcW w:w="2427" w:type="pct"/>
          </w:tcPr>
          <w:p w:rsidR="003C4DBD" w:rsidRPr="009021BE" w:rsidRDefault="003C4DBD" w:rsidP="003C4DBD">
            <w:pPr>
              <w:jc w:val="both"/>
              <w:rPr>
                <w:sz w:val="20"/>
              </w:rPr>
            </w:pPr>
            <w:r w:rsidRPr="009021BE">
              <w:rPr>
                <w:sz w:val="20"/>
              </w:rPr>
              <w:t>May 1, 2017</w:t>
            </w:r>
          </w:p>
          <w:p w:rsidR="003C4DBD" w:rsidRPr="009021BE" w:rsidRDefault="003C4DBD" w:rsidP="003C4DBD">
            <w:pPr>
              <w:jc w:val="both"/>
              <w:rPr>
                <w:sz w:val="20"/>
              </w:rPr>
            </w:pPr>
            <w:r w:rsidRPr="009021BE">
              <w:rPr>
                <w:sz w:val="20"/>
              </w:rPr>
              <w:t>Court of Appeal of Alberta (Edmonton)</w:t>
            </w:r>
          </w:p>
          <w:p w:rsidR="003C4DBD" w:rsidRPr="009021BE" w:rsidRDefault="003C4DBD" w:rsidP="003C4DBD">
            <w:pPr>
              <w:jc w:val="both"/>
              <w:rPr>
                <w:sz w:val="20"/>
              </w:rPr>
            </w:pPr>
            <w:r w:rsidRPr="009021BE">
              <w:rPr>
                <w:sz w:val="20"/>
              </w:rPr>
              <w:t xml:space="preserve">(Fraser C.J. and Rowbotham and Greckol </w:t>
            </w:r>
          </w:p>
          <w:p w:rsidR="003C4DBD" w:rsidRPr="009021BE" w:rsidRDefault="003C4DBD" w:rsidP="003C4DBD">
            <w:pPr>
              <w:jc w:val="both"/>
              <w:rPr>
                <w:sz w:val="20"/>
              </w:rPr>
            </w:pPr>
            <w:r w:rsidRPr="009021BE">
              <w:rPr>
                <w:sz w:val="20"/>
              </w:rPr>
              <w:t>JJ.A.)</w:t>
            </w:r>
          </w:p>
          <w:p w:rsidR="003C4DBD" w:rsidRPr="009021BE" w:rsidRDefault="00167F64" w:rsidP="003C4DBD">
            <w:pPr>
              <w:jc w:val="both"/>
              <w:rPr>
                <w:sz w:val="20"/>
              </w:rPr>
            </w:pPr>
            <w:hyperlink r:id="rId28" w:history="1">
              <w:r w:rsidR="003C4DBD" w:rsidRPr="009021BE">
                <w:rPr>
                  <w:rStyle w:val="Hyperlink"/>
                  <w:sz w:val="20"/>
                </w:rPr>
                <w:t>2017 ABCA 129</w:t>
              </w:r>
            </w:hyperlink>
          </w:p>
          <w:p w:rsidR="003C4DBD" w:rsidRPr="009021BE" w:rsidRDefault="003C4DBD" w:rsidP="003C4DBD">
            <w:pPr>
              <w:jc w:val="both"/>
              <w:rPr>
                <w:sz w:val="20"/>
              </w:rPr>
            </w:pPr>
            <w:r w:rsidRPr="009021BE">
              <w:rPr>
                <w:sz w:val="20"/>
              </w:rPr>
              <w:t>File No.: 1603-0125-AC</w:t>
            </w:r>
          </w:p>
          <w:p w:rsidR="003C4DBD" w:rsidRPr="009021BE" w:rsidRDefault="003C4DBD" w:rsidP="003C4DBD">
            <w:pPr>
              <w:jc w:val="both"/>
              <w:rPr>
                <w:sz w:val="20"/>
              </w:rPr>
            </w:pPr>
          </w:p>
        </w:tc>
        <w:tc>
          <w:tcPr>
            <w:tcW w:w="243" w:type="pct"/>
          </w:tcPr>
          <w:p w:rsidR="003C4DBD" w:rsidRPr="009021BE" w:rsidRDefault="003C4DBD" w:rsidP="003C4DBD">
            <w:pPr>
              <w:jc w:val="both"/>
              <w:rPr>
                <w:sz w:val="20"/>
              </w:rPr>
            </w:pPr>
          </w:p>
        </w:tc>
        <w:tc>
          <w:tcPr>
            <w:tcW w:w="2330" w:type="pct"/>
          </w:tcPr>
          <w:p w:rsidR="003C4DBD" w:rsidRPr="009021BE" w:rsidRDefault="003C4DBD" w:rsidP="003C4DBD">
            <w:pPr>
              <w:jc w:val="both"/>
              <w:rPr>
                <w:sz w:val="20"/>
              </w:rPr>
            </w:pPr>
            <w:r w:rsidRPr="009021BE">
              <w:rPr>
                <w:sz w:val="20"/>
              </w:rPr>
              <w:t>Appeal allowed; Composite Assessment Review Board decisions reinstated.</w:t>
            </w:r>
          </w:p>
        </w:tc>
      </w:tr>
      <w:tr w:rsidR="003C4DBD" w:rsidRPr="009021BE" w:rsidTr="00DE47D4">
        <w:tc>
          <w:tcPr>
            <w:tcW w:w="2427" w:type="pct"/>
          </w:tcPr>
          <w:p w:rsidR="003C4DBD" w:rsidRPr="009021BE" w:rsidRDefault="003C4DBD" w:rsidP="003C4DBD">
            <w:pPr>
              <w:jc w:val="both"/>
              <w:rPr>
                <w:sz w:val="20"/>
              </w:rPr>
            </w:pPr>
            <w:r w:rsidRPr="009021BE">
              <w:rPr>
                <w:sz w:val="20"/>
              </w:rPr>
              <w:t>June 29, 2017</w:t>
            </w:r>
          </w:p>
          <w:p w:rsidR="003C4DBD" w:rsidRPr="009021BE" w:rsidRDefault="003C4DBD" w:rsidP="003C4DBD">
            <w:pPr>
              <w:jc w:val="both"/>
              <w:rPr>
                <w:sz w:val="20"/>
              </w:rPr>
            </w:pPr>
            <w:r w:rsidRPr="009021BE">
              <w:rPr>
                <w:sz w:val="20"/>
              </w:rPr>
              <w:t>Supreme Court of Canada</w:t>
            </w:r>
          </w:p>
        </w:tc>
        <w:tc>
          <w:tcPr>
            <w:tcW w:w="243" w:type="pct"/>
          </w:tcPr>
          <w:p w:rsidR="003C4DBD" w:rsidRPr="009021BE" w:rsidRDefault="003C4DBD" w:rsidP="003C4DBD">
            <w:pPr>
              <w:jc w:val="both"/>
              <w:rPr>
                <w:sz w:val="20"/>
              </w:rPr>
            </w:pPr>
          </w:p>
        </w:tc>
        <w:tc>
          <w:tcPr>
            <w:tcW w:w="2330" w:type="pct"/>
          </w:tcPr>
          <w:p w:rsidR="003C4DBD" w:rsidRPr="009021BE" w:rsidRDefault="003C4DBD" w:rsidP="003C4DBD">
            <w:pPr>
              <w:jc w:val="both"/>
              <w:rPr>
                <w:sz w:val="20"/>
              </w:rPr>
            </w:pPr>
            <w:r w:rsidRPr="009021BE">
              <w:rPr>
                <w:sz w:val="20"/>
              </w:rPr>
              <w:t>Application for leave to appeal filed.</w:t>
            </w:r>
          </w:p>
          <w:p w:rsidR="003C4DBD" w:rsidRPr="009021BE" w:rsidRDefault="003C4DBD" w:rsidP="003C4DBD">
            <w:pPr>
              <w:jc w:val="both"/>
              <w:rPr>
                <w:sz w:val="20"/>
              </w:rPr>
            </w:pPr>
          </w:p>
        </w:tc>
      </w:tr>
    </w:tbl>
    <w:p w:rsidR="006A0A32" w:rsidRDefault="00167F64" w:rsidP="006A0A32">
      <w:pPr>
        <w:jc w:val="both"/>
        <w:rPr>
          <w:sz w:val="20"/>
        </w:rPr>
      </w:pPr>
      <w:r>
        <w:rPr>
          <w:sz w:val="20"/>
          <w:szCs w:val="20"/>
        </w:rPr>
        <w:pict>
          <v:rect id="_x0000_i1039" style="width:2in;height:1pt" o:hrpct="0" o:hralign="center" o:hrstd="t" o:hrnoshade="t" o:hr="t" fillcolor="black" stroked="f"/>
        </w:pict>
      </w:r>
    </w:p>
    <w:p w:rsidR="00BC5022" w:rsidRDefault="00BC5022">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0A32" w:rsidRPr="009021BE" w:rsidTr="00DE47D4">
        <w:tc>
          <w:tcPr>
            <w:tcW w:w="543" w:type="pct"/>
          </w:tcPr>
          <w:p w:rsidR="006A0A32" w:rsidRPr="009021BE" w:rsidRDefault="006A0A32" w:rsidP="00DE47D4">
            <w:pPr>
              <w:jc w:val="both"/>
              <w:rPr>
                <w:sz w:val="20"/>
                <w:lang w:val="fr-CA"/>
              </w:rPr>
            </w:pPr>
            <w:r w:rsidRPr="009021BE">
              <w:rPr>
                <w:rStyle w:val="SCCFileNumberChar"/>
                <w:sz w:val="20"/>
                <w:szCs w:val="20"/>
                <w:lang w:val="fr-CA"/>
              </w:rPr>
              <w:t>37640</w:t>
            </w:r>
          </w:p>
        </w:tc>
        <w:tc>
          <w:tcPr>
            <w:tcW w:w="4457" w:type="pct"/>
          </w:tcPr>
          <w:p w:rsidR="006A0A32" w:rsidRPr="00BF319D" w:rsidRDefault="006A0A32" w:rsidP="00DE47D4">
            <w:pPr>
              <w:pStyle w:val="SCCLsocParty"/>
              <w:jc w:val="both"/>
              <w:rPr>
                <w:b/>
                <w:sz w:val="20"/>
                <w:szCs w:val="20"/>
                <w:lang w:val="en-US"/>
              </w:rPr>
            </w:pPr>
            <w:r w:rsidRPr="00BF319D">
              <w:rPr>
                <w:b/>
                <w:sz w:val="20"/>
                <w:szCs w:val="20"/>
                <w:lang w:val="en-US"/>
              </w:rPr>
              <w:t>St. Albert Housing Society et Big Point Developments Inc. c. City of St. Albert Composite Assessment Review Board et City of St. Albert</w:t>
            </w:r>
          </w:p>
          <w:p w:rsidR="006A0A32" w:rsidRPr="009021BE" w:rsidRDefault="006A0A32" w:rsidP="00DE47D4">
            <w:pPr>
              <w:jc w:val="both"/>
              <w:rPr>
                <w:sz w:val="20"/>
                <w:lang w:val="fr-CA"/>
              </w:rPr>
            </w:pPr>
            <w:r w:rsidRPr="009021BE">
              <w:rPr>
                <w:sz w:val="20"/>
                <w:lang w:val="fr-CA"/>
              </w:rPr>
              <w:t>(Alb.) (Civile) (Sur autorisation)</w:t>
            </w:r>
          </w:p>
        </w:tc>
      </w:tr>
      <w:tr w:rsidR="00503A09" w:rsidRPr="003A01D0" w:rsidTr="00DE47D4">
        <w:tc>
          <w:tcPr>
            <w:tcW w:w="543" w:type="pct"/>
          </w:tcPr>
          <w:p w:rsidR="00503A09" w:rsidRPr="00D32F6F" w:rsidRDefault="00503A09" w:rsidP="00503A09">
            <w:pPr>
              <w:jc w:val="both"/>
              <w:rPr>
                <w:rStyle w:val="SCCFileNumberChar"/>
                <w:b w:val="0"/>
                <w:sz w:val="20"/>
                <w:szCs w:val="20"/>
              </w:rPr>
            </w:pPr>
            <w:r w:rsidRPr="00D32F6F">
              <w:rPr>
                <w:rStyle w:val="SCCFileNumberChar"/>
                <w:b w:val="0"/>
                <w:sz w:val="20"/>
                <w:szCs w:val="20"/>
              </w:rPr>
              <w:t xml:space="preserve">Coram: </w:t>
            </w:r>
          </w:p>
        </w:tc>
        <w:tc>
          <w:tcPr>
            <w:tcW w:w="4457" w:type="pct"/>
          </w:tcPr>
          <w:p w:rsidR="00503A09" w:rsidRPr="00D32F6F" w:rsidRDefault="00503A09" w:rsidP="00503A09">
            <w:pPr>
              <w:rPr>
                <w:rFonts w:eastAsia="Calibri" w:cs="Times New Roman"/>
                <w:sz w:val="20"/>
                <w:szCs w:val="20"/>
                <w:u w:val="single"/>
                <w:lang w:val="fr-CA"/>
              </w:rPr>
            </w:pPr>
            <w:r w:rsidRPr="00D32F6F">
              <w:rPr>
                <w:rFonts w:eastAsia="Calibri" w:cs="Times New Roman"/>
                <w:sz w:val="20"/>
                <w:szCs w:val="20"/>
                <w:u w:val="single"/>
                <w:lang w:val="fr-CA"/>
              </w:rPr>
              <w:t>Le juge en chef Wagner et les juges Abella, Moldaver, Karakatsanis, Gascon, Côté, Brown, Rowe et Martin</w:t>
            </w:r>
          </w:p>
          <w:p w:rsidR="00503A09" w:rsidRPr="00D32F6F" w:rsidRDefault="00503A09" w:rsidP="00503A09">
            <w:pPr>
              <w:rPr>
                <w:sz w:val="20"/>
                <w:szCs w:val="20"/>
                <w:lang w:val="fr-CA"/>
              </w:rPr>
            </w:pPr>
          </w:p>
        </w:tc>
      </w:tr>
      <w:tr w:rsidR="00503A09" w:rsidRPr="003A01D0" w:rsidTr="00503A09">
        <w:tc>
          <w:tcPr>
            <w:tcW w:w="5000" w:type="pct"/>
            <w:gridSpan w:val="2"/>
          </w:tcPr>
          <w:p w:rsidR="00503A09" w:rsidRPr="00503A09" w:rsidRDefault="00503A09" w:rsidP="00503A09">
            <w:pPr>
              <w:pStyle w:val="SCCLsocParty"/>
              <w:jc w:val="both"/>
              <w:rPr>
                <w:b/>
                <w:sz w:val="20"/>
                <w:szCs w:val="20"/>
              </w:rPr>
            </w:pPr>
            <w:r w:rsidRPr="00503A09">
              <w:rPr>
                <w:sz w:val="20"/>
              </w:rPr>
              <w:t xml:space="preserve">La demande d’autorisation d’appel de l’arrêt de la </w:t>
            </w:r>
            <w:r w:rsidRPr="00503A09">
              <w:rPr>
                <w:sz w:val="20"/>
                <w:lang w:val="fr-FR"/>
              </w:rPr>
              <w:t>Cour d’appel de l’Alberta (Edmonton)</w:t>
            </w:r>
            <w:r w:rsidRPr="00503A09">
              <w:rPr>
                <w:sz w:val="20"/>
              </w:rPr>
              <w:t xml:space="preserve">, numéro </w:t>
            </w:r>
            <w:r w:rsidRPr="00503A09">
              <w:rPr>
                <w:sz w:val="20"/>
                <w:lang w:val="fr-FR"/>
              </w:rPr>
              <w:t>1603-0125-AC, 2017 ABCA 129</w:t>
            </w:r>
            <w:r w:rsidRPr="00503A09">
              <w:rPr>
                <w:sz w:val="20"/>
              </w:rPr>
              <w:t xml:space="preserve">, daté du </w:t>
            </w:r>
            <w:r w:rsidRPr="00503A09">
              <w:rPr>
                <w:sz w:val="20"/>
                <w:lang w:val="fr-FR"/>
              </w:rPr>
              <w:t>1 mai 2017</w:t>
            </w:r>
            <w:r w:rsidRPr="00503A09">
              <w:rPr>
                <w:sz w:val="20"/>
              </w:rPr>
              <w:t>, est rejetée avec dépens en faveur de l’intimée, City of St. Albert.</w:t>
            </w:r>
          </w:p>
        </w:tc>
      </w:tr>
      <w:tr w:rsidR="00503A09" w:rsidRPr="009021BE" w:rsidTr="00DE47D4">
        <w:tc>
          <w:tcPr>
            <w:tcW w:w="5000" w:type="pct"/>
            <w:gridSpan w:val="2"/>
          </w:tcPr>
          <w:p w:rsidR="00503A09" w:rsidRDefault="00503A09" w:rsidP="00503A09">
            <w:pPr>
              <w:jc w:val="both"/>
              <w:rPr>
                <w:sz w:val="20"/>
              </w:rPr>
            </w:pPr>
            <w:r w:rsidRPr="009021BE">
              <w:rPr>
                <w:sz w:val="20"/>
                <w:lang w:val="fr-CA"/>
              </w:rPr>
              <w:t xml:space="preserve">Droit administratif — Organismes et tribunaux administratifs — City of St. Albert Composite Assessment Review Board — Contrôle judiciaire — Norme de contrôle — La Cour d’appel confirme les décisions de la commission de révision relatives à l’évaluation en matière de taxation — Les décisions et les motifs de la commission de révision, qui a confirmé la méthode employée par la municipalité pour l’évaluation d’un ensemble de logements abordables en fonction des loyers équivalents à la juste valeur marchande, plutôt qu’en fonction des loyers inférieurs au prix du marché fixés par la Province, satisfont-elles à la norme de contrôle judiciaire de la décision raisonnable? — </w:t>
            </w:r>
            <w:hyperlink r:id="rId29" w:history="1">
              <w:r w:rsidRPr="009021BE">
                <w:rPr>
                  <w:i/>
                  <w:iCs/>
                  <w:sz w:val="20"/>
                  <w:lang w:val="fr-CA"/>
                </w:rPr>
                <w:t>Municipal Government Act</w:t>
              </w:r>
              <w:r w:rsidRPr="009021BE">
                <w:rPr>
                  <w:sz w:val="20"/>
                  <w:lang w:val="fr-CA"/>
                </w:rPr>
                <w:t>, R.S.A. 2000, ch. </w:t>
              </w:r>
              <w:r w:rsidRPr="009021BE">
                <w:rPr>
                  <w:sz w:val="20"/>
                </w:rPr>
                <w:t>M-26</w:t>
              </w:r>
            </w:hyperlink>
            <w:r w:rsidRPr="009021BE">
              <w:rPr>
                <w:sz w:val="20"/>
              </w:rPr>
              <w:t xml:space="preserve"> — </w:t>
            </w:r>
            <w:hyperlink r:id="rId30" w:history="1">
              <w:r w:rsidRPr="009021BE">
                <w:rPr>
                  <w:i/>
                  <w:iCs/>
                  <w:sz w:val="20"/>
                </w:rPr>
                <w:t>Matters Relating to Assessment and Taxation Regulation</w:t>
              </w:r>
              <w:r w:rsidRPr="009021BE">
                <w:rPr>
                  <w:sz w:val="20"/>
                </w:rPr>
                <w:t>,</w:t>
              </w:r>
              <w:r w:rsidRPr="009021BE">
                <w:rPr>
                  <w:b/>
                  <w:bCs/>
                  <w:i/>
                  <w:iCs/>
                  <w:sz w:val="20"/>
                </w:rPr>
                <w:t xml:space="preserve"> </w:t>
              </w:r>
              <w:r w:rsidRPr="009021BE">
                <w:rPr>
                  <w:sz w:val="20"/>
                </w:rPr>
                <w:t>Alta Reg 220/2004</w:t>
              </w:r>
            </w:hyperlink>
            <w:r>
              <w:rPr>
                <w:sz w:val="20"/>
              </w:rPr>
              <w:t>. </w:t>
            </w:r>
          </w:p>
          <w:p w:rsidR="00503A09" w:rsidRPr="009021BE" w:rsidRDefault="00503A09" w:rsidP="00503A09">
            <w:pPr>
              <w:jc w:val="both"/>
              <w:rPr>
                <w:sz w:val="20"/>
              </w:rPr>
            </w:pPr>
          </w:p>
        </w:tc>
      </w:tr>
    </w:tbl>
    <w:p w:rsidR="00BD4227" w:rsidRDefault="00BD4227">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503A09" w:rsidRPr="003A01D0" w:rsidTr="00DE47D4">
        <w:tc>
          <w:tcPr>
            <w:tcW w:w="5000" w:type="pct"/>
            <w:gridSpan w:val="3"/>
          </w:tcPr>
          <w:p w:rsidR="00503A09" w:rsidRPr="009021BE" w:rsidRDefault="00503A09" w:rsidP="00503A09">
            <w:pPr>
              <w:spacing w:after="240"/>
              <w:jc w:val="both"/>
              <w:rPr>
                <w:sz w:val="20"/>
                <w:lang w:val="fr-CA"/>
              </w:rPr>
            </w:pPr>
            <w:r w:rsidRPr="009021BE">
              <w:rPr>
                <w:sz w:val="20"/>
                <w:lang w:val="fr-CA"/>
              </w:rPr>
              <w:t>La municipalité de St. Albert, la Province de l’Alberta, la St. Albert Housing Society et Big Point Developments Inc. ont conclu des ententes en vue de fournir des logements abordables dans la municipalité de St. Albert. En exécution de ces ententes et par l’entremise d’une coentreprise, le promoteur, Big Point, et l’organisme sans but lucratif, la Housing Society, ont aménagé des logements abordables au 12, Nevada Place.</w:t>
            </w:r>
          </w:p>
          <w:p w:rsidR="00503A09" w:rsidRPr="009021BE" w:rsidRDefault="00503A09" w:rsidP="00503A09">
            <w:pPr>
              <w:jc w:val="both"/>
              <w:rPr>
                <w:sz w:val="20"/>
                <w:lang w:val="fr-CA"/>
              </w:rPr>
            </w:pPr>
            <w:r w:rsidRPr="009021BE">
              <w:rPr>
                <w:sz w:val="20"/>
                <w:lang w:val="fr-CA" w:eastAsia="en-CA"/>
              </w:rPr>
              <w:t xml:space="preserve">La Housing Society et Big Point ont déposé une plainte relativement aux évaluations de la municipalité en matière de taxation  pour les années d’imposition 2014 et 2015 relativement à ces logements. </w:t>
            </w:r>
            <w:r w:rsidRPr="009021BE">
              <w:rPr>
                <w:sz w:val="20"/>
                <w:lang w:val="fr-CA"/>
              </w:rPr>
              <w:t xml:space="preserve">La commission de révision a confirmé l’évaluation pour 2014, mais a réduit l’évaluation pour 2015, comme l’a demandé la municipalité, de 15 563 000 $ à 14 461 000 $. Saisie d’une demande de contrôle judiciaire, la juge en cabinet a annulé les décisions de la commission de révision et a renvoyé les évaluations à la commission de révision pour réexamen. </w:t>
            </w:r>
            <w:r w:rsidRPr="009021BE">
              <w:rPr>
                <w:sz w:val="20"/>
                <w:lang w:val="fr-CA" w:eastAsia="en-CA"/>
              </w:rPr>
              <w:t>La Cour d’appel a accueilli l’appel et a rétabli les décisions de la commission de révision.</w:t>
            </w:r>
          </w:p>
        </w:tc>
      </w:tr>
      <w:tr w:rsidR="00503A09" w:rsidRPr="003A01D0" w:rsidTr="00DE47D4">
        <w:tc>
          <w:tcPr>
            <w:tcW w:w="2427" w:type="pct"/>
          </w:tcPr>
          <w:p w:rsidR="00503A09" w:rsidRPr="009021BE" w:rsidRDefault="00503A09" w:rsidP="00503A09">
            <w:pPr>
              <w:jc w:val="both"/>
              <w:rPr>
                <w:sz w:val="20"/>
                <w:lang w:val="fr-CA"/>
              </w:rPr>
            </w:pPr>
            <w:r w:rsidRPr="009021BE">
              <w:rPr>
                <w:sz w:val="20"/>
                <w:lang w:val="fr-CA"/>
              </w:rPr>
              <w:t>24 décembre 2014</w:t>
            </w:r>
          </w:p>
          <w:p w:rsidR="00503A09" w:rsidRPr="009021BE" w:rsidRDefault="00503A09" w:rsidP="00503A09">
            <w:pPr>
              <w:jc w:val="both"/>
              <w:rPr>
                <w:sz w:val="20"/>
                <w:lang w:val="fr-CA"/>
              </w:rPr>
            </w:pPr>
            <w:r w:rsidRPr="009021BE">
              <w:rPr>
                <w:sz w:val="20"/>
                <w:lang w:val="fr-CA"/>
              </w:rPr>
              <w:t>St. Albert Composite Assessment Review Board</w:t>
            </w:r>
          </w:p>
          <w:p w:rsidR="00503A09" w:rsidRPr="009021BE" w:rsidRDefault="00503A09" w:rsidP="00503A09">
            <w:pPr>
              <w:jc w:val="both"/>
              <w:rPr>
                <w:sz w:val="20"/>
                <w:lang w:val="fr-CA"/>
              </w:rPr>
            </w:pPr>
            <w:r w:rsidRPr="009021BE">
              <w:rPr>
                <w:sz w:val="20"/>
                <w:lang w:val="fr-CA"/>
              </w:rPr>
              <w:t>(Sous la présidence de C. Duxbury)</w:t>
            </w:r>
          </w:p>
          <w:p w:rsidR="00503A09" w:rsidRPr="009021BE" w:rsidRDefault="00503A09" w:rsidP="00503A09">
            <w:pPr>
              <w:jc w:val="both"/>
              <w:rPr>
                <w:sz w:val="20"/>
                <w:lang w:val="fr-CA"/>
              </w:rPr>
            </w:pPr>
          </w:p>
        </w:tc>
        <w:tc>
          <w:tcPr>
            <w:tcW w:w="243" w:type="pct"/>
          </w:tcPr>
          <w:p w:rsidR="00503A09" w:rsidRPr="009021BE" w:rsidRDefault="00503A09" w:rsidP="00503A09">
            <w:pPr>
              <w:jc w:val="both"/>
              <w:rPr>
                <w:sz w:val="20"/>
                <w:lang w:val="fr-CA"/>
              </w:rPr>
            </w:pPr>
          </w:p>
        </w:tc>
        <w:tc>
          <w:tcPr>
            <w:tcW w:w="2330" w:type="pct"/>
          </w:tcPr>
          <w:p w:rsidR="00503A09" w:rsidRPr="009021BE" w:rsidRDefault="00503A09" w:rsidP="00503A09">
            <w:pPr>
              <w:jc w:val="both"/>
              <w:rPr>
                <w:sz w:val="20"/>
                <w:lang w:val="fr-CA"/>
              </w:rPr>
            </w:pPr>
            <w:r w:rsidRPr="009021BE">
              <w:rPr>
                <w:sz w:val="20"/>
                <w:lang w:val="fr-CA"/>
              </w:rPr>
              <w:t>Confirmation de l’évaluation de 13 631 000 $ pour l’année 2014.</w:t>
            </w:r>
          </w:p>
        </w:tc>
      </w:tr>
      <w:tr w:rsidR="00503A09" w:rsidRPr="003A01D0" w:rsidTr="00DE47D4">
        <w:tc>
          <w:tcPr>
            <w:tcW w:w="2427" w:type="pct"/>
          </w:tcPr>
          <w:p w:rsidR="00503A09" w:rsidRPr="009021BE" w:rsidRDefault="00503A09" w:rsidP="00503A09">
            <w:pPr>
              <w:jc w:val="both"/>
              <w:rPr>
                <w:sz w:val="20"/>
              </w:rPr>
            </w:pPr>
            <w:r w:rsidRPr="009021BE">
              <w:rPr>
                <w:sz w:val="20"/>
              </w:rPr>
              <w:t>5 novembre 2015</w:t>
            </w:r>
          </w:p>
          <w:p w:rsidR="00503A09" w:rsidRPr="009021BE" w:rsidRDefault="00503A09" w:rsidP="00503A09">
            <w:pPr>
              <w:jc w:val="both"/>
              <w:rPr>
                <w:sz w:val="20"/>
              </w:rPr>
            </w:pPr>
            <w:r w:rsidRPr="009021BE">
              <w:rPr>
                <w:sz w:val="20"/>
              </w:rPr>
              <w:t>St. Albert Composite Assessment Review Board</w:t>
            </w:r>
          </w:p>
          <w:p w:rsidR="00503A09" w:rsidRPr="009021BE" w:rsidRDefault="00503A09" w:rsidP="00503A09">
            <w:pPr>
              <w:jc w:val="both"/>
              <w:rPr>
                <w:sz w:val="20"/>
                <w:lang w:val="fr-CA"/>
              </w:rPr>
            </w:pPr>
            <w:r w:rsidRPr="009021BE">
              <w:rPr>
                <w:sz w:val="20"/>
                <w:lang w:val="fr-CA"/>
              </w:rPr>
              <w:t>(Sous la présidence de P. Hagemann)</w:t>
            </w:r>
          </w:p>
          <w:p w:rsidR="00503A09" w:rsidRPr="009021BE" w:rsidRDefault="00503A09" w:rsidP="00503A09">
            <w:pPr>
              <w:jc w:val="both"/>
              <w:rPr>
                <w:sz w:val="20"/>
                <w:lang w:val="fr-CA"/>
              </w:rPr>
            </w:pPr>
          </w:p>
        </w:tc>
        <w:tc>
          <w:tcPr>
            <w:tcW w:w="243" w:type="pct"/>
          </w:tcPr>
          <w:p w:rsidR="00503A09" w:rsidRPr="009021BE" w:rsidRDefault="00503A09" w:rsidP="00503A09">
            <w:pPr>
              <w:jc w:val="both"/>
              <w:rPr>
                <w:sz w:val="20"/>
                <w:lang w:val="fr-CA"/>
              </w:rPr>
            </w:pPr>
          </w:p>
        </w:tc>
        <w:tc>
          <w:tcPr>
            <w:tcW w:w="2330" w:type="pct"/>
          </w:tcPr>
          <w:p w:rsidR="00503A09" w:rsidRPr="009021BE" w:rsidRDefault="00503A09" w:rsidP="00503A09">
            <w:pPr>
              <w:jc w:val="both"/>
              <w:rPr>
                <w:sz w:val="20"/>
                <w:lang w:val="fr-CA"/>
              </w:rPr>
            </w:pPr>
            <w:r w:rsidRPr="009021BE">
              <w:rPr>
                <w:sz w:val="20"/>
                <w:lang w:val="fr-CA"/>
              </w:rPr>
              <w:t>Réduction de l’évaluation de 15 563 000 $ à 14 610 000 $ pour l’année 2015.</w:t>
            </w:r>
          </w:p>
        </w:tc>
      </w:tr>
      <w:tr w:rsidR="00503A09" w:rsidRPr="003A01D0" w:rsidTr="00DE47D4">
        <w:tc>
          <w:tcPr>
            <w:tcW w:w="2427" w:type="pct"/>
          </w:tcPr>
          <w:p w:rsidR="00503A09" w:rsidRPr="009021BE" w:rsidRDefault="00503A09" w:rsidP="00503A09">
            <w:pPr>
              <w:jc w:val="both"/>
              <w:rPr>
                <w:sz w:val="20"/>
                <w:lang w:val="fr-CA"/>
              </w:rPr>
            </w:pPr>
            <w:r w:rsidRPr="009021BE">
              <w:rPr>
                <w:sz w:val="20"/>
                <w:lang w:val="fr-CA"/>
              </w:rPr>
              <w:t>7 avril 2016</w:t>
            </w:r>
          </w:p>
          <w:p w:rsidR="00503A09" w:rsidRPr="009021BE" w:rsidRDefault="00503A09" w:rsidP="00503A09">
            <w:pPr>
              <w:jc w:val="both"/>
              <w:rPr>
                <w:sz w:val="20"/>
                <w:lang w:val="fr-CA"/>
              </w:rPr>
            </w:pPr>
            <w:r w:rsidRPr="009021BE">
              <w:rPr>
                <w:sz w:val="20"/>
                <w:lang w:val="fr-CA"/>
              </w:rPr>
              <w:t>Cour du Banc de la Reine de l’Alberta</w:t>
            </w:r>
          </w:p>
          <w:p w:rsidR="00503A09" w:rsidRPr="009021BE" w:rsidRDefault="00503A09" w:rsidP="00503A09">
            <w:pPr>
              <w:jc w:val="both"/>
              <w:rPr>
                <w:sz w:val="20"/>
                <w:lang w:val="fr-CA"/>
              </w:rPr>
            </w:pPr>
            <w:r w:rsidRPr="009021BE">
              <w:rPr>
                <w:sz w:val="20"/>
                <w:lang w:val="fr-CA"/>
              </w:rPr>
              <w:t>(Juge Shelley)</w:t>
            </w:r>
          </w:p>
          <w:p w:rsidR="00503A09" w:rsidRPr="009021BE" w:rsidRDefault="00167F64" w:rsidP="00503A09">
            <w:pPr>
              <w:jc w:val="both"/>
              <w:rPr>
                <w:sz w:val="20"/>
                <w:lang w:val="fr-CA"/>
              </w:rPr>
            </w:pPr>
            <w:hyperlink r:id="rId31" w:history="1">
              <w:r w:rsidR="00503A09" w:rsidRPr="009021BE">
                <w:rPr>
                  <w:rStyle w:val="Hyperlink"/>
                  <w:sz w:val="20"/>
                  <w:lang w:val="fr-CA"/>
                </w:rPr>
                <w:t>2016 ABQB 203</w:t>
              </w:r>
            </w:hyperlink>
          </w:p>
          <w:p w:rsidR="00503A09" w:rsidRPr="009021BE" w:rsidRDefault="00503A09" w:rsidP="00503A09">
            <w:pPr>
              <w:jc w:val="both"/>
              <w:rPr>
                <w:sz w:val="20"/>
                <w:lang w:val="fr-CA"/>
              </w:rPr>
            </w:pPr>
          </w:p>
        </w:tc>
        <w:tc>
          <w:tcPr>
            <w:tcW w:w="243" w:type="pct"/>
          </w:tcPr>
          <w:p w:rsidR="00503A09" w:rsidRPr="009021BE" w:rsidRDefault="00503A09" w:rsidP="00503A09">
            <w:pPr>
              <w:jc w:val="both"/>
              <w:rPr>
                <w:sz w:val="20"/>
                <w:lang w:val="fr-CA"/>
              </w:rPr>
            </w:pPr>
          </w:p>
        </w:tc>
        <w:tc>
          <w:tcPr>
            <w:tcW w:w="2330" w:type="pct"/>
          </w:tcPr>
          <w:p w:rsidR="00503A09" w:rsidRPr="009021BE" w:rsidRDefault="00503A09" w:rsidP="00503A09">
            <w:pPr>
              <w:jc w:val="both"/>
              <w:rPr>
                <w:sz w:val="20"/>
                <w:lang w:val="fr-CA"/>
              </w:rPr>
            </w:pPr>
            <w:r w:rsidRPr="009021BE">
              <w:rPr>
                <w:sz w:val="20"/>
                <w:lang w:val="fr-CA"/>
              </w:rPr>
              <w:t xml:space="preserve">Jugement accueillant les demandes de contrôle judiciaire des décisions de la Composite Assessment Review Board, annulant les décisions pour les années d’évaluation 2014 et 2015 et renvoyant l’affaire à la commission de révision pour réexamen. </w:t>
            </w:r>
          </w:p>
          <w:p w:rsidR="00503A09" w:rsidRPr="009021BE" w:rsidRDefault="00503A09" w:rsidP="00503A09">
            <w:pPr>
              <w:jc w:val="both"/>
              <w:rPr>
                <w:sz w:val="20"/>
                <w:lang w:val="fr-CA"/>
              </w:rPr>
            </w:pPr>
          </w:p>
        </w:tc>
      </w:tr>
      <w:tr w:rsidR="00503A09" w:rsidRPr="003A01D0" w:rsidTr="00DE47D4">
        <w:tc>
          <w:tcPr>
            <w:tcW w:w="2427" w:type="pct"/>
          </w:tcPr>
          <w:p w:rsidR="00503A09" w:rsidRPr="009021BE" w:rsidRDefault="00503A09" w:rsidP="00503A09">
            <w:pPr>
              <w:jc w:val="both"/>
              <w:rPr>
                <w:sz w:val="20"/>
                <w:lang w:val="fr-CA"/>
              </w:rPr>
            </w:pPr>
            <w:r w:rsidRPr="009021BE">
              <w:rPr>
                <w:sz w:val="20"/>
                <w:lang w:val="fr-CA"/>
              </w:rPr>
              <w:t>1</w:t>
            </w:r>
            <w:r w:rsidRPr="009021BE">
              <w:rPr>
                <w:sz w:val="20"/>
                <w:vertAlign w:val="superscript"/>
                <w:lang w:val="fr-CA"/>
              </w:rPr>
              <w:t>er</w:t>
            </w:r>
            <w:r w:rsidRPr="009021BE">
              <w:rPr>
                <w:sz w:val="20"/>
                <w:lang w:val="fr-CA"/>
              </w:rPr>
              <w:t xml:space="preserve"> mai 2017</w:t>
            </w:r>
          </w:p>
          <w:p w:rsidR="00503A09" w:rsidRPr="009021BE" w:rsidRDefault="00503A09" w:rsidP="00503A09">
            <w:pPr>
              <w:jc w:val="both"/>
              <w:rPr>
                <w:sz w:val="20"/>
                <w:lang w:val="fr-CA"/>
              </w:rPr>
            </w:pPr>
            <w:r w:rsidRPr="009021BE">
              <w:rPr>
                <w:sz w:val="20"/>
                <w:lang w:val="fr-CA"/>
              </w:rPr>
              <w:t>Cour d’appel de l’Alberta (Edmonton)</w:t>
            </w:r>
          </w:p>
          <w:p w:rsidR="00503A09" w:rsidRPr="009021BE" w:rsidRDefault="00503A09" w:rsidP="00503A09">
            <w:pPr>
              <w:jc w:val="both"/>
              <w:rPr>
                <w:sz w:val="20"/>
                <w:lang w:val="fr-CA"/>
              </w:rPr>
            </w:pPr>
            <w:r w:rsidRPr="009021BE">
              <w:rPr>
                <w:sz w:val="20"/>
                <w:lang w:val="fr-CA"/>
              </w:rPr>
              <w:t>(Juge en chef Fraser, juges Rowbotham et Greckol)</w:t>
            </w:r>
          </w:p>
          <w:p w:rsidR="00503A09" w:rsidRPr="009021BE" w:rsidRDefault="00167F64" w:rsidP="00503A09">
            <w:pPr>
              <w:jc w:val="both"/>
              <w:rPr>
                <w:sz w:val="20"/>
                <w:lang w:val="fr-CA"/>
              </w:rPr>
            </w:pPr>
            <w:hyperlink r:id="rId32" w:history="1">
              <w:r w:rsidR="00503A09" w:rsidRPr="009021BE">
                <w:rPr>
                  <w:rStyle w:val="Hyperlink"/>
                  <w:sz w:val="20"/>
                  <w:lang w:val="fr-CA"/>
                </w:rPr>
                <w:t>2017 ABCA 129</w:t>
              </w:r>
            </w:hyperlink>
          </w:p>
          <w:p w:rsidR="00503A09" w:rsidRPr="009021BE" w:rsidRDefault="00503A09" w:rsidP="00503A09">
            <w:pPr>
              <w:jc w:val="both"/>
              <w:rPr>
                <w:sz w:val="20"/>
                <w:lang w:val="fr-CA"/>
              </w:rPr>
            </w:pPr>
            <w:r w:rsidRPr="009021BE">
              <w:rPr>
                <w:sz w:val="20"/>
                <w:lang w:val="fr-CA"/>
              </w:rPr>
              <w:t>N</w:t>
            </w:r>
            <w:r w:rsidRPr="009021BE">
              <w:rPr>
                <w:sz w:val="20"/>
                <w:vertAlign w:val="superscript"/>
                <w:lang w:val="fr-CA"/>
              </w:rPr>
              <w:t>o</w:t>
            </w:r>
            <w:r w:rsidRPr="009021BE">
              <w:rPr>
                <w:sz w:val="20"/>
                <w:lang w:val="fr-CA"/>
              </w:rPr>
              <w:t xml:space="preserve"> de dossier : 1603-0125-AC</w:t>
            </w:r>
          </w:p>
          <w:p w:rsidR="00503A09" w:rsidRPr="009021BE" w:rsidRDefault="00503A09" w:rsidP="00503A09">
            <w:pPr>
              <w:jc w:val="both"/>
              <w:rPr>
                <w:sz w:val="20"/>
                <w:lang w:val="fr-CA"/>
              </w:rPr>
            </w:pPr>
          </w:p>
        </w:tc>
        <w:tc>
          <w:tcPr>
            <w:tcW w:w="243" w:type="pct"/>
          </w:tcPr>
          <w:p w:rsidR="00503A09" w:rsidRPr="009021BE" w:rsidRDefault="00503A09" w:rsidP="00503A09">
            <w:pPr>
              <w:jc w:val="both"/>
              <w:rPr>
                <w:sz w:val="20"/>
                <w:lang w:val="fr-CA"/>
              </w:rPr>
            </w:pPr>
          </w:p>
        </w:tc>
        <w:tc>
          <w:tcPr>
            <w:tcW w:w="2330" w:type="pct"/>
          </w:tcPr>
          <w:p w:rsidR="00503A09" w:rsidRPr="009021BE" w:rsidRDefault="00503A09" w:rsidP="00503A09">
            <w:pPr>
              <w:jc w:val="both"/>
              <w:rPr>
                <w:sz w:val="20"/>
                <w:lang w:val="fr-CA"/>
              </w:rPr>
            </w:pPr>
            <w:r w:rsidRPr="009021BE">
              <w:rPr>
                <w:sz w:val="20"/>
                <w:lang w:val="fr-CA"/>
              </w:rPr>
              <w:t xml:space="preserve">Arrêt accueillant l’appel et rétablissant les décisions de la Composite Assessment Review Board. </w:t>
            </w:r>
          </w:p>
          <w:p w:rsidR="00503A09" w:rsidRPr="009021BE" w:rsidRDefault="00503A09" w:rsidP="00503A09">
            <w:pPr>
              <w:jc w:val="both"/>
              <w:rPr>
                <w:sz w:val="20"/>
                <w:lang w:val="fr-CA"/>
              </w:rPr>
            </w:pPr>
          </w:p>
        </w:tc>
      </w:tr>
      <w:tr w:rsidR="00503A09" w:rsidRPr="003A01D0" w:rsidTr="00DE47D4">
        <w:tc>
          <w:tcPr>
            <w:tcW w:w="2427" w:type="pct"/>
          </w:tcPr>
          <w:p w:rsidR="00503A09" w:rsidRPr="009021BE" w:rsidRDefault="00503A09" w:rsidP="00503A09">
            <w:pPr>
              <w:jc w:val="both"/>
              <w:rPr>
                <w:sz w:val="20"/>
                <w:lang w:val="fr-CA"/>
              </w:rPr>
            </w:pPr>
            <w:r w:rsidRPr="009021BE">
              <w:rPr>
                <w:sz w:val="20"/>
                <w:lang w:val="fr-CA"/>
              </w:rPr>
              <w:t>29 juin 2017</w:t>
            </w:r>
          </w:p>
          <w:p w:rsidR="00503A09" w:rsidRPr="009021BE" w:rsidRDefault="00503A09" w:rsidP="00503A09">
            <w:pPr>
              <w:jc w:val="both"/>
              <w:rPr>
                <w:sz w:val="20"/>
                <w:lang w:val="fr-CA"/>
              </w:rPr>
            </w:pPr>
            <w:r w:rsidRPr="009021BE">
              <w:rPr>
                <w:sz w:val="20"/>
                <w:lang w:val="fr-CA"/>
              </w:rPr>
              <w:t>Cour suprême du Canada</w:t>
            </w:r>
          </w:p>
        </w:tc>
        <w:tc>
          <w:tcPr>
            <w:tcW w:w="243" w:type="pct"/>
          </w:tcPr>
          <w:p w:rsidR="00503A09" w:rsidRPr="009021BE" w:rsidRDefault="00503A09" w:rsidP="00503A09">
            <w:pPr>
              <w:jc w:val="both"/>
              <w:rPr>
                <w:sz w:val="20"/>
                <w:lang w:val="fr-CA"/>
              </w:rPr>
            </w:pPr>
          </w:p>
        </w:tc>
        <w:tc>
          <w:tcPr>
            <w:tcW w:w="2330" w:type="pct"/>
          </w:tcPr>
          <w:p w:rsidR="00503A09" w:rsidRPr="009021BE" w:rsidRDefault="00503A09" w:rsidP="00503A09">
            <w:pPr>
              <w:jc w:val="both"/>
              <w:rPr>
                <w:sz w:val="20"/>
                <w:lang w:val="fr-CA"/>
              </w:rPr>
            </w:pPr>
            <w:r w:rsidRPr="009021BE">
              <w:rPr>
                <w:sz w:val="20"/>
                <w:lang w:val="fr-CA"/>
              </w:rPr>
              <w:t>Dépôt de la demande d’autorisation d’appel.</w:t>
            </w:r>
          </w:p>
          <w:p w:rsidR="00503A09" w:rsidRPr="009021BE" w:rsidRDefault="00503A09" w:rsidP="00503A09">
            <w:pPr>
              <w:jc w:val="both"/>
              <w:rPr>
                <w:sz w:val="20"/>
                <w:lang w:val="fr-CA"/>
              </w:rPr>
            </w:pPr>
          </w:p>
        </w:tc>
      </w:tr>
    </w:tbl>
    <w:p w:rsidR="00BC5022" w:rsidRDefault="00167F64" w:rsidP="00503A09">
      <w:pPr>
        <w:jc w:val="both"/>
        <w:rPr>
          <w:sz w:val="20"/>
          <w:szCs w:val="20"/>
        </w:rPr>
      </w:pPr>
      <w:r>
        <w:rPr>
          <w:sz w:val="20"/>
          <w:szCs w:val="20"/>
        </w:rPr>
        <w:pict>
          <v:rect id="_x0000_i1040" style="width:2in;height:1pt" o:hrpct="0" o:hralign="center" o:hrstd="t" o:hrnoshade="t" o:hr="t" fillcolor="black" stroked="f"/>
        </w:pict>
      </w:r>
    </w:p>
    <w:p w:rsidR="00BD4227" w:rsidRPr="00503A09" w:rsidRDefault="00BD4227" w:rsidP="00503A09">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0A32" w:rsidRPr="009021BE" w:rsidTr="00DE47D4">
        <w:tc>
          <w:tcPr>
            <w:tcW w:w="543" w:type="pct"/>
          </w:tcPr>
          <w:p w:rsidR="006A0A32" w:rsidRPr="009021BE" w:rsidRDefault="006A0A32" w:rsidP="00DE47D4">
            <w:pPr>
              <w:jc w:val="both"/>
              <w:rPr>
                <w:sz w:val="20"/>
              </w:rPr>
            </w:pPr>
            <w:r w:rsidRPr="009021BE">
              <w:rPr>
                <w:rStyle w:val="SCCFileNumberChar"/>
                <w:sz w:val="20"/>
                <w:szCs w:val="20"/>
              </w:rPr>
              <w:t>37533</w:t>
            </w:r>
          </w:p>
        </w:tc>
        <w:tc>
          <w:tcPr>
            <w:tcW w:w="4457" w:type="pct"/>
          </w:tcPr>
          <w:p w:rsidR="006A0A32" w:rsidRPr="00BF319D" w:rsidRDefault="006A0A32" w:rsidP="00DE47D4">
            <w:pPr>
              <w:pStyle w:val="SCCLsocParty"/>
              <w:jc w:val="both"/>
              <w:rPr>
                <w:b/>
                <w:sz w:val="20"/>
                <w:szCs w:val="20"/>
                <w:lang w:val="en-US"/>
              </w:rPr>
            </w:pPr>
            <w:r w:rsidRPr="00BF319D">
              <w:rPr>
                <w:b/>
                <w:sz w:val="20"/>
                <w:szCs w:val="20"/>
                <w:lang w:val="en-US"/>
              </w:rPr>
              <w:t>John Tsekouras v. Her Majesty the Queen</w:t>
            </w:r>
          </w:p>
          <w:p w:rsidR="006A0A32" w:rsidRPr="009021BE" w:rsidRDefault="006A0A32" w:rsidP="00DE47D4">
            <w:pPr>
              <w:jc w:val="both"/>
              <w:rPr>
                <w:sz w:val="20"/>
              </w:rPr>
            </w:pPr>
            <w:r w:rsidRPr="009021BE">
              <w:rPr>
                <w:sz w:val="20"/>
              </w:rPr>
              <w:t>(Ont.) (Criminal) (By Leave)</w:t>
            </w:r>
          </w:p>
        </w:tc>
      </w:tr>
      <w:tr w:rsidR="009F69E6" w:rsidRPr="009021BE" w:rsidTr="00DE47D4">
        <w:tc>
          <w:tcPr>
            <w:tcW w:w="543" w:type="pct"/>
          </w:tcPr>
          <w:p w:rsidR="009F69E6" w:rsidRPr="005F1C17" w:rsidRDefault="009F69E6" w:rsidP="009F69E6">
            <w:pPr>
              <w:jc w:val="both"/>
              <w:rPr>
                <w:rStyle w:val="SCCFileNumberChar"/>
                <w:sz w:val="20"/>
                <w:szCs w:val="20"/>
              </w:rPr>
            </w:pPr>
            <w:r w:rsidRPr="00AE0F22">
              <w:rPr>
                <w:rStyle w:val="SCCFileNumberChar"/>
                <w:b w:val="0"/>
                <w:sz w:val="20"/>
                <w:szCs w:val="20"/>
              </w:rPr>
              <w:t xml:space="preserve">Coram: </w:t>
            </w:r>
          </w:p>
        </w:tc>
        <w:tc>
          <w:tcPr>
            <w:tcW w:w="4457" w:type="pct"/>
          </w:tcPr>
          <w:p w:rsidR="009F69E6" w:rsidRPr="005F1C17" w:rsidRDefault="009F69E6" w:rsidP="009F69E6">
            <w:pPr>
              <w:rPr>
                <w:rFonts w:eastAsia="Calibri" w:cs="Times New Roman"/>
                <w:sz w:val="20"/>
                <w:szCs w:val="20"/>
                <w:u w:val="single"/>
                <w:lang w:val="en-US"/>
              </w:rPr>
            </w:pPr>
            <w:r w:rsidRPr="005F1C17">
              <w:rPr>
                <w:rFonts w:eastAsia="Calibri" w:cs="Times New Roman"/>
                <w:sz w:val="20"/>
                <w:szCs w:val="20"/>
                <w:u w:val="single"/>
                <w:lang w:val="en-US"/>
              </w:rPr>
              <w:t>Wagner C.J. and Abella, Moldaver, Karakatsanis, Gascon, Côté, Brown, Rowe and Martin JJ.</w:t>
            </w:r>
          </w:p>
          <w:p w:rsidR="009F69E6" w:rsidRPr="005F1C17" w:rsidRDefault="009F69E6" w:rsidP="009F69E6">
            <w:pPr>
              <w:rPr>
                <w:rFonts w:eastAsia="Calibri" w:cs="Times New Roman"/>
                <w:sz w:val="20"/>
                <w:szCs w:val="20"/>
                <w:u w:val="single"/>
                <w:lang w:val="en-US"/>
              </w:rPr>
            </w:pPr>
          </w:p>
        </w:tc>
      </w:tr>
      <w:tr w:rsidR="009F69E6" w:rsidRPr="009021BE" w:rsidTr="009F69E6">
        <w:tc>
          <w:tcPr>
            <w:tcW w:w="5000" w:type="pct"/>
            <w:gridSpan w:val="2"/>
          </w:tcPr>
          <w:p w:rsidR="009F69E6" w:rsidRPr="009F69E6" w:rsidRDefault="009F69E6" w:rsidP="009F69E6">
            <w:pPr>
              <w:pStyle w:val="SCCLsocParty"/>
              <w:jc w:val="both"/>
              <w:rPr>
                <w:b/>
                <w:sz w:val="20"/>
                <w:szCs w:val="20"/>
                <w:lang w:val="en-US"/>
              </w:rPr>
            </w:pPr>
            <w:r w:rsidRPr="009F69E6">
              <w:rPr>
                <w:sz w:val="20"/>
                <w:lang w:val="en-US"/>
              </w:rPr>
              <w:t>The motion for an extension of time to serve and file the application for leave to appeal is granted. The application for leave to appeal from the judgment of the Court of Appeal for Ontario, Number C60103, 2017 ONCA 290, dated April 11, 2017, is dismissed.</w:t>
            </w:r>
          </w:p>
        </w:tc>
      </w:tr>
      <w:tr w:rsidR="009F69E6" w:rsidRPr="009021BE" w:rsidTr="00DE47D4">
        <w:tc>
          <w:tcPr>
            <w:tcW w:w="5000" w:type="pct"/>
            <w:gridSpan w:val="2"/>
          </w:tcPr>
          <w:p w:rsidR="009F69E6" w:rsidRPr="009021BE" w:rsidRDefault="009F69E6" w:rsidP="009F69E6">
            <w:pPr>
              <w:jc w:val="both"/>
              <w:rPr>
                <w:sz w:val="20"/>
              </w:rPr>
            </w:pPr>
            <w:r w:rsidRPr="009021BE">
              <w:rPr>
                <w:i/>
                <w:sz w:val="20"/>
              </w:rPr>
              <w:t>Charter of Rights and Freedoms</w:t>
            </w:r>
            <w:r w:rsidRPr="009021BE">
              <w:rPr>
                <w:sz w:val="20"/>
              </w:rPr>
              <w:t xml:space="preserve"> – Search and seizure – Criminal law – Evidence – Whether trial judge erred in application of s. 24(2) of </w:t>
            </w:r>
            <w:r w:rsidRPr="009021BE">
              <w:rPr>
                <w:i/>
                <w:sz w:val="20"/>
              </w:rPr>
              <w:t xml:space="preserve">Charter </w:t>
            </w:r>
            <w:r w:rsidRPr="009021BE">
              <w:rPr>
                <w:sz w:val="20"/>
              </w:rPr>
              <w:t>– Admissibility of content of accused’s Blackberry – Admissibility of hearsay statements</w:t>
            </w:r>
          </w:p>
        </w:tc>
      </w:tr>
      <w:tr w:rsidR="009F69E6" w:rsidRPr="009021BE" w:rsidTr="00DE47D4">
        <w:tc>
          <w:tcPr>
            <w:tcW w:w="5000" w:type="pct"/>
            <w:gridSpan w:val="2"/>
          </w:tcPr>
          <w:p w:rsidR="009F69E6" w:rsidRPr="009021BE" w:rsidRDefault="009F69E6" w:rsidP="009F69E6">
            <w:pPr>
              <w:jc w:val="both"/>
              <w:rPr>
                <w:sz w:val="20"/>
              </w:rPr>
            </w:pPr>
          </w:p>
        </w:tc>
      </w:tr>
    </w:tbl>
    <w:p w:rsidR="00BD4227" w:rsidRDefault="00BD4227">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F69E6" w:rsidRPr="009021BE" w:rsidTr="00DE47D4">
        <w:tc>
          <w:tcPr>
            <w:tcW w:w="5000" w:type="pct"/>
            <w:gridSpan w:val="3"/>
          </w:tcPr>
          <w:p w:rsidR="009F69E6" w:rsidRPr="009021BE" w:rsidRDefault="009F69E6" w:rsidP="009F69E6">
            <w:pPr>
              <w:jc w:val="both"/>
              <w:rPr>
                <w:sz w:val="20"/>
              </w:rPr>
            </w:pPr>
            <w:r w:rsidRPr="009021BE">
              <w:rPr>
                <w:sz w:val="20"/>
              </w:rPr>
              <w:t>Following a joint forces investigation, Mr. Tsekouras was charged with multiple offences related to trafficking and possession of marihuana and cocaine and conspiring with others to traffic and possess marihuana and cocaine. Communications retrieved from Mr. Tsekouras’s Blackberry were admitted into evidence. The Blackberry was seized incident to an arrest that did not result in any formal charge and that occurred without reasonable and probable grounds. The Blackberry was retained without mandatory reports being delivered to a Justice of the Peace and was searched without a warrant. The Crown’s evidence included a co-conspirator’s</w:t>
            </w:r>
            <w:r w:rsidRPr="009021BE">
              <w:rPr>
                <w:sz w:val="20"/>
                <w:lang w:val="en"/>
              </w:rPr>
              <w:t xml:space="preserve"> statement to the police before his death, the fact that another co-conspirator pleaded guilty to drug offences, and the statement of facts supporting that plea</w:t>
            </w:r>
            <w:r>
              <w:rPr>
                <w:sz w:val="20"/>
                <w:lang w:val="en"/>
              </w:rPr>
              <w:t>.</w:t>
            </w:r>
          </w:p>
          <w:p w:rsidR="009F69E6" w:rsidRPr="009021BE" w:rsidRDefault="009F69E6" w:rsidP="009F69E6">
            <w:pPr>
              <w:jc w:val="both"/>
              <w:rPr>
                <w:sz w:val="20"/>
              </w:rPr>
            </w:pPr>
          </w:p>
        </w:tc>
      </w:tr>
      <w:tr w:rsidR="009F69E6" w:rsidRPr="009021BE" w:rsidTr="00DE47D4">
        <w:tc>
          <w:tcPr>
            <w:tcW w:w="2427" w:type="pct"/>
          </w:tcPr>
          <w:p w:rsidR="009F69E6" w:rsidRPr="009021BE" w:rsidRDefault="009F69E6" w:rsidP="009F69E6">
            <w:pPr>
              <w:jc w:val="both"/>
              <w:rPr>
                <w:sz w:val="20"/>
              </w:rPr>
            </w:pPr>
            <w:r w:rsidRPr="009021BE">
              <w:rPr>
                <w:sz w:val="20"/>
                <w:lang w:val="en"/>
              </w:rPr>
              <w:t>October 20, 2014</w:t>
            </w:r>
            <w:r w:rsidRPr="009021BE">
              <w:rPr>
                <w:sz w:val="20"/>
              </w:rPr>
              <w:t xml:space="preserve"> </w:t>
            </w:r>
          </w:p>
          <w:p w:rsidR="009F69E6" w:rsidRPr="009021BE" w:rsidRDefault="009F69E6" w:rsidP="009F69E6">
            <w:pPr>
              <w:jc w:val="both"/>
              <w:rPr>
                <w:sz w:val="20"/>
              </w:rPr>
            </w:pPr>
            <w:r w:rsidRPr="009021BE">
              <w:rPr>
                <w:sz w:val="20"/>
              </w:rPr>
              <w:t>Ontario Superior Court of Justice</w:t>
            </w:r>
          </w:p>
          <w:p w:rsidR="009F69E6" w:rsidRPr="009021BE" w:rsidRDefault="009F69E6" w:rsidP="009F69E6">
            <w:pPr>
              <w:jc w:val="both"/>
              <w:rPr>
                <w:sz w:val="20"/>
              </w:rPr>
            </w:pPr>
            <w:r w:rsidRPr="009021BE">
              <w:rPr>
                <w:sz w:val="20"/>
              </w:rPr>
              <w:t>(Wright J.)</w:t>
            </w:r>
          </w:p>
          <w:p w:rsidR="009F69E6" w:rsidRPr="009021BE" w:rsidRDefault="009F69E6" w:rsidP="009F69E6">
            <w:pPr>
              <w:jc w:val="both"/>
              <w:rPr>
                <w:sz w:val="20"/>
              </w:rPr>
            </w:pPr>
            <w:r w:rsidRPr="009021BE">
              <w:rPr>
                <w:sz w:val="20"/>
              </w:rPr>
              <w:t>(Unreported)</w:t>
            </w:r>
          </w:p>
          <w:p w:rsidR="009F69E6" w:rsidRPr="009021BE" w:rsidRDefault="009F69E6" w:rsidP="009F69E6">
            <w:pPr>
              <w:jc w:val="both"/>
              <w:rPr>
                <w:sz w:val="20"/>
              </w:rPr>
            </w:pPr>
          </w:p>
        </w:tc>
        <w:tc>
          <w:tcPr>
            <w:tcW w:w="243" w:type="pct"/>
          </w:tcPr>
          <w:p w:rsidR="009F69E6" w:rsidRPr="009021BE" w:rsidRDefault="009F69E6" w:rsidP="009F69E6">
            <w:pPr>
              <w:jc w:val="both"/>
              <w:rPr>
                <w:sz w:val="20"/>
              </w:rPr>
            </w:pPr>
          </w:p>
        </w:tc>
        <w:tc>
          <w:tcPr>
            <w:tcW w:w="2330" w:type="pct"/>
          </w:tcPr>
          <w:p w:rsidR="009F69E6" w:rsidRPr="009021BE" w:rsidRDefault="009F69E6" w:rsidP="009F69E6">
            <w:pPr>
              <w:jc w:val="both"/>
              <w:rPr>
                <w:sz w:val="20"/>
              </w:rPr>
            </w:pPr>
            <w:r w:rsidRPr="009021BE">
              <w:rPr>
                <w:sz w:val="20"/>
              </w:rPr>
              <w:t xml:space="preserve">Data found to have been retrieved from accused’s Blackberry  in breach of s. 8 of </w:t>
            </w:r>
            <w:r w:rsidRPr="009021BE">
              <w:rPr>
                <w:i/>
                <w:sz w:val="20"/>
              </w:rPr>
              <w:t>Charter</w:t>
            </w:r>
            <w:r w:rsidRPr="009021BE">
              <w:rPr>
                <w:sz w:val="20"/>
              </w:rPr>
              <w:t xml:space="preserve"> ruled admissible </w:t>
            </w:r>
          </w:p>
        </w:tc>
      </w:tr>
      <w:tr w:rsidR="009F69E6" w:rsidRPr="009021BE" w:rsidTr="00BD4227">
        <w:trPr>
          <w:trHeight w:val="1044"/>
        </w:trPr>
        <w:tc>
          <w:tcPr>
            <w:tcW w:w="2427" w:type="pct"/>
          </w:tcPr>
          <w:p w:rsidR="009F69E6" w:rsidRPr="009021BE" w:rsidRDefault="009F69E6" w:rsidP="009F69E6">
            <w:pPr>
              <w:jc w:val="both"/>
              <w:rPr>
                <w:sz w:val="20"/>
              </w:rPr>
            </w:pPr>
            <w:r w:rsidRPr="009021BE">
              <w:rPr>
                <w:sz w:val="20"/>
                <w:lang w:val="en"/>
              </w:rPr>
              <w:t>December 23, 2014</w:t>
            </w:r>
            <w:r w:rsidRPr="009021BE">
              <w:rPr>
                <w:sz w:val="20"/>
              </w:rPr>
              <w:t xml:space="preserve"> </w:t>
            </w:r>
          </w:p>
          <w:p w:rsidR="009F69E6" w:rsidRPr="009021BE" w:rsidRDefault="009F69E6" w:rsidP="009F69E6">
            <w:pPr>
              <w:jc w:val="both"/>
              <w:rPr>
                <w:sz w:val="20"/>
              </w:rPr>
            </w:pPr>
            <w:r w:rsidRPr="009021BE">
              <w:rPr>
                <w:sz w:val="20"/>
              </w:rPr>
              <w:t>Ontario Superior Court of Justice</w:t>
            </w:r>
          </w:p>
          <w:p w:rsidR="009F69E6" w:rsidRPr="009021BE" w:rsidRDefault="009F69E6" w:rsidP="009F69E6">
            <w:pPr>
              <w:jc w:val="both"/>
              <w:rPr>
                <w:sz w:val="20"/>
              </w:rPr>
            </w:pPr>
            <w:r w:rsidRPr="009021BE">
              <w:rPr>
                <w:sz w:val="20"/>
              </w:rPr>
              <w:t>(Wright J.)</w:t>
            </w:r>
          </w:p>
          <w:p w:rsidR="009F69E6" w:rsidRPr="009021BE" w:rsidRDefault="009F69E6" w:rsidP="009F69E6">
            <w:pPr>
              <w:jc w:val="both"/>
              <w:rPr>
                <w:sz w:val="20"/>
              </w:rPr>
            </w:pPr>
            <w:r w:rsidRPr="009021BE">
              <w:rPr>
                <w:sz w:val="20"/>
              </w:rPr>
              <w:t>(Unreported)</w:t>
            </w:r>
          </w:p>
          <w:p w:rsidR="009F69E6" w:rsidRPr="009021BE" w:rsidRDefault="009F69E6" w:rsidP="009F69E6">
            <w:pPr>
              <w:jc w:val="both"/>
              <w:rPr>
                <w:sz w:val="20"/>
              </w:rPr>
            </w:pPr>
          </w:p>
        </w:tc>
        <w:tc>
          <w:tcPr>
            <w:tcW w:w="243" w:type="pct"/>
          </w:tcPr>
          <w:p w:rsidR="009F69E6" w:rsidRPr="009021BE" w:rsidRDefault="009F69E6" w:rsidP="009F69E6">
            <w:pPr>
              <w:jc w:val="both"/>
              <w:rPr>
                <w:sz w:val="20"/>
              </w:rPr>
            </w:pPr>
          </w:p>
        </w:tc>
        <w:tc>
          <w:tcPr>
            <w:tcW w:w="2330" w:type="pct"/>
          </w:tcPr>
          <w:p w:rsidR="009F69E6" w:rsidRPr="009021BE" w:rsidRDefault="009F69E6" w:rsidP="009F69E6">
            <w:pPr>
              <w:jc w:val="both"/>
              <w:rPr>
                <w:sz w:val="20"/>
              </w:rPr>
            </w:pPr>
            <w:r w:rsidRPr="009021BE">
              <w:rPr>
                <w:sz w:val="20"/>
                <w:lang w:val="en"/>
              </w:rPr>
              <w:t>Hearsay evidence ruled admissible for limited purposes</w:t>
            </w:r>
          </w:p>
        </w:tc>
      </w:tr>
      <w:tr w:rsidR="009F69E6" w:rsidRPr="009021BE" w:rsidTr="00BD4227">
        <w:trPr>
          <w:trHeight w:val="1953"/>
        </w:trPr>
        <w:tc>
          <w:tcPr>
            <w:tcW w:w="2427" w:type="pct"/>
          </w:tcPr>
          <w:p w:rsidR="009F69E6" w:rsidRPr="009021BE" w:rsidRDefault="009F69E6" w:rsidP="009F69E6">
            <w:pPr>
              <w:jc w:val="both"/>
              <w:rPr>
                <w:sz w:val="20"/>
              </w:rPr>
            </w:pPr>
            <w:r w:rsidRPr="009021BE">
              <w:rPr>
                <w:sz w:val="20"/>
              </w:rPr>
              <w:t>March 5, 2015</w:t>
            </w:r>
          </w:p>
          <w:p w:rsidR="009F69E6" w:rsidRPr="009021BE" w:rsidRDefault="009F69E6" w:rsidP="009F69E6">
            <w:pPr>
              <w:jc w:val="both"/>
              <w:rPr>
                <w:sz w:val="20"/>
              </w:rPr>
            </w:pPr>
            <w:r w:rsidRPr="009021BE">
              <w:rPr>
                <w:sz w:val="20"/>
              </w:rPr>
              <w:t>Ontario Superior Court of Justice</w:t>
            </w:r>
          </w:p>
          <w:p w:rsidR="009F69E6" w:rsidRPr="009021BE" w:rsidRDefault="009F69E6" w:rsidP="009F69E6">
            <w:pPr>
              <w:jc w:val="both"/>
              <w:rPr>
                <w:sz w:val="20"/>
              </w:rPr>
            </w:pPr>
            <w:r w:rsidRPr="009021BE">
              <w:rPr>
                <w:sz w:val="20"/>
              </w:rPr>
              <w:t>(Wright J.)</w:t>
            </w:r>
          </w:p>
          <w:p w:rsidR="009F69E6" w:rsidRPr="009021BE" w:rsidRDefault="00167F64" w:rsidP="009F69E6">
            <w:pPr>
              <w:jc w:val="both"/>
              <w:rPr>
                <w:sz w:val="20"/>
              </w:rPr>
            </w:pPr>
            <w:hyperlink r:id="rId33" w:history="1">
              <w:r w:rsidR="009F69E6" w:rsidRPr="009021BE">
                <w:rPr>
                  <w:rStyle w:val="Hyperlink"/>
                  <w:sz w:val="20"/>
                </w:rPr>
                <w:t>2015 ONSC 1470</w:t>
              </w:r>
            </w:hyperlink>
            <w:r w:rsidR="009F69E6" w:rsidRPr="009021BE">
              <w:rPr>
                <w:sz w:val="20"/>
              </w:rPr>
              <w:t xml:space="preserve"> </w:t>
            </w:r>
          </w:p>
        </w:tc>
        <w:tc>
          <w:tcPr>
            <w:tcW w:w="243" w:type="pct"/>
          </w:tcPr>
          <w:p w:rsidR="009F69E6" w:rsidRPr="009021BE" w:rsidRDefault="009F69E6" w:rsidP="009F69E6">
            <w:pPr>
              <w:jc w:val="both"/>
              <w:rPr>
                <w:sz w:val="20"/>
              </w:rPr>
            </w:pPr>
          </w:p>
        </w:tc>
        <w:tc>
          <w:tcPr>
            <w:tcW w:w="2330" w:type="pct"/>
          </w:tcPr>
          <w:p w:rsidR="009F69E6" w:rsidRPr="009021BE" w:rsidRDefault="009F69E6" w:rsidP="009F69E6">
            <w:pPr>
              <w:widowControl w:val="0"/>
              <w:tabs>
                <w:tab w:val="left" w:pos="2279"/>
              </w:tabs>
              <w:ind w:right="115"/>
              <w:jc w:val="both"/>
              <w:rPr>
                <w:sz w:val="20"/>
              </w:rPr>
            </w:pPr>
            <w:r w:rsidRPr="009021BE">
              <w:rPr>
                <w:sz w:val="20"/>
              </w:rPr>
              <w:t>Convictions: trafficking in</w:t>
            </w:r>
            <w:r w:rsidRPr="009021BE">
              <w:rPr>
                <w:spacing w:val="-3"/>
                <w:sz w:val="20"/>
              </w:rPr>
              <w:t xml:space="preserve"> </w:t>
            </w:r>
            <w:r w:rsidRPr="009021BE">
              <w:rPr>
                <w:sz w:val="20"/>
              </w:rPr>
              <w:t>marihuana, conspiracy to traffic in</w:t>
            </w:r>
            <w:r w:rsidRPr="009021BE">
              <w:rPr>
                <w:spacing w:val="-5"/>
                <w:sz w:val="20"/>
              </w:rPr>
              <w:t xml:space="preserve"> </w:t>
            </w:r>
            <w:r w:rsidRPr="009021BE">
              <w:rPr>
                <w:sz w:val="20"/>
              </w:rPr>
              <w:t>marihuana, possession of marihuana for the purpose of</w:t>
            </w:r>
            <w:r w:rsidRPr="009021BE">
              <w:rPr>
                <w:spacing w:val="-3"/>
                <w:sz w:val="20"/>
              </w:rPr>
              <w:t xml:space="preserve"> </w:t>
            </w:r>
            <w:r w:rsidRPr="009021BE">
              <w:rPr>
                <w:sz w:val="20"/>
              </w:rPr>
              <w:t>trafficking, conspiracy to possess marihuana for the purpose of</w:t>
            </w:r>
            <w:r w:rsidRPr="009021BE">
              <w:rPr>
                <w:spacing w:val="-6"/>
                <w:sz w:val="20"/>
              </w:rPr>
              <w:t xml:space="preserve"> </w:t>
            </w:r>
            <w:r w:rsidRPr="009021BE">
              <w:rPr>
                <w:sz w:val="20"/>
              </w:rPr>
              <w:t>trafficking, trafficking in</w:t>
            </w:r>
            <w:r w:rsidRPr="009021BE">
              <w:rPr>
                <w:spacing w:val="-3"/>
                <w:sz w:val="20"/>
              </w:rPr>
              <w:t xml:space="preserve"> </w:t>
            </w:r>
            <w:r w:rsidRPr="009021BE">
              <w:rPr>
                <w:sz w:val="20"/>
              </w:rPr>
              <w:t>cocaine, conspiracy to traffic in</w:t>
            </w:r>
            <w:r w:rsidRPr="009021BE">
              <w:rPr>
                <w:spacing w:val="-5"/>
                <w:sz w:val="20"/>
              </w:rPr>
              <w:t xml:space="preserve"> </w:t>
            </w:r>
            <w:r w:rsidRPr="009021BE">
              <w:rPr>
                <w:sz w:val="20"/>
              </w:rPr>
              <w:t>cocaine, possession of cocaine for the purpose of</w:t>
            </w:r>
            <w:r w:rsidRPr="009021BE">
              <w:rPr>
                <w:spacing w:val="-3"/>
                <w:sz w:val="20"/>
              </w:rPr>
              <w:t xml:space="preserve"> </w:t>
            </w:r>
            <w:r w:rsidRPr="009021BE">
              <w:rPr>
                <w:sz w:val="20"/>
              </w:rPr>
              <w:t>trafficking, conspiracy to possess cocaine for the purpose of</w:t>
            </w:r>
            <w:r w:rsidRPr="009021BE">
              <w:rPr>
                <w:spacing w:val="-6"/>
                <w:sz w:val="20"/>
              </w:rPr>
              <w:t xml:space="preserve"> </w:t>
            </w:r>
            <w:r w:rsidRPr="009021BE">
              <w:rPr>
                <w:sz w:val="20"/>
              </w:rPr>
              <w:t>trafficking. Acquittals on other counts.</w:t>
            </w:r>
          </w:p>
          <w:p w:rsidR="009F69E6" w:rsidRPr="009021BE" w:rsidRDefault="009F69E6" w:rsidP="009F69E6">
            <w:pPr>
              <w:widowControl w:val="0"/>
              <w:tabs>
                <w:tab w:val="left" w:pos="2279"/>
              </w:tabs>
              <w:ind w:right="114"/>
              <w:jc w:val="both"/>
              <w:rPr>
                <w:sz w:val="20"/>
              </w:rPr>
            </w:pPr>
          </w:p>
        </w:tc>
      </w:tr>
      <w:tr w:rsidR="009F69E6" w:rsidRPr="009021BE" w:rsidTr="00DE47D4">
        <w:trPr>
          <w:trHeight w:val="1161"/>
        </w:trPr>
        <w:tc>
          <w:tcPr>
            <w:tcW w:w="2427" w:type="pct"/>
          </w:tcPr>
          <w:p w:rsidR="009F69E6" w:rsidRPr="009021BE" w:rsidRDefault="009F69E6" w:rsidP="009F69E6">
            <w:pPr>
              <w:jc w:val="both"/>
              <w:rPr>
                <w:sz w:val="20"/>
              </w:rPr>
            </w:pPr>
            <w:r w:rsidRPr="009021BE">
              <w:rPr>
                <w:sz w:val="20"/>
              </w:rPr>
              <w:t>April 11, 2017</w:t>
            </w:r>
          </w:p>
          <w:p w:rsidR="009F69E6" w:rsidRPr="009021BE" w:rsidRDefault="009F69E6" w:rsidP="009F69E6">
            <w:pPr>
              <w:jc w:val="both"/>
              <w:rPr>
                <w:sz w:val="20"/>
              </w:rPr>
            </w:pPr>
            <w:r w:rsidRPr="009021BE">
              <w:rPr>
                <w:sz w:val="20"/>
              </w:rPr>
              <w:t>Court of Appeal for Ontario</w:t>
            </w:r>
          </w:p>
          <w:p w:rsidR="009F69E6" w:rsidRPr="009021BE" w:rsidRDefault="009F69E6" w:rsidP="009F69E6">
            <w:pPr>
              <w:jc w:val="both"/>
              <w:rPr>
                <w:sz w:val="20"/>
              </w:rPr>
            </w:pPr>
            <w:r w:rsidRPr="009021BE">
              <w:rPr>
                <w:sz w:val="20"/>
              </w:rPr>
              <w:t>(Strathy C.J., and Weiler and Watt JJ.A.)</w:t>
            </w:r>
          </w:p>
          <w:p w:rsidR="009F69E6" w:rsidRPr="00BF319D" w:rsidRDefault="009F69E6" w:rsidP="009F69E6">
            <w:pPr>
              <w:jc w:val="both"/>
              <w:rPr>
                <w:rStyle w:val="Hyperlink"/>
                <w:sz w:val="20"/>
              </w:rPr>
            </w:pPr>
            <w:r w:rsidRPr="009021BE">
              <w:rPr>
                <w:sz w:val="20"/>
              </w:rPr>
              <w:t xml:space="preserve">C60103; </w:t>
            </w:r>
            <w:hyperlink r:id="rId34" w:history="1">
              <w:r w:rsidRPr="009021BE">
                <w:rPr>
                  <w:rStyle w:val="Hyperlink"/>
                  <w:sz w:val="20"/>
                </w:rPr>
                <w:t>2017 ONCA 290</w:t>
              </w:r>
            </w:hyperlink>
          </w:p>
          <w:p w:rsidR="009F69E6" w:rsidRPr="00BF319D" w:rsidRDefault="009F69E6" w:rsidP="009F69E6">
            <w:pPr>
              <w:jc w:val="both"/>
              <w:rPr>
                <w:sz w:val="20"/>
              </w:rPr>
            </w:pPr>
          </w:p>
        </w:tc>
        <w:tc>
          <w:tcPr>
            <w:tcW w:w="243" w:type="pct"/>
          </w:tcPr>
          <w:p w:rsidR="009F69E6" w:rsidRPr="009021BE" w:rsidRDefault="009F69E6" w:rsidP="009F69E6">
            <w:pPr>
              <w:jc w:val="both"/>
              <w:rPr>
                <w:sz w:val="20"/>
              </w:rPr>
            </w:pPr>
          </w:p>
        </w:tc>
        <w:tc>
          <w:tcPr>
            <w:tcW w:w="2330" w:type="pct"/>
          </w:tcPr>
          <w:p w:rsidR="009F69E6" w:rsidRPr="009021BE" w:rsidRDefault="009F69E6" w:rsidP="009F69E6">
            <w:pPr>
              <w:jc w:val="both"/>
              <w:rPr>
                <w:sz w:val="20"/>
              </w:rPr>
            </w:pPr>
            <w:r w:rsidRPr="009021BE">
              <w:rPr>
                <w:sz w:val="20"/>
              </w:rPr>
              <w:t>Appeal dismissed</w:t>
            </w:r>
          </w:p>
          <w:p w:rsidR="009F69E6" w:rsidRPr="009021BE" w:rsidRDefault="009F69E6" w:rsidP="009F69E6">
            <w:pPr>
              <w:jc w:val="both"/>
              <w:rPr>
                <w:sz w:val="20"/>
              </w:rPr>
            </w:pPr>
          </w:p>
        </w:tc>
      </w:tr>
      <w:tr w:rsidR="009F69E6" w:rsidRPr="009021BE" w:rsidTr="00DE47D4">
        <w:trPr>
          <w:trHeight w:val="625"/>
        </w:trPr>
        <w:tc>
          <w:tcPr>
            <w:tcW w:w="2427" w:type="pct"/>
          </w:tcPr>
          <w:p w:rsidR="009F69E6" w:rsidRPr="009021BE" w:rsidRDefault="009F69E6" w:rsidP="009F69E6">
            <w:pPr>
              <w:jc w:val="both"/>
              <w:rPr>
                <w:sz w:val="20"/>
              </w:rPr>
            </w:pPr>
            <w:r w:rsidRPr="009021BE">
              <w:rPr>
                <w:sz w:val="20"/>
              </w:rPr>
              <w:t>June 16, 2017</w:t>
            </w:r>
          </w:p>
          <w:p w:rsidR="009F69E6" w:rsidRPr="009021BE" w:rsidRDefault="009F69E6" w:rsidP="009F69E6">
            <w:pPr>
              <w:jc w:val="both"/>
              <w:rPr>
                <w:sz w:val="20"/>
              </w:rPr>
            </w:pPr>
            <w:r w:rsidRPr="009021BE">
              <w:rPr>
                <w:sz w:val="20"/>
              </w:rPr>
              <w:t>Supreme Court of Canada</w:t>
            </w:r>
          </w:p>
        </w:tc>
        <w:tc>
          <w:tcPr>
            <w:tcW w:w="243" w:type="pct"/>
          </w:tcPr>
          <w:p w:rsidR="009F69E6" w:rsidRPr="009021BE" w:rsidRDefault="009F69E6" w:rsidP="009F69E6">
            <w:pPr>
              <w:jc w:val="both"/>
              <w:rPr>
                <w:sz w:val="20"/>
              </w:rPr>
            </w:pPr>
          </w:p>
        </w:tc>
        <w:tc>
          <w:tcPr>
            <w:tcW w:w="2330" w:type="pct"/>
          </w:tcPr>
          <w:p w:rsidR="009F69E6" w:rsidRPr="009021BE" w:rsidRDefault="009F69E6" w:rsidP="009F69E6">
            <w:pPr>
              <w:jc w:val="both"/>
              <w:rPr>
                <w:sz w:val="20"/>
              </w:rPr>
            </w:pPr>
            <w:r w:rsidRPr="009021BE">
              <w:rPr>
                <w:sz w:val="20"/>
              </w:rPr>
              <w:t>Application for extension of time to serve and file application for leave to appeal and Application for leave to appeal filed</w:t>
            </w:r>
          </w:p>
        </w:tc>
      </w:tr>
    </w:tbl>
    <w:p w:rsidR="006A0A32" w:rsidRDefault="00167F64" w:rsidP="006A0A32">
      <w:pPr>
        <w:jc w:val="both"/>
        <w:rPr>
          <w:sz w:val="20"/>
        </w:rPr>
      </w:pPr>
      <w:r>
        <w:rPr>
          <w:sz w:val="20"/>
          <w:szCs w:val="20"/>
        </w:rPr>
        <w:pict>
          <v:rect id="_x0000_i1041" style="width:2in;height:1pt" o:hrpct="0" o:hralign="center" o:hrstd="t" o:hrnoshade="t" o:hr="t" fillcolor="black" stroked="f"/>
        </w:pict>
      </w:r>
    </w:p>
    <w:p w:rsidR="00BC5022" w:rsidRDefault="00BC5022">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0A32" w:rsidRPr="009021BE" w:rsidTr="00DE47D4">
        <w:tc>
          <w:tcPr>
            <w:tcW w:w="543" w:type="pct"/>
          </w:tcPr>
          <w:p w:rsidR="006A0A32" w:rsidRPr="009021BE" w:rsidRDefault="006A0A32" w:rsidP="00DE47D4">
            <w:pPr>
              <w:jc w:val="both"/>
              <w:rPr>
                <w:sz w:val="20"/>
                <w:lang w:val="fr-CA"/>
              </w:rPr>
            </w:pPr>
            <w:r w:rsidRPr="009021BE">
              <w:rPr>
                <w:rStyle w:val="SCCFileNumberChar"/>
                <w:sz w:val="20"/>
                <w:szCs w:val="20"/>
                <w:lang w:val="fr-CA"/>
              </w:rPr>
              <w:t>37533</w:t>
            </w:r>
          </w:p>
        </w:tc>
        <w:tc>
          <w:tcPr>
            <w:tcW w:w="4457" w:type="pct"/>
            <w:gridSpan w:val="3"/>
          </w:tcPr>
          <w:p w:rsidR="006A0A32" w:rsidRPr="00BF319D" w:rsidRDefault="006A0A32" w:rsidP="00DE47D4">
            <w:pPr>
              <w:pStyle w:val="SCCLsocParty"/>
              <w:jc w:val="both"/>
              <w:rPr>
                <w:b/>
                <w:sz w:val="20"/>
                <w:szCs w:val="20"/>
              </w:rPr>
            </w:pPr>
            <w:r w:rsidRPr="00BF319D">
              <w:rPr>
                <w:b/>
                <w:sz w:val="20"/>
                <w:szCs w:val="20"/>
              </w:rPr>
              <w:t>John Tsekouras c. Sa Majesté la Reine</w:t>
            </w:r>
          </w:p>
          <w:p w:rsidR="006A0A32" w:rsidRPr="009021BE" w:rsidRDefault="006A0A32" w:rsidP="00DE47D4">
            <w:pPr>
              <w:jc w:val="both"/>
              <w:rPr>
                <w:sz w:val="20"/>
                <w:lang w:val="fr-CA"/>
              </w:rPr>
            </w:pPr>
            <w:r w:rsidRPr="009021BE">
              <w:rPr>
                <w:sz w:val="20"/>
                <w:lang w:val="fr-CA"/>
              </w:rPr>
              <w:t>(Ont.) (Criminelle) (Sur autorisation)</w:t>
            </w:r>
          </w:p>
        </w:tc>
      </w:tr>
      <w:tr w:rsidR="005307B0" w:rsidRPr="003A01D0" w:rsidTr="00DE47D4">
        <w:tc>
          <w:tcPr>
            <w:tcW w:w="543" w:type="pct"/>
          </w:tcPr>
          <w:p w:rsidR="005307B0" w:rsidRPr="00D32F6F" w:rsidRDefault="005307B0" w:rsidP="005307B0">
            <w:pPr>
              <w:jc w:val="both"/>
              <w:rPr>
                <w:rStyle w:val="SCCFileNumberChar"/>
                <w:b w:val="0"/>
                <w:sz w:val="20"/>
                <w:szCs w:val="20"/>
              </w:rPr>
            </w:pPr>
            <w:r w:rsidRPr="00D32F6F">
              <w:rPr>
                <w:rStyle w:val="SCCFileNumberChar"/>
                <w:b w:val="0"/>
                <w:sz w:val="20"/>
                <w:szCs w:val="20"/>
              </w:rPr>
              <w:t xml:space="preserve">Coram: </w:t>
            </w:r>
          </w:p>
        </w:tc>
        <w:tc>
          <w:tcPr>
            <w:tcW w:w="4457" w:type="pct"/>
            <w:gridSpan w:val="3"/>
          </w:tcPr>
          <w:p w:rsidR="005307B0" w:rsidRPr="00D32F6F" w:rsidRDefault="005307B0" w:rsidP="005307B0">
            <w:pPr>
              <w:rPr>
                <w:rFonts w:eastAsia="Calibri" w:cs="Times New Roman"/>
                <w:sz w:val="20"/>
                <w:szCs w:val="20"/>
                <w:u w:val="single"/>
                <w:lang w:val="fr-CA"/>
              </w:rPr>
            </w:pPr>
            <w:r w:rsidRPr="00D32F6F">
              <w:rPr>
                <w:rFonts w:eastAsia="Calibri" w:cs="Times New Roman"/>
                <w:sz w:val="20"/>
                <w:szCs w:val="20"/>
                <w:u w:val="single"/>
                <w:lang w:val="fr-CA"/>
              </w:rPr>
              <w:t>Le juge en chef Wagner et les juges Abella, Moldaver, Karakatsanis, Gascon, Côté, Brown, Rowe et Martin</w:t>
            </w:r>
          </w:p>
          <w:p w:rsidR="005307B0" w:rsidRPr="00D32F6F" w:rsidRDefault="005307B0" w:rsidP="005307B0">
            <w:pPr>
              <w:rPr>
                <w:sz w:val="20"/>
                <w:szCs w:val="20"/>
                <w:lang w:val="fr-CA"/>
              </w:rPr>
            </w:pPr>
          </w:p>
        </w:tc>
      </w:tr>
      <w:tr w:rsidR="005307B0" w:rsidRPr="003A01D0" w:rsidTr="005307B0">
        <w:tc>
          <w:tcPr>
            <w:tcW w:w="5000" w:type="pct"/>
            <w:gridSpan w:val="4"/>
          </w:tcPr>
          <w:p w:rsidR="005307B0" w:rsidRPr="005307B0" w:rsidRDefault="005307B0" w:rsidP="005307B0">
            <w:pPr>
              <w:pStyle w:val="SCCLsocParty"/>
              <w:jc w:val="both"/>
              <w:rPr>
                <w:b/>
                <w:sz w:val="20"/>
                <w:szCs w:val="20"/>
              </w:rPr>
            </w:pPr>
            <w:r w:rsidRPr="005307B0">
              <w:rPr>
                <w:sz w:val="20"/>
              </w:rPr>
              <w:t xml:space="preserve">La requête en prorogation du délai de signification et de dépôt de la demande d’autorisation d’appel est accueillie. La demande d’autorisation d’appel de l’arrêt de la </w:t>
            </w:r>
            <w:r w:rsidRPr="005307B0">
              <w:rPr>
                <w:sz w:val="20"/>
                <w:lang w:val="fr-FR"/>
              </w:rPr>
              <w:t>Cour d’appel de l’Ontario</w:t>
            </w:r>
            <w:r w:rsidRPr="005307B0">
              <w:rPr>
                <w:sz w:val="20"/>
              </w:rPr>
              <w:t xml:space="preserve">, numéro </w:t>
            </w:r>
            <w:r w:rsidRPr="005307B0">
              <w:rPr>
                <w:sz w:val="20"/>
                <w:lang w:val="fr-FR"/>
              </w:rPr>
              <w:t>C60103, 2017 ONCA 290</w:t>
            </w:r>
            <w:r w:rsidRPr="005307B0">
              <w:rPr>
                <w:sz w:val="20"/>
              </w:rPr>
              <w:t xml:space="preserve">, daté du </w:t>
            </w:r>
            <w:r w:rsidRPr="005307B0">
              <w:rPr>
                <w:sz w:val="20"/>
                <w:lang w:val="fr-FR"/>
              </w:rPr>
              <w:t>11 avril 2017</w:t>
            </w:r>
            <w:r w:rsidRPr="005307B0">
              <w:rPr>
                <w:sz w:val="20"/>
              </w:rPr>
              <w:t>, est rejetée.</w:t>
            </w:r>
          </w:p>
        </w:tc>
      </w:tr>
      <w:tr w:rsidR="005307B0" w:rsidRPr="003A01D0" w:rsidTr="00DE47D4">
        <w:tc>
          <w:tcPr>
            <w:tcW w:w="5000" w:type="pct"/>
            <w:gridSpan w:val="4"/>
          </w:tcPr>
          <w:p w:rsidR="005307B0" w:rsidRPr="009021BE" w:rsidRDefault="005307B0" w:rsidP="005307B0">
            <w:pPr>
              <w:jc w:val="both"/>
              <w:rPr>
                <w:sz w:val="20"/>
                <w:lang w:val="fr-CA"/>
              </w:rPr>
            </w:pPr>
            <w:r w:rsidRPr="009021BE">
              <w:rPr>
                <w:i/>
                <w:sz w:val="20"/>
                <w:lang w:val="fr-CA"/>
              </w:rPr>
              <w:t>Charte des droits et libertés</w:t>
            </w:r>
            <w:r w:rsidRPr="009021BE">
              <w:rPr>
                <w:sz w:val="20"/>
                <w:lang w:val="fr-CA"/>
              </w:rPr>
              <w:t xml:space="preserve"> – Fouilles, perquisitions et saisies – Droit criminel – Preuve – La juge du procès a-t-elle commis une erreur dans l’application du par. 24(2) de la </w:t>
            </w:r>
            <w:r w:rsidRPr="009021BE">
              <w:rPr>
                <w:i/>
                <w:sz w:val="20"/>
                <w:lang w:val="fr-CA"/>
              </w:rPr>
              <w:t>Charte</w:t>
            </w:r>
            <w:r w:rsidRPr="009021BE">
              <w:rPr>
                <w:sz w:val="20"/>
                <w:lang w:val="fr-CA"/>
              </w:rPr>
              <w:t>?</w:t>
            </w:r>
            <w:r w:rsidRPr="009021BE">
              <w:rPr>
                <w:i/>
                <w:sz w:val="20"/>
                <w:lang w:val="fr-CA"/>
              </w:rPr>
              <w:t xml:space="preserve"> </w:t>
            </w:r>
            <w:r w:rsidRPr="009021BE">
              <w:rPr>
                <w:sz w:val="20"/>
                <w:lang w:val="fr-CA"/>
              </w:rPr>
              <w:t>– Admissibilité du contenu du BlackBerry de l’accusé – Admissibilité de déclarations relatées.</w:t>
            </w:r>
          </w:p>
        </w:tc>
      </w:tr>
      <w:tr w:rsidR="005307B0" w:rsidRPr="003A01D0" w:rsidTr="00DE47D4">
        <w:tc>
          <w:tcPr>
            <w:tcW w:w="5000" w:type="pct"/>
            <w:gridSpan w:val="4"/>
          </w:tcPr>
          <w:p w:rsidR="005307B0" w:rsidRPr="009021BE" w:rsidRDefault="005307B0" w:rsidP="005307B0">
            <w:pPr>
              <w:jc w:val="both"/>
              <w:rPr>
                <w:sz w:val="20"/>
                <w:lang w:val="fr-CA"/>
              </w:rPr>
            </w:pPr>
          </w:p>
        </w:tc>
      </w:tr>
      <w:tr w:rsidR="005307B0" w:rsidRPr="003A01D0" w:rsidTr="00DE47D4">
        <w:tc>
          <w:tcPr>
            <w:tcW w:w="5000" w:type="pct"/>
            <w:gridSpan w:val="4"/>
          </w:tcPr>
          <w:p w:rsidR="005307B0" w:rsidRPr="009021BE" w:rsidRDefault="005307B0" w:rsidP="005307B0">
            <w:pPr>
              <w:jc w:val="both"/>
              <w:rPr>
                <w:sz w:val="20"/>
                <w:lang w:val="fr-CA"/>
              </w:rPr>
            </w:pPr>
            <w:r w:rsidRPr="009021BE">
              <w:rPr>
                <w:sz w:val="20"/>
                <w:lang w:val="fr-CA"/>
              </w:rPr>
              <w:t>À la suite d’une enquête de corps policiers conjugués, M. Tsekouras a été accusé de plusieurs infractions liées au trafic et à la possession de marihuana et de cocaïne et de complot avec d’autres de trafic et de possession de marihuana et de cocaïne. Les communications trouvées dans le BlackBerry de M. Tsekouras ont été admises en preuve. Le BlackBerry avait été saisi accessoirement à une arrestation qui n’a pas donné lieu à une accusation formelle et qui s’est produite sans motif raisonnable et probable. Le BlackBerry avait été retenu sans que les rapports obligatoires aient été remis à un juge de paix et il a été fouillé sans mandat. La preuve du ministère public comprenait une déclaration d’un coconspirateur aux policiers avant son décès, le fait qu’un autre coconspirateur a plaidé coupable d’infractions en matière de drogue et l’exposé des faits au soutien de ce plaidoyer.</w:t>
            </w:r>
          </w:p>
          <w:p w:rsidR="005307B0" w:rsidRPr="009021BE" w:rsidRDefault="005307B0" w:rsidP="005307B0">
            <w:pPr>
              <w:jc w:val="both"/>
              <w:rPr>
                <w:sz w:val="20"/>
                <w:lang w:val="fr-CA"/>
              </w:rPr>
            </w:pPr>
          </w:p>
        </w:tc>
      </w:tr>
      <w:tr w:rsidR="005307B0" w:rsidRPr="003A01D0" w:rsidTr="00DE47D4">
        <w:tc>
          <w:tcPr>
            <w:tcW w:w="2427" w:type="pct"/>
            <w:gridSpan w:val="2"/>
          </w:tcPr>
          <w:p w:rsidR="005307B0" w:rsidRPr="009021BE" w:rsidRDefault="005307B0" w:rsidP="005307B0">
            <w:pPr>
              <w:jc w:val="both"/>
              <w:rPr>
                <w:sz w:val="20"/>
                <w:lang w:val="fr-CA"/>
              </w:rPr>
            </w:pPr>
            <w:r w:rsidRPr="009021BE">
              <w:rPr>
                <w:sz w:val="20"/>
                <w:lang w:val="fr-CA"/>
              </w:rPr>
              <w:t xml:space="preserve">20 octobre 2014 </w:t>
            </w:r>
          </w:p>
          <w:p w:rsidR="005307B0" w:rsidRPr="009021BE" w:rsidRDefault="005307B0" w:rsidP="005307B0">
            <w:pPr>
              <w:jc w:val="both"/>
              <w:rPr>
                <w:sz w:val="20"/>
                <w:lang w:val="fr-CA"/>
              </w:rPr>
            </w:pPr>
            <w:r w:rsidRPr="009021BE">
              <w:rPr>
                <w:sz w:val="20"/>
                <w:lang w:val="fr-CA"/>
              </w:rPr>
              <w:t>Cour supérieure de justice de l’Ontario</w:t>
            </w:r>
          </w:p>
          <w:p w:rsidR="005307B0" w:rsidRPr="009021BE" w:rsidRDefault="005307B0" w:rsidP="005307B0">
            <w:pPr>
              <w:jc w:val="both"/>
              <w:rPr>
                <w:sz w:val="20"/>
                <w:lang w:val="fr-CA"/>
              </w:rPr>
            </w:pPr>
            <w:r w:rsidRPr="009021BE">
              <w:rPr>
                <w:sz w:val="20"/>
                <w:lang w:val="fr-CA"/>
              </w:rPr>
              <w:t>(Juge Wright)</w:t>
            </w:r>
          </w:p>
          <w:p w:rsidR="005307B0" w:rsidRPr="009021BE" w:rsidRDefault="005307B0" w:rsidP="005307B0">
            <w:pPr>
              <w:jc w:val="both"/>
              <w:rPr>
                <w:sz w:val="20"/>
                <w:lang w:val="fr-CA"/>
              </w:rPr>
            </w:pPr>
            <w:r w:rsidRPr="009021BE">
              <w:rPr>
                <w:sz w:val="20"/>
                <w:lang w:val="fr-CA"/>
              </w:rPr>
              <w:t>(Non publié)</w:t>
            </w:r>
          </w:p>
          <w:p w:rsidR="005307B0" w:rsidRPr="009021BE" w:rsidRDefault="005307B0" w:rsidP="005307B0">
            <w:pPr>
              <w:jc w:val="both"/>
              <w:rPr>
                <w:sz w:val="20"/>
                <w:lang w:val="fr-CA"/>
              </w:rPr>
            </w:pPr>
          </w:p>
        </w:tc>
        <w:tc>
          <w:tcPr>
            <w:tcW w:w="243" w:type="pct"/>
          </w:tcPr>
          <w:p w:rsidR="005307B0" w:rsidRPr="009021BE" w:rsidRDefault="005307B0" w:rsidP="005307B0">
            <w:pPr>
              <w:jc w:val="both"/>
              <w:rPr>
                <w:sz w:val="20"/>
                <w:lang w:val="fr-CA"/>
              </w:rPr>
            </w:pPr>
          </w:p>
        </w:tc>
        <w:tc>
          <w:tcPr>
            <w:tcW w:w="2330" w:type="pct"/>
          </w:tcPr>
          <w:p w:rsidR="005307B0" w:rsidRPr="009021BE" w:rsidRDefault="005307B0" w:rsidP="005307B0">
            <w:pPr>
              <w:jc w:val="both"/>
              <w:rPr>
                <w:sz w:val="20"/>
                <w:lang w:val="fr-CA"/>
              </w:rPr>
            </w:pPr>
            <w:r w:rsidRPr="009021BE">
              <w:rPr>
                <w:sz w:val="20"/>
                <w:lang w:val="fr-CA"/>
              </w:rPr>
              <w:t xml:space="preserve">Jugement déclarant admissibles les données trouvées dans le BlackBerry de l’accusé en contravention de l’art. 8 de la </w:t>
            </w:r>
            <w:r w:rsidRPr="009021BE">
              <w:rPr>
                <w:i/>
                <w:sz w:val="20"/>
                <w:lang w:val="fr-CA"/>
              </w:rPr>
              <w:t>Charte</w:t>
            </w:r>
            <w:r w:rsidRPr="009021BE">
              <w:rPr>
                <w:sz w:val="20"/>
                <w:lang w:val="fr-CA"/>
              </w:rPr>
              <w:t xml:space="preserve"> </w:t>
            </w:r>
          </w:p>
        </w:tc>
      </w:tr>
      <w:tr w:rsidR="005307B0" w:rsidRPr="003A01D0" w:rsidTr="00DE47D4">
        <w:tc>
          <w:tcPr>
            <w:tcW w:w="2427" w:type="pct"/>
            <w:gridSpan w:val="2"/>
          </w:tcPr>
          <w:p w:rsidR="005307B0" w:rsidRPr="009021BE" w:rsidRDefault="005307B0" w:rsidP="005307B0">
            <w:pPr>
              <w:jc w:val="both"/>
              <w:rPr>
                <w:sz w:val="20"/>
                <w:lang w:val="fr-CA"/>
              </w:rPr>
            </w:pPr>
            <w:r w:rsidRPr="009021BE">
              <w:rPr>
                <w:sz w:val="20"/>
                <w:lang w:val="fr-CA"/>
              </w:rPr>
              <w:t xml:space="preserve">23 décembre 2014 </w:t>
            </w:r>
          </w:p>
          <w:p w:rsidR="005307B0" w:rsidRPr="009021BE" w:rsidRDefault="005307B0" w:rsidP="005307B0">
            <w:pPr>
              <w:jc w:val="both"/>
              <w:rPr>
                <w:sz w:val="20"/>
                <w:lang w:val="fr-CA"/>
              </w:rPr>
            </w:pPr>
            <w:r w:rsidRPr="009021BE">
              <w:rPr>
                <w:sz w:val="20"/>
                <w:lang w:val="fr-CA"/>
              </w:rPr>
              <w:t>Cour supérieure de justice de l’Ontario</w:t>
            </w:r>
          </w:p>
          <w:p w:rsidR="005307B0" w:rsidRPr="009021BE" w:rsidRDefault="005307B0" w:rsidP="005307B0">
            <w:pPr>
              <w:jc w:val="both"/>
              <w:rPr>
                <w:sz w:val="20"/>
                <w:lang w:val="fr-CA"/>
              </w:rPr>
            </w:pPr>
            <w:r w:rsidRPr="009021BE">
              <w:rPr>
                <w:sz w:val="20"/>
                <w:lang w:val="fr-CA"/>
              </w:rPr>
              <w:t>(Juge Wright)</w:t>
            </w:r>
          </w:p>
          <w:p w:rsidR="005307B0" w:rsidRPr="009021BE" w:rsidRDefault="005307B0" w:rsidP="005307B0">
            <w:pPr>
              <w:jc w:val="both"/>
              <w:rPr>
                <w:sz w:val="20"/>
                <w:lang w:val="fr-CA"/>
              </w:rPr>
            </w:pPr>
            <w:r w:rsidRPr="009021BE">
              <w:rPr>
                <w:sz w:val="20"/>
                <w:lang w:val="fr-CA"/>
              </w:rPr>
              <w:t>(Non publié)</w:t>
            </w:r>
          </w:p>
          <w:p w:rsidR="005307B0" w:rsidRPr="009021BE" w:rsidRDefault="005307B0" w:rsidP="005307B0">
            <w:pPr>
              <w:jc w:val="both"/>
              <w:rPr>
                <w:sz w:val="20"/>
                <w:lang w:val="fr-CA"/>
              </w:rPr>
            </w:pPr>
          </w:p>
        </w:tc>
        <w:tc>
          <w:tcPr>
            <w:tcW w:w="243" w:type="pct"/>
          </w:tcPr>
          <w:p w:rsidR="005307B0" w:rsidRPr="009021BE" w:rsidRDefault="005307B0" w:rsidP="005307B0">
            <w:pPr>
              <w:jc w:val="both"/>
              <w:rPr>
                <w:sz w:val="20"/>
                <w:lang w:val="fr-CA"/>
              </w:rPr>
            </w:pPr>
          </w:p>
        </w:tc>
        <w:tc>
          <w:tcPr>
            <w:tcW w:w="2330" w:type="pct"/>
          </w:tcPr>
          <w:p w:rsidR="005307B0" w:rsidRPr="009021BE" w:rsidRDefault="005307B0" w:rsidP="005307B0">
            <w:pPr>
              <w:jc w:val="both"/>
              <w:rPr>
                <w:sz w:val="20"/>
                <w:lang w:val="fr-CA"/>
              </w:rPr>
            </w:pPr>
            <w:r w:rsidRPr="009021BE">
              <w:rPr>
                <w:sz w:val="20"/>
                <w:lang w:val="fr-CA"/>
              </w:rPr>
              <w:t>Jugement déclarant admissible à des fins limitées la preuve par ouï-dire</w:t>
            </w:r>
          </w:p>
        </w:tc>
      </w:tr>
      <w:tr w:rsidR="005307B0" w:rsidRPr="009021BE" w:rsidTr="00BD4227">
        <w:trPr>
          <w:trHeight w:val="1998"/>
        </w:trPr>
        <w:tc>
          <w:tcPr>
            <w:tcW w:w="2427" w:type="pct"/>
            <w:gridSpan w:val="2"/>
          </w:tcPr>
          <w:p w:rsidR="005307B0" w:rsidRPr="009021BE" w:rsidRDefault="005307B0" w:rsidP="005307B0">
            <w:pPr>
              <w:jc w:val="both"/>
              <w:rPr>
                <w:sz w:val="20"/>
                <w:lang w:val="fr-CA"/>
              </w:rPr>
            </w:pPr>
            <w:r w:rsidRPr="009021BE">
              <w:rPr>
                <w:sz w:val="20"/>
                <w:lang w:val="fr-CA"/>
              </w:rPr>
              <w:t>5 mars 2015</w:t>
            </w:r>
          </w:p>
          <w:p w:rsidR="005307B0" w:rsidRPr="009021BE" w:rsidRDefault="005307B0" w:rsidP="005307B0">
            <w:pPr>
              <w:jc w:val="both"/>
              <w:rPr>
                <w:sz w:val="20"/>
                <w:lang w:val="fr-CA"/>
              </w:rPr>
            </w:pPr>
            <w:r w:rsidRPr="009021BE">
              <w:rPr>
                <w:sz w:val="20"/>
                <w:lang w:val="fr-CA"/>
              </w:rPr>
              <w:t>Cour supérieure de justice de l’Ontario</w:t>
            </w:r>
          </w:p>
          <w:p w:rsidR="005307B0" w:rsidRPr="009021BE" w:rsidRDefault="005307B0" w:rsidP="005307B0">
            <w:pPr>
              <w:jc w:val="both"/>
              <w:rPr>
                <w:sz w:val="20"/>
                <w:lang w:val="fr-CA"/>
              </w:rPr>
            </w:pPr>
            <w:r w:rsidRPr="009021BE">
              <w:rPr>
                <w:sz w:val="20"/>
                <w:lang w:val="fr-CA"/>
              </w:rPr>
              <w:t>(Juge Wright)</w:t>
            </w:r>
          </w:p>
          <w:p w:rsidR="005307B0" w:rsidRPr="009021BE" w:rsidRDefault="00167F64" w:rsidP="005307B0">
            <w:pPr>
              <w:jc w:val="both"/>
              <w:rPr>
                <w:sz w:val="20"/>
                <w:lang w:val="fr-CA"/>
              </w:rPr>
            </w:pPr>
            <w:hyperlink r:id="rId35" w:history="1">
              <w:r w:rsidR="005307B0" w:rsidRPr="009021BE">
                <w:rPr>
                  <w:rStyle w:val="Hyperlink"/>
                  <w:sz w:val="20"/>
                  <w:lang w:val="fr-CA"/>
                </w:rPr>
                <w:t>2015 ONSC 1470</w:t>
              </w:r>
            </w:hyperlink>
            <w:r w:rsidR="005307B0" w:rsidRPr="009021BE">
              <w:rPr>
                <w:sz w:val="20"/>
                <w:lang w:val="fr-CA"/>
              </w:rPr>
              <w:t xml:space="preserve"> </w:t>
            </w:r>
          </w:p>
          <w:p w:rsidR="005307B0" w:rsidRPr="009021BE" w:rsidRDefault="005307B0" w:rsidP="005307B0">
            <w:pPr>
              <w:jc w:val="both"/>
              <w:rPr>
                <w:sz w:val="20"/>
                <w:lang w:val="fr-CA"/>
              </w:rPr>
            </w:pPr>
          </w:p>
        </w:tc>
        <w:tc>
          <w:tcPr>
            <w:tcW w:w="243" w:type="pct"/>
          </w:tcPr>
          <w:p w:rsidR="005307B0" w:rsidRPr="009021BE" w:rsidRDefault="005307B0" w:rsidP="005307B0">
            <w:pPr>
              <w:jc w:val="both"/>
              <w:rPr>
                <w:sz w:val="20"/>
                <w:lang w:val="fr-CA"/>
              </w:rPr>
            </w:pPr>
          </w:p>
        </w:tc>
        <w:tc>
          <w:tcPr>
            <w:tcW w:w="2330" w:type="pct"/>
          </w:tcPr>
          <w:p w:rsidR="005307B0" w:rsidRPr="009021BE" w:rsidRDefault="005307B0" w:rsidP="005307B0">
            <w:pPr>
              <w:widowControl w:val="0"/>
              <w:tabs>
                <w:tab w:val="left" w:pos="2279"/>
              </w:tabs>
              <w:ind w:right="114"/>
              <w:jc w:val="both"/>
              <w:rPr>
                <w:sz w:val="20"/>
                <w:lang w:val="fr-CA"/>
              </w:rPr>
            </w:pPr>
            <w:r w:rsidRPr="009021BE">
              <w:rPr>
                <w:sz w:val="20"/>
                <w:lang w:val="fr-CA"/>
              </w:rPr>
              <w:t>Déclarations de culpabilité : trafic de marihuana, complot de trafic de marihuana, possession de marihuana en vue d’en faire le trafic, complot de possession de marihuana en vue d’en faire le trafic, trafic de cocaïne, complot de trafic de cocaïne, possession de cocaïne en vue d’en faire le trafic, complot de possession de cocaïne en vue d’en faire le trafic. Acquittements relativement aux autres chefs.</w:t>
            </w:r>
          </w:p>
          <w:p w:rsidR="005307B0" w:rsidRPr="009021BE" w:rsidRDefault="005307B0" w:rsidP="005307B0">
            <w:pPr>
              <w:widowControl w:val="0"/>
              <w:tabs>
                <w:tab w:val="left" w:pos="2279"/>
              </w:tabs>
              <w:ind w:right="114"/>
              <w:jc w:val="both"/>
              <w:rPr>
                <w:sz w:val="20"/>
                <w:lang w:val="fr-CA"/>
              </w:rPr>
            </w:pPr>
          </w:p>
        </w:tc>
      </w:tr>
      <w:tr w:rsidR="005307B0" w:rsidRPr="009021BE" w:rsidTr="00DE47D4">
        <w:trPr>
          <w:trHeight w:val="1035"/>
        </w:trPr>
        <w:tc>
          <w:tcPr>
            <w:tcW w:w="2427" w:type="pct"/>
            <w:gridSpan w:val="2"/>
          </w:tcPr>
          <w:p w:rsidR="005307B0" w:rsidRPr="009021BE" w:rsidRDefault="005307B0" w:rsidP="005307B0">
            <w:pPr>
              <w:jc w:val="both"/>
              <w:rPr>
                <w:sz w:val="20"/>
                <w:lang w:val="fr-CA"/>
              </w:rPr>
            </w:pPr>
            <w:r w:rsidRPr="009021BE">
              <w:rPr>
                <w:sz w:val="20"/>
                <w:lang w:val="fr-CA"/>
              </w:rPr>
              <w:t>11 avril 2017</w:t>
            </w:r>
          </w:p>
          <w:p w:rsidR="005307B0" w:rsidRPr="009021BE" w:rsidRDefault="005307B0" w:rsidP="005307B0">
            <w:pPr>
              <w:jc w:val="both"/>
              <w:rPr>
                <w:sz w:val="20"/>
                <w:lang w:val="fr-CA"/>
              </w:rPr>
            </w:pPr>
            <w:r w:rsidRPr="009021BE">
              <w:rPr>
                <w:sz w:val="20"/>
                <w:lang w:val="fr-CA"/>
              </w:rPr>
              <w:t>Cour d’appel de l’Ontario</w:t>
            </w:r>
          </w:p>
          <w:p w:rsidR="005307B0" w:rsidRPr="009021BE" w:rsidRDefault="005307B0" w:rsidP="005307B0">
            <w:pPr>
              <w:jc w:val="both"/>
              <w:rPr>
                <w:sz w:val="20"/>
                <w:lang w:val="fr-CA"/>
              </w:rPr>
            </w:pPr>
            <w:r w:rsidRPr="009021BE">
              <w:rPr>
                <w:sz w:val="20"/>
                <w:lang w:val="fr-CA"/>
              </w:rPr>
              <w:t>(Juge en chef Strathy, juges Weiler et Watt)</w:t>
            </w:r>
          </w:p>
          <w:p w:rsidR="005307B0" w:rsidRPr="00BF319D" w:rsidRDefault="005307B0" w:rsidP="005307B0">
            <w:pPr>
              <w:jc w:val="both"/>
              <w:rPr>
                <w:rStyle w:val="Hyperlink"/>
                <w:sz w:val="20"/>
                <w:lang w:val="fr-CA"/>
              </w:rPr>
            </w:pPr>
            <w:r w:rsidRPr="009021BE">
              <w:rPr>
                <w:sz w:val="20"/>
                <w:lang w:val="fr-CA"/>
              </w:rPr>
              <w:t xml:space="preserve">C60103; </w:t>
            </w:r>
            <w:hyperlink r:id="rId36" w:history="1">
              <w:r w:rsidRPr="009021BE">
                <w:rPr>
                  <w:rStyle w:val="Hyperlink"/>
                  <w:sz w:val="20"/>
                  <w:lang w:val="fr-CA"/>
                </w:rPr>
                <w:t>2017 ONCA 290</w:t>
              </w:r>
            </w:hyperlink>
          </w:p>
          <w:p w:rsidR="005307B0" w:rsidRPr="00BF319D" w:rsidRDefault="005307B0" w:rsidP="005307B0">
            <w:pPr>
              <w:jc w:val="both"/>
              <w:rPr>
                <w:sz w:val="20"/>
                <w:lang w:val="fr-CA"/>
              </w:rPr>
            </w:pPr>
          </w:p>
        </w:tc>
        <w:tc>
          <w:tcPr>
            <w:tcW w:w="243" w:type="pct"/>
          </w:tcPr>
          <w:p w:rsidR="005307B0" w:rsidRPr="009021BE" w:rsidRDefault="005307B0" w:rsidP="005307B0">
            <w:pPr>
              <w:jc w:val="both"/>
              <w:rPr>
                <w:sz w:val="20"/>
                <w:lang w:val="fr-CA"/>
              </w:rPr>
            </w:pPr>
          </w:p>
        </w:tc>
        <w:tc>
          <w:tcPr>
            <w:tcW w:w="2330" w:type="pct"/>
          </w:tcPr>
          <w:p w:rsidR="005307B0" w:rsidRPr="009021BE" w:rsidRDefault="005307B0" w:rsidP="005307B0">
            <w:pPr>
              <w:jc w:val="both"/>
              <w:rPr>
                <w:sz w:val="20"/>
                <w:lang w:val="fr-CA"/>
              </w:rPr>
            </w:pPr>
            <w:r w:rsidRPr="009021BE">
              <w:rPr>
                <w:sz w:val="20"/>
                <w:lang w:val="fr-CA"/>
              </w:rPr>
              <w:t>Rejet de l’appel</w:t>
            </w:r>
          </w:p>
          <w:p w:rsidR="005307B0" w:rsidRPr="009021BE" w:rsidRDefault="005307B0" w:rsidP="005307B0">
            <w:pPr>
              <w:jc w:val="both"/>
              <w:rPr>
                <w:sz w:val="20"/>
                <w:lang w:val="fr-CA"/>
              </w:rPr>
            </w:pPr>
          </w:p>
        </w:tc>
      </w:tr>
      <w:tr w:rsidR="005307B0" w:rsidRPr="003A01D0" w:rsidTr="00DE47D4">
        <w:trPr>
          <w:trHeight w:val="625"/>
        </w:trPr>
        <w:tc>
          <w:tcPr>
            <w:tcW w:w="2427" w:type="pct"/>
            <w:gridSpan w:val="2"/>
          </w:tcPr>
          <w:p w:rsidR="005307B0" w:rsidRPr="009021BE" w:rsidRDefault="005307B0" w:rsidP="005307B0">
            <w:pPr>
              <w:jc w:val="both"/>
              <w:rPr>
                <w:sz w:val="20"/>
                <w:lang w:val="fr-CA"/>
              </w:rPr>
            </w:pPr>
            <w:r w:rsidRPr="009021BE">
              <w:rPr>
                <w:sz w:val="20"/>
                <w:lang w:val="fr-CA"/>
              </w:rPr>
              <w:t>16 juin 2017</w:t>
            </w:r>
          </w:p>
          <w:p w:rsidR="005307B0" w:rsidRPr="009021BE" w:rsidRDefault="005307B0" w:rsidP="005307B0">
            <w:pPr>
              <w:jc w:val="both"/>
              <w:rPr>
                <w:sz w:val="20"/>
                <w:lang w:val="fr-CA"/>
              </w:rPr>
            </w:pPr>
            <w:r w:rsidRPr="009021BE">
              <w:rPr>
                <w:sz w:val="20"/>
                <w:lang w:val="fr-CA"/>
              </w:rPr>
              <w:t>Cour suprême du Canada</w:t>
            </w:r>
          </w:p>
        </w:tc>
        <w:tc>
          <w:tcPr>
            <w:tcW w:w="243" w:type="pct"/>
          </w:tcPr>
          <w:p w:rsidR="005307B0" w:rsidRPr="009021BE" w:rsidRDefault="005307B0" w:rsidP="005307B0">
            <w:pPr>
              <w:jc w:val="both"/>
              <w:rPr>
                <w:sz w:val="20"/>
                <w:lang w:val="fr-CA"/>
              </w:rPr>
            </w:pPr>
          </w:p>
        </w:tc>
        <w:tc>
          <w:tcPr>
            <w:tcW w:w="2330" w:type="pct"/>
          </w:tcPr>
          <w:p w:rsidR="005307B0" w:rsidRPr="009021BE" w:rsidRDefault="005307B0" w:rsidP="005307B0">
            <w:pPr>
              <w:jc w:val="both"/>
              <w:rPr>
                <w:sz w:val="20"/>
                <w:lang w:val="fr-CA"/>
              </w:rPr>
            </w:pPr>
            <w:r w:rsidRPr="009021BE">
              <w:rPr>
                <w:sz w:val="20"/>
                <w:lang w:val="fr-CA"/>
              </w:rPr>
              <w:t>Dépôt de la demande de prorogation du délai de signification et de dépôt de la demande d’autorisation d’appel et de la demande d’autorisation d’appel</w:t>
            </w:r>
          </w:p>
        </w:tc>
      </w:tr>
    </w:tbl>
    <w:p w:rsidR="00BC5022" w:rsidRDefault="00167F64" w:rsidP="006A0A32">
      <w:pPr>
        <w:jc w:val="both"/>
        <w:rPr>
          <w:sz w:val="20"/>
          <w:szCs w:val="20"/>
        </w:rPr>
      </w:pPr>
      <w:r>
        <w:rPr>
          <w:sz w:val="20"/>
          <w:szCs w:val="20"/>
        </w:rPr>
        <w:pict>
          <v:rect id="_x0000_i1042" style="width:2in;height:1pt" o:hrpct="0" o:hralign="center" o:hrstd="t" o:hrnoshade="t" o:hr="t" fillcolor="black" stroked="f"/>
        </w:pict>
      </w:r>
    </w:p>
    <w:p w:rsidR="00BD4227" w:rsidRDefault="00BD4227" w:rsidP="006A0A32">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0A32" w:rsidRPr="009021BE" w:rsidTr="00DE47D4">
        <w:tc>
          <w:tcPr>
            <w:tcW w:w="543" w:type="pct"/>
          </w:tcPr>
          <w:p w:rsidR="006A0A32" w:rsidRPr="009021BE" w:rsidRDefault="006A0A32" w:rsidP="00DE47D4">
            <w:pPr>
              <w:jc w:val="both"/>
              <w:rPr>
                <w:sz w:val="20"/>
              </w:rPr>
            </w:pPr>
            <w:r w:rsidRPr="009021BE">
              <w:rPr>
                <w:rStyle w:val="SCCFileNumberChar"/>
                <w:sz w:val="20"/>
                <w:szCs w:val="20"/>
              </w:rPr>
              <w:t>37709</w:t>
            </w:r>
          </w:p>
        </w:tc>
        <w:tc>
          <w:tcPr>
            <w:tcW w:w="4457" w:type="pct"/>
          </w:tcPr>
          <w:p w:rsidR="006A0A32" w:rsidRPr="00BF319D" w:rsidRDefault="006A0A32" w:rsidP="00DE47D4">
            <w:pPr>
              <w:pStyle w:val="SCCLsocParty"/>
              <w:jc w:val="both"/>
              <w:rPr>
                <w:b/>
                <w:sz w:val="20"/>
                <w:szCs w:val="20"/>
                <w:lang w:val="en-US"/>
              </w:rPr>
            </w:pPr>
            <w:r w:rsidRPr="00BF319D">
              <w:rPr>
                <w:b/>
                <w:sz w:val="20"/>
                <w:szCs w:val="20"/>
                <w:lang w:val="en-US"/>
              </w:rPr>
              <w:t>Coburn and Watson’s Metropolitan Home dba Metropolitan Home v. BMO Financial Group, Bank of Nova Scotia, Canadian Imperial Bank of Commerce, Royal Bank of Canada, Toronto-Dominion Bank</w:t>
            </w:r>
            <w:r w:rsidR="00F443BC">
              <w:rPr>
                <w:b/>
                <w:sz w:val="20"/>
                <w:szCs w:val="20"/>
                <w:lang w:val="en-US"/>
              </w:rPr>
              <w:t>,</w:t>
            </w:r>
            <w:r w:rsidR="00F443BC" w:rsidRPr="00F443BC">
              <w:rPr>
                <w:lang w:val="en-US"/>
              </w:rPr>
              <w:t xml:space="preserve"> </w:t>
            </w:r>
            <w:r w:rsidR="00F443BC" w:rsidRPr="00F443BC">
              <w:rPr>
                <w:b/>
                <w:sz w:val="20"/>
                <w:szCs w:val="20"/>
                <w:lang w:val="en-US"/>
              </w:rPr>
              <w:t>MasterCard International Incorporated and VISA Canada Corporation</w:t>
            </w:r>
          </w:p>
          <w:p w:rsidR="006A0A32" w:rsidRPr="009021BE" w:rsidRDefault="006A0A32" w:rsidP="00DE47D4">
            <w:pPr>
              <w:jc w:val="both"/>
              <w:rPr>
                <w:sz w:val="20"/>
              </w:rPr>
            </w:pPr>
            <w:r w:rsidRPr="009021BE">
              <w:rPr>
                <w:sz w:val="20"/>
              </w:rPr>
              <w:t>(B.C.) (Civil) (By Leave)</w:t>
            </w:r>
          </w:p>
        </w:tc>
      </w:tr>
      <w:tr w:rsidR="000F0ABF" w:rsidRPr="009021BE" w:rsidTr="00DE47D4">
        <w:tc>
          <w:tcPr>
            <w:tcW w:w="543" w:type="pct"/>
          </w:tcPr>
          <w:p w:rsidR="000F0ABF" w:rsidRPr="005F1C17" w:rsidRDefault="000F0ABF" w:rsidP="000F0ABF">
            <w:pPr>
              <w:jc w:val="both"/>
              <w:rPr>
                <w:rStyle w:val="SCCFileNumberChar"/>
                <w:sz w:val="20"/>
                <w:szCs w:val="20"/>
              </w:rPr>
            </w:pPr>
            <w:r w:rsidRPr="00AE0F22">
              <w:rPr>
                <w:rStyle w:val="SCCFileNumberChar"/>
                <w:b w:val="0"/>
                <w:sz w:val="20"/>
                <w:szCs w:val="20"/>
              </w:rPr>
              <w:t xml:space="preserve">Coram: </w:t>
            </w:r>
          </w:p>
        </w:tc>
        <w:tc>
          <w:tcPr>
            <w:tcW w:w="4457" w:type="pct"/>
          </w:tcPr>
          <w:p w:rsidR="000F0ABF" w:rsidRPr="005F1C17" w:rsidRDefault="000F0ABF" w:rsidP="000F0ABF">
            <w:pPr>
              <w:rPr>
                <w:rFonts w:eastAsia="Calibri" w:cs="Times New Roman"/>
                <w:sz w:val="20"/>
                <w:szCs w:val="20"/>
                <w:u w:val="single"/>
                <w:lang w:val="en-US"/>
              </w:rPr>
            </w:pPr>
            <w:r w:rsidRPr="005F1C17">
              <w:rPr>
                <w:rFonts w:eastAsia="Calibri" w:cs="Times New Roman"/>
                <w:sz w:val="20"/>
                <w:szCs w:val="20"/>
                <w:u w:val="single"/>
                <w:lang w:val="en-US"/>
              </w:rPr>
              <w:t>Wagner C.J. and Abella, Moldaver, Karakatsanis, Gascon, Brown, Rowe and Martin JJ.</w:t>
            </w:r>
          </w:p>
          <w:p w:rsidR="000F0ABF" w:rsidRPr="005F1C17" w:rsidRDefault="000F0ABF" w:rsidP="000F0ABF">
            <w:pPr>
              <w:rPr>
                <w:rFonts w:eastAsia="Calibri" w:cs="Times New Roman"/>
                <w:sz w:val="20"/>
                <w:szCs w:val="20"/>
                <w:u w:val="single"/>
                <w:lang w:val="en-US"/>
              </w:rPr>
            </w:pPr>
          </w:p>
        </w:tc>
      </w:tr>
      <w:tr w:rsidR="000F0ABF" w:rsidRPr="009021BE" w:rsidTr="000F0ABF">
        <w:tc>
          <w:tcPr>
            <w:tcW w:w="5000" w:type="pct"/>
            <w:gridSpan w:val="2"/>
          </w:tcPr>
          <w:p w:rsidR="000F0ABF" w:rsidRPr="000F0ABF" w:rsidRDefault="000F0ABF" w:rsidP="000F0ABF">
            <w:pPr>
              <w:pStyle w:val="SCCLsocParty"/>
              <w:jc w:val="both"/>
              <w:rPr>
                <w:b/>
                <w:sz w:val="20"/>
                <w:szCs w:val="20"/>
                <w:lang w:val="en-US"/>
              </w:rPr>
            </w:pPr>
            <w:r w:rsidRPr="000F0ABF">
              <w:rPr>
                <w:sz w:val="20"/>
                <w:lang w:val="en-US"/>
              </w:rPr>
              <w:t>The application for leave to appeal from the judgment of the Court of Appeal for British Columbia (Vancouver), Number CA44033, 2017 BCCA 202, dated May 25, 2017, is dismissed with costs in favour of the respondents, the BMO Financial Group, the Bank of Nova Scotia, the Canadian Imperial Bank of Commerce, the Royal Bank of Canada and the Toronto- Dominion Bank.</w:t>
            </w:r>
          </w:p>
        </w:tc>
      </w:tr>
    </w:tbl>
    <w:p w:rsidR="00BD4227" w:rsidRDefault="00BD4227">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F0ABF" w:rsidRPr="009021BE" w:rsidTr="00DE47D4">
        <w:tc>
          <w:tcPr>
            <w:tcW w:w="5000" w:type="pct"/>
            <w:gridSpan w:val="3"/>
          </w:tcPr>
          <w:p w:rsidR="000F0ABF" w:rsidRPr="009021BE" w:rsidRDefault="000F0ABF" w:rsidP="000F0ABF">
            <w:pPr>
              <w:jc w:val="both"/>
              <w:rPr>
                <w:sz w:val="20"/>
              </w:rPr>
            </w:pPr>
            <w:r w:rsidRPr="009021BE">
              <w:rPr>
                <w:sz w:val="20"/>
              </w:rPr>
              <w:t xml:space="preserve">Civil procedure – Class actions – Pleadings – Amendment – Competition – Offences – Financial institutions – Banks – Representative plaintiff in a class action seeking to amend pleadings to assert various claims of conspiracy based on competition law – What is the scope of ss. 45 and 49 of the </w:t>
            </w:r>
            <w:r w:rsidRPr="009021BE">
              <w:rPr>
                <w:i/>
                <w:sz w:val="20"/>
              </w:rPr>
              <w:t>Competition Act</w:t>
            </w:r>
            <w:r w:rsidRPr="009021BE">
              <w:rPr>
                <w:sz w:val="20"/>
              </w:rPr>
              <w:t xml:space="preserve">, </w:t>
            </w:r>
            <w:r w:rsidRPr="009021BE">
              <w:rPr>
                <w:sz w:val="20"/>
                <w:lang w:val="en"/>
              </w:rPr>
              <w:t>R.S.C. 1985, c. C-34</w:t>
            </w:r>
            <w:r w:rsidRPr="009021BE">
              <w:rPr>
                <w:sz w:val="20"/>
              </w:rPr>
              <w:t>? – Have the issuing banks created a credit card market structure that makes them immune from competition law scrutiny even if they fix prices and eliminate competition?</w:t>
            </w:r>
          </w:p>
        </w:tc>
      </w:tr>
      <w:tr w:rsidR="000F0ABF" w:rsidRPr="009021BE" w:rsidTr="00DE47D4">
        <w:tc>
          <w:tcPr>
            <w:tcW w:w="5000" w:type="pct"/>
            <w:gridSpan w:val="3"/>
          </w:tcPr>
          <w:p w:rsidR="000F0ABF" w:rsidRPr="009021BE" w:rsidRDefault="000F0ABF" w:rsidP="000F0ABF">
            <w:pPr>
              <w:jc w:val="both"/>
              <w:rPr>
                <w:sz w:val="20"/>
              </w:rPr>
            </w:pPr>
          </w:p>
        </w:tc>
      </w:tr>
      <w:tr w:rsidR="000F0ABF" w:rsidRPr="009021BE" w:rsidTr="00DE47D4">
        <w:tc>
          <w:tcPr>
            <w:tcW w:w="5000" w:type="pct"/>
            <w:gridSpan w:val="3"/>
          </w:tcPr>
          <w:p w:rsidR="000F0ABF" w:rsidRPr="009021BE" w:rsidRDefault="000F0ABF" w:rsidP="000F0ABF">
            <w:pPr>
              <w:jc w:val="both"/>
              <w:rPr>
                <w:sz w:val="20"/>
                <w:lang w:val="en"/>
              </w:rPr>
            </w:pPr>
            <w:r w:rsidRPr="009021BE">
              <w:rPr>
                <w:iCs/>
                <w:sz w:val="20"/>
              </w:rPr>
              <w:t>Coburn and Watson’s Metropolitan Home</w:t>
            </w:r>
            <w:r w:rsidRPr="009021BE">
              <w:rPr>
                <w:sz w:val="20"/>
              </w:rPr>
              <w:t xml:space="preserve"> is a representative plaintiff in a class action commenced by merchants against the defendant banks and credit card companies. Coburn alleged that </w:t>
            </w:r>
            <w:r w:rsidRPr="009021BE">
              <w:rPr>
                <w:sz w:val="20"/>
                <w:lang w:val="en"/>
              </w:rPr>
              <w:t>the various defendants unlawfully fixed the price of fees paid by merchants whose customers use Visa and MasterCard credit cards. It pleaded statutory causes of action in conspiracy based on the current and former s. 45 of the</w:t>
            </w:r>
            <w:r w:rsidRPr="009021BE">
              <w:rPr>
                <w:i/>
                <w:iCs/>
                <w:sz w:val="20"/>
                <w:lang w:val="en"/>
              </w:rPr>
              <w:t xml:space="preserve"> Competition Act</w:t>
            </w:r>
            <w:r w:rsidRPr="009021BE">
              <w:rPr>
                <w:sz w:val="20"/>
                <w:lang w:val="en"/>
              </w:rPr>
              <w:t xml:space="preserve">, R.S.C. 1985, c. C-34, the now-repealed s. 61 of the Act, the torts of conspiracy to injure and conspiracy to commit an unlawful act, unlawful interference with economic interests, and restitutionary relief based on unjust enrichment, waiver of tort and constructive trust. </w:t>
            </w:r>
          </w:p>
          <w:p w:rsidR="000F0ABF" w:rsidRPr="009021BE" w:rsidRDefault="000F0ABF" w:rsidP="000F0ABF">
            <w:pPr>
              <w:jc w:val="both"/>
              <w:rPr>
                <w:sz w:val="20"/>
                <w:lang w:val="en"/>
              </w:rPr>
            </w:pPr>
          </w:p>
          <w:p w:rsidR="000F0ABF" w:rsidRPr="009021BE" w:rsidRDefault="000F0ABF" w:rsidP="000F0ABF">
            <w:pPr>
              <w:autoSpaceDE w:val="0"/>
              <w:autoSpaceDN w:val="0"/>
              <w:adjustRightInd w:val="0"/>
              <w:jc w:val="both"/>
              <w:rPr>
                <w:sz w:val="20"/>
                <w:lang w:val="en"/>
              </w:rPr>
            </w:pPr>
            <w:r w:rsidRPr="009021BE">
              <w:rPr>
                <w:sz w:val="20"/>
                <w:lang w:val="en"/>
              </w:rPr>
              <w:t>On appeal from the certification decision in the action, the Court of Appeal struck Coburn’s claim for breach of the current s. 45 of the Act. Coburn then sought an amendment to the pleadings to reintroduce the claim of conspiracy under the same provision, add a new claim in conspiracy under s. 49, and introduce the aiding and abetting theory as an alternative ground for supporting a claim based on the breach of the current s. 45 of the Act.</w:t>
            </w:r>
          </w:p>
          <w:p w:rsidR="000F0ABF" w:rsidRPr="009021BE" w:rsidRDefault="000F0ABF" w:rsidP="000F0ABF">
            <w:pPr>
              <w:autoSpaceDE w:val="0"/>
              <w:autoSpaceDN w:val="0"/>
              <w:adjustRightInd w:val="0"/>
              <w:jc w:val="both"/>
              <w:rPr>
                <w:sz w:val="20"/>
                <w:lang w:val="en"/>
              </w:rPr>
            </w:pPr>
          </w:p>
        </w:tc>
      </w:tr>
      <w:tr w:rsidR="000F0ABF" w:rsidRPr="009021BE" w:rsidTr="00DE47D4">
        <w:tc>
          <w:tcPr>
            <w:tcW w:w="2427" w:type="pct"/>
          </w:tcPr>
          <w:p w:rsidR="000F0ABF" w:rsidRPr="009021BE" w:rsidRDefault="000F0ABF" w:rsidP="000F0ABF">
            <w:pPr>
              <w:jc w:val="both"/>
              <w:rPr>
                <w:sz w:val="20"/>
              </w:rPr>
            </w:pPr>
            <w:r w:rsidRPr="009021BE">
              <w:rPr>
                <w:sz w:val="20"/>
              </w:rPr>
              <w:t>November 2, 2016</w:t>
            </w:r>
          </w:p>
          <w:p w:rsidR="000F0ABF" w:rsidRPr="009021BE" w:rsidRDefault="000F0ABF" w:rsidP="000F0ABF">
            <w:pPr>
              <w:jc w:val="both"/>
              <w:rPr>
                <w:sz w:val="20"/>
              </w:rPr>
            </w:pPr>
            <w:r w:rsidRPr="009021BE">
              <w:rPr>
                <w:sz w:val="20"/>
              </w:rPr>
              <w:t>Supreme Court of British Columbia</w:t>
            </w:r>
          </w:p>
          <w:p w:rsidR="000F0ABF" w:rsidRPr="009021BE" w:rsidRDefault="000F0ABF" w:rsidP="000F0ABF">
            <w:pPr>
              <w:jc w:val="both"/>
              <w:rPr>
                <w:sz w:val="20"/>
              </w:rPr>
            </w:pPr>
            <w:r w:rsidRPr="009021BE">
              <w:rPr>
                <w:sz w:val="20"/>
              </w:rPr>
              <w:t>(Weatherill J.)</w:t>
            </w:r>
          </w:p>
          <w:p w:rsidR="000F0ABF" w:rsidRPr="009021BE" w:rsidRDefault="00167F64" w:rsidP="000F0ABF">
            <w:pPr>
              <w:jc w:val="both"/>
              <w:rPr>
                <w:sz w:val="20"/>
              </w:rPr>
            </w:pPr>
            <w:hyperlink r:id="rId37" w:history="1">
              <w:r w:rsidR="000F0ABF" w:rsidRPr="009021BE">
                <w:rPr>
                  <w:rStyle w:val="Hyperlink"/>
                  <w:sz w:val="20"/>
                </w:rPr>
                <w:t>2016 BCSC 2021</w:t>
              </w:r>
            </w:hyperlink>
          </w:p>
          <w:p w:rsidR="000F0ABF" w:rsidRPr="009021BE" w:rsidRDefault="000F0ABF" w:rsidP="000F0ABF">
            <w:pPr>
              <w:jc w:val="both"/>
              <w:rPr>
                <w:sz w:val="20"/>
              </w:rPr>
            </w:pPr>
          </w:p>
        </w:tc>
        <w:tc>
          <w:tcPr>
            <w:tcW w:w="243" w:type="pct"/>
          </w:tcPr>
          <w:p w:rsidR="000F0ABF" w:rsidRPr="009021BE" w:rsidRDefault="000F0ABF" w:rsidP="000F0ABF">
            <w:pPr>
              <w:jc w:val="both"/>
              <w:rPr>
                <w:sz w:val="20"/>
              </w:rPr>
            </w:pPr>
          </w:p>
        </w:tc>
        <w:tc>
          <w:tcPr>
            <w:tcW w:w="2330" w:type="pct"/>
          </w:tcPr>
          <w:p w:rsidR="000F0ABF" w:rsidRPr="009021BE" w:rsidRDefault="000F0ABF" w:rsidP="000F0ABF">
            <w:pPr>
              <w:jc w:val="both"/>
              <w:rPr>
                <w:sz w:val="20"/>
              </w:rPr>
            </w:pPr>
            <w:r w:rsidRPr="009021BE">
              <w:rPr>
                <w:sz w:val="20"/>
              </w:rPr>
              <w:t xml:space="preserve">Application to amend pleadings dismissed </w:t>
            </w:r>
          </w:p>
          <w:p w:rsidR="000F0ABF" w:rsidRPr="009021BE" w:rsidRDefault="000F0ABF" w:rsidP="000F0ABF">
            <w:pPr>
              <w:jc w:val="both"/>
              <w:rPr>
                <w:sz w:val="20"/>
              </w:rPr>
            </w:pPr>
          </w:p>
        </w:tc>
      </w:tr>
      <w:tr w:rsidR="000F0ABF" w:rsidRPr="009021BE" w:rsidTr="00DE47D4">
        <w:tc>
          <w:tcPr>
            <w:tcW w:w="2427" w:type="pct"/>
          </w:tcPr>
          <w:p w:rsidR="000F0ABF" w:rsidRPr="009021BE" w:rsidRDefault="000F0ABF" w:rsidP="000F0ABF">
            <w:pPr>
              <w:jc w:val="both"/>
              <w:rPr>
                <w:sz w:val="20"/>
              </w:rPr>
            </w:pPr>
            <w:r w:rsidRPr="009021BE">
              <w:rPr>
                <w:sz w:val="20"/>
              </w:rPr>
              <w:t>May 25, 2017</w:t>
            </w:r>
          </w:p>
          <w:p w:rsidR="000F0ABF" w:rsidRPr="009021BE" w:rsidRDefault="000F0ABF" w:rsidP="000F0ABF">
            <w:pPr>
              <w:jc w:val="both"/>
              <w:rPr>
                <w:sz w:val="20"/>
              </w:rPr>
            </w:pPr>
            <w:r w:rsidRPr="009021BE">
              <w:rPr>
                <w:sz w:val="20"/>
              </w:rPr>
              <w:t xml:space="preserve">Court of Appeal for British Columbia </w:t>
            </w:r>
          </w:p>
          <w:p w:rsidR="000F0ABF" w:rsidRPr="009021BE" w:rsidRDefault="000F0ABF" w:rsidP="000F0ABF">
            <w:pPr>
              <w:jc w:val="both"/>
              <w:rPr>
                <w:sz w:val="20"/>
              </w:rPr>
            </w:pPr>
            <w:r w:rsidRPr="009021BE">
              <w:rPr>
                <w:sz w:val="20"/>
              </w:rPr>
              <w:t>(Vancouver)</w:t>
            </w:r>
          </w:p>
          <w:p w:rsidR="000F0ABF" w:rsidRPr="009021BE" w:rsidRDefault="000F0ABF" w:rsidP="000F0ABF">
            <w:pPr>
              <w:jc w:val="both"/>
              <w:rPr>
                <w:sz w:val="20"/>
              </w:rPr>
            </w:pPr>
            <w:r w:rsidRPr="009021BE">
              <w:rPr>
                <w:sz w:val="20"/>
              </w:rPr>
              <w:t>(Smith, Fenlon and Dickson JJ.A.)</w:t>
            </w:r>
          </w:p>
          <w:p w:rsidR="000F0ABF" w:rsidRPr="009021BE" w:rsidRDefault="00167F64" w:rsidP="000F0ABF">
            <w:pPr>
              <w:jc w:val="both"/>
              <w:rPr>
                <w:sz w:val="20"/>
                <w:lang w:val="en"/>
              </w:rPr>
            </w:pPr>
            <w:hyperlink r:id="rId38" w:history="1">
              <w:r w:rsidR="000F0ABF" w:rsidRPr="009021BE">
                <w:rPr>
                  <w:rStyle w:val="Hyperlink"/>
                  <w:sz w:val="20"/>
                  <w:lang w:val="en"/>
                </w:rPr>
                <w:t>2017 BCCA 202</w:t>
              </w:r>
            </w:hyperlink>
            <w:r w:rsidR="000F0ABF" w:rsidRPr="009021BE">
              <w:rPr>
                <w:sz w:val="20"/>
                <w:lang w:val="en"/>
              </w:rPr>
              <w:t xml:space="preserve"> </w:t>
            </w:r>
          </w:p>
          <w:p w:rsidR="000F0ABF" w:rsidRPr="009021BE" w:rsidRDefault="000F0ABF" w:rsidP="000F0ABF">
            <w:pPr>
              <w:jc w:val="both"/>
              <w:rPr>
                <w:sz w:val="20"/>
              </w:rPr>
            </w:pPr>
          </w:p>
        </w:tc>
        <w:tc>
          <w:tcPr>
            <w:tcW w:w="243" w:type="pct"/>
          </w:tcPr>
          <w:p w:rsidR="000F0ABF" w:rsidRPr="009021BE" w:rsidRDefault="000F0ABF" w:rsidP="000F0ABF">
            <w:pPr>
              <w:jc w:val="both"/>
              <w:rPr>
                <w:sz w:val="20"/>
              </w:rPr>
            </w:pPr>
          </w:p>
        </w:tc>
        <w:tc>
          <w:tcPr>
            <w:tcW w:w="2330" w:type="pct"/>
          </w:tcPr>
          <w:p w:rsidR="000F0ABF" w:rsidRPr="009021BE" w:rsidRDefault="000F0ABF" w:rsidP="000F0ABF">
            <w:pPr>
              <w:jc w:val="both"/>
              <w:rPr>
                <w:sz w:val="20"/>
              </w:rPr>
            </w:pPr>
            <w:r w:rsidRPr="009021BE">
              <w:rPr>
                <w:sz w:val="20"/>
              </w:rPr>
              <w:t xml:space="preserve">Appeal dismissed </w:t>
            </w:r>
          </w:p>
          <w:p w:rsidR="000F0ABF" w:rsidRPr="009021BE" w:rsidRDefault="000F0ABF" w:rsidP="000F0ABF">
            <w:pPr>
              <w:jc w:val="both"/>
              <w:rPr>
                <w:sz w:val="20"/>
              </w:rPr>
            </w:pPr>
          </w:p>
        </w:tc>
      </w:tr>
      <w:tr w:rsidR="000F0ABF" w:rsidRPr="009021BE" w:rsidTr="00DE47D4">
        <w:tc>
          <w:tcPr>
            <w:tcW w:w="2427" w:type="pct"/>
          </w:tcPr>
          <w:p w:rsidR="000F0ABF" w:rsidRPr="009021BE" w:rsidRDefault="000F0ABF" w:rsidP="000F0ABF">
            <w:pPr>
              <w:jc w:val="both"/>
              <w:rPr>
                <w:sz w:val="20"/>
              </w:rPr>
            </w:pPr>
            <w:r w:rsidRPr="009021BE">
              <w:rPr>
                <w:sz w:val="20"/>
              </w:rPr>
              <w:t>August 24, 2017</w:t>
            </w:r>
          </w:p>
          <w:p w:rsidR="000F0ABF" w:rsidRPr="009021BE" w:rsidRDefault="000F0ABF" w:rsidP="000F0ABF">
            <w:pPr>
              <w:jc w:val="both"/>
              <w:rPr>
                <w:sz w:val="20"/>
              </w:rPr>
            </w:pPr>
            <w:r w:rsidRPr="009021BE">
              <w:rPr>
                <w:sz w:val="20"/>
              </w:rPr>
              <w:t>Supreme Court of Canada</w:t>
            </w:r>
          </w:p>
        </w:tc>
        <w:tc>
          <w:tcPr>
            <w:tcW w:w="243" w:type="pct"/>
          </w:tcPr>
          <w:p w:rsidR="000F0ABF" w:rsidRPr="009021BE" w:rsidRDefault="000F0ABF" w:rsidP="000F0ABF">
            <w:pPr>
              <w:jc w:val="both"/>
              <w:rPr>
                <w:sz w:val="20"/>
              </w:rPr>
            </w:pPr>
          </w:p>
        </w:tc>
        <w:tc>
          <w:tcPr>
            <w:tcW w:w="2330" w:type="pct"/>
          </w:tcPr>
          <w:p w:rsidR="000F0ABF" w:rsidRPr="009021BE" w:rsidRDefault="000F0ABF" w:rsidP="000F0ABF">
            <w:pPr>
              <w:jc w:val="both"/>
              <w:rPr>
                <w:sz w:val="20"/>
              </w:rPr>
            </w:pPr>
            <w:r w:rsidRPr="009021BE">
              <w:rPr>
                <w:sz w:val="20"/>
              </w:rPr>
              <w:t>Application for leave to appeal filed</w:t>
            </w:r>
          </w:p>
          <w:p w:rsidR="000F0ABF" w:rsidRPr="009021BE" w:rsidRDefault="000F0ABF" w:rsidP="000F0ABF">
            <w:pPr>
              <w:jc w:val="both"/>
              <w:rPr>
                <w:sz w:val="20"/>
              </w:rPr>
            </w:pPr>
          </w:p>
        </w:tc>
      </w:tr>
    </w:tbl>
    <w:p w:rsidR="00BC5022" w:rsidRDefault="00167F64" w:rsidP="006A0A32">
      <w:pPr>
        <w:jc w:val="both"/>
        <w:rPr>
          <w:sz w:val="20"/>
          <w:szCs w:val="20"/>
        </w:rPr>
      </w:pPr>
      <w:r>
        <w:rPr>
          <w:sz w:val="20"/>
          <w:szCs w:val="20"/>
        </w:rPr>
        <w:pict>
          <v:rect id="_x0000_i1043" style="width:2in;height:1pt" o:hrpct="0" o:hralign="center" o:hrstd="t" o:hrnoshade="t" o:hr="t" fillcolor="black" stroked="f"/>
        </w:pict>
      </w:r>
    </w:p>
    <w:p w:rsidR="00BC5022" w:rsidRDefault="00BC502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0A32" w:rsidRPr="003A01D0" w:rsidTr="00DE47D4">
        <w:tc>
          <w:tcPr>
            <w:tcW w:w="543" w:type="pct"/>
          </w:tcPr>
          <w:p w:rsidR="006A0A32" w:rsidRPr="009021BE" w:rsidRDefault="006A0A32" w:rsidP="00DE47D4">
            <w:pPr>
              <w:jc w:val="both"/>
              <w:rPr>
                <w:sz w:val="20"/>
                <w:lang w:val="fr-CA"/>
              </w:rPr>
            </w:pPr>
            <w:r w:rsidRPr="009021BE">
              <w:rPr>
                <w:rStyle w:val="SCCFileNumberChar"/>
                <w:sz w:val="20"/>
                <w:szCs w:val="20"/>
                <w:lang w:val="fr-CA"/>
              </w:rPr>
              <w:t>37709</w:t>
            </w:r>
          </w:p>
        </w:tc>
        <w:tc>
          <w:tcPr>
            <w:tcW w:w="4457" w:type="pct"/>
            <w:gridSpan w:val="3"/>
          </w:tcPr>
          <w:p w:rsidR="006A0A32" w:rsidRPr="00BF319D" w:rsidRDefault="006A0A32" w:rsidP="00DE47D4">
            <w:pPr>
              <w:pStyle w:val="SCCLsocParty"/>
              <w:jc w:val="both"/>
              <w:rPr>
                <w:b/>
                <w:sz w:val="20"/>
                <w:szCs w:val="20"/>
              </w:rPr>
            </w:pPr>
            <w:r w:rsidRPr="00BF319D">
              <w:rPr>
                <w:b/>
                <w:sz w:val="20"/>
                <w:szCs w:val="20"/>
              </w:rPr>
              <w:t>Coburn and Watson’s Metropolitan Home, faisant affaire sous la dénomination Metropolitan Home c. BMO Groupe financier, Banque de Nouvelle-Écosse, Banque Canadienne Impériale de Commerce, Banque Royale du Canada, Banque Toronto-Dominion</w:t>
            </w:r>
            <w:r w:rsidR="00A7006A">
              <w:rPr>
                <w:b/>
                <w:sz w:val="20"/>
                <w:szCs w:val="20"/>
              </w:rPr>
              <w:t xml:space="preserve">, </w:t>
            </w:r>
            <w:r w:rsidR="00A7006A" w:rsidRPr="00A7006A">
              <w:rPr>
                <w:b/>
                <w:sz w:val="20"/>
                <w:szCs w:val="20"/>
              </w:rPr>
              <w:t>MasterCard International Incorporated et Corporation VISA Canada</w:t>
            </w:r>
          </w:p>
          <w:p w:rsidR="006A0A32" w:rsidRPr="009021BE" w:rsidRDefault="006A0A32" w:rsidP="00DE47D4">
            <w:pPr>
              <w:jc w:val="both"/>
              <w:rPr>
                <w:sz w:val="20"/>
                <w:lang w:val="fr-CA"/>
              </w:rPr>
            </w:pPr>
            <w:r w:rsidRPr="009021BE">
              <w:rPr>
                <w:sz w:val="20"/>
                <w:lang w:val="fr-CA"/>
              </w:rPr>
              <w:t>(C.-B) (Civile) (Sur autorisation)</w:t>
            </w:r>
          </w:p>
        </w:tc>
      </w:tr>
      <w:tr w:rsidR="00FC73FF" w:rsidRPr="003A01D0" w:rsidTr="00DE47D4">
        <w:tc>
          <w:tcPr>
            <w:tcW w:w="543" w:type="pct"/>
          </w:tcPr>
          <w:p w:rsidR="00FC73FF" w:rsidRPr="00D32F6F" w:rsidRDefault="00FC73FF" w:rsidP="00FC73FF">
            <w:pPr>
              <w:jc w:val="both"/>
              <w:rPr>
                <w:rStyle w:val="SCCFileNumberChar"/>
                <w:b w:val="0"/>
                <w:sz w:val="20"/>
                <w:szCs w:val="20"/>
              </w:rPr>
            </w:pPr>
            <w:r w:rsidRPr="00D32F6F">
              <w:rPr>
                <w:rStyle w:val="SCCFileNumberChar"/>
                <w:b w:val="0"/>
                <w:sz w:val="20"/>
                <w:szCs w:val="20"/>
              </w:rPr>
              <w:t xml:space="preserve">Coram: </w:t>
            </w:r>
          </w:p>
        </w:tc>
        <w:tc>
          <w:tcPr>
            <w:tcW w:w="4457" w:type="pct"/>
            <w:gridSpan w:val="3"/>
          </w:tcPr>
          <w:p w:rsidR="00FC73FF" w:rsidRPr="00D32F6F" w:rsidRDefault="00FC73FF" w:rsidP="00FC73FF">
            <w:pPr>
              <w:rPr>
                <w:rFonts w:eastAsia="Calibri" w:cs="Times New Roman"/>
                <w:sz w:val="20"/>
                <w:szCs w:val="20"/>
                <w:u w:val="single"/>
                <w:lang w:val="fr-CA"/>
              </w:rPr>
            </w:pPr>
            <w:r w:rsidRPr="00D32F6F">
              <w:rPr>
                <w:rFonts w:eastAsia="Calibri" w:cs="Times New Roman"/>
                <w:sz w:val="20"/>
                <w:szCs w:val="20"/>
                <w:u w:val="single"/>
                <w:lang w:val="fr-CA"/>
              </w:rPr>
              <w:t>Le juge en chef Wagner et les juges Abella, Moldaver, Karakatsanis, Gascon, Brown, Rowe et Martin</w:t>
            </w:r>
          </w:p>
          <w:p w:rsidR="00FC73FF" w:rsidRPr="00D32F6F" w:rsidRDefault="00FC73FF" w:rsidP="00FC73FF">
            <w:pPr>
              <w:rPr>
                <w:sz w:val="20"/>
                <w:szCs w:val="20"/>
                <w:lang w:val="fr-CA"/>
              </w:rPr>
            </w:pPr>
          </w:p>
        </w:tc>
      </w:tr>
      <w:tr w:rsidR="00FC73FF" w:rsidRPr="003A01D0" w:rsidTr="00FC73FF">
        <w:tc>
          <w:tcPr>
            <w:tcW w:w="5000" w:type="pct"/>
            <w:gridSpan w:val="4"/>
          </w:tcPr>
          <w:p w:rsidR="00FC73FF" w:rsidRPr="00FC73FF" w:rsidRDefault="00FC73FF" w:rsidP="00FC73FF">
            <w:pPr>
              <w:pStyle w:val="SCCLsocParty"/>
              <w:jc w:val="both"/>
              <w:rPr>
                <w:b/>
                <w:sz w:val="20"/>
                <w:szCs w:val="20"/>
              </w:rPr>
            </w:pPr>
            <w:r w:rsidRPr="00FC73FF">
              <w:rPr>
                <w:sz w:val="20"/>
              </w:rPr>
              <w:t xml:space="preserve">La demande d’autorisation d’appel de l’arrêt de la </w:t>
            </w:r>
            <w:r w:rsidRPr="00FC73FF">
              <w:rPr>
                <w:sz w:val="20"/>
                <w:lang w:val="fr-FR"/>
              </w:rPr>
              <w:t>Cour d’appel de la Colombie-Britannique (Vancouver)</w:t>
            </w:r>
            <w:r w:rsidRPr="00FC73FF">
              <w:rPr>
                <w:sz w:val="20"/>
              </w:rPr>
              <w:t xml:space="preserve">, numéro </w:t>
            </w:r>
            <w:r w:rsidRPr="00FC73FF">
              <w:rPr>
                <w:sz w:val="20"/>
                <w:lang w:val="fr-FR"/>
              </w:rPr>
              <w:t>CA44033, 2017 BCCA 202</w:t>
            </w:r>
            <w:r w:rsidRPr="00FC73FF">
              <w:rPr>
                <w:sz w:val="20"/>
              </w:rPr>
              <w:t xml:space="preserve">, daté du </w:t>
            </w:r>
            <w:r w:rsidRPr="00FC73FF">
              <w:rPr>
                <w:sz w:val="20"/>
                <w:lang w:val="fr-FR"/>
              </w:rPr>
              <w:t>25 mai 2017</w:t>
            </w:r>
            <w:r w:rsidRPr="00FC73FF">
              <w:rPr>
                <w:sz w:val="20"/>
              </w:rPr>
              <w:t xml:space="preserve">, est rejetée avec dépens en faveur des intimées, la </w:t>
            </w:r>
            <w:r w:rsidRPr="00FC73FF">
              <w:rPr>
                <w:sz w:val="20"/>
                <w:lang w:val="fr-FR"/>
              </w:rPr>
              <w:t>Banque de Montréal, la Banque de Nouvelle-Écosse, la Banque Canadienne Impériale de Commerce, la Banque Royale du Canada et la Banque Toronto-Dominion.</w:t>
            </w:r>
          </w:p>
        </w:tc>
      </w:tr>
      <w:tr w:rsidR="00FC73FF" w:rsidRPr="003A01D0" w:rsidTr="00DE47D4">
        <w:tc>
          <w:tcPr>
            <w:tcW w:w="5000" w:type="pct"/>
            <w:gridSpan w:val="4"/>
          </w:tcPr>
          <w:p w:rsidR="00FC73FF" w:rsidRPr="009021BE" w:rsidRDefault="00FC73FF" w:rsidP="00FC73FF">
            <w:pPr>
              <w:jc w:val="both"/>
              <w:rPr>
                <w:sz w:val="20"/>
                <w:lang w:val="fr-CA"/>
              </w:rPr>
            </w:pPr>
            <w:r w:rsidRPr="009021BE">
              <w:rPr>
                <w:sz w:val="20"/>
                <w:lang w:val="fr-CA"/>
              </w:rPr>
              <w:t xml:space="preserve">Procédure civile – Recours collectifs – Actes de procédure – Modification – Concurrence – Infractions – Institutions financières – Banques – La représentante des demandeurs dans un recours collectif cherche à modifier ses actes de procédure pour porter diverses allégations de complot fondées sur le droit de la concurrence – Quelle est la portée des art. 45 et 49 de la </w:t>
            </w:r>
            <w:r w:rsidRPr="009021BE">
              <w:rPr>
                <w:i/>
                <w:sz w:val="20"/>
                <w:lang w:val="fr-CA"/>
              </w:rPr>
              <w:t>Loi sur la concurrence</w:t>
            </w:r>
            <w:r w:rsidRPr="009021BE">
              <w:rPr>
                <w:sz w:val="20"/>
                <w:lang w:val="fr-CA"/>
              </w:rPr>
              <w:t>, L.R.C. 1985, ch. C-34? – Les banques émettrices ont-elles créé une structure de marché des cartes de crédit qui les met à l’abri d’un examen sous le régime du droit de la concurrence, même si elles fixent les prix et éliminent la concurrence?</w:t>
            </w:r>
          </w:p>
        </w:tc>
      </w:tr>
      <w:tr w:rsidR="00FC73FF" w:rsidRPr="003A01D0" w:rsidTr="00DE47D4">
        <w:tc>
          <w:tcPr>
            <w:tcW w:w="5000" w:type="pct"/>
            <w:gridSpan w:val="4"/>
          </w:tcPr>
          <w:p w:rsidR="00FC73FF" w:rsidRPr="009021BE" w:rsidRDefault="00FC73FF" w:rsidP="00FC73FF">
            <w:pPr>
              <w:jc w:val="both"/>
              <w:rPr>
                <w:sz w:val="20"/>
                <w:lang w:val="fr-CA"/>
              </w:rPr>
            </w:pPr>
          </w:p>
        </w:tc>
      </w:tr>
      <w:tr w:rsidR="00FC73FF" w:rsidRPr="003A01D0" w:rsidTr="00DE47D4">
        <w:tc>
          <w:tcPr>
            <w:tcW w:w="5000" w:type="pct"/>
            <w:gridSpan w:val="4"/>
          </w:tcPr>
          <w:p w:rsidR="00FC73FF" w:rsidRPr="009021BE" w:rsidRDefault="00FC73FF" w:rsidP="00FC73FF">
            <w:pPr>
              <w:jc w:val="both"/>
              <w:rPr>
                <w:sz w:val="20"/>
                <w:lang w:val="fr-CA"/>
              </w:rPr>
            </w:pPr>
            <w:r w:rsidRPr="009021BE">
              <w:rPr>
                <w:iCs/>
                <w:sz w:val="20"/>
                <w:lang w:val="fr-CA"/>
              </w:rPr>
              <w:t>Coburn and Watson’s Metropolitan Home</w:t>
            </w:r>
            <w:r w:rsidRPr="009021BE">
              <w:rPr>
                <w:sz w:val="20"/>
                <w:lang w:val="fr-CA"/>
              </w:rPr>
              <w:t xml:space="preserve"> est une représentante des demandeurs dans un recours collectif introduit par des marchands contre les banques et les sociétés émettrices de carte de crédit défenderesses. Coburn allègue que les diverses défenderesses auraient illégalement fixé le montant des frais payés par les marchands dont les clients utilisent les cartes de crédit Visa et MasterCard. Elle a plaidé des causes d’action pour complot en vertu des versions actuelle et anciennes de l’art. 45 de la</w:t>
            </w:r>
            <w:r w:rsidRPr="009021BE">
              <w:rPr>
                <w:i/>
                <w:iCs/>
                <w:sz w:val="20"/>
                <w:lang w:val="fr-CA"/>
              </w:rPr>
              <w:t xml:space="preserve"> Loi sur la concurrence</w:t>
            </w:r>
            <w:r w:rsidRPr="009021BE">
              <w:rPr>
                <w:sz w:val="20"/>
                <w:lang w:val="fr-CA"/>
              </w:rPr>
              <w:t xml:space="preserve">, L.R.C. 1985, ch. C-34, l’art. 61 de la Loi, maintenant abrogé, les délits civils de complot en vue de nuire et de complot en vue de commettre un acte illégal, l’atteinte illégale aux intérêts financiers, et la réparation fondée sur la restitution au titre de l’enrichissement injustifié, de la renonciation à un recours délictuel et de la fiducie par interprétation. </w:t>
            </w:r>
          </w:p>
          <w:p w:rsidR="00FC73FF" w:rsidRPr="009021BE" w:rsidRDefault="00FC73FF" w:rsidP="00FC73FF">
            <w:pPr>
              <w:jc w:val="both"/>
              <w:rPr>
                <w:sz w:val="20"/>
                <w:lang w:val="fr-CA"/>
              </w:rPr>
            </w:pPr>
          </w:p>
          <w:p w:rsidR="00FC73FF" w:rsidRPr="009021BE" w:rsidRDefault="00FC73FF" w:rsidP="00FC73FF">
            <w:pPr>
              <w:autoSpaceDE w:val="0"/>
              <w:autoSpaceDN w:val="0"/>
              <w:adjustRightInd w:val="0"/>
              <w:jc w:val="both"/>
              <w:rPr>
                <w:sz w:val="20"/>
                <w:lang w:val="fr-CA"/>
              </w:rPr>
            </w:pPr>
            <w:r w:rsidRPr="009021BE">
              <w:rPr>
                <w:sz w:val="20"/>
                <w:lang w:val="fr-CA"/>
              </w:rPr>
              <w:t>En appel de la décision en matière de certification de l’action, la Cour d’appel a radié l’allégation faite par  Coburn de violation de la version actuelle de l’art. 45 de la Loi. Coburn a alors cherché à modifier ses actes de procédure pour réintroduire l’allégation de complot en vertu de la même disposition, ajouter une nouvelle allégation de complot en vertu de l’art. 49 et introduire le principe de l’aide et de l’encouragement comme moyen subsidiaire au soutien de l’allégation fondée sur la violation de la version actuelle de l’art. 45 de la Loi.</w:t>
            </w:r>
          </w:p>
          <w:p w:rsidR="00FC73FF" w:rsidRPr="009021BE" w:rsidRDefault="00FC73FF" w:rsidP="00FC73FF">
            <w:pPr>
              <w:autoSpaceDE w:val="0"/>
              <w:autoSpaceDN w:val="0"/>
              <w:adjustRightInd w:val="0"/>
              <w:jc w:val="both"/>
              <w:rPr>
                <w:sz w:val="20"/>
                <w:lang w:val="fr-CA"/>
              </w:rPr>
            </w:pPr>
          </w:p>
        </w:tc>
      </w:tr>
      <w:tr w:rsidR="00FC73FF" w:rsidRPr="003A01D0" w:rsidTr="00DE47D4">
        <w:tc>
          <w:tcPr>
            <w:tcW w:w="2427" w:type="pct"/>
            <w:gridSpan w:val="2"/>
          </w:tcPr>
          <w:p w:rsidR="00FC73FF" w:rsidRPr="009021BE" w:rsidRDefault="00FC73FF" w:rsidP="00FC73FF">
            <w:pPr>
              <w:jc w:val="both"/>
              <w:rPr>
                <w:sz w:val="20"/>
                <w:lang w:val="fr-CA"/>
              </w:rPr>
            </w:pPr>
            <w:r w:rsidRPr="009021BE">
              <w:rPr>
                <w:sz w:val="20"/>
                <w:lang w:val="fr-CA"/>
              </w:rPr>
              <w:t>2 novembre 2016</w:t>
            </w:r>
          </w:p>
          <w:p w:rsidR="00FC73FF" w:rsidRPr="009021BE" w:rsidRDefault="00FC73FF" w:rsidP="00FC73FF">
            <w:pPr>
              <w:jc w:val="both"/>
              <w:rPr>
                <w:sz w:val="20"/>
                <w:lang w:val="fr-CA"/>
              </w:rPr>
            </w:pPr>
            <w:r w:rsidRPr="009021BE">
              <w:rPr>
                <w:sz w:val="20"/>
                <w:lang w:val="fr-CA"/>
              </w:rPr>
              <w:t>Cour suprême de la Colombie-Britannique</w:t>
            </w:r>
          </w:p>
          <w:p w:rsidR="00FC73FF" w:rsidRPr="009021BE" w:rsidRDefault="00FC73FF" w:rsidP="00FC73FF">
            <w:pPr>
              <w:jc w:val="both"/>
              <w:rPr>
                <w:sz w:val="20"/>
                <w:lang w:val="fr-CA"/>
              </w:rPr>
            </w:pPr>
            <w:r w:rsidRPr="009021BE">
              <w:rPr>
                <w:sz w:val="20"/>
                <w:lang w:val="fr-CA"/>
              </w:rPr>
              <w:t>(Juge Weatherill)</w:t>
            </w:r>
          </w:p>
          <w:p w:rsidR="00FC73FF" w:rsidRPr="009021BE" w:rsidRDefault="00167F64" w:rsidP="00FC73FF">
            <w:pPr>
              <w:jc w:val="both"/>
              <w:rPr>
                <w:sz w:val="20"/>
                <w:lang w:val="fr-CA"/>
              </w:rPr>
            </w:pPr>
            <w:hyperlink r:id="rId39" w:history="1">
              <w:r w:rsidR="00FC73FF" w:rsidRPr="009021BE">
                <w:rPr>
                  <w:rStyle w:val="Hyperlink"/>
                  <w:sz w:val="20"/>
                  <w:lang w:val="fr-CA"/>
                </w:rPr>
                <w:t>2016 BCSC 2021</w:t>
              </w:r>
            </w:hyperlink>
          </w:p>
          <w:p w:rsidR="00FC73FF" w:rsidRPr="009021BE" w:rsidRDefault="00FC73FF" w:rsidP="00FC73FF">
            <w:pPr>
              <w:jc w:val="both"/>
              <w:rPr>
                <w:sz w:val="20"/>
                <w:lang w:val="fr-CA"/>
              </w:rPr>
            </w:pPr>
          </w:p>
        </w:tc>
        <w:tc>
          <w:tcPr>
            <w:tcW w:w="243" w:type="pct"/>
          </w:tcPr>
          <w:p w:rsidR="00FC73FF" w:rsidRPr="009021BE" w:rsidRDefault="00FC73FF" w:rsidP="00FC73FF">
            <w:pPr>
              <w:jc w:val="both"/>
              <w:rPr>
                <w:sz w:val="20"/>
                <w:lang w:val="fr-CA"/>
              </w:rPr>
            </w:pPr>
          </w:p>
        </w:tc>
        <w:tc>
          <w:tcPr>
            <w:tcW w:w="2330" w:type="pct"/>
          </w:tcPr>
          <w:p w:rsidR="00FC73FF" w:rsidRPr="009021BE" w:rsidRDefault="00FC73FF" w:rsidP="00FC73FF">
            <w:pPr>
              <w:jc w:val="both"/>
              <w:rPr>
                <w:sz w:val="20"/>
                <w:lang w:val="fr-CA"/>
              </w:rPr>
            </w:pPr>
            <w:r w:rsidRPr="009021BE">
              <w:rPr>
                <w:sz w:val="20"/>
                <w:lang w:val="fr-CA"/>
              </w:rPr>
              <w:t>Rejet de la demande de modification des actes de procédure</w:t>
            </w:r>
          </w:p>
          <w:p w:rsidR="00FC73FF" w:rsidRPr="009021BE" w:rsidRDefault="00FC73FF" w:rsidP="00FC73FF">
            <w:pPr>
              <w:jc w:val="both"/>
              <w:rPr>
                <w:sz w:val="20"/>
                <w:lang w:val="fr-CA"/>
              </w:rPr>
            </w:pPr>
          </w:p>
        </w:tc>
      </w:tr>
      <w:tr w:rsidR="00FC73FF" w:rsidRPr="009021BE" w:rsidTr="00DE47D4">
        <w:tc>
          <w:tcPr>
            <w:tcW w:w="2427" w:type="pct"/>
            <w:gridSpan w:val="2"/>
          </w:tcPr>
          <w:p w:rsidR="00FC73FF" w:rsidRPr="009021BE" w:rsidRDefault="00FC73FF" w:rsidP="00FC73FF">
            <w:pPr>
              <w:jc w:val="both"/>
              <w:rPr>
                <w:sz w:val="20"/>
                <w:lang w:val="fr-CA"/>
              </w:rPr>
            </w:pPr>
            <w:r w:rsidRPr="009021BE">
              <w:rPr>
                <w:sz w:val="20"/>
                <w:lang w:val="fr-CA"/>
              </w:rPr>
              <w:t>25 mai 2017</w:t>
            </w:r>
          </w:p>
          <w:p w:rsidR="00FC73FF" w:rsidRPr="009021BE" w:rsidRDefault="00FC73FF" w:rsidP="00FC73FF">
            <w:pPr>
              <w:jc w:val="both"/>
              <w:rPr>
                <w:sz w:val="20"/>
                <w:lang w:val="fr-CA"/>
              </w:rPr>
            </w:pPr>
            <w:r w:rsidRPr="009021BE">
              <w:rPr>
                <w:sz w:val="20"/>
                <w:lang w:val="fr-CA"/>
              </w:rPr>
              <w:t>Cour d’appel de la Colombie-Britannique</w:t>
            </w:r>
          </w:p>
          <w:p w:rsidR="00FC73FF" w:rsidRPr="009021BE" w:rsidRDefault="00FC73FF" w:rsidP="00FC73FF">
            <w:pPr>
              <w:jc w:val="both"/>
              <w:rPr>
                <w:sz w:val="20"/>
                <w:lang w:val="fr-CA"/>
              </w:rPr>
            </w:pPr>
            <w:r w:rsidRPr="009021BE">
              <w:rPr>
                <w:sz w:val="20"/>
                <w:lang w:val="fr-CA"/>
              </w:rPr>
              <w:t>(Vancouver)</w:t>
            </w:r>
          </w:p>
          <w:p w:rsidR="00FC73FF" w:rsidRPr="009021BE" w:rsidRDefault="00FC73FF" w:rsidP="00FC73FF">
            <w:pPr>
              <w:jc w:val="both"/>
              <w:rPr>
                <w:sz w:val="20"/>
                <w:lang w:val="fr-CA"/>
              </w:rPr>
            </w:pPr>
            <w:r w:rsidRPr="009021BE">
              <w:rPr>
                <w:sz w:val="20"/>
                <w:lang w:val="fr-CA"/>
              </w:rPr>
              <w:t>(Juges Smith, Fenlon et Dickson)</w:t>
            </w:r>
          </w:p>
          <w:p w:rsidR="00FC73FF" w:rsidRPr="009021BE" w:rsidRDefault="00167F64" w:rsidP="00FC73FF">
            <w:pPr>
              <w:jc w:val="both"/>
              <w:rPr>
                <w:sz w:val="20"/>
                <w:lang w:val="fr-CA"/>
              </w:rPr>
            </w:pPr>
            <w:hyperlink r:id="rId40" w:history="1">
              <w:r w:rsidR="00FC73FF" w:rsidRPr="009021BE">
                <w:rPr>
                  <w:rStyle w:val="Hyperlink"/>
                  <w:sz w:val="20"/>
                  <w:lang w:val="fr-CA"/>
                </w:rPr>
                <w:t>2017 BCCA 202</w:t>
              </w:r>
            </w:hyperlink>
            <w:r w:rsidR="00FC73FF" w:rsidRPr="009021BE">
              <w:rPr>
                <w:sz w:val="20"/>
                <w:lang w:val="fr-CA"/>
              </w:rPr>
              <w:t xml:space="preserve"> </w:t>
            </w:r>
          </w:p>
          <w:p w:rsidR="00FC73FF" w:rsidRPr="009021BE" w:rsidRDefault="00FC73FF" w:rsidP="00FC73FF">
            <w:pPr>
              <w:jc w:val="both"/>
              <w:rPr>
                <w:sz w:val="20"/>
                <w:lang w:val="fr-CA"/>
              </w:rPr>
            </w:pPr>
          </w:p>
        </w:tc>
        <w:tc>
          <w:tcPr>
            <w:tcW w:w="243" w:type="pct"/>
          </w:tcPr>
          <w:p w:rsidR="00FC73FF" w:rsidRPr="009021BE" w:rsidRDefault="00FC73FF" w:rsidP="00FC73FF">
            <w:pPr>
              <w:jc w:val="both"/>
              <w:rPr>
                <w:sz w:val="20"/>
                <w:lang w:val="fr-CA"/>
              </w:rPr>
            </w:pPr>
          </w:p>
        </w:tc>
        <w:tc>
          <w:tcPr>
            <w:tcW w:w="2330" w:type="pct"/>
          </w:tcPr>
          <w:p w:rsidR="00FC73FF" w:rsidRPr="009021BE" w:rsidRDefault="00FC73FF" w:rsidP="00FC73FF">
            <w:pPr>
              <w:jc w:val="both"/>
              <w:rPr>
                <w:sz w:val="20"/>
                <w:lang w:val="fr-CA"/>
              </w:rPr>
            </w:pPr>
            <w:r w:rsidRPr="009021BE">
              <w:rPr>
                <w:sz w:val="20"/>
                <w:lang w:val="fr-CA"/>
              </w:rPr>
              <w:t>Rejet de l’appel</w:t>
            </w:r>
          </w:p>
          <w:p w:rsidR="00FC73FF" w:rsidRPr="009021BE" w:rsidRDefault="00FC73FF" w:rsidP="00FC73FF">
            <w:pPr>
              <w:jc w:val="both"/>
              <w:rPr>
                <w:sz w:val="20"/>
                <w:lang w:val="fr-CA"/>
              </w:rPr>
            </w:pPr>
          </w:p>
        </w:tc>
      </w:tr>
      <w:tr w:rsidR="00FC73FF" w:rsidRPr="003A01D0" w:rsidTr="00DE47D4">
        <w:tc>
          <w:tcPr>
            <w:tcW w:w="2427" w:type="pct"/>
            <w:gridSpan w:val="2"/>
          </w:tcPr>
          <w:p w:rsidR="00FC73FF" w:rsidRPr="009021BE" w:rsidRDefault="00FC73FF" w:rsidP="00FC73FF">
            <w:pPr>
              <w:jc w:val="both"/>
              <w:rPr>
                <w:sz w:val="20"/>
                <w:lang w:val="fr-CA"/>
              </w:rPr>
            </w:pPr>
            <w:r w:rsidRPr="009021BE">
              <w:rPr>
                <w:sz w:val="20"/>
                <w:lang w:val="fr-CA"/>
              </w:rPr>
              <w:t>24 août 2017</w:t>
            </w:r>
          </w:p>
          <w:p w:rsidR="00FC73FF" w:rsidRPr="009021BE" w:rsidRDefault="00FC73FF" w:rsidP="00FC73FF">
            <w:pPr>
              <w:jc w:val="both"/>
              <w:rPr>
                <w:sz w:val="20"/>
                <w:lang w:val="fr-CA"/>
              </w:rPr>
            </w:pPr>
            <w:r w:rsidRPr="009021BE">
              <w:rPr>
                <w:sz w:val="20"/>
                <w:lang w:val="fr-CA"/>
              </w:rPr>
              <w:t>Cour suprême du Canada</w:t>
            </w:r>
          </w:p>
        </w:tc>
        <w:tc>
          <w:tcPr>
            <w:tcW w:w="243" w:type="pct"/>
          </w:tcPr>
          <w:p w:rsidR="00FC73FF" w:rsidRPr="009021BE" w:rsidRDefault="00FC73FF" w:rsidP="00FC73FF">
            <w:pPr>
              <w:jc w:val="both"/>
              <w:rPr>
                <w:sz w:val="20"/>
                <w:lang w:val="fr-CA"/>
              </w:rPr>
            </w:pPr>
          </w:p>
        </w:tc>
        <w:tc>
          <w:tcPr>
            <w:tcW w:w="2330" w:type="pct"/>
          </w:tcPr>
          <w:p w:rsidR="00FC73FF" w:rsidRPr="009021BE" w:rsidRDefault="00FC73FF" w:rsidP="00FC73FF">
            <w:pPr>
              <w:jc w:val="both"/>
              <w:rPr>
                <w:sz w:val="20"/>
                <w:lang w:val="fr-CA"/>
              </w:rPr>
            </w:pPr>
            <w:r w:rsidRPr="009021BE">
              <w:rPr>
                <w:sz w:val="20"/>
                <w:lang w:val="fr-CA"/>
              </w:rPr>
              <w:t>Dépôt de la demande d’autorisation d’appel</w:t>
            </w:r>
          </w:p>
          <w:p w:rsidR="00FC73FF" w:rsidRPr="009021BE" w:rsidRDefault="00FC73FF" w:rsidP="00FC73FF">
            <w:pPr>
              <w:jc w:val="both"/>
              <w:rPr>
                <w:sz w:val="20"/>
                <w:lang w:val="fr-CA"/>
              </w:rPr>
            </w:pPr>
          </w:p>
        </w:tc>
      </w:tr>
    </w:tbl>
    <w:p w:rsidR="00BC5022" w:rsidRDefault="00167F64" w:rsidP="006A0A32">
      <w:pPr>
        <w:jc w:val="both"/>
        <w:rPr>
          <w:sz w:val="20"/>
          <w:szCs w:val="20"/>
        </w:rPr>
      </w:pPr>
      <w:r>
        <w:rPr>
          <w:sz w:val="20"/>
          <w:szCs w:val="20"/>
        </w:rPr>
        <w:pict>
          <v:rect id="_x0000_i1044" style="width:2in;height:1pt" o:hrpct="0" o:hralign="center" o:hrstd="t" o:hrnoshade="t" o:hr="t" fillcolor="black" stroked="f"/>
        </w:pict>
      </w:r>
    </w:p>
    <w:p w:rsidR="00BC5022" w:rsidRDefault="00BC502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0A32" w:rsidRPr="009021BE" w:rsidTr="00DE47D4">
        <w:tc>
          <w:tcPr>
            <w:tcW w:w="543" w:type="pct"/>
          </w:tcPr>
          <w:p w:rsidR="006A0A32" w:rsidRPr="009021BE" w:rsidRDefault="006A0A32" w:rsidP="00DE47D4">
            <w:pPr>
              <w:jc w:val="both"/>
              <w:rPr>
                <w:sz w:val="20"/>
              </w:rPr>
            </w:pPr>
            <w:r w:rsidRPr="009021BE">
              <w:rPr>
                <w:rStyle w:val="SCCFileNumberChar"/>
                <w:sz w:val="20"/>
                <w:szCs w:val="20"/>
              </w:rPr>
              <w:t>37766</w:t>
            </w:r>
          </w:p>
        </w:tc>
        <w:tc>
          <w:tcPr>
            <w:tcW w:w="4457" w:type="pct"/>
          </w:tcPr>
          <w:p w:rsidR="006A0A32" w:rsidRPr="00BF319D" w:rsidRDefault="006A0A32" w:rsidP="00DE47D4">
            <w:pPr>
              <w:pStyle w:val="SCCLsocParty"/>
              <w:jc w:val="both"/>
              <w:rPr>
                <w:b/>
                <w:sz w:val="20"/>
                <w:szCs w:val="20"/>
                <w:lang w:val="en-US"/>
              </w:rPr>
            </w:pPr>
            <w:r w:rsidRPr="00BF319D">
              <w:rPr>
                <w:b/>
                <w:sz w:val="20"/>
                <w:szCs w:val="20"/>
                <w:lang w:val="en-US"/>
              </w:rPr>
              <w:t>Her Majesty the Queen v. Christopher Husbands</w:t>
            </w:r>
          </w:p>
          <w:p w:rsidR="006A0A32" w:rsidRPr="009021BE" w:rsidRDefault="006A0A32" w:rsidP="00DE47D4">
            <w:pPr>
              <w:jc w:val="both"/>
              <w:rPr>
                <w:sz w:val="20"/>
              </w:rPr>
            </w:pPr>
            <w:r w:rsidRPr="009021BE">
              <w:rPr>
                <w:sz w:val="20"/>
              </w:rPr>
              <w:t>(Ont.) (Criminal) (By Leave)</w:t>
            </w:r>
          </w:p>
        </w:tc>
      </w:tr>
      <w:tr w:rsidR="00E16710" w:rsidRPr="009021BE" w:rsidTr="00DE47D4">
        <w:tc>
          <w:tcPr>
            <w:tcW w:w="543" w:type="pct"/>
          </w:tcPr>
          <w:p w:rsidR="00E16710" w:rsidRPr="005F1C17" w:rsidRDefault="00E16710" w:rsidP="00E16710">
            <w:pPr>
              <w:jc w:val="both"/>
              <w:rPr>
                <w:rStyle w:val="SCCFileNumberChar"/>
                <w:sz w:val="20"/>
                <w:szCs w:val="20"/>
              </w:rPr>
            </w:pPr>
            <w:r w:rsidRPr="00AE0F22">
              <w:rPr>
                <w:rStyle w:val="SCCFileNumberChar"/>
                <w:b w:val="0"/>
                <w:sz w:val="20"/>
                <w:szCs w:val="20"/>
              </w:rPr>
              <w:t xml:space="preserve">Coram: </w:t>
            </w:r>
          </w:p>
        </w:tc>
        <w:tc>
          <w:tcPr>
            <w:tcW w:w="4457" w:type="pct"/>
          </w:tcPr>
          <w:p w:rsidR="00E16710" w:rsidRPr="005F1C17" w:rsidRDefault="00E16710" w:rsidP="00E16710">
            <w:pPr>
              <w:rPr>
                <w:rFonts w:eastAsia="Calibri" w:cs="Times New Roman"/>
                <w:sz w:val="20"/>
                <w:szCs w:val="20"/>
                <w:u w:val="single"/>
                <w:lang w:val="en-US"/>
              </w:rPr>
            </w:pPr>
            <w:r w:rsidRPr="005F1C17">
              <w:rPr>
                <w:rFonts w:eastAsia="Calibri" w:cs="Times New Roman"/>
                <w:sz w:val="20"/>
                <w:szCs w:val="20"/>
                <w:u w:val="single"/>
                <w:lang w:val="en-US"/>
              </w:rPr>
              <w:t>Wagner C.J. and Abella, Moldaver, Karakatsanis, Gascon, Côté, Brown, Rowe and Martin JJ.</w:t>
            </w:r>
          </w:p>
          <w:p w:rsidR="00E16710" w:rsidRPr="005F1C17" w:rsidRDefault="00E16710" w:rsidP="00E16710">
            <w:pPr>
              <w:rPr>
                <w:rFonts w:eastAsia="Calibri" w:cs="Times New Roman"/>
                <w:sz w:val="20"/>
                <w:szCs w:val="20"/>
                <w:u w:val="single"/>
                <w:lang w:val="en-US"/>
              </w:rPr>
            </w:pPr>
          </w:p>
        </w:tc>
      </w:tr>
      <w:tr w:rsidR="00E16710" w:rsidRPr="009021BE" w:rsidTr="00E16710">
        <w:tc>
          <w:tcPr>
            <w:tcW w:w="5000" w:type="pct"/>
            <w:gridSpan w:val="2"/>
          </w:tcPr>
          <w:p w:rsidR="00E16710" w:rsidRPr="00E16710" w:rsidRDefault="00E16710" w:rsidP="00E16710">
            <w:pPr>
              <w:pStyle w:val="SCCLsocParty"/>
              <w:jc w:val="both"/>
              <w:rPr>
                <w:b/>
                <w:sz w:val="20"/>
                <w:szCs w:val="20"/>
                <w:lang w:val="en-US"/>
              </w:rPr>
            </w:pPr>
            <w:r w:rsidRPr="00E16710">
              <w:rPr>
                <w:sz w:val="20"/>
                <w:lang w:val="en-US"/>
              </w:rPr>
              <w:t>The application for leave to appeal from the judgment of the Court of Appeal for Ontario, Number C61867, 2017 ONCA 607, dated July 21, 2017, is dismissed</w:t>
            </w:r>
          </w:p>
        </w:tc>
      </w:tr>
      <w:tr w:rsidR="00E16710" w:rsidRPr="009021BE" w:rsidTr="00DE47D4">
        <w:tc>
          <w:tcPr>
            <w:tcW w:w="5000" w:type="pct"/>
            <w:gridSpan w:val="2"/>
          </w:tcPr>
          <w:p w:rsidR="00E16710" w:rsidRPr="009021BE" w:rsidRDefault="00E16710" w:rsidP="00E16710">
            <w:pPr>
              <w:jc w:val="both"/>
              <w:rPr>
                <w:sz w:val="20"/>
              </w:rPr>
            </w:pPr>
            <w:r w:rsidRPr="009021BE">
              <w:rPr>
                <w:sz w:val="20"/>
              </w:rPr>
              <w:t xml:space="preserve">Criminal law – Jurors – Challenge for cause – Whether s. 640 of the </w:t>
            </w:r>
            <w:r w:rsidRPr="009021BE">
              <w:rPr>
                <w:i/>
                <w:sz w:val="20"/>
              </w:rPr>
              <w:t>Criminal Code</w:t>
            </w:r>
            <w:r w:rsidRPr="009021BE">
              <w:rPr>
                <w:sz w:val="20"/>
              </w:rPr>
              <w:t xml:space="preserve">, </w:t>
            </w:r>
            <w:r w:rsidRPr="009021BE">
              <w:rPr>
                <w:sz w:val="20"/>
                <w:lang w:val="en"/>
              </w:rPr>
              <w:t xml:space="preserve">R.S.C. 1985, c. C-46 </w:t>
            </w:r>
            <w:r w:rsidRPr="009021BE">
              <w:rPr>
                <w:sz w:val="20"/>
              </w:rPr>
              <w:t xml:space="preserve">sets out a complete procedure to be used in challenges for cause, or does a trial judge retain an inherent jurisdiction to exclude some jurors only and at the same time order the use of rotating triers – Whether the Court of Appeal erred in law in its conclusion that s. 686(1)(b)(iv) of the </w:t>
            </w:r>
            <w:r w:rsidRPr="009021BE">
              <w:rPr>
                <w:i/>
                <w:sz w:val="20"/>
              </w:rPr>
              <w:t>Criminal Code</w:t>
            </w:r>
            <w:r w:rsidRPr="009021BE">
              <w:rPr>
                <w:sz w:val="20"/>
              </w:rPr>
              <w:t xml:space="preserve"> can never apply where a trial judge erroneously characterizes an application for exclusion of jurors as an application under s. 640(2.1) of the </w:t>
            </w:r>
            <w:r w:rsidRPr="009021BE">
              <w:rPr>
                <w:i/>
                <w:sz w:val="20"/>
              </w:rPr>
              <w:t>Criminal Code</w:t>
            </w:r>
            <w:r w:rsidRPr="009021BE">
              <w:rPr>
                <w:sz w:val="20"/>
              </w:rPr>
              <w:t>.</w:t>
            </w:r>
          </w:p>
        </w:tc>
      </w:tr>
      <w:tr w:rsidR="00E16710" w:rsidRPr="009021BE" w:rsidTr="00DE47D4">
        <w:tc>
          <w:tcPr>
            <w:tcW w:w="5000" w:type="pct"/>
            <w:gridSpan w:val="2"/>
          </w:tcPr>
          <w:p w:rsidR="00E16710" w:rsidRPr="009021BE" w:rsidRDefault="00E16710" w:rsidP="00E16710">
            <w:pPr>
              <w:jc w:val="both"/>
              <w:rPr>
                <w:sz w:val="20"/>
              </w:rPr>
            </w:pPr>
          </w:p>
        </w:tc>
      </w:tr>
    </w:tbl>
    <w:p w:rsidR="00BD4227" w:rsidRDefault="00BD4227">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16710" w:rsidRPr="009021BE" w:rsidTr="00DE47D4">
        <w:tc>
          <w:tcPr>
            <w:tcW w:w="5000" w:type="pct"/>
            <w:gridSpan w:val="3"/>
          </w:tcPr>
          <w:p w:rsidR="00E16710" w:rsidRPr="009021BE" w:rsidRDefault="00E16710" w:rsidP="00E16710">
            <w:pPr>
              <w:jc w:val="both"/>
              <w:rPr>
                <w:sz w:val="20"/>
                <w:lang w:val="en"/>
              </w:rPr>
            </w:pPr>
            <w:r w:rsidRPr="009021BE">
              <w:rPr>
                <w:sz w:val="20"/>
                <w:lang w:val="en"/>
              </w:rPr>
              <w:t>At the food court in the Eaton Centre, two people died after sustaining gunshot wounds. The other five victims suffered serious injuries, but survived.</w:t>
            </w:r>
            <w:r w:rsidRPr="009021BE">
              <w:rPr>
                <w:sz w:val="20"/>
              </w:rPr>
              <w:t xml:space="preserve"> </w:t>
            </w:r>
            <w:r w:rsidRPr="009021BE">
              <w:rPr>
                <w:sz w:val="20"/>
                <w:lang w:val="en"/>
              </w:rPr>
              <w:t xml:space="preserve">At his trial, Mr. Husbands challenged each prospective juror for cause on the ground of racial bias. The trial judge ruled that the jury selection process shall be conducted by two static triers pursuant to s. 640(2.2) of the </w:t>
            </w:r>
            <w:r w:rsidRPr="009021BE">
              <w:rPr>
                <w:i/>
                <w:sz w:val="20"/>
                <w:lang w:val="en"/>
              </w:rPr>
              <w:t>Criminal Code</w:t>
            </w:r>
            <w:r w:rsidRPr="009021BE">
              <w:rPr>
                <w:sz w:val="20"/>
                <w:lang w:val="en"/>
              </w:rPr>
              <w:t xml:space="preserve">, R.S.C. 1985, c. C-46. The jury found Mr. Husbands guilty of two counts of second degree murder, five counts of aggravated assault and individual counts of criminal negligence causing bodily harm and the reckless discharge of a firearm. The Court of Appeal held that the provisions of ss. 640(2.1) and (2.2) of the </w:t>
            </w:r>
            <w:r w:rsidRPr="009021BE">
              <w:rPr>
                <w:i/>
                <w:sz w:val="20"/>
                <w:lang w:val="en"/>
              </w:rPr>
              <w:t>Criminal Code</w:t>
            </w:r>
            <w:r w:rsidRPr="009021BE">
              <w:rPr>
                <w:sz w:val="20"/>
                <w:lang w:val="en"/>
              </w:rPr>
              <w:t>, which alone permit the use of static triers, never became engaged; therefore, no order could be made under those subsections. The appeal was allowed, the convictions were set aside and a new trial was ordered.</w:t>
            </w:r>
          </w:p>
        </w:tc>
      </w:tr>
      <w:tr w:rsidR="00E16710" w:rsidRPr="009021BE" w:rsidTr="00DE47D4">
        <w:tc>
          <w:tcPr>
            <w:tcW w:w="5000" w:type="pct"/>
            <w:gridSpan w:val="3"/>
          </w:tcPr>
          <w:p w:rsidR="00E16710" w:rsidRPr="009021BE" w:rsidRDefault="00E16710" w:rsidP="00E16710">
            <w:pPr>
              <w:jc w:val="both"/>
              <w:rPr>
                <w:sz w:val="20"/>
              </w:rPr>
            </w:pPr>
          </w:p>
        </w:tc>
      </w:tr>
      <w:tr w:rsidR="00E16710" w:rsidRPr="009021BE" w:rsidTr="00DE47D4">
        <w:tc>
          <w:tcPr>
            <w:tcW w:w="2427" w:type="pct"/>
          </w:tcPr>
          <w:p w:rsidR="00E16710" w:rsidRPr="009021BE" w:rsidRDefault="00E16710" w:rsidP="00E16710">
            <w:pPr>
              <w:jc w:val="both"/>
              <w:rPr>
                <w:sz w:val="20"/>
              </w:rPr>
            </w:pPr>
            <w:r w:rsidRPr="009021BE">
              <w:rPr>
                <w:sz w:val="20"/>
              </w:rPr>
              <w:t>December 17, 2014</w:t>
            </w:r>
          </w:p>
          <w:p w:rsidR="00E16710" w:rsidRPr="009021BE" w:rsidRDefault="00E16710" w:rsidP="00E16710">
            <w:pPr>
              <w:jc w:val="both"/>
              <w:rPr>
                <w:sz w:val="20"/>
              </w:rPr>
            </w:pPr>
            <w:r w:rsidRPr="009021BE">
              <w:rPr>
                <w:sz w:val="20"/>
              </w:rPr>
              <w:t>Ontario Superior Court of Justice</w:t>
            </w:r>
          </w:p>
          <w:p w:rsidR="00E16710" w:rsidRPr="009021BE" w:rsidRDefault="00E16710" w:rsidP="00E16710">
            <w:pPr>
              <w:jc w:val="both"/>
              <w:rPr>
                <w:sz w:val="20"/>
              </w:rPr>
            </w:pPr>
            <w:r w:rsidRPr="009021BE">
              <w:rPr>
                <w:sz w:val="20"/>
              </w:rPr>
              <w:t>(Ewaschuk J.)</w:t>
            </w:r>
          </w:p>
          <w:p w:rsidR="00E16710" w:rsidRPr="009021BE" w:rsidRDefault="00E16710" w:rsidP="00E16710">
            <w:pPr>
              <w:jc w:val="both"/>
              <w:rPr>
                <w:sz w:val="20"/>
              </w:rPr>
            </w:pPr>
          </w:p>
        </w:tc>
        <w:tc>
          <w:tcPr>
            <w:tcW w:w="243" w:type="pct"/>
          </w:tcPr>
          <w:p w:rsidR="00E16710" w:rsidRPr="009021BE" w:rsidRDefault="00E16710" w:rsidP="00E16710">
            <w:pPr>
              <w:jc w:val="both"/>
              <w:rPr>
                <w:sz w:val="20"/>
              </w:rPr>
            </w:pPr>
          </w:p>
        </w:tc>
        <w:tc>
          <w:tcPr>
            <w:tcW w:w="2330" w:type="pct"/>
          </w:tcPr>
          <w:p w:rsidR="00E16710" w:rsidRPr="009021BE" w:rsidRDefault="00E16710" w:rsidP="00E16710">
            <w:pPr>
              <w:jc w:val="both"/>
              <w:rPr>
                <w:sz w:val="20"/>
              </w:rPr>
            </w:pPr>
            <w:r w:rsidRPr="009021BE">
              <w:rPr>
                <w:sz w:val="20"/>
              </w:rPr>
              <w:t>Convictions: two counts of second degree murder; five counts of aggravated assault; individual counts of criminal negligence causing bodily harm, and reckless discharge of a firearm</w:t>
            </w:r>
          </w:p>
          <w:p w:rsidR="00E16710" w:rsidRPr="009021BE" w:rsidRDefault="00E16710" w:rsidP="00E16710">
            <w:pPr>
              <w:jc w:val="both"/>
              <w:rPr>
                <w:sz w:val="20"/>
              </w:rPr>
            </w:pPr>
          </w:p>
        </w:tc>
      </w:tr>
      <w:tr w:rsidR="00E16710" w:rsidRPr="009021BE" w:rsidTr="00DE47D4">
        <w:tc>
          <w:tcPr>
            <w:tcW w:w="2427" w:type="pct"/>
          </w:tcPr>
          <w:p w:rsidR="00E16710" w:rsidRPr="009021BE" w:rsidRDefault="00E16710" w:rsidP="00E16710">
            <w:pPr>
              <w:jc w:val="both"/>
              <w:rPr>
                <w:sz w:val="20"/>
              </w:rPr>
            </w:pPr>
            <w:r w:rsidRPr="009021BE">
              <w:rPr>
                <w:sz w:val="20"/>
              </w:rPr>
              <w:t>July 21, 2017</w:t>
            </w:r>
          </w:p>
          <w:p w:rsidR="00E16710" w:rsidRPr="009021BE" w:rsidRDefault="00E16710" w:rsidP="00E16710">
            <w:pPr>
              <w:jc w:val="both"/>
              <w:rPr>
                <w:sz w:val="20"/>
              </w:rPr>
            </w:pPr>
            <w:r w:rsidRPr="009021BE">
              <w:rPr>
                <w:sz w:val="20"/>
              </w:rPr>
              <w:t>Court of Appeal for Ontario</w:t>
            </w:r>
          </w:p>
          <w:p w:rsidR="00E16710" w:rsidRPr="009021BE" w:rsidRDefault="00E16710" w:rsidP="00E16710">
            <w:pPr>
              <w:jc w:val="both"/>
              <w:rPr>
                <w:sz w:val="20"/>
              </w:rPr>
            </w:pPr>
            <w:r w:rsidRPr="009021BE">
              <w:rPr>
                <w:sz w:val="20"/>
              </w:rPr>
              <w:t>(LaForme, Watt, Trotter JJ.A.)</w:t>
            </w:r>
          </w:p>
          <w:p w:rsidR="00E16710" w:rsidRPr="009021BE" w:rsidRDefault="00E16710" w:rsidP="00E16710">
            <w:pPr>
              <w:jc w:val="both"/>
              <w:rPr>
                <w:sz w:val="20"/>
              </w:rPr>
            </w:pPr>
            <w:r w:rsidRPr="009021BE">
              <w:rPr>
                <w:sz w:val="20"/>
              </w:rPr>
              <w:t>2017 ONCA 607; C61867</w:t>
            </w:r>
          </w:p>
          <w:p w:rsidR="00E16710" w:rsidRPr="009021BE" w:rsidRDefault="00167F64" w:rsidP="00E16710">
            <w:pPr>
              <w:jc w:val="both"/>
              <w:rPr>
                <w:sz w:val="20"/>
              </w:rPr>
            </w:pPr>
            <w:hyperlink r:id="rId41" w:history="1">
              <w:r w:rsidR="00E16710" w:rsidRPr="009021BE">
                <w:rPr>
                  <w:rStyle w:val="Hyperlink"/>
                  <w:rFonts w:eastAsiaTheme="majorEastAsia"/>
                  <w:sz w:val="20"/>
                </w:rPr>
                <w:t>http://canlii.ca/t/h4zgt</w:t>
              </w:r>
            </w:hyperlink>
          </w:p>
          <w:p w:rsidR="00E16710" w:rsidRPr="009021BE" w:rsidRDefault="00E16710" w:rsidP="00E16710">
            <w:pPr>
              <w:jc w:val="both"/>
              <w:rPr>
                <w:sz w:val="20"/>
              </w:rPr>
            </w:pPr>
          </w:p>
        </w:tc>
        <w:tc>
          <w:tcPr>
            <w:tcW w:w="243" w:type="pct"/>
          </w:tcPr>
          <w:p w:rsidR="00E16710" w:rsidRPr="009021BE" w:rsidRDefault="00E16710" w:rsidP="00E16710">
            <w:pPr>
              <w:jc w:val="both"/>
              <w:rPr>
                <w:sz w:val="20"/>
              </w:rPr>
            </w:pPr>
          </w:p>
        </w:tc>
        <w:tc>
          <w:tcPr>
            <w:tcW w:w="2330" w:type="pct"/>
          </w:tcPr>
          <w:p w:rsidR="00E16710" w:rsidRPr="009021BE" w:rsidRDefault="00E16710" w:rsidP="00E16710">
            <w:pPr>
              <w:jc w:val="both"/>
              <w:rPr>
                <w:b/>
                <w:sz w:val="20"/>
              </w:rPr>
            </w:pPr>
            <w:r w:rsidRPr="009021BE">
              <w:rPr>
                <w:sz w:val="20"/>
              </w:rPr>
              <w:t xml:space="preserve">Appeal allowed: convictions set aside; new trial ordered </w:t>
            </w:r>
          </w:p>
          <w:p w:rsidR="00E16710" w:rsidRPr="009021BE" w:rsidRDefault="00E16710" w:rsidP="00E16710">
            <w:pPr>
              <w:jc w:val="both"/>
              <w:rPr>
                <w:b/>
                <w:sz w:val="20"/>
              </w:rPr>
            </w:pPr>
          </w:p>
          <w:p w:rsidR="00E16710" w:rsidRPr="009021BE" w:rsidRDefault="00E16710" w:rsidP="00E16710">
            <w:pPr>
              <w:jc w:val="both"/>
              <w:rPr>
                <w:sz w:val="20"/>
              </w:rPr>
            </w:pPr>
          </w:p>
        </w:tc>
      </w:tr>
      <w:tr w:rsidR="00E16710" w:rsidRPr="009021BE" w:rsidTr="00DE47D4">
        <w:tc>
          <w:tcPr>
            <w:tcW w:w="2427" w:type="pct"/>
          </w:tcPr>
          <w:p w:rsidR="00E16710" w:rsidRPr="009021BE" w:rsidRDefault="00E16710" w:rsidP="00E16710">
            <w:pPr>
              <w:jc w:val="both"/>
              <w:rPr>
                <w:sz w:val="20"/>
              </w:rPr>
            </w:pPr>
            <w:r w:rsidRPr="009021BE">
              <w:rPr>
                <w:sz w:val="20"/>
              </w:rPr>
              <w:t>September 27, 2017</w:t>
            </w:r>
          </w:p>
          <w:p w:rsidR="00E16710" w:rsidRPr="009021BE" w:rsidRDefault="00E16710" w:rsidP="00E16710">
            <w:pPr>
              <w:jc w:val="both"/>
              <w:rPr>
                <w:sz w:val="20"/>
              </w:rPr>
            </w:pPr>
            <w:r w:rsidRPr="009021BE">
              <w:rPr>
                <w:sz w:val="20"/>
              </w:rPr>
              <w:t>Supreme Court of Canada</w:t>
            </w:r>
          </w:p>
          <w:p w:rsidR="00E16710" w:rsidRPr="009021BE" w:rsidRDefault="00E16710" w:rsidP="00E16710">
            <w:pPr>
              <w:jc w:val="both"/>
              <w:rPr>
                <w:sz w:val="20"/>
              </w:rPr>
            </w:pPr>
          </w:p>
        </w:tc>
        <w:tc>
          <w:tcPr>
            <w:tcW w:w="243" w:type="pct"/>
          </w:tcPr>
          <w:p w:rsidR="00E16710" w:rsidRPr="009021BE" w:rsidRDefault="00E16710" w:rsidP="00E16710">
            <w:pPr>
              <w:jc w:val="both"/>
              <w:rPr>
                <w:sz w:val="20"/>
              </w:rPr>
            </w:pPr>
          </w:p>
        </w:tc>
        <w:tc>
          <w:tcPr>
            <w:tcW w:w="2330" w:type="pct"/>
          </w:tcPr>
          <w:p w:rsidR="00E16710" w:rsidRPr="009021BE" w:rsidRDefault="00E16710" w:rsidP="00E16710">
            <w:pPr>
              <w:jc w:val="both"/>
              <w:rPr>
                <w:sz w:val="20"/>
              </w:rPr>
            </w:pPr>
            <w:r w:rsidRPr="009021BE">
              <w:rPr>
                <w:sz w:val="20"/>
              </w:rPr>
              <w:t>Application for leave to appeal filed</w:t>
            </w:r>
          </w:p>
          <w:p w:rsidR="00E16710" w:rsidRPr="009021BE" w:rsidRDefault="00E16710" w:rsidP="00E16710">
            <w:pPr>
              <w:jc w:val="both"/>
              <w:rPr>
                <w:sz w:val="20"/>
              </w:rPr>
            </w:pPr>
          </w:p>
        </w:tc>
      </w:tr>
      <w:tr w:rsidR="00E16710" w:rsidRPr="009021BE" w:rsidTr="00DE47D4">
        <w:tc>
          <w:tcPr>
            <w:tcW w:w="2427" w:type="pct"/>
          </w:tcPr>
          <w:p w:rsidR="00E16710" w:rsidRPr="009021BE" w:rsidRDefault="00E16710" w:rsidP="00E16710">
            <w:pPr>
              <w:jc w:val="both"/>
              <w:rPr>
                <w:sz w:val="20"/>
              </w:rPr>
            </w:pPr>
            <w:r w:rsidRPr="009021BE">
              <w:rPr>
                <w:sz w:val="20"/>
              </w:rPr>
              <w:t>October 27, 2017</w:t>
            </w:r>
          </w:p>
          <w:p w:rsidR="00E16710" w:rsidRPr="009021BE" w:rsidRDefault="00E16710" w:rsidP="00E16710">
            <w:pPr>
              <w:jc w:val="both"/>
              <w:rPr>
                <w:sz w:val="20"/>
              </w:rPr>
            </w:pPr>
            <w:r w:rsidRPr="009021BE">
              <w:rPr>
                <w:sz w:val="20"/>
              </w:rPr>
              <w:t>Supreme Court of Canada</w:t>
            </w:r>
          </w:p>
        </w:tc>
        <w:tc>
          <w:tcPr>
            <w:tcW w:w="243" w:type="pct"/>
          </w:tcPr>
          <w:p w:rsidR="00E16710" w:rsidRPr="009021BE" w:rsidRDefault="00E16710" w:rsidP="00E16710">
            <w:pPr>
              <w:jc w:val="both"/>
              <w:rPr>
                <w:sz w:val="20"/>
              </w:rPr>
            </w:pPr>
          </w:p>
        </w:tc>
        <w:tc>
          <w:tcPr>
            <w:tcW w:w="2330" w:type="pct"/>
          </w:tcPr>
          <w:p w:rsidR="00E16710" w:rsidRPr="009021BE" w:rsidRDefault="00E16710" w:rsidP="00E16710">
            <w:pPr>
              <w:jc w:val="both"/>
              <w:rPr>
                <w:sz w:val="20"/>
              </w:rPr>
            </w:pPr>
            <w:r w:rsidRPr="009021BE">
              <w:rPr>
                <w:sz w:val="20"/>
              </w:rPr>
              <w:t>Respondent’s motion for an extension of time to serve and file a response to the application for leave to appeal to November 17, 2017, granted</w:t>
            </w:r>
          </w:p>
        </w:tc>
      </w:tr>
    </w:tbl>
    <w:p w:rsidR="006A0A32" w:rsidRDefault="00167F64" w:rsidP="006A0A32">
      <w:pPr>
        <w:jc w:val="both"/>
        <w:rPr>
          <w:sz w:val="20"/>
        </w:rPr>
      </w:pPr>
      <w:r>
        <w:rPr>
          <w:sz w:val="20"/>
          <w:szCs w:val="20"/>
        </w:rPr>
        <w:pict>
          <v:rect id="_x0000_i1045" style="width:2in;height:1pt" o:hrpct="0" o:hralign="center" o:hrstd="t" o:hrnoshade="t" o:hr="t" fillcolor="black" stroked="f"/>
        </w:pict>
      </w:r>
    </w:p>
    <w:p w:rsidR="00BC5022" w:rsidRDefault="00BC5022">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0A32" w:rsidRPr="009021BE" w:rsidTr="00DE47D4">
        <w:tc>
          <w:tcPr>
            <w:tcW w:w="543" w:type="pct"/>
          </w:tcPr>
          <w:p w:rsidR="006A0A32" w:rsidRPr="009021BE" w:rsidRDefault="006A0A32" w:rsidP="00DE47D4">
            <w:pPr>
              <w:jc w:val="both"/>
              <w:rPr>
                <w:sz w:val="20"/>
                <w:lang w:val="fr-CA"/>
              </w:rPr>
            </w:pPr>
            <w:r w:rsidRPr="009021BE">
              <w:rPr>
                <w:rStyle w:val="SCCFileNumberChar"/>
                <w:sz w:val="20"/>
                <w:szCs w:val="20"/>
                <w:lang w:val="fr-CA"/>
              </w:rPr>
              <w:t>37766</w:t>
            </w:r>
          </w:p>
        </w:tc>
        <w:tc>
          <w:tcPr>
            <w:tcW w:w="4457" w:type="pct"/>
          </w:tcPr>
          <w:p w:rsidR="006A0A32" w:rsidRPr="00BF319D" w:rsidRDefault="006A0A32" w:rsidP="00DE47D4">
            <w:pPr>
              <w:pStyle w:val="SCCLsocParty"/>
              <w:jc w:val="both"/>
              <w:rPr>
                <w:b/>
                <w:sz w:val="20"/>
                <w:szCs w:val="20"/>
              </w:rPr>
            </w:pPr>
            <w:r w:rsidRPr="00BF319D">
              <w:rPr>
                <w:b/>
                <w:sz w:val="20"/>
                <w:szCs w:val="20"/>
              </w:rPr>
              <w:t>Sa Majesté la Reine c. Christopher Husbands</w:t>
            </w:r>
          </w:p>
          <w:p w:rsidR="006A0A32" w:rsidRPr="009021BE" w:rsidRDefault="006A0A32" w:rsidP="00DE47D4">
            <w:pPr>
              <w:jc w:val="both"/>
              <w:rPr>
                <w:sz w:val="20"/>
                <w:lang w:val="fr-CA"/>
              </w:rPr>
            </w:pPr>
            <w:r w:rsidRPr="009021BE">
              <w:rPr>
                <w:sz w:val="20"/>
                <w:lang w:val="fr-CA"/>
              </w:rPr>
              <w:t>(Ont.) (Criminelle) (Sur autorisation)</w:t>
            </w:r>
          </w:p>
        </w:tc>
      </w:tr>
      <w:tr w:rsidR="00A30D37" w:rsidRPr="003A01D0" w:rsidTr="00DE47D4">
        <w:tc>
          <w:tcPr>
            <w:tcW w:w="543" w:type="pct"/>
          </w:tcPr>
          <w:p w:rsidR="00A30D37" w:rsidRPr="00D32F6F" w:rsidRDefault="00A30D37" w:rsidP="00A30D37">
            <w:pPr>
              <w:jc w:val="both"/>
              <w:rPr>
                <w:rStyle w:val="SCCFileNumberChar"/>
                <w:b w:val="0"/>
                <w:sz w:val="20"/>
                <w:szCs w:val="20"/>
              </w:rPr>
            </w:pPr>
            <w:r w:rsidRPr="00D32F6F">
              <w:rPr>
                <w:rStyle w:val="SCCFileNumberChar"/>
                <w:b w:val="0"/>
                <w:sz w:val="20"/>
                <w:szCs w:val="20"/>
              </w:rPr>
              <w:t xml:space="preserve">Coram: </w:t>
            </w:r>
          </w:p>
        </w:tc>
        <w:tc>
          <w:tcPr>
            <w:tcW w:w="4457" w:type="pct"/>
          </w:tcPr>
          <w:p w:rsidR="00A30D37" w:rsidRPr="00D32F6F" w:rsidRDefault="00A30D37" w:rsidP="00A30D37">
            <w:pPr>
              <w:rPr>
                <w:rFonts w:eastAsia="Calibri" w:cs="Times New Roman"/>
                <w:sz w:val="20"/>
                <w:szCs w:val="20"/>
                <w:u w:val="single"/>
                <w:lang w:val="fr-CA"/>
              </w:rPr>
            </w:pPr>
            <w:r w:rsidRPr="00D32F6F">
              <w:rPr>
                <w:rFonts w:eastAsia="Calibri" w:cs="Times New Roman"/>
                <w:sz w:val="20"/>
                <w:szCs w:val="20"/>
                <w:u w:val="single"/>
                <w:lang w:val="fr-CA"/>
              </w:rPr>
              <w:t>Le juge en chef Wagner et les juges Abella, Moldaver, Karakatsanis, Gascon, Côté, Brown, Rowe et Martin</w:t>
            </w:r>
          </w:p>
          <w:p w:rsidR="00A30D37" w:rsidRPr="00D32F6F" w:rsidRDefault="00A30D37" w:rsidP="00A30D37">
            <w:pPr>
              <w:rPr>
                <w:sz w:val="20"/>
                <w:szCs w:val="20"/>
                <w:lang w:val="fr-CA"/>
              </w:rPr>
            </w:pPr>
          </w:p>
        </w:tc>
      </w:tr>
      <w:tr w:rsidR="00A30D37" w:rsidRPr="003A01D0" w:rsidTr="00A30D37">
        <w:tc>
          <w:tcPr>
            <w:tcW w:w="5000" w:type="pct"/>
            <w:gridSpan w:val="2"/>
          </w:tcPr>
          <w:p w:rsidR="00A30D37" w:rsidRPr="00A30D37" w:rsidRDefault="00A30D37" w:rsidP="00A30D37">
            <w:pPr>
              <w:pStyle w:val="SCCLsocParty"/>
              <w:jc w:val="both"/>
              <w:rPr>
                <w:b/>
                <w:sz w:val="20"/>
                <w:szCs w:val="20"/>
              </w:rPr>
            </w:pPr>
            <w:r w:rsidRPr="00A30D37">
              <w:rPr>
                <w:sz w:val="20"/>
              </w:rPr>
              <w:t xml:space="preserve">La demande d’autorisation d’appel de l’arrêt de la </w:t>
            </w:r>
            <w:r w:rsidRPr="00A30D37">
              <w:rPr>
                <w:sz w:val="20"/>
                <w:lang w:val="fr-FR"/>
              </w:rPr>
              <w:t>Cour d’appel de l’Ontario</w:t>
            </w:r>
            <w:r w:rsidRPr="00A30D37">
              <w:rPr>
                <w:sz w:val="20"/>
              </w:rPr>
              <w:t xml:space="preserve">, numéro </w:t>
            </w:r>
            <w:r w:rsidRPr="00A30D37">
              <w:rPr>
                <w:sz w:val="20"/>
                <w:lang w:val="fr-FR"/>
              </w:rPr>
              <w:t>C61867, 2017 ONCA 607</w:t>
            </w:r>
            <w:r w:rsidRPr="00A30D37">
              <w:rPr>
                <w:sz w:val="20"/>
              </w:rPr>
              <w:t xml:space="preserve">, daté du </w:t>
            </w:r>
            <w:r w:rsidRPr="00A30D37">
              <w:rPr>
                <w:sz w:val="20"/>
                <w:lang w:val="fr-FR"/>
              </w:rPr>
              <w:t>21 juillet 2017</w:t>
            </w:r>
            <w:r w:rsidRPr="00A30D37">
              <w:rPr>
                <w:sz w:val="20"/>
              </w:rPr>
              <w:t>, est rejetée.</w:t>
            </w:r>
          </w:p>
        </w:tc>
      </w:tr>
      <w:tr w:rsidR="00A30D37" w:rsidRPr="003A01D0" w:rsidTr="00DE47D4">
        <w:tc>
          <w:tcPr>
            <w:tcW w:w="5000" w:type="pct"/>
            <w:gridSpan w:val="2"/>
          </w:tcPr>
          <w:p w:rsidR="00A30D37" w:rsidRPr="009021BE" w:rsidRDefault="00A30D37" w:rsidP="00A30D37">
            <w:pPr>
              <w:jc w:val="both"/>
              <w:rPr>
                <w:sz w:val="20"/>
                <w:lang w:val="fr-CA"/>
              </w:rPr>
            </w:pPr>
            <w:r w:rsidRPr="009021BE">
              <w:rPr>
                <w:sz w:val="20"/>
                <w:lang w:val="fr-CA"/>
              </w:rPr>
              <w:t xml:space="preserve">Droit criminel – Jurés – Récusation motivée – L’art. 640 du </w:t>
            </w:r>
            <w:r w:rsidRPr="009021BE">
              <w:rPr>
                <w:i/>
                <w:sz w:val="20"/>
                <w:lang w:val="fr-CA"/>
              </w:rPr>
              <w:t>Code criminel</w:t>
            </w:r>
            <w:r w:rsidRPr="009021BE">
              <w:rPr>
                <w:sz w:val="20"/>
                <w:lang w:val="fr-CA"/>
              </w:rPr>
              <w:t xml:space="preserve">, L.R.C. 1985, ch. C-46 établit-il une procédure complète à suivre dans les récusations motivées, ou bien est-ce que le juge du procès conserve la compétence inhérente d’exclure certains jurés seulement tout en ordonnant le recours à des vérificateurs en rotation? – La Cour d’appel a-t-elle commis une erreur de droit en concluant que le sous-al. 686(1)b)(iv) du </w:t>
            </w:r>
            <w:r w:rsidRPr="009021BE">
              <w:rPr>
                <w:i/>
                <w:sz w:val="20"/>
                <w:lang w:val="fr-CA"/>
              </w:rPr>
              <w:t>Code criminel</w:t>
            </w:r>
            <w:r w:rsidRPr="009021BE">
              <w:rPr>
                <w:sz w:val="20"/>
                <w:lang w:val="fr-CA"/>
              </w:rPr>
              <w:t xml:space="preserve"> ne peut jamais s’appliquer lorsque le juge du procès a mal qualifié une demande d’exclusion de jurés comme une demande en application du par. 640(2.1) du </w:t>
            </w:r>
            <w:r w:rsidRPr="009021BE">
              <w:rPr>
                <w:i/>
                <w:sz w:val="20"/>
                <w:lang w:val="fr-CA"/>
              </w:rPr>
              <w:t>Code criminel</w:t>
            </w:r>
            <w:r w:rsidRPr="009021BE">
              <w:rPr>
                <w:sz w:val="20"/>
                <w:lang w:val="fr-CA"/>
              </w:rPr>
              <w:t>?</w:t>
            </w:r>
          </w:p>
        </w:tc>
      </w:tr>
      <w:tr w:rsidR="00A30D37" w:rsidRPr="003A01D0" w:rsidTr="00DE47D4">
        <w:tc>
          <w:tcPr>
            <w:tcW w:w="5000" w:type="pct"/>
            <w:gridSpan w:val="2"/>
          </w:tcPr>
          <w:p w:rsidR="00A30D37" w:rsidRPr="009021BE" w:rsidRDefault="00A30D37" w:rsidP="00A30D37">
            <w:pPr>
              <w:jc w:val="both"/>
              <w:rPr>
                <w:sz w:val="20"/>
                <w:lang w:val="fr-CA"/>
              </w:rPr>
            </w:pPr>
          </w:p>
        </w:tc>
      </w:tr>
    </w:tbl>
    <w:p w:rsidR="00BD4227" w:rsidRPr="0087380F" w:rsidRDefault="00BD4227">
      <w:pPr>
        <w:rPr>
          <w:lang w:val="fr-CA"/>
        </w:rPr>
      </w:pPr>
      <w:r w:rsidRPr="0087380F">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30D37" w:rsidRPr="003A01D0" w:rsidTr="00DE47D4">
        <w:tc>
          <w:tcPr>
            <w:tcW w:w="5000" w:type="pct"/>
            <w:gridSpan w:val="3"/>
          </w:tcPr>
          <w:p w:rsidR="00A30D37" w:rsidRPr="009021BE" w:rsidRDefault="00A30D37" w:rsidP="00A30D37">
            <w:pPr>
              <w:jc w:val="both"/>
              <w:rPr>
                <w:sz w:val="20"/>
                <w:lang w:val="fr-CA"/>
              </w:rPr>
            </w:pPr>
            <w:r w:rsidRPr="009021BE">
              <w:rPr>
                <w:sz w:val="20"/>
                <w:lang w:val="fr-CA"/>
              </w:rPr>
              <w:t xml:space="preserve">À l’aire de restauration dans le Centre Eaton, deux personnes sont décédées après avoir subi des blessures par balles. Les cinq autres victimes ont été grièvement blessées, mais elles ont survécu.  À son procès, M. Husbands a demandé la récusation motivée de chaque candidat juré sur le fondement de préjugés raciaux. Le juge du procès a statué que le processus de sélection des jurés allait être mené par deux vérificateurs sans rotation en application du par. 640(2.2) du </w:t>
            </w:r>
            <w:r w:rsidRPr="009021BE">
              <w:rPr>
                <w:i/>
                <w:sz w:val="20"/>
                <w:lang w:val="fr-CA"/>
              </w:rPr>
              <w:t>Code criminel</w:t>
            </w:r>
            <w:r w:rsidRPr="009021BE">
              <w:rPr>
                <w:sz w:val="20"/>
                <w:lang w:val="fr-CA"/>
              </w:rPr>
              <w:t xml:space="preserve">, L.R.C. 1985, ch. C-46. Le jury a déclaré M. Husbands coupable de deux chefs de meurtre au deuxième degré, de cinq chefs de voies de fait graves et d’un chef chacun de négligence criminelle causant des lésions corporelles et de décharge d’une arme à feu avec insouciance. La Cour d’appel a statué que les dispositions des par. 640(2.1) et (2.2) du </w:t>
            </w:r>
            <w:r w:rsidRPr="009021BE">
              <w:rPr>
                <w:i/>
                <w:sz w:val="20"/>
                <w:lang w:val="fr-CA"/>
              </w:rPr>
              <w:t>Code criminel</w:t>
            </w:r>
            <w:r w:rsidRPr="009021BE">
              <w:rPr>
                <w:sz w:val="20"/>
                <w:lang w:val="fr-CA"/>
              </w:rPr>
              <w:t>, qui seules permettent le recours à des vérificateurs sans rotation, ne sont jamais entrées en jeu, si bien qu’aucune ordonnance ne pouvait être prononcée en application de ces paragraphes. L’appel a été accueilli, les déclarations de culpabilité ont été annulées et un nouveau procès a été ordonné.</w:t>
            </w:r>
          </w:p>
        </w:tc>
      </w:tr>
      <w:tr w:rsidR="00A30D37" w:rsidRPr="003A01D0" w:rsidTr="00DE47D4">
        <w:tc>
          <w:tcPr>
            <w:tcW w:w="5000" w:type="pct"/>
            <w:gridSpan w:val="3"/>
          </w:tcPr>
          <w:p w:rsidR="00A30D37" w:rsidRPr="009021BE" w:rsidRDefault="00A30D37" w:rsidP="00A30D37">
            <w:pPr>
              <w:jc w:val="both"/>
              <w:rPr>
                <w:sz w:val="20"/>
                <w:lang w:val="fr-CA"/>
              </w:rPr>
            </w:pPr>
          </w:p>
        </w:tc>
      </w:tr>
      <w:tr w:rsidR="00A30D37" w:rsidRPr="003A01D0" w:rsidTr="00DE47D4">
        <w:tc>
          <w:tcPr>
            <w:tcW w:w="2427" w:type="pct"/>
          </w:tcPr>
          <w:p w:rsidR="00A30D37" w:rsidRPr="009021BE" w:rsidRDefault="00A30D37" w:rsidP="00A30D37">
            <w:pPr>
              <w:jc w:val="both"/>
              <w:rPr>
                <w:sz w:val="20"/>
                <w:lang w:val="fr-CA"/>
              </w:rPr>
            </w:pPr>
            <w:r w:rsidRPr="009021BE">
              <w:rPr>
                <w:sz w:val="20"/>
                <w:lang w:val="fr-CA"/>
              </w:rPr>
              <w:t>17 décembre 2014</w:t>
            </w:r>
          </w:p>
          <w:p w:rsidR="00A30D37" w:rsidRPr="009021BE" w:rsidRDefault="00A30D37" w:rsidP="00A30D37">
            <w:pPr>
              <w:jc w:val="both"/>
              <w:rPr>
                <w:sz w:val="20"/>
                <w:lang w:val="fr-CA"/>
              </w:rPr>
            </w:pPr>
            <w:r w:rsidRPr="009021BE">
              <w:rPr>
                <w:sz w:val="20"/>
                <w:lang w:val="fr-CA"/>
              </w:rPr>
              <w:t>Cour supérieure de justice de l’Ontario</w:t>
            </w:r>
          </w:p>
          <w:p w:rsidR="00A30D37" w:rsidRPr="009021BE" w:rsidRDefault="00A30D37" w:rsidP="00A30D37">
            <w:pPr>
              <w:jc w:val="both"/>
              <w:rPr>
                <w:sz w:val="20"/>
                <w:lang w:val="fr-CA"/>
              </w:rPr>
            </w:pPr>
            <w:r w:rsidRPr="009021BE">
              <w:rPr>
                <w:sz w:val="20"/>
                <w:lang w:val="fr-CA"/>
              </w:rPr>
              <w:t>(Juge Ewaschuk)</w:t>
            </w:r>
          </w:p>
          <w:p w:rsidR="00A30D37" w:rsidRPr="009021BE" w:rsidRDefault="00A30D37" w:rsidP="00A30D37">
            <w:pPr>
              <w:jc w:val="both"/>
              <w:rPr>
                <w:sz w:val="20"/>
                <w:lang w:val="fr-CA"/>
              </w:rPr>
            </w:pPr>
          </w:p>
        </w:tc>
        <w:tc>
          <w:tcPr>
            <w:tcW w:w="243" w:type="pct"/>
          </w:tcPr>
          <w:p w:rsidR="00A30D37" w:rsidRPr="009021BE" w:rsidRDefault="00A30D37" w:rsidP="00A30D37">
            <w:pPr>
              <w:jc w:val="both"/>
              <w:rPr>
                <w:sz w:val="20"/>
                <w:lang w:val="fr-CA"/>
              </w:rPr>
            </w:pPr>
          </w:p>
        </w:tc>
        <w:tc>
          <w:tcPr>
            <w:tcW w:w="2330" w:type="pct"/>
          </w:tcPr>
          <w:p w:rsidR="00A30D37" w:rsidRPr="009021BE" w:rsidRDefault="00A30D37" w:rsidP="00A30D37">
            <w:pPr>
              <w:jc w:val="both"/>
              <w:rPr>
                <w:sz w:val="20"/>
                <w:lang w:val="fr-CA"/>
              </w:rPr>
            </w:pPr>
            <w:r w:rsidRPr="009021BE">
              <w:rPr>
                <w:sz w:val="20"/>
                <w:lang w:val="fr-CA"/>
              </w:rPr>
              <w:t>Déclarations de culpabilité : deux chefs de meurtre au deuxième degré; cinq chefs de voies de fait graves; un chef chacun de négligence criminelle causant des lésions corporelles et de décharge d’une arme à feu avec insouciance</w:t>
            </w:r>
          </w:p>
          <w:p w:rsidR="00A30D37" w:rsidRPr="009021BE" w:rsidRDefault="00A30D37" w:rsidP="00A30D37">
            <w:pPr>
              <w:jc w:val="both"/>
              <w:rPr>
                <w:sz w:val="20"/>
                <w:lang w:val="fr-CA"/>
              </w:rPr>
            </w:pPr>
          </w:p>
        </w:tc>
      </w:tr>
      <w:tr w:rsidR="00A30D37" w:rsidRPr="003A01D0" w:rsidTr="00DE47D4">
        <w:tc>
          <w:tcPr>
            <w:tcW w:w="2427" w:type="pct"/>
          </w:tcPr>
          <w:p w:rsidR="00A30D37" w:rsidRPr="009021BE" w:rsidRDefault="00A30D37" w:rsidP="00A30D37">
            <w:pPr>
              <w:jc w:val="both"/>
              <w:rPr>
                <w:sz w:val="20"/>
                <w:lang w:val="fr-CA"/>
              </w:rPr>
            </w:pPr>
            <w:r w:rsidRPr="009021BE">
              <w:rPr>
                <w:sz w:val="20"/>
                <w:lang w:val="fr-CA"/>
              </w:rPr>
              <w:t>21 juillet 2017</w:t>
            </w:r>
          </w:p>
          <w:p w:rsidR="00A30D37" w:rsidRPr="009021BE" w:rsidRDefault="00A30D37" w:rsidP="00A30D37">
            <w:pPr>
              <w:jc w:val="both"/>
              <w:rPr>
                <w:sz w:val="20"/>
                <w:lang w:val="fr-CA"/>
              </w:rPr>
            </w:pPr>
            <w:r w:rsidRPr="009021BE">
              <w:rPr>
                <w:sz w:val="20"/>
                <w:lang w:val="fr-CA"/>
              </w:rPr>
              <w:t>Cour d’appel de l’Ontario</w:t>
            </w:r>
          </w:p>
          <w:p w:rsidR="00A30D37" w:rsidRPr="009021BE" w:rsidRDefault="00A30D37" w:rsidP="00A30D37">
            <w:pPr>
              <w:jc w:val="both"/>
              <w:rPr>
                <w:sz w:val="20"/>
                <w:lang w:val="fr-CA"/>
              </w:rPr>
            </w:pPr>
            <w:r w:rsidRPr="009021BE">
              <w:rPr>
                <w:sz w:val="20"/>
                <w:lang w:val="fr-CA"/>
              </w:rPr>
              <w:t>(Juges LaForme, Watt et Trotter)</w:t>
            </w:r>
          </w:p>
          <w:p w:rsidR="00A30D37" w:rsidRPr="009021BE" w:rsidRDefault="00A30D37" w:rsidP="00A30D37">
            <w:pPr>
              <w:jc w:val="both"/>
              <w:rPr>
                <w:sz w:val="20"/>
              </w:rPr>
            </w:pPr>
            <w:r w:rsidRPr="009021BE">
              <w:rPr>
                <w:sz w:val="20"/>
              </w:rPr>
              <w:t>2017 ONCA 607; C61867</w:t>
            </w:r>
          </w:p>
          <w:p w:rsidR="00A30D37" w:rsidRPr="009021BE" w:rsidRDefault="00167F64" w:rsidP="00A30D37">
            <w:pPr>
              <w:jc w:val="both"/>
              <w:rPr>
                <w:sz w:val="20"/>
              </w:rPr>
            </w:pPr>
            <w:hyperlink r:id="rId42" w:history="1">
              <w:r w:rsidR="00A30D37" w:rsidRPr="009021BE">
                <w:rPr>
                  <w:rStyle w:val="Hyperlink"/>
                  <w:rFonts w:eastAsiaTheme="majorEastAsia"/>
                  <w:sz w:val="20"/>
                </w:rPr>
                <w:t>http://canlii.ca/t/h4zgt</w:t>
              </w:r>
            </w:hyperlink>
          </w:p>
          <w:p w:rsidR="00A30D37" w:rsidRPr="009021BE" w:rsidRDefault="00A30D37" w:rsidP="00A30D37">
            <w:pPr>
              <w:jc w:val="both"/>
              <w:rPr>
                <w:sz w:val="20"/>
              </w:rPr>
            </w:pPr>
          </w:p>
        </w:tc>
        <w:tc>
          <w:tcPr>
            <w:tcW w:w="243" w:type="pct"/>
          </w:tcPr>
          <w:p w:rsidR="00A30D37" w:rsidRPr="009021BE" w:rsidRDefault="00A30D37" w:rsidP="00A30D37">
            <w:pPr>
              <w:jc w:val="both"/>
              <w:rPr>
                <w:sz w:val="20"/>
              </w:rPr>
            </w:pPr>
          </w:p>
        </w:tc>
        <w:tc>
          <w:tcPr>
            <w:tcW w:w="2330" w:type="pct"/>
          </w:tcPr>
          <w:p w:rsidR="00A30D37" w:rsidRPr="009021BE" w:rsidRDefault="00A30D37" w:rsidP="00A30D37">
            <w:pPr>
              <w:jc w:val="both"/>
              <w:rPr>
                <w:sz w:val="20"/>
                <w:lang w:val="fr-CA"/>
              </w:rPr>
            </w:pPr>
            <w:r w:rsidRPr="009021BE">
              <w:rPr>
                <w:sz w:val="20"/>
                <w:lang w:val="fr-CA"/>
              </w:rPr>
              <w:t>Arrêt accueillant l’appel, annulant les déclarations de culpabilité et ordonnant un nouveau procès</w:t>
            </w:r>
          </w:p>
        </w:tc>
      </w:tr>
      <w:tr w:rsidR="00A30D37" w:rsidRPr="003A01D0" w:rsidTr="00DE47D4">
        <w:tc>
          <w:tcPr>
            <w:tcW w:w="2427" w:type="pct"/>
          </w:tcPr>
          <w:p w:rsidR="00A30D37" w:rsidRPr="009021BE" w:rsidRDefault="00A30D37" w:rsidP="00A30D37">
            <w:pPr>
              <w:jc w:val="both"/>
              <w:rPr>
                <w:sz w:val="20"/>
                <w:lang w:val="fr-CA"/>
              </w:rPr>
            </w:pPr>
            <w:r w:rsidRPr="009021BE">
              <w:rPr>
                <w:sz w:val="20"/>
                <w:lang w:val="fr-CA"/>
              </w:rPr>
              <w:t>27 septembre 2017</w:t>
            </w:r>
          </w:p>
          <w:p w:rsidR="00A30D37" w:rsidRPr="009021BE" w:rsidRDefault="00A30D37" w:rsidP="00A30D37">
            <w:pPr>
              <w:jc w:val="both"/>
              <w:rPr>
                <w:sz w:val="20"/>
                <w:lang w:val="fr-CA"/>
              </w:rPr>
            </w:pPr>
            <w:r w:rsidRPr="009021BE">
              <w:rPr>
                <w:sz w:val="20"/>
                <w:lang w:val="fr-CA"/>
              </w:rPr>
              <w:t>Cour suprême du Canada</w:t>
            </w:r>
          </w:p>
          <w:p w:rsidR="00A30D37" w:rsidRPr="009021BE" w:rsidRDefault="00A30D37" w:rsidP="00A30D37">
            <w:pPr>
              <w:jc w:val="both"/>
              <w:rPr>
                <w:sz w:val="20"/>
                <w:lang w:val="fr-CA"/>
              </w:rPr>
            </w:pPr>
          </w:p>
        </w:tc>
        <w:tc>
          <w:tcPr>
            <w:tcW w:w="243" w:type="pct"/>
          </w:tcPr>
          <w:p w:rsidR="00A30D37" w:rsidRPr="009021BE" w:rsidRDefault="00A30D37" w:rsidP="00A30D37">
            <w:pPr>
              <w:jc w:val="both"/>
              <w:rPr>
                <w:sz w:val="20"/>
                <w:lang w:val="fr-CA"/>
              </w:rPr>
            </w:pPr>
          </w:p>
        </w:tc>
        <w:tc>
          <w:tcPr>
            <w:tcW w:w="2330" w:type="pct"/>
          </w:tcPr>
          <w:p w:rsidR="00A30D37" w:rsidRPr="009021BE" w:rsidRDefault="00A30D37" w:rsidP="00A30D37">
            <w:pPr>
              <w:jc w:val="both"/>
              <w:rPr>
                <w:sz w:val="20"/>
                <w:lang w:val="fr-CA"/>
              </w:rPr>
            </w:pPr>
            <w:r w:rsidRPr="009021BE">
              <w:rPr>
                <w:sz w:val="20"/>
                <w:lang w:val="fr-CA"/>
              </w:rPr>
              <w:t>Dépôt de la demande d’autorisation d’appel</w:t>
            </w:r>
          </w:p>
          <w:p w:rsidR="00A30D37" w:rsidRPr="009021BE" w:rsidRDefault="00A30D37" w:rsidP="00A30D37">
            <w:pPr>
              <w:jc w:val="both"/>
              <w:rPr>
                <w:sz w:val="20"/>
                <w:lang w:val="fr-CA"/>
              </w:rPr>
            </w:pPr>
          </w:p>
        </w:tc>
      </w:tr>
      <w:tr w:rsidR="00A30D37" w:rsidRPr="003A01D0" w:rsidTr="00DE47D4">
        <w:tc>
          <w:tcPr>
            <w:tcW w:w="2427" w:type="pct"/>
          </w:tcPr>
          <w:p w:rsidR="00A30D37" w:rsidRPr="009021BE" w:rsidRDefault="00A30D37" w:rsidP="00A30D37">
            <w:pPr>
              <w:jc w:val="both"/>
              <w:rPr>
                <w:sz w:val="20"/>
                <w:lang w:val="fr-CA"/>
              </w:rPr>
            </w:pPr>
            <w:r w:rsidRPr="009021BE">
              <w:rPr>
                <w:sz w:val="20"/>
                <w:lang w:val="fr-CA"/>
              </w:rPr>
              <w:t>27 octobre 2017</w:t>
            </w:r>
          </w:p>
          <w:p w:rsidR="00A30D37" w:rsidRPr="009021BE" w:rsidRDefault="00A30D37" w:rsidP="00A30D37">
            <w:pPr>
              <w:jc w:val="both"/>
              <w:rPr>
                <w:sz w:val="20"/>
                <w:lang w:val="fr-CA"/>
              </w:rPr>
            </w:pPr>
            <w:r w:rsidRPr="009021BE">
              <w:rPr>
                <w:sz w:val="20"/>
                <w:lang w:val="fr-CA"/>
              </w:rPr>
              <w:t>Cour suprême du Canada</w:t>
            </w:r>
          </w:p>
        </w:tc>
        <w:tc>
          <w:tcPr>
            <w:tcW w:w="243" w:type="pct"/>
          </w:tcPr>
          <w:p w:rsidR="00A30D37" w:rsidRPr="009021BE" w:rsidRDefault="00A30D37" w:rsidP="00A30D37">
            <w:pPr>
              <w:jc w:val="both"/>
              <w:rPr>
                <w:sz w:val="20"/>
                <w:lang w:val="fr-CA"/>
              </w:rPr>
            </w:pPr>
          </w:p>
        </w:tc>
        <w:tc>
          <w:tcPr>
            <w:tcW w:w="2330" w:type="pct"/>
          </w:tcPr>
          <w:p w:rsidR="00A30D37" w:rsidRPr="009021BE" w:rsidRDefault="00A30D37" w:rsidP="00A30D37">
            <w:pPr>
              <w:jc w:val="both"/>
              <w:rPr>
                <w:sz w:val="20"/>
                <w:lang w:val="fr-CA"/>
              </w:rPr>
            </w:pPr>
            <w:r w:rsidRPr="009021BE">
              <w:rPr>
                <w:sz w:val="20"/>
                <w:lang w:val="fr-CA"/>
              </w:rPr>
              <w:t xml:space="preserve">Décision accueillant la requête en prorogation du délai de signification et de dépôt de la réponse à la demande d’autorisation d’appel au 17 novembre 2017 </w:t>
            </w:r>
          </w:p>
        </w:tc>
      </w:tr>
    </w:tbl>
    <w:p w:rsidR="00BC5022" w:rsidRDefault="00167F64" w:rsidP="006A0A32">
      <w:pPr>
        <w:jc w:val="both"/>
        <w:rPr>
          <w:sz w:val="20"/>
          <w:szCs w:val="20"/>
        </w:rPr>
      </w:pPr>
      <w:r>
        <w:rPr>
          <w:sz w:val="20"/>
          <w:szCs w:val="20"/>
        </w:rPr>
        <w:pict>
          <v:rect id="_x0000_i1046" style="width:2in;height:1pt" o:hrpct="0" o:hralign="center" o:hrstd="t" o:hrnoshade="t" o:hr="t" fillcolor="black" stroked="f"/>
        </w:pict>
      </w:r>
    </w:p>
    <w:p w:rsidR="00BC5022" w:rsidRDefault="00BC502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0A32" w:rsidRPr="009021BE" w:rsidTr="00BD4227">
        <w:tc>
          <w:tcPr>
            <w:tcW w:w="543" w:type="pct"/>
          </w:tcPr>
          <w:p w:rsidR="006A0A32" w:rsidRPr="009021BE" w:rsidRDefault="006A0A32" w:rsidP="00DE47D4">
            <w:pPr>
              <w:jc w:val="both"/>
              <w:rPr>
                <w:sz w:val="20"/>
              </w:rPr>
            </w:pPr>
            <w:r w:rsidRPr="009021BE">
              <w:rPr>
                <w:rStyle w:val="SCCFileNumberChar"/>
                <w:sz w:val="20"/>
                <w:szCs w:val="20"/>
              </w:rPr>
              <w:t>37717</w:t>
            </w:r>
          </w:p>
        </w:tc>
        <w:tc>
          <w:tcPr>
            <w:tcW w:w="4457" w:type="pct"/>
          </w:tcPr>
          <w:p w:rsidR="006A0A32" w:rsidRPr="00BF319D" w:rsidRDefault="006A0A32" w:rsidP="00DE47D4">
            <w:pPr>
              <w:pStyle w:val="SCCLsocParty"/>
              <w:jc w:val="both"/>
              <w:rPr>
                <w:b/>
                <w:sz w:val="20"/>
                <w:szCs w:val="20"/>
                <w:lang w:val="en-US"/>
              </w:rPr>
            </w:pPr>
            <w:r w:rsidRPr="00BF319D">
              <w:rPr>
                <w:b/>
                <w:sz w:val="20"/>
                <w:szCs w:val="20"/>
                <w:lang w:val="en-US"/>
              </w:rPr>
              <w:t>E. Jo-Anne Lanigan v. Prince Edward Island Teachers' Federation</w:t>
            </w:r>
          </w:p>
          <w:p w:rsidR="006A0A32" w:rsidRPr="009021BE" w:rsidRDefault="006A0A32" w:rsidP="00DE47D4">
            <w:pPr>
              <w:jc w:val="both"/>
              <w:rPr>
                <w:sz w:val="20"/>
              </w:rPr>
            </w:pPr>
            <w:r w:rsidRPr="009021BE">
              <w:rPr>
                <w:sz w:val="20"/>
              </w:rPr>
              <w:t>(P.E.I.) (Civil) (By Leave)</w:t>
            </w:r>
          </w:p>
        </w:tc>
      </w:tr>
      <w:tr w:rsidR="00010265" w:rsidRPr="009021BE" w:rsidTr="00BD4227">
        <w:tc>
          <w:tcPr>
            <w:tcW w:w="543" w:type="pct"/>
          </w:tcPr>
          <w:p w:rsidR="00010265" w:rsidRPr="005F1C17" w:rsidRDefault="00010265" w:rsidP="00010265">
            <w:pPr>
              <w:jc w:val="both"/>
              <w:rPr>
                <w:rStyle w:val="SCCFileNumberChar"/>
                <w:sz w:val="20"/>
                <w:szCs w:val="20"/>
              </w:rPr>
            </w:pPr>
            <w:r w:rsidRPr="00AE0F22">
              <w:rPr>
                <w:rStyle w:val="SCCFileNumberChar"/>
                <w:b w:val="0"/>
                <w:sz w:val="20"/>
                <w:szCs w:val="20"/>
              </w:rPr>
              <w:t xml:space="preserve">Coram: </w:t>
            </w:r>
          </w:p>
        </w:tc>
        <w:tc>
          <w:tcPr>
            <w:tcW w:w="4457" w:type="pct"/>
          </w:tcPr>
          <w:p w:rsidR="00010265" w:rsidRPr="005F1C17" w:rsidRDefault="00010265" w:rsidP="00010265">
            <w:pPr>
              <w:rPr>
                <w:rFonts w:eastAsia="Calibri" w:cs="Times New Roman"/>
                <w:sz w:val="20"/>
                <w:szCs w:val="20"/>
                <w:u w:val="single"/>
                <w:lang w:val="en-US"/>
              </w:rPr>
            </w:pPr>
            <w:r w:rsidRPr="005F1C17">
              <w:rPr>
                <w:rFonts w:eastAsia="Calibri" w:cs="Times New Roman"/>
                <w:sz w:val="20"/>
                <w:szCs w:val="20"/>
                <w:u w:val="single"/>
                <w:lang w:val="en-US"/>
              </w:rPr>
              <w:t>Wagner C.J. and Abella, Moldaver, Karakatsanis, Gascon, Côté, Brown, Rowe and Martin JJ.</w:t>
            </w:r>
          </w:p>
          <w:p w:rsidR="00010265" w:rsidRPr="005F1C17" w:rsidRDefault="00010265" w:rsidP="00010265">
            <w:pPr>
              <w:rPr>
                <w:rFonts w:eastAsia="Calibri" w:cs="Times New Roman"/>
                <w:sz w:val="20"/>
                <w:szCs w:val="20"/>
                <w:u w:val="single"/>
                <w:lang w:val="en-US"/>
              </w:rPr>
            </w:pPr>
          </w:p>
        </w:tc>
      </w:tr>
      <w:tr w:rsidR="00010265" w:rsidRPr="009021BE" w:rsidTr="00BD4227">
        <w:tc>
          <w:tcPr>
            <w:tcW w:w="5000" w:type="pct"/>
            <w:gridSpan w:val="2"/>
          </w:tcPr>
          <w:p w:rsidR="00010265" w:rsidRPr="00010265" w:rsidRDefault="00010265" w:rsidP="00010265">
            <w:pPr>
              <w:pStyle w:val="SCCLsocParty"/>
              <w:jc w:val="both"/>
              <w:rPr>
                <w:b/>
                <w:sz w:val="20"/>
                <w:szCs w:val="20"/>
                <w:lang w:val="en-US"/>
              </w:rPr>
            </w:pPr>
            <w:r w:rsidRPr="00010265">
              <w:rPr>
                <w:sz w:val="20"/>
                <w:lang w:val="en-US"/>
              </w:rPr>
              <w:t>The motion for an extension of time to serve and file the first application for leave to appeal is granted. The applications for leave to appeal from the judgments of the Prince Edward Island Court of Appeal, Number S1-CA-1327, 2017 PECA 3, dated March 23, 2017, and Number S1-CA-1327, 2017 PECA 9, dated May 15, 2017, are dismissed with costs.</w:t>
            </w:r>
          </w:p>
        </w:tc>
      </w:tr>
      <w:tr w:rsidR="00010265" w:rsidRPr="009021BE" w:rsidTr="00BD4227">
        <w:tc>
          <w:tcPr>
            <w:tcW w:w="5000" w:type="pct"/>
            <w:gridSpan w:val="2"/>
          </w:tcPr>
          <w:p w:rsidR="00010265" w:rsidRPr="009021BE" w:rsidRDefault="00010265" w:rsidP="00010265">
            <w:pPr>
              <w:jc w:val="both"/>
              <w:rPr>
                <w:sz w:val="20"/>
              </w:rPr>
            </w:pPr>
            <w:r w:rsidRPr="009021BE">
              <w:rPr>
                <w:sz w:val="20"/>
              </w:rPr>
              <w:t>Labour relations – Unions – Duty of fair representation – Whether the Court of Appeal erred in law and in principle in retrying the matter under consideration – Whether the Court of Appeal erred in principle and in fact in dismissing the motion for reconsideration.</w:t>
            </w:r>
          </w:p>
        </w:tc>
      </w:tr>
    </w:tbl>
    <w:p w:rsidR="00BD4227" w:rsidRDefault="00BD4227">
      <w:r>
        <w:br w:type="page"/>
      </w:r>
    </w:p>
    <w:tbl>
      <w:tblPr>
        <w:tblW w:w="5000" w:type="pct"/>
        <w:tblLayout w:type="fixed"/>
        <w:tblCellMar>
          <w:left w:w="0" w:type="dxa"/>
          <w:bottom w:w="99" w:type="dxa"/>
          <w:right w:w="0" w:type="dxa"/>
        </w:tblCellMar>
        <w:tblLook w:val="04A0" w:firstRow="1" w:lastRow="0" w:firstColumn="1" w:lastColumn="0" w:noHBand="0" w:noVBand="1"/>
      </w:tblPr>
      <w:tblGrid>
        <w:gridCol w:w="4554"/>
        <w:gridCol w:w="514"/>
        <w:gridCol w:w="4459"/>
        <w:gridCol w:w="92"/>
      </w:tblGrid>
      <w:tr w:rsidR="00010265" w:rsidRPr="009021BE" w:rsidTr="00DE47D4">
        <w:trPr>
          <w:gridAfter w:val="1"/>
          <w:wAfter w:w="48" w:type="pct"/>
        </w:trPr>
        <w:tc>
          <w:tcPr>
            <w:tcW w:w="4952" w:type="pct"/>
            <w:gridSpan w:val="3"/>
          </w:tcPr>
          <w:p w:rsidR="00010265" w:rsidRPr="009021BE" w:rsidRDefault="00010265" w:rsidP="00010265">
            <w:pPr>
              <w:jc w:val="both"/>
              <w:rPr>
                <w:sz w:val="20"/>
              </w:rPr>
            </w:pPr>
          </w:p>
          <w:p w:rsidR="00010265" w:rsidRPr="009021BE" w:rsidRDefault="00010265" w:rsidP="00010265">
            <w:pPr>
              <w:jc w:val="both"/>
              <w:rPr>
                <w:sz w:val="20"/>
              </w:rPr>
            </w:pPr>
            <w:r w:rsidRPr="009021BE">
              <w:rPr>
                <w:sz w:val="20"/>
              </w:rPr>
              <w:t>Jo-Anne Lanigan is a teacher, and was a vice-principal until, on August 23, 2010, the employer invoked discipline that terminated her administrative position. Both the Prince Edward Island Teachers’ Federation (the “Union”) and Ms. Lanigan agreed that the manner in which Ms. Lanigan lost her vice-principal’s position violated the collective agreement, however no grievance was filed. In May of 2011, Ms. Lanigan began applying for guidance counsellor positions within the School District, however was advised by the employer that she would not be hired for any counsellor positions. Ms. Lanigan retained counsel. She also sought the assistance of the Union, asking it to file a grievance for the loss of her vice-principal’s position, as well as for the employer’s refusal to consider her for any counsellor positions. The Union investigated and declined to file a grievance in either case. Ms. Lanigan sued the Union, alleging many breaches of the duty of fair representation, claiming she thereby suffered loss and damages.</w:t>
            </w:r>
          </w:p>
        </w:tc>
      </w:tr>
      <w:tr w:rsidR="00010265" w:rsidRPr="009021BE" w:rsidTr="00DE47D4">
        <w:trPr>
          <w:gridAfter w:val="1"/>
          <w:wAfter w:w="48" w:type="pct"/>
        </w:trPr>
        <w:tc>
          <w:tcPr>
            <w:tcW w:w="4952" w:type="pct"/>
            <w:gridSpan w:val="3"/>
          </w:tcPr>
          <w:p w:rsidR="00010265" w:rsidRPr="009021BE" w:rsidRDefault="00010265" w:rsidP="00010265">
            <w:pPr>
              <w:jc w:val="both"/>
              <w:rPr>
                <w:sz w:val="20"/>
              </w:rPr>
            </w:pPr>
          </w:p>
          <w:p w:rsidR="00010265" w:rsidRPr="009021BE" w:rsidRDefault="00010265" w:rsidP="00010265">
            <w:pPr>
              <w:jc w:val="both"/>
              <w:rPr>
                <w:sz w:val="20"/>
              </w:rPr>
            </w:pPr>
            <w:r w:rsidRPr="009021BE">
              <w:rPr>
                <w:sz w:val="20"/>
              </w:rPr>
              <w:t>The Supreme Court of Prince Edward Island, Trial Division, allowed Ms. Lanigan’s action. The P.E.I. Court of Appeal allowed the Union’s appeal, dismissing Ms. Lanigan’s action, finding that the trial judge had made errors in the standard of review, as well as other errors of law and fact that made his decision unsustainable. Ms. Lanigan’s motion for reconsideration of the decision on appeal was subsequently dismissed by the Court of Appeal on the basis that she had not presented any grounds that would warrant reconsideration.</w:t>
            </w:r>
          </w:p>
          <w:p w:rsidR="00010265" w:rsidRPr="009021BE" w:rsidRDefault="00010265" w:rsidP="00010265">
            <w:pPr>
              <w:jc w:val="both"/>
              <w:rPr>
                <w:sz w:val="20"/>
              </w:rPr>
            </w:pPr>
          </w:p>
        </w:tc>
      </w:tr>
      <w:tr w:rsidR="00010265" w:rsidRPr="009021BE" w:rsidTr="00DE47D4">
        <w:tblPrEx>
          <w:tblCellMar>
            <w:bottom w:w="0" w:type="dxa"/>
          </w:tblCellMar>
        </w:tblPrEx>
        <w:tc>
          <w:tcPr>
            <w:tcW w:w="2367" w:type="pct"/>
          </w:tcPr>
          <w:p w:rsidR="00010265" w:rsidRPr="009021BE" w:rsidRDefault="00010265" w:rsidP="00010265">
            <w:pPr>
              <w:jc w:val="both"/>
              <w:rPr>
                <w:sz w:val="20"/>
              </w:rPr>
            </w:pPr>
            <w:r w:rsidRPr="009021BE">
              <w:rPr>
                <w:sz w:val="20"/>
              </w:rPr>
              <w:t>November 30, 2015</w:t>
            </w:r>
          </w:p>
          <w:p w:rsidR="00010265" w:rsidRPr="009021BE" w:rsidRDefault="00010265" w:rsidP="00010265">
            <w:pPr>
              <w:jc w:val="both"/>
              <w:rPr>
                <w:sz w:val="20"/>
              </w:rPr>
            </w:pPr>
            <w:r w:rsidRPr="009021BE">
              <w:rPr>
                <w:sz w:val="20"/>
              </w:rPr>
              <w:t>Supreme Court of Prince Edward Island, Trial Division</w:t>
            </w:r>
          </w:p>
          <w:p w:rsidR="00010265" w:rsidRPr="009021BE" w:rsidRDefault="00010265" w:rsidP="00010265">
            <w:pPr>
              <w:jc w:val="both"/>
              <w:rPr>
                <w:sz w:val="20"/>
              </w:rPr>
            </w:pPr>
            <w:r w:rsidRPr="009021BE">
              <w:rPr>
                <w:sz w:val="20"/>
              </w:rPr>
              <w:t>(Taylor J.)</w:t>
            </w:r>
          </w:p>
          <w:p w:rsidR="00010265" w:rsidRPr="009021BE" w:rsidRDefault="00167F64" w:rsidP="00010265">
            <w:pPr>
              <w:jc w:val="both"/>
              <w:rPr>
                <w:sz w:val="20"/>
              </w:rPr>
            </w:pPr>
            <w:hyperlink r:id="rId43" w:history="1">
              <w:r w:rsidR="00010265" w:rsidRPr="009021BE">
                <w:rPr>
                  <w:rStyle w:val="Hyperlink"/>
                  <w:sz w:val="20"/>
                </w:rPr>
                <w:t>2015 PESC 36</w:t>
              </w:r>
            </w:hyperlink>
          </w:p>
          <w:p w:rsidR="00010265" w:rsidRPr="009021BE" w:rsidRDefault="00010265" w:rsidP="00010265">
            <w:pPr>
              <w:jc w:val="both"/>
              <w:rPr>
                <w:sz w:val="20"/>
              </w:rPr>
            </w:pPr>
          </w:p>
        </w:tc>
        <w:tc>
          <w:tcPr>
            <w:tcW w:w="267" w:type="pct"/>
          </w:tcPr>
          <w:p w:rsidR="00010265" w:rsidRPr="009021BE" w:rsidRDefault="00010265" w:rsidP="00010265">
            <w:pPr>
              <w:jc w:val="both"/>
              <w:rPr>
                <w:sz w:val="20"/>
              </w:rPr>
            </w:pPr>
          </w:p>
        </w:tc>
        <w:tc>
          <w:tcPr>
            <w:tcW w:w="2366" w:type="pct"/>
            <w:gridSpan w:val="2"/>
          </w:tcPr>
          <w:p w:rsidR="00010265" w:rsidRPr="009021BE" w:rsidRDefault="00010265" w:rsidP="00010265">
            <w:pPr>
              <w:jc w:val="both"/>
              <w:rPr>
                <w:sz w:val="20"/>
              </w:rPr>
            </w:pPr>
            <w:r w:rsidRPr="009021BE">
              <w:rPr>
                <w:sz w:val="20"/>
              </w:rPr>
              <w:t>Applicant’s action, allowed. Respondent ordered to pay special damages, pre- and post-judgment interest, and substantial indemnity costs.</w:t>
            </w:r>
          </w:p>
          <w:p w:rsidR="00010265" w:rsidRPr="009021BE" w:rsidRDefault="00010265" w:rsidP="00010265">
            <w:pPr>
              <w:jc w:val="both"/>
              <w:rPr>
                <w:sz w:val="20"/>
              </w:rPr>
            </w:pPr>
          </w:p>
        </w:tc>
      </w:tr>
      <w:tr w:rsidR="00010265" w:rsidRPr="009021BE" w:rsidTr="00DE47D4">
        <w:tblPrEx>
          <w:tblCellMar>
            <w:bottom w:w="0" w:type="dxa"/>
          </w:tblCellMar>
        </w:tblPrEx>
        <w:tc>
          <w:tcPr>
            <w:tcW w:w="2367" w:type="pct"/>
          </w:tcPr>
          <w:p w:rsidR="00010265" w:rsidRPr="009021BE" w:rsidRDefault="00010265" w:rsidP="00010265">
            <w:pPr>
              <w:jc w:val="both"/>
              <w:rPr>
                <w:sz w:val="20"/>
              </w:rPr>
            </w:pPr>
            <w:r w:rsidRPr="009021BE">
              <w:rPr>
                <w:sz w:val="20"/>
              </w:rPr>
              <w:t>March 23, 2017</w:t>
            </w:r>
          </w:p>
          <w:p w:rsidR="00010265" w:rsidRPr="009021BE" w:rsidRDefault="00010265" w:rsidP="00010265">
            <w:pPr>
              <w:jc w:val="both"/>
              <w:rPr>
                <w:sz w:val="20"/>
              </w:rPr>
            </w:pPr>
            <w:r w:rsidRPr="009021BE">
              <w:rPr>
                <w:sz w:val="20"/>
              </w:rPr>
              <w:t>Prince Edward Island Court of Appeal</w:t>
            </w:r>
          </w:p>
          <w:p w:rsidR="00010265" w:rsidRPr="009021BE" w:rsidRDefault="00010265" w:rsidP="00010265">
            <w:pPr>
              <w:jc w:val="both"/>
              <w:rPr>
                <w:sz w:val="20"/>
              </w:rPr>
            </w:pPr>
            <w:r w:rsidRPr="009021BE">
              <w:rPr>
                <w:sz w:val="20"/>
              </w:rPr>
              <w:t>(Jenkins C.J.P.E.I., Murphy and Mitchell JJ.A.)</w:t>
            </w:r>
          </w:p>
          <w:p w:rsidR="00010265" w:rsidRPr="009021BE" w:rsidRDefault="00167F64" w:rsidP="00010265">
            <w:pPr>
              <w:jc w:val="both"/>
              <w:rPr>
                <w:sz w:val="20"/>
              </w:rPr>
            </w:pPr>
            <w:hyperlink r:id="rId44" w:history="1">
              <w:r w:rsidR="00010265" w:rsidRPr="009021BE">
                <w:rPr>
                  <w:rStyle w:val="Hyperlink"/>
                  <w:sz w:val="20"/>
                </w:rPr>
                <w:t>2017 PECA 3</w:t>
              </w:r>
            </w:hyperlink>
            <w:r w:rsidR="00010265" w:rsidRPr="009021BE">
              <w:rPr>
                <w:sz w:val="20"/>
              </w:rPr>
              <w:t xml:space="preserve"> </w:t>
            </w:r>
          </w:p>
          <w:p w:rsidR="00010265" w:rsidRPr="009021BE" w:rsidRDefault="00010265" w:rsidP="00010265">
            <w:pPr>
              <w:jc w:val="both"/>
              <w:rPr>
                <w:sz w:val="20"/>
              </w:rPr>
            </w:pPr>
          </w:p>
        </w:tc>
        <w:tc>
          <w:tcPr>
            <w:tcW w:w="267" w:type="pct"/>
          </w:tcPr>
          <w:p w:rsidR="00010265" w:rsidRPr="009021BE" w:rsidRDefault="00010265" w:rsidP="00010265">
            <w:pPr>
              <w:jc w:val="both"/>
              <w:rPr>
                <w:sz w:val="20"/>
              </w:rPr>
            </w:pPr>
          </w:p>
        </w:tc>
        <w:tc>
          <w:tcPr>
            <w:tcW w:w="2366" w:type="pct"/>
            <w:gridSpan w:val="2"/>
          </w:tcPr>
          <w:p w:rsidR="00010265" w:rsidRPr="009021BE" w:rsidRDefault="00010265" w:rsidP="00010265">
            <w:pPr>
              <w:jc w:val="both"/>
              <w:rPr>
                <w:sz w:val="20"/>
              </w:rPr>
            </w:pPr>
            <w:r w:rsidRPr="009021BE">
              <w:rPr>
                <w:sz w:val="20"/>
              </w:rPr>
              <w:t>Respondent’s appeal, allowed; Applicant’s cross-appeal from the decision not to award general damages, dismissed; Applicant’s action, dismissed.</w:t>
            </w:r>
          </w:p>
          <w:p w:rsidR="00010265" w:rsidRPr="009021BE" w:rsidRDefault="00010265" w:rsidP="00010265">
            <w:pPr>
              <w:jc w:val="both"/>
              <w:rPr>
                <w:sz w:val="20"/>
              </w:rPr>
            </w:pPr>
          </w:p>
        </w:tc>
      </w:tr>
      <w:tr w:rsidR="00010265" w:rsidRPr="009021BE" w:rsidTr="00DE47D4">
        <w:tblPrEx>
          <w:tblCellMar>
            <w:bottom w:w="0" w:type="dxa"/>
          </w:tblCellMar>
        </w:tblPrEx>
        <w:trPr>
          <w:trHeight w:val="414"/>
        </w:trPr>
        <w:tc>
          <w:tcPr>
            <w:tcW w:w="2367" w:type="pct"/>
          </w:tcPr>
          <w:p w:rsidR="00010265" w:rsidRPr="009021BE" w:rsidRDefault="00010265" w:rsidP="00010265">
            <w:pPr>
              <w:jc w:val="both"/>
              <w:rPr>
                <w:sz w:val="20"/>
              </w:rPr>
            </w:pPr>
            <w:r w:rsidRPr="009021BE">
              <w:rPr>
                <w:sz w:val="20"/>
              </w:rPr>
              <w:t>May 15, 2017</w:t>
            </w:r>
          </w:p>
          <w:p w:rsidR="00010265" w:rsidRPr="009021BE" w:rsidRDefault="00010265" w:rsidP="00010265">
            <w:pPr>
              <w:jc w:val="both"/>
              <w:rPr>
                <w:sz w:val="20"/>
              </w:rPr>
            </w:pPr>
            <w:r w:rsidRPr="009021BE">
              <w:rPr>
                <w:sz w:val="20"/>
              </w:rPr>
              <w:t>Prince Edward Island Court of Appeal</w:t>
            </w:r>
          </w:p>
          <w:p w:rsidR="00010265" w:rsidRPr="009021BE" w:rsidRDefault="00010265" w:rsidP="00010265">
            <w:pPr>
              <w:jc w:val="both"/>
              <w:rPr>
                <w:sz w:val="20"/>
              </w:rPr>
            </w:pPr>
            <w:r w:rsidRPr="009021BE">
              <w:rPr>
                <w:sz w:val="20"/>
              </w:rPr>
              <w:t>(Jenkins C.J.P.E.I., Murphy and Mitchell JJ.A.)</w:t>
            </w:r>
          </w:p>
          <w:p w:rsidR="00010265" w:rsidRPr="009021BE" w:rsidRDefault="00167F64" w:rsidP="00010265">
            <w:pPr>
              <w:jc w:val="both"/>
              <w:rPr>
                <w:rStyle w:val="Hyperlink"/>
                <w:sz w:val="20"/>
              </w:rPr>
            </w:pPr>
            <w:hyperlink r:id="rId45" w:history="1">
              <w:r w:rsidR="00010265" w:rsidRPr="009021BE">
                <w:rPr>
                  <w:rStyle w:val="Hyperlink"/>
                  <w:sz w:val="20"/>
                </w:rPr>
                <w:t>2017 PECA 9</w:t>
              </w:r>
            </w:hyperlink>
          </w:p>
          <w:p w:rsidR="00010265" w:rsidRPr="009021BE" w:rsidRDefault="00010265" w:rsidP="00010265">
            <w:pPr>
              <w:jc w:val="both"/>
              <w:rPr>
                <w:sz w:val="20"/>
              </w:rPr>
            </w:pPr>
          </w:p>
        </w:tc>
        <w:tc>
          <w:tcPr>
            <w:tcW w:w="267" w:type="pct"/>
          </w:tcPr>
          <w:p w:rsidR="00010265" w:rsidRPr="009021BE" w:rsidRDefault="00010265" w:rsidP="00010265">
            <w:pPr>
              <w:jc w:val="both"/>
              <w:rPr>
                <w:sz w:val="20"/>
              </w:rPr>
            </w:pPr>
          </w:p>
        </w:tc>
        <w:tc>
          <w:tcPr>
            <w:tcW w:w="2366" w:type="pct"/>
            <w:gridSpan w:val="2"/>
          </w:tcPr>
          <w:p w:rsidR="00010265" w:rsidRPr="009021BE" w:rsidRDefault="00010265" w:rsidP="00010265">
            <w:pPr>
              <w:jc w:val="both"/>
              <w:rPr>
                <w:sz w:val="20"/>
              </w:rPr>
            </w:pPr>
            <w:r w:rsidRPr="009021BE">
              <w:rPr>
                <w:sz w:val="20"/>
              </w:rPr>
              <w:t>Applicant’s motion for reconsideration, dismissed.</w:t>
            </w:r>
          </w:p>
          <w:p w:rsidR="00010265" w:rsidRPr="009021BE" w:rsidRDefault="00010265" w:rsidP="00010265">
            <w:pPr>
              <w:jc w:val="both"/>
              <w:rPr>
                <w:sz w:val="20"/>
              </w:rPr>
            </w:pPr>
          </w:p>
        </w:tc>
      </w:tr>
      <w:tr w:rsidR="00010265" w:rsidRPr="009021BE" w:rsidTr="00DE47D4">
        <w:tblPrEx>
          <w:tblCellMar>
            <w:bottom w:w="0" w:type="dxa"/>
          </w:tblCellMar>
        </w:tblPrEx>
        <w:tc>
          <w:tcPr>
            <w:tcW w:w="2367" w:type="pct"/>
          </w:tcPr>
          <w:p w:rsidR="00010265" w:rsidRPr="009021BE" w:rsidRDefault="00010265" w:rsidP="00010265">
            <w:pPr>
              <w:jc w:val="both"/>
              <w:rPr>
                <w:sz w:val="20"/>
              </w:rPr>
            </w:pPr>
            <w:r w:rsidRPr="009021BE">
              <w:rPr>
                <w:sz w:val="20"/>
              </w:rPr>
              <w:t>May 24, 2017 / September 21, 2017</w:t>
            </w:r>
          </w:p>
          <w:p w:rsidR="00010265" w:rsidRPr="009021BE" w:rsidRDefault="00010265" w:rsidP="00010265">
            <w:pPr>
              <w:jc w:val="both"/>
              <w:rPr>
                <w:sz w:val="20"/>
              </w:rPr>
            </w:pPr>
            <w:r w:rsidRPr="009021BE">
              <w:rPr>
                <w:sz w:val="20"/>
              </w:rPr>
              <w:t>Supreme Court of Canada</w:t>
            </w:r>
          </w:p>
          <w:p w:rsidR="00010265" w:rsidRPr="009021BE" w:rsidRDefault="00010265" w:rsidP="00010265">
            <w:pPr>
              <w:jc w:val="both"/>
              <w:rPr>
                <w:sz w:val="20"/>
              </w:rPr>
            </w:pPr>
          </w:p>
        </w:tc>
        <w:tc>
          <w:tcPr>
            <w:tcW w:w="267" w:type="pct"/>
          </w:tcPr>
          <w:p w:rsidR="00010265" w:rsidRPr="009021BE" w:rsidRDefault="00010265" w:rsidP="00010265">
            <w:pPr>
              <w:jc w:val="both"/>
              <w:rPr>
                <w:sz w:val="20"/>
              </w:rPr>
            </w:pPr>
          </w:p>
        </w:tc>
        <w:tc>
          <w:tcPr>
            <w:tcW w:w="2366" w:type="pct"/>
            <w:gridSpan w:val="2"/>
          </w:tcPr>
          <w:p w:rsidR="00010265" w:rsidRPr="009021BE" w:rsidRDefault="00010265" w:rsidP="00010265">
            <w:pPr>
              <w:jc w:val="both"/>
              <w:rPr>
                <w:sz w:val="20"/>
              </w:rPr>
            </w:pPr>
            <w:r w:rsidRPr="009021BE">
              <w:rPr>
                <w:sz w:val="20"/>
              </w:rPr>
              <w:t>First application for leave to appeal / motion for extension of time to serve and file application for leave to appeal, filed.</w:t>
            </w:r>
          </w:p>
          <w:p w:rsidR="00010265" w:rsidRPr="009021BE" w:rsidRDefault="00010265" w:rsidP="00010265">
            <w:pPr>
              <w:jc w:val="both"/>
              <w:rPr>
                <w:sz w:val="20"/>
              </w:rPr>
            </w:pPr>
          </w:p>
        </w:tc>
      </w:tr>
      <w:tr w:rsidR="00010265" w:rsidRPr="009021BE" w:rsidTr="00DE47D4">
        <w:tblPrEx>
          <w:tblCellMar>
            <w:bottom w:w="0" w:type="dxa"/>
          </w:tblCellMar>
        </w:tblPrEx>
        <w:tc>
          <w:tcPr>
            <w:tcW w:w="2367" w:type="pct"/>
          </w:tcPr>
          <w:p w:rsidR="00010265" w:rsidRPr="009021BE" w:rsidRDefault="00010265" w:rsidP="00010265">
            <w:pPr>
              <w:jc w:val="both"/>
              <w:rPr>
                <w:sz w:val="20"/>
              </w:rPr>
            </w:pPr>
            <w:r w:rsidRPr="009021BE">
              <w:rPr>
                <w:sz w:val="20"/>
              </w:rPr>
              <w:t>August 10, 2017</w:t>
            </w:r>
          </w:p>
          <w:p w:rsidR="00010265" w:rsidRPr="009021BE" w:rsidRDefault="00010265" w:rsidP="00010265">
            <w:pPr>
              <w:jc w:val="both"/>
              <w:rPr>
                <w:sz w:val="20"/>
              </w:rPr>
            </w:pPr>
            <w:r w:rsidRPr="009021BE">
              <w:rPr>
                <w:sz w:val="20"/>
              </w:rPr>
              <w:t>Supreme Court of Canada</w:t>
            </w:r>
          </w:p>
        </w:tc>
        <w:tc>
          <w:tcPr>
            <w:tcW w:w="267" w:type="pct"/>
          </w:tcPr>
          <w:p w:rsidR="00010265" w:rsidRPr="009021BE" w:rsidRDefault="00010265" w:rsidP="00010265">
            <w:pPr>
              <w:jc w:val="both"/>
              <w:rPr>
                <w:sz w:val="20"/>
              </w:rPr>
            </w:pPr>
          </w:p>
        </w:tc>
        <w:tc>
          <w:tcPr>
            <w:tcW w:w="2366" w:type="pct"/>
            <w:gridSpan w:val="2"/>
          </w:tcPr>
          <w:p w:rsidR="00010265" w:rsidRPr="009021BE" w:rsidRDefault="00010265" w:rsidP="00010265">
            <w:pPr>
              <w:jc w:val="both"/>
              <w:rPr>
                <w:sz w:val="20"/>
              </w:rPr>
            </w:pPr>
            <w:r w:rsidRPr="009021BE">
              <w:rPr>
                <w:sz w:val="20"/>
              </w:rPr>
              <w:t>Second application for leave to appeal, filed.</w:t>
            </w:r>
          </w:p>
          <w:p w:rsidR="00010265" w:rsidRPr="009021BE" w:rsidRDefault="00010265" w:rsidP="00010265">
            <w:pPr>
              <w:jc w:val="both"/>
              <w:rPr>
                <w:sz w:val="20"/>
              </w:rPr>
            </w:pPr>
          </w:p>
        </w:tc>
      </w:tr>
    </w:tbl>
    <w:p w:rsidR="00BC5022" w:rsidRDefault="00167F64" w:rsidP="006A0A32">
      <w:pPr>
        <w:jc w:val="both"/>
        <w:rPr>
          <w:sz w:val="20"/>
          <w:szCs w:val="20"/>
        </w:rPr>
      </w:pPr>
      <w:r>
        <w:rPr>
          <w:sz w:val="20"/>
          <w:szCs w:val="20"/>
        </w:rPr>
        <w:pict>
          <v:rect id="_x0000_i1047" style="width:2in;height:1pt" o:hrpct="0" o:hralign="center" o:hrstd="t" o:hrnoshade="t" o:hr="t" fillcolor="black" stroked="f"/>
        </w:pict>
      </w:r>
    </w:p>
    <w:p w:rsidR="00BC5022" w:rsidRDefault="00BC5022">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6A0A32" w:rsidRPr="003A01D0" w:rsidTr="00DE47D4">
        <w:trPr>
          <w:gridAfter w:val="1"/>
          <w:wAfter w:w="48" w:type="pct"/>
        </w:trPr>
        <w:tc>
          <w:tcPr>
            <w:tcW w:w="538" w:type="pct"/>
          </w:tcPr>
          <w:p w:rsidR="006A0A32" w:rsidRPr="009021BE" w:rsidRDefault="006A0A32" w:rsidP="00DE47D4">
            <w:pPr>
              <w:jc w:val="both"/>
              <w:rPr>
                <w:sz w:val="20"/>
                <w:lang w:val="fr-CA"/>
              </w:rPr>
            </w:pPr>
            <w:r w:rsidRPr="009021BE">
              <w:rPr>
                <w:rStyle w:val="SCCFileNumberChar"/>
                <w:sz w:val="20"/>
                <w:szCs w:val="20"/>
                <w:lang w:val="fr-CA"/>
              </w:rPr>
              <w:t>37717</w:t>
            </w:r>
          </w:p>
        </w:tc>
        <w:tc>
          <w:tcPr>
            <w:tcW w:w="4414" w:type="pct"/>
            <w:gridSpan w:val="3"/>
          </w:tcPr>
          <w:p w:rsidR="006A0A32" w:rsidRPr="00BF319D" w:rsidRDefault="006A0A32" w:rsidP="00DE47D4">
            <w:pPr>
              <w:pStyle w:val="SCCLsocParty"/>
              <w:jc w:val="both"/>
              <w:rPr>
                <w:b/>
                <w:sz w:val="20"/>
                <w:szCs w:val="20"/>
                <w:lang w:val="en-US"/>
              </w:rPr>
            </w:pPr>
            <w:r w:rsidRPr="00BF319D">
              <w:rPr>
                <w:b/>
                <w:sz w:val="20"/>
                <w:szCs w:val="20"/>
                <w:lang w:val="en-US"/>
              </w:rPr>
              <w:t>E. Jo-Anne Lanigan c. Prince Edward Island Teachers' Federation</w:t>
            </w:r>
          </w:p>
          <w:p w:rsidR="006A0A32" w:rsidRPr="009021BE" w:rsidRDefault="006A0A32" w:rsidP="00DE47D4">
            <w:pPr>
              <w:jc w:val="both"/>
              <w:rPr>
                <w:sz w:val="20"/>
                <w:lang w:val="fr-CA"/>
              </w:rPr>
            </w:pPr>
            <w:r w:rsidRPr="009021BE">
              <w:rPr>
                <w:sz w:val="20"/>
                <w:lang w:val="fr-CA"/>
              </w:rPr>
              <w:t>(Î.-P.-É.) (Civile) (Sur autorisation)</w:t>
            </w:r>
          </w:p>
        </w:tc>
      </w:tr>
      <w:tr w:rsidR="000A42F0" w:rsidRPr="003A01D0" w:rsidTr="00DE47D4">
        <w:trPr>
          <w:gridAfter w:val="1"/>
          <w:wAfter w:w="48" w:type="pct"/>
        </w:trPr>
        <w:tc>
          <w:tcPr>
            <w:tcW w:w="538" w:type="pct"/>
          </w:tcPr>
          <w:p w:rsidR="000A42F0" w:rsidRPr="00D32F6F" w:rsidRDefault="000A42F0" w:rsidP="000A42F0">
            <w:pPr>
              <w:jc w:val="both"/>
              <w:rPr>
                <w:rStyle w:val="SCCFileNumberChar"/>
                <w:b w:val="0"/>
                <w:sz w:val="20"/>
                <w:szCs w:val="20"/>
              </w:rPr>
            </w:pPr>
            <w:r w:rsidRPr="00D32F6F">
              <w:rPr>
                <w:rStyle w:val="SCCFileNumberChar"/>
                <w:b w:val="0"/>
                <w:sz w:val="20"/>
                <w:szCs w:val="20"/>
              </w:rPr>
              <w:t xml:space="preserve">Coram: </w:t>
            </w:r>
          </w:p>
        </w:tc>
        <w:tc>
          <w:tcPr>
            <w:tcW w:w="4414" w:type="pct"/>
            <w:gridSpan w:val="3"/>
          </w:tcPr>
          <w:p w:rsidR="000A42F0" w:rsidRPr="00D32F6F" w:rsidRDefault="000A42F0" w:rsidP="000A42F0">
            <w:pPr>
              <w:rPr>
                <w:rFonts w:eastAsia="Calibri" w:cs="Times New Roman"/>
                <w:sz w:val="20"/>
                <w:szCs w:val="20"/>
                <w:u w:val="single"/>
                <w:lang w:val="fr-CA"/>
              </w:rPr>
            </w:pPr>
            <w:r w:rsidRPr="00D32F6F">
              <w:rPr>
                <w:rFonts w:eastAsia="Calibri" w:cs="Times New Roman"/>
                <w:sz w:val="20"/>
                <w:szCs w:val="20"/>
                <w:u w:val="single"/>
                <w:lang w:val="fr-CA"/>
              </w:rPr>
              <w:t>Le juge en chef Wagner et les juges Abella, Moldaver, Karakatsanis, Gascon, Côté, Brown, Rowe et Martin</w:t>
            </w:r>
          </w:p>
          <w:p w:rsidR="000A42F0" w:rsidRPr="00D32F6F" w:rsidRDefault="000A42F0" w:rsidP="000A42F0">
            <w:pPr>
              <w:rPr>
                <w:sz w:val="20"/>
                <w:szCs w:val="20"/>
                <w:lang w:val="fr-CA"/>
              </w:rPr>
            </w:pPr>
          </w:p>
        </w:tc>
      </w:tr>
      <w:tr w:rsidR="000A42F0" w:rsidRPr="003A01D0" w:rsidTr="000A42F0">
        <w:trPr>
          <w:gridAfter w:val="1"/>
          <w:wAfter w:w="48" w:type="pct"/>
        </w:trPr>
        <w:tc>
          <w:tcPr>
            <w:tcW w:w="4952" w:type="pct"/>
            <w:gridSpan w:val="4"/>
          </w:tcPr>
          <w:p w:rsidR="000A42F0" w:rsidRPr="000A42F0" w:rsidRDefault="000A42F0" w:rsidP="000A42F0">
            <w:pPr>
              <w:pStyle w:val="SCCLsocParty"/>
              <w:jc w:val="both"/>
              <w:rPr>
                <w:b/>
                <w:sz w:val="20"/>
                <w:szCs w:val="20"/>
              </w:rPr>
            </w:pPr>
            <w:r w:rsidRPr="000A42F0">
              <w:rPr>
                <w:sz w:val="20"/>
              </w:rPr>
              <w:t xml:space="preserve">La requête en prorogation du délai de signification et de dépôt de la première demande d’autorisation d’appel est accueillie. Les demandes d’autorisation d’appel des arrêts de la </w:t>
            </w:r>
            <w:r w:rsidRPr="000A42F0">
              <w:rPr>
                <w:sz w:val="20"/>
                <w:lang w:val="fr-FR"/>
              </w:rPr>
              <w:t>Cour d’appel de l’Île-du-Prince-Édouard</w:t>
            </w:r>
            <w:r w:rsidRPr="000A42F0">
              <w:rPr>
                <w:sz w:val="20"/>
              </w:rPr>
              <w:t xml:space="preserve">, numéro </w:t>
            </w:r>
            <w:r w:rsidRPr="000A42F0">
              <w:rPr>
                <w:sz w:val="20"/>
                <w:lang w:val="fr-FR"/>
              </w:rPr>
              <w:t xml:space="preserve">S1-CA-1327, </w:t>
            </w:r>
            <w:r w:rsidRPr="000A42F0">
              <w:rPr>
                <w:sz w:val="20"/>
              </w:rPr>
              <w:t xml:space="preserve"> 2017 PECA 3, daté du 23 mars 2017, et numéro </w:t>
            </w:r>
            <w:r w:rsidRPr="000A42F0">
              <w:rPr>
                <w:sz w:val="20"/>
                <w:lang w:val="fr-FR"/>
              </w:rPr>
              <w:t xml:space="preserve">S1-CA-1327, </w:t>
            </w:r>
            <w:r w:rsidRPr="000A42F0">
              <w:rPr>
                <w:sz w:val="20"/>
              </w:rPr>
              <w:t xml:space="preserve">2017 PECA 9, daté du </w:t>
            </w:r>
            <w:r w:rsidRPr="000A42F0">
              <w:rPr>
                <w:sz w:val="20"/>
                <w:lang w:val="fr-FR"/>
              </w:rPr>
              <w:t>15 mai 2017</w:t>
            </w:r>
            <w:r w:rsidRPr="000A42F0">
              <w:rPr>
                <w:sz w:val="20"/>
              </w:rPr>
              <w:t>, sont rejetées avec dépens.</w:t>
            </w:r>
          </w:p>
        </w:tc>
      </w:tr>
      <w:tr w:rsidR="000A42F0" w:rsidRPr="003A01D0" w:rsidTr="00DE47D4">
        <w:trPr>
          <w:gridAfter w:val="1"/>
          <w:wAfter w:w="48" w:type="pct"/>
        </w:trPr>
        <w:tc>
          <w:tcPr>
            <w:tcW w:w="4952" w:type="pct"/>
            <w:gridSpan w:val="4"/>
          </w:tcPr>
          <w:p w:rsidR="000A42F0" w:rsidRPr="009021BE" w:rsidRDefault="000A42F0" w:rsidP="000A42F0">
            <w:pPr>
              <w:jc w:val="both"/>
              <w:rPr>
                <w:sz w:val="20"/>
                <w:lang w:val="fr-CA"/>
              </w:rPr>
            </w:pPr>
            <w:r w:rsidRPr="009021BE">
              <w:rPr>
                <w:sz w:val="20"/>
                <w:lang w:val="fr-CA"/>
              </w:rPr>
              <w:t>Relations du travail – Syndicat – Devoir de juste représentation – La Cour d’appel a-t-elle commis une erreur de droit et de principe en instruisant de nouveau l’affaire en cause? – La Cour d’appel a-t-elle commis une erreur de principe et de fait en rejetant la requête en réexamen?</w:t>
            </w:r>
          </w:p>
        </w:tc>
      </w:tr>
      <w:tr w:rsidR="000A42F0" w:rsidRPr="003A01D0" w:rsidTr="00DE47D4">
        <w:trPr>
          <w:gridAfter w:val="1"/>
          <w:wAfter w:w="48" w:type="pct"/>
        </w:trPr>
        <w:tc>
          <w:tcPr>
            <w:tcW w:w="4952" w:type="pct"/>
            <w:gridSpan w:val="4"/>
          </w:tcPr>
          <w:p w:rsidR="000A42F0" w:rsidRPr="009021BE" w:rsidRDefault="000A42F0" w:rsidP="000A42F0">
            <w:pPr>
              <w:jc w:val="both"/>
              <w:rPr>
                <w:sz w:val="20"/>
                <w:lang w:val="fr-CA"/>
              </w:rPr>
            </w:pPr>
          </w:p>
          <w:p w:rsidR="000A42F0" w:rsidRPr="009021BE" w:rsidRDefault="000A42F0" w:rsidP="000A42F0">
            <w:pPr>
              <w:jc w:val="both"/>
              <w:rPr>
                <w:sz w:val="20"/>
                <w:lang w:val="fr-CA"/>
              </w:rPr>
            </w:pPr>
            <w:r w:rsidRPr="009021BE">
              <w:rPr>
                <w:sz w:val="20"/>
                <w:lang w:val="fr-CA"/>
              </w:rPr>
              <w:t>Jo-Anne Lanigan est enseignante et elle a été directrice adjointe jusqu’au 23 août 2010, date à laquelle l’employeur lui a imposé une sanction disciplinaire qui lui a fait perdre son poste administratif. La Prince Edward Island Teachers’ Federation (le « syndicat ») et Mme Lanigan estimaient tous les deux que la manière dont Mme Lanigan avait perdu son poste de directrice adjointe violait la convention collective; toutefois, aucun grief n’a été déposé. En mai 2011, Mme Lanigan a commencé à présenter sa candidature à des postes de conseillère pédagogique dans le district scolaire; toutefois, l’employeur l’a informée qu’elle ne serait pas embauchée pour occuper des postes de conseillère. Madame Lanigan a retenu les services d’un avocat. Elle a également demandé l’aide du syndicat, lui demandant de présenter un grief portant sur la perte de son poste de directrice adjointe et sur le refus de l’employeur de considérer sa candidature à des postes de conseillère. Le syndicat a fait une enquête et a refusé de présenter un grief dans cas ou dans l’autre. Madame Lanigan a poursuivi le syndicat, alléguant plusieurs violations du devoir de juste représentation, ce qui lui aurait causé un préjudice.</w:t>
            </w:r>
          </w:p>
        </w:tc>
      </w:tr>
      <w:tr w:rsidR="000A42F0" w:rsidRPr="003A01D0" w:rsidTr="00DE47D4">
        <w:trPr>
          <w:gridAfter w:val="1"/>
          <w:wAfter w:w="48" w:type="pct"/>
        </w:trPr>
        <w:tc>
          <w:tcPr>
            <w:tcW w:w="4952" w:type="pct"/>
            <w:gridSpan w:val="4"/>
          </w:tcPr>
          <w:p w:rsidR="000A42F0" w:rsidRPr="009021BE" w:rsidRDefault="000A42F0" w:rsidP="000A42F0">
            <w:pPr>
              <w:jc w:val="both"/>
              <w:rPr>
                <w:sz w:val="20"/>
                <w:lang w:val="fr-CA"/>
              </w:rPr>
            </w:pPr>
          </w:p>
          <w:p w:rsidR="000A42F0" w:rsidRPr="009021BE" w:rsidRDefault="000A42F0" w:rsidP="000A42F0">
            <w:pPr>
              <w:jc w:val="both"/>
              <w:rPr>
                <w:sz w:val="20"/>
                <w:lang w:val="fr-CA"/>
              </w:rPr>
            </w:pPr>
            <w:r w:rsidRPr="009021BE">
              <w:rPr>
                <w:sz w:val="20"/>
                <w:lang w:val="fr-CA"/>
              </w:rPr>
              <w:t xml:space="preserve">La Cour suprême de l’Île-du-Prince-Édouard, Section de première instance, a accueilli l’action de Mme Lanigan. La Cour d’appel de l’Île-du-Prince-Édouard a accueilli l’appel du syndicat, rejetant l’action de Mme Lanigan et concluant que le juge de première instance avait commis des erreurs relatives à la norme de contrôle et d’autres erreurs de droit et de fait qui rendaient sa décision indéfendable. La Cour d’appel a subséquemment rejeté la requête de Mme Lanigan en réexamen de la décision frappée d’appel, statuant qu’elle n’avait pas présenté de motifs justifiant le réexamen. </w:t>
            </w:r>
          </w:p>
          <w:p w:rsidR="000A42F0" w:rsidRPr="009021BE" w:rsidRDefault="000A42F0" w:rsidP="000A42F0">
            <w:pPr>
              <w:jc w:val="both"/>
              <w:rPr>
                <w:sz w:val="20"/>
                <w:lang w:val="fr-CA"/>
              </w:rPr>
            </w:pPr>
          </w:p>
        </w:tc>
      </w:tr>
      <w:tr w:rsidR="000A42F0" w:rsidRPr="003A01D0" w:rsidTr="00DE47D4">
        <w:tblPrEx>
          <w:tblCellMar>
            <w:bottom w:w="0" w:type="dxa"/>
          </w:tblCellMar>
        </w:tblPrEx>
        <w:tc>
          <w:tcPr>
            <w:tcW w:w="2367" w:type="pct"/>
            <w:gridSpan w:val="2"/>
          </w:tcPr>
          <w:p w:rsidR="000A42F0" w:rsidRPr="009021BE" w:rsidRDefault="000A42F0" w:rsidP="000A42F0">
            <w:pPr>
              <w:jc w:val="both"/>
              <w:rPr>
                <w:sz w:val="20"/>
                <w:lang w:val="fr-CA"/>
              </w:rPr>
            </w:pPr>
            <w:r w:rsidRPr="009021BE">
              <w:rPr>
                <w:sz w:val="20"/>
                <w:lang w:val="fr-CA"/>
              </w:rPr>
              <w:t>30 novembre 2015</w:t>
            </w:r>
          </w:p>
          <w:p w:rsidR="000A42F0" w:rsidRPr="009021BE" w:rsidRDefault="000A42F0" w:rsidP="000A42F0">
            <w:pPr>
              <w:jc w:val="both"/>
              <w:rPr>
                <w:sz w:val="20"/>
                <w:lang w:val="fr-CA"/>
              </w:rPr>
            </w:pPr>
            <w:r w:rsidRPr="009021BE">
              <w:rPr>
                <w:sz w:val="20"/>
                <w:lang w:val="fr-CA"/>
              </w:rPr>
              <w:t>Cour suprême de l’Île-du-Prince-Édouard, Section de première instance</w:t>
            </w:r>
          </w:p>
          <w:p w:rsidR="000A42F0" w:rsidRPr="009021BE" w:rsidRDefault="000A42F0" w:rsidP="000A42F0">
            <w:pPr>
              <w:jc w:val="both"/>
              <w:rPr>
                <w:sz w:val="20"/>
                <w:lang w:val="fr-CA"/>
              </w:rPr>
            </w:pPr>
            <w:r w:rsidRPr="009021BE">
              <w:rPr>
                <w:sz w:val="20"/>
                <w:lang w:val="fr-CA"/>
              </w:rPr>
              <w:t>(Juge Taylor)</w:t>
            </w:r>
          </w:p>
          <w:p w:rsidR="000A42F0" w:rsidRPr="009021BE" w:rsidRDefault="00167F64" w:rsidP="000A42F0">
            <w:pPr>
              <w:jc w:val="both"/>
              <w:rPr>
                <w:sz w:val="20"/>
                <w:lang w:val="fr-CA"/>
              </w:rPr>
            </w:pPr>
            <w:hyperlink r:id="rId46" w:history="1">
              <w:r w:rsidR="000A42F0" w:rsidRPr="009021BE">
                <w:rPr>
                  <w:rStyle w:val="Hyperlink"/>
                  <w:sz w:val="20"/>
                  <w:lang w:val="fr-CA"/>
                </w:rPr>
                <w:t>2015 PESC 36</w:t>
              </w:r>
            </w:hyperlink>
          </w:p>
          <w:p w:rsidR="000A42F0" w:rsidRPr="009021BE" w:rsidRDefault="000A42F0" w:rsidP="000A42F0">
            <w:pPr>
              <w:jc w:val="both"/>
              <w:rPr>
                <w:sz w:val="20"/>
                <w:lang w:val="fr-CA"/>
              </w:rPr>
            </w:pPr>
          </w:p>
        </w:tc>
        <w:tc>
          <w:tcPr>
            <w:tcW w:w="267" w:type="pct"/>
          </w:tcPr>
          <w:p w:rsidR="000A42F0" w:rsidRPr="009021BE" w:rsidRDefault="000A42F0" w:rsidP="000A42F0">
            <w:pPr>
              <w:jc w:val="both"/>
              <w:rPr>
                <w:sz w:val="20"/>
                <w:lang w:val="fr-CA"/>
              </w:rPr>
            </w:pPr>
          </w:p>
        </w:tc>
        <w:tc>
          <w:tcPr>
            <w:tcW w:w="2366" w:type="pct"/>
            <w:gridSpan w:val="2"/>
          </w:tcPr>
          <w:p w:rsidR="000A42F0" w:rsidRPr="009021BE" w:rsidRDefault="000A42F0" w:rsidP="000A42F0">
            <w:pPr>
              <w:jc w:val="both"/>
              <w:rPr>
                <w:sz w:val="20"/>
                <w:lang w:val="fr-CA"/>
              </w:rPr>
            </w:pPr>
            <w:r w:rsidRPr="009021BE">
              <w:rPr>
                <w:sz w:val="20"/>
                <w:lang w:val="fr-CA"/>
              </w:rPr>
              <w:t>Jugement accueillant l’action de la demanderesse et condamnant l’intimée à payer des dommages-intérêts spéciaux, les intérêts antérieurs et postérieurs au jugement et les dépens d’indemnisation substantielle.</w:t>
            </w:r>
          </w:p>
          <w:p w:rsidR="000A42F0" w:rsidRPr="009021BE" w:rsidRDefault="000A42F0" w:rsidP="000A42F0">
            <w:pPr>
              <w:jc w:val="both"/>
              <w:rPr>
                <w:sz w:val="20"/>
                <w:lang w:val="fr-CA"/>
              </w:rPr>
            </w:pPr>
          </w:p>
        </w:tc>
      </w:tr>
      <w:tr w:rsidR="000A42F0" w:rsidRPr="003A01D0" w:rsidTr="00DE47D4">
        <w:tblPrEx>
          <w:tblCellMar>
            <w:bottom w:w="0" w:type="dxa"/>
          </w:tblCellMar>
        </w:tblPrEx>
        <w:tc>
          <w:tcPr>
            <w:tcW w:w="2367" w:type="pct"/>
            <w:gridSpan w:val="2"/>
          </w:tcPr>
          <w:p w:rsidR="000A42F0" w:rsidRPr="009021BE" w:rsidRDefault="000A42F0" w:rsidP="000A42F0">
            <w:pPr>
              <w:jc w:val="both"/>
              <w:rPr>
                <w:sz w:val="20"/>
                <w:lang w:val="fr-CA"/>
              </w:rPr>
            </w:pPr>
            <w:r w:rsidRPr="009021BE">
              <w:rPr>
                <w:sz w:val="20"/>
                <w:lang w:val="fr-CA"/>
              </w:rPr>
              <w:t>23 mars 2017</w:t>
            </w:r>
          </w:p>
          <w:p w:rsidR="000A42F0" w:rsidRPr="009021BE" w:rsidRDefault="000A42F0" w:rsidP="000A42F0">
            <w:pPr>
              <w:jc w:val="both"/>
              <w:rPr>
                <w:sz w:val="20"/>
                <w:lang w:val="fr-CA"/>
              </w:rPr>
            </w:pPr>
            <w:r w:rsidRPr="009021BE">
              <w:rPr>
                <w:sz w:val="20"/>
                <w:lang w:val="fr-CA"/>
              </w:rPr>
              <w:t>Cour d’appel de l’Île-du-Prince-Édouard</w:t>
            </w:r>
          </w:p>
          <w:p w:rsidR="000A42F0" w:rsidRPr="009021BE" w:rsidRDefault="000A42F0" w:rsidP="000A42F0">
            <w:pPr>
              <w:jc w:val="both"/>
              <w:rPr>
                <w:sz w:val="20"/>
                <w:lang w:val="fr-CA"/>
              </w:rPr>
            </w:pPr>
            <w:r w:rsidRPr="009021BE">
              <w:rPr>
                <w:sz w:val="20"/>
                <w:lang w:val="fr-CA"/>
              </w:rPr>
              <w:t>(Juge en chef Jenkins, juges Murphy et Mitchell)</w:t>
            </w:r>
          </w:p>
          <w:p w:rsidR="000A42F0" w:rsidRPr="009021BE" w:rsidRDefault="00167F64" w:rsidP="000A42F0">
            <w:pPr>
              <w:jc w:val="both"/>
              <w:rPr>
                <w:sz w:val="20"/>
                <w:lang w:val="fr-CA"/>
              </w:rPr>
            </w:pPr>
            <w:hyperlink r:id="rId47" w:history="1">
              <w:r w:rsidR="000A42F0" w:rsidRPr="009021BE">
                <w:rPr>
                  <w:rStyle w:val="Hyperlink"/>
                  <w:sz w:val="20"/>
                  <w:lang w:val="fr-CA"/>
                </w:rPr>
                <w:t>2017 PECA 3</w:t>
              </w:r>
            </w:hyperlink>
            <w:r w:rsidR="000A42F0" w:rsidRPr="009021BE">
              <w:rPr>
                <w:sz w:val="20"/>
                <w:lang w:val="fr-CA"/>
              </w:rPr>
              <w:t xml:space="preserve"> </w:t>
            </w:r>
          </w:p>
          <w:p w:rsidR="000A42F0" w:rsidRPr="009021BE" w:rsidRDefault="000A42F0" w:rsidP="000A42F0">
            <w:pPr>
              <w:jc w:val="both"/>
              <w:rPr>
                <w:sz w:val="20"/>
                <w:lang w:val="fr-CA"/>
              </w:rPr>
            </w:pPr>
          </w:p>
        </w:tc>
        <w:tc>
          <w:tcPr>
            <w:tcW w:w="267" w:type="pct"/>
          </w:tcPr>
          <w:p w:rsidR="000A42F0" w:rsidRPr="009021BE" w:rsidRDefault="000A42F0" w:rsidP="000A42F0">
            <w:pPr>
              <w:jc w:val="both"/>
              <w:rPr>
                <w:sz w:val="20"/>
                <w:lang w:val="fr-CA"/>
              </w:rPr>
            </w:pPr>
          </w:p>
        </w:tc>
        <w:tc>
          <w:tcPr>
            <w:tcW w:w="2366" w:type="pct"/>
            <w:gridSpan w:val="2"/>
          </w:tcPr>
          <w:p w:rsidR="000A42F0" w:rsidRPr="009021BE" w:rsidRDefault="000A42F0" w:rsidP="000A42F0">
            <w:pPr>
              <w:jc w:val="both"/>
              <w:rPr>
                <w:sz w:val="20"/>
                <w:lang w:val="fr-CA"/>
              </w:rPr>
            </w:pPr>
            <w:r w:rsidRPr="009021BE">
              <w:rPr>
                <w:sz w:val="20"/>
                <w:lang w:val="fr-CA"/>
              </w:rPr>
              <w:t>Arrêt accueillant l’appel de l’intimée, rejetant l’appel incident, interjeté par la demanderesse, de la décision de ne pas accorder de dommages-intérêts généraux et rejetant l’action de la demanderesse.</w:t>
            </w:r>
          </w:p>
          <w:p w:rsidR="000A42F0" w:rsidRPr="009021BE" w:rsidRDefault="000A42F0" w:rsidP="000A42F0">
            <w:pPr>
              <w:jc w:val="both"/>
              <w:rPr>
                <w:sz w:val="20"/>
                <w:lang w:val="fr-CA"/>
              </w:rPr>
            </w:pPr>
          </w:p>
        </w:tc>
      </w:tr>
      <w:tr w:rsidR="000A42F0" w:rsidRPr="003A01D0" w:rsidTr="00DE47D4">
        <w:tblPrEx>
          <w:tblCellMar>
            <w:bottom w:w="0" w:type="dxa"/>
          </w:tblCellMar>
        </w:tblPrEx>
        <w:trPr>
          <w:trHeight w:val="414"/>
        </w:trPr>
        <w:tc>
          <w:tcPr>
            <w:tcW w:w="2367" w:type="pct"/>
            <w:gridSpan w:val="2"/>
          </w:tcPr>
          <w:p w:rsidR="000A42F0" w:rsidRPr="009021BE" w:rsidRDefault="000A42F0" w:rsidP="000A42F0">
            <w:pPr>
              <w:jc w:val="both"/>
              <w:rPr>
                <w:sz w:val="20"/>
                <w:lang w:val="fr-CA"/>
              </w:rPr>
            </w:pPr>
            <w:r w:rsidRPr="009021BE">
              <w:rPr>
                <w:sz w:val="20"/>
                <w:lang w:val="fr-CA"/>
              </w:rPr>
              <w:t>15 mai 2017</w:t>
            </w:r>
          </w:p>
          <w:p w:rsidR="000A42F0" w:rsidRPr="009021BE" w:rsidRDefault="000A42F0" w:rsidP="000A42F0">
            <w:pPr>
              <w:jc w:val="both"/>
              <w:rPr>
                <w:sz w:val="20"/>
                <w:lang w:val="fr-CA"/>
              </w:rPr>
            </w:pPr>
            <w:r w:rsidRPr="009021BE">
              <w:rPr>
                <w:sz w:val="20"/>
                <w:lang w:val="fr-CA"/>
              </w:rPr>
              <w:t>Cour d’appel de l’Île-du-Prince-Édouard</w:t>
            </w:r>
          </w:p>
          <w:p w:rsidR="000A42F0" w:rsidRPr="009021BE" w:rsidRDefault="000A42F0" w:rsidP="000A42F0">
            <w:pPr>
              <w:jc w:val="both"/>
              <w:rPr>
                <w:sz w:val="20"/>
                <w:lang w:val="fr-CA"/>
              </w:rPr>
            </w:pPr>
            <w:r w:rsidRPr="009021BE">
              <w:rPr>
                <w:sz w:val="20"/>
                <w:lang w:val="fr-CA"/>
              </w:rPr>
              <w:t>(Juge en chef Jenkins, juges Murphy et Mitchell)</w:t>
            </w:r>
          </w:p>
          <w:p w:rsidR="000A42F0" w:rsidRPr="009021BE" w:rsidRDefault="00167F64" w:rsidP="000A42F0">
            <w:pPr>
              <w:jc w:val="both"/>
              <w:rPr>
                <w:rStyle w:val="Hyperlink"/>
                <w:sz w:val="20"/>
                <w:lang w:val="fr-CA"/>
              </w:rPr>
            </w:pPr>
            <w:hyperlink r:id="rId48" w:history="1">
              <w:r w:rsidR="000A42F0" w:rsidRPr="009021BE">
                <w:rPr>
                  <w:rStyle w:val="Hyperlink"/>
                  <w:sz w:val="20"/>
                  <w:lang w:val="fr-CA"/>
                </w:rPr>
                <w:t>2017 PECA 9</w:t>
              </w:r>
            </w:hyperlink>
          </w:p>
          <w:p w:rsidR="000A42F0" w:rsidRPr="009021BE" w:rsidRDefault="000A42F0" w:rsidP="000A42F0">
            <w:pPr>
              <w:jc w:val="both"/>
              <w:rPr>
                <w:sz w:val="20"/>
                <w:lang w:val="fr-CA"/>
              </w:rPr>
            </w:pPr>
          </w:p>
        </w:tc>
        <w:tc>
          <w:tcPr>
            <w:tcW w:w="267" w:type="pct"/>
          </w:tcPr>
          <w:p w:rsidR="000A42F0" w:rsidRPr="009021BE" w:rsidRDefault="000A42F0" w:rsidP="000A42F0">
            <w:pPr>
              <w:jc w:val="both"/>
              <w:rPr>
                <w:sz w:val="20"/>
                <w:lang w:val="fr-CA"/>
              </w:rPr>
            </w:pPr>
          </w:p>
        </w:tc>
        <w:tc>
          <w:tcPr>
            <w:tcW w:w="2366" w:type="pct"/>
            <w:gridSpan w:val="2"/>
          </w:tcPr>
          <w:p w:rsidR="000A42F0" w:rsidRPr="009021BE" w:rsidRDefault="000A42F0" w:rsidP="000A42F0">
            <w:pPr>
              <w:jc w:val="both"/>
              <w:rPr>
                <w:sz w:val="20"/>
                <w:lang w:val="fr-CA"/>
              </w:rPr>
            </w:pPr>
            <w:r w:rsidRPr="009021BE">
              <w:rPr>
                <w:sz w:val="20"/>
                <w:lang w:val="fr-CA"/>
              </w:rPr>
              <w:t>Rejet de la requête de la demanderesse en réexamen.</w:t>
            </w:r>
          </w:p>
          <w:p w:rsidR="000A42F0" w:rsidRPr="009021BE" w:rsidRDefault="000A42F0" w:rsidP="000A42F0">
            <w:pPr>
              <w:jc w:val="both"/>
              <w:rPr>
                <w:sz w:val="20"/>
                <w:lang w:val="fr-CA"/>
              </w:rPr>
            </w:pPr>
          </w:p>
          <w:p w:rsidR="000A42F0" w:rsidRPr="009021BE" w:rsidRDefault="000A42F0" w:rsidP="000A42F0">
            <w:pPr>
              <w:jc w:val="both"/>
              <w:rPr>
                <w:sz w:val="20"/>
                <w:lang w:val="fr-CA"/>
              </w:rPr>
            </w:pPr>
          </w:p>
          <w:p w:rsidR="000A42F0" w:rsidRPr="009021BE" w:rsidRDefault="000A42F0" w:rsidP="000A42F0">
            <w:pPr>
              <w:jc w:val="both"/>
              <w:rPr>
                <w:sz w:val="20"/>
                <w:lang w:val="fr-CA"/>
              </w:rPr>
            </w:pPr>
          </w:p>
        </w:tc>
      </w:tr>
      <w:tr w:rsidR="000A42F0" w:rsidRPr="003A01D0" w:rsidTr="00DE47D4">
        <w:tblPrEx>
          <w:tblCellMar>
            <w:bottom w:w="0" w:type="dxa"/>
          </w:tblCellMar>
        </w:tblPrEx>
        <w:tc>
          <w:tcPr>
            <w:tcW w:w="2367" w:type="pct"/>
            <w:gridSpan w:val="2"/>
          </w:tcPr>
          <w:p w:rsidR="000A42F0" w:rsidRPr="009021BE" w:rsidRDefault="000A42F0" w:rsidP="000A42F0">
            <w:pPr>
              <w:jc w:val="both"/>
              <w:rPr>
                <w:sz w:val="20"/>
                <w:lang w:val="fr-CA"/>
              </w:rPr>
            </w:pPr>
            <w:r w:rsidRPr="009021BE">
              <w:rPr>
                <w:sz w:val="20"/>
                <w:lang w:val="fr-CA"/>
              </w:rPr>
              <w:t>24 mai 2017 / 21 septembre 2017</w:t>
            </w:r>
          </w:p>
          <w:p w:rsidR="000A42F0" w:rsidRPr="009021BE" w:rsidRDefault="000A42F0" w:rsidP="000A42F0">
            <w:pPr>
              <w:jc w:val="both"/>
              <w:rPr>
                <w:sz w:val="20"/>
                <w:lang w:val="fr-CA"/>
              </w:rPr>
            </w:pPr>
            <w:r w:rsidRPr="009021BE">
              <w:rPr>
                <w:sz w:val="20"/>
                <w:lang w:val="fr-CA"/>
              </w:rPr>
              <w:t>Cour suprême du Canada</w:t>
            </w:r>
          </w:p>
        </w:tc>
        <w:tc>
          <w:tcPr>
            <w:tcW w:w="267" w:type="pct"/>
          </w:tcPr>
          <w:p w:rsidR="000A42F0" w:rsidRPr="009021BE" w:rsidRDefault="000A42F0" w:rsidP="000A42F0">
            <w:pPr>
              <w:jc w:val="both"/>
              <w:rPr>
                <w:sz w:val="20"/>
                <w:lang w:val="fr-CA"/>
              </w:rPr>
            </w:pPr>
          </w:p>
        </w:tc>
        <w:tc>
          <w:tcPr>
            <w:tcW w:w="2366" w:type="pct"/>
            <w:gridSpan w:val="2"/>
          </w:tcPr>
          <w:p w:rsidR="000A42F0" w:rsidRPr="009021BE" w:rsidRDefault="000A42F0" w:rsidP="000A42F0">
            <w:pPr>
              <w:jc w:val="both"/>
              <w:rPr>
                <w:sz w:val="20"/>
                <w:lang w:val="fr-CA"/>
              </w:rPr>
            </w:pPr>
            <w:r w:rsidRPr="009021BE">
              <w:rPr>
                <w:sz w:val="20"/>
                <w:lang w:val="fr-CA"/>
              </w:rPr>
              <w:t>Dépôt de la première demande d’autorisation d’appel et de la première requête en prorogation du délai de signification et de dépôt de la demande d’autorisation d’appel.</w:t>
            </w:r>
          </w:p>
          <w:p w:rsidR="000A42F0" w:rsidRPr="009021BE" w:rsidRDefault="000A42F0" w:rsidP="000A42F0">
            <w:pPr>
              <w:jc w:val="both"/>
              <w:rPr>
                <w:sz w:val="20"/>
                <w:lang w:val="fr-CA"/>
              </w:rPr>
            </w:pPr>
          </w:p>
        </w:tc>
      </w:tr>
      <w:tr w:rsidR="000A42F0" w:rsidRPr="003A01D0" w:rsidTr="00DE47D4">
        <w:tblPrEx>
          <w:tblCellMar>
            <w:bottom w:w="0" w:type="dxa"/>
          </w:tblCellMar>
        </w:tblPrEx>
        <w:tc>
          <w:tcPr>
            <w:tcW w:w="2367" w:type="pct"/>
            <w:gridSpan w:val="2"/>
          </w:tcPr>
          <w:p w:rsidR="000A42F0" w:rsidRPr="009021BE" w:rsidRDefault="000A42F0" w:rsidP="000A42F0">
            <w:pPr>
              <w:jc w:val="both"/>
              <w:rPr>
                <w:sz w:val="20"/>
                <w:lang w:val="fr-CA"/>
              </w:rPr>
            </w:pPr>
            <w:r w:rsidRPr="009021BE">
              <w:rPr>
                <w:sz w:val="20"/>
                <w:lang w:val="fr-CA"/>
              </w:rPr>
              <w:t>10 août 2017</w:t>
            </w:r>
          </w:p>
          <w:p w:rsidR="000A42F0" w:rsidRPr="009021BE" w:rsidRDefault="000A42F0" w:rsidP="000A42F0">
            <w:pPr>
              <w:jc w:val="both"/>
              <w:rPr>
                <w:sz w:val="20"/>
                <w:lang w:val="fr-CA"/>
              </w:rPr>
            </w:pPr>
            <w:r w:rsidRPr="009021BE">
              <w:rPr>
                <w:sz w:val="20"/>
                <w:lang w:val="fr-CA"/>
              </w:rPr>
              <w:t>Cour suprême du Canada</w:t>
            </w:r>
          </w:p>
        </w:tc>
        <w:tc>
          <w:tcPr>
            <w:tcW w:w="267" w:type="pct"/>
          </w:tcPr>
          <w:p w:rsidR="000A42F0" w:rsidRPr="009021BE" w:rsidRDefault="000A42F0" w:rsidP="000A42F0">
            <w:pPr>
              <w:jc w:val="both"/>
              <w:rPr>
                <w:sz w:val="20"/>
                <w:lang w:val="fr-CA"/>
              </w:rPr>
            </w:pPr>
          </w:p>
        </w:tc>
        <w:tc>
          <w:tcPr>
            <w:tcW w:w="2366" w:type="pct"/>
            <w:gridSpan w:val="2"/>
          </w:tcPr>
          <w:p w:rsidR="000A42F0" w:rsidRPr="009021BE" w:rsidRDefault="000A42F0" w:rsidP="000A42F0">
            <w:pPr>
              <w:jc w:val="both"/>
              <w:rPr>
                <w:sz w:val="20"/>
                <w:lang w:val="fr-CA"/>
              </w:rPr>
            </w:pPr>
            <w:r w:rsidRPr="009021BE">
              <w:rPr>
                <w:sz w:val="20"/>
                <w:lang w:val="fr-CA"/>
              </w:rPr>
              <w:t>Dépôt de la deuxième demande d’autorisation d’appel.</w:t>
            </w:r>
          </w:p>
        </w:tc>
      </w:tr>
    </w:tbl>
    <w:p w:rsidR="00BC5022" w:rsidRDefault="00167F64" w:rsidP="006A0A32">
      <w:pPr>
        <w:jc w:val="both"/>
        <w:rPr>
          <w:sz w:val="20"/>
          <w:szCs w:val="20"/>
        </w:rPr>
      </w:pPr>
      <w:r>
        <w:rPr>
          <w:sz w:val="20"/>
          <w:szCs w:val="20"/>
        </w:rPr>
        <w:pict>
          <v:rect id="_x0000_i1048" style="width:2in;height:1pt" o:hrpct="0" o:hralign="center" o:hrstd="t" o:hrnoshade="t" o:hr="t" fillcolor="black" stroked="f"/>
        </w:pict>
      </w:r>
    </w:p>
    <w:p w:rsidR="00BC5022" w:rsidRDefault="00BC502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0A32" w:rsidRPr="009021BE" w:rsidTr="00DE47D4">
        <w:tc>
          <w:tcPr>
            <w:tcW w:w="543" w:type="pct"/>
          </w:tcPr>
          <w:p w:rsidR="006A0A32" w:rsidRPr="009021BE" w:rsidRDefault="006A0A32" w:rsidP="00DE47D4">
            <w:pPr>
              <w:jc w:val="both"/>
              <w:rPr>
                <w:sz w:val="20"/>
              </w:rPr>
            </w:pPr>
            <w:r w:rsidRPr="009021BE">
              <w:rPr>
                <w:rStyle w:val="SCCFileNumberChar"/>
                <w:sz w:val="20"/>
                <w:szCs w:val="20"/>
              </w:rPr>
              <w:t>37725</w:t>
            </w:r>
          </w:p>
        </w:tc>
        <w:tc>
          <w:tcPr>
            <w:tcW w:w="4457" w:type="pct"/>
            <w:gridSpan w:val="3"/>
          </w:tcPr>
          <w:p w:rsidR="006A0A32" w:rsidRPr="00BF319D" w:rsidRDefault="006A0A32" w:rsidP="00DE47D4">
            <w:pPr>
              <w:pStyle w:val="SCCLsocParty"/>
              <w:jc w:val="both"/>
              <w:rPr>
                <w:b/>
                <w:sz w:val="20"/>
                <w:szCs w:val="20"/>
                <w:lang w:val="en-US"/>
              </w:rPr>
            </w:pPr>
            <w:r w:rsidRPr="00BF319D">
              <w:rPr>
                <w:b/>
                <w:sz w:val="20"/>
                <w:szCs w:val="20"/>
                <w:lang w:val="en-US"/>
              </w:rPr>
              <w:t>J.W. and REO Law Corporation v. Attorney General of Canada, Chief Adjudicator, Indian Residential Schools Adjudication Secretariat, Assembly of First Nations</w:t>
            </w:r>
          </w:p>
          <w:p w:rsidR="006A0A32" w:rsidRPr="009021BE" w:rsidRDefault="006A0A32" w:rsidP="00DE47D4">
            <w:pPr>
              <w:jc w:val="both"/>
              <w:rPr>
                <w:sz w:val="20"/>
              </w:rPr>
            </w:pPr>
            <w:r w:rsidRPr="009021BE">
              <w:rPr>
                <w:sz w:val="20"/>
              </w:rPr>
              <w:t>(Man.) (Civil) (By Leave)</w:t>
            </w:r>
          </w:p>
        </w:tc>
      </w:tr>
      <w:tr w:rsidR="00E04135" w:rsidRPr="009021BE" w:rsidTr="00DE47D4">
        <w:tc>
          <w:tcPr>
            <w:tcW w:w="543" w:type="pct"/>
          </w:tcPr>
          <w:p w:rsidR="00E04135" w:rsidRPr="005F1C17" w:rsidRDefault="00E04135" w:rsidP="00E04135">
            <w:pPr>
              <w:jc w:val="both"/>
              <w:rPr>
                <w:rStyle w:val="SCCFileNumberChar"/>
                <w:sz w:val="20"/>
                <w:szCs w:val="20"/>
              </w:rPr>
            </w:pPr>
            <w:r w:rsidRPr="00AE0F22">
              <w:rPr>
                <w:rStyle w:val="SCCFileNumberChar"/>
                <w:b w:val="0"/>
                <w:sz w:val="20"/>
                <w:szCs w:val="20"/>
              </w:rPr>
              <w:t xml:space="preserve">Coram: </w:t>
            </w:r>
          </w:p>
        </w:tc>
        <w:tc>
          <w:tcPr>
            <w:tcW w:w="4457" w:type="pct"/>
            <w:gridSpan w:val="3"/>
          </w:tcPr>
          <w:p w:rsidR="00E04135" w:rsidRPr="005F1C17" w:rsidRDefault="00E04135" w:rsidP="00E04135">
            <w:pPr>
              <w:rPr>
                <w:rFonts w:eastAsia="Calibri" w:cs="Times New Roman"/>
                <w:sz w:val="20"/>
                <w:szCs w:val="20"/>
                <w:u w:val="single"/>
                <w:lang w:val="en-US"/>
              </w:rPr>
            </w:pPr>
            <w:r w:rsidRPr="005F1C17">
              <w:rPr>
                <w:rFonts w:eastAsia="Calibri" w:cs="Times New Roman"/>
                <w:sz w:val="20"/>
                <w:szCs w:val="20"/>
                <w:u w:val="single"/>
                <w:lang w:val="en-US"/>
              </w:rPr>
              <w:t>Wagner C.J. and Abella, Moldaver, Karakatsanis, Gascon, Côté, Brown, Rowe and Martin JJ.</w:t>
            </w:r>
          </w:p>
          <w:p w:rsidR="00E04135" w:rsidRPr="005F1C17" w:rsidRDefault="00E04135" w:rsidP="00E04135">
            <w:pPr>
              <w:rPr>
                <w:rFonts w:eastAsia="Calibri" w:cs="Times New Roman"/>
                <w:sz w:val="20"/>
                <w:szCs w:val="20"/>
                <w:u w:val="single"/>
                <w:lang w:val="en-US"/>
              </w:rPr>
            </w:pPr>
          </w:p>
        </w:tc>
      </w:tr>
      <w:tr w:rsidR="00E04135" w:rsidRPr="009021BE" w:rsidTr="00E04135">
        <w:tc>
          <w:tcPr>
            <w:tcW w:w="5000" w:type="pct"/>
            <w:gridSpan w:val="4"/>
          </w:tcPr>
          <w:p w:rsidR="00E04135" w:rsidRPr="00BF319D" w:rsidRDefault="00E04135" w:rsidP="00E04135">
            <w:pPr>
              <w:pStyle w:val="SCCLsocParty"/>
              <w:jc w:val="both"/>
              <w:rPr>
                <w:b/>
                <w:sz w:val="20"/>
                <w:szCs w:val="20"/>
                <w:lang w:val="en-US"/>
              </w:rPr>
            </w:pPr>
            <w:r w:rsidRPr="00E04135">
              <w:rPr>
                <w:sz w:val="20"/>
                <w:lang w:val="en-US"/>
              </w:rPr>
              <w:t>The application for leave to appeal from the judgment of the Court of Appeal of Manitoba, Number AI16-30-08701, 2017 MBCA 54, dated May 30, 2017, is granted with costs in the cause, in favour of the applicants</w:t>
            </w:r>
          </w:p>
        </w:tc>
      </w:tr>
      <w:tr w:rsidR="00E04135" w:rsidRPr="009021BE" w:rsidTr="00DE47D4">
        <w:tc>
          <w:tcPr>
            <w:tcW w:w="5000" w:type="pct"/>
            <w:gridSpan w:val="4"/>
          </w:tcPr>
          <w:p w:rsidR="00E04135" w:rsidRPr="009021BE" w:rsidRDefault="00E04135" w:rsidP="00E04135">
            <w:pPr>
              <w:jc w:val="both"/>
              <w:rPr>
                <w:sz w:val="20"/>
              </w:rPr>
            </w:pPr>
            <w:r w:rsidRPr="009021BE">
              <w:rPr>
                <w:sz w:val="20"/>
              </w:rPr>
              <w:t>Civil procedure — Class actions — Settlement — Administrative law — Judicial review — Settlement agreement resolving class actions by Aboriginal persons who attended Indian Residential Schools and suffered abuse — Agreement providing for Independent Assessment Process (“IAP”) for individual claims — Applicant alleging sexual assault while attending school — Hearing Adjudicator denying claim based on failure to prove “sexual purpose” of perpetrator — Internal reviews pursuant to agreement and IAP confirming original decision — Supervising Judge setting aside original decision and returning claim to first-level adjudicator — Court of Appeal overturning Supervising Judge’s decision and affirming original denial of claim — Whether judicial review of IAP adjudicators’ decisions available to claimants who have been denied compensation, and, if so, what is applicable standard of review — Whether any general rule of law restricts availability of judicial review of administrative tribunals formed pursuant to class action settlement agreement — If no judicial review available, and judicial supervision restricted to limited basis, whether there is any other judicial recourse for claimants denied compensation based on unreasonable interpretation of settlement agreement.</w:t>
            </w:r>
          </w:p>
        </w:tc>
      </w:tr>
      <w:tr w:rsidR="00E04135" w:rsidRPr="009021BE" w:rsidTr="00DE47D4">
        <w:tc>
          <w:tcPr>
            <w:tcW w:w="5000" w:type="pct"/>
            <w:gridSpan w:val="4"/>
          </w:tcPr>
          <w:p w:rsidR="00E04135" w:rsidRPr="009021BE" w:rsidRDefault="00E04135" w:rsidP="00E04135">
            <w:pPr>
              <w:jc w:val="both"/>
              <w:rPr>
                <w:sz w:val="20"/>
              </w:rPr>
            </w:pPr>
          </w:p>
        </w:tc>
      </w:tr>
      <w:tr w:rsidR="00E04135" w:rsidRPr="009021BE" w:rsidTr="00DE47D4">
        <w:tc>
          <w:tcPr>
            <w:tcW w:w="5000" w:type="pct"/>
            <w:gridSpan w:val="4"/>
          </w:tcPr>
          <w:p w:rsidR="00E04135" w:rsidRPr="009021BE" w:rsidRDefault="00E04135" w:rsidP="00E04135">
            <w:pPr>
              <w:jc w:val="both"/>
              <w:rPr>
                <w:sz w:val="20"/>
              </w:rPr>
            </w:pPr>
            <w:r w:rsidRPr="009021BE">
              <w:rPr>
                <w:sz w:val="20"/>
              </w:rPr>
              <w:t>The applicant J.W. attended an Indian Residential School in Manitoba. While a student, a nun grabbed J.W.’s penis while he was in line for the shower. Following the establishment of the Independent Assessment Process (“IAP”) created under the Indian Residential Schools Settlement Agreement (“IRSAA”), J.W. filed a claim in the context of the IAP, arguing that the actions of the nun constituted compensable sexual abuse. J.W.’s claim was denied by a Hearing Adjudicator on the basis that he had failed to establish that the nun’s act had a “sexual purpose”, which the Adjudicator interpreted as a “technical requirement” for establishing sexual abuse under the IRSSA and the IAP. Subsequent attempts to have the decision reviewed by a second adjudicator and by two review adjudicators were unsuccessful, and the decision was upheld.</w:t>
            </w:r>
          </w:p>
          <w:p w:rsidR="00E04135" w:rsidRPr="009021BE" w:rsidRDefault="00E04135" w:rsidP="00E04135">
            <w:pPr>
              <w:jc w:val="both"/>
              <w:rPr>
                <w:sz w:val="20"/>
              </w:rPr>
            </w:pPr>
          </w:p>
          <w:p w:rsidR="00E04135" w:rsidRPr="009021BE" w:rsidRDefault="00E04135" w:rsidP="00E04135">
            <w:pPr>
              <w:jc w:val="both"/>
              <w:rPr>
                <w:sz w:val="20"/>
              </w:rPr>
            </w:pPr>
            <w:r w:rsidRPr="009021BE">
              <w:rPr>
                <w:sz w:val="20"/>
              </w:rPr>
              <w:t>Pursuant to the terms of the IRSSA, J.W. filed a Request for Direction before a Supervising Judge for the IRSSA in Manitoba. The Supervising Judge (from the Manitoba Court of Queen’s Bench) partially granted the declaration sought and found that the review adjudicators had failed to correct the error of the original Hearing Adjudicator — i.e., that J.W. needed to prove a “sexual purpose”. The Supervising Judge ordered that the claim be sent back to a first-level adjudicator.</w:t>
            </w:r>
          </w:p>
          <w:p w:rsidR="00E04135" w:rsidRPr="009021BE" w:rsidRDefault="00E04135" w:rsidP="00E04135">
            <w:pPr>
              <w:jc w:val="both"/>
              <w:rPr>
                <w:sz w:val="20"/>
              </w:rPr>
            </w:pPr>
          </w:p>
          <w:p w:rsidR="00E04135" w:rsidRPr="009021BE" w:rsidRDefault="00E04135" w:rsidP="00E04135">
            <w:pPr>
              <w:jc w:val="both"/>
              <w:rPr>
                <w:sz w:val="20"/>
              </w:rPr>
            </w:pPr>
            <w:r w:rsidRPr="009021BE">
              <w:rPr>
                <w:sz w:val="20"/>
              </w:rPr>
              <w:t>The Manitoba Court of Appeal allowed Canada’s appeal, finding that the Supervising Judge had exceeded his jurisdiction and had misinterpreted the terms of the IRSSA, and concluding that there is no judicial review possible of the decisions of adjudicators pursuant to the IAP and the IRSSA. The original decision dismissing J.W.’s claim was therefore reinstated.</w:t>
            </w:r>
          </w:p>
          <w:p w:rsidR="00E04135" w:rsidRPr="009021BE" w:rsidRDefault="00E04135" w:rsidP="00E04135">
            <w:pPr>
              <w:jc w:val="both"/>
              <w:rPr>
                <w:sz w:val="20"/>
              </w:rPr>
            </w:pPr>
          </w:p>
        </w:tc>
      </w:tr>
      <w:tr w:rsidR="00E04135" w:rsidRPr="009021BE" w:rsidTr="00DE47D4">
        <w:tc>
          <w:tcPr>
            <w:tcW w:w="2427" w:type="pct"/>
            <w:gridSpan w:val="2"/>
          </w:tcPr>
          <w:p w:rsidR="00E04135" w:rsidRPr="009021BE" w:rsidRDefault="00E04135" w:rsidP="00E04135">
            <w:pPr>
              <w:jc w:val="both"/>
              <w:rPr>
                <w:sz w:val="20"/>
              </w:rPr>
            </w:pPr>
            <w:r w:rsidRPr="009021BE">
              <w:rPr>
                <w:sz w:val="20"/>
              </w:rPr>
              <w:t>April 7, 2015</w:t>
            </w:r>
          </w:p>
          <w:p w:rsidR="00E04135" w:rsidRPr="009021BE" w:rsidRDefault="00E04135" w:rsidP="00E04135">
            <w:pPr>
              <w:jc w:val="both"/>
              <w:rPr>
                <w:sz w:val="20"/>
              </w:rPr>
            </w:pPr>
            <w:r w:rsidRPr="009021BE">
              <w:rPr>
                <w:sz w:val="20"/>
              </w:rPr>
              <w:t>Independent Assessment Process</w:t>
            </w:r>
          </w:p>
          <w:p w:rsidR="00E04135" w:rsidRPr="009021BE" w:rsidRDefault="00E04135" w:rsidP="00E04135">
            <w:pPr>
              <w:jc w:val="both"/>
              <w:rPr>
                <w:sz w:val="20"/>
              </w:rPr>
            </w:pPr>
            <w:r w:rsidRPr="009021BE">
              <w:rPr>
                <w:sz w:val="20"/>
              </w:rPr>
              <w:t>Hearing Adjudicator</w:t>
            </w:r>
          </w:p>
          <w:p w:rsidR="00E04135" w:rsidRPr="009021BE" w:rsidRDefault="00E04135" w:rsidP="00E04135">
            <w:pPr>
              <w:jc w:val="both"/>
              <w:rPr>
                <w:sz w:val="20"/>
              </w:rPr>
            </w:pPr>
          </w:p>
        </w:tc>
        <w:tc>
          <w:tcPr>
            <w:tcW w:w="243" w:type="pct"/>
          </w:tcPr>
          <w:p w:rsidR="00E04135" w:rsidRPr="009021BE" w:rsidRDefault="00E04135" w:rsidP="00E04135">
            <w:pPr>
              <w:jc w:val="both"/>
              <w:rPr>
                <w:sz w:val="20"/>
              </w:rPr>
            </w:pPr>
          </w:p>
        </w:tc>
        <w:tc>
          <w:tcPr>
            <w:tcW w:w="2330" w:type="pct"/>
          </w:tcPr>
          <w:p w:rsidR="00E04135" w:rsidRPr="009021BE" w:rsidRDefault="00E04135" w:rsidP="00E04135">
            <w:pPr>
              <w:jc w:val="both"/>
              <w:rPr>
                <w:sz w:val="20"/>
              </w:rPr>
            </w:pPr>
            <w:r w:rsidRPr="009021BE">
              <w:rPr>
                <w:sz w:val="20"/>
              </w:rPr>
              <w:t>J.W.’s claim for compensation denied</w:t>
            </w:r>
          </w:p>
          <w:p w:rsidR="00E04135" w:rsidRPr="009021BE" w:rsidRDefault="00E04135" w:rsidP="00E04135">
            <w:pPr>
              <w:jc w:val="both"/>
              <w:rPr>
                <w:sz w:val="20"/>
              </w:rPr>
            </w:pPr>
          </w:p>
        </w:tc>
      </w:tr>
      <w:tr w:rsidR="00E04135" w:rsidRPr="009021BE" w:rsidTr="00DE47D4">
        <w:tc>
          <w:tcPr>
            <w:tcW w:w="2427" w:type="pct"/>
            <w:gridSpan w:val="2"/>
          </w:tcPr>
          <w:p w:rsidR="00E04135" w:rsidRPr="009021BE" w:rsidRDefault="00E04135" w:rsidP="00E04135">
            <w:pPr>
              <w:jc w:val="both"/>
              <w:rPr>
                <w:sz w:val="20"/>
              </w:rPr>
            </w:pPr>
            <w:r w:rsidRPr="009021BE">
              <w:rPr>
                <w:sz w:val="20"/>
              </w:rPr>
              <w:t>July 15, 2015</w:t>
            </w:r>
          </w:p>
          <w:p w:rsidR="00E04135" w:rsidRPr="009021BE" w:rsidRDefault="00E04135" w:rsidP="00E04135">
            <w:pPr>
              <w:jc w:val="both"/>
              <w:rPr>
                <w:sz w:val="20"/>
              </w:rPr>
            </w:pPr>
            <w:r w:rsidRPr="009021BE">
              <w:rPr>
                <w:sz w:val="20"/>
              </w:rPr>
              <w:t>Independent Assessment Process</w:t>
            </w:r>
          </w:p>
          <w:p w:rsidR="00E04135" w:rsidRPr="009021BE" w:rsidRDefault="00E04135" w:rsidP="00E04135">
            <w:pPr>
              <w:jc w:val="both"/>
              <w:rPr>
                <w:sz w:val="20"/>
              </w:rPr>
            </w:pPr>
            <w:r w:rsidRPr="009021BE">
              <w:rPr>
                <w:sz w:val="20"/>
              </w:rPr>
              <w:t>Review Adjudicator</w:t>
            </w:r>
          </w:p>
          <w:p w:rsidR="00E04135" w:rsidRPr="009021BE" w:rsidRDefault="00E04135" w:rsidP="00E04135">
            <w:pPr>
              <w:jc w:val="both"/>
              <w:rPr>
                <w:sz w:val="20"/>
              </w:rPr>
            </w:pPr>
          </w:p>
        </w:tc>
        <w:tc>
          <w:tcPr>
            <w:tcW w:w="243" w:type="pct"/>
          </w:tcPr>
          <w:p w:rsidR="00E04135" w:rsidRPr="009021BE" w:rsidRDefault="00E04135" w:rsidP="00E04135">
            <w:pPr>
              <w:jc w:val="both"/>
              <w:rPr>
                <w:sz w:val="20"/>
              </w:rPr>
            </w:pPr>
          </w:p>
        </w:tc>
        <w:tc>
          <w:tcPr>
            <w:tcW w:w="2330" w:type="pct"/>
          </w:tcPr>
          <w:p w:rsidR="00E04135" w:rsidRPr="009021BE" w:rsidRDefault="00E04135" w:rsidP="00E04135">
            <w:pPr>
              <w:jc w:val="both"/>
              <w:rPr>
                <w:sz w:val="20"/>
              </w:rPr>
            </w:pPr>
            <w:r w:rsidRPr="009021BE">
              <w:rPr>
                <w:sz w:val="20"/>
              </w:rPr>
              <w:t>Hearing Adjudicator’s decision affirmed</w:t>
            </w:r>
          </w:p>
          <w:p w:rsidR="00E04135" w:rsidRPr="009021BE" w:rsidRDefault="00E04135" w:rsidP="00E04135">
            <w:pPr>
              <w:jc w:val="both"/>
              <w:rPr>
                <w:sz w:val="20"/>
              </w:rPr>
            </w:pPr>
          </w:p>
        </w:tc>
      </w:tr>
      <w:tr w:rsidR="00E04135" w:rsidRPr="009021BE" w:rsidTr="00DE47D4">
        <w:tc>
          <w:tcPr>
            <w:tcW w:w="2427" w:type="pct"/>
            <w:gridSpan w:val="2"/>
          </w:tcPr>
          <w:p w:rsidR="00E04135" w:rsidRPr="009021BE" w:rsidRDefault="00E04135" w:rsidP="00E04135">
            <w:pPr>
              <w:jc w:val="both"/>
              <w:rPr>
                <w:sz w:val="20"/>
              </w:rPr>
            </w:pPr>
            <w:r w:rsidRPr="009021BE">
              <w:rPr>
                <w:sz w:val="20"/>
              </w:rPr>
              <w:t>November 22, 2015</w:t>
            </w:r>
          </w:p>
          <w:p w:rsidR="00E04135" w:rsidRPr="009021BE" w:rsidRDefault="00E04135" w:rsidP="00E04135">
            <w:pPr>
              <w:jc w:val="both"/>
              <w:rPr>
                <w:sz w:val="20"/>
              </w:rPr>
            </w:pPr>
            <w:r w:rsidRPr="009021BE">
              <w:rPr>
                <w:sz w:val="20"/>
              </w:rPr>
              <w:t>Independent Assessment Process</w:t>
            </w:r>
          </w:p>
          <w:p w:rsidR="00E04135" w:rsidRPr="009021BE" w:rsidRDefault="00E04135" w:rsidP="00E04135">
            <w:pPr>
              <w:jc w:val="both"/>
              <w:rPr>
                <w:sz w:val="20"/>
              </w:rPr>
            </w:pPr>
            <w:r w:rsidRPr="009021BE">
              <w:rPr>
                <w:sz w:val="20"/>
              </w:rPr>
              <w:t>Re-Review Adjudicator</w:t>
            </w:r>
          </w:p>
          <w:p w:rsidR="00E04135" w:rsidRPr="009021BE" w:rsidRDefault="00E04135" w:rsidP="00E04135">
            <w:pPr>
              <w:jc w:val="both"/>
              <w:rPr>
                <w:sz w:val="20"/>
              </w:rPr>
            </w:pPr>
          </w:p>
        </w:tc>
        <w:tc>
          <w:tcPr>
            <w:tcW w:w="243" w:type="pct"/>
          </w:tcPr>
          <w:p w:rsidR="00E04135" w:rsidRPr="009021BE" w:rsidRDefault="00E04135" w:rsidP="00E04135">
            <w:pPr>
              <w:jc w:val="both"/>
              <w:rPr>
                <w:sz w:val="20"/>
              </w:rPr>
            </w:pPr>
          </w:p>
        </w:tc>
        <w:tc>
          <w:tcPr>
            <w:tcW w:w="2330" w:type="pct"/>
          </w:tcPr>
          <w:p w:rsidR="00E04135" w:rsidRPr="009021BE" w:rsidRDefault="00E04135" w:rsidP="00E04135">
            <w:pPr>
              <w:jc w:val="both"/>
              <w:rPr>
                <w:sz w:val="20"/>
              </w:rPr>
            </w:pPr>
            <w:r w:rsidRPr="009021BE">
              <w:rPr>
                <w:sz w:val="20"/>
              </w:rPr>
              <w:t>Review Adjudicator’s decision affirmed</w:t>
            </w:r>
          </w:p>
          <w:p w:rsidR="00E04135" w:rsidRPr="009021BE" w:rsidRDefault="00E04135" w:rsidP="00E04135">
            <w:pPr>
              <w:jc w:val="both"/>
              <w:rPr>
                <w:sz w:val="20"/>
              </w:rPr>
            </w:pPr>
          </w:p>
        </w:tc>
      </w:tr>
      <w:tr w:rsidR="00E04135" w:rsidRPr="009021BE" w:rsidTr="00DE47D4">
        <w:tc>
          <w:tcPr>
            <w:tcW w:w="2427" w:type="pct"/>
            <w:gridSpan w:val="2"/>
          </w:tcPr>
          <w:p w:rsidR="00E04135" w:rsidRPr="009021BE" w:rsidRDefault="00E04135" w:rsidP="00E04135">
            <w:pPr>
              <w:jc w:val="both"/>
              <w:rPr>
                <w:sz w:val="20"/>
              </w:rPr>
            </w:pPr>
            <w:r w:rsidRPr="009021BE">
              <w:rPr>
                <w:sz w:val="20"/>
              </w:rPr>
              <w:t>August 3, 2016</w:t>
            </w:r>
          </w:p>
          <w:p w:rsidR="00E04135" w:rsidRPr="009021BE" w:rsidRDefault="00E04135" w:rsidP="00E04135">
            <w:pPr>
              <w:jc w:val="both"/>
              <w:rPr>
                <w:sz w:val="20"/>
              </w:rPr>
            </w:pPr>
            <w:r w:rsidRPr="009021BE">
              <w:rPr>
                <w:sz w:val="20"/>
              </w:rPr>
              <w:t>Court of Queen’s Bench of Manitoba</w:t>
            </w:r>
          </w:p>
          <w:p w:rsidR="00E04135" w:rsidRPr="009021BE" w:rsidRDefault="00E04135" w:rsidP="00E04135">
            <w:pPr>
              <w:jc w:val="both"/>
              <w:rPr>
                <w:sz w:val="20"/>
              </w:rPr>
            </w:pPr>
            <w:r w:rsidRPr="009021BE">
              <w:rPr>
                <w:sz w:val="20"/>
              </w:rPr>
              <w:t>(Edmond J.)</w:t>
            </w:r>
          </w:p>
          <w:p w:rsidR="00E04135" w:rsidRPr="009021BE" w:rsidRDefault="00167F64" w:rsidP="00E04135">
            <w:pPr>
              <w:jc w:val="both"/>
              <w:rPr>
                <w:sz w:val="20"/>
              </w:rPr>
            </w:pPr>
            <w:hyperlink r:id="rId49" w:history="1">
              <w:r w:rsidR="00E04135" w:rsidRPr="009021BE">
                <w:rPr>
                  <w:rStyle w:val="Hyperlink"/>
                  <w:sz w:val="20"/>
                </w:rPr>
                <w:t>2016 MBQB 159</w:t>
              </w:r>
            </w:hyperlink>
            <w:r w:rsidR="00E04135" w:rsidRPr="009021BE">
              <w:rPr>
                <w:sz w:val="20"/>
              </w:rPr>
              <w:t xml:space="preserve"> </w:t>
            </w:r>
          </w:p>
          <w:p w:rsidR="00E04135" w:rsidRPr="009021BE" w:rsidRDefault="00E04135" w:rsidP="00E04135">
            <w:pPr>
              <w:jc w:val="both"/>
              <w:rPr>
                <w:sz w:val="20"/>
              </w:rPr>
            </w:pPr>
          </w:p>
        </w:tc>
        <w:tc>
          <w:tcPr>
            <w:tcW w:w="243" w:type="pct"/>
          </w:tcPr>
          <w:p w:rsidR="00E04135" w:rsidRPr="009021BE" w:rsidRDefault="00E04135" w:rsidP="00E04135">
            <w:pPr>
              <w:jc w:val="both"/>
              <w:rPr>
                <w:sz w:val="20"/>
              </w:rPr>
            </w:pPr>
          </w:p>
        </w:tc>
        <w:tc>
          <w:tcPr>
            <w:tcW w:w="2330" w:type="pct"/>
          </w:tcPr>
          <w:p w:rsidR="00E04135" w:rsidRPr="009021BE" w:rsidRDefault="00E04135" w:rsidP="00E04135">
            <w:pPr>
              <w:jc w:val="both"/>
              <w:rPr>
                <w:sz w:val="20"/>
              </w:rPr>
            </w:pPr>
            <w:r w:rsidRPr="009021BE">
              <w:rPr>
                <w:sz w:val="20"/>
              </w:rPr>
              <w:t>J.W.’s Request for Direction — Re-Review Adjudicator’s decision set aside; claim sent back to first-level adjudicator for reconsideration</w:t>
            </w:r>
          </w:p>
          <w:p w:rsidR="00E04135" w:rsidRPr="009021BE" w:rsidRDefault="00E04135" w:rsidP="00E04135">
            <w:pPr>
              <w:jc w:val="both"/>
              <w:rPr>
                <w:sz w:val="20"/>
              </w:rPr>
            </w:pPr>
          </w:p>
        </w:tc>
      </w:tr>
    </w:tbl>
    <w:p w:rsidR="00BD4227" w:rsidRDefault="00BD4227">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04135" w:rsidRPr="009021BE" w:rsidTr="00DE47D4">
        <w:tc>
          <w:tcPr>
            <w:tcW w:w="2427" w:type="pct"/>
          </w:tcPr>
          <w:p w:rsidR="00E04135" w:rsidRPr="009021BE" w:rsidRDefault="00E04135" w:rsidP="00E04135">
            <w:pPr>
              <w:jc w:val="both"/>
              <w:rPr>
                <w:sz w:val="20"/>
              </w:rPr>
            </w:pPr>
            <w:r w:rsidRPr="009021BE">
              <w:rPr>
                <w:sz w:val="20"/>
              </w:rPr>
              <w:t>May 30, 2017</w:t>
            </w:r>
          </w:p>
          <w:p w:rsidR="00E04135" w:rsidRPr="009021BE" w:rsidRDefault="00E04135" w:rsidP="00E04135">
            <w:pPr>
              <w:jc w:val="both"/>
              <w:rPr>
                <w:sz w:val="20"/>
              </w:rPr>
            </w:pPr>
            <w:r w:rsidRPr="009021BE">
              <w:rPr>
                <w:sz w:val="20"/>
              </w:rPr>
              <w:t>Court of Appeal of Manitoba</w:t>
            </w:r>
          </w:p>
          <w:p w:rsidR="00E04135" w:rsidRPr="009021BE" w:rsidRDefault="00E04135" w:rsidP="00E04135">
            <w:pPr>
              <w:jc w:val="both"/>
              <w:rPr>
                <w:sz w:val="20"/>
              </w:rPr>
            </w:pPr>
            <w:r w:rsidRPr="009021BE">
              <w:rPr>
                <w:sz w:val="20"/>
              </w:rPr>
              <w:t>(Monnin, Beard and leMaistre JJ.A.)</w:t>
            </w:r>
          </w:p>
          <w:p w:rsidR="00E04135" w:rsidRPr="009021BE" w:rsidRDefault="00167F64" w:rsidP="00E04135">
            <w:pPr>
              <w:jc w:val="both"/>
              <w:rPr>
                <w:sz w:val="20"/>
              </w:rPr>
            </w:pPr>
            <w:hyperlink r:id="rId50" w:history="1">
              <w:r w:rsidR="00E04135" w:rsidRPr="009021BE">
                <w:rPr>
                  <w:rStyle w:val="Hyperlink"/>
                  <w:sz w:val="20"/>
                </w:rPr>
                <w:t>2017 MBCA 54</w:t>
              </w:r>
            </w:hyperlink>
            <w:r w:rsidR="00E04135" w:rsidRPr="009021BE">
              <w:rPr>
                <w:sz w:val="20"/>
              </w:rPr>
              <w:t xml:space="preserve"> </w:t>
            </w:r>
          </w:p>
          <w:p w:rsidR="00E04135" w:rsidRPr="009021BE" w:rsidRDefault="00E04135" w:rsidP="00E04135">
            <w:pPr>
              <w:jc w:val="both"/>
              <w:rPr>
                <w:sz w:val="20"/>
              </w:rPr>
            </w:pPr>
          </w:p>
        </w:tc>
        <w:tc>
          <w:tcPr>
            <w:tcW w:w="243" w:type="pct"/>
          </w:tcPr>
          <w:p w:rsidR="00E04135" w:rsidRPr="009021BE" w:rsidRDefault="00E04135" w:rsidP="00E04135">
            <w:pPr>
              <w:jc w:val="both"/>
              <w:rPr>
                <w:sz w:val="20"/>
              </w:rPr>
            </w:pPr>
          </w:p>
        </w:tc>
        <w:tc>
          <w:tcPr>
            <w:tcW w:w="2330" w:type="pct"/>
          </w:tcPr>
          <w:p w:rsidR="00E04135" w:rsidRPr="009021BE" w:rsidRDefault="00E04135" w:rsidP="00E04135">
            <w:pPr>
              <w:jc w:val="both"/>
              <w:rPr>
                <w:sz w:val="20"/>
              </w:rPr>
            </w:pPr>
            <w:r w:rsidRPr="009021BE">
              <w:rPr>
                <w:sz w:val="20"/>
              </w:rPr>
              <w:t>Canada’s appeal allowed; Re-Review Adjudicator’s decision restored</w:t>
            </w:r>
          </w:p>
          <w:p w:rsidR="00E04135" w:rsidRPr="009021BE" w:rsidRDefault="00E04135" w:rsidP="00E04135">
            <w:pPr>
              <w:jc w:val="both"/>
              <w:rPr>
                <w:sz w:val="20"/>
              </w:rPr>
            </w:pPr>
          </w:p>
        </w:tc>
      </w:tr>
      <w:tr w:rsidR="00E04135" w:rsidRPr="009021BE" w:rsidTr="00DE47D4">
        <w:tc>
          <w:tcPr>
            <w:tcW w:w="2427" w:type="pct"/>
          </w:tcPr>
          <w:p w:rsidR="00E04135" w:rsidRPr="009021BE" w:rsidRDefault="00E04135" w:rsidP="00E04135">
            <w:pPr>
              <w:jc w:val="both"/>
              <w:rPr>
                <w:sz w:val="20"/>
              </w:rPr>
            </w:pPr>
            <w:r w:rsidRPr="009021BE">
              <w:rPr>
                <w:sz w:val="20"/>
              </w:rPr>
              <w:t>August 28, 2017</w:t>
            </w:r>
          </w:p>
          <w:p w:rsidR="00E04135" w:rsidRPr="009021BE" w:rsidRDefault="00E04135" w:rsidP="00E04135">
            <w:pPr>
              <w:jc w:val="both"/>
              <w:rPr>
                <w:sz w:val="20"/>
              </w:rPr>
            </w:pPr>
            <w:r w:rsidRPr="009021BE">
              <w:rPr>
                <w:sz w:val="20"/>
              </w:rPr>
              <w:t>Supreme Court of Canada</w:t>
            </w:r>
          </w:p>
        </w:tc>
        <w:tc>
          <w:tcPr>
            <w:tcW w:w="243" w:type="pct"/>
          </w:tcPr>
          <w:p w:rsidR="00E04135" w:rsidRPr="009021BE" w:rsidRDefault="00E04135" w:rsidP="00E04135">
            <w:pPr>
              <w:jc w:val="both"/>
              <w:rPr>
                <w:sz w:val="20"/>
              </w:rPr>
            </w:pPr>
          </w:p>
        </w:tc>
        <w:tc>
          <w:tcPr>
            <w:tcW w:w="2330" w:type="pct"/>
          </w:tcPr>
          <w:p w:rsidR="00E04135" w:rsidRPr="009021BE" w:rsidRDefault="00E04135" w:rsidP="00E04135">
            <w:pPr>
              <w:jc w:val="both"/>
              <w:rPr>
                <w:sz w:val="20"/>
              </w:rPr>
            </w:pPr>
            <w:r w:rsidRPr="009021BE">
              <w:rPr>
                <w:sz w:val="20"/>
              </w:rPr>
              <w:t>Application for leave to appeal filed by J.W.</w:t>
            </w:r>
          </w:p>
          <w:p w:rsidR="00E04135" w:rsidRPr="009021BE" w:rsidRDefault="00E04135" w:rsidP="00E04135">
            <w:pPr>
              <w:jc w:val="both"/>
              <w:rPr>
                <w:sz w:val="20"/>
              </w:rPr>
            </w:pPr>
          </w:p>
        </w:tc>
      </w:tr>
    </w:tbl>
    <w:p w:rsidR="006A0A32" w:rsidRDefault="00167F64" w:rsidP="006A0A32">
      <w:pPr>
        <w:jc w:val="both"/>
        <w:rPr>
          <w:sz w:val="20"/>
        </w:rPr>
      </w:pPr>
      <w:r>
        <w:rPr>
          <w:sz w:val="20"/>
          <w:szCs w:val="20"/>
        </w:rPr>
        <w:pict>
          <v:rect id="_x0000_i1049" style="width:2in;height:1pt" o:hrpct="0" o:hralign="center" o:hrstd="t" o:hrnoshade="t" o:hr="t" fillcolor="black" stroked="f"/>
        </w:pict>
      </w:r>
    </w:p>
    <w:p w:rsidR="00BC5022" w:rsidRDefault="00BC5022">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0A32" w:rsidRPr="009021BE" w:rsidTr="00DE47D4">
        <w:tc>
          <w:tcPr>
            <w:tcW w:w="543" w:type="pct"/>
          </w:tcPr>
          <w:p w:rsidR="006A0A32" w:rsidRPr="009021BE" w:rsidRDefault="006A0A32" w:rsidP="00DE47D4">
            <w:pPr>
              <w:jc w:val="both"/>
              <w:rPr>
                <w:sz w:val="20"/>
              </w:rPr>
            </w:pPr>
            <w:r w:rsidRPr="009021BE">
              <w:rPr>
                <w:rStyle w:val="SCCFileNumberChar"/>
                <w:sz w:val="20"/>
                <w:szCs w:val="20"/>
              </w:rPr>
              <w:t>37725</w:t>
            </w:r>
          </w:p>
        </w:tc>
        <w:tc>
          <w:tcPr>
            <w:tcW w:w="4457" w:type="pct"/>
            <w:gridSpan w:val="3"/>
          </w:tcPr>
          <w:p w:rsidR="006A0A32" w:rsidRPr="00BF319D" w:rsidRDefault="006A0A32" w:rsidP="00DE47D4">
            <w:pPr>
              <w:pStyle w:val="SCCLsocParty"/>
              <w:jc w:val="both"/>
              <w:rPr>
                <w:b/>
                <w:sz w:val="20"/>
                <w:szCs w:val="20"/>
              </w:rPr>
            </w:pPr>
            <w:r w:rsidRPr="00BF319D">
              <w:rPr>
                <w:b/>
                <w:sz w:val="20"/>
                <w:szCs w:val="20"/>
              </w:rPr>
              <w:t>J.W. et REO Law Corporation c. Procureur général du Canada, adjudicateur en chef, Secrétariat d’adjudication des pensionnats indiens, Assemblée des Premières Nations</w:t>
            </w:r>
          </w:p>
          <w:p w:rsidR="006A0A32" w:rsidRPr="009021BE" w:rsidRDefault="006A0A32" w:rsidP="00DE47D4">
            <w:pPr>
              <w:jc w:val="both"/>
              <w:rPr>
                <w:sz w:val="20"/>
              </w:rPr>
            </w:pPr>
            <w:r w:rsidRPr="009021BE">
              <w:rPr>
                <w:sz w:val="20"/>
              </w:rPr>
              <w:t>(Man.) (Civile) (Sur autorisation)</w:t>
            </w:r>
          </w:p>
        </w:tc>
      </w:tr>
      <w:tr w:rsidR="00E04135" w:rsidRPr="003A01D0" w:rsidTr="00DE47D4">
        <w:tc>
          <w:tcPr>
            <w:tcW w:w="543" w:type="pct"/>
          </w:tcPr>
          <w:p w:rsidR="00E04135" w:rsidRPr="00D32F6F" w:rsidRDefault="00E04135" w:rsidP="00E04135">
            <w:pPr>
              <w:jc w:val="both"/>
              <w:rPr>
                <w:rStyle w:val="SCCFileNumberChar"/>
                <w:b w:val="0"/>
                <w:sz w:val="20"/>
                <w:szCs w:val="20"/>
              </w:rPr>
            </w:pPr>
            <w:r w:rsidRPr="00D32F6F">
              <w:rPr>
                <w:rStyle w:val="SCCFileNumberChar"/>
                <w:b w:val="0"/>
                <w:sz w:val="20"/>
                <w:szCs w:val="20"/>
              </w:rPr>
              <w:t xml:space="preserve">Coram: </w:t>
            </w:r>
          </w:p>
        </w:tc>
        <w:tc>
          <w:tcPr>
            <w:tcW w:w="4457" w:type="pct"/>
            <w:gridSpan w:val="3"/>
          </w:tcPr>
          <w:p w:rsidR="00E04135" w:rsidRPr="00D32F6F" w:rsidRDefault="00E04135" w:rsidP="00E04135">
            <w:pPr>
              <w:rPr>
                <w:rFonts w:eastAsia="Calibri" w:cs="Times New Roman"/>
                <w:sz w:val="20"/>
                <w:szCs w:val="20"/>
                <w:u w:val="single"/>
                <w:lang w:val="fr-CA"/>
              </w:rPr>
            </w:pPr>
            <w:r w:rsidRPr="00D32F6F">
              <w:rPr>
                <w:rFonts w:eastAsia="Calibri" w:cs="Times New Roman"/>
                <w:sz w:val="20"/>
                <w:szCs w:val="20"/>
                <w:u w:val="single"/>
                <w:lang w:val="fr-CA"/>
              </w:rPr>
              <w:t>Le juge en chef Wagner et les juges Abella, Moldaver, Karakatsanis, Gascon, Côté, Brown, Rowe et Martin</w:t>
            </w:r>
          </w:p>
          <w:p w:rsidR="00E04135" w:rsidRPr="00D32F6F" w:rsidRDefault="00E04135" w:rsidP="00E04135">
            <w:pPr>
              <w:rPr>
                <w:sz w:val="20"/>
                <w:szCs w:val="20"/>
                <w:lang w:val="fr-CA"/>
              </w:rPr>
            </w:pPr>
          </w:p>
        </w:tc>
      </w:tr>
      <w:tr w:rsidR="00E04135" w:rsidRPr="003A01D0" w:rsidTr="00E04135">
        <w:tc>
          <w:tcPr>
            <w:tcW w:w="5000" w:type="pct"/>
            <w:gridSpan w:val="4"/>
          </w:tcPr>
          <w:p w:rsidR="00E04135" w:rsidRPr="00E04135" w:rsidRDefault="00950B68" w:rsidP="00E04135">
            <w:pPr>
              <w:pStyle w:val="SCCLsocParty"/>
              <w:jc w:val="both"/>
              <w:rPr>
                <w:b/>
                <w:sz w:val="20"/>
                <w:szCs w:val="20"/>
              </w:rPr>
            </w:pPr>
            <w:r w:rsidRPr="00950B68">
              <w:rPr>
                <w:sz w:val="20"/>
              </w:rPr>
              <w:t>La demande d’autorisation d’appel de l’arrêt de la Cour d’appel du Manitoba, numéro AI16-30-08701, 2017 MBCA 54, daté du 30 mai 2017, est accueillie avec dépens suivant l’issue de la cause.</w:t>
            </w:r>
          </w:p>
        </w:tc>
      </w:tr>
      <w:tr w:rsidR="00E04135" w:rsidRPr="003A01D0" w:rsidTr="00DE47D4">
        <w:tc>
          <w:tcPr>
            <w:tcW w:w="5000" w:type="pct"/>
            <w:gridSpan w:val="4"/>
          </w:tcPr>
          <w:p w:rsidR="00E04135" w:rsidRPr="009021BE" w:rsidRDefault="00E04135" w:rsidP="00E04135">
            <w:pPr>
              <w:jc w:val="both"/>
              <w:rPr>
                <w:sz w:val="20"/>
                <w:lang w:val="fr-CA"/>
              </w:rPr>
            </w:pPr>
            <w:r w:rsidRPr="009021BE">
              <w:rPr>
                <w:sz w:val="20"/>
                <w:lang w:val="fr-CA"/>
              </w:rPr>
              <w:t xml:space="preserve">Procédure civile — Recours collectifs — Règlement — Droit administratif — Contrôle judiciaire — Convention de règlement des recours collectifs intentés par des Autochtones qui ont fréquenté des pensionnats indiens et y ont subi de mauvais traitements — Convention prévoyant un processus d’évaluation indépendant (« PÉI ») des demandes individuelles — Allégation du demandeur qu’il a été victime d’agression sexuelle alors qu’il fréquentait un pensionnat — Rejet de la demande par l’adjudicateur d’audition pour omission de démontrer les « fins d’ordre sexuel » recherchées par l’auteur de l’acte — Révisions faites à l’interne selon la convention et PÉI confirmant la décision initiale — Juge superviseur annulant la décision initiale et renvoyant la demande à l’adjudicateur de premier niveau — Cour d’appel informant la décision du juge superviseur et confirmant le rejet initial de la demande — Les demandeurs à qui on a refusé une indemnité peuvent-ils solliciter le contrôle judiciaire des décisions rendues par les adjudicateurs du PÉI et, dans l’affirmative, quelle est la norme de contrôle applicable? — Existe-t-il une règle de droit qui limite la possibilité de se pourvoir en contrôle judiciaire à l’encontre de tribunaux administratifs constitués en vertu d’une convention de règlement de recours collectif? Si aucun contrôle judiciaire ne peut être exercé et la supervision judiciaire ne peut se faire que pour des motifs limités, les demandeurs à qui on a refusé une indemnité disposent-ils d’autres recours devant les tribunaux en raison d’une interprétation déraisonnable de la convention de règlement? </w:t>
            </w:r>
          </w:p>
        </w:tc>
      </w:tr>
      <w:tr w:rsidR="00E04135" w:rsidRPr="003A01D0" w:rsidTr="00DE47D4">
        <w:tc>
          <w:tcPr>
            <w:tcW w:w="5000" w:type="pct"/>
            <w:gridSpan w:val="4"/>
          </w:tcPr>
          <w:p w:rsidR="00E04135" w:rsidRPr="009021BE" w:rsidRDefault="00E04135" w:rsidP="00E04135">
            <w:pPr>
              <w:jc w:val="both"/>
              <w:rPr>
                <w:sz w:val="20"/>
                <w:lang w:val="fr-CA"/>
              </w:rPr>
            </w:pPr>
          </w:p>
        </w:tc>
      </w:tr>
      <w:tr w:rsidR="00E04135" w:rsidRPr="003A01D0" w:rsidTr="00DE47D4">
        <w:tc>
          <w:tcPr>
            <w:tcW w:w="5000" w:type="pct"/>
            <w:gridSpan w:val="4"/>
          </w:tcPr>
          <w:p w:rsidR="00E04135" w:rsidRPr="009021BE" w:rsidRDefault="00E04135" w:rsidP="00E04135">
            <w:pPr>
              <w:jc w:val="both"/>
              <w:rPr>
                <w:sz w:val="20"/>
                <w:lang w:val="fr-CA"/>
              </w:rPr>
            </w:pPr>
            <w:r w:rsidRPr="009021BE">
              <w:rPr>
                <w:sz w:val="20"/>
                <w:lang w:val="fr-CA"/>
              </w:rPr>
              <w:t xml:space="preserve">Le demandeur J.W. a fréquenté un pensionnat indien au Manitoba. À l’époque où il était un élève, une religieuse a agrippé son pénis pendant qu’il attendait en file pour la douche. Après la création du Processus d’évaluation indépendant (« PÉI ») en vertu de la Convention de règlement relative aux pensionnats indiens (« CRPI »), J.W. a déposé une demande dans le cadre du PÉI, soutenant que les actes de la religieuse constituaient des sévices sexuels indemnisables. La demande de J.W. a été rejetée par un adjudicateur d’audition parce que J.W. n’avait pas établi que la religieuse avait commis son acte à des « fins d’ordre sexuel », lesquelles ont été considérées par l’adjudicateur comme une « exigence technique » à satisfaire pour prouver l’existence de sévices sexuels au sens de la CRPI et du PÉI. Les tentatives subséquentes de faire réviser la décision par un deuxième adjudicateur et par deux adjudicateurs de révision se sont révélées vaines, et la décision a été confirmée. </w:t>
            </w:r>
          </w:p>
          <w:p w:rsidR="00E04135" w:rsidRPr="009021BE" w:rsidRDefault="00E04135" w:rsidP="00E04135">
            <w:pPr>
              <w:jc w:val="both"/>
              <w:rPr>
                <w:sz w:val="20"/>
                <w:lang w:val="fr-CA"/>
              </w:rPr>
            </w:pPr>
          </w:p>
          <w:p w:rsidR="00E04135" w:rsidRPr="009021BE" w:rsidRDefault="00E04135" w:rsidP="00E04135">
            <w:pPr>
              <w:jc w:val="both"/>
              <w:rPr>
                <w:sz w:val="20"/>
                <w:lang w:val="fr-CA"/>
              </w:rPr>
            </w:pPr>
            <w:r w:rsidRPr="009021BE">
              <w:rPr>
                <w:sz w:val="20"/>
                <w:lang w:val="fr-CA"/>
              </w:rPr>
              <w:t>Conformément aux dispositions de la CRPI, J.W. a présenté une demande d’instructions à un juge chargé de superviser l’application de la CRPI au Manitoba. Le juge superviseur (de la Cour du Banc de la Reine du Manitoba) a fait droit en partie à la demande et conclu que les adjudicateurs de révision n’avaient pas corrigé l’erreur du premier adjudicateur d’audition, en l’occurrence que J.W. devait prouver l’existence de « fins d’ordre sexuel ». Le juge superviseur a ordonné le renvoi de la demande à un adjudicateur de premier niveau.</w:t>
            </w:r>
          </w:p>
          <w:p w:rsidR="00E04135" w:rsidRPr="009021BE" w:rsidRDefault="00E04135" w:rsidP="00E04135">
            <w:pPr>
              <w:jc w:val="both"/>
              <w:rPr>
                <w:sz w:val="20"/>
                <w:lang w:val="fr-CA"/>
              </w:rPr>
            </w:pPr>
          </w:p>
          <w:p w:rsidR="00E04135" w:rsidRPr="009021BE" w:rsidRDefault="00E04135" w:rsidP="00E04135">
            <w:pPr>
              <w:jc w:val="both"/>
              <w:rPr>
                <w:sz w:val="20"/>
                <w:lang w:val="fr-CA"/>
              </w:rPr>
            </w:pPr>
            <w:r w:rsidRPr="009021BE">
              <w:rPr>
                <w:sz w:val="20"/>
                <w:lang w:val="fr-CA"/>
              </w:rPr>
              <w:t>La Cour d’appel du Manitoba a accueilli l’appel du Canada, estimant que le juge superviseur avait outrepassé sa compétence et mal interprété les dispositions de la CRPI et concluant à l’impossibilité de recourir au contrôle judiciaire des décisions des adjudicateurs au titre du PÉI et de la CRPI. La décision initiale de rejeter la demande de J.W. a donc été rétablie.</w:t>
            </w:r>
          </w:p>
          <w:p w:rsidR="00E04135" w:rsidRPr="009021BE" w:rsidRDefault="00E04135" w:rsidP="00E04135">
            <w:pPr>
              <w:jc w:val="both"/>
              <w:rPr>
                <w:sz w:val="20"/>
                <w:lang w:val="fr-CA"/>
              </w:rPr>
            </w:pPr>
          </w:p>
        </w:tc>
      </w:tr>
      <w:tr w:rsidR="00E04135" w:rsidRPr="003A01D0" w:rsidTr="00DE47D4">
        <w:tc>
          <w:tcPr>
            <w:tcW w:w="2427" w:type="pct"/>
            <w:gridSpan w:val="2"/>
          </w:tcPr>
          <w:p w:rsidR="00E04135" w:rsidRPr="009021BE" w:rsidRDefault="00E04135" w:rsidP="00E04135">
            <w:pPr>
              <w:jc w:val="both"/>
              <w:rPr>
                <w:sz w:val="20"/>
                <w:lang w:val="fr-CA"/>
              </w:rPr>
            </w:pPr>
            <w:r w:rsidRPr="009021BE">
              <w:rPr>
                <w:sz w:val="20"/>
                <w:lang w:val="fr-CA"/>
              </w:rPr>
              <w:t>7 avril 2015</w:t>
            </w:r>
          </w:p>
          <w:p w:rsidR="00E04135" w:rsidRPr="009021BE" w:rsidRDefault="00E04135" w:rsidP="00E04135">
            <w:pPr>
              <w:jc w:val="both"/>
              <w:rPr>
                <w:sz w:val="20"/>
                <w:lang w:val="fr-CA"/>
              </w:rPr>
            </w:pPr>
            <w:r w:rsidRPr="009021BE">
              <w:rPr>
                <w:sz w:val="20"/>
                <w:lang w:val="fr-CA"/>
              </w:rPr>
              <w:t>Processus d’évaluation indépendant</w:t>
            </w:r>
          </w:p>
          <w:p w:rsidR="00E04135" w:rsidRPr="009021BE" w:rsidRDefault="00E04135" w:rsidP="00E04135">
            <w:pPr>
              <w:jc w:val="both"/>
              <w:rPr>
                <w:sz w:val="20"/>
                <w:lang w:val="fr-CA"/>
              </w:rPr>
            </w:pPr>
            <w:r w:rsidRPr="009021BE">
              <w:rPr>
                <w:sz w:val="20"/>
                <w:lang w:val="fr-CA"/>
              </w:rPr>
              <w:t>Adjudicateur d’audition</w:t>
            </w:r>
          </w:p>
          <w:p w:rsidR="00E04135" w:rsidRPr="009021BE" w:rsidRDefault="00E04135" w:rsidP="00E04135">
            <w:pPr>
              <w:jc w:val="both"/>
              <w:rPr>
                <w:sz w:val="20"/>
                <w:lang w:val="fr-CA"/>
              </w:rPr>
            </w:pPr>
          </w:p>
        </w:tc>
        <w:tc>
          <w:tcPr>
            <w:tcW w:w="243" w:type="pct"/>
          </w:tcPr>
          <w:p w:rsidR="00E04135" w:rsidRPr="009021BE" w:rsidRDefault="00E04135" w:rsidP="00E04135">
            <w:pPr>
              <w:jc w:val="both"/>
              <w:rPr>
                <w:sz w:val="20"/>
                <w:lang w:val="fr-CA"/>
              </w:rPr>
            </w:pPr>
          </w:p>
        </w:tc>
        <w:tc>
          <w:tcPr>
            <w:tcW w:w="2330" w:type="pct"/>
          </w:tcPr>
          <w:p w:rsidR="00E04135" w:rsidRPr="009021BE" w:rsidRDefault="00E04135" w:rsidP="00E04135">
            <w:pPr>
              <w:jc w:val="both"/>
              <w:rPr>
                <w:sz w:val="20"/>
                <w:lang w:val="fr-CA"/>
              </w:rPr>
            </w:pPr>
            <w:r w:rsidRPr="009021BE">
              <w:rPr>
                <w:sz w:val="20"/>
                <w:lang w:val="fr-CA"/>
              </w:rPr>
              <w:t>Rejet de la demande d’indemnité présentée par J.W.</w:t>
            </w:r>
          </w:p>
          <w:p w:rsidR="00E04135" w:rsidRPr="009021BE" w:rsidRDefault="00E04135" w:rsidP="00E04135">
            <w:pPr>
              <w:jc w:val="both"/>
              <w:rPr>
                <w:sz w:val="20"/>
                <w:lang w:val="fr-CA"/>
              </w:rPr>
            </w:pPr>
          </w:p>
        </w:tc>
      </w:tr>
      <w:tr w:rsidR="00E04135" w:rsidRPr="009021BE" w:rsidTr="00DE47D4">
        <w:tc>
          <w:tcPr>
            <w:tcW w:w="2427" w:type="pct"/>
            <w:gridSpan w:val="2"/>
          </w:tcPr>
          <w:p w:rsidR="00E04135" w:rsidRPr="009021BE" w:rsidRDefault="00E04135" w:rsidP="00E04135">
            <w:pPr>
              <w:jc w:val="both"/>
              <w:rPr>
                <w:sz w:val="20"/>
                <w:lang w:val="fr-CA"/>
              </w:rPr>
            </w:pPr>
            <w:r w:rsidRPr="009021BE">
              <w:rPr>
                <w:sz w:val="20"/>
                <w:lang w:val="fr-CA"/>
              </w:rPr>
              <w:t>15 juillet 2015</w:t>
            </w:r>
          </w:p>
          <w:p w:rsidR="00E04135" w:rsidRPr="009021BE" w:rsidRDefault="00E04135" w:rsidP="00E04135">
            <w:pPr>
              <w:jc w:val="both"/>
              <w:rPr>
                <w:sz w:val="20"/>
                <w:lang w:val="fr-CA"/>
              </w:rPr>
            </w:pPr>
            <w:r w:rsidRPr="009021BE">
              <w:rPr>
                <w:sz w:val="20"/>
                <w:lang w:val="fr-CA"/>
              </w:rPr>
              <w:t>Processus d’évaluation indépendant</w:t>
            </w:r>
          </w:p>
          <w:p w:rsidR="00E04135" w:rsidRPr="009021BE" w:rsidRDefault="00E04135" w:rsidP="00E04135">
            <w:pPr>
              <w:jc w:val="both"/>
              <w:rPr>
                <w:sz w:val="20"/>
                <w:lang w:val="fr-CA"/>
              </w:rPr>
            </w:pPr>
            <w:r w:rsidRPr="009021BE">
              <w:rPr>
                <w:sz w:val="20"/>
                <w:lang w:val="fr-CA"/>
              </w:rPr>
              <w:t>Adjudicateur de révision</w:t>
            </w:r>
          </w:p>
          <w:p w:rsidR="00E04135" w:rsidRPr="009021BE" w:rsidRDefault="00E04135" w:rsidP="00E04135">
            <w:pPr>
              <w:jc w:val="both"/>
              <w:rPr>
                <w:sz w:val="20"/>
                <w:lang w:val="fr-CA"/>
              </w:rPr>
            </w:pPr>
          </w:p>
        </w:tc>
        <w:tc>
          <w:tcPr>
            <w:tcW w:w="243" w:type="pct"/>
          </w:tcPr>
          <w:p w:rsidR="00E04135" w:rsidRPr="009021BE" w:rsidRDefault="00E04135" w:rsidP="00E04135">
            <w:pPr>
              <w:jc w:val="both"/>
              <w:rPr>
                <w:sz w:val="20"/>
                <w:lang w:val="fr-CA"/>
              </w:rPr>
            </w:pPr>
          </w:p>
        </w:tc>
        <w:tc>
          <w:tcPr>
            <w:tcW w:w="2330" w:type="pct"/>
          </w:tcPr>
          <w:p w:rsidR="00E04135" w:rsidRPr="009021BE" w:rsidRDefault="00E04135" w:rsidP="00E04135">
            <w:pPr>
              <w:jc w:val="both"/>
              <w:rPr>
                <w:sz w:val="20"/>
              </w:rPr>
            </w:pPr>
            <w:r w:rsidRPr="009021BE">
              <w:rPr>
                <w:sz w:val="20"/>
              </w:rPr>
              <w:t>Décision de l’adjudicateur d’audition confirmée</w:t>
            </w:r>
          </w:p>
          <w:p w:rsidR="00E04135" w:rsidRPr="009021BE" w:rsidRDefault="00E04135" w:rsidP="00E04135">
            <w:pPr>
              <w:jc w:val="both"/>
              <w:rPr>
                <w:sz w:val="20"/>
              </w:rPr>
            </w:pPr>
          </w:p>
        </w:tc>
      </w:tr>
      <w:tr w:rsidR="00E04135" w:rsidRPr="003A01D0" w:rsidTr="00DE47D4">
        <w:tc>
          <w:tcPr>
            <w:tcW w:w="2427" w:type="pct"/>
            <w:gridSpan w:val="2"/>
          </w:tcPr>
          <w:p w:rsidR="00E04135" w:rsidRPr="009021BE" w:rsidRDefault="00E04135" w:rsidP="00E04135">
            <w:pPr>
              <w:jc w:val="both"/>
              <w:rPr>
                <w:sz w:val="20"/>
                <w:lang w:val="fr-CA"/>
              </w:rPr>
            </w:pPr>
            <w:r w:rsidRPr="009021BE">
              <w:rPr>
                <w:sz w:val="20"/>
                <w:lang w:val="fr-CA"/>
              </w:rPr>
              <w:t>22 novembre 2015</w:t>
            </w:r>
          </w:p>
          <w:p w:rsidR="00E04135" w:rsidRPr="009021BE" w:rsidRDefault="00E04135" w:rsidP="00E04135">
            <w:pPr>
              <w:jc w:val="both"/>
              <w:rPr>
                <w:sz w:val="20"/>
                <w:lang w:val="fr-CA"/>
              </w:rPr>
            </w:pPr>
            <w:r w:rsidRPr="009021BE">
              <w:rPr>
                <w:sz w:val="20"/>
                <w:lang w:val="fr-CA"/>
              </w:rPr>
              <w:t>Processus d’évaluation indépendant</w:t>
            </w:r>
          </w:p>
          <w:p w:rsidR="00E04135" w:rsidRPr="009021BE" w:rsidRDefault="00E04135" w:rsidP="00E04135">
            <w:pPr>
              <w:jc w:val="both"/>
              <w:rPr>
                <w:sz w:val="20"/>
                <w:lang w:val="fr-CA"/>
              </w:rPr>
            </w:pPr>
            <w:r w:rsidRPr="009021BE">
              <w:rPr>
                <w:sz w:val="20"/>
                <w:lang w:val="fr-CA"/>
              </w:rPr>
              <w:t>Adjudicateur de deuxième révision</w:t>
            </w:r>
          </w:p>
          <w:p w:rsidR="00E04135" w:rsidRPr="009021BE" w:rsidRDefault="00E04135" w:rsidP="00E04135">
            <w:pPr>
              <w:jc w:val="both"/>
              <w:rPr>
                <w:sz w:val="20"/>
                <w:lang w:val="fr-CA"/>
              </w:rPr>
            </w:pPr>
          </w:p>
        </w:tc>
        <w:tc>
          <w:tcPr>
            <w:tcW w:w="243" w:type="pct"/>
          </w:tcPr>
          <w:p w:rsidR="00E04135" w:rsidRPr="009021BE" w:rsidRDefault="00E04135" w:rsidP="00E04135">
            <w:pPr>
              <w:jc w:val="both"/>
              <w:rPr>
                <w:sz w:val="20"/>
                <w:lang w:val="fr-CA"/>
              </w:rPr>
            </w:pPr>
          </w:p>
        </w:tc>
        <w:tc>
          <w:tcPr>
            <w:tcW w:w="2330" w:type="pct"/>
          </w:tcPr>
          <w:p w:rsidR="00E04135" w:rsidRPr="009021BE" w:rsidRDefault="00E04135" w:rsidP="00E04135">
            <w:pPr>
              <w:jc w:val="both"/>
              <w:rPr>
                <w:sz w:val="20"/>
                <w:lang w:val="fr-CA"/>
              </w:rPr>
            </w:pPr>
            <w:r w:rsidRPr="009021BE">
              <w:rPr>
                <w:sz w:val="20"/>
                <w:lang w:val="fr-CA"/>
              </w:rPr>
              <w:t>Décision de l’adjudicateur de deuxième révision confirmée</w:t>
            </w:r>
          </w:p>
          <w:p w:rsidR="00E04135" w:rsidRPr="009021BE" w:rsidRDefault="00E04135" w:rsidP="00E04135">
            <w:pPr>
              <w:jc w:val="both"/>
              <w:rPr>
                <w:sz w:val="20"/>
                <w:lang w:val="fr-CA"/>
              </w:rPr>
            </w:pPr>
          </w:p>
        </w:tc>
      </w:tr>
      <w:tr w:rsidR="00E04135" w:rsidRPr="003A01D0" w:rsidTr="00DE47D4">
        <w:tc>
          <w:tcPr>
            <w:tcW w:w="2427" w:type="pct"/>
            <w:gridSpan w:val="2"/>
          </w:tcPr>
          <w:p w:rsidR="00E04135" w:rsidRPr="009021BE" w:rsidRDefault="00E04135" w:rsidP="00E04135">
            <w:pPr>
              <w:jc w:val="both"/>
              <w:rPr>
                <w:sz w:val="20"/>
                <w:lang w:val="fr-CA"/>
              </w:rPr>
            </w:pPr>
            <w:r w:rsidRPr="009021BE">
              <w:rPr>
                <w:sz w:val="20"/>
                <w:lang w:val="fr-CA"/>
              </w:rPr>
              <w:t>3 août 2016</w:t>
            </w:r>
          </w:p>
          <w:p w:rsidR="00E04135" w:rsidRPr="009021BE" w:rsidRDefault="00E04135" w:rsidP="00E04135">
            <w:pPr>
              <w:jc w:val="both"/>
              <w:rPr>
                <w:sz w:val="20"/>
                <w:lang w:val="fr-CA"/>
              </w:rPr>
            </w:pPr>
            <w:r w:rsidRPr="009021BE">
              <w:rPr>
                <w:sz w:val="20"/>
                <w:lang w:val="fr-CA"/>
              </w:rPr>
              <w:t>Cour du Banc de la Reine du Manitoba</w:t>
            </w:r>
          </w:p>
          <w:p w:rsidR="00E04135" w:rsidRPr="009021BE" w:rsidRDefault="00E04135" w:rsidP="00E04135">
            <w:pPr>
              <w:jc w:val="both"/>
              <w:rPr>
                <w:sz w:val="20"/>
              </w:rPr>
            </w:pPr>
            <w:r w:rsidRPr="009021BE">
              <w:rPr>
                <w:sz w:val="20"/>
              </w:rPr>
              <w:t>(Juge Edmond)</w:t>
            </w:r>
          </w:p>
          <w:p w:rsidR="00E04135" w:rsidRPr="009021BE" w:rsidRDefault="00167F64" w:rsidP="00E04135">
            <w:pPr>
              <w:jc w:val="both"/>
              <w:rPr>
                <w:sz w:val="20"/>
              </w:rPr>
            </w:pPr>
            <w:hyperlink r:id="rId51" w:history="1">
              <w:r w:rsidR="00E04135" w:rsidRPr="009021BE">
                <w:rPr>
                  <w:rStyle w:val="Hyperlink"/>
                  <w:sz w:val="20"/>
                </w:rPr>
                <w:t>2016 MBQB 159</w:t>
              </w:r>
            </w:hyperlink>
            <w:r w:rsidR="00E04135" w:rsidRPr="009021BE">
              <w:rPr>
                <w:sz w:val="20"/>
              </w:rPr>
              <w:t xml:space="preserve"> </w:t>
            </w:r>
          </w:p>
          <w:p w:rsidR="00E04135" w:rsidRPr="009021BE" w:rsidRDefault="00E04135" w:rsidP="00E04135">
            <w:pPr>
              <w:jc w:val="both"/>
              <w:rPr>
                <w:sz w:val="20"/>
              </w:rPr>
            </w:pPr>
          </w:p>
        </w:tc>
        <w:tc>
          <w:tcPr>
            <w:tcW w:w="243" w:type="pct"/>
          </w:tcPr>
          <w:p w:rsidR="00E04135" w:rsidRPr="009021BE" w:rsidRDefault="00E04135" w:rsidP="00E04135">
            <w:pPr>
              <w:jc w:val="both"/>
              <w:rPr>
                <w:sz w:val="20"/>
              </w:rPr>
            </w:pPr>
          </w:p>
        </w:tc>
        <w:tc>
          <w:tcPr>
            <w:tcW w:w="2330" w:type="pct"/>
          </w:tcPr>
          <w:p w:rsidR="00E04135" w:rsidRPr="009021BE" w:rsidRDefault="00E04135" w:rsidP="00E04135">
            <w:pPr>
              <w:jc w:val="both"/>
              <w:rPr>
                <w:sz w:val="20"/>
                <w:lang w:val="fr-CA"/>
              </w:rPr>
            </w:pPr>
            <w:r w:rsidRPr="009021BE">
              <w:rPr>
                <w:sz w:val="20"/>
                <w:lang w:val="fr-CA"/>
              </w:rPr>
              <w:t>Demande d’instructions de J.W. — annulation de la décision rendue par l’adjudicateur de deuxième révision; demande renvoyée à l’adjudicateur de premier niveau pour réexamen</w:t>
            </w:r>
          </w:p>
          <w:p w:rsidR="00E04135" w:rsidRPr="009021BE" w:rsidRDefault="00E04135" w:rsidP="00E04135">
            <w:pPr>
              <w:jc w:val="both"/>
              <w:rPr>
                <w:sz w:val="20"/>
                <w:lang w:val="fr-CA"/>
              </w:rPr>
            </w:pPr>
          </w:p>
        </w:tc>
      </w:tr>
      <w:tr w:rsidR="00E04135" w:rsidRPr="003A01D0" w:rsidTr="00DE47D4">
        <w:tc>
          <w:tcPr>
            <w:tcW w:w="2427" w:type="pct"/>
            <w:gridSpan w:val="2"/>
          </w:tcPr>
          <w:p w:rsidR="00E04135" w:rsidRPr="009021BE" w:rsidRDefault="00E04135" w:rsidP="00E04135">
            <w:pPr>
              <w:jc w:val="both"/>
              <w:rPr>
                <w:sz w:val="20"/>
                <w:lang w:val="fr-CA"/>
              </w:rPr>
            </w:pPr>
            <w:r w:rsidRPr="009021BE">
              <w:rPr>
                <w:sz w:val="20"/>
                <w:lang w:val="fr-CA"/>
              </w:rPr>
              <w:t>30 mai 2017</w:t>
            </w:r>
          </w:p>
          <w:p w:rsidR="00E04135" w:rsidRPr="009021BE" w:rsidRDefault="00E04135" w:rsidP="00E04135">
            <w:pPr>
              <w:jc w:val="both"/>
              <w:rPr>
                <w:sz w:val="20"/>
                <w:lang w:val="fr-CA"/>
              </w:rPr>
            </w:pPr>
            <w:r w:rsidRPr="009021BE">
              <w:rPr>
                <w:sz w:val="20"/>
                <w:lang w:val="fr-CA"/>
              </w:rPr>
              <w:t>Cour d’appel du Manitoba</w:t>
            </w:r>
          </w:p>
          <w:p w:rsidR="00E04135" w:rsidRPr="009021BE" w:rsidRDefault="00E04135" w:rsidP="00E04135">
            <w:pPr>
              <w:jc w:val="both"/>
              <w:rPr>
                <w:sz w:val="20"/>
                <w:lang w:val="fr-CA"/>
              </w:rPr>
            </w:pPr>
            <w:r w:rsidRPr="009021BE">
              <w:rPr>
                <w:sz w:val="20"/>
                <w:lang w:val="fr-CA"/>
              </w:rPr>
              <w:t>(Juges Monnin, Beard et leMaistre)</w:t>
            </w:r>
          </w:p>
          <w:p w:rsidR="00E04135" w:rsidRPr="009021BE" w:rsidRDefault="00167F64" w:rsidP="00E04135">
            <w:pPr>
              <w:jc w:val="both"/>
              <w:rPr>
                <w:sz w:val="20"/>
              </w:rPr>
            </w:pPr>
            <w:hyperlink r:id="rId52" w:history="1">
              <w:r w:rsidR="00E04135" w:rsidRPr="009021BE">
                <w:rPr>
                  <w:rStyle w:val="Hyperlink"/>
                  <w:sz w:val="20"/>
                </w:rPr>
                <w:t>2017 MBCA 54</w:t>
              </w:r>
            </w:hyperlink>
            <w:r w:rsidR="00E04135" w:rsidRPr="009021BE">
              <w:rPr>
                <w:sz w:val="20"/>
              </w:rPr>
              <w:t xml:space="preserve"> </w:t>
            </w:r>
          </w:p>
          <w:p w:rsidR="00E04135" w:rsidRPr="009021BE" w:rsidRDefault="00E04135" w:rsidP="00E04135">
            <w:pPr>
              <w:jc w:val="both"/>
              <w:rPr>
                <w:sz w:val="20"/>
              </w:rPr>
            </w:pPr>
          </w:p>
        </w:tc>
        <w:tc>
          <w:tcPr>
            <w:tcW w:w="243" w:type="pct"/>
          </w:tcPr>
          <w:p w:rsidR="00E04135" w:rsidRPr="009021BE" w:rsidRDefault="00E04135" w:rsidP="00E04135">
            <w:pPr>
              <w:jc w:val="both"/>
              <w:rPr>
                <w:sz w:val="20"/>
              </w:rPr>
            </w:pPr>
          </w:p>
        </w:tc>
        <w:tc>
          <w:tcPr>
            <w:tcW w:w="2330" w:type="pct"/>
          </w:tcPr>
          <w:p w:rsidR="00E04135" w:rsidRPr="009021BE" w:rsidRDefault="00E04135" w:rsidP="00E04135">
            <w:pPr>
              <w:jc w:val="both"/>
              <w:rPr>
                <w:sz w:val="20"/>
                <w:lang w:val="fr-CA"/>
              </w:rPr>
            </w:pPr>
            <w:r w:rsidRPr="009021BE">
              <w:rPr>
                <w:sz w:val="20"/>
                <w:lang w:val="fr-CA"/>
              </w:rPr>
              <w:t>Appel du Canada accueilli; rétablissement de la décision de l’adjudicateur siégeant en réexamen</w:t>
            </w:r>
          </w:p>
          <w:p w:rsidR="00E04135" w:rsidRPr="009021BE" w:rsidRDefault="00E04135" w:rsidP="00E04135">
            <w:pPr>
              <w:jc w:val="both"/>
              <w:rPr>
                <w:sz w:val="20"/>
                <w:lang w:val="fr-CA"/>
              </w:rPr>
            </w:pPr>
          </w:p>
        </w:tc>
      </w:tr>
      <w:tr w:rsidR="00E04135" w:rsidRPr="003A01D0" w:rsidTr="00DE47D4">
        <w:tc>
          <w:tcPr>
            <w:tcW w:w="2427" w:type="pct"/>
            <w:gridSpan w:val="2"/>
          </w:tcPr>
          <w:p w:rsidR="00E04135" w:rsidRPr="009021BE" w:rsidRDefault="00E04135" w:rsidP="00E04135">
            <w:pPr>
              <w:jc w:val="both"/>
              <w:rPr>
                <w:sz w:val="20"/>
                <w:lang w:val="fr-CA"/>
              </w:rPr>
            </w:pPr>
            <w:r w:rsidRPr="009021BE">
              <w:rPr>
                <w:sz w:val="20"/>
                <w:lang w:val="fr-CA"/>
              </w:rPr>
              <w:t>28 août 2017</w:t>
            </w:r>
          </w:p>
          <w:p w:rsidR="00E04135" w:rsidRPr="009021BE" w:rsidRDefault="00E04135" w:rsidP="00E04135">
            <w:pPr>
              <w:jc w:val="both"/>
              <w:rPr>
                <w:sz w:val="20"/>
                <w:lang w:val="fr-CA"/>
              </w:rPr>
            </w:pPr>
            <w:r w:rsidRPr="009021BE">
              <w:rPr>
                <w:sz w:val="20"/>
                <w:lang w:val="fr-CA"/>
              </w:rPr>
              <w:t>Cour suprême du Canada</w:t>
            </w:r>
          </w:p>
        </w:tc>
        <w:tc>
          <w:tcPr>
            <w:tcW w:w="243" w:type="pct"/>
          </w:tcPr>
          <w:p w:rsidR="00E04135" w:rsidRPr="009021BE" w:rsidRDefault="00E04135" w:rsidP="00E04135">
            <w:pPr>
              <w:jc w:val="both"/>
              <w:rPr>
                <w:sz w:val="20"/>
                <w:lang w:val="fr-CA"/>
              </w:rPr>
            </w:pPr>
          </w:p>
        </w:tc>
        <w:tc>
          <w:tcPr>
            <w:tcW w:w="2330" w:type="pct"/>
          </w:tcPr>
          <w:p w:rsidR="00E04135" w:rsidRPr="009021BE" w:rsidRDefault="00E04135" w:rsidP="00E04135">
            <w:pPr>
              <w:jc w:val="both"/>
              <w:rPr>
                <w:sz w:val="20"/>
                <w:lang w:val="fr-CA"/>
              </w:rPr>
            </w:pPr>
            <w:r w:rsidRPr="009021BE">
              <w:rPr>
                <w:sz w:val="20"/>
                <w:lang w:val="fr-CA"/>
              </w:rPr>
              <w:t>Dépôt par J.W. d’une demande d’autorisation d’appel</w:t>
            </w:r>
          </w:p>
          <w:p w:rsidR="00E04135" w:rsidRPr="009021BE" w:rsidRDefault="00E04135" w:rsidP="00E04135">
            <w:pPr>
              <w:jc w:val="both"/>
              <w:rPr>
                <w:sz w:val="20"/>
                <w:lang w:val="fr-CA"/>
              </w:rPr>
            </w:pPr>
          </w:p>
        </w:tc>
      </w:tr>
    </w:tbl>
    <w:p w:rsidR="00BC5022" w:rsidRDefault="00167F64" w:rsidP="006A0A32">
      <w:pPr>
        <w:jc w:val="both"/>
        <w:rPr>
          <w:sz w:val="20"/>
          <w:szCs w:val="20"/>
        </w:rPr>
      </w:pPr>
      <w:r>
        <w:rPr>
          <w:sz w:val="20"/>
          <w:szCs w:val="20"/>
        </w:rPr>
        <w:pict>
          <v:rect id="_x0000_i1050" style="width:2in;height:1pt" o:hrpct="0" o:hralign="center" o:hrstd="t" o:hrnoshade="t" o:hr="t" fillcolor="black" stroked="f"/>
        </w:pict>
      </w:r>
    </w:p>
    <w:p w:rsidR="00BC5022" w:rsidRDefault="00BC502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0A32" w:rsidRPr="009021BE" w:rsidTr="001A61E3">
        <w:tc>
          <w:tcPr>
            <w:tcW w:w="543" w:type="pct"/>
          </w:tcPr>
          <w:p w:rsidR="006A0A32" w:rsidRPr="009021BE" w:rsidRDefault="006A0A32" w:rsidP="00DE47D4">
            <w:pPr>
              <w:jc w:val="both"/>
              <w:rPr>
                <w:sz w:val="20"/>
              </w:rPr>
            </w:pPr>
            <w:r w:rsidRPr="009021BE">
              <w:rPr>
                <w:rStyle w:val="SCCFileNumberChar"/>
                <w:sz w:val="20"/>
                <w:szCs w:val="20"/>
              </w:rPr>
              <w:t>37738</w:t>
            </w:r>
          </w:p>
        </w:tc>
        <w:tc>
          <w:tcPr>
            <w:tcW w:w="4457" w:type="pct"/>
          </w:tcPr>
          <w:p w:rsidR="006A0A32" w:rsidRPr="00BF319D" w:rsidRDefault="006A0A32" w:rsidP="00DE47D4">
            <w:pPr>
              <w:pStyle w:val="SCCLsocParty"/>
              <w:jc w:val="both"/>
              <w:rPr>
                <w:b/>
                <w:sz w:val="20"/>
                <w:szCs w:val="20"/>
                <w:lang w:val="en-US"/>
              </w:rPr>
            </w:pPr>
            <w:r w:rsidRPr="00BF319D">
              <w:rPr>
                <w:b/>
                <w:sz w:val="20"/>
                <w:szCs w:val="20"/>
                <w:lang w:val="en-US"/>
              </w:rPr>
              <w:t>Robert Lavigne v. Canadian Human Rights Commission, Attorney General of Canada</w:t>
            </w:r>
          </w:p>
          <w:p w:rsidR="006A0A32" w:rsidRPr="009021BE" w:rsidRDefault="006A0A32" w:rsidP="00DE47D4">
            <w:pPr>
              <w:jc w:val="both"/>
              <w:rPr>
                <w:sz w:val="20"/>
              </w:rPr>
            </w:pPr>
            <w:r w:rsidRPr="009021BE">
              <w:rPr>
                <w:sz w:val="20"/>
              </w:rPr>
              <w:t>(FC) (Civil) (By Leave)</w:t>
            </w:r>
          </w:p>
        </w:tc>
      </w:tr>
      <w:tr w:rsidR="00FC2A89" w:rsidRPr="009021BE" w:rsidTr="001A61E3">
        <w:tc>
          <w:tcPr>
            <w:tcW w:w="543" w:type="pct"/>
          </w:tcPr>
          <w:p w:rsidR="00FC2A89" w:rsidRPr="005F1C17" w:rsidRDefault="00FC2A89" w:rsidP="00FC2A89">
            <w:pPr>
              <w:jc w:val="both"/>
              <w:rPr>
                <w:rStyle w:val="SCCFileNumberChar"/>
                <w:sz w:val="20"/>
                <w:szCs w:val="20"/>
              </w:rPr>
            </w:pPr>
            <w:r w:rsidRPr="00AE0F22">
              <w:rPr>
                <w:rStyle w:val="SCCFileNumberChar"/>
                <w:b w:val="0"/>
                <w:sz w:val="20"/>
                <w:szCs w:val="20"/>
              </w:rPr>
              <w:t xml:space="preserve">Coram: </w:t>
            </w:r>
          </w:p>
        </w:tc>
        <w:tc>
          <w:tcPr>
            <w:tcW w:w="4457" w:type="pct"/>
          </w:tcPr>
          <w:p w:rsidR="00FC2A89" w:rsidRPr="005F1C17" w:rsidRDefault="00FC2A89" w:rsidP="00FC2A89">
            <w:pPr>
              <w:rPr>
                <w:rFonts w:eastAsia="Calibri" w:cs="Times New Roman"/>
                <w:sz w:val="20"/>
                <w:szCs w:val="20"/>
                <w:u w:val="single"/>
                <w:lang w:val="en-US"/>
              </w:rPr>
            </w:pPr>
            <w:r w:rsidRPr="005F1C17">
              <w:rPr>
                <w:rFonts w:eastAsia="Calibri" w:cs="Times New Roman"/>
                <w:sz w:val="20"/>
                <w:szCs w:val="20"/>
                <w:u w:val="single"/>
                <w:lang w:val="en-US"/>
              </w:rPr>
              <w:t>Wagner C.J. and Abella, Moldaver, Karakatsanis, Côté, Brown, Rowe and Martin JJ.</w:t>
            </w:r>
          </w:p>
          <w:p w:rsidR="00FC2A89" w:rsidRPr="005F1C17" w:rsidRDefault="00FC2A89" w:rsidP="00FC2A89">
            <w:pPr>
              <w:rPr>
                <w:rFonts w:eastAsia="Calibri" w:cs="Times New Roman"/>
                <w:sz w:val="20"/>
                <w:szCs w:val="20"/>
                <w:u w:val="single"/>
                <w:lang w:val="en-US"/>
              </w:rPr>
            </w:pPr>
          </w:p>
        </w:tc>
      </w:tr>
      <w:tr w:rsidR="00FC2A89" w:rsidRPr="009021BE" w:rsidTr="001A61E3">
        <w:tc>
          <w:tcPr>
            <w:tcW w:w="5000" w:type="pct"/>
            <w:gridSpan w:val="2"/>
          </w:tcPr>
          <w:p w:rsidR="00FC2A89" w:rsidRPr="00FC2A89" w:rsidRDefault="00FC2A89" w:rsidP="00FC2A89">
            <w:pPr>
              <w:pStyle w:val="SCCLsocParty"/>
              <w:jc w:val="both"/>
              <w:rPr>
                <w:b/>
                <w:sz w:val="20"/>
                <w:szCs w:val="20"/>
                <w:lang w:val="en-US"/>
              </w:rPr>
            </w:pPr>
            <w:r w:rsidRPr="00FC2A89">
              <w:rPr>
                <w:sz w:val="20"/>
                <w:lang w:val="en-US"/>
              </w:rPr>
              <w:t>The motion to adduce new evidence is dismissed.  The application for leave to appeal from the judgment of the Federal Court of Appeal, Number 17-A-23, dated August 10, 2017, is dismissed with costs.</w:t>
            </w:r>
          </w:p>
        </w:tc>
      </w:tr>
      <w:tr w:rsidR="00FC2A89" w:rsidRPr="009021BE" w:rsidTr="001A61E3">
        <w:tc>
          <w:tcPr>
            <w:tcW w:w="5000" w:type="pct"/>
            <w:gridSpan w:val="2"/>
          </w:tcPr>
          <w:p w:rsidR="00FC2A89" w:rsidRPr="009021BE" w:rsidRDefault="00FC2A89" w:rsidP="00FC2A89">
            <w:pPr>
              <w:pStyle w:val="SCCBanSummary"/>
              <w:rPr>
                <w:sz w:val="20"/>
                <w:szCs w:val="20"/>
              </w:rPr>
            </w:pPr>
            <w:r w:rsidRPr="009021BE">
              <w:rPr>
                <w:sz w:val="20"/>
                <w:szCs w:val="20"/>
              </w:rPr>
              <w:t>(Sealing order) (Court file contains information that is not available for inspection by the public)</w:t>
            </w:r>
          </w:p>
          <w:p w:rsidR="00FC2A89" w:rsidRPr="009021BE" w:rsidRDefault="00FC2A89" w:rsidP="00FC2A89">
            <w:pPr>
              <w:jc w:val="both"/>
              <w:rPr>
                <w:sz w:val="20"/>
              </w:rPr>
            </w:pPr>
          </w:p>
        </w:tc>
      </w:tr>
      <w:tr w:rsidR="00FC2A89" w:rsidRPr="009021BE" w:rsidTr="001A61E3">
        <w:tc>
          <w:tcPr>
            <w:tcW w:w="5000" w:type="pct"/>
            <w:gridSpan w:val="2"/>
          </w:tcPr>
          <w:p w:rsidR="00FC2A89" w:rsidRPr="009021BE" w:rsidRDefault="00FC2A89" w:rsidP="00FC2A89">
            <w:pPr>
              <w:jc w:val="both"/>
              <w:rPr>
                <w:sz w:val="20"/>
              </w:rPr>
            </w:pPr>
            <w:r w:rsidRPr="009021BE">
              <w:rPr>
                <w:sz w:val="20"/>
              </w:rPr>
              <w:t xml:space="preserve">Civil procedure – Appeals – Federal Courts – Applicant declared vexatious litigant –Federal Court of Appeal directing Registry not to accept motion for filing – Whether the Federal Court of Appeal erred in finding that the Applicant had no right to appeal? </w:t>
            </w:r>
          </w:p>
        </w:tc>
      </w:tr>
      <w:tr w:rsidR="00FC2A89" w:rsidRPr="009021BE" w:rsidTr="001A61E3">
        <w:tc>
          <w:tcPr>
            <w:tcW w:w="5000" w:type="pct"/>
            <w:gridSpan w:val="2"/>
          </w:tcPr>
          <w:p w:rsidR="00FC2A89" w:rsidRPr="009021BE" w:rsidRDefault="00FC2A89" w:rsidP="00FC2A89">
            <w:pPr>
              <w:jc w:val="both"/>
              <w:rPr>
                <w:sz w:val="20"/>
              </w:rPr>
            </w:pPr>
          </w:p>
          <w:p w:rsidR="00FC2A89" w:rsidRPr="009021BE" w:rsidRDefault="00FC2A89" w:rsidP="00FC2A89">
            <w:pPr>
              <w:jc w:val="both"/>
              <w:rPr>
                <w:sz w:val="20"/>
              </w:rPr>
            </w:pPr>
            <w:r w:rsidRPr="009021BE">
              <w:rPr>
                <w:sz w:val="20"/>
              </w:rPr>
              <w:t>The applicant was declared a vexatious litigant by the Federal Court in 2015. His appeal from that decision was dismissed as was his application for leave to appeal. The applicant brought a motion record for reconsideration of Federal Court’s direction, for an order of mandamus against some of the defendants, and for the rescission of the vexatious litigant order. The Federal Court refused the motion for filing and the Federal Court of Appeal dismissed the a</w:t>
            </w:r>
            <w:r>
              <w:rPr>
                <w:sz w:val="20"/>
              </w:rPr>
              <w:t>pplicant’s motion.</w:t>
            </w:r>
          </w:p>
          <w:p w:rsidR="00FC2A89" w:rsidRPr="009021BE" w:rsidRDefault="00FC2A89" w:rsidP="00FC2A89">
            <w:pPr>
              <w:jc w:val="both"/>
              <w:rPr>
                <w:sz w:val="20"/>
              </w:rPr>
            </w:pPr>
          </w:p>
        </w:tc>
      </w:tr>
    </w:tbl>
    <w:p w:rsidR="001A61E3" w:rsidRDefault="001A61E3">
      <w:r>
        <w:br w:type="page"/>
      </w:r>
    </w:p>
    <w:tbl>
      <w:tblPr>
        <w:tblW w:w="5000" w:type="pct"/>
        <w:tblLayout w:type="fixed"/>
        <w:tblCellMar>
          <w:left w:w="0" w:type="dxa"/>
          <w:right w:w="0" w:type="dxa"/>
        </w:tblCellMar>
        <w:tblLook w:val="04A0" w:firstRow="1" w:lastRow="0" w:firstColumn="1" w:lastColumn="0" w:noHBand="0" w:noVBand="1"/>
      </w:tblPr>
      <w:tblGrid>
        <w:gridCol w:w="4553"/>
        <w:gridCol w:w="514"/>
        <w:gridCol w:w="4552"/>
      </w:tblGrid>
      <w:tr w:rsidR="00FC2A89" w:rsidRPr="009021BE" w:rsidTr="00DE47D4">
        <w:tc>
          <w:tcPr>
            <w:tcW w:w="2367" w:type="pct"/>
          </w:tcPr>
          <w:p w:rsidR="00FC2A89" w:rsidRPr="009021BE" w:rsidRDefault="00FC2A89" w:rsidP="00FC2A89">
            <w:pPr>
              <w:jc w:val="both"/>
              <w:rPr>
                <w:sz w:val="20"/>
              </w:rPr>
            </w:pPr>
            <w:r w:rsidRPr="009021BE">
              <w:rPr>
                <w:sz w:val="20"/>
              </w:rPr>
              <w:t>June 7, 2017</w:t>
            </w:r>
          </w:p>
          <w:p w:rsidR="00FC2A89" w:rsidRPr="009021BE" w:rsidRDefault="00FC2A89" w:rsidP="00FC2A89">
            <w:pPr>
              <w:jc w:val="both"/>
              <w:rPr>
                <w:sz w:val="20"/>
              </w:rPr>
            </w:pPr>
            <w:r w:rsidRPr="009021BE">
              <w:rPr>
                <w:sz w:val="20"/>
              </w:rPr>
              <w:t>Federal Court</w:t>
            </w:r>
          </w:p>
          <w:p w:rsidR="00FC2A89" w:rsidRPr="009021BE" w:rsidRDefault="00FC2A89" w:rsidP="00FC2A89">
            <w:pPr>
              <w:jc w:val="both"/>
              <w:rPr>
                <w:sz w:val="20"/>
              </w:rPr>
            </w:pPr>
            <w:r w:rsidRPr="009021BE">
              <w:rPr>
                <w:sz w:val="20"/>
              </w:rPr>
              <w:t>(Gascon J.)</w:t>
            </w:r>
          </w:p>
          <w:p w:rsidR="00FC2A89" w:rsidRPr="009021BE" w:rsidRDefault="00FC2A89" w:rsidP="00FC2A89">
            <w:pPr>
              <w:jc w:val="both"/>
              <w:rPr>
                <w:sz w:val="20"/>
              </w:rPr>
            </w:pPr>
            <w:r w:rsidRPr="009021BE">
              <w:rPr>
                <w:sz w:val="20"/>
              </w:rPr>
              <w:t>T-1632-13</w:t>
            </w:r>
          </w:p>
          <w:p w:rsidR="00FC2A89" w:rsidRPr="009021BE" w:rsidRDefault="00FC2A89" w:rsidP="00FC2A89">
            <w:pPr>
              <w:jc w:val="both"/>
              <w:rPr>
                <w:sz w:val="20"/>
              </w:rPr>
            </w:pPr>
          </w:p>
        </w:tc>
        <w:tc>
          <w:tcPr>
            <w:tcW w:w="267" w:type="pct"/>
          </w:tcPr>
          <w:p w:rsidR="00FC2A89" w:rsidRPr="009021BE" w:rsidRDefault="00FC2A89" w:rsidP="00FC2A89">
            <w:pPr>
              <w:jc w:val="both"/>
              <w:rPr>
                <w:sz w:val="20"/>
              </w:rPr>
            </w:pPr>
          </w:p>
        </w:tc>
        <w:tc>
          <w:tcPr>
            <w:tcW w:w="2366" w:type="pct"/>
          </w:tcPr>
          <w:p w:rsidR="00FC2A89" w:rsidRPr="009021BE" w:rsidRDefault="00FC2A89" w:rsidP="00FC2A89">
            <w:pPr>
              <w:jc w:val="both"/>
              <w:rPr>
                <w:sz w:val="20"/>
              </w:rPr>
            </w:pPr>
            <w:r w:rsidRPr="009021BE">
              <w:rPr>
                <w:sz w:val="20"/>
              </w:rPr>
              <w:t xml:space="preserve">Motion records not accepted for filing </w:t>
            </w:r>
          </w:p>
          <w:p w:rsidR="00FC2A89" w:rsidRPr="009021BE" w:rsidRDefault="00FC2A89" w:rsidP="00FC2A89">
            <w:pPr>
              <w:jc w:val="both"/>
              <w:rPr>
                <w:sz w:val="20"/>
              </w:rPr>
            </w:pPr>
          </w:p>
        </w:tc>
      </w:tr>
      <w:tr w:rsidR="00FC2A89" w:rsidRPr="009021BE" w:rsidTr="00DE47D4">
        <w:tc>
          <w:tcPr>
            <w:tcW w:w="2367" w:type="pct"/>
          </w:tcPr>
          <w:p w:rsidR="00FC2A89" w:rsidRPr="009021BE" w:rsidRDefault="00FC2A89" w:rsidP="00FC2A89">
            <w:pPr>
              <w:jc w:val="both"/>
              <w:rPr>
                <w:sz w:val="20"/>
              </w:rPr>
            </w:pPr>
            <w:r w:rsidRPr="009021BE">
              <w:rPr>
                <w:sz w:val="20"/>
              </w:rPr>
              <w:t>August 10, 2017</w:t>
            </w:r>
          </w:p>
          <w:p w:rsidR="00FC2A89" w:rsidRPr="009021BE" w:rsidRDefault="00FC2A89" w:rsidP="00FC2A89">
            <w:pPr>
              <w:jc w:val="both"/>
              <w:rPr>
                <w:sz w:val="20"/>
              </w:rPr>
            </w:pPr>
            <w:r w:rsidRPr="009021BE">
              <w:rPr>
                <w:sz w:val="20"/>
              </w:rPr>
              <w:t>Federal Court of Appeal</w:t>
            </w:r>
          </w:p>
          <w:p w:rsidR="00FC2A89" w:rsidRPr="009021BE" w:rsidRDefault="00FC2A89" w:rsidP="00FC2A89">
            <w:pPr>
              <w:jc w:val="both"/>
              <w:rPr>
                <w:sz w:val="20"/>
              </w:rPr>
            </w:pPr>
            <w:r w:rsidRPr="009021BE">
              <w:rPr>
                <w:sz w:val="20"/>
              </w:rPr>
              <w:t>(Webb, Near and Gleason JJ.A.)</w:t>
            </w:r>
          </w:p>
          <w:p w:rsidR="00FC2A89" w:rsidRPr="009021BE" w:rsidRDefault="00FC2A89" w:rsidP="00FC2A89">
            <w:pPr>
              <w:jc w:val="both"/>
              <w:rPr>
                <w:sz w:val="20"/>
              </w:rPr>
            </w:pPr>
            <w:r w:rsidRPr="009021BE">
              <w:rPr>
                <w:sz w:val="20"/>
              </w:rPr>
              <w:t>17-A-23</w:t>
            </w:r>
          </w:p>
          <w:p w:rsidR="00FC2A89" w:rsidRPr="009021BE" w:rsidRDefault="00FC2A89" w:rsidP="00FC2A89">
            <w:pPr>
              <w:jc w:val="both"/>
              <w:rPr>
                <w:sz w:val="20"/>
              </w:rPr>
            </w:pPr>
          </w:p>
        </w:tc>
        <w:tc>
          <w:tcPr>
            <w:tcW w:w="267" w:type="pct"/>
          </w:tcPr>
          <w:p w:rsidR="00FC2A89" w:rsidRPr="009021BE" w:rsidRDefault="00FC2A89" w:rsidP="00FC2A89">
            <w:pPr>
              <w:jc w:val="both"/>
              <w:rPr>
                <w:sz w:val="20"/>
              </w:rPr>
            </w:pPr>
          </w:p>
        </w:tc>
        <w:tc>
          <w:tcPr>
            <w:tcW w:w="2366" w:type="pct"/>
          </w:tcPr>
          <w:p w:rsidR="00FC2A89" w:rsidRPr="009021BE" w:rsidRDefault="00FC2A89" w:rsidP="00FC2A89">
            <w:pPr>
              <w:jc w:val="both"/>
              <w:rPr>
                <w:sz w:val="20"/>
              </w:rPr>
            </w:pPr>
            <w:r w:rsidRPr="009021BE">
              <w:rPr>
                <w:sz w:val="20"/>
              </w:rPr>
              <w:t xml:space="preserve">Motion dismissed </w:t>
            </w:r>
          </w:p>
        </w:tc>
      </w:tr>
      <w:tr w:rsidR="00FC2A89" w:rsidRPr="009021BE" w:rsidTr="00DE47D4">
        <w:tc>
          <w:tcPr>
            <w:tcW w:w="2367" w:type="pct"/>
          </w:tcPr>
          <w:p w:rsidR="00FC2A89" w:rsidRPr="009021BE" w:rsidRDefault="00FC2A89" w:rsidP="00FC2A89">
            <w:pPr>
              <w:jc w:val="both"/>
              <w:rPr>
                <w:sz w:val="20"/>
              </w:rPr>
            </w:pPr>
            <w:r w:rsidRPr="009021BE">
              <w:rPr>
                <w:sz w:val="20"/>
              </w:rPr>
              <w:t>September 1, 2017</w:t>
            </w:r>
          </w:p>
          <w:p w:rsidR="00FC2A89" w:rsidRPr="009021BE" w:rsidRDefault="00FC2A89" w:rsidP="00FC2A89">
            <w:pPr>
              <w:jc w:val="both"/>
              <w:rPr>
                <w:sz w:val="20"/>
              </w:rPr>
            </w:pPr>
            <w:r w:rsidRPr="009021BE">
              <w:rPr>
                <w:sz w:val="20"/>
              </w:rPr>
              <w:t>Supreme Court of Canada</w:t>
            </w:r>
          </w:p>
        </w:tc>
        <w:tc>
          <w:tcPr>
            <w:tcW w:w="267" w:type="pct"/>
          </w:tcPr>
          <w:p w:rsidR="00FC2A89" w:rsidRPr="009021BE" w:rsidRDefault="00FC2A89" w:rsidP="00FC2A89">
            <w:pPr>
              <w:jc w:val="both"/>
              <w:rPr>
                <w:sz w:val="20"/>
              </w:rPr>
            </w:pPr>
          </w:p>
        </w:tc>
        <w:tc>
          <w:tcPr>
            <w:tcW w:w="2366" w:type="pct"/>
          </w:tcPr>
          <w:p w:rsidR="00FC2A89" w:rsidRPr="009021BE" w:rsidRDefault="00FC2A89" w:rsidP="00FC2A89">
            <w:pPr>
              <w:jc w:val="both"/>
              <w:rPr>
                <w:sz w:val="20"/>
              </w:rPr>
            </w:pPr>
            <w:r w:rsidRPr="009021BE">
              <w:rPr>
                <w:sz w:val="20"/>
              </w:rPr>
              <w:t>Application for leave to appeal filed</w:t>
            </w:r>
          </w:p>
          <w:p w:rsidR="00FC2A89" w:rsidRPr="009021BE" w:rsidRDefault="00FC2A89" w:rsidP="00FC2A89">
            <w:pPr>
              <w:jc w:val="both"/>
              <w:rPr>
                <w:sz w:val="20"/>
              </w:rPr>
            </w:pPr>
          </w:p>
        </w:tc>
      </w:tr>
    </w:tbl>
    <w:p w:rsidR="00BC5022" w:rsidRDefault="00167F64" w:rsidP="006A0A32">
      <w:pPr>
        <w:jc w:val="both"/>
        <w:rPr>
          <w:sz w:val="20"/>
          <w:szCs w:val="20"/>
        </w:rPr>
      </w:pPr>
      <w:r>
        <w:rPr>
          <w:sz w:val="20"/>
          <w:szCs w:val="20"/>
        </w:rPr>
        <w:pict>
          <v:rect id="_x0000_i1051" style="width:2in;height:1pt" o:hrpct="0" o:hralign="center" o:hrstd="t" o:hrnoshade="t" o:hr="t" fillcolor="black" stroked="f"/>
        </w:pict>
      </w:r>
    </w:p>
    <w:p w:rsidR="00BC5022" w:rsidRDefault="00BC5022">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6A0A32" w:rsidRPr="009021BE" w:rsidTr="00DE47D4">
        <w:trPr>
          <w:gridAfter w:val="1"/>
          <w:wAfter w:w="48" w:type="pct"/>
        </w:trPr>
        <w:tc>
          <w:tcPr>
            <w:tcW w:w="538" w:type="pct"/>
          </w:tcPr>
          <w:p w:rsidR="006A0A32" w:rsidRPr="009021BE" w:rsidRDefault="006A0A32" w:rsidP="00DE47D4">
            <w:pPr>
              <w:jc w:val="both"/>
              <w:rPr>
                <w:sz w:val="20"/>
              </w:rPr>
            </w:pPr>
            <w:r w:rsidRPr="009021BE">
              <w:rPr>
                <w:rStyle w:val="SCCFileNumberChar"/>
                <w:sz w:val="20"/>
                <w:szCs w:val="20"/>
              </w:rPr>
              <w:t>37738</w:t>
            </w:r>
          </w:p>
        </w:tc>
        <w:tc>
          <w:tcPr>
            <w:tcW w:w="4414" w:type="pct"/>
            <w:gridSpan w:val="3"/>
          </w:tcPr>
          <w:p w:rsidR="006A0A32" w:rsidRPr="00BF319D" w:rsidRDefault="006A0A32" w:rsidP="00DE47D4">
            <w:pPr>
              <w:pStyle w:val="SCCLsocParty"/>
              <w:jc w:val="both"/>
              <w:rPr>
                <w:b/>
                <w:sz w:val="20"/>
                <w:szCs w:val="20"/>
              </w:rPr>
            </w:pPr>
            <w:r w:rsidRPr="00BF319D">
              <w:rPr>
                <w:b/>
                <w:sz w:val="20"/>
                <w:szCs w:val="20"/>
              </w:rPr>
              <w:t>Robert Lavigne c. Commission canadienne des droits de la personne, procureur général du Canada</w:t>
            </w:r>
          </w:p>
          <w:p w:rsidR="006A0A32" w:rsidRPr="009021BE" w:rsidRDefault="006A0A32" w:rsidP="00DE47D4">
            <w:pPr>
              <w:jc w:val="both"/>
              <w:rPr>
                <w:sz w:val="20"/>
              </w:rPr>
            </w:pPr>
            <w:r w:rsidRPr="009021BE">
              <w:rPr>
                <w:sz w:val="20"/>
              </w:rPr>
              <w:t>(CF) (Civile) (Sur autorisation)</w:t>
            </w:r>
          </w:p>
        </w:tc>
      </w:tr>
      <w:tr w:rsidR="00DA2882" w:rsidRPr="003A01D0" w:rsidTr="00DE47D4">
        <w:trPr>
          <w:gridAfter w:val="1"/>
          <w:wAfter w:w="48" w:type="pct"/>
        </w:trPr>
        <w:tc>
          <w:tcPr>
            <w:tcW w:w="538" w:type="pct"/>
          </w:tcPr>
          <w:p w:rsidR="00DA2882" w:rsidRPr="00D32F6F" w:rsidRDefault="00DA2882" w:rsidP="00DA2882">
            <w:pPr>
              <w:jc w:val="both"/>
              <w:rPr>
                <w:rStyle w:val="SCCFileNumberChar"/>
                <w:b w:val="0"/>
                <w:sz w:val="20"/>
                <w:szCs w:val="20"/>
              </w:rPr>
            </w:pPr>
            <w:r w:rsidRPr="00D32F6F">
              <w:rPr>
                <w:rStyle w:val="SCCFileNumberChar"/>
                <w:b w:val="0"/>
                <w:sz w:val="20"/>
                <w:szCs w:val="20"/>
              </w:rPr>
              <w:t xml:space="preserve">Coram: </w:t>
            </w:r>
          </w:p>
        </w:tc>
        <w:tc>
          <w:tcPr>
            <w:tcW w:w="4414" w:type="pct"/>
            <w:gridSpan w:val="3"/>
          </w:tcPr>
          <w:p w:rsidR="00DA2882" w:rsidRPr="00D32F6F" w:rsidRDefault="00DA2882" w:rsidP="00DA2882">
            <w:pPr>
              <w:rPr>
                <w:rFonts w:eastAsia="Calibri" w:cs="Times New Roman"/>
                <w:sz w:val="20"/>
                <w:szCs w:val="20"/>
                <w:u w:val="single"/>
                <w:lang w:val="fr-CA"/>
              </w:rPr>
            </w:pPr>
            <w:r w:rsidRPr="00D32F6F">
              <w:rPr>
                <w:rFonts w:eastAsia="Calibri" w:cs="Times New Roman"/>
                <w:sz w:val="20"/>
                <w:szCs w:val="20"/>
                <w:u w:val="single"/>
                <w:lang w:val="fr-CA"/>
              </w:rPr>
              <w:t>Le juge en chef Wagner et les juges Abella, Moldaver, Karakatsanis, Gascon, Côté, Brown, Rowe et Martin</w:t>
            </w:r>
          </w:p>
          <w:p w:rsidR="00DA2882" w:rsidRPr="00D32F6F" w:rsidRDefault="00DA2882" w:rsidP="00DA2882">
            <w:pPr>
              <w:rPr>
                <w:sz w:val="20"/>
                <w:szCs w:val="20"/>
                <w:lang w:val="fr-CA"/>
              </w:rPr>
            </w:pPr>
          </w:p>
        </w:tc>
      </w:tr>
      <w:tr w:rsidR="00DA2882" w:rsidRPr="003A01D0" w:rsidTr="00DA2882">
        <w:trPr>
          <w:gridAfter w:val="1"/>
          <w:wAfter w:w="48" w:type="pct"/>
        </w:trPr>
        <w:tc>
          <w:tcPr>
            <w:tcW w:w="4952" w:type="pct"/>
            <w:gridSpan w:val="4"/>
          </w:tcPr>
          <w:p w:rsidR="00DA2882" w:rsidRPr="00DA2882" w:rsidRDefault="00DA2882" w:rsidP="00DA2882">
            <w:pPr>
              <w:pStyle w:val="SCCLsocParty"/>
              <w:jc w:val="both"/>
              <w:rPr>
                <w:b/>
                <w:sz w:val="20"/>
                <w:szCs w:val="20"/>
              </w:rPr>
            </w:pPr>
            <w:r w:rsidRPr="00DA2882">
              <w:rPr>
                <w:sz w:val="20"/>
              </w:rPr>
              <w:t>La requête sollicitant l’autorisation de présenter une nouvelle preuve est rejetée.  La demande d’autorisation d’appel de l’arrêt de la Cour d’appel fédérale, numéro 17-A-23, daté du 10 août 2017, est rejetée avec dépens.</w:t>
            </w:r>
          </w:p>
        </w:tc>
      </w:tr>
      <w:tr w:rsidR="00DA2882" w:rsidRPr="003A01D0" w:rsidTr="00DE47D4">
        <w:trPr>
          <w:gridAfter w:val="1"/>
          <w:wAfter w:w="48" w:type="pct"/>
        </w:trPr>
        <w:tc>
          <w:tcPr>
            <w:tcW w:w="4952" w:type="pct"/>
            <w:gridSpan w:val="4"/>
          </w:tcPr>
          <w:p w:rsidR="00DA2882" w:rsidRPr="009021BE" w:rsidRDefault="00DA2882" w:rsidP="00DA2882">
            <w:pPr>
              <w:pStyle w:val="SCCBanSummary"/>
              <w:rPr>
                <w:sz w:val="20"/>
                <w:szCs w:val="20"/>
                <w:lang w:val="fr-CA"/>
              </w:rPr>
            </w:pPr>
            <w:r w:rsidRPr="009021BE">
              <w:rPr>
                <w:sz w:val="20"/>
                <w:szCs w:val="20"/>
                <w:lang w:val="fr-CA"/>
              </w:rPr>
              <w:t>(ordonnance de mise sous scellés) (Le dossier de la cour renferme des données que le public n’est pas autorisé à consulter)</w:t>
            </w:r>
          </w:p>
          <w:p w:rsidR="00DA2882" w:rsidRPr="009021BE" w:rsidRDefault="00DA2882" w:rsidP="00DA2882">
            <w:pPr>
              <w:jc w:val="both"/>
              <w:rPr>
                <w:sz w:val="20"/>
                <w:lang w:val="fr-CA"/>
              </w:rPr>
            </w:pPr>
          </w:p>
        </w:tc>
      </w:tr>
      <w:tr w:rsidR="00DA2882" w:rsidRPr="003A01D0" w:rsidTr="00DE47D4">
        <w:trPr>
          <w:gridAfter w:val="1"/>
          <w:wAfter w:w="48" w:type="pct"/>
        </w:trPr>
        <w:tc>
          <w:tcPr>
            <w:tcW w:w="4952" w:type="pct"/>
            <w:gridSpan w:val="4"/>
          </w:tcPr>
          <w:p w:rsidR="00DA2882" w:rsidRPr="009021BE" w:rsidRDefault="00DA2882" w:rsidP="00DA2882">
            <w:pPr>
              <w:jc w:val="both"/>
              <w:rPr>
                <w:sz w:val="20"/>
                <w:lang w:val="fr-CA"/>
              </w:rPr>
            </w:pPr>
            <w:r w:rsidRPr="009021BE">
              <w:rPr>
                <w:sz w:val="20"/>
                <w:lang w:val="fr-CA"/>
              </w:rPr>
              <w:t xml:space="preserve">Procédure civile – Appels – Cours fédérales – Demandeur déclaré plaideur quérulent – Directive de la Cour d’appel fédérale au Greffe de refuser la requête à déposer – La Cour d’appel fédérale a-t-elle eu tort de conclure que le demandeur n’avait aucun droit d’appel? </w:t>
            </w:r>
          </w:p>
        </w:tc>
      </w:tr>
      <w:tr w:rsidR="00DA2882" w:rsidRPr="003A01D0" w:rsidTr="00DE47D4">
        <w:trPr>
          <w:gridAfter w:val="1"/>
          <w:wAfter w:w="48" w:type="pct"/>
        </w:trPr>
        <w:tc>
          <w:tcPr>
            <w:tcW w:w="4952" w:type="pct"/>
            <w:gridSpan w:val="4"/>
          </w:tcPr>
          <w:p w:rsidR="00DA2882" w:rsidRPr="009021BE" w:rsidRDefault="00DA2882" w:rsidP="00DA2882">
            <w:pPr>
              <w:jc w:val="both"/>
              <w:rPr>
                <w:sz w:val="20"/>
                <w:lang w:val="fr-CA"/>
              </w:rPr>
            </w:pPr>
          </w:p>
          <w:p w:rsidR="00DA2882" w:rsidRPr="009021BE" w:rsidRDefault="00DA2882" w:rsidP="00DA2882">
            <w:pPr>
              <w:jc w:val="both"/>
              <w:rPr>
                <w:sz w:val="20"/>
                <w:lang w:val="fr-CA"/>
              </w:rPr>
            </w:pPr>
            <w:r w:rsidRPr="009021BE">
              <w:rPr>
                <w:sz w:val="20"/>
                <w:lang w:val="fr-CA"/>
              </w:rPr>
              <w:t>Le demandeur a été déclaré plaideur quérulent par la Cour fédérale en 2015. Son appel formé contre cette décision a été rejeté, tout comme sa demande d’autorisation d’appel. Le demandeur a présenté un dossier de requête en vue de faire réexaminer la directive de la Cour fédérale, d’obtenir une ordonnance de mandamus contre certains des défendeurs et de faire révoquer l’ordonnance le déclarant plaideur quérulent. La Cour fédérale a refusé la requête à déposer et la Cour d’appel fédérale a rejeté la requête du demandeur.</w:t>
            </w:r>
          </w:p>
          <w:p w:rsidR="00DA2882" w:rsidRPr="009021BE" w:rsidRDefault="00DA2882" w:rsidP="00DA2882">
            <w:pPr>
              <w:jc w:val="both"/>
              <w:rPr>
                <w:sz w:val="20"/>
                <w:lang w:val="fr-CA"/>
              </w:rPr>
            </w:pPr>
          </w:p>
        </w:tc>
      </w:tr>
      <w:tr w:rsidR="00DA2882" w:rsidRPr="003A01D0" w:rsidTr="00DE47D4">
        <w:tblPrEx>
          <w:tblCellMar>
            <w:bottom w:w="0" w:type="dxa"/>
          </w:tblCellMar>
        </w:tblPrEx>
        <w:tc>
          <w:tcPr>
            <w:tcW w:w="2367" w:type="pct"/>
            <w:gridSpan w:val="2"/>
          </w:tcPr>
          <w:p w:rsidR="00DA2882" w:rsidRPr="009021BE" w:rsidRDefault="00DA2882" w:rsidP="00DA2882">
            <w:pPr>
              <w:jc w:val="both"/>
              <w:rPr>
                <w:sz w:val="20"/>
                <w:lang w:val="fr-CA"/>
              </w:rPr>
            </w:pPr>
            <w:r w:rsidRPr="009021BE">
              <w:rPr>
                <w:sz w:val="20"/>
                <w:lang w:val="fr-CA"/>
              </w:rPr>
              <w:t>7 juin 2017</w:t>
            </w:r>
          </w:p>
          <w:p w:rsidR="00DA2882" w:rsidRPr="009021BE" w:rsidRDefault="00DA2882" w:rsidP="00DA2882">
            <w:pPr>
              <w:jc w:val="both"/>
              <w:rPr>
                <w:sz w:val="20"/>
                <w:lang w:val="fr-CA"/>
              </w:rPr>
            </w:pPr>
            <w:r w:rsidRPr="009021BE">
              <w:rPr>
                <w:sz w:val="20"/>
                <w:lang w:val="fr-CA"/>
              </w:rPr>
              <w:t>Cour fédérale</w:t>
            </w:r>
          </w:p>
          <w:p w:rsidR="00DA2882" w:rsidRPr="009021BE" w:rsidRDefault="00DA2882" w:rsidP="00DA2882">
            <w:pPr>
              <w:jc w:val="both"/>
              <w:rPr>
                <w:sz w:val="20"/>
                <w:lang w:val="fr-CA"/>
              </w:rPr>
            </w:pPr>
            <w:r w:rsidRPr="009021BE">
              <w:rPr>
                <w:sz w:val="20"/>
                <w:lang w:val="fr-CA"/>
              </w:rPr>
              <w:t>(Juge Gascon)</w:t>
            </w:r>
          </w:p>
          <w:p w:rsidR="00DA2882" w:rsidRPr="009021BE" w:rsidRDefault="00DA2882" w:rsidP="00DA2882">
            <w:pPr>
              <w:jc w:val="both"/>
              <w:rPr>
                <w:sz w:val="20"/>
              </w:rPr>
            </w:pPr>
            <w:r w:rsidRPr="009021BE">
              <w:rPr>
                <w:sz w:val="20"/>
              </w:rPr>
              <w:t>T-1632-13</w:t>
            </w:r>
          </w:p>
          <w:p w:rsidR="00DA2882" w:rsidRPr="009021BE" w:rsidRDefault="00DA2882" w:rsidP="00DA2882">
            <w:pPr>
              <w:jc w:val="both"/>
              <w:rPr>
                <w:sz w:val="20"/>
              </w:rPr>
            </w:pPr>
          </w:p>
        </w:tc>
        <w:tc>
          <w:tcPr>
            <w:tcW w:w="267" w:type="pct"/>
          </w:tcPr>
          <w:p w:rsidR="00DA2882" w:rsidRPr="009021BE" w:rsidRDefault="00DA2882" w:rsidP="00DA2882">
            <w:pPr>
              <w:jc w:val="both"/>
              <w:rPr>
                <w:sz w:val="20"/>
              </w:rPr>
            </w:pPr>
          </w:p>
        </w:tc>
        <w:tc>
          <w:tcPr>
            <w:tcW w:w="2366" w:type="pct"/>
            <w:gridSpan w:val="2"/>
          </w:tcPr>
          <w:p w:rsidR="00DA2882" w:rsidRPr="009021BE" w:rsidRDefault="00DA2882" w:rsidP="00DA2882">
            <w:pPr>
              <w:jc w:val="both"/>
              <w:rPr>
                <w:sz w:val="20"/>
                <w:lang w:val="fr-CA"/>
              </w:rPr>
            </w:pPr>
            <w:r w:rsidRPr="009021BE">
              <w:rPr>
                <w:sz w:val="20"/>
                <w:lang w:val="fr-CA"/>
              </w:rPr>
              <w:t xml:space="preserve">Refus du dossier de requête à déposer </w:t>
            </w:r>
          </w:p>
          <w:p w:rsidR="00DA2882" w:rsidRPr="009021BE" w:rsidRDefault="00DA2882" w:rsidP="00DA2882">
            <w:pPr>
              <w:jc w:val="both"/>
              <w:rPr>
                <w:sz w:val="20"/>
                <w:lang w:val="fr-CA"/>
              </w:rPr>
            </w:pPr>
          </w:p>
        </w:tc>
      </w:tr>
      <w:tr w:rsidR="00DA2882" w:rsidRPr="009021BE" w:rsidTr="00DE47D4">
        <w:tblPrEx>
          <w:tblCellMar>
            <w:bottom w:w="0" w:type="dxa"/>
          </w:tblCellMar>
        </w:tblPrEx>
        <w:tc>
          <w:tcPr>
            <w:tcW w:w="2367" w:type="pct"/>
            <w:gridSpan w:val="2"/>
          </w:tcPr>
          <w:p w:rsidR="00DA2882" w:rsidRPr="009021BE" w:rsidRDefault="00DA2882" w:rsidP="00DA2882">
            <w:pPr>
              <w:jc w:val="both"/>
              <w:rPr>
                <w:sz w:val="20"/>
                <w:lang w:val="fr-CA"/>
              </w:rPr>
            </w:pPr>
            <w:r w:rsidRPr="009021BE">
              <w:rPr>
                <w:sz w:val="20"/>
                <w:lang w:val="fr-CA"/>
              </w:rPr>
              <w:t>10 août 2017</w:t>
            </w:r>
          </w:p>
          <w:p w:rsidR="00DA2882" w:rsidRPr="009021BE" w:rsidRDefault="00DA2882" w:rsidP="00DA2882">
            <w:pPr>
              <w:jc w:val="both"/>
              <w:rPr>
                <w:sz w:val="20"/>
                <w:lang w:val="fr-CA"/>
              </w:rPr>
            </w:pPr>
            <w:r w:rsidRPr="009021BE">
              <w:rPr>
                <w:sz w:val="20"/>
                <w:lang w:val="fr-CA"/>
              </w:rPr>
              <w:t>Cour d’appel fédérale</w:t>
            </w:r>
          </w:p>
          <w:p w:rsidR="00DA2882" w:rsidRPr="009021BE" w:rsidRDefault="00DA2882" w:rsidP="00DA2882">
            <w:pPr>
              <w:jc w:val="both"/>
              <w:rPr>
                <w:sz w:val="20"/>
                <w:lang w:val="fr-CA"/>
              </w:rPr>
            </w:pPr>
            <w:r w:rsidRPr="009021BE">
              <w:rPr>
                <w:sz w:val="20"/>
                <w:lang w:val="fr-CA"/>
              </w:rPr>
              <w:t>(Juges Webb, Near et Gleason)</w:t>
            </w:r>
          </w:p>
          <w:p w:rsidR="00DA2882" w:rsidRPr="009021BE" w:rsidRDefault="00DA2882" w:rsidP="00DA2882">
            <w:pPr>
              <w:jc w:val="both"/>
              <w:rPr>
                <w:sz w:val="20"/>
              </w:rPr>
            </w:pPr>
            <w:r w:rsidRPr="009021BE">
              <w:rPr>
                <w:sz w:val="20"/>
              </w:rPr>
              <w:t>17-A-23</w:t>
            </w:r>
          </w:p>
          <w:p w:rsidR="00DA2882" w:rsidRPr="009021BE" w:rsidRDefault="00DA2882" w:rsidP="00DA2882">
            <w:pPr>
              <w:jc w:val="both"/>
              <w:rPr>
                <w:sz w:val="20"/>
              </w:rPr>
            </w:pPr>
          </w:p>
        </w:tc>
        <w:tc>
          <w:tcPr>
            <w:tcW w:w="267" w:type="pct"/>
          </w:tcPr>
          <w:p w:rsidR="00DA2882" w:rsidRPr="009021BE" w:rsidRDefault="00DA2882" w:rsidP="00DA2882">
            <w:pPr>
              <w:jc w:val="both"/>
              <w:rPr>
                <w:sz w:val="20"/>
              </w:rPr>
            </w:pPr>
          </w:p>
        </w:tc>
        <w:tc>
          <w:tcPr>
            <w:tcW w:w="2366" w:type="pct"/>
            <w:gridSpan w:val="2"/>
          </w:tcPr>
          <w:p w:rsidR="00DA2882" w:rsidRPr="009021BE" w:rsidRDefault="00DA2882" w:rsidP="00DA2882">
            <w:pPr>
              <w:jc w:val="both"/>
              <w:rPr>
                <w:sz w:val="20"/>
              </w:rPr>
            </w:pPr>
            <w:r w:rsidRPr="009021BE">
              <w:rPr>
                <w:sz w:val="20"/>
              </w:rPr>
              <w:t xml:space="preserve">Rejet de la requête </w:t>
            </w:r>
          </w:p>
        </w:tc>
      </w:tr>
      <w:tr w:rsidR="00DA2882" w:rsidRPr="003A01D0" w:rsidTr="00DE47D4">
        <w:tblPrEx>
          <w:tblCellMar>
            <w:bottom w:w="0" w:type="dxa"/>
          </w:tblCellMar>
        </w:tblPrEx>
        <w:tc>
          <w:tcPr>
            <w:tcW w:w="2367" w:type="pct"/>
            <w:gridSpan w:val="2"/>
          </w:tcPr>
          <w:p w:rsidR="00DA2882" w:rsidRPr="009021BE" w:rsidRDefault="00DA2882" w:rsidP="00DA2882">
            <w:pPr>
              <w:jc w:val="both"/>
              <w:rPr>
                <w:sz w:val="20"/>
                <w:lang w:val="fr-CA"/>
              </w:rPr>
            </w:pPr>
            <w:r w:rsidRPr="009021BE">
              <w:rPr>
                <w:sz w:val="20"/>
                <w:lang w:val="fr-CA"/>
              </w:rPr>
              <w:t>1</w:t>
            </w:r>
            <w:r w:rsidRPr="009021BE">
              <w:rPr>
                <w:sz w:val="20"/>
                <w:vertAlign w:val="superscript"/>
                <w:lang w:val="fr-CA"/>
              </w:rPr>
              <w:t>er</w:t>
            </w:r>
            <w:r w:rsidRPr="009021BE">
              <w:rPr>
                <w:sz w:val="20"/>
                <w:lang w:val="fr-CA"/>
              </w:rPr>
              <w:t xml:space="preserve"> septembre 2017</w:t>
            </w:r>
          </w:p>
          <w:p w:rsidR="00DA2882" w:rsidRPr="009021BE" w:rsidRDefault="00DA2882" w:rsidP="00DA2882">
            <w:pPr>
              <w:jc w:val="both"/>
              <w:rPr>
                <w:sz w:val="20"/>
                <w:lang w:val="fr-CA"/>
              </w:rPr>
            </w:pPr>
            <w:r w:rsidRPr="009021BE">
              <w:rPr>
                <w:sz w:val="20"/>
                <w:lang w:val="fr-CA"/>
              </w:rPr>
              <w:t>Cour suprême du Canada</w:t>
            </w:r>
          </w:p>
        </w:tc>
        <w:tc>
          <w:tcPr>
            <w:tcW w:w="267" w:type="pct"/>
          </w:tcPr>
          <w:p w:rsidR="00DA2882" w:rsidRPr="009021BE" w:rsidRDefault="00DA2882" w:rsidP="00DA2882">
            <w:pPr>
              <w:jc w:val="both"/>
              <w:rPr>
                <w:sz w:val="20"/>
                <w:lang w:val="fr-CA"/>
              </w:rPr>
            </w:pPr>
          </w:p>
        </w:tc>
        <w:tc>
          <w:tcPr>
            <w:tcW w:w="2366" w:type="pct"/>
            <w:gridSpan w:val="2"/>
          </w:tcPr>
          <w:p w:rsidR="00DA2882" w:rsidRPr="009021BE" w:rsidRDefault="00DA2882" w:rsidP="00DA2882">
            <w:pPr>
              <w:jc w:val="both"/>
              <w:rPr>
                <w:sz w:val="20"/>
                <w:lang w:val="fr-CA"/>
              </w:rPr>
            </w:pPr>
            <w:r w:rsidRPr="009021BE">
              <w:rPr>
                <w:sz w:val="20"/>
                <w:lang w:val="fr-CA"/>
              </w:rPr>
              <w:t xml:space="preserve">Dépôt de la demande d’autorisation d’appel </w:t>
            </w:r>
          </w:p>
          <w:p w:rsidR="00DA2882" w:rsidRPr="009021BE" w:rsidRDefault="00DA2882" w:rsidP="00DA2882">
            <w:pPr>
              <w:jc w:val="both"/>
              <w:rPr>
                <w:sz w:val="20"/>
                <w:lang w:val="fr-CA"/>
              </w:rPr>
            </w:pPr>
          </w:p>
        </w:tc>
      </w:tr>
    </w:tbl>
    <w:p w:rsidR="00BC5022" w:rsidRDefault="00167F64" w:rsidP="006A0A32">
      <w:pPr>
        <w:jc w:val="both"/>
        <w:rPr>
          <w:sz w:val="20"/>
          <w:szCs w:val="20"/>
        </w:rPr>
      </w:pPr>
      <w:r>
        <w:rPr>
          <w:sz w:val="20"/>
          <w:szCs w:val="20"/>
        </w:rPr>
        <w:pict>
          <v:rect id="_x0000_i1052" style="width:2in;height:1pt" o:hrpct="0" o:hralign="center" o:hrstd="t" o:hrnoshade="t" o:hr="t" fillcolor="black" stroked="f"/>
        </w:pict>
      </w:r>
    </w:p>
    <w:p w:rsidR="00BC5022" w:rsidRDefault="00BC5022">
      <w:pPr>
        <w:rPr>
          <w:sz w:val="20"/>
          <w:szCs w:val="20"/>
        </w:rPr>
      </w:pPr>
      <w:r>
        <w:rPr>
          <w:sz w:val="20"/>
          <w:szCs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0A32" w:rsidRPr="009021BE" w:rsidTr="00DE47D4">
        <w:tc>
          <w:tcPr>
            <w:tcW w:w="543" w:type="pct"/>
          </w:tcPr>
          <w:p w:rsidR="006A0A32" w:rsidRPr="009021BE" w:rsidRDefault="006A0A32" w:rsidP="00DE47D4">
            <w:pPr>
              <w:jc w:val="both"/>
              <w:rPr>
                <w:sz w:val="20"/>
              </w:rPr>
            </w:pPr>
            <w:r w:rsidRPr="009021BE">
              <w:rPr>
                <w:rStyle w:val="SCCFileNumberChar"/>
                <w:sz w:val="20"/>
                <w:szCs w:val="20"/>
              </w:rPr>
              <w:t>37692</w:t>
            </w:r>
          </w:p>
        </w:tc>
        <w:tc>
          <w:tcPr>
            <w:tcW w:w="4457" w:type="pct"/>
            <w:gridSpan w:val="3"/>
          </w:tcPr>
          <w:p w:rsidR="006A0A32" w:rsidRPr="00BF319D" w:rsidRDefault="006A0A32" w:rsidP="00DE47D4">
            <w:pPr>
              <w:pStyle w:val="SCCLsocParty"/>
              <w:jc w:val="both"/>
              <w:rPr>
                <w:b/>
                <w:sz w:val="20"/>
                <w:szCs w:val="20"/>
                <w:lang w:val="en-US"/>
              </w:rPr>
            </w:pPr>
            <w:r w:rsidRPr="00BF319D">
              <w:rPr>
                <w:b/>
                <w:sz w:val="20"/>
                <w:szCs w:val="20"/>
                <w:lang w:val="en-US"/>
              </w:rPr>
              <w:t>Julia A. Gagnon, James Wallbridge and Wallbridge, Wallbridge v. City of Greater Sudbury, Bayden Zachary Azzeh (Represented by his Litigation Guardian, Ingrid Nancy Dion)</w:t>
            </w:r>
          </w:p>
          <w:p w:rsidR="006A0A32" w:rsidRPr="009021BE" w:rsidRDefault="006A0A32" w:rsidP="00DE47D4">
            <w:pPr>
              <w:jc w:val="both"/>
              <w:rPr>
                <w:sz w:val="20"/>
              </w:rPr>
            </w:pPr>
            <w:r w:rsidRPr="009021BE">
              <w:rPr>
                <w:sz w:val="20"/>
              </w:rPr>
              <w:t>(Ont.) (Civil) (By Leave)</w:t>
            </w:r>
          </w:p>
        </w:tc>
      </w:tr>
      <w:tr w:rsidR="00A212D8" w:rsidRPr="009021BE" w:rsidTr="00DE47D4">
        <w:tc>
          <w:tcPr>
            <w:tcW w:w="543" w:type="pct"/>
          </w:tcPr>
          <w:p w:rsidR="00A212D8" w:rsidRPr="005F1C17" w:rsidRDefault="00A212D8" w:rsidP="00A212D8">
            <w:pPr>
              <w:jc w:val="both"/>
              <w:rPr>
                <w:rStyle w:val="SCCFileNumberChar"/>
                <w:sz w:val="20"/>
                <w:szCs w:val="20"/>
              </w:rPr>
            </w:pPr>
            <w:r w:rsidRPr="00AE0F22">
              <w:rPr>
                <w:rStyle w:val="SCCFileNumberChar"/>
                <w:b w:val="0"/>
                <w:sz w:val="20"/>
                <w:szCs w:val="20"/>
              </w:rPr>
              <w:t xml:space="preserve">Coram: </w:t>
            </w:r>
          </w:p>
        </w:tc>
        <w:tc>
          <w:tcPr>
            <w:tcW w:w="4457" w:type="pct"/>
            <w:gridSpan w:val="3"/>
          </w:tcPr>
          <w:p w:rsidR="00A212D8" w:rsidRPr="005F1C17" w:rsidRDefault="00A212D8" w:rsidP="00A212D8">
            <w:pPr>
              <w:rPr>
                <w:rFonts w:eastAsia="Calibri" w:cs="Times New Roman"/>
                <w:sz w:val="20"/>
                <w:szCs w:val="20"/>
                <w:u w:val="single"/>
                <w:lang w:val="en-US"/>
              </w:rPr>
            </w:pPr>
            <w:r w:rsidRPr="005F1C17">
              <w:rPr>
                <w:rFonts w:eastAsia="Calibri" w:cs="Times New Roman"/>
                <w:sz w:val="20"/>
                <w:szCs w:val="20"/>
                <w:u w:val="single"/>
                <w:lang w:val="en-US"/>
              </w:rPr>
              <w:t>Wagner C.J. and Abella, Moldaver, Karakatsanis, Gascon, Côté, Brown, Rowe and Martin JJ.</w:t>
            </w:r>
          </w:p>
          <w:p w:rsidR="00A212D8" w:rsidRPr="005F1C17" w:rsidRDefault="00A212D8" w:rsidP="00A212D8">
            <w:pPr>
              <w:rPr>
                <w:rFonts w:eastAsia="Calibri" w:cs="Times New Roman"/>
                <w:sz w:val="20"/>
                <w:szCs w:val="20"/>
                <w:u w:val="single"/>
                <w:lang w:val="en-US"/>
              </w:rPr>
            </w:pPr>
          </w:p>
        </w:tc>
      </w:tr>
      <w:tr w:rsidR="00A212D8" w:rsidRPr="009021BE" w:rsidTr="00A212D8">
        <w:tc>
          <w:tcPr>
            <w:tcW w:w="5000" w:type="pct"/>
            <w:gridSpan w:val="4"/>
          </w:tcPr>
          <w:p w:rsidR="00A212D8" w:rsidRPr="00A212D8" w:rsidRDefault="00A212D8" w:rsidP="00A212D8">
            <w:pPr>
              <w:pStyle w:val="SCCLsocParty"/>
              <w:jc w:val="both"/>
              <w:rPr>
                <w:b/>
                <w:sz w:val="20"/>
                <w:szCs w:val="20"/>
                <w:lang w:val="en-US"/>
              </w:rPr>
            </w:pPr>
            <w:r w:rsidRPr="00A212D8">
              <w:rPr>
                <w:sz w:val="20"/>
                <w:lang w:val="en-US"/>
              </w:rPr>
              <w:t>The application for leave to appeal from the judgment of the Court of Appeal for Ontario, Number C62433, 2017 ONCA 385, dated May 12, 2017, is dismissed with costs.</w:t>
            </w:r>
          </w:p>
        </w:tc>
      </w:tr>
      <w:tr w:rsidR="00A212D8" w:rsidRPr="009021BE" w:rsidTr="00DE47D4">
        <w:tc>
          <w:tcPr>
            <w:tcW w:w="5000" w:type="pct"/>
            <w:gridSpan w:val="4"/>
          </w:tcPr>
          <w:p w:rsidR="00A212D8" w:rsidRPr="009021BE" w:rsidRDefault="00A212D8" w:rsidP="00A212D8">
            <w:pPr>
              <w:jc w:val="both"/>
              <w:rPr>
                <w:sz w:val="20"/>
              </w:rPr>
            </w:pPr>
            <w:r w:rsidRPr="009021BE">
              <w:rPr>
                <w:sz w:val="20"/>
              </w:rPr>
              <w:t xml:space="preserve">Legislation – Interpretation – Limitation of Actions – Municipal law – Notice – Whether court erred in dismissing Bayden Azzeh’s claim against the City for failure to give notice pursuant to the </w:t>
            </w:r>
            <w:r w:rsidRPr="009021BE">
              <w:rPr>
                <w:i/>
                <w:sz w:val="20"/>
              </w:rPr>
              <w:t>Municipal Act</w:t>
            </w:r>
            <w:r w:rsidRPr="009021BE">
              <w:rPr>
                <w:sz w:val="20"/>
              </w:rPr>
              <w:t xml:space="preserve"> – What triggers a municipal notice requirement for minors – What is the test for “Reasonable Excuse” – When should a Court determine the “Reasonable Excuse” issue.</w:t>
            </w:r>
          </w:p>
        </w:tc>
      </w:tr>
      <w:tr w:rsidR="00A212D8" w:rsidRPr="009021BE" w:rsidTr="00DE47D4">
        <w:tc>
          <w:tcPr>
            <w:tcW w:w="5000" w:type="pct"/>
            <w:gridSpan w:val="4"/>
          </w:tcPr>
          <w:p w:rsidR="00A212D8" w:rsidRPr="009021BE" w:rsidRDefault="00A212D8" w:rsidP="00A212D8">
            <w:pPr>
              <w:jc w:val="both"/>
              <w:rPr>
                <w:sz w:val="20"/>
              </w:rPr>
            </w:pPr>
          </w:p>
          <w:p w:rsidR="00A212D8" w:rsidRPr="009021BE" w:rsidRDefault="00A212D8" w:rsidP="00A212D8">
            <w:pPr>
              <w:jc w:val="both"/>
              <w:rPr>
                <w:sz w:val="20"/>
              </w:rPr>
            </w:pPr>
            <w:r w:rsidRPr="009021BE">
              <w:rPr>
                <w:sz w:val="20"/>
              </w:rPr>
              <w:t xml:space="preserve">Infant Bayden was injured in 2007 when the car driven by his mother was involved in an accident with a vehicle driven and owned by R and S. His mother retained the applicant law firm and lawyers, who commenced and settled a claim on her behalf. In June 2014, the firm issued a statement of claim by Bayden, represented by his mother, Julia Neville, against R and S. In May 2015, after Bayden changed lawyers, his grandmother, Ingrid Nancy Dion swore an affidavit as litigation guardian and gave notice to the respondent City of Greater Sudbury (the “City”) of a potential claim against it. Once Ms. Dion was named litigation guardian by court order, Bayden moved to amend his statement of claim to increase the amount of damages and to add multiple defendants, including his mother as driver and father as vehicle owner, the applicant law firm and lawyers, and the City which was responsible for the intersection at which the accident took place. </w:t>
            </w:r>
          </w:p>
          <w:p w:rsidR="00A212D8" w:rsidRPr="009021BE" w:rsidRDefault="00A212D8" w:rsidP="00A212D8">
            <w:pPr>
              <w:jc w:val="both"/>
              <w:rPr>
                <w:sz w:val="20"/>
              </w:rPr>
            </w:pPr>
          </w:p>
          <w:p w:rsidR="00A212D8" w:rsidRPr="009021BE" w:rsidRDefault="00A212D8" w:rsidP="00A212D8">
            <w:pPr>
              <w:jc w:val="both"/>
              <w:rPr>
                <w:sz w:val="20"/>
              </w:rPr>
            </w:pPr>
            <w:r w:rsidRPr="009021BE">
              <w:rPr>
                <w:sz w:val="20"/>
              </w:rPr>
              <w:t xml:space="preserve">The City defended on the basis of the two year limitation period under the </w:t>
            </w:r>
            <w:r w:rsidRPr="009021BE">
              <w:rPr>
                <w:i/>
                <w:sz w:val="20"/>
              </w:rPr>
              <w:t>Limitations Act</w:t>
            </w:r>
            <w:r w:rsidRPr="009021BE">
              <w:rPr>
                <w:sz w:val="20"/>
              </w:rPr>
              <w:t xml:space="preserve">, 2002, SO 2002 and the ten day notice requirement under the </w:t>
            </w:r>
            <w:r w:rsidRPr="009021BE">
              <w:rPr>
                <w:i/>
                <w:sz w:val="20"/>
              </w:rPr>
              <w:t>Municipal Act</w:t>
            </w:r>
            <w:r w:rsidRPr="009021BE">
              <w:rPr>
                <w:sz w:val="20"/>
              </w:rPr>
              <w:t xml:space="preserve">, 2001, SO 2001, c. 25. The Ontario Superior Court of Justice held that Bayden had met the requirements of the </w:t>
            </w:r>
            <w:r w:rsidRPr="009021BE">
              <w:rPr>
                <w:i/>
                <w:sz w:val="20"/>
              </w:rPr>
              <w:t>Limitations Act</w:t>
            </w:r>
            <w:r w:rsidRPr="009021BE">
              <w:rPr>
                <w:sz w:val="20"/>
              </w:rPr>
              <w:t xml:space="preserve"> and that by providing notice to the City within the ten days of her appointment, Ms. Dion had met the notice requirement under the </w:t>
            </w:r>
            <w:r w:rsidRPr="009021BE">
              <w:rPr>
                <w:i/>
                <w:sz w:val="20"/>
              </w:rPr>
              <w:t>Municipal Act</w:t>
            </w:r>
            <w:r w:rsidRPr="009021BE">
              <w:rPr>
                <w:sz w:val="20"/>
              </w:rPr>
              <w:t xml:space="preserve">. The Court of Appeal for Ontario allowed the appeal, finding that the notice requirement under the </w:t>
            </w:r>
            <w:r w:rsidRPr="009021BE">
              <w:rPr>
                <w:i/>
                <w:sz w:val="20"/>
              </w:rPr>
              <w:t>Municipal Act</w:t>
            </w:r>
            <w:r w:rsidRPr="009021BE">
              <w:rPr>
                <w:sz w:val="20"/>
              </w:rPr>
              <w:t xml:space="preserve"> had not been met. The Court set aside the motion judge’s order and ordered that the claim against the City be dismissed. </w:t>
            </w:r>
          </w:p>
        </w:tc>
      </w:tr>
      <w:tr w:rsidR="00A212D8" w:rsidRPr="009021BE" w:rsidTr="00DE47D4">
        <w:tc>
          <w:tcPr>
            <w:tcW w:w="5000" w:type="pct"/>
            <w:gridSpan w:val="4"/>
          </w:tcPr>
          <w:p w:rsidR="00A212D8" w:rsidRPr="009021BE" w:rsidRDefault="00A212D8" w:rsidP="00A212D8">
            <w:pPr>
              <w:jc w:val="both"/>
              <w:rPr>
                <w:sz w:val="20"/>
              </w:rPr>
            </w:pPr>
          </w:p>
        </w:tc>
      </w:tr>
      <w:tr w:rsidR="00A212D8" w:rsidRPr="009021BE" w:rsidTr="00DE47D4">
        <w:tc>
          <w:tcPr>
            <w:tcW w:w="2427" w:type="pct"/>
            <w:gridSpan w:val="2"/>
          </w:tcPr>
          <w:p w:rsidR="00A212D8" w:rsidRPr="009021BE" w:rsidRDefault="00A212D8" w:rsidP="00A212D8">
            <w:pPr>
              <w:jc w:val="both"/>
              <w:rPr>
                <w:sz w:val="20"/>
              </w:rPr>
            </w:pPr>
            <w:r w:rsidRPr="009021BE">
              <w:rPr>
                <w:sz w:val="20"/>
              </w:rPr>
              <w:t>June 16, 2016</w:t>
            </w:r>
          </w:p>
          <w:p w:rsidR="00A212D8" w:rsidRPr="009021BE" w:rsidRDefault="00A212D8" w:rsidP="00A212D8">
            <w:pPr>
              <w:jc w:val="both"/>
              <w:rPr>
                <w:sz w:val="20"/>
              </w:rPr>
            </w:pPr>
            <w:r w:rsidRPr="009021BE">
              <w:rPr>
                <w:sz w:val="20"/>
              </w:rPr>
              <w:t>Ontario Superior Court of Justice</w:t>
            </w:r>
          </w:p>
          <w:p w:rsidR="00A212D8" w:rsidRPr="009021BE" w:rsidRDefault="00A212D8" w:rsidP="00A212D8">
            <w:pPr>
              <w:jc w:val="both"/>
              <w:rPr>
                <w:sz w:val="20"/>
              </w:rPr>
            </w:pPr>
            <w:r w:rsidRPr="009021BE">
              <w:rPr>
                <w:sz w:val="20"/>
              </w:rPr>
              <w:t>(Hennessy J.)</w:t>
            </w:r>
          </w:p>
          <w:p w:rsidR="00A212D8" w:rsidRPr="009021BE" w:rsidRDefault="00167F64" w:rsidP="00A212D8">
            <w:pPr>
              <w:jc w:val="both"/>
              <w:rPr>
                <w:rFonts w:ascii="Times Roman" w:hAnsi="Times Roman"/>
                <w:color w:val="000000"/>
                <w:sz w:val="20"/>
                <w:lang w:val="en"/>
              </w:rPr>
            </w:pPr>
            <w:hyperlink r:id="rId53" w:history="1">
              <w:r w:rsidR="00A212D8" w:rsidRPr="009021BE">
                <w:rPr>
                  <w:rStyle w:val="Hyperlink"/>
                  <w:sz w:val="20"/>
                  <w:lang w:val="en"/>
                </w:rPr>
                <w:t xml:space="preserve">2016 ONSC </w:t>
              </w:r>
              <w:r w:rsidR="00A212D8" w:rsidRPr="009021BE">
                <w:rPr>
                  <w:rStyle w:val="Hyperlink"/>
                  <w:rFonts w:ascii="Times Roman" w:hAnsi="Times Roman"/>
                  <w:sz w:val="20"/>
                  <w:lang w:val="en"/>
                </w:rPr>
                <w:t>3937</w:t>
              </w:r>
            </w:hyperlink>
          </w:p>
          <w:p w:rsidR="00A212D8" w:rsidRPr="009021BE" w:rsidRDefault="00A212D8" w:rsidP="00A212D8">
            <w:pPr>
              <w:jc w:val="both"/>
              <w:rPr>
                <w:sz w:val="20"/>
              </w:rPr>
            </w:pPr>
          </w:p>
        </w:tc>
        <w:tc>
          <w:tcPr>
            <w:tcW w:w="243" w:type="pct"/>
          </w:tcPr>
          <w:p w:rsidR="00A212D8" w:rsidRPr="009021BE" w:rsidRDefault="00A212D8" w:rsidP="00A212D8">
            <w:pPr>
              <w:jc w:val="both"/>
              <w:rPr>
                <w:sz w:val="20"/>
              </w:rPr>
            </w:pPr>
          </w:p>
        </w:tc>
        <w:tc>
          <w:tcPr>
            <w:tcW w:w="2330" w:type="pct"/>
          </w:tcPr>
          <w:p w:rsidR="00A212D8" w:rsidRPr="009021BE" w:rsidRDefault="00A212D8" w:rsidP="00A212D8">
            <w:pPr>
              <w:jc w:val="both"/>
              <w:rPr>
                <w:sz w:val="20"/>
              </w:rPr>
            </w:pPr>
            <w:r w:rsidRPr="009021BE">
              <w:rPr>
                <w:sz w:val="20"/>
              </w:rPr>
              <w:t xml:space="preserve">Declaration that plaintiff’s claim not barred by the </w:t>
            </w:r>
            <w:r w:rsidRPr="009021BE">
              <w:rPr>
                <w:i/>
                <w:sz w:val="20"/>
              </w:rPr>
              <w:t>Limitations Act</w:t>
            </w:r>
            <w:r w:rsidRPr="009021BE">
              <w:rPr>
                <w:sz w:val="20"/>
              </w:rPr>
              <w:t xml:space="preserve"> or the </w:t>
            </w:r>
            <w:r w:rsidRPr="009021BE">
              <w:rPr>
                <w:i/>
                <w:sz w:val="20"/>
              </w:rPr>
              <w:t>Municipal Act</w:t>
            </w:r>
            <w:r w:rsidRPr="009021BE">
              <w:rPr>
                <w:sz w:val="20"/>
              </w:rPr>
              <w:t xml:space="preserve"> and motion granted to add the City and others as defendants</w:t>
            </w:r>
          </w:p>
          <w:p w:rsidR="00A212D8" w:rsidRPr="009021BE" w:rsidRDefault="00A212D8" w:rsidP="00A212D8">
            <w:pPr>
              <w:jc w:val="both"/>
              <w:rPr>
                <w:sz w:val="20"/>
              </w:rPr>
            </w:pPr>
          </w:p>
        </w:tc>
      </w:tr>
      <w:tr w:rsidR="00A212D8" w:rsidRPr="009021BE" w:rsidTr="00DE47D4">
        <w:tc>
          <w:tcPr>
            <w:tcW w:w="2427" w:type="pct"/>
            <w:gridSpan w:val="2"/>
          </w:tcPr>
          <w:p w:rsidR="00A212D8" w:rsidRPr="009021BE" w:rsidRDefault="00A212D8" w:rsidP="00A212D8">
            <w:pPr>
              <w:jc w:val="both"/>
              <w:rPr>
                <w:sz w:val="20"/>
              </w:rPr>
            </w:pPr>
            <w:r w:rsidRPr="009021BE">
              <w:rPr>
                <w:sz w:val="20"/>
              </w:rPr>
              <w:t>May 12, 2017</w:t>
            </w:r>
          </w:p>
          <w:p w:rsidR="00A212D8" w:rsidRPr="009021BE" w:rsidRDefault="00A212D8" w:rsidP="00A212D8">
            <w:pPr>
              <w:jc w:val="both"/>
              <w:rPr>
                <w:sz w:val="20"/>
              </w:rPr>
            </w:pPr>
            <w:r w:rsidRPr="009021BE">
              <w:rPr>
                <w:sz w:val="20"/>
              </w:rPr>
              <w:t>Court of Appeal for Ontario</w:t>
            </w:r>
          </w:p>
          <w:p w:rsidR="00A212D8" w:rsidRPr="009021BE" w:rsidRDefault="00A212D8" w:rsidP="00A212D8">
            <w:pPr>
              <w:jc w:val="both"/>
              <w:rPr>
                <w:sz w:val="20"/>
              </w:rPr>
            </w:pPr>
            <w:r w:rsidRPr="009021BE">
              <w:rPr>
                <w:sz w:val="20"/>
              </w:rPr>
              <w:t>(Weiler, Benotto, and Roberts JJ.A., dissenting in part)</w:t>
            </w:r>
          </w:p>
          <w:p w:rsidR="00A212D8" w:rsidRPr="009021BE" w:rsidRDefault="00167F64" w:rsidP="00A212D8">
            <w:pPr>
              <w:jc w:val="both"/>
              <w:rPr>
                <w:sz w:val="20"/>
              </w:rPr>
            </w:pPr>
            <w:hyperlink r:id="rId54" w:history="1">
              <w:r w:rsidR="00A212D8" w:rsidRPr="009021BE">
                <w:rPr>
                  <w:rStyle w:val="Hyperlink"/>
                  <w:sz w:val="20"/>
                </w:rPr>
                <w:t>2017 ONCA 385</w:t>
              </w:r>
            </w:hyperlink>
          </w:p>
        </w:tc>
        <w:tc>
          <w:tcPr>
            <w:tcW w:w="243" w:type="pct"/>
          </w:tcPr>
          <w:p w:rsidR="00A212D8" w:rsidRPr="009021BE" w:rsidRDefault="00A212D8" w:rsidP="00A212D8">
            <w:pPr>
              <w:jc w:val="both"/>
              <w:rPr>
                <w:sz w:val="20"/>
              </w:rPr>
            </w:pPr>
          </w:p>
        </w:tc>
        <w:tc>
          <w:tcPr>
            <w:tcW w:w="2330" w:type="pct"/>
          </w:tcPr>
          <w:p w:rsidR="00A212D8" w:rsidRPr="009021BE" w:rsidRDefault="00A212D8" w:rsidP="00A212D8">
            <w:pPr>
              <w:jc w:val="both"/>
              <w:rPr>
                <w:sz w:val="20"/>
              </w:rPr>
            </w:pPr>
            <w:r w:rsidRPr="009021BE">
              <w:rPr>
                <w:sz w:val="20"/>
              </w:rPr>
              <w:t>Appeal allowed; motion judge’s order set aside and claim against the City dismissed</w:t>
            </w:r>
          </w:p>
          <w:p w:rsidR="00A212D8" w:rsidRPr="009021BE" w:rsidRDefault="00A212D8" w:rsidP="00A212D8">
            <w:pPr>
              <w:jc w:val="both"/>
              <w:rPr>
                <w:sz w:val="20"/>
              </w:rPr>
            </w:pPr>
          </w:p>
        </w:tc>
      </w:tr>
      <w:tr w:rsidR="00A212D8" w:rsidRPr="009021BE" w:rsidTr="00DE47D4">
        <w:tc>
          <w:tcPr>
            <w:tcW w:w="2427" w:type="pct"/>
            <w:gridSpan w:val="2"/>
          </w:tcPr>
          <w:p w:rsidR="00A212D8" w:rsidRPr="009021BE" w:rsidRDefault="00A212D8" w:rsidP="00A212D8">
            <w:pPr>
              <w:jc w:val="both"/>
              <w:rPr>
                <w:sz w:val="20"/>
              </w:rPr>
            </w:pPr>
            <w:r w:rsidRPr="009021BE">
              <w:rPr>
                <w:sz w:val="20"/>
              </w:rPr>
              <w:t>August 11, 2017</w:t>
            </w:r>
          </w:p>
          <w:p w:rsidR="00A212D8" w:rsidRPr="009021BE" w:rsidRDefault="00A212D8" w:rsidP="00A212D8">
            <w:pPr>
              <w:jc w:val="both"/>
              <w:rPr>
                <w:sz w:val="20"/>
              </w:rPr>
            </w:pPr>
            <w:r w:rsidRPr="009021BE">
              <w:rPr>
                <w:sz w:val="20"/>
              </w:rPr>
              <w:t>Supreme Court of Canada</w:t>
            </w:r>
          </w:p>
        </w:tc>
        <w:tc>
          <w:tcPr>
            <w:tcW w:w="243" w:type="pct"/>
          </w:tcPr>
          <w:p w:rsidR="00A212D8" w:rsidRPr="009021BE" w:rsidRDefault="00A212D8" w:rsidP="00A212D8">
            <w:pPr>
              <w:jc w:val="both"/>
              <w:rPr>
                <w:sz w:val="20"/>
              </w:rPr>
            </w:pPr>
          </w:p>
        </w:tc>
        <w:tc>
          <w:tcPr>
            <w:tcW w:w="2330" w:type="pct"/>
          </w:tcPr>
          <w:p w:rsidR="00A212D8" w:rsidRPr="009021BE" w:rsidRDefault="00A212D8" w:rsidP="00A212D8">
            <w:pPr>
              <w:jc w:val="both"/>
              <w:rPr>
                <w:sz w:val="20"/>
              </w:rPr>
            </w:pPr>
            <w:r w:rsidRPr="009021BE">
              <w:rPr>
                <w:sz w:val="20"/>
              </w:rPr>
              <w:t>Application for leave to appeal filed</w:t>
            </w:r>
          </w:p>
          <w:p w:rsidR="00A212D8" w:rsidRPr="009021BE" w:rsidRDefault="00A212D8" w:rsidP="00A212D8">
            <w:pPr>
              <w:jc w:val="both"/>
              <w:rPr>
                <w:sz w:val="20"/>
              </w:rPr>
            </w:pPr>
          </w:p>
        </w:tc>
      </w:tr>
    </w:tbl>
    <w:p w:rsidR="006A0A32" w:rsidRDefault="00167F64" w:rsidP="006A0A32">
      <w:pPr>
        <w:jc w:val="both"/>
        <w:rPr>
          <w:sz w:val="20"/>
        </w:rPr>
      </w:pPr>
      <w:r>
        <w:rPr>
          <w:sz w:val="20"/>
          <w:szCs w:val="20"/>
        </w:rPr>
        <w:pict>
          <v:rect id="_x0000_i1053" style="width:2in;height:1pt" o:hrpct="0" o:hralign="center" o:hrstd="t" o:hrnoshade="t" o:hr="t" fillcolor="black" stroked="f"/>
        </w:pict>
      </w:r>
    </w:p>
    <w:p w:rsidR="00BC5022" w:rsidRDefault="00BC5022">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0A32" w:rsidRPr="009021BE" w:rsidTr="00DE47D4">
        <w:tc>
          <w:tcPr>
            <w:tcW w:w="543" w:type="pct"/>
          </w:tcPr>
          <w:p w:rsidR="006A0A32" w:rsidRPr="009021BE" w:rsidRDefault="006A0A32" w:rsidP="00DE47D4">
            <w:pPr>
              <w:jc w:val="both"/>
              <w:rPr>
                <w:sz w:val="20"/>
                <w:lang w:val="fr-CA"/>
              </w:rPr>
            </w:pPr>
            <w:r w:rsidRPr="009021BE">
              <w:rPr>
                <w:rStyle w:val="SCCFileNumberChar"/>
                <w:sz w:val="20"/>
                <w:szCs w:val="20"/>
                <w:lang w:val="fr-CA"/>
              </w:rPr>
              <w:t>37692</w:t>
            </w:r>
          </w:p>
        </w:tc>
        <w:tc>
          <w:tcPr>
            <w:tcW w:w="4457" w:type="pct"/>
            <w:gridSpan w:val="3"/>
          </w:tcPr>
          <w:p w:rsidR="006A0A32" w:rsidRPr="00BF319D" w:rsidRDefault="006A0A32" w:rsidP="00DE47D4">
            <w:pPr>
              <w:pStyle w:val="SCCLsocParty"/>
              <w:jc w:val="both"/>
              <w:rPr>
                <w:b/>
                <w:sz w:val="20"/>
                <w:szCs w:val="20"/>
              </w:rPr>
            </w:pPr>
            <w:r w:rsidRPr="00BF319D">
              <w:rPr>
                <w:b/>
                <w:sz w:val="20"/>
                <w:szCs w:val="20"/>
              </w:rPr>
              <w:t>Julia A. Gagnon, James Wallbridge et Wallbridge, Wallbridge c. Ville du Grand Sudbury, Bayden Zachary Azzeh (représenté par sa tutrice à l’instance, Ingrid Nancy Dion)</w:t>
            </w:r>
          </w:p>
          <w:p w:rsidR="006A0A32" w:rsidRPr="009021BE" w:rsidRDefault="006A0A32" w:rsidP="00DE47D4">
            <w:pPr>
              <w:jc w:val="both"/>
              <w:rPr>
                <w:sz w:val="20"/>
                <w:lang w:val="fr-CA"/>
              </w:rPr>
            </w:pPr>
            <w:r w:rsidRPr="009021BE">
              <w:rPr>
                <w:sz w:val="20"/>
                <w:lang w:val="fr-CA"/>
              </w:rPr>
              <w:t>(Ont.) (Civile) (Sur autorisation)</w:t>
            </w:r>
          </w:p>
        </w:tc>
      </w:tr>
      <w:tr w:rsidR="00D15CC6" w:rsidRPr="003A01D0" w:rsidTr="00DE47D4">
        <w:tc>
          <w:tcPr>
            <w:tcW w:w="543" w:type="pct"/>
          </w:tcPr>
          <w:p w:rsidR="00D15CC6" w:rsidRPr="00D32F6F" w:rsidRDefault="00D15CC6" w:rsidP="00D15CC6">
            <w:pPr>
              <w:jc w:val="both"/>
              <w:rPr>
                <w:rStyle w:val="SCCFileNumberChar"/>
                <w:b w:val="0"/>
                <w:sz w:val="20"/>
                <w:szCs w:val="20"/>
              </w:rPr>
            </w:pPr>
            <w:r w:rsidRPr="00D32F6F">
              <w:rPr>
                <w:rStyle w:val="SCCFileNumberChar"/>
                <w:b w:val="0"/>
                <w:sz w:val="20"/>
                <w:szCs w:val="20"/>
              </w:rPr>
              <w:t xml:space="preserve">Coram: </w:t>
            </w:r>
          </w:p>
        </w:tc>
        <w:tc>
          <w:tcPr>
            <w:tcW w:w="4457" w:type="pct"/>
            <w:gridSpan w:val="3"/>
          </w:tcPr>
          <w:p w:rsidR="00D15CC6" w:rsidRPr="00D32F6F" w:rsidRDefault="00D15CC6" w:rsidP="00D15CC6">
            <w:pPr>
              <w:rPr>
                <w:rFonts w:eastAsia="Calibri" w:cs="Times New Roman"/>
                <w:sz w:val="20"/>
                <w:szCs w:val="20"/>
                <w:u w:val="single"/>
                <w:lang w:val="fr-CA"/>
              </w:rPr>
            </w:pPr>
            <w:r w:rsidRPr="00D32F6F">
              <w:rPr>
                <w:rFonts w:eastAsia="Calibri" w:cs="Times New Roman"/>
                <w:sz w:val="20"/>
                <w:szCs w:val="20"/>
                <w:u w:val="single"/>
                <w:lang w:val="fr-CA"/>
              </w:rPr>
              <w:t>Le juge en chef Wagner et les juges Abella, Moldaver, Karakatsanis, Gascon, Côté, Brown, Rowe et Martin</w:t>
            </w:r>
          </w:p>
          <w:p w:rsidR="00D15CC6" w:rsidRPr="00D32F6F" w:rsidRDefault="00D15CC6" w:rsidP="00D15CC6">
            <w:pPr>
              <w:rPr>
                <w:sz w:val="20"/>
                <w:szCs w:val="20"/>
                <w:lang w:val="fr-CA"/>
              </w:rPr>
            </w:pPr>
          </w:p>
        </w:tc>
      </w:tr>
      <w:tr w:rsidR="00D15CC6" w:rsidRPr="003A01D0" w:rsidTr="00D15CC6">
        <w:tc>
          <w:tcPr>
            <w:tcW w:w="5000" w:type="pct"/>
            <w:gridSpan w:val="4"/>
          </w:tcPr>
          <w:p w:rsidR="00D15CC6" w:rsidRPr="00D15CC6" w:rsidRDefault="00D15CC6" w:rsidP="00D15CC6">
            <w:pPr>
              <w:pStyle w:val="SCCLsocParty"/>
              <w:jc w:val="both"/>
              <w:rPr>
                <w:b/>
                <w:sz w:val="20"/>
                <w:szCs w:val="20"/>
              </w:rPr>
            </w:pPr>
            <w:r w:rsidRPr="00D15CC6">
              <w:rPr>
                <w:sz w:val="20"/>
              </w:rPr>
              <w:t>La demande d’autorisation d’appel de l’arrêt de la Cour d’appel de l’Ontario, numéro C62433, 2017 ONCA 385, daté du 12 mai 2017, est rejetée avec dépens.</w:t>
            </w:r>
          </w:p>
        </w:tc>
      </w:tr>
      <w:tr w:rsidR="00D15CC6" w:rsidRPr="003A01D0" w:rsidTr="00DE47D4">
        <w:tc>
          <w:tcPr>
            <w:tcW w:w="5000" w:type="pct"/>
            <w:gridSpan w:val="4"/>
          </w:tcPr>
          <w:p w:rsidR="00D15CC6" w:rsidRPr="009021BE" w:rsidRDefault="00D15CC6" w:rsidP="00D15CC6">
            <w:pPr>
              <w:jc w:val="both"/>
              <w:rPr>
                <w:sz w:val="20"/>
                <w:lang w:val="fr-CA"/>
              </w:rPr>
            </w:pPr>
            <w:r w:rsidRPr="009021BE">
              <w:rPr>
                <w:sz w:val="20"/>
                <w:lang w:val="fr-CA"/>
              </w:rPr>
              <w:t xml:space="preserve">Législation – Interprétation – Prescription – Droit municipal – Avis – Le tribunal a-t-il commis une erreur en rejetant l’action de Bayden Azzeh contre la municipalité pour défaut d’avoir donné l’avis prévu dans la </w:t>
            </w:r>
            <w:r w:rsidRPr="009021BE">
              <w:rPr>
                <w:i/>
                <w:sz w:val="20"/>
                <w:lang w:val="fr-CA"/>
              </w:rPr>
              <w:t>Loi sur les municipalités</w:t>
            </w:r>
            <w:r w:rsidRPr="009021BE">
              <w:rPr>
                <w:sz w:val="20"/>
                <w:lang w:val="fr-CA"/>
              </w:rPr>
              <w:t>? – D’où nait l’obligation de donner un avis à la municipalité dans le cas d’un mineur? – Quel est le critère applicable en matière « d’excuse raisonnable »? – Dans quelle situation le tribunal doit-il statuer sur la question de l’ « excuse raisonnable »?</w:t>
            </w:r>
          </w:p>
        </w:tc>
      </w:tr>
      <w:tr w:rsidR="00D15CC6" w:rsidRPr="003A01D0" w:rsidTr="00DE47D4">
        <w:tc>
          <w:tcPr>
            <w:tcW w:w="5000" w:type="pct"/>
            <w:gridSpan w:val="4"/>
          </w:tcPr>
          <w:p w:rsidR="00D15CC6" w:rsidRPr="009021BE" w:rsidRDefault="00D15CC6" w:rsidP="00D15CC6">
            <w:pPr>
              <w:jc w:val="both"/>
              <w:rPr>
                <w:sz w:val="20"/>
                <w:lang w:val="fr-CA"/>
              </w:rPr>
            </w:pPr>
          </w:p>
          <w:p w:rsidR="00D15CC6" w:rsidRPr="009021BE" w:rsidRDefault="00D15CC6" w:rsidP="00D15CC6">
            <w:pPr>
              <w:jc w:val="both"/>
              <w:rPr>
                <w:sz w:val="20"/>
                <w:lang w:val="fr-CA"/>
              </w:rPr>
            </w:pPr>
            <w:r w:rsidRPr="009021BE">
              <w:rPr>
                <w:sz w:val="20"/>
                <w:lang w:val="fr-CA"/>
              </w:rPr>
              <w:t xml:space="preserve">L’enfant Bayden a été blessé en 2007 lorsque la voiture que conduisait sa mère a été impliquée dans un accident avec un véhicule appartenant à R et S et conduit par l’un d’eux. La mère de l’enfant a retenu les services du cabinet d’avocats et des avocats demandeurs, qui ont introduit et réglé une demande en son nom. En juin 2014, le cabinet a délivré une déclaration par Bayden, représenté par sa mère, Julia Neville, contre R et S. En mai 2015, après que Bayden eut changé d’avocats, sa grand-mère, Ingrid Nancy Dion a signé un affidavit comme tutrice à l’instance et a donné un avis à la ville du Grand Sudbury (la « Ville »), intimée, d’une action éventuelle contre elle. Lorsque Mme Dion a été désignée tutrice à l’instance par ordonnance judiciaire,  Bayden a demandé par motion de modifier sa déclaration afin d’augmenter le montant des dommages-intérêts et d’ajouter plusieurs défendeurs, y compris sa mère comme conductrice et son père comme propriétaire du véhicule, le cabinet et les avocats demandeurs et la Ville, qui était responsable de l’intersection où l’accident a eu lieu. </w:t>
            </w:r>
          </w:p>
          <w:p w:rsidR="00D15CC6" w:rsidRPr="009021BE" w:rsidRDefault="00D15CC6" w:rsidP="00D15CC6">
            <w:pPr>
              <w:jc w:val="both"/>
              <w:rPr>
                <w:sz w:val="20"/>
                <w:lang w:val="fr-CA"/>
              </w:rPr>
            </w:pPr>
          </w:p>
          <w:p w:rsidR="00D15CC6" w:rsidRPr="009021BE" w:rsidRDefault="00D15CC6" w:rsidP="00D15CC6">
            <w:pPr>
              <w:jc w:val="both"/>
              <w:rPr>
                <w:sz w:val="20"/>
                <w:lang w:val="fr-CA"/>
              </w:rPr>
            </w:pPr>
            <w:r w:rsidRPr="009021BE">
              <w:rPr>
                <w:sz w:val="20"/>
                <w:lang w:val="fr-CA"/>
              </w:rPr>
              <w:t xml:space="preserve">La Ville a présenté une défense fondée sur le délai de prescription de deux ans prévu dans la  </w:t>
            </w:r>
            <w:r w:rsidRPr="009021BE">
              <w:rPr>
                <w:i/>
                <w:sz w:val="20"/>
                <w:lang w:val="fr-CA"/>
              </w:rPr>
              <w:t>Loi de 2002 sur la prescription des actions</w:t>
            </w:r>
            <w:r w:rsidRPr="009021BE">
              <w:rPr>
                <w:sz w:val="20"/>
                <w:lang w:val="fr-CA"/>
              </w:rPr>
              <w:t xml:space="preserve">, LO 2002 et l’obligation de donner un avis de dix jours prévue dans la </w:t>
            </w:r>
            <w:r w:rsidRPr="009021BE">
              <w:rPr>
                <w:i/>
                <w:sz w:val="20"/>
                <w:lang w:val="fr-CA"/>
              </w:rPr>
              <w:t>Loi de 2001 sur les municipalités</w:t>
            </w:r>
            <w:r w:rsidRPr="009021BE">
              <w:rPr>
                <w:sz w:val="20"/>
                <w:lang w:val="fr-CA"/>
              </w:rPr>
              <w:t xml:space="preserve">, LO 2001, ch. 25. La Cour supérieure de justice de l’Ontario a statué que Bayden avait rempli les exigences de la </w:t>
            </w:r>
            <w:r w:rsidRPr="009021BE">
              <w:rPr>
                <w:i/>
                <w:sz w:val="20"/>
                <w:lang w:val="fr-CA"/>
              </w:rPr>
              <w:t>Loi sur la prescription des actions</w:t>
            </w:r>
            <w:r w:rsidRPr="009021BE">
              <w:rPr>
                <w:sz w:val="20"/>
                <w:lang w:val="fr-CA"/>
              </w:rPr>
              <w:t xml:space="preserve"> et qu’en donnant à la Ville un avis dans les dix jours de sa nomination, Mme Dion avait rempli l’exigence en matière d’avis sous le régime de la </w:t>
            </w:r>
            <w:r w:rsidRPr="009021BE">
              <w:rPr>
                <w:i/>
                <w:sz w:val="20"/>
                <w:lang w:val="fr-CA"/>
              </w:rPr>
              <w:t>Loi sur les municipalités</w:t>
            </w:r>
            <w:r w:rsidRPr="009021BE">
              <w:rPr>
                <w:sz w:val="20"/>
                <w:lang w:val="fr-CA"/>
              </w:rPr>
              <w:t xml:space="preserve">. La Cour d’appel de l’Ontario a accueilli l’appel, concluant que l’exigence en matière d’avis sous le régime de la </w:t>
            </w:r>
            <w:r w:rsidRPr="009021BE">
              <w:rPr>
                <w:i/>
                <w:sz w:val="20"/>
                <w:lang w:val="fr-CA"/>
              </w:rPr>
              <w:t>Loi sur les municipalités</w:t>
            </w:r>
            <w:r w:rsidRPr="009021BE">
              <w:rPr>
                <w:sz w:val="20"/>
                <w:lang w:val="fr-CA"/>
              </w:rPr>
              <w:t xml:space="preserve"> n’avait pas été remplie. La Cour a annulé l’ordonnance de la juge de première instance et a ordonné l’annulation de l’action contre la Ville. </w:t>
            </w:r>
          </w:p>
        </w:tc>
      </w:tr>
      <w:tr w:rsidR="00D15CC6" w:rsidRPr="003A01D0" w:rsidTr="00DE47D4">
        <w:tc>
          <w:tcPr>
            <w:tcW w:w="5000" w:type="pct"/>
            <w:gridSpan w:val="4"/>
          </w:tcPr>
          <w:p w:rsidR="00D15CC6" w:rsidRPr="009021BE" w:rsidRDefault="00D15CC6" w:rsidP="00D15CC6">
            <w:pPr>
              <w:jc w:val="both"/>
              <w:rPr>
                <w:sz w:val="20"/>
                <w:lang w:val="fr-CA"/>
              </w:rPr>
            </w:pPr>
          </w:p>
        </w:tc>
      </w:tr>
      <w:tr w:rsidR="00D15CC6" w:rsidRPr="003A01D0" w:rsidTr="00DE47D4">
        <w:tc>
          <w:tcPr>
            <w:tcW w:w="2427" w:type="pct"/>
            <w:gridSpan w:val="2"/>
          </w:tcPr>
          <w:p w:rsidR="00D15CC6" w:rsidRPr="009021BE" w:rsidRDefault="00D15CC6" w:rsidP="00D15CC6">
            <w:pPr>
              <w:jc w:val="both"/>
              <w:rPr>
                <w:sz w:val="20"/>
                <w:lang w:val="fr-CA"/>
              </w:rPr>
            </w:pPr>
            <w:r w:rsidRPr="009021BE">
              <w:rPr>
                <w:sz w:val="20"/>
                <w:lang w:val="fr-CA"/>
              </w:rPr>
              <w:t>16 juin 2016</w:t>
            </w:r>
          </w:p>
          <w:p w:rsidR="00D15CC6" w:rsidRPr="009021BE" w:rsidRDefault="00D15CC6" w:rsidP="00D15CC6">
            <w:pPr>
              <w:jc w:val="both"/>
              <w:rPr>
                <w:sz w:val="20"/>
                <w:lang w:val="fr-CA"/>
              </w:rPr>
            </w:pPr>
            <w:r w:rsidRPr="009021BE">
              <w:rPr>
                <w:sz w:val="20"/>
                <w:lang w:val="fr-CA"/>
              </w:rPr>
              <w:t>Cour supérieure de justice de l’Ontario</w:t>
            </w:r>
          </w:p>
          <w:p w:rsidR="00D15CC6" w:rsidRPr="009021BE" w:rsidRDefault="00D15CC6" w:rsidP="00D15CC6">
            <w:pPr>
              <w:jc w:val="both"/>
              <w:rPr>
                <w:sz w:val="20"/>
                <w:lang w:val="fr-CA"/>
              </w:rPr>
            </w:pPr>
            <w:r w:rsidRPr="009021BE">
              <w:rPr>
                <w:sz w:val="20"/>
                <w:lang w:val="fr-CA"/>
              </w:rPr>
              <w:t>(Juge Hennessy)</w:t>
            </w:r>
          </w:p>
          <w:p w:rsidR="00D15CC6" w:rsidRPr="009021BE" w:rsidRDefault="00167F64" w:rsidP="00D15CC6">
            <w:pPr>
              <w:jc w:val="both"/>
              <w:rPr>
                <w:rFonts w:ascii="Times Roman" w:hAnsi="Times Roman"/>
                <w:color w:val="000000"/>
                <w:sz w:val="20"/>
                <w:lang w:val="fr-CA"/>
              </w:rPr>
            </w:pPr>
            <w:hyperlink r:id="rId55" w:history="1">
              <w:r w:rsidR="00D15CC6" w:rsidRPr="009021BE">
                <w:rPr>
                  <w:rStyle w:val="Hyperlink"/>
                  <w:sz w:val="20"/>
                </w:rPr>
                <w:t xml:space="preserve">2016 ONSC </w:t>
              </w:r>
              <w:r w:rsidR="00D15CC6" w:rsidRPr="009021BE">
                <w:rPr>
                  <w:rStyle w:val="Hyperlink"/>
                  <w:rFonts w:ascii="Times Roman" w:hAnsi="Times Roman"/>
                  <w:sz w:val="20"/>
                </w:rPr>
                <w:t>3937</w:t>
              </w:r>
            </w:hyperlink>
          </w:p>
          <w:p w:rsidR="00D15CC6" w:rsidRPr="009021BE" w:rsidRDefault="00D15CC6" w:rsidP="00D15CC6">
            <w:pPr>
              <w:jc w:val="both"/>
              <w:rPr>
                <w:sz w:val="20"/>
                <w:lang w:val="fr-CA"/>
              </w:rPr>
            </w:pPr>
          </w:p>
        </w:tc>
        <w:tc>
          <w:tcPr>
            <w:tcW w:w="243" w:type="pct"/>
          </w:tcPr>
          <w:p w:rsidR="00D15CC6" w:rsidRPr="009021BE" w:rsidRDefault="00D15CC6" w:rsidP="00D15CC6">
            <w:pPr>
              <w:jc w:val="both"/>
              <w:rPr>
                <w:sz w:val="20"/>
                <w:lang w:val="fr-CA"/>
              </w:rPr>
            </w:pPr>
          </w:p>
        </w:tc>
        <w:tc>
          <w:tcPr>
            <w:tcW w:w="2330" w:type="pct"/>
          </w:tcPr>
          <w:p w:rsidR="00D15CC6" w:rsidRPr="009021BE" w:rsidRDefault="00D15CC6" w:rsidP="00D15CC6">
            <w:pPr>
              <w:jc w:val="both"/>
              <w:rPr>
                <w:sz w:val="20"/>
                <w:lang w:val="fr-CA"/>
              </w:rPr>
            </w:pPr>
            <w:r w:rsidRPr="009021BE">
              <w:rPr>
                <w:sz w:val="20"/>
                <w:lang w:val="fr-CA"/>
              </w:rPr>
              <w:t xml:space="preserve">Jugement déclarant que ni </w:t>
            </w:r>
            <w:r w:rsidRPr="009021BE">
              <w:rPr>
                <w:i/>
                <w:sz w:val="20"/>
                <w:lang w:val="fr-CA"/>
              </w:rPr>
              <w:t>Loi sur la prescription des actions</w:t>
            </w:r>
            <w:r w:rsidRPr="009021BE">
              <w:rPr>
                <w:sz w:val="20"/>
                <w:lang w:val="fr-CA"/>
              </w:rPr>
              <w:t xml:space="preserve"> ni la </w:t>
            </w:r>
            <w:r w:rsidRPr="009021BE">
              <w:rPr>
                <w:i/>
                <w:sz w:val="20"/>
                <w:lang w:val="fr-CA"/>
              </w:rPr>
              <w:t>Loi sur les municipalités</w:t>
            </w:r>
            <w:r w:rsidRPr="009021BE">
              <w:rPr>
                <w:sz w:val="20"/>
                <w:lang w:val="fr-CA"/>
              </w:rPr>
              <w:t xml:space="preserve"> n’empêchent le demandeur d’intenter son action et accueillant la motion en vue d’ajouter la Ville et d’autres comme défendeurs </w:t>
            </w:r>
          </w:p>
          <w:p w:rsidR="00D15CC6" w:rsidRPr="009021BE" w:rsidRDefault="00D15CC6" w:rsidP="00D15CC6">
            <w:pPr>
              <w:jc w:val="both"/>
              <w:rPr>
                <w:sz w:val="20"/>
                <w:lang w:val="fr-CA"/>
              </w:rPr>
            </w:pPr>
          </w:p>
        </w:tc>
      </w:tr>
      <w:tr w:rsidR="00D15CC6" w:rsidRPr="00B4434E" w:rsidTr="00DE47D4">
        <w:tc>
          <w:tcPr>
            <w:tcW w:w="2427" w:type="pct"/>
            <w:gridSpan w:val="2"/>
          </w:tcPr>
          <w:p w:rsidR="00D15CC6" w:rsidRPr="009021BE" w:rsidRDefault="00D15CC6" w:rsidP="00D15CC6">
            <w:pPr>
              <w:jc w:val="both"/>
              <w:rPr>
                <w:sz w:val="20"/>
                <w:lang w:val="fr-CA"/>
              </w:rPr>
            </w:pPr>
            <w:r w:rsidRPr="009021BE">
              <w:rPr>
                <w:sz w:val="20"/>
                <w:lang w:val="fr-CA"/>
              </w:rPr>
              <w:t>12 mai 2017</w:t>
            </w:r>
          </w:p>
          <w:p w:rsidR="00D15CC6" w:rsidRPr="009021BE" w:rsidRDefault="00D15CC6" w:rsidP="00D15CC6">
            <w:pPr>
              <w:jc w:val="both"/>
              <w:rPr>
                <w:sz w:val="20"/>
                <w:lang w:val="fr-CA"/>
              </w:rPr>
            </w:pPr>
            <w:r w:rsidRPr="009021BE">
              <w:rPr>
                <w:sz w:val="20"/>
                <w:lang w:val="fr-CA"/>
              </w:rPr>
              <w:t>Cour d’appel de l’Ontario</w:t>
            </w:r>
          </w:p>
          <w:p w:rsidR="00D15CC6" w:rsidRPr="009021BE" w:rsidRDefault="00D15CC6" w:rsidP="00D15CC6">
            <w:pPr>
              <w:jc w:val="both"/>
              <w:rPr>
                <w:sz w:val="20"/>
                <w:lang w:val="fr-CA"/>
              </w:rPr>
            </w:pPr>
            <w:r w:rsidRPr="009021BE">
              <w:rPr>
                <w:sz w:val="20"/>
                <w:lang w:val="fr-CA"/>
              </w:rPr>
              <w:t>(Juges Weiler, Benotto et Roberts, dissidente en partie)</w:t>
            </w:r>
          </w:p>
          <w:p w:rsidR="00D15CC6" w:rsidRPr="009021BE" w:rsidRDefault="00167F64" w:rsidP="00D15CC6">
            <w:pPr>
              <w:jc w:val="both"/>
              <w:rPr>
                <w:sz w:val="20"/>
                <w:lang w:val="fr-CA"/>
              </w:rPr>
            </w:pPr>
            <w:hyperlink r:id="rId56" w:history="1">
              <w:r w:rsidR="00D15CC6" w:rsidRPr="009021BE">
                <w:rPr>
                  <w:rStyle w:val="Hyperlink"/>
                  <w:sz w:val="20"/>
                </w:rPr>
                <w:t>2017 ONCA 385</w:t>
              </w:r>
            </w:hyperlink>
          </w:p>
        </w:tc>
        <w:tc>
          <w:tcPr>
            <w:tcW w:w="243" w:type="pct"/>
          </w:tcPr>
          <w:p w:rsidR="00D15CC6" w:rsidRPr="009021BE" w:rsidRDefault="00D15CC6" w:rsidP="00D15CC6">
            <w:pPr>
              <w:jc w:val="both"/>
              <w:rPr>
                <w:sz w:val="20"/>
                <w:lang w:val="fr-CA"/>
              </w:rPr>
            </w:pPr>
          </w:p>
        </w:tc>
        <w:tc>
          <w:tcPr>
            <w:tcW w:w="2330" w:type="pct"/>
          </w:tcPr>
          <w:p w:rsidR="00D15CC6" w:rsidRPr="009021BE" w:rsidRDefault="00D15CC6" w:rsidP="00D15CC6">
            <w:pPr>
              <w:jc w:val="both"/>
              <w:rPr>
                <w:sz w:val="20"/>
                <w:lang w:val="fr-CA"/>
              </w:rPr>
            </w:pPr>
            <w:r w:rsidRPr="009021BE">
              <w:rPr>
                <w:sz w:val="20"/>
                <w:lang w:val="fr-CA"/>
              </w:rPr>
              <w:t>Arrêt accueillant l’appel, annulant l’ordonnance de la juge de première instance et rejetant l’action contre la Ville</w:t>
            </w:r>
          </w:p>
          <w:p w:rsidR="00D15CC6" w:rsidRPr="009021BE" w:rsidRDefault="00D15CC6" w:rsidP="00D15CC6">
            <w:pPr>
              <w:jc w:val="both"/>
              <w:rPr>
                <w:sz w:val="20"/>
                <w:lang w:val="fr-CA"/>
              </w:rPr>
            </w:pPr>
          </w:p>
        </w:tc>
      </w:tr>
      <w:tr w:rsidR="00D15CC6" w:rsidRPr="00B4434E" w:rsidTr="00DE47D4">
        <w:tc>
          <w:tcPr>
            <w:tcW w:w="2427" w:type="pct"/>
            <w:gridSpan w:val="2"/>
          </w:tcPr>
          <w:p w:rsidR="00D15CC6" w:rsidRPr="009021BE" w:rsidRDefault="00D15CC6" w:rsidP="00D15CC6">
            <w:pPr>
              <w:jc w:val="both"/>
              <w:rPr>
                <w:sz w:val="20"/>
                <w:lang w:val="fr-CA"/>
              </w:rPr>
            </w:pPr>
            <w:r w:rsidRPr="009021BE">
              <w:rPr>
                <w:sz w:val="20"/>
                <w:lang w:val="fr-CA"/>
              </w:rPr>
              <w:t>11 août 2017</w:t>
            </w:r>
          </w:p>
          <w:p w:rsidR="00D15CC6" w:rsidRPr="009021BE" w:rsidRDefault="00D15CC6" w:rsidP="00D15CC6">
            <w:pPr>
              <w:jc w:val="both"/>
              <w:rPr>
                <w:sz w:val="20"/>
                <w:lang w:val="fr-CA"/>
              </w:rPr>
            </w:pPr>
            <w:r w:rsidRPr="009021BE">
              <w:rPr>
                <w:sz w:val="20"/>
                <w:lang w:val="fr-CA"/>
              </w:rPr>
              <w:t>Cour suprême du Canada</w:t>
            </w:r>
          </w:p>
        </w:tc>
        <w:tc>
          <w:tcPr>
            <w:tcW w:w="243" w:type="pct"/>
          </w:tcPr>
          <w:p w:rsidR="00D15CC6" w:rsidRPr="009021BE" w:rsidRDefault="00D15CC6" w:rsidP="00D15CC6">
            <w:pPr>
              <w:jc w:val="both"/>
              <w:rPr>
                <w:sz w:val="20"/>
                <w:lang w:val="fr-CA"/>
              </w:rPr>
            </w:pPr>
          </w:p>
        </w:tc>
        <w:tc>
          <w:tcPr>
            <w:tcW w:w="2330" w:type="pct"/>
          </w:tcPr>
          <w:p w:rsidR="00D15CC6" w:rsidRPr="009021BE" w:rsidRDefault="00D15CC6" w:rsidP="00D15CC6">
            <w:pPr>
              <w:jc w:val="both"/>
              <w:rPr>
                <w:sz w:val="20"/>
                <w:lang w:val="fr-CA"/>
              </w:rPr>
            </w:pPr>
            <w:r w:rsidRPr="009021BE">
              <w:rPr>
                <w:sz w:val="20"/>
                <w:lang w:val="fr-CA"/>
              </w:rPr>
              <w:t>Dépôt de la demande d’autorisation d’appel</w:t>
            </w:r>
          </w:p>
          <w:p w:rsidR="00D15CC6" w:rsidRPr="009021BE" w:rsidRDefault="00D15CC6" w:rsidP="00D15CC6">
            <w:pPr>
              <w:jc w:val="both"/>
              <w:rPr>
                <w:sz w:val="20"/>
                <w:lang w:val="fr-CA"/>
              </w:rPr>
            </w:pPr>
          </w:p>
        </w:tc>
      </w:tr>
    </w:tbl>
    <w:p w:rsidR="00BC5022" w:rsidRDefault="00167F64" w:rsidP="006A0A32">
      <w:pPr>
        <w:jc w:val="both"/>
        <w:rPr>
          <w:sz w:val="20"/>
          <w:szCs w:val="20"/>
        </w:rPr>
      </w:pPr>
      <w:r>
        <w:rPr>
          <w:sz w:val="20"/>
          <w:szCs w:val="20"/>
        </w:rPr>
        <w:pict>
          <v:rect id="_x0000_i1054" style="width:2in;height:1pt" o:hrpct="0" o:hralign="center" o:hrstd="t" o:hrnoshade="t" o:hr="t" fillcolor="black" stroked="f"/>
        </w:pict>
      </w:r>
    </w:p>
    <w:p w:rsidR="00BC5022" w:rsidRDefault="00BC502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0A32" w:rsidRPr="009021BE" w:rsidTr="00DE47D4">
        <w:tc>
          <w:tcPr>
            <w:tcW w:w="543" w:type="pct"/>
          </w:tcPr>
          <w:p w:rsidR="006A0A32" w:rsidRPr="009021BE" w:rsidRDefault="006A0A32" w:rsidP="00DE47D4">
            <w:pPr>
              <w:jc w:val="both"/>
              <w:rPr>
                <w:sz w:val="20"/>
              </w:rPr>
            </w:pPr>
            <w:r w:rsidRPr="009021BE">
              <w:rPr>
                <w:rStyle w:val="SCCFileNumberChar"/>
                <w:sz w:val="20"/>
                <w:szCs w:val="20"/>
              </w:rPr>
              <w:t>37681</w:t>
            </w:r>
          </w:p>
        </w:tc>
        <w:tc>
          <w:tcPr>
            <w:tcW w:w="4457" w:type="pct"/>
          </w:tcPr>
          <w:p w:rsidR="006A0A32" w:rsidRPr="00BF319D" w:rsidRDefault="006A0A32" w:rsidP="00DE47D4">
            <w:pPr>
              <w:pStyle w:val="SCCLsocParty"/>
              <w:jc w:val="both"/>
              <w:rPr>
                <w:b/>
                <w:sz w:val="20"/>
                <w:szCs w:val="20"/>
                <w:lang w:val="en-US"/>
              </w:rPr>
            </w:pPr>
            <w:r w:rsidRPr="00BF319D">
              <w:rPr>
                <w:b/>
                <w:sz w:val="20"/>
                <w:szCs w:val="20"/>
                <w:lang w:val="en-US"/>
              </w:rPr>
              <w:t>John (Jackie) Vautour, Roy Vautour v. Her Majesty the Queen</w:t>
            </w:r>
          </w:p>
          <w:p w:rsidR="006A0A32" w:rsidRPr="009021BE" w:rsidRDefault="006A0A32" w:rsidP="00DE47D4">
            <w:pPr>
              <w:jc w:val="both"/>
              <w:rPr>
                <w:sz w:val="20"/>
              </w:rPr>
            </w:pPr>
            <w:r w:rsidRPr="009021BE">
              <w:rPr>
                <w:sz w:val="20"/>
              </w:rPr>
              <w:t>(N.B.) (Civil) (By Leave)</w:t>
            </w:r>
          </w:p>
        </w:tc>
      </w:tr>
      <w:tr w:rsidR="00976839" w:rsidRPr="009021BE" w:rsidTr="00DE47D4">
        <w:tc>
          <w:tcPr>
            <w:tcW w:w="543" w:type="pct"/>
          </w:tcPr>
          <w:p w:rsidR="00976839" w:rsidRPr="005F1C17" w:rsidRDefault="00976839" w:rsidP="00976839">
            <w:pPr>
              <w:jc w:val="both"/>
              <w:rPr>
                <w:rStyle w:val="SCCFileNumberChar"/>
                <w:sz w:val="20"/>
                <w:szCs w:val="20"/>
              </w:rPr>
            </w:pPr>
            <w:r w:rsidRPr="00AE0F22">
              <w:rPr>
                <w:rStyle w:val="SCCFileNumberChar"/>
                <w:b w:val="0"/>
                <w:sz w:val="20"/>
                <w:szCs w:val="20"/>
              </w:rPr>
              <w:t xml:space="preserve">Coram: </w:t>
            </w:r>
          </w:p>
        </w:tc>
        <w:tc>
          <w:tcPr>
            <w:tcW w:w="4457" w:type="pct"/>
          </w:tcPr>
          <w:p w:rsidR="00976839" w:rsidRPr="005F1C17" w:rsidRDefault="00976839" w:rsidP="00976839">
            <w:pPr>
              <w:rPr>
                <w:rFonts w:eastAsia="Calibri" w:cs="Times New Roman"/>
                <w:sz w:val="20"/>
                <w:szCs w:val="20"/>
                <w:u w:val="single"/>
                <w:lang w:val="en-US"/>
              </w:rPr>
            </w:pPr>
            <w:r w:rsidRPr="005F1C17">
              <w:rPr>
                <w:rFonts w:eastAsia="Calibri" w:cs="Times New Roman"/>
                <w:sz w:val="20"/>
                <w:szCs w:val="20"/>
                <w:u w:val="single"/>
                <w:lang w:val="en-US"/>
              </w:rPr>
              <w:t>Wagner C.J. and Abella, Moldaver, Karakatsanis, Gascon, Côté, Brown, Rowe and Martin JJ.</w:t>
            </w:r>
          </w:p>
          <w:p w:rsidR="00976839" w:rsidRPr="005F1C17" w:rsidRDefault="00976839" w:rsidP="00976839">
            <w:pPr>
              <w:rPr>
                <w:rFonts w:eastAsia="Calibri" w:cs="Times New Roman"/>
                <w:sz w:val="20"/>
                <w:szCs w:val="20"/>
                <w:u w:val="single"/>
                <w:lang w:val="en-US"/>
              </w:rPr>
            </w:pPr>
          </w:p>
        </w:tc>
      </w:tr>
      <w:tr w:rsidR="00976839" w:rsidRPr="009021BE" w:rsidTr="00976839">
        <w:tc>
          <w:tcPr>
            <w:tcW w:w="5000" w:type="pct"/>
            <w:gridSpan w:val="2"/>
          </w:tcPr>
          <w:p w:rsidR="00976839" w:rsidRPr="00976839" w:rsidRDefault="00976839" w:rsidP="00976839">
            <w:pPr>
              <w:pStyle w:val="SCCLsocParty"/>
              <w:jc w:val="both"/>
              <w:rPr>
                <w:b/>
                <w:sz w:val="20"/>
                <w:szCs w:val="20"/>
                <w:lang w:val="en-US"/>
              </w:rPr>
            </w:pPr>
            <w:r w:rsidRPr="00976839">
              <w:rPr>
                <w:sz w:val="20"/>
                <w:lang w:val="en-US"/>
              </w:rPr>
              <w:t>The motion for an extension of time to serve and file the application for leave to appeal is granted.  The motion to file a lengthy memorandum of argument is granted.  The application for leave to appeal from the judgment of the Court of Appeal of New Brunswick, Number 79-15-CA, 2017 NBCA 21, dated May 4, 2017,  is dismissed without costs.</w:t>
            </w:r>
          </w:p>
        </w:tc>
      </w:tr>
    </w:tbl>
    <w:p w:rsidR="001A61E3" w:rsidRDefault="001A61E3">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76839" w:rsidRPr="009021BE" w:rsidTr="00DE47D4">
        <w:tc>
          <w:tcPr>
            <w:tcW w:w="5000" w:type="pct"/>
            <w:gridSpan w:val="3"/>
          </w:tcPr>
          <w:p w:rsidR="00976839" w:rsidRPr="009021BE" w:rsidRDefault="00976839" w:rsidP="00976839">
            <w:pPr>
              <w:jc w:val="both"/>
              <w:rPr>
                <w:sz w:val="20"/>
              </w:rPr>
            </w:pPr>
            <w:r w:rsidRPr="009021BE">
              <w:rPr>
                <w:sz w:val="20"/>
              </w:rPr>
              <w:t xml:space="preserve">Constitutional law – Aboriginal peoples – Métis status – Fishing rights – Whether legal test in </w:t>
            </w:r>
            <w:r w:rsidRPr="009021BE">
              <w:rPr>
                <w:i/>
                <w:iCs/>
                <w:sz w:val="20"/>
                <w:lang w:val="en"/>
              </w:rPr>
              <w:t>R. v. Powley</w:t>
            </w:r>
            <w:r w:rsidRPr="009021BE">
              <w:rPr>
                <w:sz w:val="20"/>
                <w:lang w:val="en"/>
              </w:rPr>
              <w:t>, 2003 SCC 43, [</w:t>
            </w:r>
            <w:r w:rsidRPr="009021BE">
              <w:rPr>
                <w:rStyle w:val="reflex3-alt"/>
                <w:sz w:val="20"/>
                <w:lang w:val="en"/>
              </w:rPr>
              <w:t xml:space="preserve">2003] 2 S.C.R. 207, should be </w:t>
            </w:r>
            <w:r w:rsidRPr="009021BE">
              <w:rPr>
                <w:sz w:val="20"/>
              </w:rPr>
              <w:t xml:space="preserve">revisited – Whether application of  </w:t>
            </w:r>
            <w:r w:rsidRPr="009021BE">
              <w:rPr>
                <w:i/>
                <w:sz w:val="20"/>
              </w:rPr>
              <w:t>Powley</w:t>
            </w:r>
            <w:r w:rsidRPr="009021BE">
              <w:rPr>
                <w:sz w:val="20"/>
              </w:rPr>
              <w:t xml:space="preserve"> test to-date has been overly restrictive, resulting in overabundance of rejections of Métis claims to s. 35(1) indigenous rights throughout Canada – </w:t>
            </w:r>
            <w:r w:rsidRPr="009021BE">
              <w:rPr>
                <w:i/>
                <w:sz w:val="20"/>
              </w:rPr>
              <w:t>Constitution Act, 1982</w:t>
            </w:r>
            <w:r w:rsidRPr="009021BE">
              <w:rPr>
                <w:sz w:val="20"/>
              </w:rPr>
              <w:t>, s. 35.</w:t>
            </w:r>
          </w:p>
        </w:tc>
      </w:tr>
      <w:tr w:rsidR="00976839" w:rsidRPr="009021BE" w:rsidTr="00DE47D4">
        <w:tc>
          <w:tcPr>
            <w:tcW w:w="5000" w:type="pct"/>
            <w:gridSpan w:val="3"/>
          </w:tcPr>
          <w:p w:rsidR="00976839" w:rsidRPr="009021BE" w:rsidRDefault="00976839" w:rsidP="00976839">
            <w:pPr>
              <w:jc w:val="both"/>
              <w:rPr>
                <w:sz w:val="20"/>
              </w:rPr>
            </w:pPr>
          </w:p>
          <w:p w:rsidR="00976839" w:rsidRPr="009021BE" w:rsidRDefault="00976839" w:rsidP="00976839">
            <w:pPr>
              <w:jc w:val="both"/>
              <w:rPr>
                <w:sz w:val="20"/>
              </w:rPr>
            </w:pPr>
            <w:r w:rsidRPr="009021BE">
              <w:rPr>
                <w:sz w:val="20"/>
              </w:rPr>
              <w:t xml:space="preserve">John (Jackie) Vautour and his son Roy Vautour were charged with offences relating to unauthorized fishing for soft-shelled clams within Kouchibouguac National Park in Kent County, New Brunswick, contrary to the provisions of the </w:t>
            </w:r>
            <w:r w:rsidRPr="009021BE">
              <w:rPr>
                <w:i/>
                <w:sz w:val="20"/>
              </w:rPr>
              <w:t>National Parks of Canada Fishing Regulations</w:t>
            </w:r>
            <w:r w:rsidRPr="009021BE">
              <w:rPr>
                <w:sz w:val="20"/>
              </w:rPr>
              <w:t xml:space="preserve">, C.R.C., c. 1120, and the </w:t>
            </w:r>
            <w:r w:rsidRPr="009021BE">
              <w:rPr>
                <w:i/>
                <w:sz w:val="20"/>
              </w:rPr>
              <w:t>Canada National Parks Act</w:t>
            </w:r>
            <w:r w:rsidRPr="009021BE">
              <w:rPr>
                <w:sz w:val="20"/>
              </w:rPr>
              <w:t xml:space="preserve">, S.C. 2000, c. 32. At their joint trial on all charges, the Vautours admitted the facts alleged to constitute the offences but claimed a constitutionally protected right under s. 35 of the </w:t>
            </w:r>
            <w:r w:rsidRPr="009021BE">
              <w:rPr>
                <w:i/>
                <w:sz w:val="20"/>
              </w:rPr>
              <w:t>Constitution Act, 1982</w:t>
            </w:r>
            <w:r w:rsidRPr="009021BE">
              <w:rPr>
                <w:sz w:val="20"/>
              </w:rPr>
              <w:t>, as Métis, to fish for food in the area of Kouchibouguac.</w:t>
            </w:r>
          </w:p>
          <w:p w:rsidR="00976839" w:rsidRPr="009021BE" w:rsidRDefault="00976839" w:rsidP="00976839">
            <w:pPr>
              <w:jc w:val="both"/>
              <w:rPr>
                <w:sz w:val="20"/>
              </w:rPr>
            </w:pPr>
          </w:p>
          <w:p w:rsidR="00976839" w:rsidRPr="009021BE" w:rsidRDefault="00976839" w:rsidP="00976839">
            <w:pPr>
              <w:jc w:val="both"/>
              <w:rPr>
                <w:sz w:val="20"/>
              </w:rPr>
            </w:pPr>
            <w:r w:rsidRPr="009021BE">
              <w:rPr>
                <w:sz w:val="20"/>
              </w:rPr>
              <w:t xml:space="preserve">John and Roy Vautour were convicted of the offences by the Provincial Court of New Brunswick. The court held their s. 35 claim was unsuccessful because they failed to </w:t>
            </w:r>
            <w:r w:rsidRPr="009021BE">
              <w:rPr>
                <w:sz w:val="20"/>
                <w:lang w:val="en"/>
              </w:rPr>
              <w:t xml:space="preserve">establish the presence of a historic Métis community in the area, as required under the test set out in </w:t>
            </w:r>
            <w:r w:rsidRPr="009021BE">
              <w:rPr>
                <w:i/>
                <w:iCs/>
                <w:sz w:val="20"/>
                <w:lang w:val="en"/>
              </w:rPr>
              <w:t>R. v. Powley</w:t>
            </w:r>
            <w:r w:rsidRPr="009021BE">
              <w:rPr>
                <w:sz w:val="20"/>
                <w:lang w:val="en"/>
              </w:rPr>
              <w:t>, 2003 SCC 43, [</w:t>
            </w:r>
            <w:r w:rsidRPr="009021BE">
              <w:rPr>
                <w:rStyle w:val="reflex3-alt"/>
                <w:sz w:val="20"/>
                <w:lang w:val="en"/>
              </w:rPr>
              <w:t>2003] 2 S.C.R. 207</w:t>
            </w:r>
            <w:r w:rsidRPr="009021BE">
              <w:rPr>
                <w:sz w:val="20"/>
              </w:rPr>
              <w:t>. The New Brunswick Court of Queen’s Bench dismissed the appeal and confirmed the convictions. The New Brunswick Court of Appeal denied the Vautours’ application for leave to appeal.</w:t>
            </w:r>
          </w:p>
        </w:tc>
      </w:tr>
      <w:tr w:rsidR="00976839" w:rsidRPr="009021BE" w:rsidTr="00DE47D4">
        <w:tc>
          <w:tcPr>
            <w:tcW w:w="5000" w:type="pct"/>
            <w:gridSpan w:val="3"/>
          </w:tcPr>
          <w:p w:rsidR="00976839" w:rsidRPr="009021BE" w:rsidRDefault="00976839" w:rsidP="00976839">
            <w:pPr>
              <w:jc w:val="both"/>
              <w:rPr>
                <w:sz w:val="20"/>
              </w:rPr>
            </w:pPr>
          </w:p>
        </w:tc>
      </w:tr>
      <w:tr w:rsidR="00976839" w:rsidRPr="009021BE" w:rsidTr="00DE47D4">
        <w:tc>
          <w:tcPr>
            <w:tcW w:w="2427" w:type="pct"/>
          </w:tcPr>
          <w:p w:rsidR="00976839" w:rsidRPr="009021BE" w:rsidRDefault="00976839" w:rsidP="00976839">
            <w:pPr>
              <w:jc w:val="both"/>
              <w:rPr>
                <w:sz w:val="20"/>
              </w:rPr>
            </w:pPr>
            <w:r w:rsidRPr="009021BE">
              <w:rPr>
                <w:sz w:val="20"/>
              </w:rPr>
              <w:t>December 17, 2010</w:t>
            </w:r>
          </w:p>
          <w:p w:rsidR="00976839" w:rsidRPr="009021BE" w:rsidRDefault="00976839" w:rsidP="00976839">
            <w:pPr>
              <w:jc w:val="both"/>
              <w:rPr>
                <w:sz w:val="20"/>
              </w:rPr>
            </w:pPr>
            <w:r w:rsidRPr="009021BE">
              <w:rPr>
                <w:sz w:val="20"/>
              </w:rPr>
              <w:t>Provincial Court of New Brunswick</w:t>
            </w:r>
          </w:p>
          <w:p w:rsidR="00976839" w:rsidRPr="009021BE" w:rsidRDefault="00976839" w:rsidP="00976839">
            <w:pPr>
              <w:jc w:val="both"/>
              <w:rPr>
                <w:sz w:val="20"/>
              </w:rPr>
            </w:pPr>
            <w:r w:rsidRPr="009021BE">
              <w:rPr>
                <w:sz w:val="20"/>
              </w:rPr>
              <w:t>(Arseneault A.C.J.P.C.N.B.)</w:t>
            </w:r>
          </w:p>
          <w:p w:rsidR="00976839" w:rsidRPr="009021BE" w:rsidRDefault="00167F64" w:rsidP="00976839">
            <w:pPr>
              <w:jc w:val="both"/>
              <w:rPr>
                <w:sz w:val="20"/>
              </w:rPr>
            </w:pPr>
            <w:hyperlink r:id="rId57" w:history="1">
              <w:r w:rsidR="00976839" w:rsidRPr="009021BE">
                <w:rPr>
                  <w:rStyle w:val="Hyperlink"/>
                  <w:sz w:val="20"/>
                </w:rPr>
                <w:t>2010 NBCP 39</w:t>
              </w:r>
            </w:hyperlink>
          </w:p>
          <w:p w:rsidR="00976839" w:rsidRPr="009021BE" w:rsidRDefault="00976839" w:rsidP="00976839">
            <w:pPr>
              <w:jc w:val="both"/>
              <w:rPr>
                <w:sz w:val="20"/>
              </w:rPr>
            </w:pPr>
          </w:p>
        </w:tc>
        <w:tc>
          <w:tcPr>
            <w:tcW w:w="243" w:type="pct"/>
          </w:tcPr>
          <w:p w:rsidR="00976839" w:rsidRPr="009021BE" w:rsidRDefault="00976839" w:rsidP="00976839">
            <w:pPr>
              <w:jc w:val="both"/>
              <w:rPr>
                <w:sz w:val="20"/>
              </w:rPr>
            </w:pPr>
          </w:p>
        </w:tc>
        <w:tc>
          <w:tcPr>
            <w:tcW w:w="2330" w:type="pct"/>
          </w:tcPr>
          <w:p w:rsidR="00976839" w:rsidRPr="009021BE" w:rsidRDefault="00976839" w:rsidP="00976839">
            <w:pPr>
              <w:jc w:val="both"/>
              <w:rPr>
                <w:sz w:val="20"/>
              </w:rPr>
            </w:pPr>
            <w:r w:rsidRPr="009021BE">
              <w:rPr>
                <w:sz w:val="20"/>
              </w:rPr>
              <w:t xml:space="preserve">Applicants convicted of unauthorized fishing offences under </w:t>
            </w:r>
            <w:r w:rsidRPr="009021BE">
              <w:rPr>
                <w:i/>
                <w:sz w:val="20"/>
              </w:rPr>
              <w:t>National Parks of Canada Fishing Regulations</w:t>
            </w:r>
            <w:r w:rsidRPr="009021BE">
              <w:rPr>
                <w:sz w:val="20"/>
              </w:rPr>
              <w:t xml:space="preserve">, C.R.C., c. 1120, and </w:t>
            </w:r>
            <w:r w:rsidRPr="009021BE">
              <w:rPr>
                <w:i/>
                <w:sz w:val="20"/>
              </w:rPr>
              <w:t>Canada National Parks Act</w:t>
            </w:r>
            <w:r w:rsidRPr="009021BE">
              <w:rPr>
                <w:sz w:val="20"/>
              </w:rPr>
              <w:t xml:space="preserve">, S.C. 2000, c. 32. </w:t>
            </w:r>
          </w:p>
          <w:p w:rsidR="00976839" w:rsidRPr="009021BE" w:rsidRDefault="00976839" w:rsidP="00976839">
            <w:pPr>
              <w:jc w:val="both"/>
              <w:rPr>
                <w:sz w:val="20"/>
              </w:rPr>
            </w:pPr>
          </w:p>
        </w:tc>
      </w:tr>
      <w:tr w:rsidR="00976839" w:rsidRPr="009021BE" w:rsidTr="00DE47D4">
        <w:tc>
          <w:tcPr>
            <w:tcW w:w="2427" w:type="pct"/>
          </w:tcPr>
          <w:p w:rsidR="00976839" w:rsidRPr="009021BE" w:rsidRDefault="00976839" w:rsidP="00976839">
            <w:pPr>
              <w:jc w:val="both"/>
              <w:rPr>
                <w:sz w:val="20"/>
              </w:rPr>
            </w:pPr>
            <w:r w:rsidRPr="009021BE">
              <w:rPr>
                <w:sz w:val="20"/>
              </w:rPr>
              <w:t>April 23, 2015</w:t>
            </w:r>
          </w:p>
          <w:p w:rsidR="00976839" w:rsidRPr="009021BE" w:rsidRDefault="00976839" w:rsidP="00976839">
            <w:pPr>
              <w:jc w:val="both"/>
              <w:rPr>
                <w:sz w:val="20"/>
              </w:rPr>
            </w:pPr>
            <w:r w:rsidRPr="009021BE">
              <w:rPr>
                <w:sz w:val="20"/>
              </w:rPr>
              <w:t>Court of Queen’s Bench of New Brunswick</w:t>
            </w:r>
          </w:p>
          <w:p w:rsidR="00976839" w:rsidRPr="009021BE" w:rsidRDefault="00976839" w:rsidP="00976839">
            <w:pPr>
              <w:jc w:val="both"/>
              <w:rPr>
                <w:sz w:val="20"/>
              </w:rPr>
            </w:pPr>
            <w:r w:rsidRPr="009021BE">
              <w:rPr>
                <w:sz w:val="20"/>
              </w:rPr>
              <w:t>(DeWare J.)</w:t>
            </w:r>
          </w:p>
          <w:p w:rsidR="00976839" w:rsidRPr="009021BE" w:rsidRDefault="00167F64" w:rsidP="00976839">
            <w:pPr>
              <w:jc w:val="both"/>
              <w:rPr>
                <w:sz w:val="20"/>
              </w:rPr>
            </w:pPr>
            <w:hyperlink r:id="rId58" w:history="1">
              <w:r w:rsidR="00976839" w:rsidRPr="009021BE">
                <w:rPr>
                  <w:rStyle w:val="Hyperlink"/>
                  <w:sz w:val="20"/>
                </w:rPr>
                <w:t>2015 NBQB 94</w:t>
              </w:r>
            </w:hyperlink>
            <w:r w:rsidR="00976839" w:rsidRPr="009021BE">
              <w:rPr>
                <w:sz w:val="20"/>
              </w:rPr>
              <w:t xml:space="preserve"> </w:t>
            </w:r>
          </w:p>
          <w:p w:rsidR="00976839" w:rsidRPr="009021BE" w:rsidRDefault="00976839" w:rsidP="00976839">
            <w:pPr>
              <w:jc w:val="both"/>
              <w:rPr>
                <w:sz w:val="20"/>
              </w:rPr>
            </w:pPr>
          </w:p>
        </w:tc>
        <w:tc>
          <w:tcPr>
            <w:tcW w:w="243" w:type="pct"/>
          </w:tcPr>
          <w:p w:rsidR="00976839" w:rsidRPr="009021BE" w:rsidRDefault="00976839" w:rsidP="00976839">
            <w:pPr>
              <w:jc w:val="both"/>
              <w:rPr>
                <w:sz w:val="20"/>
              </w:rPr>
            </w:pPr>
          </w:p>
        </w:tc>
        <w:tc>
          <w:tcPr>
            <w:tcW w:w="2330" w:type="pct"/>
          </w:tcPr>
          <w:p w:rsidR="00976839" w:rsidRPr="009021BE" w:rsidRDefault="00976839" w:rsidP="00976839">
            <w:pPr>
              <w:jc w:val="both"/>
              <w:rPr>
                <w:sz w:val="20"/>
              </w:rPr>
            </w:pPr>
            <w:r w:rsidRPr="009021BE">
              <w:rPr>
                <w:sz w:val="20"/>
              </w:rPr>
              <w:t>Applicants’ appeal from convictions dismissed by summary conviction appeal court.</w:t>
            </w:r>
          </w:p>
          <w:p w:rsidR="00976839" w:rsidRPr="009021BE" w:rsidRDefault="00976839" w:rsidP="00976839">
            <w:pPr>
              <w:jc w:val="both"/>
              <w:rPr>
                <w:sz w:val="20"/>
              </w:rPr>
            </w:pPr>
          </w:p>
        </w:tc>
      </w:tr>
      <w:tr w:rsidR="00976839" w:rsidRPr="009021BE" w:rsidTr="00DE47D4">
        <w:tc>
          <w:tcPr>
            <w:tcW w:w="2427" w:type="pct"/>
          </w:tcPr>
          <w:p w:rsidR="00976839" w:rsidRPr="009021BE" w:rsidRDefault="00976839" w:rsidP="00976839">
            <w:pPr>
              <w:jc w:val="both"/>
              <w:rPr>
                <w:sz w:val="20"/>
              </w:rPr>
            </w:pPr>
            <w:r w:rsidRPr="009021BE">
              <w:rPr>
                <w:sz w:val="20"/>
              </w:rPr>
              <w:t>May 4, 2017</w:t>
            </w:r>
          </w:p>
          <w:p w:rsidR="00976839" w:rsidRPr="009021BE" w:rsidRDefault="00976839" w:rsidP="00976839">
            <w:pPr>
              <w:jc w:val="both"/>
              <w:rPr>
                <w:sz w:val="20"/>
              </w:rPr>
            </w:pPr>
            <w:r w:rsidRPr="009021BE">
              <w:rPr>
                <w:sz w:val="20"/>
              </w:rPr>
              <w:t>Court of Appeal of New Brunswick</w:t>
            </w:r>
          </w:p>
          <w:p w:rsidR="00976839" w:rsidRPr="009021BE" w:rsidRDefault="00976839" w:rsidP="00976839">
            <w:pPr>
              <w:jc w:val="both"/>
              <w:rPr>
                <w:sz w:val="20"/>
              </w:rPr>
            </w:pPr>
            <w:r w:rsidRPr="009021BE">
              <w:rPr>
                <w:sz w:val="20"/>
              </w:rPr>
              <w:t>(Richard, Quigg and Green JJ.A.)</w:t>
            </w:r>
          </w:p>
          <w:p w:rsidR="00976839" w:rsidRPr="009021BE" w:rsidRDefault="00167F64" w:rsidP="00976839">
            <w:pPr>
              <w:jc w:val="both"/>
              <w:rPr>
                <w:sz w:val="20"/>
              </w:rPr>
            </w:pPr>
            <w:hyperlink r:id="rId59" w:history="1">
              <w:r w:rsidR="00976839" w:rsidRPr="009021BE">
                <w:rPr>
                  <w:rStyle w:val="Hyperlink"/>
                  <w:sz w:val="20"/>
                </w:rPr>
                <w:t>2017 NBCA 21</w:t>
              </w:r>
            </w:hyperlink>
          </w:p>
          <w:p w:rsidR="00976839" w:rsidRPr="009021BE" w:rsidRDefault="00976839" w:rsidP="00976839">
            <w:pPr>
              <w:jc w:val="both"/>
              <w:rPr>
                <w:sz w:val="20"/>
              </w:rPr>
            </w:pPr>
          </w:p>
        </w:tc>
        <w:tc>
          <w:tcPr>
            <w:tcW w:w="243" w:type="pct"/>
          </w:tcPr>
          <w:p w:rsidR="00976839" w:rsidRPr="009021BE" w:rsidRDefault="00976839" w:rsidP="00976839">
            <w:pPr>
              <w:jc w:val="both"/>
              <w:rPr>
                <w:sz w:val="20"/>
              </w:rPr>
            </w:pPr>
          </w:p>
        </w:tc>
        <w:tc>
          <w:tcPr>
            <w:tcW w:w="2330" w:type="pct"/>
          </w:tcPr>
          <w:p w:rsidR="00976839" w:rsidRPr="009021BE" w:rsidRDefault="00976839" w:rsidP="00976839">
            <w:pPr>
              <w:jc w:val="both"/>
              <w:rPr>
                <w:sz w:val="20"/>
              </w:rPr>
            </w:pPr>
            <w:r w:rsidRPr="009021BE">
              <w:rPr>
                <w:sz w:val="20"/>
              </w:rPr>
              <w:t>Applicants’ application for leave to appeal, dismissed.</w:t>
            </w:r>
          </w:p>
          <w:p w:rsidR="00976839" w:rsidRPr="009021BE" w:rsidRDefault="00976839" w:rsidP="00976839">
            <w:pPr>
              <w:jc w:val="both"/>
              <w:rPr>
                <w:sz w:val="20"/>
              </w:rPr>
            </w:pPr>
          </w:p>
        </w:tc>
      </w:tr>
      <w:tr w:rsidR="00976839" w:rsidRPr="009021BE" w:rsidTr="00DE47D4">
        <w:tc>
          <w:tcPr>
            <w:tcW w:w="2427" w:type="pct"/>
          </w:tcPr>
          <w:p w:rsidR="00976839" w:rsidRPr="009021BE" w:rsidRDefault="00976839" w:rsidP="00976839">
            <w:pPr>
              <w:jc w:val="both"/>
              <w:rPr>
                <w:sz w:val="20"/>
              </w:rPr>
            </w:pPr>
            <w:r w:rsidRPr="009021BE">
              <w:rPr>
                <w:sz w:val="20"/>
              </w:rPr>
              <w:t>August 4, 2017</w:t>
            </w:r>
          </w:p>
          <w:p w:rsidR="00976839" w:rsidRPr="009021BE" w:rsidRDefault="00976839" w:rsidP="00976839">
            <w:pPr>
              <w:jc w:val="both"/>
              <w:rPr>
                <w:sz w:val="20"/>
              </w:rPr>
            </w:pPr>
            <w:r w:rsidRPr="009021BE">
              <w:rPr>
                <w:sz w:val="20"/>
              </w:rPr>
              <w:t>Supreme Court of Canada</w:t>
            </w:r>
          </w:p>
          <w:p w:rsidR="00976839" w:rsidRPr="009021BE" w:rsidRDefault="00976839" w:rsidP="00976839">
            <w:pPr>
              <w:jc w:val="both"/>
              <w:rPr>
                <w:sz w:val="20"/>
              </w:rPr>
            </w:pPr>
          </w:p>
        </w:tc>
        <w:tc>
          <w:tcPr>
            <w:tcW w:w="243" w:type="pct"/>
          </w:tcPr>
          <w:p w:rsidR="00976839" w:rsidRPr="009021BE" w:rsidRDefault="00976839" w:rsidP="00976839">
            <w:pPr>
              <w:jc w:val="both"/>
              <w:rPr>
                <w:sz w:val="20"/>
              </w:rPr>
            </w:pPr>
          </w:p>
        </w:tc>
        <w:tc>
          <w:tcPr>
            <w:tcW w:w="2330" w:type="pct"/>
          </w:tcPr>
          <w:p w:rsidR="00976839" w:rsidRPr="009021BE" w:rsidRDefault="00976839" w:rsidP="00976839">
            <w:pPr>
              <w:jc w:val="both"/>
              <w:rPr>
                <w:sz w:val="20"/>
              </w:rPr>
            </w:pPr>
            <w:r w:rsidRPr="009021BE">
              <w:rPr>
                <w:sz w:val="20"/>
              </w:rPr>
              <w:t>Application for leave to appeal and motion to file lengthy memorandum, filed.</w:t>
            </w:r>
          </w:p>
          <w:p w:rsidR="00976839" w:rsidRPr="009021BE" w:rsidRDefault="00976839" w:rsidP="00976839">
            <w:pPr>
              <w:jc w:val="both"/>
              <w:rPr>
                <w:sz w:val="20"/>
              </w:rPr>
            </w:pPr>
          </w:p>
        </w:tc>
      </w:tr>
      <w:tr w:rsidR="00976839" w:rsidRPr="009021BE" w:rsidTr="00DE47D4">
        <w:tc>
          <w:tcPr>
            <w:tcW w:w="2427" w:type="pct"/>
          </w:tcPr>
          <w:p w:rsidR="00976839" w:rsidRPr="009021BE" w:rsidRDefault="00976839" w:rsidP="00976839">
            <w:pPr>
              <w:jc w:val="both"/>
              <w:rPr>
                <w:sz w:val="20"/>
              </w:rPr>
            </w:pPr>
            <w:r w:rsidRPr="009021BE">
              <w:rPr>
                <w:sz w:val="20"/>
              </w:rPr>
              <w:t>December 15, 2017</w:t>
            </w:r>
          </w:p>
          <w:p w:rsidR="00976839" w:rsidRPr="009021BE" w:rsidRDefault="00976839" w:rsidP="00976839">
            <w:pPr>
              <w:jc w:val="both"/>
              <w:rPr>
                <w:sz w:val="20"/>
              </w:rPr>
            </w:pPr>
            <w:r w:rsidRPr="009021BE">
              <w:rPr>
                <w:sz w:val="20"/>
              </w:rPr>
              <w:t>Supreme Court of Canada</w:t>
            </w:r>
          </w:p>
        </w:tc>
        <w:tc>
          <w:tcPr>
            <w:tcW w:w="243" w:type="pct"/>
          </w:tcPr>
          <w:p w:rsidR="00976839" w:rsidRPr="009021BE" w:rsidRDefault="00976839" w:rsidP="00976839">
            <w:pPr>
              <w:jc w:val="both"/>
              <w:rPr>
                <w:sz w:val="20"/>
              </w:rPr>
            </w:pPr>
          </w:p>
        </w:tc>
        <w:tc>
          <w:tcPr>
            <w:tcW w:w="2330" w:type="pct"/>
          </w:tcPr>
          <w:p w:rsidR="00976839" w:rsidRPr="009021BE" w:rsidRDefault="00976839" w:rsidP="00976839">
            <w:pPr>
              <w:jc w:val="both"/>
              <w:rPr>
                <w:sz w:val="20"/>
              </w:rPr>
            </w:pPr>
            <w:r w:rsidRPr="009021BE">
              <w:rPr>
                <w:sz w:val="20"/>
              </w:rPr>
              <w:t>Motion to extend time to serve and file application for leave to appeal, filed.</w:t>
            </w:r>
          </w:p>
        </w:tc>
      </w:tr>
    </w:tbl>
    <w:p w:rsidR="006A0A32" w:rsidRDefault="00167F64" w:rsidP="006A0A32">
      <w:pPr>
        <w:jc w:val="both"/>
        <w:rPr>
          <w:sz w:val="20"/>
        </w:rPr>
      </w:pPr>
      <w:r>
        <w:rPr>
          <w:sz w:val="20"/>
          <w:szCs w:val="20"/>
        </w:rPr>
        <w:pict>
          <v:rect id="_x0000_i1055" style="width:2in;height:1pt" o:hrpct="0" o:hralign="center" o:hrstd="t" o:hrnoshade="t" o:hr="t" fillcolor="black" stroked="f"/>
        </w:pict>
      </w:r>
    </w:p>
    <w:p w:rsidR="00BC5022" w:rsidRDefault="00BC5022">
      <w:pPr>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0A32" w:rsidRPr="00B4434E" w:rsidTr="00DE47D4">
        <w:tc>
          <w:tcPr>
            <w:tcW w:w="543" w:type="pct"/>
          </w:tcPr>
          <w:p w:rsidR="006A0A32" w:rsidRPr="009021BE" w:rsidRDefault="006A0A32" w:rsidP="00DE47D4">
            <w:pPr>
              <w:jc w:val="both"/>
              <w:rPr>
                <w:sz w:val="20"/>
                <w:lang w:val="fr-CA"/>
              </w:rPr>
            </w:pPr>
            <w:r w:rsidRPr="009021BE">
              <w:rPr>
                <w:rStyle w:val="SCCFileNumberChar"/>
                <w:sz w:val="20"/>
                <w:szCs w:val="20"/>
                <w:lang w:val="fr-CA"/>
              </w:rPr>
              <w:t>37681</w:t>
            </w:r>
          </w:p>
        </w:tc>
        <w:tc>
          <w:tcPr>
            <w:tcW w:w="4457" w:type="pct"/>
          </w:tcPr>
          <w:p w:rsidR="006A0A32" w:rsidRPr="00BF319D" w:rsidRDefault="006A0A32" w:rsidP="00DE47D4">
            <w:pPr>
              <w:pStyle w:val="SCCLsocParty"/>
              <w:jc w:val="both"/>
              <w:rPr>
                <w:b/>
                <w:sz w:val="20"/>
                <w:szCs w:val="20"/>
              </w:rPr>
            </w:pPr>
            <w:r w:rsidRPr="00BF319D">
              <w:rPr>
                <w:b/>
                <w:sz w:val="20"/>
                <w:szCs w:val="20"/>
              </w:rPr>
              <w:t>John (Jackie) Vautour, Roy Vautour c. Sa Majesté la Reine</w:t>
            </w:r>
          </w:p>
          <w:p w:rsidR="006A0A32" w:rsidRPr="009021BE" w:rsidRDefault="006A0A32" w:rsidP="00DE47D4">
            <w:pPr>
              <w:jc w:val="both"/>
              <w:rPr>
                <w:sz w:val="20"/>
                <w:lang w:val="fr-CA"/>
              </w:rPr>
            </w:pPr>
            <w:r w:rsidRPr="009021BE">
              <w:rPr>
                <w:sz w:val="20"/>
                <w:lang w:val="fr-CA"/>
              </w:rPr>
              <w:t>(N.-B.) (Civile) (Sur autorisation)</w:t>
            </w:r>
          </w:p>
        </w:tc>
      </w:tr>
      <w:tr w:rsidR="00A72EBE" w:rsidRPr="00B4434E" w:rsidTr="00291D45">
        <w:trPr>
          <w:trHeight w:val="531"/>
        </w:trPr>
        <w:tc>
          <w:tcPr>
            <w:tcW w:w="543" w:type="pct"/>
          </w:tcPr>
          <w:p w:rsidR="00A72EBE" w:rsidRPr="00D32F6F" w:rsidRDefault="00A72EBE" w:rsidP="00A72EBE">
            <w:pPr>
              <w:jc w:val="both"/>
              <w:rPr>
                <w:rStyle w:val="SCCFileNumberChar"/>
                <w:b w:val="0"/>
                <w:sz w:val="20"/>
                <w:szCs w:val="20"/>
              </w:rPr>
            </w:pPr>
            <w:r w:rsidRPr="00D32F6F">
              <w:rPr>
                <w:rStyle w:val="SCCFileNumberChar"/>
                <w:b w:val="0"/>
                <w:sz w:val="20"/>
                <w:szCs w:val="20"/>
              </w:rPr>
              <w:t xml:space="preserve">Coram: </w:t>
            </w:r>
          </w:p>
        </w:tc>
        <w:tc>
          <w:tcPr>
            <w:tcW w:w="4457" w:type="pct"/>
          </w:tcPr>
          <w:p w:rsidR="00A72EBE" w:rsidRPr="00291D45" w:rsidRDefault="00A72EBE" w:rsidP="00A72EBE">
            <w:pPr>
              <w:rPr>
                <w:rFonts w:eastAsia="Calibri" w:cs="Times New Roman"/>
                <w:sz w:val="20"/>
                <w:szCs w:val="20"/>
                <w:u w:val="single"/>
                <w:lang w:val="fr-CA"/>
              </w:rPr>
            </w:pPr>
            <w:r w:rsidRPr="00D32F6F">
              <w:rPr>
                <w:rFonts w:eastAsia="Calibri" w:cs="Times New Roman"/>
                <w:sz w:val="20"/>
                <w:szCs w:val="20"/>
                <w:u w:val="single"/>
                <w:lang w:val="fr-CA"/>
              </w:rPr>
              <w:t>Le juge en chef Wagner et les juges Abella, Moldaver, Karakatsanis, Gascon, Côté, Brown, Rowe et Martin</w:t>
            </w:r>
          </w:p>
        </w:tc>
      </w:tr>
      <w:tr w:rsidR="00A72EBE" w:rsidRPr="00B4434E" w:rsidTr="00A72EBE">
        <w:tc>
          <w:tcPr>
            <w:tcW w:w="5000" w:type="pct"/>
            <w:gridSpan w:val="2"/>
          </w:tcPr>
          <w:p w:rsidR="00A72EBE" w:rsidRPr="00A72EBE" w:rsidRDefault="00A72EBE" w:rsidP="00A72EBE">
            <w:pPr>
              <w:pStyle w:val="SCCLsocParty"/>
              <w:jc w:val="both"/>
              <w:rPr>
                <w:b/>
                <w:sz w:val="20"/>
                <w:szCs w:val="20"/>
              </w:rPr>
            </w:pPr>
            <w:r w:rsidRPr="00A72EBE">
              <w:rPr>
                <w:sz w:val="20"/>
              </w:rPr>
              <w:t>La requête en prorogation du délai de signification et de dépôt de la demande d’autorisation d’appel est accueillie.  La requête pour déposer un mémoire volumineux est accueillie.  La demande d’autorisation d’appel de l’arrêt de la Cour d’appel du Nouveau-Brunswick, numéro 79-15-CA, 2017 NBCA 21, daté du 4 mai 2017, est rejetée sans dépens.</w:t>
            </w:r>
          </w:p>
        </w:tc>
      </w:tr>
    </w:tbl>
    <w:p w:rsidR="001A61E3" w:rsidRPr="00C51298" w:rsidRDefault="001A61E3">
      <w:pPr>
        <w:rPr>
          <w:lang w:val="fr-CA"/>
        </w:rPr>
      </w:pPr>
      <w:r w:rsidRPr="00C51298">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72EBE" w:rsidRPr="00B4434E" w:rsidTr="00DE47D4">
        <w:tc>
          <w:tcPr>
            <w:tcW w:w="5000" w:type="pct"/>
            <w:gridSpan w:val="3"/>
          </w:tcPr>
          <w:p w:rsidR="00A72EBE" w:rsidRPr="009021BE" w:rsidRDefault="00A72EBE" w:rsidP="00A72EBE">
            <w:pPr>
              <w:jc w:val="both"/>
              <w:rPr>
                <w:sz w:val="20"/>
                <w:lang w:val="fr-CA"/>
              </w:rPr>
            </w:pPr>
            <w:r w:rsidRPr="009021BE">
              <w:rPr>
                <w:sz w:val="20"/>
                <w:lang w:val="fr-CA"/>
              </w:rPr>
              <w:t xml:space="preserve">Droit constitutionnel – Autochtones – Statut de Métis – Droits de pêche – Y a-t-il lieu de revoir le critère juridique établi dans l’arrêt </w:t>
            </w:r>
            <w:r w:rsidRPr="009021BE">
              <w:rPr>
                <w:i/>
                <w:iCs/>
                <w:sz w:val="20"/>
                <w:lang w:val="fr-CA"/>
              </w:rPr>
              <w:t>R. c. Powley</w:t>
            </w:r>
            <w:r w:rsidRPr="009021BE">
              <w:rPr>
                <w:sz w:val="20"/>
                <w:lang w:val="fr-CA"/>
              </w:rPr>
              <w:t>, 2003 CSC 43, [</w:t>
            </w:r>
            <w:r w:rsidRPr="009021BE">
              <w:rPr>
                <w:rStyle w:val="reflex3-alt"/>
                <w:sz w:val="20"/>
                <w:lang w:val="fr-CA"/>
              </w:rPr>
              <w:t xml:space="preserve">2003] 2 R.C.S. 207? </w:t>
            </w:r>
            <w:r w:rsidRPr="009021BE">
              <w:rPr>
                <w:sz w:val="20"/>
                <w:lang w:val="fr-CA"/>
              </w:rPr>
              <w:t xml:space="preserve">– L’application du critère établi dans </w:t>
            </w:r>
            <w:r w:rsidRPr="009021BE">
              <w:rPr>
                <w:i/>
                <w:sz w:val="20"/>
                <w:lang w:val="fr-CA"/>
              </w:rPr>
              <w:t>Powley</w:t>
            </w:r>
            <w:r w:rsidRPr="009021BE">
              <w:rPr>
                <w:sz w:val="20"/>
                <w:lang w:val="fr-CA"/>
              </w:rPr>
              <w:t xml:space="preserve"> a-t-elle été trop restrictive jusqu’ici, donnant lieu à une surabondance de rejets de revendications par les Métis de droits ancestraux garantis par le par. 35(1) partout au Canada? – </w:t>
            </w:r>
            <w:r w:rsidRPr="009021BE">
              <w:rPr>
                <w:i/>
                <w:sz w:val="20"/>
                <w:lang w:val="fr-CA"/>
              </w:rPr>
              <w:t>Loi constitutionnelle de 1982</w:t>
            </w:r>
            <w:r w:rsidRPr="009021BE">
              <w:rPr>
                <w:sz w:val="20"/>
                <w:lang w:val="fr-CA"/>
              </w:rPr>
              <w:t>, art. 35.</w:t>
            </w:r>
          </w:p>
        </w:tc>
      </w:tr>
      <w:tr w:rsidR="00A72EBE" w:rsidRPr="00B4434E" w:rsidTr="00DE47D4">
        <w:tc>
          <w:tcPr>
            <w:tcW w:w="5000" w:type="pct"/>
            <w:gridSpan w:val="3"/>
          </w:tcPr>
          <w:p w:rsidR="00A72EBE" w:rsidRPr="009021BE" w:rsidRDefault="00A72EBE" w:rsidP="00A72EBE">
            <w:pPr>
              <w:jc w:val="both"/>
              <w:rPr>
                <w:sz w:val="20"/>
                <w:lang w:val="fr-CA"/>
              </w:rPr>
            </w:pPr>
          </w:p>
          <w:p w:rsidR="00A72EBE" w:rsidRPr="009021BE" w:rsidRDefault="00A72EBE" w:rsidP="00A72EBE">
            <w:pPr>
              <w:jc w:val="both"/>
              <w:rPr>
                <w:sz w:val="20"/>
                <w:lang w:val="fr-CA"/>
              </w:rPr>
            </w:pPr>
            <w:r w:rsidRPr="009021BE">
              <w:rPr>
                <w:sz w:val="20"/>
                <w:lang w:val="fr-CA"/>
              </w:rPr>
              <w:t xml:space="preserve">John (Jackie) Vautour et son fils Roy Vautour ont été accusés d’infractions portant sur la pêche non autorisée aux myes dans le parc national Kouchibouguac, comté de Kent (Nouveau-Brunswick), contrairement aux dispositions du </w:t>
            </w:r>
            <w:r w:rsidRPr="009021BE">
              <w:rPr>
                <w:i/>
                <w:sz w:val="20"/>
                <w:lang w:val="fr-CA"/>
              </w:rPr>
              <w:t>Règlement sur la pêche dans les parcs nationaux du Canada</w:t>
            </w:r>
            <w:r w:rsidRPr="009021BE">
              <w:rPr>
                <w:sz w:val="20"/>
                <w:lang w:val="fr-CA"/>
              </w:rPr>
              <w:t xml:space="preserve">, C.R.C., ch. 1120, et de la </w:t>
            </w:r>
            <w:r w:rsidRPr="009021BE">
              <w:rPr>
                <w:i/>
                <w:sz w:val="20"/>
                <w:lang w:val="fr-CA"/>
              </w:rPr>
              <w:t>Loi sur les parcs nationaux du Canada</w:t>
            </w:r>
            <w:r w:rsidRPr="009021BE">
              <w:rPr>
                <w:sz w:val="20"/>
                <w:lang w:val="fr-CA"/>
              </w:rPr>
              <w:t>, L.C. 2000, ch. 32. À leur procès conjoint sur toutes les accusations, les Vautour ont admis les faits invoqués comme constituant les infractions, mais ont revendiqué un droit protégé par l’art. 35 de la </w:t>
            </w:r>
            <w:r w:rsidRPr="009021BE">
              <w:rPr>
                <w:i/>
                <w:iCs/>
                <w:sz w:val="20"/>
                <w:lang w:val="fr-CA"/>
              </w:rPr>
              <w:t>Loi constitutionnelle de 1982</w:t>
            </w:r>
            <w:r w:rsidRPr="009021BE">
              <w:rPr>
                <w:sz w:val="20"/>
                <w:lang w:val="fr-CA"/>
              </w:rPr>
              <w:t>, en tant que Métis, de pêcher pour leur subsistance dans la région de Kouchibouguac.</w:t>
            </w:r>
          </w:p>
          <w:p w:rsidR="00A72EBE" w:rsidRPr="009021BE" w:rsidRDefault="00A72EBE" w:rsidP="00A72EBE">
            <w:pPr>
              <w:jc w:val="both"/>
              <w:rPr>
                <w:sz w:val="20"/>
                <w:lang w:val="fr-CA"/>
              </w:rPr>
            </w:pPr>
          </w:p>
          <w:p w:rsidR="00A72EBE" w:rsidRPr="009021BE" w:rsidRDefault="00A72EBE" w:rsidP="00A72EBE">
            <w:pPr>
              <w:jc w:val="both"/>
              <w:rPr>
                <w:sz w:val="20"/>
                <w:lang w:val="fr-CA"/>
              </w:rPr>
            </w:pPr>
            <w:r w:rsidRPr="009021BE">
              <w:rPr>
                <w:sz w:val="20"/>
                <w:lang w:val="fr-CA"/>
              </w:rPr>
              <w:t xml:space="preserve">La Cour provinciale du Nouveau-Brunswick a déclaré John et Roy Vautour coupables des infractions. La cour a statué que leur revendication fondée sur l’art. 35 ne pouvait être accueillie parce qu’ils n’avaient pas établi la présence d’une communauté métisse historique dans la région de Kouchibouguac, comme l’exige le critère établi dans l’arrêt </w:t>
            </w:r>
            <w:r w:rsidRPr="009021BE">
              <w:rPr>
                <w:i/>
                <w:iCs/>
                <w:sz w:val="20"/>
                <w:lang w:val="fr-CA"/>
              </w:rPr>
              <w:t>R. c. Powley</w:t>
            </w:r>
            <w:r w:rsidRPr="009021BE">
              <w:rPr>
                <w:sz w:val="20"/>
                <w:lang w:val="fr-CA"/>
              </w:rPr>
              <w:t>, 2003 CSC 43, [</w:t>
            </w:r>
            <w:r w:rsidRPr="009021BE">
              <w:rPr>
                <w:rStyle w:val="reflex3-alt"/>
                <w:sz w:val="20"/>
                <w:lang w:val="fr-CA"/>
              </w:rPr>
              <w:t>2003] 2 R.C.S. 207</w:t>
            </w:r>
            <w:r w:rsidRPr="009021BE">
              <w:rPr>
                <w:sz w:val="20"/>
                <w:lang w:val="fr-CA"/>
              </w:rPr>
              <w:t>. La Cour du Banc de la Reine du Nouveau-Brunswick a rejeté l’appel et a confirmé les déclarations de culpabilité. La Cour d’appel du Nouveau-Brunswick a rejeté la demande d’autorisation d’appel des Vautour.</w:t>
            </w:r>
          </w:p>
        </w:tc>
      </w:tr>
      <w:tr w:rsidR="00A72EBE" w:rsidRPr="00B4434E" w:rsidTr="00291D45">
        <w:trPr>
          <w:trHeight w:val="54"/>
        </w:trPr>
        <w:tc>
          <w:tcPr>
            <w:tcW w:w="5000" w:type="pct"/>
            <w:gridSpan w:val="3"/>
          </w:tcPr>
          <w:p w:rsidR="00A72EBE" w:rsidRPr="009021BE" w:rsidRDefault="00A72EBE" w:rsidP="00A72EBE">
            <w:pPr>
              <w:jc w:val="both"/>
              <w:rPr>
                <w:sz w:val="20"/>
                <w:lang w:val="fr-CA"/>
              </w:rPr>
            </w:pPr>
          </w:p>
        </w:tc>
      </w:tr>
      <w:tr w:rsidR="00A72EBE" w:rsidRPr="00B4434E" w:rsidTr="00DE47D4">
        <w:tc>
          <w:tcPr>
            <w:tcW w:w="2427" w:type="pct"/>
          </w:tcPr>
          <w:p w:rsidR="00A72EBE" w:rsidRPr="009021BE" w:rsidRDefault="00A72EBE" w:rsidP="00A72EBE">
            <w:pPr>
              <w:jc w:val="both"/>
              <w:rPr>
                <w:sz w:val="20"/>
                <w:lang w:val="fr-CA"/>
              </w:rPr>
            </w:pPr>
            <w:r w:rsidRPr="009021BE">
              <w:rPr>
                <w:sz w:val="20"/>
                <w:lang w:val="fr-CA"/>
              </w:rPr>
              <w:t>17 décembre 2010</w:t>
            </w:r>
          </w:p>
          <w:p w:rsidR="00A72EBE" w:rsidRPr="009021BE" w:rsidRDefault="00A72EBE" w:rsidP="00A72EBE">
            <w:pPr>
              <w:jc w:val="both"/>
              <w:rPr>
                <w:sz w:val="20"/>
                <w:lang w:val="fr-CA"/>
              </w:rPr>
            </w:pPr>
            <w:r w:rsidRPr="009021BE">
              <w:rPr>
                <w:sz w:val="20"/>
                <w:lang w:val="fr-CA"/>
              </w:rPr>
              <w:t>Cour provinciale du Nouveau-Brunswick</w:t>
            </w:r>
          </w:p>
          <w:p w:rsidR="00A72EBE" w:rsidRPr="009021BE" w:rsidRDefault="00A72EBE" w:rsidP="00A72EBE">
            <w:pPr>
              <w:jc w:val="both"/>
              <w:rPr>
                <w:sz w:val="20"/>
                <w:lang w:val="fr-CA"/>
              </w:rPr>
            </w:pPr>
            <w:r w:rsidRPr="009021BE">
              <w:rPr>
                <w:sz w:val="20"/>
                <w:lang w:val="fr-CA"/>
              </w:rPr>
              <w:t>(Juge en chef adjoint Arseneault)</w:t>
            </w:r>
          </w:p>
          <w:p w:rsidR="00A72EBE" w:rsidRPr="009021BE" w:rsidRDefault="00167F64" w:rsidP="00A72EBE">
            <w:pPr>
              <w:jc w:val="both"/>
              <w:rPr>
                <w:sz w:val="20"/>
                <w:lang w:val="fr-CA"/>
              </w:rPr>
            </w:pPr>
            <w:hyperlink r:id="rId60" w:history="1">
              <w:r w:rsidR="00A72EBE" w:rsidRPr="009021BE">
                <w:rPr>
                  <w:rStyle w:val="Hyperlink"/>
                  <w:sz w:val="20"/>
                  <w:lang w:val="fr-CA"/>
                </w:rPr>
                <w:t>2010 NBCP 39</w:t>
              </w:r>
            </w:hyperlink>
          </w:p>
          <w:p w:rsidR="00A72EBE" w:rsidRPr="009021BE" w:rsidRDefault="00A72EBE" w:rsidP="00A72EBE">
            <w:pPr>
              <w:jc w:val="both"/>
              <w:rPr>
                <w:sz w:val="20"/>
                <w:lang w:val="fr-CA"/>
              </w:rPr>
            </w:pPr>
          </w:p>
        </w:tc>
        <w:tc>
          <w:tcPr>
            <w:tcW w:w="243" w:type="pct"/>
          </w:tcPr>
          <w:p w:rsidR="00A72EBE" w:rsidRPr="009021BE" w:rsidRDefault="00A72EBE" w:rsidP="00A72EBE">
            <w:pPr>
              <w:jc w:val="both"/>
              <w:rPr>
                <w:sz w:val="20"/>
                <w:lang w:val="fr-CA"/>
              </w:rPr>
            </w:pPr>
          </w:p>
        </w:tc>
        <w:tc>
          <w:tcPr>
            <w:tcW w:w="2330" w:type="pct"/>
          </w:tcPr>
          <w:p w:rsidR="00A72EBE" w:rsidRPr="009021BE" w:rsidRDefault="00A72EBE" w:rsidP="00A72EBE">
            <w:pPr>
              <w:jc w:val="both"/>
              <w:rPr>
                <w:sz w:val="20"/>
                <w:lang w:val="fr-CA"/>
              </w:rPr>
            </w:pPr>
            <w:r w:rsidRPr="009021BE">
              <w:rPr>
                <w:sz w:val="20"/>
                <w:lang w:val="fr-CA"/>
              </w:rPr>
              <w:t xml:space="preserve">Déclarations de culpabilité prononcées contre les demandeurs d’infractions portant sur la pêche non autorisée sous le régime du </w:t>
            </w:r>
            <w:r w:rsidRPr="009021BE">
              <w:rPr>
                <w:i/>
                <w:sz w:val="20"/>
                <w:lang w:val="fr-CA"/>
              </w:rPr>
              <w:t>Règlement sur la pêche dans les parcs nationaux du Canada</w:t>
            </w:r>
            <w:r w:rsidRPr="009021BE">
              <w:rPr>
                <w:sz w:val="20"/>
                <w:lang w:val="fr-CA"/>
              </w:rPr>
              <w:t xml:space="preserve">, C.R.C., ch. 1120 et de la </w:t>
            </w:r>
            <w:r w:rsidRPr="009021BE">
              <w:rPr>
                <w:i/>
                <w:sz w:val="20"/>
                <w:lang w:val="fr-CA"/>
              </w:rPr>
              <w:t>Loi sur les parcs nationaux du Canada</w:t>
            </w:r>
            <w:r w:rsidR="002A61E6">
              <w:rPr>
                <w:sz w:val="20"/>
                <w:lang w:val="fr-CA"/>
              </w:rPr>
              <w:t xml:space="preserve">, L.C. 2000, ch. 32. </w:t>
            </w:r>
          </w:p>
        </w:tc>
      </w:tr>
      <w:tr w:rsidR="00A72EBE" w:rsidRPr="00B4434E" w:rsidTr="00DE47D4">
        <w:tc>
          <w:tcPr>
            <w:tcW w:w="2427" w:type="pct"/>
          </w:tcPr>
          <w:p w:rsidR="00A72EBE" w:rsidRPr="009021BE" w:rsidRDefault="00A72EBE" w:rsidP="00A72EBE">
            <w:pPr>
              <w:jc w:val="both"/>
              <w:rPr>
                <w:sz w:val="20"/>
                <w:lang w:val="fr-CA"/>
              </w:rPr>
            </w:pPr>
            <w:r w:rsidRPr="009021BE">
              <w:rPr>
                <w:sz w:val="20"/>
                <w:lang w:val="fr-CA"/>
              </w:rPr>
              <w:t>23 avril 2015</w:t>
            </w:r>
          </w:p>
          <w:p w:rsidR="00A72EBE" w:rsidRPr="009021BE" w:rsidRDefault="00A72EBE" w:rsidP="00A72EBE">
            <w:pPr>
              <w:jc w:val="both"/>
              <w:rPr>
                <w:sz w:val="20"/>
                <w:lang w:val="fr-CA"/>
              </w:rPr>
            </w:pPr>
            <w:r w:rsidRPr="009021BE">
              <w:rPr>
                <w:sz w:val="20"/>
                <w:lang w:val="fr-CA"/>
              </w:rPr>
              <w:t>Cour du Banc de la Reine du Nouveau-Brunswick</w:t>
            </w:r>
          </w:p>
          <w:p w:rsidR="00A72EBE" w:rsidRPr="009021BE" w:rsidRDefault="00A72EBE" w:rsidP="00A72EBE">
            <w:pPr>
              <w:jc w:val="both"/>
              <w:rPr>
                <w:sz w:val="20"/>
                <w:lang w:val="fr-CA"/>
              </w:rPr>
            </w:pPr>
            <w:r w:rsidRPr="009021BE">
              <w:rPr>
                <w:sz w:val="20"/>
                <w:lang w:val="fr-CA"/>
              </w:rPr>
              <w:t>(Juge DeWare)</w:t>
            </w:r>
          </w:p>
          <w:p w:rsidR="00A72EBE" w:rsidRPr="009021BE" w:rsidRDefault="00167F64" w:rsidP="00A72EBE">
            <w:pPr>
              <w:jc w:val="both"/>
              <w:rPr>
                <w:sz w:val="20"/>
                <w:lang w:val="fr-CA"/>
              </w:rPr>
            </w:pPr>
            <w:hyperlink r:id="rId61" w:history="1">
              <w:r w:rsidR="00A72EBE" w:rsidRPr="009021BE">
                <w:rPr>
                  <w:rStyle w:val="Hyperlink"/>
                  <w:sz w:val="20"/>
                  <w:lang w:val="fr-CA"/>
                </w:rPr>
                <w:t>2015 NBQB 94</w:t>
              </w:r>
            </w:hyperlink>
            <w:r w:rsidR="00A72EBE" w:rsidRPr="009021BE">
              <w:rPr>
                <w:sz w:val="20"/>
                <w:lang w:val="fr-CA"/>
              </w:rPr>
              <w:t xml:space="preserve"> </w:t>
            </w:r>
          </w:p>
          <w:p w:rsidR="00A72EBE" w:rsidRPr="009021BE" w:rsidRDefault="00A72EBE" w:rsidP="00A72EBE">
            <w:pPr>
              <w:jc w:val="both"/>
              <w:rPr>
                <w:sz w:val="20"/>
                <w:lang w:val="fr-CA"/>
              </w:rPr>
            </w:pPr>
          </w:p>
        </w:tc>
        <w:tc>
          <w:tcPr>
            <w:tcW w:w="243" w:type="pct"/>
          </w:tcPr>
          <w:p w:rsidR="00A72EBE" w:rsidRPr="009021BE" w:rsidRDefault="00A72EBE" w:rsidP="00A72EBE">
            <w:pPr>
              <w:jc w:val="both"/>
              <w:rPr>
                <w:sz w:val="20"/>
                <w:lang w:val="fr-CA"/>
              </w:rPr>
            </w:pPr>
          </w:p>
        </w:tc>
        <w:tc>
          <w:tcPr>
            <w:tcW w:w="2330" w:type="pct"/>
          </w:tcPr>
          <w:p w:rsidR="00A72EBE" w:rsidRPr="009021BE" w:rsidRDefault="00A72EBE" w:rsidP="00A72EBE">
            <w:pPr>
              <w:jc w:val="both"/>
              <w:rPr>
                <w:sz w:val="20"/>
                <w:lang w:val="fr-CA"/>
              </w:rPr>
            </w:pPr>
            <w:r w:rsidRPr="009021BE">
              <w:rPr>
                <w:sz w:val="20"/>
                <w:lang w:val="fr-CA"/>
              </w:rPr>
              <w:t>Rejet par la cour d’appel en matière de poursuites sommaires de l’appel des déclarations de culpabilité des demandeurs.</w:t>
            </w:r>
          </w:p>
          <w:p w:rsidR="00A72EBE" w:rsidRPr="009021BE" w:rsidRDefault="00A72EBE" w:rsidP="00A72EBE">
            <w:pPr>
              <w:jc w:val="both"/>
              <w:rPr>
                <w:sz w:val="20"/>
                <w:lang w:val="fr-CA"/>
              </w:rPr>
            </w:pPr>
          </w:p>
        </w:tc>
      </w:tr>
      <w:tr w:rsidR="00A72EBE" w:rsidRPr="00B4434E" w:rsidTr="00DE47D4">
        <w:tc>
          <w:tcPr>
            <w:tcW w:w="2427" w:type="pct"/>
          </w:tcPr>
          <w:p w:rsidR="00A72EBE" w:rsidRPr="009021BE" w:rsidRDefault="00A72EBE" w:rsidP="00A72EBE">
            <w:pPr>
              <w:jc w:val="both"/>
              <w:rPr>
                <w:sz w:val="20"/>
                <w:lang w:val="fr-CA"/>
              </w:rPr>
            </w:pPr>
            <w:r w:rsidRPr="009021BE">
              <w:rPr>
                <w:sz w:val="20"/>
                <w:lang w:val="fr-CA"/>
              </w:rPr>
              <w:t>4 mai 2017</w:t>
            </w:r>
          </w:p>
          <w:p w:rsidR="00A72EBE" w:rsidRPr="009021BE" w:rsidRDefault="00A72EBE" w:rsidP="00A72EBE">
            <w:pPr>
              <w:jc w:val="both"/>
              <w:rPr>
                <w:sz w:val="20"/>
                <w:lang w:val="fr-CA"/>
              </w:rPr>
            </w:pPr>
            <w:r w:rsidRPr="009021BE">
              <w:rPr>
                <w:sz w:val="20"/>
                <w:lang w:val="fr-CA"/>
              </w:rPr>
              <w:t>Cour d’appel du Nouveau-Brunswick</w:t>
            </w:r>
          </w:p>
          <w:p w:rsidR="00A72EBE" w:rsidRPr="009021BE" w:rsidRDefault="00A72EBE" w:rsidP="00A72EBE">
            <w:pPr>
              <w:jc w:val="both"/>
              <w:rPr>
                <w:sz w:val="20"/>
                <w:lang w:val="fr-CA"/>
              </w:rPr>
            </w:pPr>
            <w:r w:rsidRPr="009021BE">
              <w:rPr>
                <w:sz w:val="20"/>
                <w:lang w:val="fr-CA"/>
              </w:rPr>
              <w:t>(Juges Richard, Quigg et Green)</w:t>
            </w:r>
          </w:p>
          <w:p w:rsidR="00A72EBE" w:rsidRPr="009021BE" w:rsidRDefault="00167F64" w:rsidP="00A72EBE">
            <w:pPr>
              <w:jc w:val="both"/>
              <w:rPr>
                <w:sz w:val="20"/>
                <w:lang w:val="fr-CA"/>
              </w:rPr>
            </w:pPr>
            <w:hyperlink r:id="rId62" w:history="1">
              <w:r w:rsidR="00A72EBE" w:rsidRPr="009021BE">
                <w:rPr>
                  <w:rStyle w:val="Hyperlink"/>
                  <w:sz w:val="20"/>
                  <w:lang w:val="fr-CA"/>
                </w:rPr>
                <w:t>2017 NBCA 21</w:t>
              </w:r>
            </w:hyperlink>
          </w:p>
          <w:p w:rsidR="00A72EBE" w:rsidRPr="009021BE" w:rsidRDefault="00A72EBE" w:rsidP="00A72EBE">
            <w:pPr>
              <w:jc w:val="both"/>
              <w:rPr>
                <w:sz w:val="20"/>
                <w:lang w:val="fr-CA"/>
              </w:rPr>
            </w:pPr>
          </w:p>
        </w:tc>
        <w:tc>
          <w:tcPr>
            <w:tcW w:w="243" w:type="pct"/>
          </w:tcPr>
          <w:p w:rsidR="00A72EBE" w:rsidRPr="009021BE" w:rsidRDefault="00A72EBE" w:rsidP="00A72EBE">
            <w:pPr>
              <w:jc w:val="both"/>
              <w:rPr>
                <w:sz w:val="20"/>
                <w:lang w:val="fr-CA"/>
              </w:rPr>
            </w:pPr>
          </w:p>
        </w:tc>
        <w:tc>
          <w:tcPr>
            <w:tcW w:w="2330" w:type="pct"/>
          </w:tcPr>
          <w:p w:rsidR="00A72EBE" w:rsidRPr="009021BE" w:rsidRDefault="00A72EBE" w:rsidP="00A72EBE">
            <w:pPr>
              <w:jc w:val="both"/>
              <w:rPr>
                <w:sz w:val="20"/>
                <w:lang w:val="fr-CA"/>
              </w:rPr>
            </w:pPr>
            <w:r w:rsidRPr="009021BE">
              <w:rPr>
                <w:sz w:val="20"/>
                <w:lang w:val="fr-CA"/>
              </w:rPr>
              <w:t>Rejet de la demande d’autorisation d’appel des demandeurs.</w:t>
            </w:r>
          </w:p>
          <w:p w:rsidR="00A72EBE" w:rsidRPr="009021BE" w:rsidRDefault="00A72EBE" w:rsidP="00A72EBE">
            <w:pPr>
              <w:jc w:val="both"/>
              <w:rPr>
                <w:sz w:val="20"/>
                <w:lang w:val="fr-CA"/>
              </w:rPr>
            </w:pPr>
          </w:p>
        </w:tc>
      </w:tr>
      <w:tr w:rsidR="00A72EBE" w:rsidRPr="00B4434E" w:rsidTr="00DE47D4">
        <w:tc>
          <w:tcPr>
            <w:tcW w:w="2427" w:type="pct"/>
          </w:tcPr>
          <w:p w:rsidR="00A72EBE" w:rsidRPr="009021BE" w:rsidRDefault="00A72EBE" w:rsidP="00A72EBE">
            <w:pPr>
              <w:jc w:val="both"/>
              <w:rPr>
                <w:sz w:val="20"/>
                <w:lang w:val="fr-CA"/>
              </w:rPr>
            </w:pPr>
            <w:r w:rsidRPr="009021BE">
              <w:rPr>
                <w:sz w:val="20"/>
                <w:lang w:val="fr-CA"/>
              </w:rPr>
              <w:t>4 août 2017</w:t>
            </w:r>
          </w:p>
          <w:p w:rsidR="00A72EBE" w:rsidRPr="009021BE" w:rsidRDefault="00A72EBE" w:rsidP="00A72EBE">
            <w:pPr>
              <w:jc w:val="both"/>
              <w:rPr>
                <w:sz w:val="20"/>
                <w:lang w:val="fr-CA"/>
              </w:rPr>
            </w:pPr>
            <w:r w:rsidRPr="009021BE">
              <w:rPr>
                <w:sz w:val="20"/>
                <w:lang w:val="fr-CA"/>
              </w:rPr>
              <w:t>Cour suprême du Canada</w:t>
            </w:r>
          </w:p>
          <w:p w:rsidR="00A72EBE" w:rsidRPr="009021BE" w:rsidRDefault="00A72EBE" w:rsidP="00A72EBE">
            <w:pPr>
              <w:jc w:val="both"/>
              <w:rPr>
                <w:sz w:val="20"/>
                <w:lang w:val="fr-CA"/>
              </w:rPr>
            </w:pPr>
          </w:p>
        </w:tc>
        <w:tc>
          <w:tcPr>
            <w:tcW w:w="243" w:type="pct"/>
          </w:tcPr>
          <w:p w:rsidR="00A72EBE" w:rsidRPr="009021BE" w:rsidRDefault="00A72EBE" w:rsidP="00A72EBE">
            <w:pPr>
              <w:jc w:val="both"/>
              <w:rPr>
                <w:sz w:val="20"/>
                <w:lang w:val="fr-CA"/>
              </w:rPr>
            </w:pPr>
          </w:p>
        </w:tc>
        <w:tc>
          <w:tcPr>
            <w:tcW w:w="2330" w:type="pct"/>
          </w:tcPr>
          <w:p w:rsidR="00A72EBE" w:rsidRPr="009021BE" w:rsidRDefault="00A72EBE" w:rsidP="00A72EBE">
            <w:pPr>
              <w:jc w:val="both"/>
              <w:rPr>
                <w:sz w:val="20"/>
                <w:lang w:val="fr-CA"/>
              </w:rPr>
            </w:pPr>
            <w:r w:rsidRPr="009021BE">
              <w:rPr>
                <w:sz w:val="20"/>
                <w:lang w:val="fr-CA"/>
              </w:rPr>
              <w:t>Dépôt de la demande d’autorisation d’appel et de la requête en vue de déposer un mémoire volumineux.</w:t>
            </w:r>
          </w:p>
          <w:p w:rsidR="00A72EBE" w:rsidRPr="009021BE" w:rsidRDefault="00A72EBE" w:rsidP="00A72EBE">
            <w:pPr>
              <w:jc w:val="both"/>
              <w:rPr>
                <w:sz w:val="20"/>
                <w:lang w:val="fr-CA"/>
              </w:rPr>
            </w:pPr>
          </w:p>
        </w:tc>
      </w:tr>
      <w:tr w:rsidR="00A72EBE" w:rsidRPr="00B4434E" w:rsidTr="00DE47D4">
        <w:tc>
          <w:tcPr>
            <w:tcW w:w="2427" w:type="pct"/>
          </w:tcPr>
          <w:p w:rsidR="00A72EBE" w:rsidRPr="009021BE" w:rsidRDefault="00A72EBE" w:rsidP="00A72EBE">
            <w:pPr>
              <w:jc w:val="both"/>
              <w:rPr>
                <w:sz w:val="20"/>
                <w:lang w:val="fr-CA"/>
              </w:rPr>
            </w:pPr>
            <w:r w:rsidRPr="009021BE">
              <w:rPr>
                <w:sz w:val="20"/>
                <w:lang w:val="fr-CA"/>
              </w:rPr>
              <w:t>15 décembre 2017</w:t>
            </w:r>
          </w:p>
          <w:p w:rsidR="00A72EBE" w:rsidRPr="009021BE" w:rsidRDefault="00A72EBE" w:rsidP="00A72EBE">
            <w:pPr>
              <w:jc w:val="both"/>
              <w:rPr>
                <w:sz w:val="20"/>
                <w:lang w:val="fr-CA"/>
              </w:rPr>
            </w:pPr>
            <w:r w:rsidRPr="009021BE">
              <w:rPr>
                <w:sz w:val="20"/>
                <w:lang w:val="fr-CA"/>
              </w:rPr>
              <w:t>Cour suprême du Canada</w:t>
            </w:r>
          </w:p>
        </w:tc>
        <w:tc>
          <w:tcPr>
            <w:tcW w:w="243" w:type="pct"/>
          </w:tcPr>
          <w:p w:rsidR="00A72EBE" w:rsidRPr="009021BE" w:rsidRDefault="00A72EBE" w:rsidP="00A72EBE">
            <w:pPr>
              <w:jc w:val="both"/>
              <w:rPr>
                <w:sz w:val="20"/>
                <w:lang w:val="fr-CA"/>
              </w:rPr>
            </w:pPr>
          </w:p>
        </w:tc>
        <w:tc>
          <w:tcPr>
            <w:tcW w:w="2330" w:type="pct"/>
          </w:tcPr>
          <w:p w:rsidR="00A72EBE" w:rsidRPr="009021BE" w:rsidRDefault="00A72EBE" w:rsidP="00A72EBE">
            <w:pPr>
              <w:jc w:val="both"/>
              <w:rPr>
                <w:sz w:val="20"/>
                <w:lang w:val="fr-CA"/>
              </w:rPr>
            </w:pPr>
            <w:r w:rsidRPr="009021BE">
              <w:rPr>
                <w:sz w:val="20"/>
                <w:lang w:val="fr-CA"/>
              </w:rPr>
              <w:t>Dépôt de la requête en prorogation du délai de signification et de dépôt de la demande d’autorisation d’appel</w:t>
            </w:r>
          </w:p>
        </w:tc>
      </w:tr>
    </w:tbl>
    <w:p w:rsidR="00890FEB" w:rsidRDefault="00167F64" w:rsidP="00291D45">
      <w:pPr>
        <w:jc w:val="both"/>
        <w:rPr>
          <w:sz w:val="20"/>
          <w:szCs w:val="20"/>
        </w:rPr>
      </w:pPr>
      <w:r>
        <w:rPr>
          <w:sz w:val="20"/>
          <w:szCs w:val="20"/>
        </w:rPr>
        <w:pict>
          <v:rect id="_x0000_i1056" style="width:2in;height:1pt" o:hrpct="0" o:hralign="center" o:hrstd="t" o:hrnoshade="t" o:hr="t" fillcolor="black" stroked="f"/>
        </w:pict>
      </w:r>
    </w:p>
    <w:p w:rsidR="001A61E3" w:rsidRDefault="001A61E3" w:rsidP="00291D45">
      <w:pPr>
        <w:jc w:val="both"/>
        <w:rPr>
          <w:sz w:val="20"/>
          <w:szCs w:val="20"/>
        </w:rPr>
      </w:pPr>
    </w:p>
    <w:p w:rsidR="001A61E3" w:rsidRDefault="001A61E3" w:rsidP="00291D45">
      <w:pPr>
        <w:jc w:val="both"/>
        <w:rPr>
          <w:sz w:val="20"/>
          <w:szCs w:val="20"/>
        </w:rPr>
      </w:pPr>
    </w:p>
    <w:p w:rsidR="001A61E3" w:rsidRPr="00291D45" w:rsidRDefault="001A61E3" w:rsidP="00291D45">
      <w:pPr>
        <w:jc w:val="both"/>
        <w:rPr>
          <w:sz w:val="20"/>
          <w:lang w:val="fr-CA"/>
        </w:rPr>
        <w:sectPr w:rsidR="001A61E3" w:rsidRPr="00291D45" w:rsidSect="008D292F">
          <w:headerReference w:type="even" r:id="rId63"/>
          <w:headerReference w:type="default" r:id="rId64"/>
          <w:footerReference w:type="even" r:id="rId65"/>
          <w:footerReference w:type="default" r:id="rId66"/>
          <w:headerReference w:type="first" r:id="rId67"/>
          <w:footerReference w:type="first" r:id="rId6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5C53E9" w:rsidRPr="005C53E9" w:rsidRDefault="005C53E9" w:rsidP="005C53E9">
      <w:pPr>
        <w:widowControl w:val="0"/>
        <w:rPr>
          <w:rFonts w:eastAsia="Times New Roman" w:cs="Times New Roman"/>
          <w:sz w:val="20"/>
          <w:szCs w:val="20"/>
          <w:lang w:val="fr-CA" w:eastAsia="en-CA"/>
        </w:rPr>
      </w:pPr>
      <w:r w:rsidRPr="005C53E9">
        <w:rPr>
          <w:rFonts w:eastAsia="Times New Roman" w:cs="Times New Roman"/>
          <w:sz w:val="20"/>
          <w:szCs w:val="20"/>
          <w:lang w:val="fr-CA" w:eastAsia="en-CA"/>
        </w:rPr>
        <w:t>2</w:t>
      </w:r>
      <w:r>
        <w:rPr>
          <w:rFonts w:eastAsia="Times New Roman" w:cs="Times New Roman"/>
          <w:sz w:val="20"/>
          <w:szCs w:val="20"/>
          <w:lang w:val="fr-CA" w:eastAsia="en-CA"/>
        </w:rPr>
        <w:t>9</w:t>
      </w:r>
      <w:r w:rsidRPr="005C53E9">
        <w:rPr>
          <w:rFonts w:eastAsia="Times New Roman" w:cs="Times New Roman"/>
          <w:sz w:val="20"/>
          <w:szCs w:val="20"/>
          <w:lang w:val="fr-CA" w:eastAsia="en-CA"/>
        </w:rPr>
        <w:t>.01.2018</w:t>
      </w:r>
    </w:p>
    <w:p w:rsidR="005C53E9" w:rsidRPr="005C53E9" w:rsidRDefault="005C53E9" w:rsidP="005C53E9">
      <w:pPr>
        <w:widowControl w:val="0"/>
        <w:rPr>
          <w:rFonts w:eastAsia="Times New Roman" w:cs="Times New Roman"/>
          <w:sz w:val="20"/>
          <w:szCs w:val="20"/>
          <w:lang w:val="fr-CA" w:eastAsia="en-CA"/>
        </w:rPr>
      </w:pPr>
    </w:p>
    <w:p w:rsidR="005C53E9" w:rsidRPr="005C53E9" w:rsidRDefault="00893E16" w:rsidP="005C53E9">
      <w:pPr>
        <w:widowControl w:val="0"/>
        <w:rPr>
          <w:rFonts w:eastAsia="Times New Roman" w:cs="Times New Roman"/>
          <w:sz w:val="20"/>
          <w:szCs w:val="20"/>
          <w:lang w:val="fr-CA" w:eastAsia="en-CA"/>
        </w:rPr>
      </w:pPr>
      <w:r>
        <w:rPr>
          <w:rFonts w:eastAsia="Times New Roman" w:cs="Times New Roman"/>
          <w:sz w:val="20"/>
          <w:szCs w:val="20"/>
          <w:lang w:val="fr-CA" w:eastAsia="en-CA"/>
        </w:rPr>
        <w:t xml:space="preserve">Before / Devant : </w:t>
      </w:r>
      <w:r w:rsidR="005C53E9" w:rsidRPr="005C53E9">
        <w:rPr>
          <w:rFonts w:eastAsia="Times New Roman" w:cs="Times New Roman"/>
          <w:sz w:val="20"/>
          <w:szCs w:val="20"/>
          <w:lang w:val="fr-CA" w:eastAsia="en-CA"/>
        </w:rPr>
        <w:t>BROWN J. / LE JUGE BROWN</w:t>
      </w:r>
    </w:p>
    <w:p w:rsidR="005C53E9" w:rsidRPr="005C53E9" w:rsidRDefault="005C53E9" w:rsidP="005C53E9">
      <w:pPr>
        <w:widowControl w:val="0"/>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1170"/>
        <w:gridCol w:w="4219"/>
      </w:tblGrid>
      <w:tr w:rsidR="006E1C57" w:rsidRPr="00B4434E" w:rsidTr="00DE47D4">
        <w:tc>
          <w:tcPr>
            <w:tcW w:w="4230" w:type="dxa"/>
          </w:tcPr>
          <w:p w:rsidR="006E1C57" w:rsidRPr="000A2FBF" w:rsidRDefault="006E1C57" w:rsidP="006E1C57">
            <w:pPr>
              <w:tabs>
                <w:tab w:val="left" w:pos="-1440"/>
                <w:tab w:val="left" w:pos="-720"/>
              </w:tabs>
              <w:rPr>
                <w:b/>
              </w:rPr>
            </w:pPr>
            <w:r w:rsidRPr="00D12F79">
              <w:rPr>
                <w:b/>
                <w:bCs/>
                <w:lang w:val="en-GB"/>
              </w:rPr>
              <w:t xml:space="preserve">Motion for an extension of time </w:t>
            </w:r>
          </w:p>
        </w:tc>
        <w:tc>
          <w:tcPr>
            <w:tcW w:w="1170" w:type="dxa"/>
          </w:tcPr>
          <w:p w:rsidR="006E1C57" w:rsidRPr="000A2FBF" w:rsidRDefault="006E1C57" w:rsidP="006E1C57">
            <w:pPr>
              <w:tabs>
                <w:tab w:val="left" w:pos="-1440"/>
                <w:tab w:val="left" w:pos="-720"/>
              </w:tabs>
            </w:pPr>
          </w:p>
          <w:p w:rsidR="006E1C57" w:rsidRPr="000A2FBF" w:rsidRDefault="006E1C57" w:rsidP="006E1C57">
            <w:pPr>
              <w:tabs>
                <w:tab w:val="left" w:pos="-1440"/>
                <w:tab w:val="left" w:pos="-720"/>
              </w:tabs>
            </w:pPr>
          </w:p>
        </w:tc>
        <w:tc>
          <w:tcPr>
            <w:tcW w:w="4219" w:type="dxa"/>
          </w:tcPr>
          <w:p w:rsidR="006E1C57" w:rsidRPr="00D12F79" w:rsidRDefault="006E1C57" w:rsidP="006E1C57">
            <w:pPr>
              <w:rPr>
                <w:b/>
                <w:bCs/>
                <w:lang w:val="fr-CA"/>
              </w:rPr>
            </w:pPr>
            <w:r w:rsidRPr="00D12F79">
              <w:rPr>
                <w:b/>
                <w:bCs/>
                <w:lang w:val="fr-CA"/>
              </w:rPr>
              <w:t xml:space="preserve">Requête en </w:t>
            </w:r>
            <w:r>
              <w:rPr>
                <w:b/>
                <w:bCs/>
                <w:lang w:val="fr-CA"/>
              </w:rPr>
              <w:t>prorogation de délai</w:t>
            </w:r>
          </w:p>
        </w:tc>
      </w:tr>
      <w:tr w:rsidR="004F53A6" w:rsidRPr="000A2FBF" w:rsidTr="005617E7">
        <w:tc>
          <w:tcPr>
            <w:tcW w:w="4230" w:type="dxa"/>
          </w:tcPr>
          <w:p w:rsidR="004F53A6" w:rsidRPr="000A2FBF" w:rsidRDefault="004F53A6" w:rsidP="00DE47D4">
            <w:pPr>
              <w:tabs>
                <w:tab w:val="left" w:pos="-1440"/>
                <w:tab w:val="left" w:pos="-720"/>
              </w:tabs>
              <w:jc w:val="both"/>
              <w:rPr>
                <w:lang w:val="en-US"/>
              </w:rPr>
            </w:pPr>
            <w:r>
              <w:rPr>
                <w:lang w:val="en-US"/>
              </w:rPr>
              <w:t>Orphan Well Association et al.</w:t>
            </w:r>
          </w:p>
          <w:p w:rsidR="004F53A6" w:rsidRPr="000A2FBF" w:rsidRDefault="004F53A6" w:rsidP="00DE47D4">
            <w:pPr>
              <w:tabs>
                <w:tab w:val="left" w:pos="-1440"/>
                <w:tab w:val="left" w:pos="-720"/>
              </w:tabs>
              <w:jc w:val="both"/>
              <w:rPr>
                <w:lang w:val="en-US"/>
              </w:rPr>
            </w:pPr>
          </w:p>
          <w:p w:rsidR="004F53A6" w:rsidRPr="000A2FBF" w:rsidRDefault="004F53A6" w:rsidP="00DE47D4">
            <w:pPr>
              <w:tabs>
                <w:tab w:val="left" w:pos="-1440"/>
                <w:tab w:val="left" w:pos="-720"/>
              </w:tabs>
              <w:jc w:val="both"/>
              <w:rPr>
                <w:lang w:val="fr-CA"/>
              </w:rPr>
            </w:pPr>
            <w:r w:rsidRPr="000A2FBF">
              <w:rPr>
                <w:lang w:val="en-US"/>
              </w:rPr>
              <w:tab/>
            </w:r>
            <w:r w:rsidRPr="000A2FBF">
              <w:rPr>
                <w:lang w:val="fr-CA"/>
              </w:rPr>
              <w:t>v. (</w:t>
            </w:r>
            <w:r>
              <w:rPr>
                <w:lang w:val="fr-CA"/>
              </w:rPr>
              <w:t>37627</w:t>
            </w:r>
            <w:r w:rsidRPr="000A2FBF">
              <w:rPr>
                <w:lang w:val="fr-CA"/>
              </w:rPr>
              <w:t>)</w:t>
            </w:r>
          </w:p>
          <w:p w:rsidR="004F53A6" w:rsidRPr="000A2FBF" w:rsidRDefault="004F53A6" w:rsidP="00DE47D4">
            <w:pPr>
              <w:tabs>
                <w:tab w:val="left" w:pos="-1440"/>
                <w:tab w:val="left" w:pos="-720"/>
              </w:tabs>
              <w:jc w:val="both"/>
              <w:rPr>
                <w:lang w:val="fr-CA"/>
              </w:rPr>
            </w:pPr>
          </w:p>
          <w:p w:rsidR="004F53A6" w:rsidRPr="000A2FBF" w:rsidRDefault="004F53A6" w:rsidP="00DE47D4">
            <w:pPr>
              <w:tabs>
                <w:tab w:val="left" w:pos="-1440"/>
                <w:tab w:val="left" w:pos="-720"/>
              </w:tabs>
              <w:jc w:val="both"/>
              <w:rPr>
                <w:lang w:val="fr-CA"/>
              </w:rPr>
            </w:pPr>
            <w:r>
              <w:rPr>
                <w:lang w:val="fr-CA"/>
              </w:rPr>
              <w:t>Grant Thorton Limited et al.</w:t>
            </w:r>
            <w:r w:rsidRPr="000A2FBF">
              <w:rPr>
                <w:lang w:val="fr-CA"/>
              </w:rPr>
              <w:t xml:space="preserve"> (</w:t>
            </w:r>
            <w:r>
              <w:rPr>
                <w:lang w:val="fr-CA"/>
              </w:rPr>
              <w:t>Alta.</w:t>
            </w:r>
            <w:r w:rsidRPr="000A2FBF">
              <w:rPr>
                <w:lang w:val="fr-CA"/>
              </w:rPr>
              <w:t>)</w:t>
            </w:r>
          </w:p>
        </w:tc>
        <w:tc>
          <w:tcPr>
            <w:tcW w:w="1170" w:type="dxa"/>
          </w:tcPr>
          <w:p w:rsidR="004F53A6" w:rsidRPr="000A2FBF" w:rsidRDefault="004F53A6" w:rsidP="00DE47D4">
            <w:pPr>
              <w:tabs>
                <w:tab w:val="left" w:pos="-1440"/>
                <w:tab w:val="left" w:pos="-720"/>
              </w:tabs>
              <w:jc w:val="both"/>
              <w:rPr>
                <w:lang w:val="fr-CA"/>
              </w:rPr>
            </w:pPr>
          </w:p>
        </w:tc>
        <w:tc>
          <w:tcPr>
            <w:tcW w:w="4219" w:type="dxa"/>
          </w:tcPr>
          <w:p w:rsidR="004F53A6" w:rsidRPr="000A2FBF" w:rsidRDefault="004F53A6" w:rsidP="00DE47D4">
            <w:pPr>
              <w:tabs>
                <w:tab w:val="left" w:pos="-1440"/>
                <w:tab w:val="left" w:pos="-720"/>
              </w:tabs>
              <w:jc w:val="both"/>
              <w:rPr>
                <w:lang w:val="fr-CA"/>
              </w:rPr>
            </w:pPr>
          </w:p>
        </w:tc>
      </w:tr>
    </w:tbl>
    <w:p w:rsidR="00CA2DEA" w:rsidRDefault="00CA2DEA" w:rsidP="00CA2DEA">
      <w:pPr>
        <w:widowControl w:val="0"/>
        <w:rPr>
          <w:rFonts w:eastAsia="Times New Roman" w:cs="Times New Roman"/>
          <w:sz w:val="20"/>
          <w:szCs w:val="20"/>
          <w:lang w:eastAsia="en-CA"/>
        </w:rPr>
      </w:pPr>
    </w:p>
    <w:p w:rsidR="006E1C57" w:rsidRPr="000A2FBF" w:rsidRDefault="006E1C57" w:rsidP="006E1C57">
      <w:pPr>
        <w:tabs>
          <w:tab w:val="left" w:pos="-1440"/>
          <w:tab w:val="left" w:pos="-720"/>
        </w:tabs>
        <w:jc w:val="both"/>
        <w:rPr>
          <w:rFonts w:eastAsia="Times New Roman" w:cs="Times New Roman"/>
          <w:b/>
          <w:sz w:val="20"/>
          <w:szCs w:val="20"/>
          <w:lang w:val="en-US" w:eastAsia="en-CA"/>
        </w:rPr>
      </w:pPr>
      <w:r w:rsidRPr="000A2FBF">
        <w:rPr>
          <w:rFonts w:eastAsia="Times New Roman" w:cs="Times New Roman"/>
          <w:b/>
          <w:sz w:val="20"/>
          <w:szCs w:val="20"/>
          <w:lang w:val="en-US" w:eastAsia="en-CA"/>
        </w:rPr>
        <w:t>GRANTED / ACCUEILLIE</w:t>
      </w:r>
    </w:p>
    <w:p w:rsidR="006E1C57" w:rsidRDefault="006E1C57" w:rsidP="005C53E9">
      <w:pPr>
        <w:widowControl w:val="0"/>
        <w:rPr>
          <w:rFonts w:eastAsia="Times New Roman" w:cs="Times New Roman"/>
          <w:b/>
          <w:bCs/>
          <w:sz w:val="20"/>
          <w:szCs w:val="20"/>
          <w:lang w:val="en-US" w:eastAsia="en-CA"/>
        </w:rPr>
      </w:pPr>
    </w:p>
    <w:p w:rsidR="005C53E9" w:rsidRPr="005C53E9" w:rsidRDefault="005C53E9" w:rsidP="005C53E9">
      <w:pPr>
        <w:widowControl w:val="0"/>
        <w:rPr>
          <w:rFonts w:eastAsia="Times New Roman" w:cs="Times New Roman"/>
          <w:sz w:val="20"/>
          <w:szCs w:val="20"/>
          <w:lang w:val="en-US" w:eastAsia="en-CA"/>
        </w:rPr>
      </w:pPr>
      <w:r w:rsidRPr="005C53E9">
        <w:rPr>
          <w:rFonts w:eastAsia="Times New Roman" w:cs="Times New Roman"/>
          <w:b/>
          <w:bCs/>
          <w:sz w:val="20"/>
          <w:szCs w:val="20"/>
          <w:lang w:eastAsia="en-CA"/>
        </w:rPr>
        <w:t>WHEREAS</w:t>
      </w:r>
      <w:r w:rsidRPr="005C53E9">
        <w:rPr>
          <w:rFonts w:eastAsia="Times New Roman" w:cs="Times New Roman"/>
          <w:sz w:val="20"/>
          <w:szCs w:val="20"/>
          <w:lang w:eastAsia="en-CA"/>
        </w:rPr>
        <w:t xml:space="preserve"> </w:t>
      </w:r>
      <w:r w:rsidRPr="005C53E9">
        <w:rPr>
          <w:rFonts w:eastAsia="Times New Roman" w:cs="Times New Roman"/>
          <w:sz w:val="20"/>
          <w:szCs w:val="20"/>
          <w:lang w:val="en-US" w:eastAsia="en-CA"/>
        </w:rPr>
        <w:t>the Minister of Justice and Solicitor General of Alberta was granted permission to present oral argument not exceeding five (5) minutes at the hearing of the appeal by order dated January 18, 2018;</w:t>
      </w:r>
    </w:p>
    <w:p w:rsidR="005C53E9" w:rsidRPr="005C53E9" w:rsidRDefault="005C53E9" w:rsidP="005C53E9">
      <w:pPr>
        <w:widowControl w:val="0"/>
        <w:rPr>
          <w:rFonts w:eastAsia="Times New Roman" w:cs="Times New Roman"/>
          <w:sz w:val="20"/>
          <w:szCs w:val="20"/>
          <w:lang w:val="en-US" w:eastAsia="en-CA"/>
        </w:rPr>
      </w:pPr>
    </w:p>
    <w:p w:rsidR="005C53E9" w:rsidRPr="005C53E9" w:rsidRDefault="005C53E9" w:rsidP="005C53E9">
      <w:pPr>
        <w:widowControl w:val="0"/>
        <w:rPr>
          <w:rFonts w:eastAsia="Times New Roman" w:cs="Times New Roman"/>
          <w:sz w:val="20"/>
          <w:szCs w:val="20"/>
          <w:lang w:val="en-US" w:eastAsia="en-CA"/>
        </w:rPr>
      </w:pPr>
      <w:r w:rsidRPr="005C53E9">
        <w:rPr>
          <w:rFonts w:eastAsia="Times New Roman" w:cs="Times New Roman"/>
          <w:b/>
          <w:sz w:val="20"/>
          <w:szCs w:val="20"/>
          <w:lang w:val="en-US" w:eastAsia="en-CA"/>
        </w:rPr>
        <w:t>AND UPON THE SUBSEQUENT RECEIPT</w:t>
      </w:r>
      <w:r w:rsidRPr="005C53E9">
        <w:rPr>
          <w:rFonts w:eastAsia="Times New Roman" w:cs="Times New Roman"/>
          <w:sz w:val="20"/>
          <w:szCs w:val="20"/>
          <w:lang w:val="en-US" w:eastAsia="en-CA"/>
        </w:rPr>
        <w:t xml:space="preserve"> of the Minister of Justice and Solicitor General of Alberta’s request for permission to present oral argument at the hearing of the appeal exceeding the five (5) minutes granted;</w:t>
      </w:r>
    </w:p>
    <w:p w:rsidR="005C53E9" w:rsidRPr="005C53E9" w:rsidRDefault="005C53E9" w:rsidP="005C53E9">
      <w:pPr>
        <w:widowControl w:val="0"/>
        <w:rPr>
          <w:rFonts w:eastAsia="Times New Roman" w:cs="Times New Roman"/>
          <w:sz w:val="20"/>
          <w:szCs w:val="20"/>
          <w:lang w:eastAsia="en-CA"/>
        </w:rPr>
      </w:pPr>
    </w:p>
    <w:p w:rsidR="005C53E9" w:rsidRPr="005C53E9" w:rsidRDefault="005C53E9" w:rsidP="005C53E9">
      <w:pPr>
        <w:widowControl w:val="0"/>
        <w:rPr>
          <w:rFonts w:eastAsia="Times New Roman" w:cs="Times New Roman"/>
          <w:sz w:val="20"/>
          <w:szCs w:val="20"/>
          <w:lang w:val="en-US" w:eastAsia="en-CA"/>
        </w:rPr>
      </w:pPr>
      <w:r w:rsidRPr="005C53E9">
        <w:rPr>
          <w:rFonts w:eastAsia="Times New Roman" w:cs="Times New Roman"/>
          <w:b/>
          <w:bCs/>
          <w:sz w:val="20"/>
          <w:szCs w:val="20"/>
          <w:lang w:val="en-US" w:eastAsia="en-CA"/>
        </w:rPr>
        <w:t>AND THE MATERIAL FILED</w:t>
      </w:r>
      <w:r w:rsidRPr="005C53E9">
        <w:rPr>
          <w:rFonts w:eastAsia="Times New Roman" w:cs="Times New Roman"/>
          <w:sz w:val="20"/>
          <w:szCs w:val="20"/>
          <w:lang w:val="en-US" w:eastAsia="en-CA"/>
        </w:rPr>
        <w:t xml:space="preserve"> having been read;</w:t>
      </w:r>
    </w:p>
    <w:p w:rsidR="005C53E9" w:rsidRPr="005C53E9" w:rsidRDefault="005C53E9" w:rsidP="005C53E9">
      <w:pPr>
        <w:widowControl w:val="0"/>
        <w:rPr>
          <w:rFonts w:eastAsia="Times New Roman" w:cs="Times New Roman"/>
          <w:sz w:val="20"/>
          <w:szCs w:val="20"/>
          <w:lang w:val="en-US" w:eastAsia="en-CA"/>
        </w:rPr>
      </w:pPr>
    </w:p>
    <w:p w:rsidR="005C53E9" w:rsidRPr="005C53E9" w:rsidRDefault="005C53E9" w:rsidP="005C53E9">
      <w:pPr>
        <w:widowControl w:val="0"/>
        <w:rPr>
          <w:rFonts w:eastAsia="Times New Roman" w:cs="Times New Roman"/>
          <w:b/>
          <w:bCs/>
          <w:sz w:val="20"/>
          <w:szCs w:val="20"/>
          <w:lang w:val="en-US" w:eastAsia="en-CA"/>
        </w:rPr>
      </w:pPr>
      <w:r w:rsidRPr="005C53E9">
        <w:rPr>
          <w:rFonts w:eastAsia="Times New Roman" w:cs="Times New Roman"/>
          <w:b/>
          <w:bCs/>
          <w:sz w:val="20"/>
          <w:szCs w:val="20"/>
          <w:lang w:val="en-US" w:eastAsia="en-CA"/>
        </w:rPr>
        <w:t>IT IS HEREBY ORDERED THAT:</w:t>
      </w:r>
    </w:p>
    <w:p w:rsidR="005C53E9" w:rsidRPr="005C53E9" w:rsidRDefault="005C53E9" w:rsidP="005C53E9">
      <w:pPr>
        <w:widowControl w:val="0"/>
        <w:rPr>
          <w:rFonts w:eastAsia="Times New Roman" w:cs="Times New Roman"/>
          <w:sz w:val="20"/>
          <w:szCs w:val="20"/>
          <w:lang w:val="en-US" w:eastAsia="en-CA"/>
        </w:rPr>
      </w:pPr>
    </w:p>
    <w:p w:rsidR="005C53E9" w:rsidRPr="005C53E9" w:rsidRDefault="005C53E9" w:rsidP="005C53E9">
      <w:pPr>
        <w:widowControl w:val="0"/>
        <w:rPr>
          <w:rFonts w:eastAsia="Times New Roman" w:cs="Times New Roman"/>
          <w:sz w:val="20"/>
          <w:szCs w:val="20"/>
          <w:lang w:val="en-US" w:eastAsia="en-CA"/>
        </w:rPr>
      </w:pPr>
      <w:r w:rsidRPr="005C53E9">
        <w:rPr>
          <w:rFonts w:eastAsia="Times New Roman" w:cs="Times New Roman"/>
          <w:sz w:val="20"/>
          <w:szCs w:val="20"/>
          <w:lang w:val="en-US" w:eastAsia="en-CA"/>
        </w:rPr>
        <w:t>The Order dated January 18, 2018, is varied as follows:</w:t>
      </w:r>
    </w:p>
    <w:p w:rsidR="005C53E9" w:rsidRPr="005C53E9" w:rsidRDefault="005C53E9" w:rsidP="005C53E9">
      <w:pPr>
        <w:widowControl w:val="0"/>
        <w:rPr>
          <w:rFonts w:eastAsia="Times New Roman" w:cs="Times New Roman"/>
          <w:sz w:val="20"/>
          <w:szCs w:val="20"/>
          <w:lang w:val="en-US" w:eastAsia="en-CA"/>
        </w:rPr>
      </w:pPr>
    </w:p>
    <w:p w:rsidR="005C53E9" w:rsidRPr="005C53E9" w:rsidRDefault="005C53E9" w:rsidP="005C53E9">
      <w:pPr>
        <w:widowControl w:val="0"/>
        <w:rPr>
          <w:rFonts w:eastAsia="Times New Roman" w:cs="Times New Roman"/>
          <w:sz w:val="20"/>
          <w:szCs w:val="20"/>
          <w:lang w:eastAsia="en-CA"/>
        </w:rPr>
      </w:pPr>
      <w:r w:rsidRPr="005C53E9">
        <w:rPr>
          <w:rFonts w:eastAsia="Times New Roman" w:cs="Times New Roman"/>
          <w:sz w:val="20"/>
          <w:szCs w:val="20"/>
          <w:lang w:val="en-US" w:eastAsia="en-CA"/>
        </w:rPr>
        <w:t>The intervener, Minister of Justice and Solicitor General of Alberta, is granted permission to present oral a</w:t>
      </w:r>
      <w:r w:rsidRPr="005C53E9">
        <w:rPr>
          <w:rFonts w:eastAsia="Times New Roman" w:cs="Times New Roman"/>
          <w:sz w:val="20"/>
          <w:szCs w:val="20"/>
          <w:lang w:eastAsia="en-CA"/>
        </w:rPr>
        <w:t>rgument not exceeding fifteen (15) minutes at the hearing of the appeal.</w:t>
      </w:r>
    </w:p>
    <w:p w:rsidR="005C53E9" w:rsidRPr="005C53E9" w:rsidRDefault="005C53E9" w:rsidP="005C53E9">
      <w:pPr>
        <w:widowControl w:val="0"/>
        <w:rPr>
          <w:rFonts w:eastAsia="Times New Roman" w:cs="Times New Roman"/>
          <w:sz w:val="20"/>
          <w:szCs w:val="20"/>
          <w:lang w:eastAsia="en-CA"/>
        </w:rPr>
      </w:pPr>
    </w:p>
    <w:p w:rsidR="005C53E9" w:rsidRPr="005C53E9" w:rsidRDefault="005C53E9" w:rsidP="005C53E9">
      <w:pPr>
        <w:widowControl w:val="0"/>
        <w:rPr>
          <w:rFonts w:eastAsia="Times New Roman" w:cs="Times New Roman"/>
          <w:sz w:val="20"/>
          <w:szCs w:val="20"/>
          <w:lang w:eastAsia="en-CA"/>
        </w:rPr>
      </w:pPr>
    </w:p>
    <w:p w:rsidR="005C53E9" w:rsidRPr="005C53E9" w:rsidRDefault="005C53E9" w:rsidP="005C53E9">
      <w:pPr>
        <w:widowControl w:val="0"/>
        <w:rPr>
          <w:rFonts w:eastAsia="Times New Roman" w:cs="Times New Roman"/>
          <w:sz w:val="20"/>
          <w:szCs w:val="20"/>
          <w:lang w:val="fr-CA" w:eastAsia="en-CA"/>
        </w:rPr>
      </w:pPr>
      <w:r w:rsidRPr="005C53E9">
        <w:rPr>
          <w:rFonts w:eastAsia="Times New Roman" w:cs="Times New Roman"/>
          <w:b/>
          <w:sz w:val="20"/>
          <w:szCs w:val="20"/>
          <w:lang w:val="fr-CA" w:eastAsia="en-CA"/>
        </w:rPr>
        <w:t>ATTENDU QUE</w:t>
      </w:r>
      <w:r w:rsidRPr="005C53E9">
        <w:rPr>
          <w:rFonts w:eastAsia="Times New Roman" w:cs="Times New Roman"/>
          <w:sz w:val="20"/>
          <w:szCs w:val="20"/>
          <w:lang w:val="fr-CA" w:eastAsia="en-CA"/>
        </w:rPr>
        <w:t xml:space="preserve"> le ministre de la Justice et solliciteur général de l’Alberta a obtenu, dans une ordonnance datée du 18 janvier 2018, la permission de présenter une plaidoirie orale d’au plus cinq (5) minutes lors de l’audition de l’appel;</w:t>
      </w:r>
    </w:p>
    <w:p w:rsidR="005C53E9" w:rsidRPr="005C53E9" w:rsidRDefault="005C53E9" w:rsidP="005C53E9">
      <w:pPr>
        <w:widowControl w:val="0"/>
        <w:rPr>
          <w:rFonts w:eastAsia="Times New Roman" w:cs="Times New Roman"/>
          <w:sz w:val="20"/>
          <w:szCs w:val="20"/>
          <w:lang w:val="fr-CA" w:eastAsia="en-CA"/>
        </w:rPr>
      </w:pPr>
    </w:p>
    <w:p w:rsidR="005C53E9" w:rsidRPr="005C53E9" w:rsidRDefault="005C53E9" w:rsidP="005C53E9">
      <w:pPr>
        <w:widowControl w:val="0"/>
        <w:rPr>
          <w:rFonts w:eastAsia="Times New Roman" w:cs="Times New Roman"/>
          <w:sz w:val="20"/>
          <w:szCs w:val="20"/>
          <w:lang w:val="fr-CA" w:eastAsia="en-CA"/>
        </w:rPr>
      </w:pPr>
      <w:r w:rsidRPr="005C53E9">
        <w:rPr>
          <w:rFonts w:eastAsia="Times New Roman" w:cs="Times New Roman"/>
          <w:b/>
          <w:sz w:val="20"/>
          <w:szCs w:val="20"/>
          <w:lang w:val="fr-CA" w:eastAsia="en-CA"/>
        </w:rPr>
        <w:t>ET À LA SUITE DE LA RÉCEPTION</w:t>
      </w:r>
      <w:r w:rsidRPr="005C53E9">
        <w:rPr>
          <w:rFonts w:eastAsia="Times New Roman" w:cs="Times New Roman"/>
          <w:sz w:val="20"/>
          <w:szCs w:val="20"/>
          <w:lang w:val="fr-CA" w:eastAsia="en-CA"/>
        </w:rPr>
        <w:t xml:space="preserve"> d’une demande du ministre de la Justice et solliciteur général de l’Alberta visant à obtenir la permission de présenter une plaidoirie orale de plus de cinq (5) minutes lors de l’audition de l’appel;</w:t>
      </w:r>
    </w:p>
    <w:p w:rsidR="005C53E9" w:rsidRPr="005C53E9" w:rsidRDefault="005C53E9" w:rsidP="005C53E9">
      <w:pPr>
        <w:widowControl w:val="0"/>
        <w:rPr>
          <w:rFonts w:eastAsia="Times New Roman" w:cs="Times New Roman"/>
          <w:sz w:val="20"/>
          <w:szCs w:val="20"/>
          <w:lang w:val="fr-CA" w:eastAsia="en-CA"/>
        </w:rPr>
      </w:pPr>
    </w:p>
    <w:p w:rsidR="005C53E9" w:rsidRPr="005C53E9" w:rsidRDefault="005C53E9" w:rsidP="005C53E9">
      <w:pPr>
        <w:widowControl w:val="0"/>
        <w:rPr>
          <w:rFonts w:eastAsia="Times New Roman" w:cs="Times New Roman"/>
          <w:sz w:val="20"/>
          <w:szCs w:val="20"/>
          <w:lang w:val="fr-CA" w:eastAsia="en-CA"/>
        </w:rPr>
      </w:pPr>
      <w:r w:rsidRPr="005C53E9">
        <w:rPr>
          <w:rFonts w:eastAsia="Times New Roman" w:cs="Times New Roman"/>
          <w:b/>
          <w:sz w:val="20"/>
          <w:szCs w:val="20"/>
          <w:lang w:val="fr-CA" w:eastAsia="en-CA"/>
        </w:rPr>
        <w:t>ET APRÈS EXAMEN</w:t>
      </w:r>
      <w:r w:rsidRPr="005C53E9">
        <w:rPr>
          <w:rFonts w:eastAsia="Times New Roman" w:cs="Times New Roman"/>
          <w:sz w:val="20"/>
          <w:szCs w:val="20"/>
          <w:lang w:val="fr-CA" w:eastAsia="en-CA"/>
        </w:rPr>
        <w:t xml:space="preserve"> des documents déposés;</w:t>
      </w:r>
    </w:p>
    <w:p w:rsidR="005C53E9" w:rsidRPr="005C53E9" w:rsidRDefault="005C53E9" w:rsidP="005C53E9">
      <w:pPr>
        <w:widowControl w:val="0"/>
        <w:rPr>
          <w:rFonts w:eastAsia="Times New Roman" w:cs="Times New Roman"/>
          <w:sz w:val="20"/>
          <w:szCs w:val="20"/>
          <w:lang w:val="fr-CA" w:eastAsia="en-CA"/>
        </w:rPr>
      </w:pPr>
    </w:p>
    <w:p w:rsidR="005C53E9" w:rsidRPr="005C53E9" w:rsidRDefault="005C53E9" w:rsidP="005C53E9">
      <w:pPr>
        <w:widowControl w:val="0"/>
        <w:rPr>
          <w:rFonts w:eastAsia="Times New Roman" w:cs="Times New Roman"/>
          <w:b/>
          <w:sz w:val="20"/>
          <w:szCs w:val="20"/>
          <w:lang w:val="fr-CA" w:eastAsia="en-CA"/>
        </w:rPr>
      </w:pPr>
      <w:r w:rsidRPr="005C53E9">
        <w:rPr>
          <w:rFonts w:eastAsia="Times New Roman" w:cs="Times New Roman"/>
          <w:b/>
          <w:sz w:val="20"/>
          <w:szCs w:val="20"/>
          <w:lang w:val="fr-CA" w:eastAsia="en-CA"/>
        </w:rPr>
        <w:t>IL EST ORDONNÉ CE QUI SUIT :</w:t>
      </w:r>
    </w:p>
    <w:p w:rsidR="005C53E9" w:rsidRPr="005C53E9" w:rsidRDefault="005C53E9" w:rsidP="005C53E9">
      <w:pPr>
        <w:widowControl w:val="0"/>
        <w:rPr>
          <w:rFonts w:eastAsia="Times New Roman" w:cs="Times New Roman"/>
          <w:b/>
          <w:sz w:val="20"/>
          <w:szCs w:val="20"/>
          <w:lang w:val="fr-CA" w:eastAsia="en-CA"/>
        </w:rPr>
      </w:pPr>
    </w:p>
    <w:p w:rsidR="005C53E9" w:rsidRPr="005C53E9" w:rsidRDefault="005C53E9" w:rsidP="005C53E9">
      <w:pPr>
        <w:widowControl w:val="0"/>
        <w:rPr>
          <w:rFonts w:eastAsia="Times New Roman" w:cs="Times New Roman"/>
          <w:sz w:val="20"/>
          <w:szCs w:val="20"/>
          <w:lang w:val="fr-CA" w:eastAsia="en-CA"/>
        </w:rPr>
      </w:pPr>
      <w:r w:rsidRPr="005C53E9">
        <w:rPr>
          <w:rFonts w:eastAsia="Times New Roman" w:cs="Times New Roman"/>
          <w:sz w:val="20"/>
          <w:szCs w:val="20"/>
          <w:lang w:val="fr-CA" w:eastAsia="en-CA"/>
        </w:rPr>
        <w:t>L’ordonnance datée du 18 janvier 2018 est modifiée de la façon suivante :</w:t>
      </w:r>
    </w:p>
    <w:p w:rsidR="005C53E9" w:rsidRPr="005C53E9" w:rsidRDefault="005C53E9" w:rsidP="005C53E9">
      <w:pPr>
        <w:widowControl w:val="0"/>
        <w:rPr>
          <w:rFonts w:eastAsia="Times New Roman" w:cs="Times New Roman"/>
          <w:sz w:val="20"/>
          <w:szCs w:val="20"/>
          <w:lang w:val="fr-CA" w:eastAsia="en-CA"/>
        </w:rPr>
      </w:pPr>
      <w:r w:rsidRPr="005C53E9">
        <w:rPr>
          <w:rFonts w:eastAsia="Times New Roman" w:cs="Times New Roman"/>
          <w:sz w:val="20"/>
          <w:szCs w:val="20"/>
          <w:lang w:val="fr-CA" w:eastAsia="en-CA"/>
        </w:rPr>
        <w:tab/>
      </w:r>
    </w:p>
    <w:p w:rsidR="005C53E9" w:rsidRPr="005C53E9" w:rsidRDefault="005C53E9" w:rsidP="005C53E9">
      <w:pPr>
        <w:widowControl w:val="0"/>
        <w:rPr>
          <w:rFonts w:eastAsia="Times New Roman" w:cs="Times New Roman"/>
          <w:sz w:val="20"/>
          <w:szCs w:val="20"/>
          <w:lang w:val="fr-CA" w:eastAsia="en-CA"/>
        </w:rPr>
      </w:pPr>
      <w:r w:rsidRPr="005C53E9">
        <w:rPr>
          <w:rFonts w:eastAsia="Times New Roman" w:cs="Times New Roman"/>
          <w:sz w:val="20"/>
          <w:szCs w:val="20"/>
          <w:lang w:val="fr-CA" w:eastAsia="en-CA"/>
        </w:rPr>
        <w:t>L’intervenant, le ministre de la Justice et solliciteur général de l’Alberta, est autorisé à présenter une plaidoirie orale d’au plus quinze (15) minutes lors de l’audition de l’appel.</w:t>
      </w:r>
    </w:p>
    <w:p w:rsidR="005C53E9" w:rsidRPr="005C53E9" w:rsidRDefault="005C53E9" w:rsidP="00CA2DEA">
      <w:pPr>
        <w:widowControl w:val="0"/>
        <w:rPr>
          <w:rFonts w:eastAsia="Times New Roman" w:cs="Times New Roman"/>
          <w:sz w:val="20"/>
          <w:szCs w:val="20"/>
          <w:lang w:val="fr-CA" w:eastAsia="en-CA"/>
        </w:rPr>
      </w:pPr>
    </w:p>
    <w:p w:rsidR="00CA2DEA" w:rsidRPr="006E5D7C" w:rsidRDefault="00167F64"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59" style="width:2in;height:1pt" o:hrpct="0" o:hralign="center" o:hrstd="t" o:hrnoshade="t" o:hr="t" fillcolor="black [3213]" stroked="f"/>
        </w:pict>
      </w:r>
    </w:p>
    <w:p w:rsidR="00CA2DEA" w:rsidRPr="006E5D7C" w:rsidRDefault="00CA2DEA" w:rsidP="00CA2DEA">
      <w:pPr>
        <w:widowControl w:val="0"/>
        <w:rPr>
          <w:rFonts w:eastAsia="Times New Roman" w:cs="Times New Roman"/>
          <w:sz w:val="20"/>
          <w:szCs w:val="20"/>
          <w:lang w:val="en-US"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0D61A4" w:rsidRDefault="000D61A4">
      <w:pPr>
        <w:rPr>
          <w:rFonts w:eastAsia="Times New Roman" w:cs="Times New Roman"/>
          <w:sz w:val="20"/>
          <w:szCs w:val="20"/>
          <w:lang w:val="fr-CA" w:eastAsia="en-CA"/>
        </w:rPr>
      </w:pPr>
      <w:r>
        <w:rPr>
          <w:rFonts w:eastAsia="Times New Roman" w:cs="Times New Roman"/>
          <w:sz w:val="20"/>
          <w:szCs w:val="20"/>
          <w:lang w:val="fr-CA" w:eastAsia="en-CA"/>
        </w:rPr>
        <w:br w:type="page"/>
      </w:r>
    </w:p>
    <w:p w:rsidR="005946DD" w:rsidRPr="005C53E9" w:rsidRDefault="005946DD" w:rsidP="005946DD">
      <w:pPr>
        <w:widowControl w:val="0"/>
        <w:rPr>
          <w:rFonts w:eastAsia="Times New Roman" w:cs="Times New Roman"/>
          <w:sz w:val="20"/>
          <w:szCs w:val="20"/>
          <w:lang w:val="fr-CA" w:eastAsia="en-CA"/>
        </w:rPr>
      </w:pPr>
      <w:r w:rsidRPr="005C53E9">
        <w:rPr>
          <w:rFonts w:eastAsia="Times New Roman" w:cs="Times New Roman"/>
          <w:sz w:val="20"/>
          <w:szCs w:val="20"/>
          <w:lang w:val="fr-CA" w:eastAsia="en-CA"/>
        </w:rPr>
        <w:t>2</w:t>
      </w:r>
      <w:r>
        <w:rPr>
          <w:rFonts w:eastAsia="Times New Roman" w:cs="Times New Roman"/>
          <w:sz w:val="20"/>
          <w:szCs w:val="20"/>
          <w:lang w:val="fr-CA" w:eastAsia="en-CA"/>
        </w:rPr>
        <w:t>9</w:t>
      </w:r>
      <w:r w:rsidRPr="005C53E9">
        <w:rPr>
          <w:rFonts w:eastAsia="Times New Roman" w:cs="Times New Roman"/>
          <w:sz w:val="20"/>
          <w:szCs w:val="20"/>
          <w:lang w:val="fr-CA" w:eastAsia="en-CA"/>
        </w:rPr>
        <w:t>.01.2018</w:t>
      </w:r>
    </w:p>
    <w:p w:rsidR="005946DD" w:rsidRPr="005C53E9" w:rsidRDefault="005946DD" w:rsidP="005946DD">
      <w:pPr>
        <w:widowControl w:val="0"/>
        <w:rPr>
          <w:rFonts w:eastAsia="Times New Roman" w:cs="Times New Roman"/>
          <w:sz w:val="20"/>
          <w:szCs w:val="20"/>
          <w:lang w:val="fr-CA" w:eastAsia="en-CA"/>
        </w:rPr>
      </w:pPr>
    </w:p>
    <w:p w:rsidR="005946DD" w:rsidRPr="005C53E9" w:rsidRDefault="005946DD" w:rsidP="005946DD">
      <w:pPr>
        <w:widowControl w:val="0"/>
        <w:rPr>
          <w:rFonts w:eastAsia="Times New Roman" w:cs="Times New Roman"/>
          <w:sz w:val="20"/>
          <w:szCs w:val="20"/>
          <w:lang w:val="fr-CA" w:eastAsia="en-CA"/>
        </w:rPr>
      </w:pPr>
      <w:r>
        <w:rPr>
          <w:rFonts w:eastAsia="Times New Roman" w:cs="Times New Roman"/>
          <w:sz w:val="20"/>
          <w:szCs w:val="20"/>
          <w:lang w:val="fr-CA" w:eastAsia="en-CA"/>
        </w:rPr>
        <w:t xml:space="preserve">Before / Devant : </w:t>
      </w:r>
      <w:r w:rsidRPr="005C53E9">
        <w:rPr>
          <w:rFonts w:eastAsia="Times New Roman" w:cs="Times New Roman"/>
          <w:sz w:val="20"/>
          <w:szCs w:val="20"/>
          <w:lang w:val="fr-CA" w:eastAsia="en-CA"/>
        </w:rPr>
        <w:t>BROWN J. / LE JUGE BROWN</w:t>
      </w:r>
    </w:p>
    <w:p w:rsidR="00A65F1E" w:rsidRPr="00AE0F22" w:rsidRDefault="00A65F1E" w:rsidP="00A65F1E">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5"/>
        <w:gridCol w:w="1134"/>
        <w:gridCol w:w="4210"/>
      </w:tblGrid>
      <w:tr w:rsidR="00A65F1E" w:rsidRPr="0069725A" w:rsidTr="00A65F1E">
        <w:trPr>
          <w:trHeight w:val="495"/>
        </w:trPr>
        <w:tc>
          <w:tcPr>
            <w:tcW w:w="4275" w:type="dxa"/>
          </w:tcPr>
          <w:p w:rsidR="00A65F1E" w:rsidRDefault="0004555E" w:rsidP="00A65F1E">
            <w:pPr>
              <w:rPr>
                <w:b/>
                <w:bCs/>
                <w:color w:val="000000"/>
                <w:lang w:val="en-GB"/>
              </w:rPr>
            </w:pPr>
            <w:r>
              <w:rPr>
                <w:b/>
                <w:bCs/>
                <w:color w:val="000000"/>
                <w:lang w:val="en-GB"/>
              </w:rPr>
              <w:t>Order</w:t>
            </w:r>
          </w:p>
          <w:p w:rsidR="00A65F1E" w:rsidRPr="00AE0F22" w:rsidRDefault="00A65F1E" w:rsidP="00A65F1E">
            <w:pPr>
              <w:rPr>
                <w:b/>
              </w:rPr>
            </w:pPr>
          </w:p>
        </w:tc>
        <w:tc>
          <w:tcPr>
            <w:tcW w:w="1134" w:type="dxa"/>
          </w:tcPr>
          <w:p w:rsidR="00A65F1E" w:rsidRPr="00AE0F22" w:rsidRDefault="00A65F1E" w:rsidP="00A65F1E"/>
          <w:p w:rsidR="00A65F1E" w:rsidRPr="00AE0F22" w:rsidRDefault="00A65F1E" w:rsidP="00A65F1E"/>
        </w:tc>
        <w:tc>
          <w:tcPr>
            <w:tcW w:w="4210" w:type="dxa"/>
          </w:tcPr>
          <w:p w:rsidR="00A65F1E" w:rsidRPr="00EE39AA" w:rsidRDefault="0004555E" w:rsidP="00A65F1E">
            <w:pPr>
              <w:jc w:val="both"/>
              <w:rPr>
                <w:color w:val="000000"/>
                <w:lang w:val="fr-CA"/>
              </w:rPr>
            </w:pPr>
            <w:r>
              <w:rPr>
                <w:b/>
                <w:bCs/>
                <w:color w:val="000000"/>
                <w:lang w:val="fr-CA"/>
              </w:rPr>
              <w:t>Ordonnance</w:t>
            </w:r>
          </w:p>
        </w:tc>
      </w:tr>
      <w:tr w:rsidR="00A65F1E" w:rsidRPr="00AE0F22" w:rsidTr="00DE47D4">
        <w:trPr>
          <w:trHeight w:val="1449"/>
        </w:trPr>
        <w:tc>
          <w:tcPr>
            <w:tcW w:w="4275" w:type="dxa"/>
          </w:tcPr>
          <w:p w:rsidR="00A65F1E" w:rsidRPr="00A65F1E" w:rsidRDefault="00A65F1E" w:rsidP="00DE47D4">
            <w:pPr>
              <w:rPr>
                <w:lang w:val="en-US"/>
              </w:rPr>
            </w:pPr>
            <w:r w:rsidRPr="00A65F1E">
              <w:rPr>
                <w:lang w:val="en-US"/>
              </w:rPr>
              <w:t>Thomas Reeves</w:t>
            </w:r>
          </w:p>
          <w:p w:rsidR="00A65F1E" w:rsidRPr="00A65F1E" w:rsidRDefault="00A65F1E" w:rsidP="00DE47D4">
            <w:pPr>
              <w:rPr>
                <w:lang w:val="en-US"/>
              </w:rPr>
            </w:pPr>
          </w:p>
          <w:p w:rsidR="00A65F1E" w:rsidRPr="00A65F1E" w:rsidRDefault="00A65F1E" w:rsidP="00DE47D4">
            <w:pPr>
              <w:rPr>
                <w:lang w:val="en-US"/>
              </w:rPr>
            </w:pPr>
            <w:r w:rsidRPr="00A65F1E">
              <w:rPr>
                <w:lang w:val="en-US"/>
              </w:rPr>
              <w:tab/>
              <w:t>v. (37676)</w:t>
            </w:r>
          </w:p>
          <w:p w:rsidR="00A65F1E" w:rsidRPr="00A65F1E" w:rsidRDefault="00A65F1E" w:rsidP="00DE47D4">
            <w:pPr>
              <w:rPr>
                <w:lang w:val="en-US"/>
              </w:rPr>
            </w:pPr>
          </w:p>
          <w:p w:rsidR="00A65F1E" w:rsidRPr="00AE0F22" w:rsidRDefault="00A65F1E" w:rsidP="00A65F1E">
            <w:r>
              <w:t>Her Majesty the Queen</w:t>
            </w:r>
            <w:r w:rsidRPr="00AE0F22">
              <w:t xml:space="preserve"> (</w:t>
            </w:r>
            <w:r>
              <w:t>Ont.</w:t>
            </w:r>
            <w:r w:rsidRPr="00AE0F22">
              <w:t>)</w:t>
            </w:r>
          </w:p>
        </w:tc>
        <w:tc>
          <w:tcPr>
            <w:tcW w:w="1134" w:type="dxa"/>
          </w:tcPr>
          <w:p w:rsidR="00A65F1E" w:rsidRPr="00AE0F22" w:rsidRDefault="00A65F1E" w:rsidP="00DE47D4"/>
        </w:tc>
        <w:tc>
          <w:tcPr>
            <w:tcW w:w="4210" w:type="dxa"/>
          </w:tcPr>
          <w:p w:rsidR="00A65F1E" w:rsidRPr="00AE0F22" w:rsidRDefault="00A65F1E" w:rsidP="00DE47D4"/>
        </w:tc>
      </w:tr>
    </w:tbl>
    <w:p w:rsidR="00A65F1E" w:rsidRPr="00AE0F22" w:rsidRDefault="00A65F1E" w:rsidP="00A65F1E">
      <w:pPr>
        <w:tabs>
          <w:tab w:val="left" w:pos="-1440"/>
          <w:tab w:val="left" w:pos="-720"/>
        </w:tabs>
        <w:jc w:val="both"/>
        <w:rPr>
          <w:rFonts w:eastAsia="Times New Roman" w:cs="Times New Roman"/>
          <w:sz w:val="20"/>
          <w:szCs w:val="20"/>
          <w:lang w:eastAsia="en-CA"/>
        </w:rPr>
      </w:pPr>
    </w:p>
    <w:p w:rsidR="00A65F1E" w:rsidRPr="00A65F1E" w:rsidRDefault="00A65F1E" w:rsidP="00A65F1E">
      <w:pPr>
        <w:rPr>
          <w:sz w:val="20"/>
          <w:szCs w:val="20"/>
        </w:rPr>
      </w:pPr>
      <w:r w:rsidRPr="00A65F1E">
        <w:rPr>
          <w:b/>
          <w:bCs/>
          <w:sz w:val="20"/>
          <w:szCs w:val="20"/>
        </w:rPr>
        <w:t>UPON APPLICATION</w:t>
      </w:r>
      <w:r w:rsidRPr="00A65F1E">
        <w:rPr>
          <w:sz w:val="20"/>
          <w:szCs w:val="20"/>
        </w:rPr>
        <w:t xml:space="preserve"> by the appellant for an order extending the time to serve and file his notice of appeal; </w:t>
      </w:r>
    </w:p>
    <w:p w:rsidR="00A65F1E" w:rsidRPr="00A65F1E" w:rsidRDefault="00A65F1E" w:rsidP="00A65F1E">
      <w:pPr>
        <w:rPr>
          <w:sz w:val="20"/>
          <w:szCs w:val="20"/>
        </w:rPr>
      </w:pPr>
    </w:p>
    <w:p w:rsidR="00A65F1E" w:rsidRPr="00A65F1E" w:rsidRDefault="00A65F1E" w:rsidP="00A65F1E">
      <w:pPr>
        <w:rPr>
          <w:sz w:val="20"/>
          <w:szCs w:val="20"/>
        </w:rPr>
      </w:pPr>
      <w:r w:rsidRPr="00A65F1E">
        <w:rPr>
          <w:b/>
          <w:bCs/>
          <w:sz w:val="20"/>
          <w:szCs w:val="20"/>
        </w:rPr>
        <w:t>AND THE MATERIAL FILED</w:t>
      </w:r>
      <w:r w:rsidRPr="00A65F1E">
        <w:rPr>
          <w:sz w:val="20"/>
          <w:szCs w:val="20"/>
        </w:rPr>
        <w:t xml:space="preserve"> having been read;</w:t>
      </w:r>
    </w:p>
    <w:p w:rsidR="00A65F1E" w:rsidRPr="00A65F1E" w:rsidRDefault="00A65F1E" w:rsidP="00A65F1E">
      <w:pPr>
        <w:ind w:left="142"/>
        <w:rPr>
          <w:sz w:val="20"/>
          <w:szCs w:val="20"/>
        </w:rPr>
      </w:pPr>
    </w:p>
    <w:p w:rsidR="00A65F1E" w:rsidRPr="00A65F1E" w:rsidRDefault="00A65F1E" w:rsidP="00A65F1E">
      <w:pPr>
        <w:rPr>
          <w:sz w:val="20"/>
          <w:szCs w:val="20"/>
        </w:rPr>
      </w:pPr>
      <w:r w:rsidRPr="00A65F1E">
        <w:rPr>
          <w:b/>
          <w:sz w:val="20"/>
          <w:szCs w:val="20"/>
        </w:rPr>
        <w:t>AND NOTING THAT</w:t>
      </w:r>
      <w:r w:rsidRPr="00A65F1E">
        <w:rPr>
          <w:sz w:val="20"/>
          <w:szCs w:val="20"/>
        </w:rPr>
        <w:t xml:space="preserve"> the respondent consents to the motion;</w:t>
      </w:r>
    </w:p>
    <w:p w:rsidR="00A65F1E" w:rsidRPr="00A65F1E" w:rsidRDefault="00A65F1E" w:rsidP="00A65F1E">
      <w:pPr>
        <w:rPr>
          <w:sz w:val="20"/>
          <w:szCs w:val="20"/>
        </w:rPr>
      </w:pPr>
    </w:p>
    <w:p w:rsidR="00A65F1E" w:rsidRPr="00A65F1E" w:rsidRDefault="00A65F1E" w:rsidP="00A65F1E">
      <w:pPr>
        <w:rPr>
          <w:sz w:val="20"/>
          <w:szCs w:val="20"/>
        </w:rPr>
      </w:pPr>
      <w:r w:rsidRPr="00A65F1E">
        <w:rPr>
          <w:b/>
          <w:bCs/>
          <w:sz w:val="20"/>
          <w:szCs w:val="20"/>
        </w:rPr>
        <w:t>IT IS HEREBY ORDERED THAT:</w:t>
      </w:r>
    </w:p>
    <w:p w:rsidR="00A65F1E" w:rsidRPr="00A65F1E" w:rsidRDefault="00A65F1E" w:rsidP="00A65F1E">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A65F1E">
        <w:rPr>
          <w:sz w:val="20"/>
          <w:szCs w:val="20"/>
        </w:rPr>
        <w:t xml:space="preserve"> </w:t>
      </w:r>
    </w:p>
    <w:p w:rsidR="00A65F1E" w:rsidRPr="00A65F1E" w:rsidRDefault="00A65F1E" w:rsidP="00A65F1E">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A65F1E">
        <w:rPr>
          <w:sz w:val="20"/>
          <w:szCs w:val="20"/>
          <w:lang w:val="fr-CA"/>
        </w:rPr>
        <w:t>The motion is granted.</w:t>
      </w:r>
    </w:p>
    <w:p w:rsidR="00A65F1E" w:rsidRPr="00A65F1E" w:rsidRDefault="00A65F1E" w:rsidP="00A65F1E">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A65F1E" w:rsidRPr="00A65F1E" w:rsidRDefault="00A65F1E" w:rsidP="00A65F1E">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A65F1E" w:rsidRPr="00A65F1E" w:rsidRDefault="00A65F1E" w:rsidP="00A65F1E">
      <w:pPr>
        <w:rPr>
          <w:sz w:val="20"/>
          <w:szCs w:val="20"/>
          <w:lang w:val="fr-CA"/>
        </w:rPr>
      </w:pPr>
      <w:r w:rsidRPr="00A65F1E">
        <w:rPr>
          <w:b/>
          <w:sz w:val="20"/>
          <w:szCs w:val="20"/>
          <w:lang w:val="fr-CA"/>
        </w:rPr>
        <w:t>À LA SUITE DE LA DEMANDE</w:t>
      </w:r>
      <w:r w:rsidRPr="00A65F1E">
        <w:rPr>
          <w:sz w:val="20"/>
          <w:szCs w:val="20"/>
          <w:lang w:val="fr-CA"/>
        </w:rPr>
        <w:t xml:space="preserve"> présentée par l’appelant pour obtenir la prorogation du délai pour la signification et le dépôt de son avis d’appel;</w:t>
      </w:r>
    </w:p>
    <w:p w:rsidR="00A65F1E" w:rsidRPr="00A65F1E" w:rsidRDefault="00A65F1E" w:rsidP="00A65F1E">
      <w:pPr>
        <w:rPr>
          <w:sz w:val="20"/>
          <w:szCs w:val="20"/>
          <w:lang w:val="fr-CA"/>
        </w:rPr>
      </w:pPr>
    </w:p>
    <w:p w:rsidR="00A65F1E" w:rsidRPr="00A65F1E" w:rsidRDefault="00A65F1E" w:rsidP="00A65F1E">
      <w:pPr>
        <w:rPr>
          <w:sz w:val="20"/>
          <w:szCs w:val="20"/>
          <w:lang w:val="fr-CA"/>
        </w:rPr>
      </w:pPr>
      <w:r w:rsidRPr="00A65F1E">
        <w:rPr>
          <w:b/>
          <w:sz w:val="20"/>
          <w:szCs w:val="20"/>
          <w:lang w:val="fr-CA"/>
        </w:rPr>
        <w:t>ET APRÈS EXAMEN</w:t>
      </w:r>
      <w:r w:rsidRPr="00A65F1E">
        <w:rPr>
          <w:sz w:val="20"/>
          <w:szCs w:val="20"/>
          <w:lang w:val="fr-CA"/>
        </w:rPr>
        <w:t xml:space="preserve"> des documents déposés;</w:t>
      </w:r>
    </w:p>
    <w:p w:rsidR="00A65F1E" w:rsidRPr="00A65F1E" w:rsidRDefault="00A65F1E" w:rsidP="00A65F1E">
      <w:pPr>
        <w:rPr>
          <w:sz w:val="20"/>
          <w:szCs w:val="20"/>
          <w:lang w:val="fr-CA"/>
        </w:rPr>
      </w:pPr>
    </w:p>
    <w:p w:rsidR="00A65F1E" w:rsidRPr="00A65F1E" w:rsidRDefault="00A65F1E" w:rsidP="00A65F1E">
      <w:pPr>
        <w:rPr>
          <w:sz w:val="20"/>
          <w:szCs w:val="20"/>
          <w:lang w:val="fr-CA"/>
        </w:rPr>
      </w:pPr>
      <w:r w:rsidRPr="00A65F1E">
        <w:rPr>
          <w:b/>
          <w:sz w:val="20"/>
          <w:szCs w:val="20"/>
          <w:lang w:val="fr-CA"/>
        </w:rPr>
        <w:t>ET COMPTE TENU QUE</w:t>
      </w:r>
      <w:r w:rsidRPr="00A65F1E">
        <w:rPr>
          <w:sz w:val="20"/>
          <w:szCs w:val="20"/>
          <w:lang w:val="fr-CA"/>
        </w:rPr>
        <w:t xml:space="preserve"> l’intimée consent à la requête;</w:t>
      </w:r>
    </w:p>
    <w:p w:rsidR="00A65F1E" w:rsidRPr="00A65F1E" w:rsidRDefault="00A65F1E" w:rsidP="00A65F1E">
      <w:pPr>
        <w:rPr>
          <w:sz w:val="20"/>
          <w:szCs w:val="20"/>
          <w:lang w:val="fr-CA"/>
        </w:rPr>
      </w:pPr>
    </w:p>
    <w:p w:rsidR="00A65F1E" w:rsidRPr="00A65F1E" w:rsidRDefault="00A65F1E" w:rsidP="00A65F1E">
      <w:pPr>
        <w:rPr>
          <w:b/>
          <w:sz w:val="20"/>
          <w:szCs w:val="20"/>
          <w:lang w:val="fr-CA"/>
        </w:rPr>
      </w:pPr>
      <w:r w:rsidRPr="00A65F1E">
        <w:rPr>
          <w:b/>
          <w:sz w:val="20"/>
          <w:szCs w:val="20"/>
          <w:lang w:val="fr-CA"/>
        </w:rPr>
        <w:t>IL EST ORDONNÉ CE QUI SUIT :</w:t>
      </w:r>
    </w:p>
    <w:p w:rsidR="00A65F1E" w:rsidRPr="00A65F1E" w:rsidRDefault="00A65F1E" w:rsidP="00A65F1E">
      <w:pPr>
        <w:rPr>
          <w:sz w:val="20"/>
          <w:szCs w:val="20"/>
          <w:lang w:val="fr-CA"/>
        </w:rPr>
      </w:pPr>
    </w:p>
    <w:p w:rsidR="00A65F1E" w:rsidRDefault="00A65F1E" w:rsidP="00A65F1E">
      <w:pPr>
        <w:rPr>
          <w:sz w:val="20"/>
          <w:szCs w:val="20"/>
          <w:lang w:val="fr-CA"/>
        </w:rPr>
      </w:pPr>
      <w:r w:rsidRPr="00A65F1E">
        <w:rPr>
          <w:sz w:val="20"/>
          <w:szCs w:val="20"/>
          <w:lang w:val="fr-CA"/>
        </w:rPr>
        <w:t>La requête est accueillie.</w:t>
      </w:r>
    </w:p>
    <w:p w:rsidR="00C51298" w:rsidRDefault="00C51298" w:rsidP="00A65F1E">
      <w:pPr>
        <w:rPr>
          <w:sz w:val="20"/>
          <w:szCs w:val="20"/>
          <w:lang w:val="fr-CA"/>
        </w:rPr>
      </w:pPr>
    </w:p>
    <w:p w:rsidR="00C51298" w:rsidRDefault="00167F64" w:rsidP="00A65F1E">
      <w:pPr>
        <w:rPr>
          <w:sz w:val="20"/>
          <w:szCs w:val="20"/>
          <w:lang w:val="fr-CA"/>
        </w:rPr>
      </w:pPr>
      <w:r>
        <w:rPr>
          <w:rFonts w:eastAsia="Times New Roman" w:cs="Times New Roman"/>
          <w:sz w:val="20"/>
          <w:szCs w:val="20"/>
          <w:lang w:val="fr-CA" w:eastAsia="en-CA"/>
        </w:rPr>
        <w:pict>
          <v:rect id="_x0000_i1060" style="width:2in;height:1pt" o:hrpct="0" o:hralign="center" o:hrstd="t" o:hrnoshade="t" o:hr="t" fillcolor="black [3213]" stroked="f"/>
        </w:pict>
      </w:r>
    </w:p>
    <w:p w:rsidR="00C51298" w:rsidRDefault="00C51298" w:rsidP="00A65F1E">
      <w:pPr>
        <w:rPr>
          <w:sz w:val="20"/>
          <w:szCs w:val="20"/>
          <w:lang w:val="fr-CA"/>
        </w:rPr>
      </w:pPr>
    </w:p>
    <w:p w:rsidR="00C51298" w:rsidRDefault="00C51298" w:rsidP="00A65F1E">
      <w:pPr>
        <w:rPr>
          <w:sz w:val="20"/>
          <w:szCs w:val="20"/>
          <w:lang w:val="fr-CA"/>
        </w:rPr>
      </w:pPr>
    </w:p>
    <w:p w:rsidR="00C51298" w:rsidRPr="00A65F1E" w:rsidRDefault="00C51298" w:rsidP="00A65F1E">
      <w:pPr>
        <w:rPr>
          <w:sz w:val="20"/>
          <w:szCs w:val="20"/>
          <w:lang w:val="fr-CA"/>
        </w:rPr>
      </w:pPr>
    </w:p>
    <w:p w:rsidR="00A65F1E" w:rsidRPr="00A65F1E" w:rsidRDefault="00A65F1E" w:rsidP="00831CA9">
      <w:pPr>
        <w:jc w:val="both"/>
        <w:rPr>
          <w:sz w:val="20"/>
          <w:szCs w:val="20"/>
          <w:lang w:val="fr-CA"/>
        </w:rPr>
        <w:sectPr w:rsidR="00A65F1E" w:rsidRPr="00A65F1E" w:rsidSect="00831CA9">
          <w:headerReference w:type="even" r:id="rId69"/>
          <w:headerReference w:type="default" r:id="rId70"/>
          <w:footerReference w:type="even" r:id="rId71"/>
          <w:footerReference w:type="default" r:id="rId72"/>
          <w:headerReference w:type="first" r:id="rId73"/>
          <w:footerReference w:type="first" r:id="rId74"/>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B4434E" w:rsidTr="00EB2B90">
        <w:tc>
          <w:tcPr>
            <w:tcW w:w="4200" w:type="dxa"/>
            <w:shd w:val="clear" w:color="auto" w:fill="auto"/>
            <w:tcMar>
              <w:left w:w="0" w:type="dxa"/>
              <w:right w:w="0" w:type="dxa"/>
            </w:tcMar>
          </w:tcPr>
          <w:p w:rsidR="00F40249" w:rsidRPr="00DB1E27" w:rsidRDefault="00F40249" w:rsidP="00EB2B90">
            <w:pPr>
              <w:rPr>
                <w:b/>
                <w:szCs w:val="24"/>
              </w:rPr>
            </w:pPr>
            <w:r w:rsidRPr="00DB1E27">
              <w:rPr>
                <w:b/>
                <w:szCs w:val="24"/>
              </w:rPr>
              <w:t>NOTICES OF APPEAL FILED SINCE LAST ISSUE</w:t>
            </w:r>
          </w:p>
        </w:tc>
        <w:tc>
          <w:tcPr>
            <w:tcW w:w="1200" w:type="dxa"/>
            <w:shd w:val="clear" w:color="auto" w:fill="auto"/>
            <w:tcMar>
              <w:left w:w="0" w:type="dxa"/>
              <w:right w:w="0" w:type="dxa"/>
            </w:tcMar>
          </w:tcPr>
          <w:p w:rsidR="00F40249" w:rsidRPr="00DB1E27" w:rsidRDefault="00F40249" w:rsidP="00F40249">
            <w:pPr>
              <w:jc w:val="center"/>
              <w:rPr>
                <w:szCs w:val="24"/>
              </w:rPr>
            </w:pPr>
          </w:p>
          <w:p w:rsidR="00F33CCE" w:rsidRPr="00DB1E27" w:rsidRDefault="00F33CCE" w:rsidP="00F40249">
            <w:pPr>
              <w:jc w:val="center"/>
              <w:rPr>
                <w:szCs w:val="24"/>
              </w:rPr>
            </w:pPr>
          </w:p>
          <w:p w:rsidR="00F33CCE" w:rsidRPr="00DB1E27" w:rsidRDefault="00F33CCE" w:rsidP="00F40249">
            <w:pPr>
              <w:jc w:val="center"/>
              <w:rPr>
                <w:szCs w:val="24"/>
              </w:rPr>
            </w:pPr>
          </w:p>
        </w:tc>
        <w:tc>
          <w:tcPr>
            <w:tcW w:w="4230" w:type="dxa"/>
            <w:shd w:val="clear" w:color="auto" w:fill="auto"/>
            <w:tcMar>
              <w:left w:w="0" w:type="dxa"/>
              <w:right w:w="0" w:type="dxa"/>
            </w:tcMar>
          </w:tcPr>
          <w:p w:rsidR="00F40249" w:rsidRPr="00DB1E27" w:rsidRDefault="00F40249" w:rsidP="00EB2B90">
            <w:pPr>
              <w:rPr>
                <w:b/>
                <w:szCs w:val="24"/>
                <w:lang w:val="fr-CA"/>
              </w:rPr>
            </w:pPr>
            <w:r w:rsidRPr="00DB1E27">
              <w:rPr>
                <w:b/>
                <w:szCs w:val="24"/>
                <w:lang w:val="fr-CA"/>
              </w:rPr>
              <w:t>AVIS D’APPEL DÉPOSÉS DEPUIS LA DERNIÈRE PARUTION</w:t>
            </w:r>
          </w:p>
        </w:tc>
      </w:tr>
    </w:tbl>
    <w:p w:rsidR="00F40249" w:rsidRPr="00DB1E27"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DB1E27" w:rsidTr="005F1ED8">
        <w:trPr>
          <w:cantSplit/>
        </w:trPr>
        <w:tc>
          <w:tcPr>
            <w:tcW w:w="2206" w:type="pct"/>
            <w:tcMar>
              <w:left w:w="0" w:type="dxa"/>
              <w:right w:w="0" w:type="dxa"/>
            </w:tcMar>
          </w:tcPr>
          <w:p w:rsidR="00D358DA" w:rsidRPr="00DB1E27" w:rsidRDefault="00E94CBA" w:rsidP="00D358DA">
            <w:pPr>
              <w:rPr>
                <w:sz w:val="20"/>
                <w:szCs w:val="20"/>
              </w:rPr>
            </w:pPr>
            <w:r>
              <w:rPr>
                <w:sz w:val="20"/>
                <w:szCs w:val="20"/>
              </w:rPr>
              <w:t>26.01.2018</w:t>
            </w:r>
          </w:p>
          <w:p w:rsidR="00D358DA" w:rsidRPr="00DB1E27" w:rsidRDefault="00D358DA" w:rsidP="00D358DA">
            <w:pPr>
              <w:rPr>
                <w:b/>
                <w:sz w:val="20"/>
                <w:szCs w:val="20"/>
              </w:rPr>
            </w:pPr>
          </w:p>
          <w:p w:rsidR="00D358DA" w:rsidRPr="00DB1E27" w:rsidRDefault="00D358DA" w:rsidP="00D358DA">
            <w:pPr>
              <w:rPr>
                <w:b/>
                <w:sz w:val="20"/>
                <w:szCs w:val="20"/>
              </w:rPr>
            </w:pPr>
            <w:r w:rsidRPr="00DB1E27">
              <w:rPr>
                <w:b/>
                <w:sz w:val="20"/>
                <w:szCs w:val="20"/>
              </w:rPr>
              <w:t>Percy Lewis Cain</w:t>
            </w:r>
          </w:p>
          <w:p w:rsidR="00D358DA" w:rsidRPr="00DB1E27" w:rsidRDefault="00D358DA" w:rsidP="00D358DA">
            <w:pPr>
              <w:tabs>
                <w:tab w:val="left" w:pos="-1440"/>
                <w:tab w:val="left" w:pos="-720"/>
              </w:tabs>
              <w:rPr>
                <w:sz w:val="20"/>
                <w:szCs w:val="20"/>
                <w:lang w:val="en-US"/>
              </w:rPr>
            </w:pPr>
          </w:p>
          <w:p w:rsidR="00D358DA" w:rsidRPr="00DB1E27" w:rsidRDefault="00D358DA" w:rsidP="00D358DA">
            <w:pPr>
              <w:tabs>
                <w:tab w:val="left" w:pos="-1440"/>
                <w:tab w:val="left" w:pos="-720"/>
              </w:tabs>
              <w:rPr>
                <w:sz w:val="20"/>
                <w:szCs w:val="20"/>
                <w:lang w:val="en-US"/>
              </w:rPr>
            </w:pPr>
            <w:r w:rsidRPr="00DB1E27">
              <w:rPr>
                <w:sz w:val="20"/>
                <w:szCs w:val="20"/>
                <w:lang w:val="en-US"/>
              </w:rPr>
              <w:tab/>
              <w:t>v. (37926)</w:t>
            </w:r>
          </w:p>
          <w:p w:rsidR="00D358DA" w:rsidRPr="00DB1E27" w:rsidRDefault="00D358DA" w:rsidP="00D358DA">
            <w:pPr>
              <w:tabs>
                <w:tab w:val="left" w:pos="-1440"/>
                <w:tab w:val="left" w:pos="-720"/>
              </w:tabs>
              <w:rPr>
                <w:sz w:val="20"/>
                <w:szCs w:val="20"/>
                <w:lang w:val="en-US"/>
              </w:rPr>
            </w:pPr>
          </w:p>
          <w:p w:rsidR="00D358DA" w:rsidRPr="00DB1E27" w:rsidRDefault="00D358DA" w:rsidP="00D358DA">
            <w:pPr>
              <w:tabs>
                <w:tab w:val="left" w:pos="-1440"/>
                <w:tab w:val="left" w:pos="-720"/>
              </w:tabs>
              <w:rPr>
                <w:b/>
                <w:sz w:val="20"/>
                <w:szCs w:val="20"/>
              </w:rPr>
            </w:pPr>
            <w:r w:rsidRPr="00DB1E27">
              <w:rPr>
                <w:b/>
                <w:sz w:val="20"/>
                <w:szCs w:val="20"/>
                <w:lang w:val="en-US"/>
              </w:rPr>
              <w:t>Her Majesty the Queen</w:t>
            </w:r>
            <w:r w:rsidRPr="00DB1E27">
              <w:rPr>
                <w:sz w:val="20"/>
                <w:szCs w:val="20"/>
                <w:lang w:val="en-US"/>
              </w:rPr>
              <w:t xml:space="preserve"> </w:t>
            </w:r>
            <w:r w:rsidRPr="00DB1E27">
              <w:rPr>
                <w:b/>
                <w:sz w:val="20"/>
                <w:szCs w:val="20"/>
              </w:rPr>
              <w:t>(N.S.)</w:t>
            </w:r>
          </w:p>
          <w:p w:rsidR="00D358DA" w:rsidRPr="00DB1E27" w:rsidRDefault="00D358DA" w:rsidP="00D358DA">
            <w:pPr>
              <w:tabs>
                <w:tab w:val="left" w:pos="-1440"/>
                <w:tab w:val="left" w:pos="-720"/>
              </w:tabs>
              <w:rPr>
                <w:sz w:val="20"/>
                <w:szCs w:val="20"/>
              </w:rPr>
            </w:pPr>
          </w:p>
          <w:p w:rsidR="00D358DA" w:rsidRPr="00DB1E27" w:rsidRDefault="00D358DA" w:rsidP="00D358DA">
            <w:pPr>
              <w:tabs>
                <w:tab w:val="left" w:pos="-1440"/>
                <w:tab w:val="left" w:pos="-720"/>
              </w:tabs>
              <w:rPr>
                <w:sz w:val="20"/>
                <w:szCs w:val="20"/>
              </w:rPr>
            </w:pPr>
            <w:r w:rsidRPr="00DB1E27">
              <w:rPr>
                <w:sz w:val="20"/>
                <w:szCs w:val="20"/>
              </w:rPr>
              <w:t>(As of Right)</w:t>
            </w:r>
          </w:p>
          <w:p w:rsidR="0086340B" w:rsidRPr="00DB1E27" w:rsidRDefault="0086340B" w:rsidP="005F1ED8">
            <w:pPr>
              <w:rPr>
                <w:sz w:val="20"/>
                <w:szCs w:val="20"/>
              </w:rPr>
            </w:pPr>
          </w:p>
          <w:p w:rsidR="0086340B" w:rsidRPr="00DB1E27" w:rsidRDefault="00167F64" w:rsidP="005F1ED8">
            <w:pPr>
              <w:rPr>
                <w:sz w:val="20"/>
                <w:szCs w:val="20"/>
                <w:lang w:val="fr-CA"/>
              </w:rPr>
            </w:pPr>
            <w:r>
              <w:rPr>
                <w:sz w:val="20"/>
                <w:szCs w:val="20"/>
                <w:lang w:val="fr-CA"/>
              </w:rPr>
              <w:pict>
                <v:rect id="_x0000_i1063" style="width:106.1pt;height:1pt" o:hrpct="500" o:hralign="center" o:hrstd="t" o:hrnoshade="t" o:hr="t" fillcolor="black [3213]" stroked="f"/>
              </w:pict>
            </w:r>
          </w:p>
        </w:tc>
        <w:tc>
          <w:tcPr>
            <w:tcW w:w="588" w:type="pct"/>
          </w:tcPr>
          <w:p w:rsidR="0086340B" w:rsidRPr="00DB1E27" w:rsidRDefault="0086340B" w:rsidP="005F1ED8">
            <w:pPr>
              <w:jc w:val="center"/>
              <w:rPr>
                <w:sz w:val="20"/>
                <w:szCs w:val="20"/>
              </w:rPr>
            </w:pPr>
          </w:p>
          <w:p w:rsidR="0086340B" w:rsidRPr="00DB1E27" w:rsidRDefault="0086340B" w:rsidP="005F1ED8">
            <w:pPr>
              <w:jc w:val="center"/>
              <w:rPr>
                <w:sz w:val="20"/>
                <w:szCs w:val="20"/>
              </w:rPr>
            </w:pPr>
          </w:p>
          <w:p w:rsidR="0086340B" w:rsidRPr="00DB1E27" w:rsidRDefault="0086340B" w:rsidP="005F1ED8">
            <w:pPr>
              <w:jc w:val="center"/>
              <w:rPr>
                <w:sz w:val="20"/>
                <w:szCs w:val="20"/>
              </w:rPr>
            </w:pPr>
          </w:p>
          <w:p w:rsidR="0086340B" w:rsidRPr="00DB1E27" w:rsidRDefault="0086340B" w:rsidP="005F1ED8">
            <w:pPr>
              <w:jc w:val="center"/>
              <w:rPr>
                <w:sz w:val="20"/>
                <w:szCs w:val="20"/>
              </w:rPr>
            </w:pPr>
          </w:p>
          <w:p w:rsidR="0086340B" w:rsidRPr="00DB1E27" w:rsidRDefault="0086340B" w:rsidP="005F1ED8">
            <w:pPr>
              <w:jc w:val="center"/>
              <w:rPr>
                <w:sz w:val="20"/>
                <w:szCs w:val="20"/>
              </w:rPr>
            </w:pPr>
          </w:p>
          <w:p w:rsidR="0086340B" w:rsidRPr="00DB1E27" w:rsidRDefault="0086340B" w:rsidP="005F1ED8">
            <w:pPr>
              <w:jc w:val="center"/>
              <w:rPr>
                <w:sz w:val="20"/>
                <w:szCs w:val="20"/>
              </w:rPr>
            </w:pPr>
          </w:p>
          <w:p w:rsidR="0086340B" w:rsidRPr="00DB1E27" w:rsidRDefault="0086340B" w:rsidP="005F1ED8">
            <w:pPr>
              <w:jc w:val="center"/>
              <w:rPr>
                <w:sz w:val="20"/>
                <w:szCs w:val="20"/>
              </w:rPr>
            </w:pPr>
          </w:p>
          <w:p w:rsidR="0086340B" w:rsidRPr="00DB1E27" w:rsidRDefault="0086340B" w:rsidP="005F1ED8">
            <w:pPr>
              <w:jc w:val="center"/>
              <w:rPr>
                <w:sz w:val="20"/>
                <w:szCs w:val="20"/>
              </w:rPr>
            </w:pPr>
          </w:p>
          <w:p w:rsidR="0086340B" w:rsidRPr="00DB1E27" w:rsidRDefault="0086340B" w:rsidP="005F1ED8">
            <w:pPr>
              <w:jc w:val="center"/>
              <w:rPr>
                <w:sz w:val="20"/>
                <w:szCs w:val="20"/>
              </w:rPr>
            </w:pPr>
          </w:p>
          <w:p w:rsidR="0086340B" w:rsidRPr="00DB1E27" w:rsidRDefault="0086340B" w:rsidP="005F1ED8">
            <w:pPr>
              <w:jc w:val="center"/>
              <w:rPr>
                <w:sz w:val="20"/>
                <w:szCs w:val="20"/>
              </w:rPr>
            </w:pPr>
          </w:p>
          <w:p w:rsidR="0086340B" w:rsidRPr="00DB1E27" w:rsidRDefault="0086340B" w:rsidP="005F1ED8">
            <w:pPr>
              <w:jc w:val="center"/>
              <w:rPr>
                <w:sz w:val="20"/>
                <w:szCs w:val="20"/>
              </w:rPr>
            </w:pPr>
          </w:p>
          <w:p w:rsidR="0086340B" w:rsidRPr="00DB1E27" w:rsidRDefault="0086340B" w:rsidP="005F1ED8">
            <w:pPr>
              <w:jc w:val="center"/>
              <w:rPr>
                <w:sz w:val="20"/>
                <w:szCs w:val="20"/>
              </w:rPr>
            </w:pPr>
          </w:p>
          <w:p w:rsidR="0086340B" w:rsidRPr="00DB1E27" w:rsidRDefault="0086340B" w:rsidP="005F1ED8">
            <w:pPr>
              <w:jc w:val="center"/>
              <w:rPr>
                <w:sz w:val="20"/>
                <w:szCs w:val="20"/>
              </w:rPr>
            </w:pPr>
          </w:p>
        </w:tc>
        <w:tc>
          <w:tcPr>
            <w:tcW w:w="2206" w:type="pct"/>
          </w:tcPr>
          <w:p w:rsidR="0086340B" w:rsidRPr="00DB1E27" w:rsidRDefault="0086340B" w:rsidP="005F1ED8">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75"/>
          <w:headerReference w:type="default" r:id="rId76"/>
          <w:footerReference w:type="even" r:id="rId77"/>
          <w:footerReference w:type="default" r:id="rId78"/>
          <w:headerReference w:type="first" r:id="rId79"/>
          <w:footerReference w:type="first" r:id="rId8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B4434E"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871ABC" w:rsidRDefault="00E16A1C" w:rsidP="007C47C2">
      <w:pPr>
        <w:widowControl w:val="0"/>
        <w:rPr>
          <w:sz w:val="20"/>
          <w:szCs w:val="20"/>
          <w:lang w:val="en-US"/>
        </w:rPr>
      </w:pPr>
      <w:r w:rsidRPr="00871ABC">
        <w:rPr>
          <w:sz w:val="20"/>
          <w:szCs w:val="20"/>
          <w:lang w:val="en-US"/>
        </w:rPr>
        <w:t>06</w:t>
      </w:r>
      <w:r w:rsidR="00E942C2" w:rsidRPr="00871ABC">
        <w:rPr>
          <w:sz w:val="20"/>
          <w:szCs w:val="20"/>
          <w:lang w:val="en-US"/>
        </w:rPr>
        <w:t>.0</w:t>
      </w:r>
      <w:r w:rsidRPr="00871ABC">
        <w:rPr>
          <w:sz w:val="20"/>
          <w:szCs w:val="20"/>
          <w:lang w:val="en-US"/>
        </w:rPr>
        <w:t>2</w:t>
      </w:r>
      <w:r w:rsidR="00E8544A" w:rsidRPr="00871ABC">
        <w:rPr>
          <w:sz w:val="20"/>
          <w:szCs w:val="20"/>
          <w:lang w:val="en-US"/>
        </w:rPr>
        <w:t>.201</w:t>
      </w:r>
      <w:r w:rsidRPr="00871ABC">
        <w:rPr>
          <w:sz w:val="20"/>
          <w:szCs w:val="20"/>
          <w:lang w:val="en-US"/>
        </w:rPr>
        <w:t>8</w:t>
      </w:r>
    </w:p>
    <w:p w:rsidR="007C47C2" w:rsidRPr="00871ABC" w:rsidRDefault="007C47C2" w:rsidP="007C47C2">
      <w:pPr>
        <w:widowControl w:val="0"/>
        <w:rPr>
          <w:sz w:val="20"/>
          <w:szCs w:val="20"/>
          <w:lang w:val="en-US"/>
        </w:rPr>
      </w:pPr>
    </w:p>
    <w:p w:rsidR="004D7749" w:rsidRDefault="004D7749" w:rsidP="004D7749">
      <w:pPr>
        <w:widowControl w:val="0"/>
        <w:ind w:left="720" w:hanging="720"/>
        <w:rPr>
          <w:sz w:val="20"/>
          <w:szCs w:val="20"/>
        </w:rPr>
      </w:pPr>
      <w:r w:rsidRPr="00C50A5C">
        <w:rPr>
          <w:sz w:val="20"/>
          <w:szCs w:val="20"/>
        </w:rPr>
        <w:t xml:space="preserve">Coram: </w:t>
      </w:r>
      <w:r w:rsidRPr="00C50A5C">
        <w:rPr>
          <w:sz w:val="20"/>
          <w:szCs w:val="20"/>
        </w:rPr>
        <w:tab/>
      </w:r>
      <w:r>
        <w:rPr>
          <w:sz w:val="20"/>
          <w:szCs w:val="20"/>
          <w:u w:val="single"/>
        </w:rPr>
        <w:t xml:space="preserve">C.J. </w:t>
      </w:r>
      <w:r w:rsidR="00871ABC">
        <w:rPr>
          <w:sz w:val="20"/>
          <w:szCs w:val="20"/>
          <w:u w:val="single"/>
        </w:rPr>
        <w:t>Wagner</w:t>
      </w:r>
      <w:r>
        <w:rPr>
          <w:sz w:val="20"/>
          <w:szCs w:val="20"/>
          <w:u w:val="single"/>
        </w:rPr>
        <w:t xml:space="preserve"> and</w:t>
      </w:r>
      <w:r w:rsidRPr="00C50A5C">
        <w:rPr>
          <w:sz w:val="20"/>
          <w:szCs w:val="20"/>
          <w:u w:val="single"/>
        </w:rPr>
        <w:t xml:space="preserve"> </w:t>
      </w:r>
      <w:r>
        <w:rPr>
          <w:sz w:val="20"/>
          <w:szCs w:val="20"/>
          <w:u w:val="single"/>
        </w:rPr>
        <w:t>Abella, Moldaver, Karakatsanis</w:t>
      </w:r>
      <w:r w:rsidR="00871ABC">
        <w:rPr>
          <w:sz w:val="20"/>
          <w:szCs w:val="20"/>
          <w:u w:val="single"/>
        </w:rPr>
        <w:t xml:space="preserve">, </w:t>
      </w:r>
      <w:r>
        <w:rPr>
          <w:sz w:val="20"/>
          <w:szCs w:val="20"/>
          <w:u w:val="single"/>
        </w:rPr>
        <w:t>Gascon, Côté, Brown</w:t>
      </w:r>
      <w:r w:rsidR="00871ABC">
        <w:rPr>
          <w:sz w:val="20"/>
          <w:szCs w:val="20"/>
          <w:u w:val="single"/>
        </w:rPr>
        <w:t xml:space="preserve"> </w:t>
      </w:r>
      <w:r>
        <w:rPr>
          <w:sz w:val="20"/>
          <w:szCs w:val="20"/>
          <w:u w:val="single"/>
        </w:rPr>
        <w:t>Rowe</w:t>
      </w:r>
      <w:r w:rsidR="00871ABC">
        <w:rPr>
          <w:sz w:val="20"/>
          <w:szCs w:val="20"/>
          <w:u w:val="single"/>
        </w:rPr>
        <w:t xml:space="preserve"> and Martin</w:t>
      </w:r>
      <w:r>
        <w:rPr>
          <w:sz w:val="20"/>
          <w:szCs w:val="20"/>
          <w:u w:val="single"/>
        </w:rPr>
        <w:t xml:space="preserve"> </w:t>
      </w:r>
      <w:r w:rsidRPr="00C50A5C">
        <w:rPr>
          <w:sz w:val="20"/>
          <w:szCs w:val="20"/>
          <w:u w:val="single"/>
        </w:rPr>
        <w:t>JJ.</w:t>
      </w:r>
      <w:r w:rsidRPr="00C50A5C">
        <w:rPr>
          <w:sz w:val="20"/>
          <w:szCs w:val="20"/>
        </w:rPr>
        <w:t xml:space="preserve"> </w:t>
      </w:r>
    </w:p>
    <w:p w:rsidR="007C47C2" w:rsidRPr="004D7749" w:rsidRDefault="007C47C2" w:rsidP="007C47C2">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6250CB" w:rsidTr="00E942C2">
        <w:tc>
          <w:tcPr>
            <w:tcW w:w="4380" w:type="dxa"/>
            <w:tcMar>
              <w:left w:w="0" w:type="dxa"/>
              <w:right w:w="0" w:type="dxa"/>
            </w:tcMar>
          </w:tcPr>
          <w:p w:rsidR="007C47C2" w:rsidRPr="00226DDF" w:rsidRDefault="00B9664E" w:rsidP="00E942C2">
            <w:pPr>
              <w:widowControl w:val="0"/>
              <w:rPr>
                <w:b/>
                <w:sz w:val="20"/>
                <w:szCs w:val="20"/>
                <w:lang w:val="en-US"/>
              </w:rPr>
            </w:pPr>
            <w:r w:rsidRPr="00226DDF">
              <w:rPr>
                <w:b/>
                <w:sz w:val="20"/>
                <w:szCs w:val="20"/>
                <w:lang w:val="en-US"/>
              </w:rPr>
              <w:t>Kevin Patrick Gubbins</w:t>
            </w:r>
          </w:p>
          <w:p w:rsidR="007C47C2" w:rsidRPr="00226DDF" w:rsidRDefault="007C47C2" w:rsidP="00E942C2">
            <w:pPr>
              <w:widowControl w:val="0"/>
              <w:rPr>
                <w:b/>
                <w:sz w:val="20"/>
                <w:szCs w:val="20"/>
                <w:lang w:val="en-US"/>
              </w:rPr>
            </w:pPr>
          </w:p>
          <w:p w:rsidR="007C47C2" w:rsidRPr="00B9664E" w:rsidRDefault="007C47C2" w:rsidP="00E942C2">
            <w:pPr>
              <w:widowControl w:val="0"/>
              <w:rPr>
                <w:b/>
                <w:sz w:val="20"/>
                <w:szCs w:val="20"/>
                <w:lang w:val="en-US"/>
              </w:rPr>
            </w:pPr>
            <w:r w:rsidRPr="00226DDF">
              <w:rPr>
                <w:b/>
                <w:sz w:val="20"/>
                <w:szCs w:val="20"/>
                <w:lang w:val="en-US"/>
              </w:rPr>
              <w:tab/>
            </w:r>
            <w:r w:rsidR="00B9664E" w:rsidRPr="00B9664E">
              <w:rPr>
                <w:b/>
                <w:sz w:val="20"/>
                <w:szCs w:val="20"/>
                <w:lang w:val="en-US"/>
              </w:rPr>
              <w:t>v</w:t>
            </w:r>
            <w:r w:rsidRPr="00B9664E">
              <w:rPr>
                <w:b/>
                <w:sz w:val="20"/>
                <w:szCs w:val="20"/>
                <w:lang w:val="en-US"/>
              </w:rPr>
              <w:t xml:space="preserve">. </w:t>
            </w:r>
            <w:r w:rsidRPr="00B9664E">
              <w:rPr>
                <w:sz w:val="20"/>
                <w:szCs w:val="20"/>
                <w:lang w:val="en-US"/>
              </w:rPr>
              <w:t>(</w:t>
            </w:r>
            <w:hyperlink r:id="rId81" w:history="1">
              <w:r w:rsidR="00B9664E" w:rsidRPr="00B9664E">
                <w:rPr>
                  <w:rStyle w:val="Hyperlink"/>
                  <w:sz w:val="20"/>
                  <w:szCs w:val="20"/>
                  <w:lang w:val="en-US"/>
                </w:rPr>
                <w:t>37395</w:t>
              </w:r>
            </w:hyperlink>
            <w:r w:rsidRPr="00B9664E">
              <w:rPr>
                <w:sz w:val="20"/>
                <w:szCs w:val="20"/>
                <w:lang w:val="en-US"/>
              </w:rPr>
              <w:t>)</w:t>
            </w:r>
          </w:p>
          <w:p w:rsidR="007C47C2" w:rsidRPr="00B9664E" w:rsidRDefault="007C47C2" w:rsidP="00E942C2">
            <w:pPr>
              <w:widowControl w:val="0"/>
              <w:rPr>
                <w:b/>
                <w:sz w:val="20"/>
                <w:szCs w:val="20"/>
                <w:lang w:val="en-US"/>
              </w:rPr>
            </w:pPr>
          </w:p>
          <w:p w:rsidR="007C47C2" w:rsidRPr="00B9664E" w:rsidRDefault="00B9664E" w:rsidP="00B9664E">
            <w:pPr>
              <w:widowControl w:val="0"/>
              <w:rPr>
                <w:sz w:val="20"/>
                <w:szCs w:val="20"/>
                <w:lang w:val="en-US"/>
              </w:rPr>
            </w:pPr>
            <w:r w:rsidRPr="00B9664E">
              <w:rPr>
                <w:b/>
                <w:sz w:val="20"/>
                <w:szCs w:val="20"/>
                <w:lang w:val="en-US"/>
              </w:rPr>
              <w:t>Her Majesty the Queen</w:t>
            </w:r>
            <w:r w:rsidR="007C47C2" w:rsidRPr="00B9664E">
              <w:rPr>
                <w:b/>
                <w:sz w:val="20"/>
                <w:szCs w:val="20"/>
                <w:lang w:val="en-US"/>
              </w:rPr>
              <w:t xml:space="preserve"> (</w:t>
            </w:r>
            <w:r w:rsidRPr="00B9664E">
              <w:rPr>
                <w:b/>
                <w:sz w:val="20"/>
                <w:szCs w:val="20"/>
                <w:lang w:val="en-US"/>
              </w:rPr>
              <w:t>Alta) (Criminal</w:t>
            </w:r>
            <w:r w:rsidR="007C47C2" w:rsidRPr="00B9664E">
              <w:rPr>
                <w:b/>
                <w:sz w:val="20"/>
                <w:szCs w:val="20"/>
                <w:lang w:val="en-US"/>
              </w:rPr>
              <w:t>) (</w:t>
            </w:r>
            <w:r>
              <w:rPr>
                <w:b/>
                <w:sz w:val="20"/>
                <w:szCs w:val="20"/>
                <w:lang w:val="en-US"/>
              </w:rPr>
              <w:t>By Leave</w:t>
            </w:r>
            <w:r w:rsidR="007C47C2" w:rsidRPr="00B9664E">
              <w:rPr>
                <w:b/>
                <w:sz w:val="20"/>
                <w:szCs w:val="20"/>
                <w:lang w:val="en-US"/>
              </w:rPr>
              <w:t>)</w:t>
            </w:r>
            <w:r w:rsidR="007C47C2" w:rsidRPr="00B9664E">
              <w:rPr>
                <w:sz w:val="20"/>
                <w:szCs w:val="20"/>
                <w:lang w:val="en-US"/>
              </w:rPr>
              <w:t xml:space="preserve"> </w:t>
            </w:r>
          </w:p>
        </w:tc>
        <w:tc>
          <w:tcPr>
            <w:tcW w:w="720" w:type="dxa"/>
            <w:tcMar>
              <w:left w:w="0" w:type="dxa"/>
              <w:right w:w="0" w:type="dxa"/>
            </w:tcMar>
          </w:tcPr>
          <w:p w:rsidR="007C47C2" w:rsidRPr="00B9664E" w:rsidRDefault="007C47C2" w:rsidP="00E942C2">
            <w:pPr>
              <w:widowControl w:val="0"/>
              <w:jc w:val="center"/>
              <w:rPr>
                <w:sz w:val="20"/>
                <w:szCs w:val="20"/>
                <w:lang w:val="en-US"/>
              </w:rPr>
            </w:pPr>
          </w:p>
        </w:tc>
        <w:tc>
          <w:tcPr>
            <w:tcW w:w="4380" w:type="dxa"/>
            <w:tcMar>
              <w:left w:w="0" w:type="dxa"/>
              <w:right w:w="0" w:type="dxa"/>
            </w:tcMar>
          </w:tcPr>
          <w:p w:rsidR="007C47C2" w:rsidRPr="00332B74" w:rsidRDefault="006250CB" w:rsidP="006250CB">
            <w:pPr>
              <w:rPr>
                <w:sz w:val="20"/>
                <w:szCs w:val="20"/>
                <w:lang w:val="en-US"/>
              </w:rPr>
            </w:pPr>
            <w:r w:rsidRPr="00332B74">
              <w:rPr>
                <w:sz w:val="20"/>
                <w:szCs w:val="20"/>
                <w:lang w:val="en-US"/>
              </w:rPr>
              <w:t>Timothy Foster, Q.C. and Katherin J. Beyak for the Appellant Kevin Patrick Gubbins.</w:t>
            </w:r>
          </w:p>
          <w:p w:rsidR="006250CB" w:rsidRPr="00332B74" w:rsidRDefault="006250CB" w:rsidP="006250CB">
            <w:pPr>
              <w:rPr>
                <w:sz w:val="20"/>
                <w:szCs w:val="20"/>
                <w:lang w:val="en-US"/>
              </w:rPr>
            </w:pPr>
          </w:p>
          <w:p w:rsidR="006250CB" w:rsidRPr="00332B74" w:rsidRDefault="006250CB" w:rsidP="006250CB">
            <w:pPr>
              <w:rPr>
                <w:sz w:val="20"/>
                <w:szCs w:val="20"/>
                <w:lang w:val="en-US"/>
              </w:rPr>
            </w:pPr>
            <w:r w:rsidRPr="00332B74">
              <w:rPr>
                <w:sz w:val="20"/>
                <w:szCs w:val="20"/>
                <w:lang w:val="en-US"/>
              </w:rPr>
              <w:t xml:space="preserve">Robert J. Palser and Jason R. Russell for the </w:t>
            </w:r>
            <w:r w:rsidR="00332B74">
              <w:rPr>
                <w:sz w:val="20"/>
                <w:szCs w:val="20"/>
                <w:lang w:val="en-US"/>
              </w:rPr>
              <w:t>R</w:t>
            </w:r>
            <w:r w:rsidRPr="00332B74">
              <w:rPr>
                <w:sz w:val="20"/>
                <w:szCs w:val="20"/>
                <w:lang w:val="en-US"/>
              </w:rPr>
              <w:t>espondent Her Majesty the Queen.</w:t>
            </w:r>
          </w:p>
          <w:p w:rsidR="006250CB" w:rsidRPr="00332B74" w:rsidRDefault="006250CB" w:rsidP="006250CB">
            <w:pPr>
              <w:rPr>
                <w:sz w:val="20"/>
                <w:szCs w:val="20"/>
                <w:lang w:val="en-US"/>
              </w:rPr>
            </w:pPr>
          </w:p>
          <w:p w:rsidR="006250CB" w:rsidRPr="006250CB" w:rsidRDefault="006250CB" w:rsidP="006250CB">
            <w:pPr>
              <w:rPr>
                <w:sz w:val="20"/>
                <w:szCs w:val="20"/>
                <w:lang w:val="en-US"/>
              </w:rPr>
            </w:pPr>
            <w:r w:rsidRPr="00332B74">
              <w:rPr>
                <w:sz w:val="20"/>
                <w:szCs w:val="20"/>
                <w:lang w:val="en-US"/>
              </w:rPr>
              <w:t>Michael Fawcett and Philip Perlmutter for the Intervener Attorney General of Ontario.</w:t>
            </w:r>
          </w:p>
        </w:tc>
      </w:tr>
    </w:tbl>
    <w:p w:rsidR="007C47C2" w:rsidRPr="006250CB" w:rsidRDefault="007C47C2" w:rsidP="007C47C2">
      <w:pPr>
        <w:widowControl w:val="0"/>
        <w:rPr>
          <w:sz w:val="20"/>
          <w:szCs w:val="20"/>
          <w:lang w:val="en-US"/>
        </w:rPr>
      </w:pPr>
    </w:p>
    <w:p w:rsidR="007C47C2" w:rsidRPr="0066495F" w:rsidRDefault="007C47C2" w:rsidP="007C47C2">
      <w:pPr>
        <w:widowControl w:val="0"/>
        <w:rPr>
          <w:sz w:val="20"/>
          <w:szCs w:val="20"/>
        </w:rPr>
      </w:pPr>
      <w:r w:rsidRPr="0066495F">
        <w:rPr>
          <w:b/>
          <w:sz w:val="20"/>
          <w:szCs w:val="20"/>
        </w:rPr>
        <w:t xml:space="preserve">RESERVED / </w:t>
      </w:r>
      <w:r w:rsidRPr="0066495F">
        <w:rPr>
          <w:b/>
          <w:sz w:val="20"/>
          <w:szCs w:val="20"/>
          <w:lang w:val="fr-CA"/>
        </w:rPr>
        <w:t>EN DÉLIBÉRÉ</w:t>
      </w:r>
    </w:p>
    <w:p w:rsidR="007C47C2" w:rsidRDefault="007C47C2" w:rsidP="007C47C2"/>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B4434E" w:rsidTr="00E942C2">
        <w:tc>
          <w:tcPr>
            <w:tcW w:w="4380" w:type="dxa"/>
            <w:tcMar>
              <w:left w:w="0" w:type="dxa"/>
              <w:right w:w="0" w:type="dxa"/>
            </w:tcMar>
          </w:tcPr>
          <w:p w:rsidR="007C47C2" w:rsidRPr="00CC4D84" w:rsidRDefault="007C47C2" w:rsidP="00E942C2">
            <w:pPr>
              <w:widowControl w:val="0"/>
              <w:jc w:val="both"/>
              <w:rPr>
                <w:b/>
                <w:sz w:val="20"/>
                <w:szCs w:val="20"/>
                <w:u w:val="single"/>
              </w:rPr>
            </w:pPr>
            <w:r w:rsidRPr="00CC4D84">
              <w:rPr>
                <w:b/>
                <w:sz w:val="20"/>
                <w:szCs w:val="20"/>
                <w:u w:val="single"/>
              </w:rPr>
              <w:t>Nature of the case:</w:t>
            </w:r>
          </w:p>
          <w:p w:rsidR="007C47C2" w:rsidRPr="001A663B" w:rsidRDefault="007C47C2" w:rsidP="00E942C2">
            <w:pPr>
              <w:widowControl w:val="0"/>
              <w:jc w:val="both"/>
              <w:rPr>
                <w:b/>
                <w:sz w:val="20"/>
                <w:szCs w:val="20"/>
              </w:rPr>
            </w:pPr>
          </w:p>
          <w:p w:rsidR="007C47C2" w:rsidRPr="00C1697B" w:rsidRDefault="00FE7673" w:rsidP="00E942C2">
            <w:pPr>
              <w:widowControl w:val="0"/>
              <w:jc w:val="both"/>
              <w:rPr>
                <w:b/>
                <w:sz w:val="20"/>
                <w:szCs w:val="20"/>
              </w:rPr>
            </w:pPr>
            <w:r w:rsidRPr="00FE7673">
              <w:rPr>
                <w:sz w:val="20"/>
                <w:szCs w:val="20"/>
              </w:rPr>
              <w:t>Criminal law - Evidence - Disclosure - Criminal Code offences - Motor vehicles - Impaired driving or driving over the legal limit - Breathalyzer or blood sample demand - Approved instrument or device - Crown refused disclosure of maintenance records for breathalyzer devices to accused charged with driving with blood alcohol level exceeding limit - Whether maintenance records for breathalyzer devices subject to first party disclosure rules.</w:t>
            </w:r>
          </w:p>
        </w:tc>
        <w:tc>
          <w:tcPr>
            <w:tcW w:w="720" w:type="dxa"/>
            <w:tcMar>
              <w:left w:w="0" w:type="dxa"/>
              <w:right w:w="0" w:type="dxa"/>
            </w:tcMar>
          </w:tcPr>
          <w:p w:rsidR="007C47C2" w:rsidRPr="00C1697B" w:rsidRDefault="007C47C2" w:rsidP="00E942C2">
            <w:pPr>
              <w:widowControl w:val="0"/>
              <w:jc w:val="center"/>
              <w:rPr>
                <w:sz w:val="20"/>
                <w:szCs w:val="20"/>
              </w:rPr>
            </w:pPr>
          </w:p>
        </w:tc>
        <w:tc>
          <w:tcPr>
            <w:tcW w:w="4380" w:type="dxa"/>
            <w:tcMar>
              <w:left w:w="0" w:type="dxa"/>
              <w:right w:w="0" w:type="dxa"/>
            </w:tcMar>
          </w:tcPr>
          <w:p w:rsidR="007C47C2" w:rsidRPr="00CC4D84" w:rsidRDefault="007C47C2" w:rsidP="00E942C2">
            <w:pPr>
              <w:widowControl w:val="0"/>
              <w:jc w:val="both"/>
              <w:rPr>
                <w:b/>
                <w:sz w:val="20"/>
                <w:szCs w:val="20"/>
                <w:u w:val="single"/>
                <w:lang w:val="fr-CA"/>
              </w:rPr>
            </w:pPr>
            <w:r w:rsidRPr="00CC4D84">
              <w:rPr>
                <w:b/>
                <w:sz w:val="20"/>
                <w:szCs w:val="20"/>
                <w:u w:val="single"/>
                <w:lang w:val="fr-CA"/>
              </w:rPr>
              <w:t>Nature de la cause :</w:t>
            </w:r>
          </w:p>
          <w:p w:rsidR="007C47C2" w:rsidRPr="00C1697B" w:rsidRDefault="007C47C2" w:rsidP="00E942C2">
            <w:pPr>
              <w:widowControl w:val="0"/>
              <w:jc w:val="both"/>
              <w:rPr>
                <w:sz w:val="20"/>
                <w:szCs w:val="20"/>
                <w:lang w:val="fr-CA"/>
              </w:rPr>
            </w:pPr>
          </w:p>
          <w:p w:rsidR="007C47C2" w:rsidRPr="00C1697B" w:rsidRDefault="00FE7673" w:rsidP="00E942C2">
            <w:pPr>
              <w:widowControl w:val="0"/>
              <w:jc w:val="both"/>
              <w:rPr>
                <w:sz w:val="20"/>
                <w:szCs w:val="20"/>
                <w:lang w:val="fr-CA"/>
              </w:rPr>
            </w:pPr>
            <w:r w:rsidRPr="00FE7673">
              <w:rPr>
                <w:sz w:val="20"/>
                <w:szCs w:val="20"/>
                <w:lang w:val="fr-CA"/>
              </w:rPr>
              <w:t>Droit criminel - Preuve - Communication de la preuve - Infractions au Code criminel - Véhicules automobiles - Conduite avec les facultés affaiblies ou conduite avec une alcoolémie supérieure à la limite permise - Échantillons d’haleine ou de sang demandés - Instrument ou appareil approuvé - Refus par le ministère public de communiquer les documents relatifs à l’entretien des alcootests à l’inculpé accusé de conduite avec une alcoolémie supérieure à la limite permise - Les documents relatifs à l’entretien des alcootests sont-ils assujettis aux règles de la communication de la p</w:t>
            </w:r>
            <w:r>
              <w:rPr>
                <w:sz w:val="20"/>
                <w:szCs w:val="20"/>
                <w:lang w:val="fr-CA"/>
              </w:rPr>
              <w:t>reuve par la partie principale?</w:t>
            </w:r>
          </w:p>
        </w:tc>
      </w:tr>
    </w:tbl>
    <w:p w:rsidR="007C47C2" w:rsidRDefault="007C47C2" w:rsidP="007C47C2">
      <w:pPr>
        <w:widowControl w:val="0"/>
        <w:rPr>
          <w:sz w:val="20"/>
          <w:szCs w:val="20"/>
          <w:lang w:val="fr-CA"/>
        </w:rPr>
      </w:pPr>
    </w:p>
    <w:p w:rsidR="002A27D1" w:rsidRDefault="00167F64" w:rsidP="002A27D1">
      <w:pPr>
        <w:widowControl w:val="0"/>
        <w:rPr>
          <w:sz w:val="20"/>
          <w:szCs w:val="20"/>
        </w:rPr>
      </w:pPr>
      <w:r>
        <w:rPr>
          <w:sz w:val="20"/>
          <w:szCs w:val="20"/>
          <w:lang w:val="fr-CA"/>
        </w:rPr>
        <w:pict>
          <v:rect id="_x0000_i1066" style="width:2in;height:1pt" o:hrpct="0" o:hralign="center" o:hrstd="t" o:hrnoshade="t" o:hr="t" fillcolor="black [3213]" stroked="f"/>
        </w:pict>
      </w:r>
    </w:p>
    <w:p w:rsidR="002A27D1" w:rsidRDefault="002A27D1" w:rsidP="002A27D1">
      <w:pPr>
        <w:widowControl w:val="0"/>
        <w:rPr>
          <w:sz w:val="20"/>
          <w:szCs w:val="20"/>
        </w:rPr>
      </w:pPr>
    </w:p>
    <w:p w:rsidR="008E39DD" w:rsidRDefault="008E39DD">
      <w:pPr>
        <w:rPr>
          <w:sz w:val="20"/>
          <w:szCs w:val="20"/>
          <w:lang w:val="en-US"/>
        </w:rPr>
      </w:pPr>
      <w:r>
        <w:rPr>
          <w:sz w:val="20"/>
          <w:szCs w:val="20"/>
          <w:lang w:val="en-US"/>
        </w:rPr>
        <w:br w:type="page"/>
      </w:r>
    </w:p>
    <w:p w:rsidR="00FE7673" w:rsidRPr="00871ABC" w:rsidRDefault="00FE7673" w:rsidP="00FE7673">
      <w:pPr>
        <w:widowControl w:val="0"/>
        <w:rPr>
          <w:sz w:val="20"/>
          <w:szCs w:val="20"/>
          <w:lang w:val="en-US"/>
        </w:rPr>
      </w:pPr>
      <w:r w:rsidRPr="00871ABC">
        <w:rPr>
          <w:sz w:val="20"/>
          <w:szCs w:val="20"/>
          <w:lang w:val="en-US"/>
        </w:rPr>
        <w:t>06.02.2018</w:t>
      </w:r>
    </w:p>
    <w:p w:rsidR="00FE7673" w:rsidRPr="00871ABC" w:rsidRDefault="00FE7673" w:rsidP="00FE7673">
      <w:pPr>
        <w:widowControl w:val="0"/>
        <w:rPr>
          <w:sz w:val="20"/>
          <w:szCs w:val="20"/>
          <w:lang w:val="en-US"/>
        </w:rPr>
      </w:pPr>
    </w:p>
    <w:p w:rsidR="00FE7673" w:rsidRDefault="00FE7673" w:rsidP="00FE7673">
      <w:pPr>
        <w:widowControl w:val="0"/>
        <w:ind w:left="720" w:hanging="720"/>
        <w:rPr>
          <w:sz w:val="20"/>
          <w:szCs w:val="20"/>
        </w:rPr>
      </w:pPr>
      <w:r w:rsidRPr="00C50A5C">
        <w:rPr>
          <w:sz w:val="20"/>
          <w:szCs w:val="20"/>
        </w:rPr>
        <w:t xml:space="preserve">Coram: </w:t>
      </w:r>
      <w:r w:rsidRPr="00C50A5C">
        <w:rPr>
          <w:sz w:val="20"/>
          <w:szCs w:val="20"/>
        </w:rPr>
        <w:tab/>
      </w:r>
      <w:r>
        <w:rPr>
          <w:sz w:val="20"/>
          <w:szCs w:val="20"/>
          <w:u w:val="single"/>
        </w:rPr>
        <w:t>C.J. Wagner and</w:t>
      </w:r>
      <w:r w:rsidRPr="00C50A5C">
        <w:rPr>
          <w:sz w:val="20"/>
          <w:szCs w:val="20"/>
          <w:u w:val="single"/>
        </w:rPr>
        <w:t xml:space="preserve"> </w:t>
      </w:r>
      <w:r>
        <w:rPr>
          <w:sz w:val="20"/>
          <w:szCs w:val="20"/>
          <w:u w:val="single"/>
        </w:rPr>
        <w:t>Abella, Moldaver, Karakatsanis, Gascon, Côté, Brown</w:t>
      </w:r>
      <w:r w:rsidR="00567326">
        <w:rPr>
          <w:sz w:val="20"/>
          <w:szCs w:val="20"/>
          <w:u w:val="single"/>
        </w:rPr>
        <w:t>,</w:t>
      </w:r>
      <w:r>
        <w:rPr>
          <w:sz w:val="20"/>
          <w:szCs w:val="20"/>
          <w:u w:val="single"/>
        </w:rPr>
        <w:t xml:space="preserve"> Rowe and Martin </w:t>
      </w:r>
      <w:r w:rsidRPr="00C50A5C">
        <w:rPr>
          <w:sz w:val="20"/>
          <w:szCs w:val="20"/>
          <w:u w:val="single"/>
        </w:rPr>
        <w:t>JJ.</w:t>
      </w:r>
      <w:r w:rsidRPr="00C50A5C">
        <w:rPr>
          <w:sz w:val="20"/>
          <w:szCs w:val="20"/>
        </w:rPr>
        <w:t xml:space="preserve"> </w:t>
      </w:r>
    </w:p>
    <w:p w:rsidR="00FE7673" w:rsidRPr="004D7749" w:rsidRDefault="00FE7673" w:rsidP="00FE7673">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6643AB" w:rsidRPr="00B4434E" w:rsidTr="00DE47D4">
        <w:tc>
          <w:tcPr>
            <w:tcW w:w="4380" w:type="dxa"/>
            <w:tcMar>
              <w:left w:w="0" w:type="dxa"/>
              <w:right w:w="0" w:type="dxa"/>
            </w:tcMar>
          </w:tcPr>
          <w:p w:rsidR="00FE7673" w:rsidRPr="006643AB" w:rsidRDefault="00FE7673" w:rsidP="00DE47D4">
            <w:pPr>
              <w:widowControl w:val="0"/>
              <w:rPr>
                <w:b/>
                <w:sz w:val="20"/>
                <w:szCs w:val="20"/>
                <w:lang w:val="en-US"/>
              </w:rPr>
            </w:pPr>
            <w:r w:rsidRPr="006643AB">
              <w:rPr>
                <w:b/>
                <w:sz w:val="20"/>
                <w:szCs w:val="20"/>
                <w:lang w:val="en-US"/>
              </w:rPr>
              <w:t>Darren John Chip Vallentgoed</w:t>
            </w:r>
          </w:p>
          <w:p w:rsidR="00FE7673" w:rsidRPr="006643AB" w:rsidRDefault="00FE7673" w:rsidP="00DE47D4">
            <w:pPr>
              <w:widowControl w:val="0"/>
              <w:rPr>
                <w:b/>
                <w:sz w:val="20"/>
                <w:szCs w:val="20"/>
                <w:lang w:val="en-US"/>
              </w:rPr>
            </w:pPr>
          </w:p>
          <w:p w:rsidR="00FE7673" w:rsidRPr="006643AB" w:rsidRDefault="00FE7673" w:rsidP="00DE47D4">
            <w:pPr>
              <w:widowControl w:val="0"/>
              <w:rPr>
                <w:b/>
                <w:sz w:val="20"/>
                <w:szCs w:val="20"/>
                <w:lang w:val="en-US"/>
              </w:rPr>
            </w:pPr>
            <w:r w:rsidRPr="006643AB">
              <w:rPr>
                <w:b/>
                <w:sz w:val="20"/>
                <w:szCs w:val="20"/>
                <w:lang w:val="en-US"/>
              </w:rPr>
              <w:tab/>
              <w:t xml:space="preserve">v. </w:t>
            </w:r>
            <w:r w:rsidRPr="006643AB">
              <w:rPr>
                <w:sz w:val="20"/>
                <w:szCs w:val="20"/>
                <w:lang w:val="en-US"/>
              </w:rPr>
              <w:t>(</w:t>
            </w:r>
            <w:hyperlink r:id="rId82" w:history="1">
              <w:r w:rsidRPr="006643AB">
                <w:rPr>
                  <w:rStyle w:val="Hyperlink"/>
                  <w:color w:val="auto"/>
                  <w:sz w:val="20"/>
                  <w:szCs w:val="20"/>
                  <w:lang w:val="en-US"/>
                </w:rPr>
                <w:t>37403</w:t>
              </w:r>
            </w:hyperlink>
            <w:r w:rsidRPr="006643AB">
              <w:rPr>
                <w:sz w:val="20"/>
                <w:szCs w:val="20"/>
                <w:lang w:val="en-US"/>
              </w:rPr>
              <w:t>)</w:t>
            </w:r>
          </w:p>
          <w:p w:rsidR="00FE7673" w:rsidRPr="006643AB" w:rsidRDefault="00FE7673" w:rsidP="00DE47D4">
            <w:pPr>
              <w:widowControl w:val="0"/>
              <w:rPr>
                <w:b/>
                <w:sz w:val="20"/>
                <w:szCs w:val="20"/>
                <w:lang w:val="en-US"/>
              </w:rPr>
            </w:pPr>
          </w:p>
          <w:p w:rsidR="00FE7673" w:rsidRPr="006643AB" w:rsidRDefault="00FE7673" w:rsidP="00DE47D4">
            <w:pPr>
              <w:widowControl w:val="0"/>
              <w:rPr>
                <w:sz w:val="20"/>
                <w:szCs w:val="20"/>
                <w:lang w:val="en-US"/>
              </w:rPr>
            </w:pPr>
            <w:r w:rsidRPr="006643AB">
              <w:rPr>
                <w:b/>
                <w:sz w:val="20"/>
                <w:szCs w:val="20"/>
                <w:lang w:val="en-US"/>
              </w:rPr>
              <w:t>Her Majesty the Queen (Alta) (Criminal) (By Leave)</w:t>
            </w:r>
            <w:r w:rsidRPr="006643AB">
              <w:rPr>
                <w:sz w:val="20"/>
                <w:szCs w:val="20"/>
                <w:lang w:val="en-US"/>
              </w:rPr>
              <w:t xml:space="preserve"> </w:t>
            </w:r>
          </w:p>
        </w:tc>
        <w:tc>
          <w:tcPr>
            <w:tcW w:w="720" w:type="dxa"/>
            <w:tcMar>
              <w:left w:w="0" w:type="dxa"/>
              <w:right w:w="0" w:type="dxa"/>
            </w:tcMar>
          </w:tcPr>
          <w:p w:rsidR="00FE7673" w:rsidRPr="006643AB" w:rsidRDefault="00FE7673" w:rsidP="00DE47D4">
            <w:pPr>
              <w:widowControl w:val="0"/>
              <w:jc w:val="center"/>
              <w:rPr>
                <w:sz w:val="20"/>
                <w:szCs w:val="20"/>
                <w:lang w:val="en-US"/>
              </w:rPr>
            </w:pPr>
          </w:p>
        </w:tc>
        <w:tc>
          <w:tcPr>
            <w:tcW w:w="4380" w:type="dxa"/>
            <w:tcMar>
              <w:left w:w="0" w:type="dxa"/>
              <w:right w:w="0" w:type="dxa"/>
            </w:tcMar>
          </w:tcPr>
          <w:p w:rsidR="00332B74" w:rsidRPr="006643AB" w:rsidRDefault="00332B74" w:rsidP="00332B74">
            <w:pPr>
              <w:rPr>
                <w:sz w:val="20"/>
                <w:szCs w:val="20"/>
                <w:lang w:val="en-US"/>
              </w:rPr>
            </w:pPr>
            <w:r w:rsidRPr="006643AB">
              <w:rPr>
                <w:sz w:val="20"/>
                <w:szCs w:val="20"/>
                <w:lang w:val="en-US"/>
              </w:rPr>
              <w:t>Stephen M. Smith for the Appellant Darren John Chip Vallentgoed.</w:t>
            </w:r>
          </w:p>
          <w:p w:rsidR="00332B74" w:rsidRPr="006643AB" w:rsidRDefault="00332B74" w:rsidP="00332B74">
            <w:pPr>
              <w:rPr>
                <w:sz w:val="20"/>
                <w:szCs w:val="20"/>
                <w:lang w:val="en-US"/>
              </w:rPr>
            </w:pPr>
          </w:p>
          <w:p w:rsidR="00332B74" w:rsidRPr="006643AB" w:rsidRDefault="00332B74" w:rsidP="00332B74">
            <w:pPr>
              <w:rPr>
                <w:sz w:val="20"/>
                <w:szCs w:val="20"/>
                <w:lang w:val="en-US"/>
              </w:rPr>
            </w:pPr>
            <w:r w:rsidRPr="006643AB">
              <w:rPr>
                <w:sz w:val="20"/>
                <w:szCs w:val="20"/>
                <w:lang w:val="en-US"/>
              </w:rPr>
              <w:t>Robert J. Palser and Jason R. Russell for the Respondent Her Majesty the Queen.</w:t>
            </w:r>
          </w:p>
          <w:p w:rsidR="00332B74" w:rsidRPr="006643AB" w:rsidRDefault="00332B74" w:rsidP="00332B74">
            <w:pPr>
              <w:rPr>
                <w:sz w:val="20"/>
                <w:szCs w:val="20"/>
                <w:lang w:val="en-US"/>
              </w:rPr>
            </w:pPr>
          </w:p>
          <w:p w:rsidR="00FE7673" w:rsidRPr="006643AB" w:rsidRDefault="00332B74" w:rsidP="00332B74">
            <w:pPr>
              <w:widowControl w:val="0"/>
              <w:rPr>
                <w:sz w:val="20"/>
                <w:szCs w:val="20"/>
                <w:lang w:val="en-US"/>
              </w:rPr>
            </w:pPr>
            <w:r w:rsidRPr="006643AB">
              <w:rPr>
                <w:sz w:val="20"/>
                <w:szCs w:val="20"/>
                <w:lang w:val="en-US"/>
              </w:rPr>
              <w:t>Michael Fawcett and Philip Perlmutter for the Intervener Attorney General of Ontario.</w:t>
            </w:r>
          </w:p>
          <w:p w:rsidR="00332B74" w:rsidRPr="006643AB" w:rsidRDefault="00332B74" w:rsidP="00332B74">
            <w:pPr>
              <w:widowControl w:val="0"/>
              <w:rPr>
                <w:sz w:val="20"/>
                <w:szCs w:val="20"/>
                <w:lang w:val="en-US"/>
              </w:rPr>
            </w:pPr>
          </w:p>
          <w:p w:rsidR="00332B74" w:rsidRPr="006643AB" w:rsidRDefault="00332B74" w:rsidP="00332B74">
            <w:pPr>
              <w:widowControl w:val="0"/>
              <w:rPr>
                <w:sz w:val="20"/>
                <w:szCs w:val="20"/>
                <w:lang w:val="fr-CA"/>
              </w:rPr>
            </w:pPr>
            <w:r w:rsidRPr="006643AB">
              <w:rPr>
                <w:sz w:val="20"/>
                <w:szCs w:val="20"/>
                <w:lang w:val="fr-CA"/>
              </w:rPr>
              <w:t>Nicolas Abran et Justin Tremblay pour l’intervenant Directeur des poursuites criminelles et pénales.</w:t>
            </w:r>
          </w:p>
          <w:p w:rsidR="00332B74" w:rsidRPr="006643AB" w:rsidRDefault="00332B74" w:rsidP="00332B74">
            <w:pPr>
              <w:widowControl w:val="0"/>
              <w:rPr>
                <w:sz w:val="20"/>
                <w:szCs w:val="20"/>
                <w:lang w:val="fr-CA"/>
              </w:rPr>
            </w:pPr>
          </w:p>
        </w:tc>
      </w:tr>
    </w:tbl>
    <w:p w:rsidR="00FE7673" w:rsidRPr="006643AB" w:rsidRDefault="00FE7673" w:rsidP="00FE7673">
      <w:pPr>
        <w:widowControl w:val="0"/>
        <w:rPr>
          <w:sz w:val="20"/>
          <w:szCs w:val="20"/>
          <w:lang w:val="fr-CA"/>
        </w:rPr>
      </w:pPr>
    </w:p>
    <w:p w:rsidR="00FE7673" w:rsidRPr="007B34E1" w:rsidRDefault="00FE7673" w:rsidP="00FE7673">
      <w:pPr>
        <w:widowControl w:val="0"/>
        <w:rPr>
          <w:sz w:val="20"/>
          <w:szCs w:val="20"/>
        </w:rPr>
      </w:pPr>
      <w:r w:rsidRPr="007B34E1">
        <w:rPr>
          <w:b/>
          <w:sz w:val="20"/>
          <w:szCs w:val="20"/>
        </w:rPr>
        <w:t xml:space="preserve">RESERVED / </w:t>
      </w:r>
      <w:r w:rsidRPr="007B34E1">
        <w:rPr>
          <w:b/>
          <w:sz w:val="20"/>
          <w:szCs w:val="20"/>
          <w:lang w:val="fr-CA"/>
        </w:rPr>
        <w:t>EN DÉLIBÉRÉ</w:t>
      </w:r>
    </w:p>
    <w:p w:rsidR="00FE7673" w:rsidRDefault="00FE7673" w:rsidP="00FE7673"/>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FE7673" w:rsidRPr="00B4434E" w:rsidTr="00DE47D4">
        <w:tc>
          <w:tcPr>
            <w:tcW w:w="4380" w:type="dxa"/>
            <w:tcMar>
              <w:left w:w="0" w:type="dxa"/>
              <w:right w:w="0" w:type="dxa"/>
            </w:tcMar>
          </w:tcPr>
          <w:p w:rsidR="00FE7673" w:rsidRPr="00CC4D84" w:rsidRDefault="00FE7673" w:rsidP="00DE47D4">
            <w:pPr>
              <w:widowControl w:val="0"/>
              <w:jc w:val="both"/>
              <w:rPr>
                <w:b/>
                <w:sz w:val="20"/>
                <w:szCs w:val="20"/>
                <w:u w:val="single"/>
              </w:rPr>
            </w:pPr>
            <w:r w:rsidRPr="00CC4D84">
              <w:rPr>
                <w:b/>
                <w:sz w:val="20"/>
                <w:szCs w:val="20"/>
                <w:u w:val="single"/>
              </w:rPr>
              <w:t>Nature of the case:</w:t>
            </w:r>
          </w:p>
          <w:p w:rsidR="00FE7673" w:rsidRPr="001A663B" w:rsidRDefault="00FE7673" w:rsidP="00DE47D4">
            <w:pPr>
              <w:widowControl w:val="0"/>
              <w:jc w:val="both"/>
              <w:rPr>
                <w:b/>
                <w:sz w:val="20"/>
                <w:szCs w:val="20"/>
              </w:rPr>
            </w:pPr>
          </w:p>
          <w:p w:rsidR="00FE7673" w:rsidRPr="00C1697B" w:rsidRDefault="008E39DD" w:rsidP="00DE47D4">
            <w:pPr>
              <w:widowControl w:val="0"/>
              <w:jc w:val="both"/>
              <w:rPr>
                <w:b/>
                <w:sz w:val="20"/>
                <w:szCs w:val="20"/>
              </w:rPr>
            </w:pPr>
            <w:r w:rsidRPr="008E39DD">
              <w:rPr>
                <w:sz w:val="20"/>
                <w:szCs w:val="20"/>
              </w:rPr>
              <w:t>Criminal law - Evidence - Disclosure - Criminal Code offences - Motor vehicles - Impaired driving or driving over the legal limit - Breathalyzer or blood sample demand - Approved instrument or device - Crown refused disclosure of maintenance records for breathalyzer devices to accused charged with driving with blood alcohol level exceeding limit - Whether maintenance records for breathalyzer devices subject to first party disclosure rules, or third party - Whether Court of Appeal erred in holding that Crown and police services are not required to “bridge gap” between first and third party disclosure by disclosing maintenance records for approved instruments - Whether Court of Appeal erred in holding that comments in R. v. St-Onge Lamoureux, 2012 SCC 57, did not bind it to find that maintenance records for approved instruments were subject to first party disclosure - Whether Court of Appeal erred in finding that, since maintenance records sought would not have been of assistance to accused on facts here, records were not subject to disclosure.</w:t>
            </w:r>
          </w:p>
        </w:tc>
        <w:tc>
          <w:tcPr>
            <w:tcW w:w="720" w:type="dxa"/>
            <w:tcMar>
              <w:left w:w="0" w:type="dxa"/>
              <w:right w:w="0" w:type="dxa"/>
            </w:tcMar>
          </w:tcPr>
          <w:p w:rsidR="00FE7673" w:rsidRPr="00C1697B" w:rsidRDefault="00FE7673" w:rsidP="00DE47D4">
            <w:pPr>
              <w:widowControl w:val="0"/>
              <w:jc w:val="center"/>
              <w:rPr>
                <w:sz w:val="20"/>
                <w:szCs w:val="20"/>
              </w:rPr>
            </w:pPr>
          </w:p>
        </w:tc>
        <w:tc>
          <w:tcPr>
            <w:tcW w:w="4380" w:type="dxa"/>
            <w:tcMar>
              <w:left w:w="0" w:type="dxa"/>
              <w:right w:w="0" w:type="dxa"/>
            </w:tcMar>
          </w:tcPr>
          <w:p w:rsidR="00FE7673" w:rsidRPr="00CC4D84" w:rsidRDefault="00FE7673" w:rsidP="00DE47D4">
            <w:pPr>
              <w:widowControl w:val="0"/>
              <w:jc w:val="both"/>
              <w:rPr>
                <w:b/>
                <w:sz w:val="20"/>
                <w:szCs w:val="20"/>
                <w:u w:val="single"/>
                <w:lang w:val="fr-CA"/>
              </w:rPr>
            </w:pPr>
            <w:r w:rsidRPr="00CC4D84">
              <w:rPr>
                <w:b/>
                <w:sz w:val="20"/>
                <w:szCs w:val="20"/>
                <w:u w:val="single"/>
                <w:lang w:val="fr-CA"/>
              </w:rPr>
              <w:t>Nature de la cause :</w:t>
            </w:r>
          </w:p>
          <w:p w:rsidR="00FE7673" w:rsidRPr="00C1697B" w:rsidRDefault="00FE7673" w:rsidP="00DE47D4">
            <w:pPr>
              <w:widowControl w:val="0"/>
              <w:jc w:val="both"/>
              <w:rPr>
                <w:sz w:val="20"/>
                <w:szCs w:val="20"/>
                <w:lang w:val="fr-CA"/>
              </w:rPr>
            </w:pPr>
          </w:p>
          <w:p w:rsidR="00FE7673" w:rsidRPr="00C1697B" w:rsidRDefault="008E39DD" w:rsidP="00DE47D4">
            <w:pPr>
              <w:widowControl w:val="0"/>
              <w:jc w:val="both"/>
              <w:rPr>
                <w:sz w:val="20"/>
                <w:szCs w:val="20"/>
                <w:lang w:val="fr-CA"/>
              </w:rPr>
            </w:pPr>
            <w:r w:rsidRPr="008E39DD">
              <w:rPr>
                <w:sz w:val="20"/>
                <w:szCs w:val="20"/>
                <w:lang w:val="fr-CA"/>
              </w:rPr>
              <w:t>Droit criminel - Preuve - Communication de la preuve - Infractions au Code criminel - Véhicules automobiles - Conduite avec les facultés affaiblies ou conduite avec une alcoolémie supérieure à la limite permise - Échantillons d’haleine ou de sang demandés - Instrument ou appareil approuvé - Refus par le ministère public de communiquer les documents relatifs à l’entretien des alcootests à l’inculpé accusé de conduite avec une alcoolémie supérieure à la limite permise - Les documents relatifs à l’entretien des alcootests sont-ils assujettis aux règles de la communication par la partie principale, ou à celles de la communication par un tiers? - La Cour d’appel a-t-elle eu tort de conclure que le ministère public et les services policiers ne sont pas tenus de « réduire l’écart » entre la communication de la preuve par la partie principale et la communication d’éléments de preuve par un tiers en communiquant les dossiers relatifs à l’entretien d’appareils approuvés? - La Cour d’appel a-t-elle eu tort de conclure que les commentaires dans l’arrêt R. c. St-Onge Lamoureux, 2102 CSC 57 ne l’obligeaient pas de conclure que les dossiers d’entretien relatifs à l’entretien d’appareils approuvés devaient être communiqués par la partie principale? - La Cour d’appel a-t-elle eu tort de conclure que, puisque les dossiers relatifs à l’entretien demandés n’auraient pas été utiles à l’accusé en l’espèce, il n’était pas</w:t>
            </w:r>
            <w:r>
              <w:rPr>
                <w:sz w:val="20"/>
                <w:szCs w:val="20"/>
                <w:lang w:val="fr-CA"/>
              </w:rPr>
              <w:t xml:space="preserve"> nécessaire de les communiquer?</w:t>
            </w:r>
          </w:p>
        </w:tc>
      </w:tr>
    </w:tbl>
    <w:p w:rsidR="00FE7673" w:rsidRPr="00FE7673" w:rsidRDefault="00FE7673" w:rsidP="002A27D1">
      <w:pPr>
        <w:widowControl w:val="0"/>
        <w:rPr>
          <w:sz w:val="20"/>
          <w:szCs w:val="20"/>
          <w:lang w:val="fr-CA"/>
        </w:rPr>
      </w:pPr>
    </w:p>
    <w:p w:rsidR="00FE7673" w:rsidRPr="00FE7673" w:rsidRDefault="00167F64" w:rsidP="002A27D1">
      <w:pPr>
        <w:widowControl w:val="0"/>
        <w:rPr>
          <w:sz w:val="20"/>
          <w:szCs w:val="20"/>
          <w:lang w:val="fr-CA"/>
        </w:rPr>
      </w:pPr>
      <w:r>
        <w:rPr>
          <w:sz w:val="20"/>
          <w:szCs w:val="20"/>
          <w:lang w:val="fr-CA"/>
        </w:rPr>
        <w:pict>
          <v:rect id="_x0000_i1067" style="width:2in;height:1pt" o:hrpct="0" o:hralign="center" o:hrstd="t" o:hrnoshade="t" o:hr="t" fillcolor="black [3213]" stroked="f"/>
        </w:pict>
      </w:r>
    </w:p>
    <w:p w:rsidR="00FE7673" w:rsidRPr="00FE7673" w:rsidRDefault="00FE7673" w:rsidP="002A27D1">
      <w:pPr>
        <w:widowControl w:val="0"/>
        <w:rPr>
          <w:sz w:val="20"/>
          <w:szCs w:val="20"/>
          <w:lang w:val="fr-CA"/>
        </w:rPr>
      </w:pPr>
    </w:p>
    <w:p w:rsidR="0078568C" w:rsidRPr="006643AB" w:rsidRDefault="0078568C">
      <w:pPr>
        <w:rPr>
          <w:sz w:val="20"/>
          <w:szCs w:val="20"/>
        </w:rPr>
      </w:pPr>
      <w:r>
        <w:rPr>
          <w:color w:val="FF0000"/>
          <w:sz w:val="20"/>
          <w:szCs w:val="20"/>
        </w:rPr>
        <w:br w:type="page"/>
      </w:r>
    </w:p>
    <w:p w:rsidR="007C47C2" w:rsidRPr="0078568C" w:rsidRDefault="0078568C" w:rsidP="007C47C2">
      <w:pPr>
        <w:widowControl w:val="0"/>
        <w:rPr>
          <w:sz w:val="20"/>
          <w:szCs w:val="20"/>
        </w:rPr>
      </w:pPr>
      <w:r w:rsidRPr="0078568C">
        <w:rPr>
          <w:sz w:val="20"/>
          <w:szCs w:val="20"/>
        </w:rPr>
        <w:t>07</w:t>
      </w:r>
      <w:r w:rsidR="007C47C2" w:rsidRPr="0078568C">
        <w:rPr>
          <w:sz w:val="20"/>
          <w:szCs w:val="20"/>
        </w:rPr>
        <w:t>.0</w:t>
      </w:r>
      <w:r w:rsidRPr="0078568C">
        <w:rPr>
          <w:sz w:val="20"/>
          <w:szCs w:val="20"/>
        </w:rPr>
        <w:t>2</w:t>
      </w:r>
      <w:r w:rsidR="007C47C2" w:rsidRPr="0078568C">
        <w:rPr>
          <w:sz w:val="20"/>
          <w:szCs w:val="20"/>
        </w:rPr>
        <w:t>.201</w:t>
      </w:r>
      <w:r w:rsidRPr="0078568C">
        <w:rPr>
          <w:sz w:val="20"/>
          <w:szCs w:val="20"/>
        </w:rPr>
        <w:t>8</w:t>
      </w:r>
    </w:p>
    <w:p w:rsidR="007C47C2" w:rsidRPr="0078568C" w:rsidRDefault="007C47C2" w:rsidP="007C47C2">
      <w:pPr>
        <w:widowControl w:val="0"/>
        <w:rPr>
          <w:sz w:val="20"/>
          <w:szCs w:val="20"/>
        </w:rPr>
      </w:pPr>
    </w:p>
    <w:p w:rsidR="007C47C2" w:rsidRPr="0078568C" w:rsidRDefault="007C47C2" w:rsidP="007C47C2">
      <w:pPr>
        <w:widowControl w:val="0"/>
        <w:ind w:left="720" w:hanging="720"/>
        <w:rPr>
          <w:sz w:val="20"/>
          <w:szCs w:val="20"/>
        </w:rPr>
      </w:pPr>
      <w:r w:rsidRPr="0078568C">
        <w:rPr>
          <w:sz w:val="20"/>
          <w:szCs w:val="20"/>
        </w:rPr>
        <w:t xml:space="preserve">Coram: </w:t>
      </w:r>
      <w:r w:rsidRPr="0078568C">
        <w:rPr>
          <w:sz w:val="20"/>
          <w:szCs w:val="20"/>
        </w:rPr>
        <w:tab/>
      </w:r>
      <w:r w:rsidR="00E8544A" w:rsidRPr="0078568C">
        <w:rPr>
          <w:sz w:val="20"/>
          <w:szCs w:val="20"/>
          <w:u w:val="single"/>
        </w:rPr>
        <w:t xml:space="preserve">C.J. </w:t>
      </w:r>
      <w:r w:rsidR="0078568C" w:rsidRPr="0078568C">
        <w:rPr>
          <w:sz w:val="20"/>
          <w:szCs w:val="20"/>
          <w:u w:val="single"/>
        </w:rPr>
        <w:t>Wagner</w:t>
      </w:r>
      <w:r w:rsidR="00E8544A" w:rsidRPr="0078568C">
        <w:rPr>
          <w:sz w:val="20"/>
          <w:szCs w:val="20"/>
          <w:u w:val="single"/>
        </w:rPr>
        <w:t xml:space="preserve"> and</w:t>
      </w:r>
      <w:r w:rsidRPr="0078568C">
        <w:rPr>
          <w:sz w:val="20"/>
          <w:szCs w:val="20"/>
          <w:u w:val="single"/>
        </w:rPr>
        <w:t xml:space="preserve"> Abella, </w:t>
      </w:r>
      <w:r w:rsidR="0056248C" w:rsidRPr="0078568C">
        <w:rPr>
          <w:sz w:val="20"/>
          <w:szCs w:val="20"/>
          <w:u w:val="single"/>
        </w:rPr>
        <w:t>Moldaver</w:t>
      </w:r>
      <w:r w:rsidRPr="0078568C">
        <w:rPr>
          <w:sz w:val="20"/>
          <w:szCs w:val="20"/>
          <w:u w:val="single"/>
        </w:rPr>
        <w:t xml:space="preserve">, </w:t>
      </w:r>
      <w:r w:rsidR="0056248C" w:rsidRPr="0078568C">
        <w:rPr>
          <w:sz w:val="20"/>
          <w:szCs w:val="20"/>
          <w:u w:val="single"/>
        </w:rPr>
        <w:t>Karakatsanis</w:t>
      </w:r>
      <w:r w:rsidRPr="0078568C">
        <w:rPr>
          <w:sz w:val="20"/>
          <w:szCs w:val="20"/>
          <w:u w:val="single"/>
        </w:rPr>
        <w:t>,</w:t>
      </w:r>
      <w:r w:rsidR="0078568C" w:rsidRPr="0078568C">
        <w:rPr>
          <w:sz w:val="20"/>
          <w:szCs w:val="20"/>
          <w:u w:val="single"/>
        </w:rPr>
        <w:t xml:space="preserve"> </w:t>
      </w:r>
      <w:r w:rsidR="0056248C" w:rsidRPr="0078568C">
        <w:rPr>
          <w:sz w:val="20"/>
          <w:szCs w:val="20"/>
          <w:u w:val="single"/>
        </w:rPr>
        <w:t>Gascon, Côté, Brown</w:t>
      </w:r>
      <w:r w:rsidR="0078568C" w:rsidRPr="0078568C">
        <w:rPr>
          <w:sz w:val="20"/>
          <w:szCs w:val="20"/>
          <w:u w:val="single"/>
        </w:rPr>
        <w:t xml:space="preserve">, </w:t>
      </w:r>
      <w:r w:rsidR="0056248C" w:rsidRPr="0078568C">
        <w:rPr>
          <w:sz w:val="20"/>
          <w:szCs w:val="20"/>
          <w:u w:val="single"/>
        </w:rPr>
        <w:t>Rowe</w:t>
      </w:r>
      <w:r w:rsidR="0078568C" w:rsidRPr="0078568C">
        <w:rPr>
          <w:sz w:val="20"/>
          <w:szCs w:val="20"/>
          <w:u w:val="single"/>
        </w:rPr>
        <w:t xml:space="preserve"> and Martin</w:t>
      </w:r>
      <w:r w:rsidRPr="0078568C">
        <w:rPr>
          <w:sz w:val="20"/>
          <w:szCs w:val="20"/>
          <w:u w:val="single"/>
        </w:rPr>
        <w:t xml:space="preserve"> JJ.</w:t>
      </w:r>
      <w:r w:rsidRPr="0078568C">
        <w:rPr>
          <w:sz w:val="20"/>
          <w:szCs w:val="20"/>
        </w:rPr>
        <w:t xml:space="preserve"> </w:t>
      </w:r>
    </w:p>
    <w:p w:rsidR="007C47C2" w:rsidRPr="0078568C" w:rsidRDefault="007C47C2" w:rsidP="007C47C2">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B4434E" w:rsidTr="0066495F">
        <w:trPr>
          <w:trHeight w:val="351"/>
        </w:trPr>
        <w:tc>
          <w:tcPr>
            <w:tcW w:w="4380" w:type="dxa"/>
            <w:tcMar>
              <w:left w:w="0" w:type="dxa"/>
              <w:right w:w="0" w:type="dxa"/>
            </w:tcMar>
          </w:tcPr>
          <w:p w:rsidR="007C47C2" w:rsidRPr="0078568C" w:rsidRDefault="0078568C" w:rsidP="00E942C2">
            <w:pPr>
              <w:widowControl w:val="0"/>
              <w:jc w:val="both"/>
              <w:rPr>
                <w:b/>
                <w:sz w:val="20"/>
                <w:szCs w:val="20"/>
                <w:lang w:val="fr-CA"/>
              </w:rPr>
            </w:pPr>
            <w:r w:rsidRPr="0078568C">
              <w:rPr>
                <w:b/>
                <w:sz w:val="20"/>
                <w:szCs w:val="20"/>
                <w:lang w:val="fr-CA"/>
              </w:rPr>
              <w:t>Sa Majest</w:t>
            </w:r>
            <w:r>
              <w:rPr>
                <w:b/>
                <w:sz w:val="20"/>
                <w:szCs w:val="20"/>
                <w:lang w:val="fr-CA"/>
              </w:rPr>
              <w:t>é la Reine</w:t>
            </w:r>
          </w:p>
          <w:p w:rsidR="007C47C2" w:rsidRPr="0078568C" w:rsidRDefault="007C47C2" w:rsidP="00E942C2">
            <w:pPr>
              <w:widowControl w:val="0"/>
              <w:jc w:val="both"/>
              <w:rPr>
                <w:b/>
                <w:sz w:val="20"/>
                <w:szCs w:val="20"/>
                <w:lang w:val="fr-CA"/>
              </w:rPr>
            </w:pPr>
          </w:p>
          <w:p w:rsidR="007C47C2" w:rsidRPr="0078568C" w:rsidRDefault="007C47C2" w:rsidP="00E942C2">
            <w:pPr>
              <w:widowControl w:val="0"/>
              <w:tabs>
                <w:tab w:val="left" w:pos="736"/>
              </w:tabs>
              <w:jc w:val="both"/>
              <w:rPr>
                <w:b/>
                <w:sz w:val="20"/>
                <w:szCs w:val="20"/>
                <w:lang w:val="fr-CA"/>
              </w:rPr>
            </w:pPr>
            <w:r w:rsidRPr="0078568C">
              <w:rPr>
                <w:b/>
                <w:sz w:val="20"/>
                <w:szCs w:val="20"/>
                <w:lang w:val="fr-CA"/>
              </w:rPr>
              <w:tab/>
            </w:r>
            <w:r w:rsidR="0078568C">
              <w:rPr>
                <w:b/>
                <w:sz w:val="20"/>
                <w:szCs w:val="20"/>
                <w:lang w:val="fr-CA"/>
              </w:rPr>
              <w:t>c</w:t>
            </w:r>
            <w:r w:rsidRPr="0078568C">
              <w:rPr>
                <w:b/>
                <w:sz w:val="20"/>
                <w:szCs w:val="20"/>
                <w:lang w:val="fr-CA"/>
              </w:rPr>
              <w:t xml:space="preserve">. </w:t>
            </w:r>
            <w:r w:rsidRPr="0078568C">
              <w:rPr>
                <w:sz w:val="20"/>
                <w:szCs w:val="20"/>
                <w:lang w:val="fr-CA"/>
              </w:rPr>
              <w:t>(</w:t>
            </w:r>
            <w:hyperlink r:id="rId83" w:history="1">
              <w:r w:rsidR="0078568C">
                <w:rPr>
                  <w:rStyle w:val="Hyperlink"/>
                  <w:color w:val="auto"/>
                  <w:sz w:val="20"/>
                  <w:szCs w:val="20"/>
                  <w:lang w:val="fr-CA"/>
                </w:rPr>
                <w:t>37207</w:t>
              </w:r>
            </w:hyperlink>
            <w:r w:rsidRPr="0078568C">
              <w:rPr>
                <w:sz w:val="20"/>
                <w:szCs w:val="20"/>
                <w:lang w:val="fr-CA"/>
              </w:rPr>
              <w:t>)</w:t>
            </w:r>
          </w:p>
          <w:p w:rsidR="007C47C2" w:rsidRPr="0078568C" w:rsidRDefault="007C47C2" w:rsidP="00E942C2">
            <w:pPr>
              <w:widowControl w:val="0"/>
              <w:jc w:val="both"/>
              <w:rPr>
                <w:b/>
                <w:sz w:val="20"/>
                <w:szCs w:val="20"/>
                <w:lang w:val="fr-CA"/>
              </w:rPr>
            </w:pPr>
          </w:p>
          <w:p w:rsidR="007C47C2" w:rsidRPr="0078568C" w:rsidRDefault="0078568C" w:rsidP="0078568C">
            <w:pPr>
              <w:widowControl w:val="0"/>
              <w:jc w:val="both"/>
              <w:rPr>
                <w:sz w:val="20"/>
                <w:szCs w:val="20"/>
                <w:lang w:val="fr-CA"/>
              </w:rPr>
            </w:pPr>
            <w:r w:rsidRPr="0078568C">
              <w:rPr>
                <w:b/>
                <w:sz w:val="20"/>
                <w:szCs w:val="20"/>
                <w:lang w:val="fr-CA"/>
              </w:rPr>
              <w:t>Justine Awashish</w:t>
            </w:r>
            <w:r w:rsidR="007C47C2" w:rsidRPr="0078568C">
              <w:rPr>
                <w:b/>
                <w:sz w:val="20"/>
                <w:szCs w:val="20"/>
                <w:lang w:val="fr-CA"/>
              </w:rPr>
              <w:t xml:space="preserve"> (</w:t>
            </w:r>
            <w:r w:rsidRPr="0078568C">
              <w:rPr>
                <w:b/>
                <w:sz w:val="20"/>
                <w:szCs w:val="20"/>
                <w:lang w:val="fr-CA"/>
              </w:rPr>
              <w:t>Qc</w:t>
            </w:r>
            <w:r w:rsidR="007C47C2" w:rsidRPr="0078568C">
              <w:rPr>
                <w:b/>
                <w:sz w:val="20"/>
                <w:szCs w:val="20"/>
                <w:lang w:val="fr-CA"/>
              </w:rPr>
              <w:t>) (Crimin</w:t>
            </w:r>
            <w:r w:rsidRPr="0078568C">
              <w:rPr>
                <w:b/>
                <w:sz w:val="20"/>
                <w:szCs w:val="20"/>
                <w:lang w:val="fr-CA"/>
              </w:rPr>
              <w:t>elle</w:t>
            </w:r>
            <w:r w:rsidR="007C47C2" w:rsidRPr="0078568C">
              <w:rPr>
                <w:b/>
                <w:sz w:val="20"/>
                <w:szCs w:val="20"/>
                <w:lang w:val="fr-CA"/>
              </w:rPr>
              <w:t>) (A</w:t>
            </w:r>
            <w:r w:rsidRPr="0078568C">
              <w:rPr>
                <w:b/>
                <w:sz w:val="20"/>
                <w:szCs w:val="20"/>
                <w:lang w:val="fr-CA"/>
              </w:rPr>
              <w:t>utorisation</w:t>
            </w:r>
            <w:r w:rsidR="007C47C2" w:rsidRPr="0078568C">
              <w:rPr>
                <w:b/>
                <w:sz w:val="20"/>
                <w:szCs w:val="20"/>
                <w:lang w:val="fr-CA"/>
              </w:rPr>
              <w:t>)</w:t>
            </w:r>
          </w:p>
        </w:tc>
        <w:tc>
          <w:tcPr>
            <w:tcW w:w="720" w:type="dxa"/>
            <w:tcMar>
              <w:left w:w="0" w:type="dxa"/>
              <w:right w:w="0" w:type="dxa"/>
            </w:tcMar>
          </w:tcPr>
          <w:p w:rsidR="007C47C2" w:rsidRPr="0078568C" w:rsidRDefault="007C47C2" w:rsidP="00E942C2">
            <w:pPr>
              <w:widowControl w:val="0"/>
              <w:jc w:val="center"/>
              <w:rPr>
                <w:sz w:val="20"/>
                <w:szCs w:val="20"/>
                <w:lang w:val="fr-CA"/>
              </w:rPr>
            </w:pPr>
          </w:p>
        </w:tc>
        <w:tc>
          <w:tcPr>
            <w:tcW w:w="4380" w:type="dxa"/>
            <w:tcMar>
              <w:left w:w="0" w:type="dxa"/>
              <w:right w:w="0" w:type="dxa"/>
            </w:tcMar>
          </w:tcPr>
          <w:p w:rsidR="0066495F" w:rsidRPr="0066495F" w:rsidRDefault="0066495F" w:rsidP="0066495F">
            <w:pPr>
              <w:widowControl w:val="0"/>
              <w:rPr>
                <w:sz w:val="20"/>
                <w:szCs w:val="20"/>
                <w:lang w:val="fr-CA"/>
              </w:rPr>
            </w:pPr>
            <w:r w:rsidRPr="0066495F">
              <w:rPr>
                <w:sz w:val="20"/>
                <w:szCs w:val="20"/>
                <w:lang w:val="fr-CA"/>
              </w:rPr>
              <w:t>Justin Tremblay</w:t>
            </w:r>
            <w:r>
              <w:rPr>
                <w:sz w:val="20"/>
                <w:szCs w:val="20"/>
                <w:lang w:val="fr-CA"/>
              </w:rPr>
              <w:t xml:space="preserve"> et Pierre Bienvenue p</w:t>
            </w:r>
            <w:r w:rsidRPr="0066495F">
              <w:rPr>
                <w:sz w:val="20"/>
                <w:szCs w:val="20"/>
                <w:lang w:val="fr-CA"/>
              </w:rPr>
              <w:t xml:space="preserve">our l’appelante </w:t>
            </w:r>
          </w:p>
          <w:p w:rsidR="007C47C2" w:rsidRPr="00F7728B" w:rsidRDefault="0066495F" w:rsidP="0066495F">
            <w:pPr>
              <w:widowControl w:val="0"/>
              <w:rPr>
                <w:sz w:val="20"/>
                <w:szCs w:val="20"/>
                <w:lang w:val="en-US"/>
              </w:rPr>
            </w:pPr>
            <w:r w:rsidRPr="00F7728B">
              <w:rPr>
                <w:sz w:val="20"/>
                <w:szCs w:val="20"/>
                <w:lang w:val="en-US"/>
              </w:rPr>
              <w:t>Sa Majesté la Reine.</w:t>
            </w:r>
          </w:p>
          <w:p w:rsidR="0066495F" w:rsidRPr="00F7728B" w:rsidRDefault="0066495F" w:rsidP="0066495F">
            <w:pPr>
              <w:widowControl w:val="0"/>
              <w:rPr>
                <w:sz w:val="20"/>
                <w:szCs w:val="20"/>
                <w:lang w:val="en-US"/>
              </w:rPr>
            </w:pPr>
          </w:p>
          <w:p w:rsidR="0066495F" w:rsidRDefault="0066495F" w:rsidP="0066495F">
            <w:pPr>
              <w:widowControl w:val="0"/>
              <w:rPr>
                <w:sz w:val="20"/>
                <w:szCs w:val="20"/>
                <w:lang w:val="en-US"/>
              </w:rPr>
            </w:pPr>
            <w:r w:rsidRPr="0066495F">
              <w:rPr>
                <w:sz w:val="20"/>
                <w:szCs w:val="20"/>
                <w:lang w:val="en-US"/>
              </w:rPr>
              <w:t>Milan Rupic</w:t>
            </w:r>
            <w:r>
              <w:rPr>
                <w:sz w:val="20"/>
                <w:szCs w:val="20"/>
                <w:lang w:val="en-US"/>
              </w:rPr>
              <w:t xml:space="preserve"> and Avene Derwa f</w:t>
            </w:r>
            <w:r w:rsidRPr="0066495F">
              <w:rPr>
                <w:sz w:val="20"/>
                <w:szCs w:val="20"/>
                <w:lang w:val="en-US"/>
              </w:rPr>
              <w:t>or the Intervener</w:t>
            </w:r>
            <w:r>
              <w:rPr>
                <w:sz w:val="20"/>
                <w:szCs w:val="20"/>
                <w:lang w:val="en-US"/>
              </w:rPr>
              <w:t xml:space="preserve"> </w:t>
            </w:r>
            <w:r w:rsidRPr="0066495F">
              <w:rPr>
                <w:sz w:val="20"/>
                <w:szCs w:val="20"/>
                <w:lang w:val="en-US"/>
              </w:rPr>
              <w:t>Attorney General of Ontario</w:t>
            </w:r>
            <w:r>
              <w:rPr>
                <w:sz w:val="20"/>
                <w:szCs w:val="20"/>
                <w:lang w:val="en-US"/>
              </w:rPr>
              <w:t>.</w:t>
            </w:r>
          </w:p>
          <w:p w:rsidR="0066495F" w:rsidRDefault="0066495F" w:rsidP="0066495F">
            <w:pPr>
              <w:widowControl w:val="0"/>
              <w:rPr>
                <w:sz w:val="20"/>
                <w:szCs w:val="20"/>
                <w:lang w:val="en-US"/>
              </w:rPr>
            </w:pPr>
          </w:p>
          <w:p w:rsidR="0066495F" w:rsidRPr="0066495F" w:rsidRDefault="0066495F" w:rsidP="0066495F">
            <w:pPr>
              <w:widowControl w:val="0"/>
              <w:rPr>
                <w:sz w:val="20"/>
                <w:szCs w:val="20"/>
                <w:lang w:val="fr-CA"/>
              </w:rPr>
            </w:pPr>
            <w:r>
              <w:rPr>
                <w:sz w:val="20"/>
                <w:szCs w:val="20"/>
                <w:lang w:val="fr-CA"/>
              </w:rPr>
              <w:t xml:space="preserve">Pascal Lévesque et </w:t>
            </w:r>
            <w:r w:rsidRPr="0066495F">
              <w:rPr>
                <w:sz w:val="20"/>
                <w:szCs w:val="20"/>
                <w:lang w:val="fr-CA"/>
              </w:rPr>
              <w:t>Jean-Marc Fradette</w:t>
            </w:r>
            <w:r>
              <w:rPr>
                <w:sz w:val="20"/>
                <w:szCs w:val="20"/>
                <w:lang w:val="fr-CA"/>
              </w:rPr>
              <w:t xml:space="preserve"> pour l’intimée </w:t>
            </w:r>
            <w:r w:rsidRPr="0066495F">
              <w:rPr>
                <w:sz w:val="20"/>
                <w:szCs w:val="20"/>
                <w:lang w:val="fr-CA"/>
              </w:rPr>
              <w:t>Justine Awashish</w:t>
            </w:r>
            <w:r>
              <w:rPr>
                <w:sz w:val="20"/>
                <w:szCs w:val="20"/>
                <w:lang w:val="fr-CA"/>
              </w:rPr>
              <w:t>.</w:t>
            </w:r>
          </w:p>
          <w:p w:rsidR="0066495F" w:rsidRPr="0066495F" w:rsidRDefault="0066495F" w:rsidP="0066495F">
            <w:pPr>
              <w:widowControl w:val="0"/>
              <w:rPr>
                <w:sz w:val="20"/>
                <w:szCs w:val="20"/>
                <w:lang w:val="fr-CA"/>
              </w:rPr>
            </w:pPr>
          </w:p>
        </w:tc>
      </w:tr>
    </w:tbl>
    <w:p w:rsidR="007C47C2" w:rsidRPr="0066495F" w:rsidRDefault="007C47C2" w:rsidP="007C47C2">
      <w:pPr>
        <w:widowControl w:val="0"/>
        <w:rPr>
          <w:lang w:val="fr-CA"/>
        </w:rPr>
      </w:pPr>
    </w:p>
    <w:p w:rsidR="0078568C" w:rsidRPr="007B34E1" w:rsidRDefault="0078568C" w:rsidP="0078568C">
      <w:pPr>
        <w:widowControl w:val="0"/>
        <w:rPr>
          <w:sz w:val="20"/>
          <w:szCs w:val="20"/>
        </w:rPr>
      </w:pPr>
      <w:r w:rsidRPr="007B34E1">
        <w:rPr>
          <w:b/>
          <w:sz w:val="20"/>
          <w:szCs w:val="20"/>
        </w:rPr>
        <w:t xml:space="preserve">RESERVED / </w:t>
      </w:r>
      <w:r w:rsidRPr="007B34E1">
        <w:rPr>
          <w:b/>
          <w:sz w:val="20"/>
          <w:szCs w:val="20"/>
          <w:lang w:val="fr-CA"/>
        </w:rPr>
        <w:t>EN DÉLIBÉRÉ</w:t>
      </w:r>
    </w:p>
    <w:p w:rsidR="007C47C2" w:rsidRPr="0078568C" w:rsidRDefault="007C47C2" w:rsidP="007C47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8568C" w:rsidRPr="00B4434E" w:rsidTr="00E942C2">
        <w:tc>
          <w:tcPr>
            <w:tcW w:w="4380" w:type="dxa"/>
            <w:tcMar>
              <w:left w:w="0" w:type="dxa"/>
              <w:right w:w="0" w:type="dxa"/>
            </w:tcMar>
          </w:tcPr>
          <w:p w:rsidR="007C47C2" w:rsidRPr="0078568C" w:rsidRDefault="007C47C2" w:rsidP="00E942C2">
            <w:pPr>
              <w:widowControl w:val="0"/>
              <w:jc w:val="both"/>
              <w:rPr>
                <w:b/>
                <w:sz w:val="20"/>
                <w:szCs w:val="20"/>
                <w:u w:val="single"/>
              </w:rPr>
            </w:pPr>
            <w:r w:rsidRPr="0078568C">
              <w:rPr>
                <w:b/>
                <w:sz w:val="20"/>
                <w:szCs w:val="20"/>
                <w:u w:val="single"/>
              </w:rPr>
              <w:t>Nature of the case:</w:t>
            </w:r>
          </w:p>
          <w:p w:rsidR="007C47C2" w:rsidRPr="0078568C" w:rsidRDefault="007C47C2" w:rsidP="00E942C2">
            <w:pPr>
              <w:widowControl w:val="0"/>
              <w:jc w:val="both"/>
              <w:rPr>
                <w:b/>
                <w:sz w:val="20"/>
                <w:szCs w:val="20"/>
              </w:rPr>
            </w:pPr>
          </w:p>
          <w:p w:rsidR="007C47C2" w:rsidRPr="00F973DA" w:rsidRDefault="0078568C" w:rsidP="00E942C2">
            <w:pPr>
              <w:widowControl w:val="0"/>
              <w:jc w:val="both"/>
              <w:rPr>
                <w:b/>
                <w:sz w:val="20"/>
                <w:szCs w:val="20"/>
              </w:rPr>
            </w:pPr>
            <w:r w:rsidRPr="0078568C">
              <w:rPr>
                <w:sz w:val="20"/>
                <w:szCs w:val="20"/>
              </w:rPr>
              <w:t>Criminal law - Appeals, Certiorari, Jurisdiction - Criminal law - Appeals - Interlocutory judgment - Certiorari - Jurisdiction - Impaired driving - Disclosure - Whether court exceeds its jurisdiction by ordering Crown to inquire into existence of documents not characterized as “fruits of investigation” of which defence seeks disclosure on basis of St-Onge Lamoureux, [2012] 3 S.C.R. 187, and into identity of holders of those documents without relevance being demonstrated, or whether in so doing it commits error of law on face of record - Whether court of appeal can limit Superior Court’s scope of review and right to apply for certiorari against interlocutory decisions concerning disclosure of evidence to cases of excess of jurisdiction or [TRANSLATION] “definitive violation of fundamental right”, thereby excluding error of law on face of record</w:t>
            </w:r>
          </w:p>
        </w:tc>
        <w:tc>
          <w:tcPr>
            <w:tcW w:w="720" w:type="dxa"/>
            <w:tcMar>
              <w:left w:w="0" w:type="dxa"/>
              <w:right w:w="0" w:type="dxa"/>
            </w:tcMar>
          </w:tcPr>
          <w:p w:rsidR="007C47C2" w:rsidRPr="0078568C" w:rsidRDefault="007C47C2" w:rsidP="00E942C2">
            <w:pPr>
              <w:widowControl w:val="0"/>
              <w:jc w:val="center"/>
              <w:rPr>
                <w:sz w:val="20"/>
                <w:szCs w:val="20"/>
              </w:rPr>
            </w:pPr>
          </w:p>
        </w:tc>
        <w:tc>
          <w:tcPr>
            <w:tcW w:w="4380" w:type="dxa"/>
            <w:tcMar>
              <w:left w:w="0" w:type="dxa"/>
              <w:right w:w="0" w:type="dxa"/>
            </w:tcMar>
          </w:tcPr>
          <w:p w:rsidR="007C47C2" w:rsidRPr="0078568C" w:rsidRDefault="007C47C2" w:rsidP="00E942C2">
            <w:pPr>
              <w:widowControl w:val="0"/>
              <w:jc w:val="both"/>
              <w:rPr>
                <w:b/>
                <w:sz w:val="20"/>
                <w:szCs w:val="20"/>
                <w:u w:val="single"/>
                <w:lang w:val="fr-CA"/>
              </w:rPr>
            </w:pPr>
            <w:r w:rsidRPr="0078568C">
              <w:rPr>
                <w:b/>
                <w:sz w:val="20"/>
                <w:szCs w:val="20"/>
                <w:u w:val="single"/>
                <w:lang w:val="fr-CA"/>
              </w:rPr>
              <w:t>Nature de la cause :</w:t>
            </w:r>
          </w:p>
          <w:p w:rsidR="007C47C2" w:rsidRPr="0078568C" w:rsidRDefault="007C47C2" w:rsidP="00E942C2">
            <w:pPr>
              <w:widowControl w:val="0"/>
              <w:jc w:val="both"/>
              <w:rPr>
                <w:sz w:val="20"/>
                <w:szCs w:val="20"/>
                <w:lang w:val="fr-CA"/>
              </w:rPr>
            </w:pPr>
          </w:p>
          <w:p w:rsidR="007C47C2" w:rsidRPr="0078568C" w:rsidRDefault="0078568C" w:rsidP="00E942C2">
            <w:pPr>
              <w:widowControl w:val="0"/>
              <w:jc w:val="both"/>
              <w:rPr>
                <w:sz w:val="20"/>
                <w:szCs w:val="20"/>
                <w:lang w:val="fr-CA"/>
              </w:rPr>
            </w:pPr>
            <w:r w:rsidRPr="0078568C">
              <w:rPr>
                <w:sz w:val="20"/>
                <w:szCs w:val="20"/>
                <w:lang w:val="fr-CA"/>
              </w:rPr>
              <w:t>Droit criminel - Appels, Certiorari, Compétence - Droit criminel - Appels - Jugement interlocutoire - Certiorari - Compétence - Conduite avec facultés affaiblies - Communication de la preuve - Une cour excède-t-elle sa compétence en ordonnant au Ministère public de faire enquête sur l’existence de documents non qualifiés de « fruits de l’enquête », dont la défense demande divulgation sur la base de l’arrêt St-Onge Lamoureux, [2012] 3 R.C.S. 187, et sur l’identité de leurs détenteurs, sans la démonstration de leur pertinence, ou comment-elle ainsi une erreur de droit manifeste eu égard au dossier? - Une cour d’appel peut-elle restreindre le champ de révision de la Cour supérieure et le droit de se pourvoir par certiorari contre des décisions interlocutoires concernant la divulgation de la preuve, aux seuls cas d’excès de compétence ou « d’atteinte définitive à un droit fondamentale », à l’exclusion de l’erreur de droit manifeste eu égard au dossier? ».</w:t>
            </w:r>
          </w:p>
        </w:tc>
      </w:tr>
    </w:tbl>
    <w:p w:rsidR="007C47C2" w:rsidRDefault="007C47C2" w:rsidP="007C47C2">
      <w:pPr>
        <w:widowControl w:val="0"/>
        <w:rPr>
          <w:sz w:val="20"/>
          <w:szCs w:val="20"/>
          <w:lang w:val="fr-CA"/>
        </w:rPr>
      </w:pPr>
    </w:p>
    <w:p w:rsidR="00E940EB" w:rsidRDefault="00167F64" w:rsidP="00732DB7">
      <w:pPr>
        <w:widowControl w:val="0"/>
        <w:rPr>
          <w:sz w:val="20"/>
          <w:szCs w:val="20"/>
          <w:lang w:val="fr-CA"/>
        </w:rPr>
      </w:pPr>
      <w:r>
        <w:rPr>
          <w:sz w:val="20"/>
          <w:szCs w:val="20"/>
          <w:lang w:val="fr-CA"/>
        </w:rPr>
        <w:pict>
          <v:rect id="_x0000_i1068" style="width:2in;height:1pt" o:hrpct="0" o:hralign="center" o:hrstd="t" o:hrnoshade="t" o:hr="t" fillcolor="black [3213]" stroked="f"/>
        </w:pict>
      </w:r>
    </w:p>
    <w:p w:rsidR="00D004FC" w:rsidRDefault="00D004FC" w:rsidP="00732DB7">
      <w:pPr>
        <w:widowControl w:val="0"/>
        <w:rPr>
          <w:sz w:val="20"/>
          <w:szCs w:val="20"/>
          <w:lang w:val="fr-CA"/>
        </w:rPr>
      </w:pPr>
    </w:p>
    <w:p w:rsidR="0056248C" w:rsidRPr="00C1697B" w:rsidRDefault="0056248C" w:rsidP="00732DB7">
      <w:pPr>
        <w:widowControl w:val="0"/>
        <w:rPr>
          <w:sz w:val="20"/>
          <w:szCs w:val="20"/>
          <w:lang w:val="fr-CA"/>
        </w:rPr>
      </w:pPr>
    </w:p>
    <w:p w:rsidR="00732DB7" w:rsidRPr="00C1697B" w:rsidRDefault="00732DB7" w:rsidP="00732DB7">
      <w:pPr>
        <w:widowControl w:val="0"/>
        <w:rPr>
          <w:sz w:val="20"/>
          <w:szCs w:val="20"/>
          <w:lang w:val="fr-CA"/>
        </w:rPr>
      </w:pPr>
    </w:p>
    <w:p w:rsidR="00175956" w:rsidRDefault="00175956">
      <w:pPr>
        <w:rPr>
          <w:sz w:val="20"/>
          <w:szCs w:val="20"/>
          <w:lang w:val="fr-CA"/>
        </w:rPr>
      </w:pPr>
      <w:r>
        <w:rPr>
          <w:sz w:val="20"/>
          <w:szCs w:val="20"/>
          <w:lang w:val="fr-CA"/>
        </w:rPr>
        <w:br w:type="page"/>
      </w:r>
    </w:p>
    <w:p w:rsidR="00175956" w:rsidRPr="00175956" w:rsidRDefault="00175956" w:rsidP="00175956">
      <w:pPr>
        <w:widowControl w:val="0"/>
        <w:rPr>
          <w:sz w:val="20"/>
          <w:szCs w:val="20"/>
        </w:rPr>
      </w:pPr>
      <w:r w:rsidRPr="00175956">
        <w:rPr>
          <w:sz w:val="20"/>
          <w:szCs w:val="20"/>
        </w:rPr>
        <w:t>08.02.2018</w:t>
      </w:r>
    </w:p>
    <w:p w:rsidR="00175956" w:rsidRPr="00362CE6" w:rsidRDefault="00175956" w:rsidP="00175956">
      <w:pPr>
        <w:widowControl w:val="0"/>
        <w:rPr>
          <w:sz w:val="20"/>
          <w:szCs w:val="20"/>
        </w:rPr>
      </w:pPr>
    </w:p>
    <w:p w:rsidR="00175956" w:rsidRPr="00362CE6" w:rsidRDefault="00175956" w:rsidP="00175956">
      <w:pPr>
        <w:widowControl w:val="0"/>
        <w:ind w:left="720" w:hanging="720"/>
        <w:rPr>
          <w:sz w:val="20"/>
          <w:szCs w:val="20"/>
        </w:rPr>
      </w:pPr>
      <w:r w:rsidRPr="00362CE6">
        <w:rPr>
          <w:sz w:val="20"/>
          <w:szCs w:val="20"/>
        </w:rPr>
        <w:t xml:space="preserve">Coram: </w:t>
      </w:r>
      <w:r w:rsidRPr="00362CE6">
        <w:rPr>
          <w:sz w:val="20"/>
          <w:szCs w:val="20"/>
        </w:rPr>
        <w:tab/>
      </w:r>
      <w:r w:rsidRPr="00362CE6">
        <w:rPr>
          <w:sz w:val="20"/>
          <w:szCs w:val="20"/>
          <w:u w:val="single"/>
        </w:rPr>
        <w:t>C.J. Wagner and Abella, Moldaver, Karakatsanis, Gascon, Côté, Brown, Rowe and Martin JJ.</w:t>
      </w:r>
      <w:r w:rsidRPr="00362CE6">
        <w:rPr>
          <w:sz w:val="20"/>
          <w:szCs w:val="20"/>
        </w:rPr>
        <w:t xml:space="preserve"> </w:t>
      </w:r>
    </w:p>
    <w:p w:rsidR="00175956" w:rsidRPr="00362CE6" w:rsidRDefault="00175956" w:rsidP="00175956">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175956" w:rsidRPr="00362CE6" w:rsidTr="00A05C03">
        <w:trPr>
          <w:trHeight w:val="351"/>
        </w:trPr>
        <w:tc>
          <w:tcPr>
            <w:tcW w:w="4380" w:type="dxa"/>
            <w:tcMar>
              <w:left w:w="0" w:type="dxa"/>
              <w:right w:w="0" w:type="dxa"/>
            </w:tcMar>
          </w:tcPr>
          <w:p w:rsidR="00175956" w:rsidRPr="00362CE6" w:rsidRDefault="00175956" w:rsidP="00175956">
            <w:pPr>
              <w:widowControl w:val="0"/>
              <w:rPr>
                <w:b/>
                <w:sz w:val="20"/>
                <w:szCs w:val="20"/>
                <w:lang w:val="fr-CA"/>
              </w:rPr>
            </w:pPr>
            <w:r w:rsidRPr="00362CE6">
              <w:rPr>
                <w:b/>
                <w:sz w:val="20"/>
                <w:szCs w:val="20"/>
                <w:lang w:val="fr-CA"/>
              </w:rPr>
              <w:t>Michelle Constance Moore</w:t>
            </w:r>
          </w:p>
          <w:p w:rsidR="00175956" w:rsidRPr="00362CE6" w:rsidRDefault="00175956" w:rsidP="00175956">
            <w:pPr>
              <w:widowControl w:val="0"/>
              <w:rPr>
                <w:b/>
                <w:sz w:val="20"/>
                <w:szCs w:val="20"/>
                <w:lang w:val="fr-CA"/>
              </w:rPr>
            </w:pPr>
          </w:p>
          <w:p w:rsidR="00175956" w:rsidRPr="00362CE6" w:rsidRDefault="00175956" w:rsidP="00175956">
            <w:pPr>
              <w:widowControl w:val="0"/>
              <w:tabs>
                <w:tab w:val="left" w:pos="736"/>
              </w:tabs>
              <w:rPr>
                <w:b/>
                <w:sz w:val="20"/>
                <w:szCs w:val="20"/>
                <w:lang w:val="fr-CA"/>
              </w:rPr>
            </w:pPr>
            <w:r w:rsidRPr="00362CE6">
              <w:rPr>
                <w:b/>
                <w:sz w:val="20"/>
                <w:szCs w:val="20"/>
                <w:lang w:val="fr-CA"/>
              </w:rPr>
              <w:tab/>
              <w:t xml:space="preserve">v. </w:t>
            </w:r>
            <w:r w:rsidRPr="00362CE6">
              <w:rPr>
                <w:sz w:val="20"/>
                <w:szCs w:val="20"/>
                <w:lang w:val="fr-CA"/>
              </w:rPr>
              <w:t>(</w:t>
            </w:r>
            <w:hyperlink r:id="rId84" w:history="1">
              <w:r w:rsidRPr="00362CE6">
                <w:rPr>
                  <w:rStyle w:val="Hyperlink"/>
                  <w:color w:val="auto"/>
                  <w:sz w:val="20"/>
                  <w:szCs w:val="20"/>
                  <w:lang w:val="fr-CA"/>
                </w:rPr>
                <w:t>37546</w:t>
              </w:r>
            </w:hyperlink>
            <w:r w:rsidRPr="00362CE6">
              <w:rPr>
                <w:sz w:val="20"/>
                <w:szCs w:val="20"/>
                <w:lang w:val="fr-CA"/>
              </w:rPr>
              <w:t>)</w:t>
            </w:r>
          </w:p>
          <w:p w:rsidR="00175956" w:rsidRPr="00362CE6" w:rsidRDefault="00175956" w:rsidP="00175956">
            <w:pPr>
              <w:widowControl w:val="0"/>
              <w:rPr>
                <w:b/>
                <w:sz w:val="20"/>
                <w:szCs w:val="20"/>
                <w:lang w:val="fr-CA"/>
              </w:rPr>
            </w:pPr>
          </w:p>
          <w:p w:rsidR="00175956" w:rsidRPr="00362CE6" w:rsidRDefault="00175956" w:rsidP="00175956">
            <w:pPr>
              <w:widowControl w:val="0"/>
              <w:rPr>
                <w:sz w:val="20"/>
                <w:szCs w:val="20"/>
                <w:lang w:val="fr-CA"/>
              </w:rPr>
            </w:pPr>
            <w:r w:rsidRPr="00362CE6">
              <w:rPr>
                <w:b/>
                <w:sz w:val="20"/>
                <w:szCs w:val="20"/>
                <w:lang w:val="fr-CA"/>
              </w:rPr>
              <w:t>Risa Lorraine Sweet (Ont.) (Civil) (By Leave)</w:t>
            </w:r>
          </w:p>
        </w:tc>
        <w:tc>
          <w:tcPr>
            <w:tcW w:w="720" w:type="dxa"/>
            <w:tcMar>
              <w:left w:w="0" w:type="dxa"/>
              <w:right w:w="0" w:type="dxa"/>
            </w:tcMar>
          </w:tcPr>
          <w:p w:rsidR="00175956" w:rsidRPr="00362CE6" w:rsidRDefault="00175956" w:rsidP="00A05C03">
            <w:pPr>
              <w:widowControl w:val="0"/>
              <w:jc w:val="center"/>
              <w:rPr>
                <w:sz w:val="20"/>
                <w:szCs w:val="20"/>
                <w:lang w:val="fr-CA"/>
              </w:rPr>
            </w:pPr>
          </w:p>
        </w:tc>
        <w:tc>
          <w:tcPr>
            <w:tcW w:w="4380" w:type="dxa"/>
            <w:tcMar>
              <w:left w:w="0" w:type="dxa"/>
              <w:right w:w="0" w:type="dxa"/>
            </w:tcMar>
          </w:tcPr>
          <w:p w:rsidR="00175956" w:rsidRPr="00362CE6" w:rsidRDefault="00175956" w:rsidP="00175956">
            <w:pPr>
              <w:widowControl w:val="0"/>
              <w:rPr>
                <w:sz w:val="20"/>
                <w:szCs w:val="20"/>
                <w:lang w:val="en-US"/>
              </w:rPr>
            </w:pPr>
            <w:r w:rsidRPr="00362CE6">
              <w:rPr>
                <w:sz w:val="20"/>
                <w:szCs w:val="20"/>
                <w:lang w:val="en-US"/>
              </w:rPr>
              <w:t>Ian M. Hull, Suzana Popovic-Montag and David M. Smith for the Appellant Michelle Constance Moore.</w:t>
            </w:r>
          </w:p>
          <w:p w:rsidR="00175956" w:rsidRPr="00362CE6" w:rsidRDefault="00175956" w:rsidP="00175956">
            <w:pPr>
              <w:widowControl w:val="0"/>
              <w:rPr>
                <w:sz w:val="20"/>
                <w:szCs w:val="20"/>
                <w:lang w:val="en-US"/>
              </w:rPr>
            </w:pPr>
          </w:p>
          <w:p w:rsidR="00175956" w:rsidRPr="00362CE6" w:rsidRDefault="00175956" w:rsidP="00175956">
            <w:pPr>
              <w:widowControl w:val="0"/>
              <w:rPr>
                <w:sz w:val="20"/>
                <w:szCs w:val="20"/>
                <w:lang w:val="en-US"/>
              </w:rPr>
            </w:pPr>
            <w:r w:rsidRPr="00362CE6">
              <w:rPr>
                <w:sz w:val="20"/>
                <w:szCs w:val="20"/>
                <w:lang w:val="en-US"/>
              </w:rPr>
              <w:t>Jeremy Opolsky and Jonathan Silver for the Respondent Risa Lorraine Sweet.</w:t>
            </w:r>
          </w:p>
          <w:p w:rsidR="00175956" w:rsidRPr="00362CE6" w:rsidRDefault="00175956" w:rsidP="00175956">
            <w:pPr>
              <w:widowControl w:val="0"/>
              <w:rPr>
                <w:sz w:val="20"/>
                <w:szCs w:val="20"/>
                <w:lang w:val="en-US"/>
              </w:rPr>
            </w:pPr>
          </w:p>
          <w:p w:rsidR="00175956" w:rsidRPr="00362CE6" w:rsidRDefault="00175956" w:rsidP="00175956">
            <w:pPr>
              <w:widowControl w:val="0"/>
              <w:rPr>
                <w:sz w:val="20"/>
                <w:szCs w:val="20"/>
                <w:lang w:val="en-US"/>
              </w:rPr>
            </w:pPr>
          </w:p>
        </w:tc>
      </w:tr>
    </w:tbl>
    <w:p w:rsidR="00175956" w:rsidRPr="00362CE6" w:rsidRDefault="00175956" w:rsidP="00175956">
      <w:pPr>
        <w:widowControl w:val="0"/>
        <w:rPr>
          <w:lang w:val="en-US"/>
        </w:rPr>
      </w:pPr>
    </w:p>
    <w:p w:rsidR="00175956" w:rsidRPr="00362CE6" w:rsidRDefault="00175956" w:rsidP="00175956">
      <w:pPr>
        <w:widowControl w:val="0"/>
        <w:rPr>
          <w:sz w:val="20"/>
          <w:szCs w:val="20"/>
        </w:rPr>
      </w:pPr>
      <w:r w:rsidRPr="00362CE6">
        <w:rPr>
          <w:b/>
          <w:sz w:val="20"/>
          <w:szCs w:val="20"/>
        </w:rPr>
        <w:t xml:space="preserve">RESERVED / </w:t>
      </w:r>
      <w:r w:rsidRPr="00362CE6">
        <w:rPr>
          <w:b/>
          <w:sz w:val="20"/>
          <w:szCs w:val="20"/>
          <w:lang w:val="en-US"/>
        </w:rPr>
        <w:t>EN DÉLIBÉRÉ</w:t>
      </w:r>
    </w:p>
    <w:p w:rsidR="00175956" w:rsidRPr="00362CE6" w:rsidRDefault="00175956" w:rsidP="00175956">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362CE6" w:rsidRPr="00B4434E" w:rsidTr="00A05C03">
        <w:tc>
          <w:tcPr>
            <w:tcW w:w="4380" w:type="dxa"/>
            <w:tcMar>
              <w:left w:w="0" w:type="dxa"/>
              <w:right w:w="0" w:type="dxa"/>
            </w:tcMar>
          </w:tcPr>
          <w:p w:rsidR="00175956" w:rsidRPr="00362CE6" w:rsidRDefault="00175956" w:rsidP="00A05C03">
            <w:pPr>
              <w:widowControl w:val="0"/>
              <w:jc w:val="both"/>
              <w:rPr>
                <w:b/>
                <w:sz w:val="20"/>
                <w:szCs w:val="20"/>
                <w:u w:val="single"/>
              </w:rPr>
            </w:pPr>
            <w:r w:rsidRPr="00362CE6">
              <w:rPr>
                <w:b/>
                <w:sz w:val="20"/>
                <w:szCs w:val="20"/>
                <w:u w:val="single"/>
              </w:rPr>
              <w:t>Nature of the case:</w:t>
            </w:r>
          </w:p>
          <w:p w:rsidR="00175956" w:rsidRPr="00362CE6" w:rsidRDefault="00175956" w:rsidP="00A05C03">
            <w:pPr>
              <w:widowControl w:val="0"/>
              <w:jc w:val="both"/>
              <w:rPr>
                <w:b/>
                <w:sz w:val="20"/>
                <w:szCs w:val="20"/>
              </w:rPr>
            </w:pPr>
          </w:p>
          <w:p w:rsidR="00175956" w:rsidRPr="00362CE6" w:rsidRDefault="00175956" w:rsidP="00A05C03">
            <w:pPr>
              <w:widowControl w:val="0"/>
              <w:jc w:val="both"/>
              <w:rPr>
                <w:b/>
                <w:sz w:val="20"/>
                <w:szCs w:val="20"/>
              </w:rPr>
            </w:pPr>
            <w:r w:rsidRPr="00362CE6">
              <w:rPr>
                <w:sz w:val="20"/>
                <w:szCs w:val="20"/>
              </w:rPr>
              <w:t>Restitution - Unjust enrichment, Equity, Remedies, Insurance - Restitution - Unjust enrichment - Equity - Remedies - Constructive trust - Insurance - Appellant continuing to pay premiums for term life insurance policy of ex-spouse, unaware that he had changed his beneficiary designation to the respondent - Whether the disposition of law category of juristic reason operates in all instances of a beneficiary designation - Whether a remedial constructive trust is otherwise available in the absence of unjust enrichment and wrongful act.</w:t>
            </w:r>
          </w:p>
        </w:tc>
        <w:tc>
          <w:tcPr>
            <w:tcW w:w="720" w:type="dxa"/>
            <w:tcMar>
              <w:left w:w="0" w:type="dxa"/>
              <w:right w:w="0" w:type="dxa"/>
            </w:tcMar>
          </w:tcPr>
          <w:p w:rsidR="00175956" w:rsidRPr="00362CE6" w:rsidRDefault="00175956" w:rsidP="00A05C03">
            <w:pPr>
              <w:widowControl w:val="0"/>
              <w:jc w:val="center"/>
              <w:rPr>
                <w:sz w:val="20"/>
                <w:szCs w:val="20"/>
              </w:rPr>
            </w:pPr>
          </w:p>
        </w:tc>
        <w:tc>
          <w:tcPr>
            <w:tcW w:w="4380" w:type="dxa"/>
            <w:tcMar>
              <w:left w:w="0" w:type="dxa"/>
              <w:right w:w="0" w:type="dxa"/>
            </w:tcMar>
          </w:tcPr>
          <w:p w:rsidR="00175956" w:rsidRPr="00362CE6" w:rsidRDefault="00175956" w:rsidP="00A05C03">
            <w:pPr>
              <w:widowControl w:val="0"/>
              <w:jc w:val="both"/>
              <w:rPr>
                <w:b/>
                <w:sz w:val="20"/>
                <w:szCs w:val="20"/>
                <w:u w:val="single"/>
                <w:lang w:val="fr-CA"/>
              </w:rPr>
            </w:pPr>
            <w:r w:rsidRPr="00362CE6">
              <w:rPr>
                <w:b/>
                <w:sz w:val="20"/>
                <w:szCs w:val="20"/>
                <w:u w:val="single"/>
                <w:lang w:val="fr-CA"/>
              </w:rPr>
              <w:t>Nature de la cause :</w:t>
            </w:r>
          </w:p>
          <w:p w:rsidR="00175956" w:rsidRPr="00362CE6" w:rsidRDefault="00175956" w:rsidP="00A05C03">
            <w:pPr>
              <w:widowControl w:val="0"/>
              <w:jc w:val="both"/>
              <w:rPr>
                <w:sz w:val="20"/>
                <w:szCs w:val="20"/>
                <w:lang w:val="fr-CA"/>
              </w:rPr>
            </w:pPr>
          </w:p>
          <w:p w:rsidR="00175956" w:rsidRPr="00362CE6" w:rsidRDefault="00175956" w:rsidP="00A05C03">
            <w:pPr>
              <w:widowControl w:val="0"/>
              <w:jc w:val="both"/>
              <w:rPr>
                <w:sz w:val="20"/>
                <w:szCs w:val="20"/>
                <w:lang w:val="fr-CA"/>
              </w:rPr>
            </w:pPr>
            <w:r w:rsidRPr="00362CE6">
              <w:rPr>
                <w:sz w:val="20"/>
                <w:szCs w:val="20"/>
                <w:lang w:val="fr-CA"/>
              </w:rPr>
              <w:t>Restitution - Enrichissement injustifié, Equity, Recours, Assurances - Restitution - Enrichissement injustifié - Equity - Recours - Fiducie par interprétation - Assurance - L’appelante a continué de payer les primes d’une police d’assurance temporaire sur la vie de l’ex-époux, ignorant que ce dernier avait modifié la désignation du bénéficiaire en faveur de l’intimée - La catégorie de motif juridique qu’est la disposition légale s’applique-t-elle dans tous les cas de désignation du bénéficiaire? - Une fiducie par interprétation à titre de réparation peut-elle être invoquée par ailleurs en l’absence d’enrichissement injustifié et d’acte fautif?</w:t>
            </w:r>
          </w:p>
        </w:tc>
      </w:tr>
    </w:tbl>
    <w:p w:rsidR="00175956" w:rsidRDefault="00175956" w:rsidP="00175956">
      <w:pPr>
        <w:widowControl w:val="0"/>
        <w:rPr>
          <w:sz w:val="20"/>
          <w:szCs w:val="20"/>
          <w:lang w:val="fr-CA"/>
        </w:rPr>
      </w:pPr>
    </w:p>
    <w:p w:rsidR="00175956" w:rsidRDefault="00167F64" w:rsidP="00175956">
      <w:pPr>
        <w:widowControl w:val="0"/>
        <w:rPr>
          <w:sz w:val="20"/>
          <w:szCs w:val="20"/>
          <w:lang w:val="fr-CA"/>
        </w:rPr>
      </w:pPr>
      <w:r>
        <w:rPr>
          <w:sz w:val="20"/>
          <w:szCs w:val="20"/>
          <w:lang w:val="fr-CA"/>
        </w:rPr>
        <w:pict>
          <v:rect id="_x0000_i1069" style="width:2in;height:1pt" o:hrpct="0" o:hralign="center" o:hrstd="t" o:hrnoshade="t" o:hr="t" fillcolor="black [3213]" stroked="f"/>
        </w:pict>
      </w:r>
    </w:p>
    <w:p w:rsidR="00175956" w:rsidRDefault="00175956" w:rsidP="00175956">
      <w:pPr>
        <w:widowControl w:val="0"/>
        <w:rPr>
          <w:sz w:val="20"/>
          <w:szCs w:val="20"/>
          <w:lang w:val="fr-CA"/>
        </w:rPr>
      </w:pPr>
    </w:p>
    <w:p w:rsidR="00175956" w:rsidRPr="00C1697B" w:rsidRDefault="00175956" w:rsidP="00175956">
      <w:pPr>
        <w:widowControl w:val="0"/>
        <w:rPr>
          <w:sz w:val="20"/>
          <w:szCs w:val="20"/>
          <w:lang w:val="fr-CA"/>
        </w:rPr>
      </w:pPr>
    </w:p>
    <w:p w:rsidR="00AC6514" w:rsidRDefault="00AC6514">
      <w:pPr>
        <w:rPr>
          <w:sz w:val="20"/>
          <w:szCs w:val="20"/>
          <w:lang w:val="fr-CA"/>
        </w:rPr>
      </w:pPr>
      <w:r>
        <w:rPr>
          <w:sz w:val="20"/>
          <w:szCs w:val="20"/>
          <w:lang w:val="fr-CA"/>
        </w:rPr>
        <w:br w:type="page"/>
      </w:r>
    </w:p>
    <w:p w:rsidR="00AC6514" w:rsidRPr="009A09DA" w:rsidRDefault="00AC6514" w:rsidP="00AC6514">
      <w:pPr>
        <w:widowControl w:val="0"/>
        <w:rPr>
          <w:sz w:val="20"/>
          <w:szCs w:val="20"/>
        </w:rPr>
      </w:pPr>
      <w:r>
        <w:rPr>
          <w:sz w:val="20"/>
          <w:szCs w:val="20"/>
        </w:rPr>
        <w:t>09</w:t>
      </w:r>
      <w:r w:rsidRPr="00175956">
        <w:rPr>
          <w:sz w:val="20"/>
          <w:szCs w:val="20"/>
        </w:rPr>
        <w:t>.02.2018</w:t>
      </w:r>
    </w:p>
    <w:p w:rsidR="00AC6514" w:rsidRPr="009A09DA" w:rsidRDefault="00AC6514" w:rsidP="00AC6514">
      <w:pPr>
        <w:widowControl w:val="0"/>
        <w:rPr>
          <w:sz w:val="20"/>
          <w:szCs w:val="20"/>
        </w:rPr>
      </w:pPr>
    </w:p>
    <w:p w:rsidR="00AC6514" w:rsidRPr="009A09DA" w:rsidRDefault="00AC6514" w:rsidP="00AC6514">
      <w:pPr>
        <w:widowControl w:val="0"/>
        <w:ind w:left="720" w:hanging="720"/>
        <w:rPr>
          <w:sz w:val="20"/>
          <w:szCs w:val="20"/>
        </w:rPr>
      </w:pPr>
      <w:r w:rsidRPr="00E3741B">
        <w:rPr>
          <w:sz w:val="20"/>
          <w:szCs w:val="20"/>
        </w:rPr>
        <w:t xml:space="preserve">Coram: </w:t>
      </w:r>
      <w:r w:rsidRPr="00E3741B">
        <w:rPr>
          <w:sz w:val="20"/>
          <w:szCs w:val="20"/>
        </w:rPr>
        <w:tab/>
      </w:r>
      <w:r w:rsidRPr="00E3741B">
        <w:rPr>
          <w:sz w:val="20"/>
          <w:szCs w:val="20"/>
          <w:u w:val="single"/>
        </w:rPr>
        <w:t>C.J. Wagner and Abella, Moldaver, Karakatsanis, Gascon, Côté</w:t>
      </w:r>
      <w:r w:rsidR="009A09DA" w:rsidRPr="00E3741B">
        <w:rPr>
          <w:sz w:val="20"/>
          <w:szCs w:val="20"/>
          <w:u w:val="single"/>
        </w:rPr>
        <w:t xml:space="preserve"> and</w:t>
      </w:r>
      <w:r w:rsidRPr="00E3741B">
        <w:rPr>
          <w:sz w:val="20"/>
          <w:szCs w:val="20"/>
          <w:u w:val="single"/>
        </w:rPr>
        <w:t xml:space="preserve"> Brown JJ.</w:t>
      </w:r>
      <w:r w:rsidRPr="009A09DA">
        <w:rPr>
          <w:sz w:val="20"/>
          <w:szCs w:val="20"/>
        </w:rPr>
        <w:t xml:space="preserve"> </w:t>
      </w:r>
    </w:p>
    <w:p w:rsidR="00AC6514" w:rsidRPr="009A09DA" w:rsidRDefault="00AC6514" w:rsidP="00AC6514">
      <w:pPr>
        <w:widowControl w:val="0"/>
        <w:rPr>
          <w:b/>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C6514" w:rsidRPr="009A09DA" w:rsidTr="00A05C03">
        <w:trPr>
          <w:trHeight w:val="351"/>
        </w:trPr>
        <w:tc>
          <w:tcPr>
            <w:tcW w:w="4380" w:type="dxa"/>
            <w:tcMar>
              <w:left w:w="0" w:type="dxa"/>
              <w:right w:w="0" w:type="dxa"/>
            </w:tcMar>
          </w:tcPr>
          <w:p w:rsidR="00AC6514" w:rsidRPr="008F0D08" w:rsidRDefault="00AC6514" w:rsidP="00A05C03">
            <w:pPr>
              <w:widowControl w:val="0"/>
              <w:rPr>
                <w:b/>
                <w:sz w:val="20"/>
                <w:szCs w:val="20"/>
                <w:lang w:val="en-US"/>
              </w:rPr>
            </w:pPr>
            <w:r w:rsidRPr="008F0D08">
              <w:rPr>
                <w:b/>
                <w:sz w:val="20"/>
                <w:szCs w:val="20"/>
                <w:lang w:val="en-US"/>
              </w:rPr>
              <w:t>A.R. J.D</w:t>
            </w:r>
          </w:p>
          <w:p w:rsidR="00AC6514" w:rsidRPr="008F0D08" w:rsidRDefault="00AC6514" w:rsidP="00A05C03">
            <w:pPr>
              <w:widowControl w:val="0"/>
              <w:rPr>
                <w:b/>
                <w:sz w:val="20"/>
                <w:szCs w:val="20"/>
                <w:lang w:val="en-US"/>
              </w:rPr>
            </w:pPr>
          </w:p>
          <w:p w:rsidR="00AC6514" w:rsidRPr="008F0D08" w:rsidRDefault="00AC6514" w:rsidP="00A05C03">
            <w:pPr>
              <w:widowControl w:val="0"/>
              <w:tabs>
                <w:tab w:val="left" w:pos="736"/>
              </w:tabs>
              <w:rPr>
                <w:b/>
                <w:sz w:val="20"/>
                <w:szCs w:val="20"/>
                <w:lang w:val="en-US"/>
              </w:rPr>
            </w:pPr>
            <w:r w:rsidRPr="008F0D08">
              <w:rPr>
                <w:b/>
                <w:sz w:val="20"/>
                <w:szCs w:val="20"/>
                <w:lang w:val="en-US"/>
              </w:rPr>
              <w:tab/>
              <w:t xml:space="preserve">v. </w:t>
            </w:r>
            <w:r w:rsidRPr="008F0D08">
              <w:rPr>
                <w:sz w:val="20"/>
                <w:szCs w:val="20"/>
                <w:lang w:val="en-US"/>
              </w:rPr>
              <w:t>(</w:t>
            </w:r>
            <w:hyperlink r:id="rId85" w:history="1">
              <w:r w:rsidRPr="008F0D08">
                <w:rPr>
                  <w:rStyle w:val="Hyperlink"/>
                  <w:color w:val="auto"/>
                  <w:sz w:val="20"/>
                  <w:szCs w:val="20"/>
                  <w:lang w:val="en-US"/>
                </w:rPr>
                <w:t>37715</w:t>
              </w:r>
            </w:hyperlink>
            <w:r w:rsidRPr="008F0D08">
              <w:rPr>
                <w:sz w:val="20"/>
                <w:szCs w:val="20"/>
                <w:lang w:val="en-US"/>
              </w:rPr>
              <w:t>)</w:t>
            </w:r>
          </w:p>
          <w:p w:rsidR="00AC6514" w:rsidRPr="008F0D08" w:rsidRDefault="00AC6514" w:rsidP="00A05C03">
            <w:pPr>
              <w:widowControl w:val="0"/>
              <w:rPr>
                <w:b/>
                <w:sz w:val="20"/>
                <w:szCs w:val="20"/>
                <w:lang w:val="en-US"/>
              </w:rPr>
            </w:pPr>
          </w:p>
          <w:p w:rsidR="00AC6514" w:rsidRPr="008F0D08" w:rsidRDefault="00AC6514" w:rsidP="00AC6514">
            <w:pPr>
              <w:widowControl w:val="0"/>
              <w:rPr>
                <w:sz w:val="20"/>
                <w:szCs w:val="20"/>
                <w:lang w:val="en-US"/>
              </w:rPr>
            </w:pPr>
            <w:r w:rsidRPr="008F0D08">
              <w:rPr>
                <w:b/>
                <w:sz w:val="20"/>
                <w:szCs w:val="20"/>
                <w:lang w:val="en-US"/>
              </w:rPr>
              <w:t>Her Majesty the Queen (Alta.) (Criminal) (As of Right)</w:t>
            </w:r>
          </w:p>
        </w:tc>
        <w:tc>
          <w:tcPr>
            <w:tcW w:w="720" w:type="dxa"/>
            <w:tcMar>
              <w:left w:w="0" w:type="dxa"/>
              <w:right w:w="0" w:type="dxa"/>
            </w:tcMar>
          </w:tcPr>
          <w:p w:rsidR="00AC6514" w:rsidRPr="008F0D08" w:rsidRDefault="00AC6514" w:rsidP="00A05C03">
            <w:pPr>
              <w:widowControl w:val="0"/>
              <w:jc w:val="center"/>
              <w:rPr>
                <w:sz w:val="20"/>
                <w:szCs w:val="20"/>
                <w:lang w:val="en-US"/>
              </w:rPr>
            </w:pPr>
          </w:p>
        </w:tc>
        <w:tc>
          <w:tcPr>
            <w:tcW w:w="4380" w:type="dxa"/>
            <w:tcMar>
              <w:left w:w="0" w:type="dxa"/>
              <w:right w:w="0" w:type="dxa"/>
            </w:tcMar>
          </w:tcPr>
          <w:p w:rsidR="00AC6514" w:rsidRPr="008F0D08" w:rsidRDefault="00AC6514" w:rsidP="00AC6514">
            <w:pPr>
              <w:widowControl w:val="0"/>
              <w:rPr>
                <w:sz w:val="20"/>
                <w:szCs w:val="20"/>
                <w:lang w:val="en-US"/>
              </w:rPr>
            </w:pPr>
            <w:r w:rsidRPr="008F0D08">
              <w:rPr>
                <w:sz w:val="20"/>
                <w:szCs w:val="20"/>
                <w:lang w:val="en-US"/>
              </w:rPr>
              <w:t>Kent J. Teskey, Q.C. and Lindsay Tate for the Appellant A. R. J. D.</w:t>
            </w:r>
          </w:p>
          <w:p w:rsidR="00AC6514" w:rsidRPr="008F0D08" w:rsidRDefault="00AC6514" w:rsidP="00AC6514">
            <w:pPr>
              <w:widowControl w:val="0"/>
              <w:rPr>
                <w:sz w:val="20"/>
                <w:szCs w:val="20"/>
                <w:lang w:val="en-US"/>
              </w:rPr>
            </w:pPr>
          </w:p>
          <w:p w:rsidR="00AC6514" w:rsidRPr="009A09DA" w:rsidRDefault="00AC6514" w:rsidP="00AC6514">
            <w:pPr>
              <w:widowControl w:val="0"/>
              <w:rPr>
                <w:sz w:val="20"/>
                <w:szCs w:val="20"/>
                <w:lang w:val="en-US"/>
              </w:rPr>
            </w:pPr>
            <w:r w:rsidRPr="008F0D08">
              <w:rPr>
                <w:sz w:val="20"/>
                <w:szCs w:val="20"/>
                <w:lang w:val="en-US"/>
              </w:rPr>
              <w:t>David A. Labrenz, Q.C. for the Respondent Her Majesty the Queen.</w:t>
            </w:r>
          </w:p>
          <w:p w:rsidR="00AC6514" w:rsidRPr="009A09DA" w:rsidRDefault="00AC6514" w:rsidP="00AC6514">
            <w:pPr>
              <w:widowControl w:val="0"/>
              <w:rPr>
                <w:sz w:val="20"/>
                <w:szCs w:val="20"/>
                <w:lang w:val="en-US"/>
              </w:rPr>
            </w:pPr>
          </w:p>
          <w:p w:rsidR="00AC6514" w:rsidRPr="009A09DA" w:rsidRDefault="00AC6514" w:rsidP="00A05C03">
            <w:pPr>
              <w:widowControl w:val="0"/>
              <w:rPr>
                <w:sz w:val="20"/>
                <w:szCs w:val="20"/>
                <w:lang w:val="en-US"/>
              </w:rPr>
            </w:pPr>
          </w:p>
        </w:tc>
      </w:tr>
    </w:tbl>
    <w:p w:rsidR="00AC6514" w:rsidRPr="009A09DA" w:rsidRDefault="00AC6514" w:rsidP="00AC6514">
      <w:pPr>
        <w:widowControl w:val="0"/>
        <w:rPr>
          <w:lang w:val="en-US"/>
        </w:rPr>
      </w:pPr>
    </w:p>
    <w:p w:rsidR="00AC6514" w:rsidRPr="009A09DA" w:rsidRDefault="00AC6514" w:rsidP="00AC6514">
      <w:pPr>
        <w:widowControl w:val="0"/>
        <w:rPr>
          <w:sz w:val="20"/>
          <w:szCs w:val="20"/>
          <w:lang w:val="fr-CA"/>
        </w:rPr>
      </w:pPr>
      <w:r w:rsidRPr="00E3741B">
        <w:rPr>
          <w:b/>
          <w:sz w:val="20"/>
          <w:szCs w:val="20"/>
        </w:rPr>
        <w:t xml:space="preserve">DISMISSED / </w:t>
      </w:r>
      <w:r w:rsidRPr="00E3741B">
        <w:rPr>
          <w:b/>
          <w:sz w:val="20"/>
          <w:szCs w:val="20"/>
          <w:lang w:val="en-US"/>
        </w:rPr>
        <w:t>REJET</w:t>
      </w:r>
      <w:r w:rsidRPr="00E3741B">
        <w:rPr>
          <w:b/>
          <w:sz w:val="20"/>
          <w:szCs w:val="20"/>
          <w:lang w:val="fr-CA"/>
        </w:rPr>
        <w:t>É</w:t>
      </w:r>
    </w:p>
    <w:p w:rsidR="00AC6514" w:rsidRPr="009A09DA" w:rsidRDefault="00AC6514" w:rsidP="00AC6514">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AC6514" w:rsidRPr="00B4434E" w:rsidTr="00A05C03">
        <w:tc>
          <w:tcPr>
            <w:tcW w:w="4380" w:type="dxa"/>
            <w:tcMar>
              <w:left w:w="0" w:type="dxa"/>
              <w:right w:w="0" w:type="dxa"/>
            </w:tcMar>
          </w:tcPr>
          <w:p w:rsidR="00AC6514" w:rsidRPr="00AC6514" w:rsidRDefault="00AC6514" w:rsidP="00A05C03">
            <w:pPr>
              <w:widowControl w:val="0"/>
              <w:jc w:val="both"/>
              <w:rPr>
                <w:b/>
                <w:sz w:val="20"/>
                <w:szCs w:val="20"/>
                <w:u w:val="single"/>
              </w:rPr>
            </w:pPr>
            <w:r w:rsidRPr="00AC6514">
              <w:rPr>
                <w:b/>
                <w:sz w:val="20"/>
                <w:szCs w:val="20"/>
                <w:u w:val="single"/>
              </w:rPr>
              <w:t>Nature of the case:</w:t>
            </w:r>
          </w:p>
          <w:p w:rsidR="00AC6514" w:rsidRPr="00AC6514" w:rsidRDefault="00AC6514" w:rsidP="00A05C03">
            <w:pPr>
              <w:widowControl w:val="0"/>
              <w:jc w:val="both"/>
              <w:rPr>
                <w:b/>
                <w:sz w:val="20"/>
                <w:szCs w:val="20"/>
              </w:rPr>
            </w:pPr>
          </w:p>
          <w:p w:rsidR="00AC6514" w:rsidRPr="0006775D" w:rsidRDefault="00AC6514" w:rsidP="00A05C03">
            <w:pPr>
              <w:widowControl w:val="0"/>
              <w:jc w:val="both"/>
              <w:rPr>
                <w:b/>
                <w:sz w:val="20"/>
                <w:szCs w:val="20"/>
              </w:rPr>
            </w:pPr>
            <w:r w:rsidRPr="00AC6514">
              <w:rPr>
                <w:sz w:val="20"/>
                <w:szCs w:val="20"/>
              </w:rPr>
              <w:t>Criminal law - Evidence - Criminal law - Appeals - Sexual assault - Evidence - Behaviour of complainant - Whether Crown raised the necessary question of law as required under s. 676(1)(a) of the Criminal Code - Whether trial judge erred by relying on stereotypical assumptions about how victim of sexual assault would behave.</w:t>
            </w:r>
          </w:p>
        </w:tc>
        <w:tc>
          <w:tcPr>
            <w:tcW w:w="720" w:type="dxa"/>
            <w:tcMar>
              <w:left w:w="0" w:type="dxa"/>
              <w:right w:w="0" w:type="dxa"/>
            </w:tcMar>
          </w:tcPr>
          <w:p w:rsidR="00AC6514" w:rsidRPr="0006775D" w:rsidRDefault="00AC6514" w:rsidP="00A05C03">
            <w:pPr>
              <w:widowControl w:val="0"/>
              <w:jc w:val="center"/>
              <w:rPr>
                <w:sz w:val="20"/>
                <w:szCs w:val="20"/>
              </w:rPr>
            </w:pPr>
          </w:p>
        </w:tc>
        <w:tc>
          <w:tcPr>
            <w:tcW w:w="4380" w:type="dxa"/>
            <w:tcMar>
              <w:left w:w="0" w:type="dxa"/>
              <w:right w:w="0" w:type="dxa"/>
            </w:tcMar>
          </w:tcPr>
          <w:p w:rsidR="00AC6514" w:rsidRPr="0006775D" w:rsidRDefault="00AC6514" w:rsidP="00A05C03">
            <w:pPr>
              <w:widowControl w:val="0"/>
              <w:jc w:val="both"/>
              <w:rPr>
                <w:b/>
                <w:sz w:val="20"/>
                <w:szCs w:val="20"/>
                <w:u w:val="single"/>
                <w:lang w:val="fr-CA"/>
              </w:rPr>
            </w:pPr>
            <w:r w:rsidRPr="0006775D">
              <w:rPr>
                <w:b/>
                <w:sz w:val="20"/>
                <w:szCs w:val="20"/>
                <w:u w:val="single"/>
                <w:lang w:val="fr-CA"/>
              </w:rPr>
              <w:t>Nature de la cause :</w:t>
            </w:r>
          </w:p>
          <w:p w:rsidR="00AC6514" w:rsidRPr="0006775D" w:rsidRDefault="00AC6514" w:rsidP="00A05C03">
            <w:pPr>
              <w:widowControl w:val="0"/>
              <w:jc w:val="both"/>
              <w:rPr>
                <w:sz w:val="20"/>
                <w:szCs w:val="20"/>
                <w:lang w:val="fr-CA"/>
              </w:rPr>
            </w:pPr>
          </w:p>
          <w:p w:rsidR="00AC6514" w:rsidRPr="0006775D" w:rsidRDefault="00AC6514" w:rsidP="00A05C03">
            <w:pPr>
              <w:widowControl w:val="0"/>
              <w:jc w:val="both"/>
              <w:rPr>
                <w:sz w:val="20"/>
                <w:szCs w:val="20"/>
                <w:lang w:val="fr-CA"/>
              </w:rPr>
            </w:pPr>
            <w:r w:rsidRPr="0006775D">
              <w:rPr>
                <w:sz w:val="20"/>
                <w:szCs w:val="20"/>
                <w:lang w:val="fr-CA"/>
              </w:rPr>
              <w:t>Droit criminel - Preuve - Droit criminel - Appels - Agression sexuelle - Preuve - Comportement de la plaignante - Le ministère public a-t-il soulevé la question de droit nécessaire comme il est prescrit à l’al. 676(1)a) du Code criminel? - Le juge du procès a-t-il commis une erreur en s’appuyant sur des suppositions stéréotypées à propos de la manière dont une victime d’agression sexuelle se comporterait?</w:t>
            </w:r>
          </w:p>
        </w:tc>
      </w:tr>
    </w:tbl>
    <w:p w:rsidR="00AC6514" w:rsidRDefault="00AC6514" w:rsidP="00AC6514">
      <w:pPr>
        <w:widowControl w:val="0"/>
        <w:rPr>
          <w:sz w:val="20"/>
          <w:szCs w:val="20"/>
          <w:lang w:val="fr-CA"/>
        </w:rPr>
      </w:pPr>
    </w:p>
    <w:p w:rsidR="00AC6514" w:rsidRDefault="00167F64" w:rsidP="00AC6514">
      <w:pPr>
        <w:widowControl w:val="0"/>
        <w:rPr>
          <w:sz w:val="20"/>
          <w:szCs w:val="20"/>
          <w:lang w:val="fr-CA"/>
        </w:rPr>
      </w:pPr>
      <w:r>
        <w:rPr>
          <w:sz w:val="20"/>
          <w:szCs w:val="20"/>
          <w:lang w:val="fr-CA"/>
        </w:rPr>
        <w:pict>
          <v:rect id="_x0000_i1070" style="width:2in;height:1pt" o:hrpct="0" o:hralign="center" o:hrstd="t" o:hrnoshade="t" o:hr="t" fillcolor="black [3213]" stroked="f"/>
        </w:pict>
      </w:r>
    </w:p>
    <w:p w:rsidR="00AC6514" w:rsidRDefault="00AC6514" w:rsidP="00AC6514">
      <w:pPr>
        <w:widowControl w:val="0"/>
        <w:rPr>
          <w:sz w:val="20"/>
          <w:szCs w:val="20"/>
          <w:lang w:val="fr-CA"/>
        </w:rPr>
      </w:pPr>
    </w:p>
    <w:p w:rsidR="0055200B" w:rsidRDefault="0055200B" w:rsidP="00AC6514">
      <w:pPr>
        <w:widowControl w:val="0"/>
        <w:rPr>
          <w:sz w:val="20"/>
          <w:szCs w:val="20"/>
          <w:lang w:val="fr-CA"/>
        </w:rPr>
      </w:pPr>
    </w:p>
    <w:p w:rsidR="00AC6514" w:rsidRPr="00C1697B" w:rsidRDefault="00AC6514" w:rsidP="00AC6514">
      <w:pPr>
        <w:widowControl w:val="0"/>
        <w:rPr>
          <w:sz w:val="20"/>
          <w:szCs w:val="20"/>
          <w:lang w:val="fr-CA"/>
        </w:rPr>
      </w:pPr>
    </w:p>
    <w:p w:rsidR="00732DB7" w:rsidRPr="00C1697B" w:rsidRDefault="00732DB7" w:rsidP="00AC6514">
      <w:pPr>
        <w:rPr>
          <w:sz w:val="20"/>
          <w:szCs w:val="20"/>
          <w:lang w:val="fr-CA"/>
        </w:rPr>
        <w:sectPr w:rsidR="00732DB7" w:rsidRPr="00C1697B" w:rsidSect="00732DB7">
          <w:headerReference w:type="even" r:id="rId86"/>
          <w:headerReference w:type="default" r:id="rId87"/>
          <w:footerReference w:type="even" r:id="rId88"/>
          <w:footerReference w:type="default" r:id="rId89"/>
          <w:headerReference w:type="first" r:id="rId90"/>
          <w:footerReference w:type="first" r:id="rId91"/>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B4434E" w:rsidTr="0011480E">
        <w:tc>
          <w:tcPr>
            <w:tcW w:w="4200" w:type="dxa"/>
            <w:tcMar>
              <w:left w:w="0" w:type="dxa"/>
              <w:right w:w="0" w:type="dxa"/>
            </w:tcMar>
          </w:tcPr>
          <w:p w:rsidR="00FF6EEC" w:rsidRPr="00950A40" w:rsidRDefault="00FF6EEC" w:rsidP="0085476B">
            <w:pPr>
              <w:keepNext/>
              <w:keepLines/>
              <w:tabs>
                <w:tab w:val="left" w:pos="-1440"/>
                <w:tab w:val="left" w:pos="-720"/>
              </w:tabs>
              <w:rPr>
                <w:b/>
                <w:szCs w:val="24"/>
              </w:rPr>
            </w:pPr>
            <w:r w:rsidRPr="00950A40">
              <w:rPr>
                <w:b/>
                <w:szCs w:val="24"/>
              </w:rPr>
              <w:t>PRONOUNCEMENTS OF APPEALS</w:t>
            </w:r>
            <w:r w:rsidR="0085476B" w:rsidRPr="00950A40">
              <w:rPr>
                <w:b/>
                <w:szCs w:val="24"/>
              </w:rPr>
              <w:t xml:space="preserve"> </w:t>
            </w:r>
            <w:r w:rsidRPr="00950A40">
              <w:rPr>
                <w:b/>
                <w:szCs w:val="24"/>
              </w:rPr>
              <w:t>RESERVED</w:t>
            </w:r>
          </w:p>
          <w:p w:rsidR="00FF6EEC" w:rsidRPr="00950A40"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950A40"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950A40">
              <w:rPr>
                <w:b/>
                <w:szCs w:val="24"/>
              </w:rPr>
              <w:t>Reasons for judgment are available</w:t>
            </w:r>
          </w:p>
        </w:tc>
        <w:tc>
          <w:tcPr>
            <w:tcW w:w="1200" w:type="dxa"/>
            <w:tcMar>
              <w:left w:w="0" w:type="dxa"/>
              <w:right w:w="0" w:type="dxa"/>
            </w:tcMar>
          </w:tcPr>
          <w:p w:rsidR="00FF6EEC" w:rsidRPr="00950A40" w:rsidRDefault="00FF6EEC" w:rsidP="00FF6EEC">
            <w:pPr>
              <w:keepNext/>
              <w:keepLines/>
              <w:tabs>
                <w:tab w:val="left" w:pos="-1440"/>
                <w:tab w:val="left" w:pos="-720"/>
              </w:tabs>
              <w:jc w:val="center"/>
              <w:rPr>
                <w:b/>
                <w:szCs w:val="24"/>
              </w:rPr>
            </w:pPr>
          </w:p>
          <w:p w:rsidR="00FF6EEC" w:rsidRPr="00950A40" w:rsidRDefault="00FF6EEC" w:rsidP="00FF6EEC">
            <w:pPr>
              <w:keepNext/>
              <w:keepLines/>
              <w:tabs>
                <w:tab w:val="left" w:pos="-1440"/>
                <w:tab w:val="left" w:pos="-720"/>
              </w:tabs>
              <w:jc w:val="center"/>
              <w:rPr>
                <w:b/>
                <w:szCs w:val="24"/>
              </w:rPr>
            </w:pPr>
          </w:p>
          <w:p w:rsidR="00FF6EEC" w:rsidRPr="00950A40" w:rsidRDefault="00FF6EEC" w:rsidP="00FF6EEC">
            <w:pPr>
              <w:keepNext/>
              <w:keepLines/>
              <w:tabs>
                <w:tab w:val="left" w:pos="-1440"/>
                <w:tab w:val="left" w:pos="-720"/>
              </w:tabs>
              <w:jc w:val="center"/>
              <w:rPr>
                <w:b/>
                <w:szCs w:val="24"/>
              </w:rPr>
            </w:pPr>
          </w:p>
          <w:p w:rsidR="00FF6EEC" w:rsidRPr="00950A40" w:rsidRDefault="00FF6EEC" w:rsidP="00FF6EEC">
            <w:pPr>
              <w:keepNext/>
              <w:keepLines/>
              <w:tabs>
                <w:tab w:val="left" w:pos="-1440"/>
                <w:tab w:val="left" w:pos="-720"/>
              </w:tabs>
              <w:jc w:val="center"/>
              <w:rPr>
                <w:b/>
                <w:szCs w:val="24"/>
              </w:rPr>
            </w:pPr>
          </w:p>
          <w:p w:rsidR="00FF6EEC" w:rsidRPr="00950A40"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950A40" w:rsidRDefault="00FF6EEC" w:rsidP="00FF6EEC">
            <w:pPr>
              <w:keepNext/>
              <w:keepLines/>
              <w:tabs>
                <w:tab w:val="left" w:pos="-1440"/>
                <w:tab w:val="left" w:pos="-720"/>
              </w:tabs>
              <w:rPr>
                <w:b/>
                <w:szCs w:val="24"/>
                <w:lang w:val="fr-CA"/>
              </w:rPr>
            </w:pPr>
            <w:r w:rsidRPr="00950A40">
              <w:rPr>
                <w:b/>
                <w:szCs w:val="24"/>
                <w:lang w:val="fr-CA"/>
              </w:rPr>
              <w:t>JUGEMENTS RENDUS SUR LES APPELS EN DÉLIBÉRÉ</w:t>
            </w:r>
          </w:p>
          <w:p w:rsidR="00FF6EEC" w:rsidRPr="00950A40"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950A40"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950A40">
              <w:rPr>
                <w:b/>
                <w:szCs w:val="24"/>
                <w:lang w:val="fr-CA"/>
              </w:rPr>
              <w:t>Les motifs de jugement sont disponibles</w:t>
            </w:r>
          </w:p>
        </w:tc>
      </w:tr>
    </w:tbl>
    <w:p w:rsidR="00FF6EEC" w:rsidRPr="00950A40" w:rsidRDefault="00FF6EEC" w:rsidP="00FF6EEC">
      <w:pPr>
        <w:rPr>
          <w:b/>
          <w:sz w:val="20"/>
          <w:szCs w:val="20"/>
          <w:lang w:val="fr-CA"/>
        </w:rPr>
      </w:pPr>
    </w:p>
    <w:p w:rsidR="0052229C" w:rsidRPr="00950A40" w:rsidRDefault="004C565C" w:rsidP="0052229C">
      <w:pPr>
        <w:rPr>
          <w:b/>
          <w:sz w:val="20"/>
          <w:szCs w:val="20"/>
          <w:lang w:val="en-US"/>
        </w:rPr>
      </w:pPr>
      <w:r w:rsidRPr="00950A40">
        <w:rPr>
          <w:b/>
          <w:sz w:val="20"/>
          <w:szCs w:val="20"/>
          <w:lang w:val="en-US"/>
        </w:rPr>
        <w:t xml:space="preserve">FEBRUARY </w:t>
      </w:r>
      <w:r w:rsidR="00322F41">
        <w:rPr>
          <w:b/>
          <w:sz w:val="20"/>
          <w:szCs w:val="20"/>
          <w:lang w:val="en-US"/>
        </w:rPr>
        <w:t>9</w:t>
      </w:r>
      <w:r w:rsidR="0052229C" w:rsidRPr="00950A40">
        <w:rPr>
          <w:b/>
          <w:sz w:val="20"/>
          <w:szCs w:val="20"/>
          <w:lang w:val="en-US"/>
        </w:rPr>
        <w:t>, 201</w:t>
      </w:r>
      <w:r w:rsidRPr="00950A40">
        <w:rPr>
          <w:b/>
          <w:sz w:val="20"/>
          <w:szCs w:val="20"/>
          <w:lang w:val="en-US"/>
        </w:rPr>
        <w:t xml:space="preserve">8 / LE </w:t>
      </w:r>
      <w:r w:rsidR="00322F41">
        <w:rPr>
          <w:b/>
          <w:sz w:val="20"/>
          <w:szCs w:val="20"/>
          <w:lang w:val="en-US"/>
        </w:rPr>
        <w:t>9</w:t>
      </w:r>
      <w:r w:rsidRPr="00950A40">
        <w:rPr>
          <w:b/>
          <w:sz w:val="20"/>
          <w:szCs w:val="20"/>
          <w:lang w:val="en-US"/>
        </w:rPr>
        <w:t xml:space="preserve"> FÉVRIER 2018</w:t>
      </w:r>
    </w:p>
    <w:p w:rsidR="0052229C" w:rsidRPr="00950A40" w:rsidRDefault="0052229C" w:rsidP="0052229C">
      <w:pPr>
        <w:rPr>
          <w:sz w:val="20"/>
          <w:szCs w:val="20"/>
          <w:lang w:val="en-US"/>
        </w:rPr>
      </w:pPr>
    </w:p>
    <w:p w:rsidR="0052229C" w:rsidRPr="00950A40" w:rsidRDefault="000E27A5" w:rsidP="0052229C">
      <w:pPr>
        <w:ind w:left="1440" w:hanging="1440"/>
        <w:jc w:val="both"/>
        <w:rPr>
          <w:sz w:val="20"/>
          <w:lang w:val="en-US"/>
        </w:rPr>
      </w:pPr>
      <w:r w:rsidRPr="00950A40">
        <w:rPr>
          <w:b/>
          <w:sz w:val="20"/>
        </w:rPr>
        <w:fldChar w:fldCharType="begin"/>
      </w:r>
      <w:r w:rsidR="0052229C" w:rsidRPr="00950A40">
        <w:rPr>
          <w:b/>
          <w:sz w:val="20"/>
          <w:lang w:val="en-US"/>
        </w:rPr>
        <w:instrText xml:space="preserve"> SEQ CHAPTER \h \r 1</w:instrText>
      </w:r>
      <w:r w:rsidRPr="00950A40">
        <w:rPr>
          <w:b/>
          <w:sz w:val="20"/>
        </w:rPr>
        <w:fldChar w:fldCharType="end"/>
      </w:r>
      <w:r w:rsidR="004C565C" w:rsidRPr="00950A40">
        <w:rPr>
          <w:b/>
          <w:sz w:val="20"/>
        </w:rPr>
        <w:t>37360</w:t>
      </w:r>
      <w:r w:rsidR="0052229C" w:rsidRPr="00950A40">
        <w:rPr>
          <w:sz w:val="20"/>
          <w:lang w:val="en-US"/>
        </w:rPr>
        <w:tab/>
      </w:r>
      <w:r w:rsidR="004C565C" w:rsidRPr="00950A40">
        <w:rPr>
          <w:b/>
          <w:sz w:val="20"/>
          <w:u w:val="single"/>
          <w:lang w:val="en-US"/>
        </w:rPr>
        <w:t>Canadian Broadcasting Corporation v. Her Majesty the Queen</w:t>
      </w:r>
      <w:r w:rsidR="004C565C" w:rsidRPr="00950A40">
        <w:rPr>
          <w:b/>
          <w:sz w:val="20"/>
          <w:lang w:val="en-US"/>
        </w:rPr>
        <w:t xml:space="preserve"> </w:t>
      </w:r>
      <w:r w:rsidR="0052229C" w:rsidRPr="00950A40">
        <w:rPr>
          <w:iCs/>
          <w:sz w:val="20"/>
          <w:lang w:val="en-US"/>
        </w:rPr>
        <w:t>(</w:t>
      </w:r>
      <w:r w:rsidR="004C565C" w:rsidRPr="00950A40">
        <w:rPr>
          <w:iCs/>
          <w:sz w:val="20"/>
          <w:lang w:val="en-US"/>
        </w:rPr>
        <w:t>Alta.</w:t>
      </w:r>
      <w:r w:rsidR="0052229C" w:rsidRPr="00950A40">
        <w:rPr>
          <w:iCs/>
          <w:sz w:val="20"/>
          <w:lang w:val="en-US"/>
        </w:rPr>
        <w:t>)</w:t>
      </w:r>
    </w:p>
    <w:p w:rsidR="0052229C" w:rsidRPr="00254D4B"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en-US"/>
        </w:rPr>
      </w:pPr>
      <w:r w:rsidRPr="00254D4B">
        <w:rPr>
          <w:b/>
          <w:sz w:val="20"/>
          <w:lang w:val="en-US"/>
        </w:rPr>
        <w:t>201</w:t>
      </w:r>
      <w:r w:rsidR="00254D4B" w:rsidRPr="00254D4B">
        <w:rPr>
          <w:b/>
          <w:sz w:val="20"/>
          <w:lang w:val="en-US"/>
        </w:rPr>
        <w:t>8</w:t>
      </w:r>
      <w:r w:rsidRPr="00254D4B">
        <w:rPr>
          <w:b/>
          <w:sz w:val="20"/>
          <w:lang w:val="en-US"/>
        </w:rPr>
        <w:t xml:space="preserve"> SCC </w:t>
      </w:r>
      <w:r w:rsidR="00254D4B" w:rsidRPr="00254D4B">
        <w:rPr>
          <w:b/>
          <w:sz w:val="20"/>
          <w:lang w:val="en-US"/>
        </w:rPr>
        <w:t>5</w:t>
      </w:r>
      <w:r w:rsidRPr="00254D4B">
        <w:rPr>
          <w:b/>
          <w:sz w:val="20"/>
          <w:lang w:val="en-US"/>
        </w:rPr>
        <w:t xml:space="preserve"> / 201</w:t>
      </w:r>
      <w:r w:rsidR="00254D4B" w:rsidRPr="00254D4B">
        <w:rPr>
          <w:b/>
          <w:sz w:val="20"/>
          <w:lang w:val="en-US"/>
        </w:rPr>
        <w:t>8</w:t>
      </w:r>
      <w:r w:rsidRPr="00254D4B">
        <w:rPr>
          <w:b/>
          <w:sz w:val="20"/>
          <w:lang w:val="en-US"/>
        </w:rPr>
        <w:t xml:space="preserve"> CSC </w:t>
      </w:r>
      <w:r w:rsidR="00254D4B" w:rsidRPr="00254D4B">
        <w:rPr>
          <w:b/>
          <w:sz w:val="20"/>
          <w:lang w:val="en-US"/>
        </w:rPr>
        <w:t>5</w:t>
      </w:r>
    </w:p>
    <w:p w:rsidR="0052229C" w:rsidRPr="00950A40"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en-US"/>
        </w:rPr>
      </w:pPr>
    </w:p>
    <w:p w:rsidR="0056248C" w:rsidRPr="00950A40" w:rsidRDefault="00A44A1F" w:rsidP="0056248C">
      <w:pPr>
        <w:widowControl w:val="0"/>
        <w:ind w:left="720" w:hanging="720"/>
        <w:rPr>
          <w:sz w:val="20"/>
          <w:szCs w:val="20"/>
          <w:u w:val="single"/>
          <w:lang w:val="en-US"/>
        </w:rPr>
      </w:pPr>
      <w:r w:rsidRPr="00950A40">
        <w:rPr>
          <w:sz w:val="20"/>
          <w:lang w:val="en-US"/>
        </w:rPr>
        <w:t xml:space="preserve">Coram: </w:t>
      </w:r>
      <w:r w:rsidRPr="00950A40">
        <w:rPr>
          <w:sz w:val="20"/>
          <w:szCs w:val="20"/>
          <w:u w:val="single"/>
        </w:rPr>
        <w:t>McLachlin C.J. and Abella, Moldaver, Karakatsanis, Wagner, Gascon, Côté, Brown and Rowe JJ.</w:t>
      </w:r>
    </w:p>
    <w:p w:rsidR="0052229C" w:rsidRPr="00950A40" w:rsidRDefault="0052229C" w:rsidP="0052229C">
      <w:pPr>
        <w:ind w:left="1440" w:hanging="1440"/>
        <w:rPr>
          <w:sz w:val="16"/>
          <w:u w:val="single"/>
          <w:lang w:val="en-US"/>
        </w:rPr>
      </w:pPr>
    </w:p>
    <w:p w:rsidR="00226DDF" w:rsidRPr="00950A40" w:rsidRDefault="00226DDF" w:rsidP="00226DDF">
      <w:pPr>
        <w:jc w:val="both"/>
        <w:rPr>
          <w:rFonts w:eastAsia="Calibri"/>
          <w:sz w:val="20"/>
        </w:rPr>
      </w:pPr>
      <w:r w:rsidRPr="00950A40">
        <w:rPr>
          <w:rFonts w:eastAsia="Calibri"/>
          <w:sz w:val="20"/>
        </w:rPr>
        <w:t xml:space="preserve">The appeal from the judgment </w:t>
      </w:r>
      <w:bookmarkStart w:id="2" w:name="BM_1_"/>
      <w:bookmarkEnd w:id="2"/>
      <w:r w:rsidRPr="00950A40">
        <w:rPr>
          <w:rFonts w:eastAsia="Calibri"/>
          <w:sz w:val="20"/>
        </w:rPr>
        <w:t>of the Court of Appeal of Alberta (Edmonton), Number 1603-0118-AC, 2016 ABCA 326, dated October 21, 2016, heard on November 1, 2017, is allowed.</w:t>
      </w:r>
    </w:p>
    <w:p w:rsidR="0052229C" w:rsidRPr="00950A40" w:rsidRDefault="0052229C" w:rsidP="0052229C">
      <w:pPr>
        <w:jc w:val="both"/>
        <w:rPr>
          <w:rFonts w:eastAsia="Calibri"/>
          <w:sz w:val="20"/>
        </w:rPr>
      </w:pPr>
    </w:p>
    <w:p w:rsidR="0052229C" w:rsidRPr="00950A40" w:rsidRDefault="00226DDF" w:rsidP="0052229C">
      <w:pPr>
        <w:rPr>
          <w:sz w:val="20"/>
          <w:szCs w:val="20"/>
          <w:lang w:val="fr-CA"/>
        </w:rPr>
      </w:pPr>
      <w:r w:rsidRPr="00950A40">
        <w:rPr>
          <w:rFonts w:eastAsia="Calibri"/>
          <w:sz w:val="20"/>
          <w:lang w:val="fr-CA"/>
        </w:rPr>
        <w:t>L’appel interjeté contre l’arrêt de la Cour d’appel de l’Alberta (Edmonton), numéro 1603-0118-AC, 2016 ABCA 326, daté du 21 octobre 2016, entendu le 1</w:t>
      </w:r>
      <w:r w:rsidRPr="00950A40">
        <w:rPr>
          <w:rFonts w:eastAsia="Calibri"/>
          <w:sz w:val="20"/>
          <w:vertAlign w:val="superscript"/>
          <w:lang w:val="fr-CA"/>
        </w:rPr>
        <w:t>er</w:t>
      </w:r>
      <w:r w:rsidRPr="00950A40">
        <w:rPr>
          <w:rFonts w:eastAsia="Calibri"/>
          <w:sz w:val="20"/>
          <w:lang w:val="fr-CA"/>
        </w:rPr>
        <w:t xml:space="preserve"> novembre 2017, est accueilli.</w:t>
      </w:r>
    </w:p>
    <w:p w:rsidR="00D004FC" w:rsidRPr="00226DDF" w:rsidRDefault="00D004FC" w:rsidP="00D004FC">
      <w:pPr>
        <w:spacing w:line="0" w:lineRule="atLeast"/>
        <w:rPr>
          <w:rFonts w:cs="Times New Roman"/>
          <w:sz w:val="20"/>
          <w:szCs w:val="20"/>
          <w:lang w:val="fr-CA"/>
        </w:rPr>
      </w:pPr>
    </w:p>
    <w:p w:rsidR="00D004FC" w:rsidRDefault="00167F64" w:rsidP="00D004FC">
      <w:pPr>
        <w:jc w:val="both"/>
        <w:rPr>
          <w:rFonts w:cs="Times New Roman"/>
          <w:b/>
          <w:sz w:val="20"/>
          <w:szCs w:val="20"/>
        </w:rPr>
      </w:pPr>
      <w:r>
        <w:rPr>
          <w:rFonts w:cs="Times New Roman"/>
          <w:b/>
          <w:sz w:val="20"/>
          <w:szCs w:val="20"/>
        </w:rPr>
        <w:pict>
          <v:rect id="_x0000_i1073"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92"/>
          <w:headerReference w:type="default" r:id="rId93"/>
          <w:footerReference w:type="even" r:id="rId94"/>
          <w:footerReference w:type="default" r:id="rId95"/>
          <w:headerReference w:type="first" r:id="rId96"/>
          <w:footerReference w:type="first" r:id="rId97"/>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721C8D" w:rsidRDefault="00721C8D" w:rsidP="0052229C">
      <w:pPr>
        <w:ind w:left="1440" w:hanging="1440"/>
        <w:jc w:val="both"/>
        <w:rPr>
          <w:sz w:val="20"/>
          <w:szCs w:val="20"/>
          <w:lang w:val="en-US"/>
        </w:rPr>
      </w:pPr>
      <w:r w:rsidRPr="00721C8D">
        <w:rPr>
          <w:rFonts w:eastAsia="Calibri"/>
          <w:i/>
          <w:sz w:val="20"/>
          <w:szCs w:val="20"/>
          <w:lang w:val="en-US"/>
        </w:rPr>
        <w:t>Canadian Broadcasting Corporation v. H</w:t>
      </w:r>
      <w:r>
        <w:rPr>
          <w:rFonts w:eastAsia="Calibri"/>
          <w:i/>
          <w:sz w:val="20"/>
          <w:szCs w:val="20"/>
          <w:lang w:val="en-US"/>
        </w:rPr>
        <w:t>er Majesty the Queen</w:t>
      </w:r>
      <w:r w:rsidR="0052229C" w:rsidRPr="00721C8D">
        <w:rPr>
          <w:sz w:val="20"/>
          <w:szCs w:val="20"/>
          <w:lang w:val="en-US"/>
        </w:rPr>
        <w:t xml:space="preserve"> (</w:t>
      </w:r>
      <w:r>
        <w:rPr>
          <w:sz w:val="20"/>
          <w:szCs w:val="20"/>
          <w:lang w:val="en-US"/>
        </w:rPr>
        <w:t>Alta.</w:t>
      </w:r>
      <w:r w:rsidR="0052229C" w:rsidRPr="00721C8D">
        <w:rPr>
          <w:sz w:val="20"/>
          <w:szCs w:val="20"/>
          <w:lang w:val="en-US"/>
        </w:rPr>
        <w:t>) (</w:t>
      </w:r>
      <w:hyperlink r:id="rId98" w:history="1">
        <w:r>
          <w:rPr>
            <w:rStyle w:val="Hyperlink"/>
            <w:sz w:val="20"/>
            <w:szCs w:val="20"/>
            <w:lang w:val="en-US"/>
          </w:rPr>
          <w:t>37360</w:t>
        </w:r>
      </w:hyperlink>
      <w:r w:rsidR="0052229C" w:rsidRPr="00721C8D">
        <w:rPr>
          <w:sz w:val="20"/>
          <w:szCs w:val="20"/>
          <w:lang w:val="en-US"/>
        </w:rPr>
        <w:t>)</w:t>
      </w:r>
    </w:p>
    <w:p w:rsidR="0052229C" w:rsidRPr="001613F3" w:rsidRDefault="0052229C" w:rsidP="00926818">
      <w:pPr>
        <w:rPr>
          <w:b/>
          <w:sz w:val="20"/>
          <w:szCs w:val="20"/>
          <w:lang w:val="en-US"/>
        </w:rPr>
      </w:pPr>
      <w:r w:rsidRPr="001613F3">
        <w:rPr>
          <w:b/>
          <w:sz w:val="20"/>
          <w:szCs w:val="20"/>
          <w:lang w:val="en-US"/>
        </w:rPr>
        <w:t xml:space="preserve">Indexed as: </w:t>
      </w:r>
      <w:r w:rsidR="001613F3" w:rsidRPr="001613F3">
        <w:rPr>
          <w:b/>
          <w:sz w:val="20"/>
          <w:szCs w:val="20"/>
          <w:lang w:val="en-US"/>
        </w:rPr>
        <w:t xml:space="preserve">R. </w:t>
      </w:r>
      <w:r w:rsidR="001613F3" w:rsidRPr="001613F3">
        <w:rPr>
          <w:b/>
          <w:i/>
          <w:sz w:val="20"/>
          <w:szCs w:val="20"/>
          <w:lang w:val="en-US"/>
        </w:rPr>
        <w:t>v.</w:t>
      </w:r>
      <w:r w:rsidR="001613F3" w:rsidRPr="001613F3">
        <w:rPr>
          <w:b/>
          <w:sz w:val="20"/>
          <w:szCs w:val="20"/>
          <w:lang w:val="en-US"/>
        </w:rPr>
        <w:t xml:space="preserve"> </w:t>
      </w:r>
      <w:r w:rsidR="00721C8D" w:rsidRPr="001613F3">
        <w:rPr>
          <w:rStyle w:val="SCCAppellantForIndexChar"/>
          <w:rFonts w:eastAsiaTheme="minorHAnsi"/>
          <w:sz w:val="20"/>
          <w:lang w:val="en-US"/>
        </w:rPr>
        <w:t>Canadian Broadcasting Corp</w:t>
      </w:r>
      <w:r w:rsidR="001613F3" w:rsidRPr="001613F3">
        <w:rPr>
          <w:rStyle w:val="SCCAppellantForIndexChar"/>
          <w:rFonts w:eastAsiaTheme="minorHAnsi"/>
          <w:sz w:val="20"/>
          <w:lang w:val="en-US"/>
        </w:rPr>
        <w:t>.</w:t>
      </w:r>
      <w:r w:rsidRPr="001613F3">
        <w:rPr>
          <w:rStyle w:val="SCCRespondentForIndexChar"/>
          <w:rFonts w:eastAsiaTheme="minorHAnsi"/>
          <w:sz w:val="20"/>
          <w:lang w:val="en-US"/>
        </w:rPr>
        <w:t xml:space="preserve"> / </w:t>
      </w:r>
      <w:r w:rsidR="009134A7" w:rsidRPr="001613F3">
        <w:rPr>
          <w:b/>
          <w:sz w:val="20"/>
          <w:szCs w:val="20"/>
          <w:lang w:val="en-US"/>
        </w:rPr>
        <w:t>Répertorié</w:t>
      </w:r>
      <w:r w:rsidRPr="001613F3">
        <w:rPr>
          <w:b/>
          <w:sz w:val="20"/>
          <w:szCs w:val="20"/>
          <w:lang w:val="en-US"/>
        </w:rPr>
        <w:t>: </w:t>
      </w:r>
      <w:r w:rsidR="001613F3" w:rsidRPr="001613F3">
        <w:rPr>
          <w:b/>
          <w:sz w:val="20"/>
          <w:szCs w:val="20"/>
          <w:lang w:val="en-US"/>
        </w:rPr>
        <w:t xml:space="preserve">R. </w:t>
      </w:r>
      <w:r w:rsidR="001613F3" w:rsidRPr="001613F3">
        <w:rPr>
          <w:b/>
          <w:i/>
          <w:sz w:val="20"/>
          <w:szCs w:val="20"/>
          <w:lang w:val="en-US"/>
        </w:rPr>
        <w:t>c.</w:t>
      </w:r>
      <w:r w:rsidR="001613F3" w:rsidRPr="001613F3">
        <w:rPr>
          <w:b/>
          <w:sz w:val="20"/>
          <w:szCs w:val="20"/>
          <w:lang w:val="en-US"/>
        </w:rPr>
        <w:t xml:space="preserve"> </w:t>
      </w:r>
      <w:r w:rsidR="001613F3" w:rsidRPr="001613F3">
        <w:rPr>
          <w:rStyle w:val="SCCAppellantForIndexChar"/>
          <w:rFonts w:eastAsiaTheme="minorHAnsi"/>
          <w:sz w:val="20"/>
          <w:lang w:val="en-US"/>
        </w:rPr>
        <w:t>Société Radio-Canada</w:t>
      </w:r>
    </w:p>
    <w:p w:rsidR="0052229C" w:rsidRPr="001613F3" w:rsidRDefault="0052229C" w:rsidP="00926818">
      <w:pPr>
        <w:pStyle w:val="SCCSystemYear"/>
        <w:rPr>
          <w:sz w:val="20"/>
        </w:rPr>
      </w:pPr>
      <w:r w:rsidRPr="001613F3">
        <w:rPr>
          <w:sz w:val="20"/>
        </w:rPr>
        <w:t xml:space="preserve">Neutral citation: </w:t>
      </w:r>
      <w:r w:rsidR="0030050B" w:rsidRPr="001613F3">
        <w:rPr>
          <w:sz w:val="20"/>
        </w:rPr>
        <w:t>201</w:t>
      </w:r>
      <w:r w:rsidR="004A4001" w:rsidRPr="001613F3">
        <w:rPr>
          <w:sz w:val="20"/>
        </w:rPr>
        <w:t>8 SCC 5</w:t>
      </w:r>
      <w:r w:rsidRPr="001613F3">
        <w:rPr>
          <w:sz w:val="20"/>
        </w:rPr>
        <w:t xml:space="preserve"> / Référence neutre : </w:t>
      </w:r>
      <w:r w:rsidR="0030050B" w:rsidRPr="001613F3">
        <w:rPr>
          <w:sz w:val="20"/>
        </w:rPr>
        <w:t>201</w:t>
      </w:r>
      <w:r w:rsidR="004A4001" w:rsidRPr="001613F3">
        <w:rPr>
          <w:sz w:val="20"/>
        </w:rPr>
        <w:t>8 CSC 5</w:t>
      </w:r>
    </w:p>
    <w:p w:rsidR="0052229C" w:rsidRPr="00B4434E" w:rsidRDefault="0052229C" w:rsidP="00926818">
      <w:pPr>
        <w:rPr>
          <w:rFonts w:cs="Times New Roman"/>
          <w:sz w:val="20"/>
          <w:szCs w:val="20"/>
          <w:lang w:val="fr-CA"/>
        </w:rPr>
      </w:pPr>
      <w:r w:rsidRPr="00B4434E">
        <w:rPr>
          <w:rFonts w:cs="Times New Roman"/>
          <w:sz w:val="20"/>
          <w:szCs w:val="20"/>
          <w:lang w:val="fr-CA"/>
        </w:rPr>
        <w:t xml:space="preserve">Hearing: </w:t>
      </w:r>
      <w:r w:rsidR="00781DE4" w:rsidRPr="00B4434E">
        <w:rPr>
          <w:rFonts w:cs="Times New Roman"/>
          <w:sz w:val="20"/>
          <w:szCs w:val="20"/>
          <w:lang w:val="fr-CA"/>
        </w:rPr>
        <w:t>November</w:t>
      </w:r>
      <w:r w:rsidRPr="00B4434E">
        <w:rPr>
          <w:rFonts w:cs="Times New Roman"/>
          <w:sz w:val="20"/>
          <w:szCs w:val="20"/>
          <w:lang w:val="fr-CA"/>
        </w:rPr>
        <w:t xml:space="preserve"> </w:t>
      </w:r>
      <w:r w:rsidR="0056248C" w:rsidRPr="00B4434E">
        <w:rPr>
          <w:rFonts w:cs="Times New Roman"/>
          <w:sz w:val="20"/>
          <w:szCs w:val="20"/>
          <w:lang w:val="fr-CA"/>
        </w:rPr>
        <w:t>1</w:t>
      </w:r>
      <w:r w:rsidRPr="00B4434E">
        <w:rPr>
          <w:rFonts w:cs="Times New Roman"/>
          <w:sz w:val="20"/>
          <w:szCs w:val="20"/>
          <w:lang w:val="fr-CA"/>
        </w:rPr>
        <w:t>, 201</w:t>
      </w:r>
      <w:r w:rsidR="00781DE4" w:rsidRPr="00B4434E">
        <w:rPr>
          <w:rFonts w:cs="Times New Roman"/>
          <w:sz w:val="20"/>
          <w:szCs w:val="20"/>
          <w:lang w:val="fr-CA"/>
        </w:rPr>
        <w:t>7</w:t>
      </w:r>
      <w:r w:rsidRPr="00B4434E">
        <w:rPr>
          <w:rFonts w:cs="Times New Roman"/>
          <w:sz w:val="20"/>
          <w:szCs w:val="20"/>
          <w:lang w:val="fr-CA"/>
        </w:rPr>
        <w:t xml:space="preserve"> / Judgment: </w:t>
      </w:r>
      <w:r w:rsidR="00781DE4" w:rsidRPr="00B4434E">
        <w:rPr>
          <w:rFonts w:cs="Times New Roman"/>
          <w:sz w:val="20"/>
          <w:szCs w:val="20"/>
          <w:lang w:val="fr-CA"/>
        </w:rPr>
        <w:t>February 9,</w:t>
      </w:r>
      <w:r w:rsidRPr="00B4434E">
        <w:rPr>
          <w:rFonts w:cs="Times New Roman"/>
          <w:sz w:val="20"/>
          <w:szCs w:val="20"/>
          <w:lang w:val="fr-CA"/>
        </w:rPr>
        <w:t xml:space="preserve"> </w:t>
      </w:r>
      <w:r w:rsidR="0056248C" w:rsidRPr="00B4434E">
        <w:rPr>
          <w:rFonts w:cs="Times New Roman"/>
          <w:sz w:val="20"/>
          <w:szCs w:val="20"/>
          <w:lang w:val="fr-CA"/>
        </w:rPr>
        <w:t>201</w:t>
      </w:r>
      <w:r w:rsidR="00781DE4" w:rsidRPr="00B4434E">
        <w:rPr>
          <w:rFonts w:cs="Times New Roman"/>
          <w:sz w:val="20"/>
          <w:szCs w:val="20"/>
          <w:lang w:val="fr-CA"/>
        </w:rPr>
        <w:t>8</w:t>
      </w:r>
    </w:p>
    <w:p w:rsidR="0052229C" w:rsidRPr="003B3977" w:rsidRDefault="0052229C" w:rsidP="00926818">
      <w:pPr>
        <w:rPr>
          <w:rFonts w:cs="Times New Roman"/>
          <w:sz w:val="20"/>
          <w:szCs w:val="20"/>
          <w:lang w:val="fr-CA"/>
        </w:rPr>
      </w:pPr>
      <w:r w:rsidRPr="001613F3">
        <w:rPr>
          <w:rFonts w:cs="Times New Roman"/>
          <w:sz w:val="20"/>
          <w:szCs w:val="20"/>
          <w:lang w:val="fr-CA"/>
        </w:rPr>
        <w:t>Auditi</w:t>
      </w:r>
      <w:r w:rsidRPr="003B3977">
        <w:rPr>
          <w:rFonts w:cs="Times New Roman"/>
          <w:sz w:val="20"/>
          <w:szCs w:val="20"/>
          <w:lang w:val="fr-CA"/>
        </w:rPr>
        <w:t xml:space="preserve">on: Le </w:t>
      </w:r>
      <w:r w:rsidR="0056248C">
        <w:rPr>
          <w:rFonts w:cs="Times New Roman"/>
          <w:sz w:val="20"/>
          <w:szCs w:val="20"/>
          <w:lang w:val="fr-CA"/>
        </w:rPr>
        <w:t>1</w:t>
      </w:r>
      <w:r w:rsidR="00781DE4">
        <w:rPr>
          <w:rFonts w:cs="Times New Roman"/>
          <w:sz w:val="20"/>
          <w:szCs w:val="20"/>
          <w:lang w:val="fr-CA"/>
        </w:rPr>
        <w:t xml:space="preserve"> novembre</w:t>
      </w:r>
      <w:r w:rsidRPr="003B3977">
        <w:rPr>
          <w:rFonts w:cs="Times New Roman"/>
          <w:sz w:val="20"/>
          <w:szCs w:val="20"/>
          <w:lang w:val="fr-CA"/>
        </w:rPr>
        <w:t xml:space="preserve"> 201</w:t>
      </w:r>
      <w:r w:rsidR="00781DE4">
        <w:rPr>
          <w:rFonts w:cs="Times New Roman"/>
          <w:sz w:val="20"/>
          <w:szCs w:val="20"/>
          <w:lang w:val="fr-CA"/>
        </w:rPr>
        <w:t>7</w:t>
      </w:r>
      <w:r w:rsidRPr="003B3977">
        <w:rPr>
          <w:rFonts w:cs="Times New Roman"/>
          <w:sz w:val="20"/>
          <w:szCs w:val="20"/>
          <w:lang w:val="fr-CA"/>
        </w:rPr>
        <w:t xml:space="preserve"> / Jugement: Le </w:t>
      </w:r>
      <w:r w:rsidR="00781DE4">
        <w:rPr>
          <w:rFonts w:cs="Times New Roman"/>
          <w:sz w:val="20"/>
          <w:szCs w:val="20"/>
          <w:lang w:val="fr-CA"/>
        </w:rPr>
        <w:t>9 février</w:t>
      </w:r>
      <w:r w:rsidRPr="003B3977">
        <w:rPr>
          <w:rFonts w:cs="Times New Roman"/>
          <w:sz w:val="20"/>
          <w:szCs w:val="20"/>
          <w:lang w:val="fr-CA"/>
        </w:rPr>
        <w:t xml:space="preserve"> </w:t>
      </w:r>
      <w:r w:rsidR="0030050B">
        <w:rPr>
          <w:rFonts w:cs="Times New Roman"/>
          <w:sz w:val="20"/>
          <w:szCs w:val="20"/>
          <w:lang w:val="fr-CA"/>
        </w:rPr>
        <w:t>201</w:t>
      </w:r>
      <w:r w:rsidR="00781DE4">
        <w:rPr>
          <w:rFonts w:cs="Times New Roman"/>
          <w:sz w:val="20"/>
          <w:szCs w:val="20"/>
          <w:lang w:val="fr-CA"/>
        </w:rPr>
        <w:t>8</w:t>
      </w:r>
    </w:p>
    <w:p w:rsidR="005C6840" w:rsidRPr="003B3977" w:rsidRDefault="00167F64" w:rsidP="0009324E">
      <w:pPr>
        <w:rPr>
          <w:rFonts w:cs="Times New Roman"/>
          <w:sz w:val="20"/>
          <w:szCs w:val="20"/>
          <w:lang w:val="fr-CA"/>
        </w:rPr>
      </w:pPr>
      <w:r>
        <w:rPr>
          <w:rFonts w:cs="Times New Roman"/>
          <w:i/>
          <w:sz w:val="20"/>
          <w:szCs w:val="20"/>
        </w:rPr>
        <w:pict>
          <v:rect id="_x0000_i1076" style="width:480.95pt;height:1pt" o:hrstd="t" o:hrnoshade="t" o:hr="t" fillcolor="black [3213]" stroked="f"/>
        </w:pict>
      </w:r>
    </w:p>
    <w:p w:rsidR="005C6840" w:rsidRPr="003B3977" w:rsidRDefault="005C6840" w:rsidP="005C6840">
      <w:pPr>
        <w:rPr>
          <w:rFonts w:cs="Times New Roman"/>
          <w:sz w:val="20"/>
          <w:szCs w:val="20"/>
          <w:lang w:val="fr-CA"/>
        </w:rPr>
      </w:pPr>
    </w:p>
    <w:p w:rsidR="0052229C" w:rsidRPr="00B4434E" w:rsidRDefault="0052229C" w:rsidP="0052229C">
      <w:pPr>
        <w:jc w:val="both"/>
        <w:rPr>
          <w:sz w:val="20"/>
          <w:szCs w:val="20"/>
          <w:lang w:val="en-US"/>
        </w:rPr>
      </w:pPr>
      <w:r w:rsidRPr="00B4434E">
        <w:rPr>
          <w:sz w:val="20"/>
          <w:szCs w:val="20"/>
          <w:lang w:val="en-US"/>
        </w:rPr>
        <w:t>Pr</w:t>
      </w:r>
      <w:r w:rsidR="00B4434E" w:rsidRPr="00B4434E">
        <w:rPr>
          <w:sz w:val="20"/>
          <w:szCs w:val="20"/>
          <w:lang w:val="en-US"/>
        </w:rPr>
        <w:t>e</w:t>
      </w:r>
      <w:r w:rsidRPr="00B4434E">
        <w:rPr>
          <w:sz w:val="20"/>
          <w:szCs w:val="20"/>
          <w:lang w:val="en-US"/>
        </w:rPr>
        <w:t>sent:</w:t>
      </w:r>
      <w:r w:rsidR="00B4434E" w:rsidRPr="00B4434E">
        <w:rPr>
          <w:sz w:val="20"/>
          <w:szCs w:val="20"/>
          <w:lang w:val="en-US"/>
        </w:rPr>
        <w:t xml:space="preserve"> </w:t>
      </w:r>
      <w:r w:rsidR="0056248C" w:rsidRPr="00B4434E">
        <w:rPr>
          <w:sz w:val="20"/>
          <w:szCs w:val="20"/>
          <w:lang w:val="en-US"/>
        </w:rPr>
        <w:t>McLachlin</w:t>
      </w:r>
      <w:r w:rsidR="00B4434E" w:rsidRPr="00B4434E">
        <w:rPr>
          <w:sz w:val="20"/>
          <w:szCs w:val="20"/>
          <w:lang w:val="en-US"/>
        </w:rPr>
        <w:t xml:space="preserve"> C.J. and</w:t>
      </w:r>
      <w:r w:rsidR="0056248C" w:rsidRPr="00B4434E">
        <w:rPr>
          <w:sz w:val="20"/>
          <w:szCs w:val="20"/>
          <w:lang w:val="en-US"/>
        </w:rPr>
        <w:t xml:space="preserve"> Abella, Moldaver, Karakatsanis, Wagner, Gascon, Côté, Brown </w:t>
      </w:r>
      <w:r w:rsidR="00B4434E" w:rsidRPr="00B4434E">
        <w:rPr>
          <w:sz w:val="20"/>
          <w:szCs w:val="20"/>
          <w:lang w:val="en-US"/>
        </w:rPr>
        <w:t>and</w:t>
      </w:r>
      <w:r w:rsidR="0056248C" w:rsidRPr="00B4434E">
        <w:rPr>
          <w:sz w:val="20"/>
          <w:szCs w:val="20"/>
          <w:lang w:val="en-US"/>
        </w:rPr>
        <w:t xml:space="preserve"> Rowe</w:t>
      </w:r>
      <w:r w:rsidR="00B4434E">
        <w:rPr>
          <w:sz w:val="20"/>
          <w:szCs w:val="20"/>
          <w:lang w:val="en-US"/>
        </w:rPr>
        <w:t xml:space="preserve"> J.J.</w:t>
      </w:r>
    </w:p>
    <w:p w:rsidR="00B4434E" w:rsidRPr="00D30785" w:rsidRDefault="00B4434E" w:rsidP="00D30785">
      <w:pPr>
        <w:jc w:val="both"/>
        <w:rPr>
          <w:sz w:val="20"/>
          <w:szCs w:val="20"/>
          <w:lang w:val="en-US"/>
        </w:rPr>
      </w:pPr>
    </w:p>
    <w:p w:rsidR="00B4434E" w:rsidRDefault="00B4434E" w:rsidP="00D30785">
      <w:pPr>
        <w:pStyle w:val="SCCNormalDoubleSpacing"/>
        <w:spacing w:line="240" w:lineRule="auto"/>
        <w:rPr>
          <w:i/>
          <w:sz w:val="20"/>
          <w:lang w:val="en-US"/>
        </w:rPr>
      </w:pPr>
      <w:r w:rsidRPr="00D30785">
        <w:rPr>
          <w:sz w:val="20"/>
          <w:lang w:val="en-US"/>
        </w:rPr>
        <w:tab/>
      </w:r>
      <w:r w:rsidRPr="00D30785">
        <w:rPr>
          <w:i/>
          <w:sz w:val="20"/>
          <w:lang w:val="en-US"/>
        </w:rPr>
        <w:t>Injunctions — Interlocutory injunctions — Publication bans — Mandatory publication ban issued pursuant to Criminal Code respecting identity of young victim — Media outlet refused to remove from its website articles which pre</w:t>
      </w:r>
      <w:r w:rsidRPr="00D30785">
        <w:rPr>
          <w:i/>
          <w:sz w:val="20"/>
          <w:lang w:val="en-US"/>
        </w:rPr>
        <w:noBreakHyphen/>
        <w:t>existed publication ban and which identified victim by name and photograph — Crown bringing application for contempt and for mandatory interlocutory injunction requiring removal of information from media outlet’s website — Applicable framework for granting mandatory interlocutory injunction — Whether Crown must establish strong prima facie case or serious issue to be tried — Whether chambers judge erred in refusing interlocutory injunction because Crown failed to show strong prima facie case of criminal contempt — Criminal Code, R.S.C. 1985, c. C</w:t>
      </w:r>
      <w:r w:rsidRPr="00D30785">
        <w:rPr>
          <w:i/>
          <w:sz w:val="20"/>
          <w:lang w:val="en-US"/>
        </w:rPr>
        <w:noBreakHyphen/>
        <w:t>46, s. 486.4(2.1)(2.2).</w:t>
      </w:r>
    </w:p>
    <w:p w:rsidR="00214C52" w:rsidRPr="00214C52" w:rsidRDefault="00214C52" w:rsidP="00D30785">
      <w:pPr>
        <w:pStyle w:val="SCCNormalDoubleSpacing"/>
        <w:spacing w:line="240" w:lineRule="auto"/>
        <w:rPr>
          <w:sz w:val="20"/>
          <w:lang w:val="en-US"/>
        </w:rPr>
      </w:pPr>
    </w:p>
    <w:p w:rsidR="00B4434E" w:rsidRDefault="00B4434E" w:rsidP="00D30785">
      <w:pPr>
        <w:pStyle w:val="SCCNormalDoubleSpacing"/>
        <w:spacing w:line="240" w:lineRule="auto"/>
        <w:rPr>
          <w:sz w:val="20"/>
          <w:lang w:val="en-US"/>
        </w:rPr>
      </w:pPr>
      <w:r w:rsidRPr="00D30785">
        <w:rPr>
          <w:sz w:val="20"/>
          <w:lang w:val="en-US"/>
        </w:rPr>
        <w:tab/>
        <w:t xml:space="preserve">An accused was charged with the first degree murder of a person under the age of 18. Upon the Crown’s request, a mandatory ban prohibiting the publication, broadcast or transmission in any way of any information that could identify the victim was ordered pursuant to s. 486.4(2.2) of the </w:t>
      </w:r>
      <w:r w:rsidRPr="00D30785">
        <w:rPr>
          <w:i/>
          <w:sz w:val="20"/>
          <w:lang w:val="en-US"/>
        </w:rPr>
        <w:t>Criminal Code</w:t>
      </w:r>
      <w:r w:rsidRPr="00D30785">
        <w:rPr>
          <w:sz w:val="20"/>
          <w:lang w:val="en-US"/>
        </w:rPr>
        <w:t>. Prior to the issuance of the publication ban, CBC posted information revealing the identity of the victim on its website. As a result of CBC’s refusal to remove this information, the Crown sought an order citing CBC in criminal contempt of the publication ban and an interlocutory injunction directing the removal of the victim’s identifying information. The chambers judge concluded that the Crown had not established the requirements for a mandatory interlocutory injunction, and dismissed its application. The majority of the Court of Appeal allowed the appeal and granted the mandatory interlocutory injunction.</w:t>
      </w:r>
    </w:p>
    <w:p w:rsidR="00214C52" w:rsidRPr="00D30785" w:rsidRDefault="00214C52" w:rsidP="00D30785">
      <w:pPr>
        <w:pStyle w:val="SCCNormalDoubleSpacing"/>
        <w:spacing w:line="240" w:lineRule="auto"/>
        <w:rPr>
          <w:sz w:val="20"/>
          <w:lang w:val="en-US"/>
        </w:rPr>
      </w:pPr>
    </w:p>
    <w:p w:rsidR="00B4434E" w:rsidRDefault="00B4434E" w:rsidP="00D30785">
      <w:pPr>
        <w:pStyle w:val="SCCNormalDoubleSpacing"/>
        <w:spacing w:line="240" w:lineRule="auto"/>
        <w:rPr>
          <w:sz w:val="20"/>
          <w:lang w:val="en-US"/>
        </w:rPr>
      </w:pPr>
      <w:r w:rsidRPr="00D30785">
        <w:rPr>
          <w:sz w:val="20"/>
          <w:lang w:val="en-US"/>
        </w:rPr>
        <w:tab/>
      </w:r>
      <w:r w:rsidRPr="00D30785">
        <w:rPr>
          <w:i/>
          <w:sz w:val="20"/>
          <w:lang w:val="en-US"/>
        </w:rPr>
        <w:t>Held</w:t>
      </w:r>
      <w:r w:rsidRPr="00D30785">
        <w:rPr>
          <w:sz w:val="20"/>
          <w:lang w:val="en-US"/>
        </w:rPr>
        <w:t>: The appeal should be allowed.</w:t>
      </w:r>
    </w:p>
    <w:p w:rsidR="00214C52" w:rsidRPr="00D30785" w:rsidRDefault="00214C52" w:rsidP="00D30785">
      <w:pPr>
        <w:pStyle w:val="SCCNormalDoubleSpacing"/>
        <w:spacing w:line="240" w:lineRule="auto"/>
        <w:rPr>
          <w:sz w:val="20"/>
          <w:lang w:val="en-US"/>
        </w:rPr>
      </w:pPr>
    </w:p>
    <w:p w:rsidR="00B4434E" w:rsidRDefault="00B4434E" w:rsidP="00D30785">
      <w:pPr>
        <w:pStyle w:val="SCCNormalDoubleSpacing"/>
        <w:spacing w:line="240" w:lineRule="auto"/>
        <w:rPr>
          <w:sz w:val="20"/>
          <w:lang w:val="en-US"/>
        </w:rPr>
      </w:pPr>
      <w:r w:rsidRPr="00D30785">
        <w:rPr>
          <w:sz w:val="20"/>
          <w:lang w:val="en-US"/>
        </w:rPr>
        <w:tab/>
        <w:t xml:space="preserve">To obtain a mandatory interlocutory injunction, the appropriate criterion for assessing the strength of the applicant’s case at the first stage of the </w:t>
      </w:r>
      <w:r w:rsidRPr="00D30785">
        <w:rPr>
          <w:i/>
          <w:sz w:val="20"/>
          <w:lang w:val="en-US"/>
        </w:rPr>
        <w:t xml:space="preserve">RJR—MacDonald </w:t>
      </w:r>
      <w:r w:rsidRPr="00D30785">
        <w:rPr>
          <w:sz w:val="20"/>
          <w:lang w:val="en-US"/>
        </w:rPr>
        <w:t xml:space="preserve">test is not whether there is a serious issue to be tried, but rather whether the applicant has demonstrated a strong </w:t>
      </w:r>
      <w:r w:rsidRPr="00D30785">
        <w:rPr>
          <w:i/>
          <w:sz w:val="20"/>
          <w:lang w:val="en-US"/>
        </w:rPr>
        <w:t>prima facie</w:t>
      </w:r>
      <w:r w:rsidRPr="00D30785">
        <w:rPr>
          <w:sz w:val="20"/>
          <w:lang w:val="en-US"/>
        </w:rPr>
        <w:t xml:space="preserve"> case. The potentially severe consequences for a defendant which can result from a mandatory interlocutory injunction further demand an extensive review of the merits at the interlocutory stage. This modified </w:t>
      </w:r>
      <w:r w:rsidRPr="00D30785">
        <w:rPr>
          <w:i/>
          <w:sz w:val="20"/>
          <w:lang w:val="en-US"/>
        </w:rPr>
        <w:t>RJR—MacDonald</w:t>
      </w:r>
      <w:r w:rsidRPr="00D30785">
        <w:rPr>
          <w:sz w:val="20"/>
          <w:lang w:val="en-US"/>
        </w:rPr>
        <w:t xml:space="preserve"> test entails showing a strong likelihood on the law and the evidence presented that, at trial, the applicant will be ultimately successful in proving the allegations set out in the originating notice. The applicant must also demonstrate that irreparable harm will result if the relief is not granted and that the balance of convenience favours granting the injunction.</w:t>
      </w:r>
    </w:p>
    <w:p w:rsidR="00214C52" w:rsidRPr="00D30785" w:rsidRDefault="00214C52" w:rsidP="00D30785">
      <w:pPr>
        <w:pStyle w:val="SCCNormalDoubleSpacing"/>
        <w:spacing w:line="240" w:lineRule="auto"/>
        <w:rPr>
          <w:sz w:val="20"/>
          <w:lang w:val="en-US"/>
        </w:rPr>
      </w:pPr>
    </w:p>
    <w:p w:rsidR="00B4434E" w:rsidRDefault="00B4434E" w:rsidP="00D30785">
      <w:pPr>
        <w:pStyle w:val="SCCNormalDoubleSpacing"/>
        <w:spacing w:line="240" w:lineRule="auto"/>
        <w:rPr>
          <w:sz w:val="20"/>
          <w:lang w:val="en-US"/>
        </w:rPr>
      </w:pPr>
      <w:r w:rsidRPr="00D30785">
        <w:rPr>
          <w:sz w:val="20"/>
          <w:lang w:val="en-US"/>
        </w:rPr>
        <w:tab/>
        <w:t>In this case, a literal reading of the originating notice shows that the Crown brought an application for criminal contempt and sought an interim injunction in that proceeding. The Crown thus proceeded on the basis that its application for an interlocutory injunction was sought in respect of the citation for criminal contempt. The originating notice itself, and the sequencing therein of the relief sought, belies its putatively hybrid character. The two applications are linked, such that the latter is tied not to the mere placement by CBC of the victim’s identifying information on its website, but to the sought</w:t>
      </w:r>
      <w:r w:rsidRPr="00D30785">
        <w:rPr>
          <w:sz w:val="20"/>
          <w:lang w:val="en-US"/>
        </w:rPr>
        <w:noBreakHyphen/>
        <w:t xml:space="preserve">after criminal contempt citation. Each prayer for relief does not launch an independent proceeding; rather, both relate to the alleged criminal contempt. In addition, an injunction is not a cause of action, in the sense of containing its own authorizing force. It is a remedy. An originating application must state both the claim and the basis for it and the remedy sought. Here, the Crown’s originating notice discloses only a single basis for seeking a remedy: CBC’s alleged criminal contempt of court. Therefore, the Crown was bound to show a strong </w:t>
      </w:r>
      <w:r w:rsidRPr="00D30785">
        <w:rPr>
          <w:i/>
          <w:sz w:val="20"/>
          <w:lang w:val="en-US"/>
        </w:rPr>
        <w:t>prima facie</w:t>
      </w:r>
      <w:r w:rsidRPr="00D30785">
        <w:rPr>
          <w:sz w:val="20"/>
          <w:lang w:val="en-US"/>
        </w:rPr>
        <w:t xml:space="preserve"> case of criminal contempt of court. This case should not however be taken as standing for the proposition that injunctive relief is ordinarily or readily available in criminal matters. The delineation of the circumstances in which an interlocutory injunction may be sought and issued to enjoin allegedly criminal conduct is not decided here.</w:t>
      </w:r>
    </w:p>
    <w:p w:rsidR="00214C52" w:rsidRPr="00D30785" w:rsidRDefault="00214C52" w:rsidP="00D30785">
      <w:pPr>
        <w:pStyle w:val="SCCNormalDoubleSpacing"/>
        <w:spacing w:line="240" w:lineRule="auto"/>
        <w:rPr>
          <w:sz w:val="20"/>
          <w:lang w:val="en-US"/>
        </w:rPr>
      </w:pPr>
    </w:p>
    <w:p w:rsidR="00B4434E" w:rsidRDefault="00B4434E" w:rsidP="00D30785">
      <w:pPr>
        <w:pStyle w:val="SCCNormalDoubleSpacing"/>
        <w:spacing w:line="240" w:lineRule="auto"/>
        <w:rPr>
          <w:sz w:val="20"/>
          <w:lang w:val="en-US"/>
        </w:rPr>
      </w:pPr>
      <w:r w:rsidRPr="00D30785">
        <w:rPr>
          <w:sz w:val="20"/>
          <w:lang w:val="en-US"/>
        </w:rPr>
        <w:tab/>
        <w:t>The decision to grant or refuse an interlocutory injunction is a discretionary exercise, with which an appellate court must not interfere solely because it would have exercised the discretion differently. Appellate intervention is justified only where the chambers judge proceeded on a misunderstanding of the law or of the evidence before him, where an inference can be demonstrated to be wrong by further evidence that has since become available, where there has been a change of circumstances or where the decision to grant or refuse the injunction is so aberrant that it must be set aside on the ground that no reasonable judge could have reached it. In this case, the Crown’s burden was not to show a case for criminal contempt that leans one way or another, but rather a case, based on the law and evidence presented, that has a strong likelihood that it would be successful in proving CBC’s guilt of criminal contempt of court. This is not an easy burden to discharge and the Crown has failed to do so here. The chambers judge applied the correct legal test in deciding the Crown’s application and his decision that the Crown’s case failed to satisfy that test did not, in these circumstances, warrant appellate intervention.</w:t>
      </w:r>
    </w:p>
    <w:p w:rsidR="00214C52" w:rsidRPr="00D30785" w:rsidRDefault="00214C52" w:rsidP="00D30785">
      <w:pPr>
        <w:pStyle w:val="SCCNormalDoubleSpacing"/>
        <w:spacing w:line="240" w:lineRule="auto"/>
        <w:rPr>
          <w:sz w:val="20"/>
          <w:lang w:val="en-US"/>
        </w:rPr>
      </w:pPr>
    </w:p>
    <w:p w:rsidR="00B4434E" w:rsidRDefault="00B4434E" w:rsidP="00D30785">
      <w:pPr>
        <w:pStyle w:val="SCCNormalDoubleSpacing"/>
        <w:spacing w:line="240" w:lineRule="auto"/>
        <w:rPr>
          <w:sz w:val="20"/>
        </w:rPr>
      </w:pPr>
      <w:r w:rsidRPr="00D30785">
        <w:rPr>
          <w:sz w:val="20"/>
        </w:rPr>
        <w:tab/>
        <w:t xml:space="preserve">APPEAL from a judgment of the Alberta Court of Appeal (Slatter, McDonald and Greckol JJ.A.), 2016 ABCA 326, 404 D.L.R. (4th) 318, 43 Alta. L.R. (6th) 213, [2017] 3 W.W.R. 413, 93 C.P.C. (7th) 269, [2016] A.J. No. 1085 (QL), 2016 CarswellAlta 2034 (WL Can.), setting aside a decision of Michalyshyn J., 2016 ABQB 204, [2016] 9 W.W.R. 613, 37 Alta. L.R. (6th) 299, 86 C.P.C. (7th) 373, [2016] A.J. No. 336 (QL), 2016 CarswellAlta 620 (WL Can.). Appeal allowed. </w:t>
      </w:r>
    </w:p>
    <w:p w:rsidR="00214C52" w:rsidRPr="00D30785" w:rsidRDefault="00214C52" w:rsidP="00D30785">
      <w:pPr>
        <w:pStyle w:val="SCCNormalDoubleSpacing"/>
        <w:spacing w:line="240" w:lineRule="auto"/>
        <w:rPr>
          <w:sz w:val="20"/>
        </w:rPr>
      </w:pPr>
    </w:p>
    <w:p w:rsidR="00B4434E" w:rsidRDefault="00B4434E" w:rsidP="00D30785">
      <w:pPr>
        <w:pStyle w:val="SCCNormalDoubleSpacing"/>
        <w:spacing w:line="240" w:lineRule="auto"/>
        <w:rPr>
          <w:rStyle w:val="SCCCounselPartyRoleChar"/>
          <w:sz w:val="20"/>
        </w:rPr>
      </w:pPr>
      <w:r w:rsidRPr="00D30785">
        <w:rPr>
          <w:rStyle w:val="SCCCounselNameChar"/>
          <w:sz w:val="20"/>
        </w:rPr>
        <w:tab/>
        <w:t>Frederick S. Kozak, Q.C.</w:t>
      </w:r>
      <w:r w:rsidRPr="00D30785">
        <w:rPr>
          <w:rStyle w:val="SCCCounselSeparatorChar"/>
          <w:rFonts w:eastAsia="Calibri"/>
          <w:sz w:val="20"/>
          <w:lang w:val="en-US"/>
        </w:rPr>
        <w:t xml:space="preserve">, </w:t>
      </w:r>
      <w:r w:rsidRPr="00D30785">
        <w:rPr>
          <w:rStyle w:val="SCCCounselNameChar"/>
          <w:sz w:val="20"/>
        </w:rPr>
        <w:t>Sean Ward, Tess Layton</w:t>
      </w:r>
      <w:r w:rsidRPr="00D30785">
        <w:rPr>
          <w:rStyle w:val="SCCCounselSeparatorChar"/>
          <w:rFonts w:eastAsia="Calibri"/>
          <w:sz w:val="20"/>
          <w:lang w:val="en-US"/>
        </w:rPr>
        <w:t xml:space="preserve"> and </w:t>
      </w:r>
      <w:r w:rsidRPr="00D30785">
        <w:rPr>
          <w:rStyle w:val="SCCCounselNameChar"/>
          <w:sz w:val="20"/>
        </w:rPr>
        <w:t>Sean Moreman</w:t>
      </w:r>
      <w:r w:rsidRPr="00D30785">
        <w:rPr>
          <w:rStyle w:val="SCCCounselPartyRoleChar"/>
          <w:sz w:val="20"/>
        </w:rPr>
        <w:t>, for the appellant.</w:t>
      </w:r>
    </w:p>
    <w:p w:rsidR="00214C52" w:rsidRPr="00D30785" w:rsidRDefault="00214C52" w:rsidP="00D30785">
      <w:pPr>
        <w:pStyle w:val="SCCNormalDoubleSpacing"/>
        <w:spacing w:line="240" w:lineRule="auto"/>
        <w:rPr>
          <w:sz w:val="20"/>
        </w:rPr>
      </w:pPr>
    </w:p>
    <w:p w:rsidR="00B4434E" w:rsidRDefault="00B4434E" w:rsidP="00D30785">
      <w:pPr>
        <w:pStyle w:val="SCCNormalDoubleSpacing"/>
        <w:spacing w:line="240" w:lineRule="auto"/>
        <w:rPr>
          <w:rStyle w:val="SCCCounselPartyRoleChar"/>
          <w:sz w:val="20"/>
        </w:rPr>
      </w:pPr>
      <w:r w:rsidRPr="00D30785">
        <w:rPr>
          <w:rStyle w:val="SCCCounselNameChar"/>
          <w:sz w:val="20"/>
        </w:rPr>
        <w:tab/>
        <w:t>Iwona Kuklicz</w:t>
      </w:r>
      <w:r w:rsidRPr="00D30785">
        <w:rPr>
          <w:rStyle w:val="SCCCounselSeparatorChar"/>
          <w:rFonts w:eastAsia="Calibri"/>
          <w:sz w:val="20"/>
          <w:lang w:val="en-US"/>
        </w:rPr>
        <w:t xml:space="preserve"> and </w:t>
      </w:r>
      <w:r w:rsidRPr="00D30785">
        <w:rPr>
          <w:rStyle w:val="SCCCounselNameChar"/>
          <w:sz w:val="20"/>
        </w:rPr>
        <w:t>Julie Snowdon</w:t>
      </w:r>
      <w:r w:rsidRPr="00D30785">
        <w:rPr>
          <w:rStyle w:val="SCCCounselPartyRoleChar"/>
          <w:sz w:val="20"/>
        </w:rPr>
        <w:t>, for the respondent.</w:t>
      </w:r>
    </w:p>
    <w:p w:rsidR="00214C52" w:rsidRPr="00D30785" w:rsidRDefault="00214C52" w:rsidP="00D30785">
      <w:pPr>
        <w:pStyle w:val="SCCNormalDoubleSpacing"/>
        <w:spacing w:line="240" w:lineRule="auto"/>
        <w:rPr>
          <w:sz w:val="20"/>
        </w:rPr>
      </w:pPr>
    </w:p>
    <w:p w:rsidR="00B4434E" w:rsidRPr="00D30785" w:rsidRDefault="00B4434E" w:rsidP="00D30785">
      <w:pPr>
        <w:pStyle w:val="SCCNormalDoubleSpacing"/>
        <w:spacing w:line="240" w:lineRule="auto"/>
        <w:rPr>
          <w:sz w:val="20"/>
        </w:rPr>
      </w:pPr>
      <w:r w:rsidRPr="00D30785">
        <w:rPr>
          <w:rStyle w:val="SCCCounselNameChar"/>
          <w:sz w:val="20"/>
        </w:rPr>
        <w:tab/>
        <w:t>Iain A.C. MacKinnon</w:t>
      </w:r>
      <w:r w:rsidRPr="00D30785">
        <w:rPr>
          <w:rStyle w:val="SCCCounselPartyRoleChar"/>
          <w:sz w:val="20"/>
        </w:rPr>
        <w:t>, for the interveners.</w:t>
      </w:r>
    </w:p>
    <w:p w:rsidR="00B4434E" w:rsidRPr="00D30785" w:rsidRDefault="00167F64" w:rsidP="00D30785">
      <w:pPr>
        <w:jc w:val="both"/>
        <w:rPr>
          <w:rFonts w:cs="Times New Roman"/>
          <w:b/>
          <w:sz w:val="20"/>
          <w:szCs w:val="20"/>
        </w:rPr>
      </w:pPr>
      <w:r>
        <w:rPr>
          <w:rFonts w:cs="Times New Roman"/>
          <w:b/>
          <w:sz w:val="20"/>
          <w:szCs w:val="20"/>
        </w:rPr>
        <w:pict>
          <v:rect id="_x0000_i1077" style="width:144.3pt;height:1pt" o:hrpct="300" o:hrstd="t" o:hrnoshade="t" o:hr="t" fillcolor="black [3213]" stroked="f"/>
        </w:pict>
      </w:r>
    </w:p>
    <w:p w:rsidR="00B4434E" w:rsidRPr="00D30785" w:rsidRDefault="00B4434E" w:rsidP="0052229C">
      <w:pPr>
        <w:jc w:val="both"/>
        <w:rPr>
          <w:rFonts w:cs="Times New Roman"/>
          <w:sz w:val="20"/>
          <w:szCs w:val="20"/>
        </w:rPr>
      </w:pPr>
    </w:p>
    <w:p w:rsidR="00D30785" w:rsidRPr="00D30785" w:rsidRDefault="00D30785" w:rsidP="00D30785">
      <w:pPr>
        <w:jc w:val="both"/>
        <w:rPr>
          <w:sz w:val="20"/>
          <w:szCs w:val="20"/>
          <w:lang w:val="fr-CA"/>
        </w:rPr>
      </w:pPr>
      <w:r w:rsidRPr="00D30785">
        <w:rPr>
          <w:sz w:val="20"/>
          <w:szCs w:val="20"/>
          <w:lang w:val="fr-CA"/>
        </w:rPr>
        <w:t xml:space="preserve">Présents: La juge en chef McLachlin </w:t>
      </w:r>
      <w:r>
        <w:rPr>
          <w:sz w:val="20"/>
          <w:szCs w:val="20"/>
          <w:lang w:val="fr-CA"/>
        </w:rPr>
        <w:t>et les juges</w:t>
      </w:r>
      <w:r w:rsidRPr="00D30785">
        <w:rPr>
          <w:sz w:val="20"/>
          <w:szCs w:val="20"/>
          <w:lang w:val="fr-CA"/>
        </w:rPr>
        <w:t xml:space="preserve"> Abella, Moldaver, Karakatsanis, Wagner, Gascon, Côté, Brown </w:t>
      </w:r>
      <w:r>
        <w:rPr>
          <w:sz w:val="20"/>
          <w:szCs w:val="20"/>
          <w:lang w:val="fr-CA"/>
        </w:rPr>
        <w:t>et</w:t>
      </w:r>
      <w:r w:rsidRPr="00D30785">
        <w:rPr>
          <w:sz w:val="20"/>
          <w:szCs w:val="20"/>
          <w:lang w:val="fr-CA"/>
        </w:rPr>
        <w:t xml:space="preserve"> Rowe</w:t>
      </w:r>
    </w:p>
    <w:p w:rsidR="00B4434E" w:rsidRPr="00214C52" w:rsidRDefault="00B4434E" w:rsidP="00BB3260">
      <w:pPr>
        <w:jc w:val="both"/>
        <w:rPr>
          <w:sz w:val="20"/>
          <w:szCs w:val="20"/>
          <w:lang w:val="fr-CA"/>
        </w:rPr>
      </w:pPr>
    </w:p>
    <w:p w:rsidR="00BB3260" w:rsidRDefault="00BB3260" w:rsidP="00BB3260">
      <w:pPr>
        <w:pStyle w:val="SCCNormalDoubleSpacing"/>
        <w:spacing w:line="240" w:lineRule="auto"/>
        <w:rPr>
          <w:i/>
          <w:sz w:val="20"/>
          <w:lang w:val="fr-CA"/>
        </w:rPr>
      </w:pPr>
      <w:r w:rsidRPr="00214C52">
        <w:rPr>
          <w:sz w:val="20"/>
          <w:lang w:val="fr-CA"/>
        </w:rPr>
        <w:tab/>
      </w:r>
      <w:r w:rsidRPr="00214C52">
        <w:rPr>
          <w:i/>
          <w:sz w:val="20"/>
          <w:lang w:val="fr-CA"/>
        </w:rPr>
        <w:t>Injonctions — Injonctions interlocutoires — Interdictions de publication — Prononcé d’une interdiction de publication mandatoire en vertu du Code criminel quant à l’identité d’une jeune victime — Refus du média de retirer de son site Web les articles affichés avant l’interdiction de publication et identifiant la victime par son nom et sa photo — Demande par le ministère public pour que soient prononcées une assignation pour outrage au tribunal et une injonction interlocutoire mandatoire intimant le retrait des renseignements du site Web du média — Cadre d’analyse applicable à la délivrance d’une injonction interlocutoire mandatoire — Le ministère public doit</w:t>
      </w:r>
      <w:r w:rsidRPr="00214C52">
        <w:rPr>
          <w:i/>
          <w:sz w:val="20"/>
          <w:lang w:val="fr-CA"/>
        </w:rPr>
        <w:noBreakHyphen/>
        <w:t>il établir une forte apparence de droit ou l’existence d’une question sérieuse à juger? — Le juge en cabinet a</w:t>
      </w:r>
      <w:r w:rsidRPr="00214C52">
        <w:rPr>
          <w:i/>
          <w:sz w:val="20"/>
          <w:lang w:val="fr-CA"/>
        </w:rPr>
        <w:noBreakHyphen/>
        <w:t>t</w:t>
      </w:r>
      <w:r w:rsidRPr="00214C52">
        <w:rPr>
          <w:i/>
          <w:sz w:val="20"/>
          <w:lang w:val="fr-CA"/>
        </w:rPr>
        <w:noBreakHyphen/>
        <w:t>il commis une erreur en refusant de délivrer une injonction interlocutoire parce que le ministère public n’a pas établi une forte apparence de droit quant à l’existence d’un outrage criminel? — Code criminel, L.R.C. 1985, c. C</w:t>
      </w:r>
      <w:r w:rsidRPr="00214C52">
        <w:rPr>
          <w:i/>
          <w:sz w:val="20"/>
          <w:lang w:val="fr-CA"/>
        </w:rPr>
        <w:noBreakHyphen/>
        <w:t>46, art. 486.4(2.1)(2.2).</w:t>
      </w:r>
    </w:p>
    <w:p w:rsidR="00214C52" w:rsidRPr="00214C52" w:rsidRDefault="00214C52" w:rsidP="00BB3260">
      <w:pPr>
        <w:pStyle w:val="SCCNormalDoubleSpacing"/>
        <w:spacing w:line="240" w:lineRule="auto"/>
        <w:rPr>
          <w:sz w:val="20"/>
          <w:lang w:val="fr-CA"/>
        </w:rPr>
      </w:pPr>
    </w:p>
    <w:p w:rsidR="00BB3260" w:rsidRDefault="00BB3260" w:rsidP="00BB3260">
      <w:pPr>
        <w:pStyle w:val="SCCNormalDoubleSpacing"/>
        <w:spacing w:line="240" w:lineRule="auto"/>
        <w:rPr>
          <w:sz w:val="20"/>
          <w:lang w:val="fr-CA"/>
        </w:rPr>
      </w:pPr>
      <w:r w:rsidRPr="00214C52">
        <w:rPr>
          <w:sz w:val="20"/>
          <w:lang w:val="fr-CA"/>
        </w:rPr>
        <w:tab/>
        <w:t xml:space="preserve">Un accusé a été inculpé du meurtre au premier degré d’une personne âgée de moins de 18 ans. À la demande du ministère public, une interdiction mandatoire de publier ou de diffuser de quelque façon que ce soit tout renseignement permettant d’identifier la victime a été délivrée en vertu du par. 486.4(2.2) du </w:t>
      </w:r>
      <w:r w:rsidRPr="00214C52">
        <w:rPr>
          <w:i/>
          <w:sz w:val="20"/>
          <w:lang w:val="fr-CA"/>
        </w:rPr>
        <w:t>Code criminel</w:t>
      </w:r>
      <w:r w:rsidRPr="00214C52">
        <w:rPr>
          <w:sz w:val="20"/>
          <w:lang w:val="fr-CA"/>
        </w:rPr>
        <w:t>. Avant la délivrance de l’interdiction de publication, la SRC a affiché sur son site Web des renseignements qui révélaient l’identité de la victime. Compte tenu du refus de la SRC de retirer ces renseignements de son site Web, le ministère public a sollicité une assignation pour outrage criminel contre la SRC pour violation de l’interdiction en question ainsi qu’une injonction interlocutoire exigeant le retrait des renseignements identifiant la victime. Le juge en cabinet a conclu que le ministère public n’avait pas satisfait aux exigences relatives à l’injonction interlocutoire mandatoire et a rejeté sa demande. Les juges majoritaires de la Cour d’appel ont accueilli l’appel et accordé l’injonction interlocutoire mandatoire.</w:t>
      </w:r>
    </w:p>
    <w:p w:rsidR="00214C52" w:rsidRPr="00214C52" w:rsidRDefault="00214C52" w:rsidP="00BB3260">
      <w:pPr>
        <w:pStyle w:val="SCCNormalDoubleSpacing"/>
        <w:spacing w:line="240" w:lineRule="auto"/>
        <w:rPr>
          <w:sz w:val="20"/>
          <w:lang w:val="fr-CA"/>
        </w:rPr>
      </w:pPr>
    </w:p>
    <w:p w:rsidR="00BB3260" w:rsidRDefault="00BB3260" w:rsidP="00BB3260">
      <w:pPr>
        <w:pStyle w:val="SCCNormalDoubleSpacing"/>
        <w:spacing w:line="240" w:lineRule="auto"/>
        <w:rPr>
          <w:sz w:val="20"/>
          <w:lang w:val="fr-CA"/>
        </w:rPr>
      </w:pPr>
      <w:r w:rsidRPr="00214C52">
        <w:rPr>
          <w:sz w:val="20"/>
          <w:lang w:val="fr-CA"/>
        </w:rPr>
        <w:tab/>
      </w:r>
      <w:r w:rsidRPr="00214C52">
        <w:rPr>
          <w:i/>
          <w:sz w:val="20"/>
          <w:lang w:val="fr-CA"/>
        </w:rPr>
        <w:t>Arrêt :</w:t>
      </w:r>
      <w:r w:rsidRPr="00214C52">
        <w:rPr>
          <w:sz w:val="20"/>
          <w:lang w:val="fr-CA"/>
        </w:rPr>
        <w:t xml:space="preserve"> L’appel est accueilli.</w:t>
      </w:r>
    </w:p>
    <w:p w:rsidR="00214C52" w:rsidRPr="00214C52" w:rsidRDefault="00214C52" w:rsidP="00BB3260">
      <w:pPr>
        <w:pStyle w:val="SCCNormalDoubleSpacing"/>
        <w:spacing w:line="240" w:lineRule="auto"/>
        <w:rPr>
          <w:sz w:val="20"/>
          <w:lang w:val="fr-CA"/>
        </w:rPr>
      </w:pPr>
    </w:p>
    <w:p w:rsidR="00BB3260" w:rsidRDefault="00BB3260" w:rsidP="00BB3260">
      <w:pPr>
        <w:pStyle w:val="SCCNormalDoubleSpacing"/>
        <w:spacing w:line="240" w:lineRule="auto"/>
        <w:rPr>
          <w:sz w:val="20"/>
          <w:lang w:val="fr-CA"/>
        </w:rPr>
      </w:pPr>
      <w:r w:rsidRPr="00214C52">
        <w:rPr>
          <w:sz w:val="20"/>
          <w:lang w:val="fr-CA"/>
        </w:rPr>
        <w:tab/>
        <w:t xml:space="preserve">Pour obtenir une injonction interlocutoire mandatoire, le critère approprié pour juger de la solidité de la preuve du demandeur à la première étape du test énoncé dans </w:t>
      </w:r>
      <w:r w:rsidRPr="00214C52">
        <w:rPr>
          <w:i/>
          <w:sz w:val="20"/>
          <w:lang w:val="fr-CA"/>
        </w:rPr>
        <w:t>RJR—MacDonald</w:t>
      </w:r>
      <w:r w:rsidRPr="00214C52">
        <w:rPr>
          <w:sz w:val="20"/>
          <w:lang w:val="fr-CA"/>
        </w:rPr>
        <w:t xml:space="preserve"> n’est pas celui de l’existence d’une question sérieuse à juger, mais plutôt celui de savoir si le demandeur a établi une forte apparence de droit. Les conséquences potentiellement sérieuses pour un défendeur de la délivrance d’une injonction interlocutoire mandatoire, exigent en outre qu’un examen approfondi soit fait sur le fond à l’étape interlocutoire. Suivant cette version modifiée du test énoncé dans </w:t>
      </w:r>
      <w:r w:rsidRPr="00214C52">
        <w:rPr>
          <w:i/>
          <w:sz w:val="20"/>
          <w:lang w:val="fr-CA"/>
        </w:rPr>
        <w:t>RJR—MacDonald</w:t>
      </w:r>
      <w:r w:rsidRPr="00214C52">
        <w:rPr>
          <w:sz w:val="20"/>
          <w:lang w:val="fr-CA"/>
        </w:rPr>
        <w:t xml:space="preserve">, le demandeur doit démontrer une forte chance au regard du droit et de la preuve présentée que, au procès, il réussira ultimement à prouver les allégations énoncées dans l’acte introductif d’instance. Le demandeur doit aussi démontrer qu’il subira un préjudice irréparable si la réparation n’est pas accordée et que la prépondérance des inconvénients favorise la délivrance de l’injonction. </w:t>
      </w:r>
    </w:p>
    <w:p w:rsidR="00214C52" w:rsidRPr="00214C52" w:rsidRDefault="00214C52" w:rsidP="00BB3260">
      <w:pPr>
        <w:pStyle w:val="SCCNormalDoubleSpacing"/>
        <w:spacing w:line="240" w:lineRule="auto"/>
        <w:rPr>
          <w:sz w:val="20"/>
          <w:lang w:val="fr-CA"/>
        </w:rPr>
      </w:pPr>
    </w:p>
    <w:p w:rsidR="00BB3260" w:rsidRDefault="00BB3260" w:rsidP="00BB3260">
      <w:pPr>
        <w:pStyle w:val="SCCNormalDoubleSpacing"/>
        <w:spacing w:line="240" w:lineRule="auto"/>
        <w:rPr>
          <w:sz w:val="20"/>
          <w:lang w:val="fr-CA"/>
        </w:rPr>
      </w:pPr>
      <w:r w:rsidRPr="00214C52">
        <w:rPr>
          <w:sz w:val="20"/>
          <w:lang w:val="fr-CA"/>
        </w:rPr>
        <w:tab/>
        <w:t xml:space="preserve">En l’espèce, une interprétation littérale de l’avis introductif d’instance démontre que le ministère public a intenté une action pour outrage criminel et a cherché à obtenir une injonction interlocutoire dans le cadre de cette instance. Le ministère public s’est donc fondé sur le fait que l’injonction interlocutoire était sollicitée à l’égard de la demande d’assignation pour outrage criminel. L’avis introductif d’instance en soi, ainsi que l’ordre dans lequel les réparations y sont demandées, contredit qu’il puisse avoir un caractère hybride. Les deux demandes sont liées, de sorte que la deuxième se rapporte non pas au simple affichage sur le site Web de la SRC des renseignements identifiant la victime, mais à l’assignation pour outrage criminel sollicitée. Chaque demande de réparation ne donne pas lieu à une instance distincte; elles sont plutôt toutes les deux liées à l’outrage criminel reproché. De plus, l’injonction n’est pas une cause d’action, en ce sens qu’elle ne contient pas son propre pouvoir d’autoriser l’action. Il s’agit d’une réparation. Une demande introductive d’instance doit énoncer tant l’objet de la demande et son fondement que la réparation demandée. En l’espèce, la demande introductive d’instance du ministère public n’indique qu’un motif pour lequel il veut obtenir une réparation : l’outrage criminel au tribunal reproché à la SRC. Le ministère public était donc tenu d’établir une forte apparence de droit quant à l’existence d’un outrage criminel au tribunal. L’issue du présent appel ne devrait cependant pas être interprétée comme signifiant que l’injonction est une réparation courante et facile à obtenir dans les affaires criminelles. La façon dont il faut définir les circonstances permettant de demander et de délivrer une injonction interlocutoire pour empêcher une conduite prétendument criminelle n’est pas tranchée ici. </w:t>
      </w:r>
    </w:p>
    <w:p w:rsidR="00214C52" w:rsidRPr="00214C52" w:rsidRDefault="00214C52" w:rsidP="00BB3260">
      <w:pPr>
        <w:pStyle w:val="SCCNormalDoubleSpacing"/>
        <w:spacing w:line="240" w:lineRule="auto"/>
        <w:rPr>
          <w:sz w:val="20"/>
          <w:lang w:val="fr-CA"/>
        </w:rPr>
      </w:pPr>
    </w:p>
    <w:p w:rsidR="00BB3260" w:rsidRDefault="00BB3260" w:rsidP="00BB3260">
      <w:pPr>
        <w:pStyle w:val="SCCNormalDoubleSpacing"/>
        <w:spacing w:line="240" w:lineRule="auto"/>
        <w:rPr>
          <w:sz w:val="20"/>
          <w:lang w:val="fr-CA"/>
        </w:rPr>
      </w:pPr>
      <w:r w:rsidRPr="00214C52">
        <w:rPr>
          <w:sz w:val="20"/>
          <w:lang w:val="fr-CA"/>
        </w:rPr>
        <w:tab/>
        <w:t>La décision d’accorder ou de refuser une injonction interlocutoire relève d’un pouvoir discrétionnaire, et les cours d’appel ne doivent pas modifier la décision en découlant simplement parce qu’elles auraient exercé ce pouvoir différemment. Une intervention en appel est justifiée uniquement lorsque le juge en cabinet a pris une décision qui repose sur une erreur de droit ou sur une interprétation erronée de la preuve produite devant lui, lorsque le caractère erroné d’une conclusion peut être démontré par des éléments de preuve supplémentaires dont on dispose au moment de l’appel, lorsque les circonstances ont changé ou lorsque la décision du juge d’accorder ou de refuser l’injonction est à ce point aberrante qu’elle doit être infirmée pour le motif qu’aucun juge raisonnable n’aurait pu la rendre. En l’espèce, le fardeau du ministère public n’était pas de présenter une preuve d’outrage criminel qui penche dans un sens ou dans l’autre, mais plutôt une preuve qui, au regard du droit et des éléments de preuve présentés, avait une forte chance de réussir à prouver la culpabilité de la SRC pour outrage criminel au tribunal. Il n’est pas facile de s’acquitter d’un tel fardeau et le ministère public n’a pas réussi à le faire en l’espèce. Le juge en cabinet a appliqué le bon test juridique lorsqu’il s’est prononcé sur la demande du ministère public, et sa décision selon laquelle la preuve présentée par ce dernier ne satisfaisait pas à ce test ne justifiait pas, dans les circonstances, une intervention en appel.</w:t>
      </w:r>
    </w:p>
    <w:p w:rsidR="00214C52" w:rsidRPr="00214C52" w:rsidRDefault="00214C52" w:rsidP="00BB3260">
      <w:pPr>
        <w:pStyle w:val="SCCNormalDoubleSpacing"/>
        <w:spacing w:line="240" w:lineRule="auto"/>
        <w:rPr>
          <w:sz w:val="20"/>
          <w:lang w:val="fr-CA"/>
        </w:rPr>
      </w:pPr>
    </w:p>
    <w:p w:rsidR="00BB3260" w:rsidRDefault="00BB3260" w:rsidP="00BB3260">
      <w:pPr>
        <w:pStyle w:val="SCCNormalDoubleSpacing"/>
        <w:spacing w:line="240" w:lineRule="auto"/>
        <w:rPr>
          <w:sz w:val="20"/>
          <w:lang w:val="fr-CA"/>
        </w:rPr>
      </w:pPr>
      <w:r w:rsidRPr="00214C52">
        <w:rPr>
          <w:sz w:val="20"/>
          <w:lang w:val="en-US"/>
        </w:rPr>
        <w:tab/>
        <w:t xml:space="preserve">POURVOI contre un arrêt de la Cour d’appel de l’Alberta (les juges Slatter, McDonald et Greckol), 2016 ABCA 326, 404 D.L.R. (4th) 318, 43 Alta. L.R. (6th) 213, [2017] 3 W.W.R. 413, 93 C.P.C. (7th) 269, [2016] A.J. No. 1085 (QL), 2016 CarswellAlta 2034 (WL Can.), qui a infirmé une decision du juge Michalyshyn, 2016 ABQB 204, [2016] 9 W.W.R. 613, 37 Alta. L.R. (6th) 299, 86 C.P.C. (7th) 373, [2016] A.J. No. 336 (QL), 2016 CarswellAlta 620 (WL Can.). </w:t>
      </w:r>
      <w:r w:rsidRPr="00214C52">
        <w:rPr>
          <w:sz w:val="20"/>
          <w:lang w:val="fr-CA"/>
        </w:rPr>
        <w:t xml:space="preserve">Pouvoi accueilli. </w:t>
      </w:r>
    </w:p>
    <w:p w:rsidR="00214C52" w:rsidRPr="00214C52" w:rsidRDefault="00214C52" w:rsidP="00BB3260">
      <w:pPr>
        <w:pStyle w:val="SCCNormalDoubleSpacing"/>
        <w:spacing w:line="240" w:lineRule="auto"/>
        <w:rPr>
          <w:sz w:val="20"/>
          <w:lang w:val="fr-CA"/>
        </w:rPr>
      </w:pPr>
    </w:p>
    <w:p w:rsidR="00BB3260" w:rsidRDefault="00BB3260" w:rsidP="00BB3260">
      <w:pPr>
        <w:pStyle w:val="SCCNormalDoubleSpacing"/>
        <w:spacing w:line="240" w:lineRule="auto"/>
        <w:rPr>
          <w:rStyle w:val="SCCCounselPartyRoleChar"/>
          <w:sz w:val="20"/>
          <w:lang w:val="fr-CA"/>
        </w:rPr>
      </w:pPr>
      <w:r w:rsidRPr="00214C52">
        <w:rPr>
          <w:rStyle w:val="SCCCounselNameChar"/>
          <w:sz w:val="20"/>
          <w:lang w:val="fr-CA"/>
        </w:rPr>
        <w:tab/>
        <w:t>Frederick S. Kozak, c.r.</w:t>
      </w:r>
      <w:r w:rsidRPr="00214C52">
        <w:rPr>
          <w:rStyle w:val="SCCCounselSeparatorChar"/>
          <w:rFonts w:eastAsia="Calibri"/>
          <w:sz w:val="20"/>
        </w:rPr>
        <w:t xml:space="preserve">, </w:t>
      </w:r>
      <w:r w:rsidRPr="00214C52">
        <w:rPr>
          <w:rStyle w:val="SCCCounselNameChar"/>
          <w:sz w:val="20"/>
          <w:lang w:val="fr-CA"/>
        </w:rPr>
        <w:t>Sean Ward, Tess Layton</w:t>
      </w:r>
      <w:r w:rsidRPr="00214C52">
        <w:rPr>
          <w:rStyle w:val="SCCCounselSeparatorChar"/>
          <w:rFonts w:eastAsia="Calibri"/>
          <w:sz w:val="20"/>
        </w:rPr>
        <w:t xml:space="preserve"> et </w:t>
      </w:r>
      <w:r w:rsidRPr="00214C52">
        <w:rPr>
          <w:rStyle w:val="SCCCounselNameChar"/>
          <w:sz w:val="20"/>
          <w:lang w:val="fr-CA"/>
        </w:rPr>
        <w:t>Sean Moreman</w:t>
      </w:r>
      <w:r w:rsidRPr="00214C52">
        <w:rPr>
          <w:rStyle w:val="SCCCounselPartyRoleChar"/>
          <w:sz w:val="20"/>
          <w:lang w:val="fr-CA"/>
        </w:rPr>
        <w:t>, pour l’appelante.</w:t>
      </w:r>
    </w:p>
    <w:p w:rsidR="00214C52" w:rsidRPr="00214C52" w:rsidRDefault="00214C52" w:rsidP="00BB3260">
      <w:pPr>
        <w:pStyle w:val="SCCNormalDoubleSpacing"/>
        <w:spacing w:line="240" w:lineRule="auto"/>
        <w:rPr>
          <w:sz w:val="20"/>
          <w:lang w:val="fr-CA"/>
        </w:rPr>
      </w:pPr>
    </w:p>
    <w:p w:rsidR="00BB3260" w:rsidRDefault="00BB3260" w:rsidP="00BB3260">
      <w:pPr>
        <w:pStyle w:val="SCCNormalDoubleSpacing"/>
        <w:spacing w:line="240" w:lineRule="auto"/>
        <w:rPr>
          <w:rStyle w:val="SCCCounselPartyRoleChar"/>
          <w:sz w:val="20"/>
          <w:lang w:val="fr-CA"/>
        </w:rPr>
      </w:pPr>
      <w:r w:rsidRPr="00214C52">
        <w:rPr>
          <w:rStyle w:val="SCCCounselNameChar"/>
          <w:sz w:val="20"/>
          <w:lang w:val="fr-CA"/>
        </w:rPr>
        <w:tab/>
        <w:t>Iwona Kuklicz</w:t>
      </w:r>
      <w:r w:rsidRPr="00214C52">
        <w:rPr>
          <w:rStyle w:val="SCCCounselSeparatorChar"/>
          <w:rFonts w:eastAsia="Calibri"/>
          <w:sz w:val="20"/>
        </w:rPr>
        <w:t xml:space="preserve"> et </w:t>
      </w:r>
      <w:r w:rsidRPr="00214C52">
        <w:rPr>
          <w:rStyle w:val="SCCCounselNameChar"/>
          <w:sz w:val="20"/>
          <w:lang w:val="fr-CA"/>
        </w:rPr>
        <w:t>Julie Snowdon</w:t>
      </w:r>
      <w:r w:rsidRPr="00214C52">
        <w:rPr>
          <w:rStyle w:val="SCCCounselPartyRoleChar"/>
          <w:sz w:val="20"/>
          <w:lang w:val="fr-CA"/>
        </w:rPr>
        <w:t>, pour l’intimée.</w:t>
      </w:r>
    </w:p>
    <w:p w:rsidR="00214C52" w:rsidRPr="00214C52" w:rsidRDefault="00214C52" w:rsidP="00BB3260">
      <w:pPr>
        <w:pStyle w:val="SCCNormalDoubleSpacing"/>
        <w:spacing w:line="240" w:lineRule="auto"/>
        <w:rPr>
          <w:sz w:val="20"/>
          <w:lang w:val="fr-CA"/>
        </w:rPr>
      </w:pPr>
    </w:p>
    <w:p w:rsidR="00BB3260" w:rsidRDefault="00BB3260" w:rsidP="00BB3260">
      <w:pPr>
        <w:pStyle w:val="SCCNormalDoubleSpacing"/>
        <w:spacing w:line="240" w:lineRule="auto"/>
        <w:rPr>
          <w:rStyle w:val="SCCCounselPartyRoleChar"/>
          <w:sz w:val="20"/>
          <w:lang w:val="fr-CA"/>
        </w:rPr>
      </w:pPr>
      <w:r w:rsidRPr="00214C52">
        <w:rPr>
          <w:rStyle w:val="SCCCounselNameChar"/>
          <w:sz w:val="20"/>
          <w:lang w:val="fr-CA"/>
        </w:rPr>
        <w:tab/>
        <w:t>Iain A.C. MacKinnon</w:t>
      </w:r>
      <w:r w:rsidRPr="00214C52">
        <w:rPr>
          <w:rStyle w:val="SCCCounselPartyRoleChar"/>
          <w:sz w:val="20"/>
          <w:lang w:val="fr-CA"/>
        </w:rPr>
        <w:t>, pour les intervenants.</w:t>
      </w:r>
    </w:p>
    <w:p w:rsidR="000431BE" w:rsidRPr="00214C52" w:rsidRDefault="000431BE" w:rsidP="00BB3260">
      <w:pPr>
        <w:pStyle w:val="SCCNormalDoubleSpacing"/>
        <w:spacing w:line="240" w:lineRule="auto"/>
        <w:rPr>
          <w:sz w:val="20"/>
          <w:lang w:val="fr-CA"/>
        </w:rPr>
      </w:pPr>
    </w:p>
    <w:p w:rsidR="00D30785" w:rsidRPr="00D30785" w:rsidRDefault="00167F64" w:rsidP="0052229C">
      <w:pPr>
        <w:jc w:val="both"/>
        <w:rPr>
          <w:sz w:val="20"/>
          <w:szCs w:val="20"/>
          <w:lang w:val="fr-CA"/>
        </w:rPr>
      </w:pPr>
      <w:r>
        <w:rPr>
          <w:rFonts w:eastAsia="Times New Roman" w:cs="Times New Roman"/>
          <w:sz w:val="20"/>
          <w:szCs w:val="20"/>
          <w:lang w:val="fr-CA" w:eastAsia="en-CA"/>
        </w:rPr>
        <w:pict>
          <v:rect id="_x0000_i1078" style="width:2in;height:1pt" o:hrpct="0" o:hralign="center" o:hrstd="t" o:hrnoshade="t" o:hr="t" fillcolor="black [3213]" stroked="f"/>
        </w:pict>
      </w:r>
    </w:p>
    <w:sectPr w:rsidR="00D30785" w:rsidRPr="00D30785" w:rsidSect="00924065">
      <w:headerReference w:type="default" r:id="rId99"/>
      <w:footerReference w:type="default" r:id="rId100"/>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25A" w:rsidRDefault="0069725A" w:rsidP="00A87207">
      <w:r>
        <w:separator/>
      </w:r>
    </w:p>
  </w:endnote>
  <w:endnote w:type="continuationSeparator" w:id="0">
    <w:p w:rsidR="0069725A" w:rsidRDefault="0069725A"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5A" w:rsidRDefault="00167F64" w:rsidP="00A87207">
    <w:pPr>
      <w:pStyle w:val="Footer"/>
    </w:pPr>
    <w:r>
      <w:pict>
        <v:rect id="_x0000_i1030" style="width:480.95pt;height:1pt" o:hralign="center" o:hrstd="t" o:hrnoshade="t" o:hr="t" fillcolor="black [3213]" stroked="f"/>
      </w:pict>
    </w:r>
  </w:p>
  <w:p w:rsidR="0069725A" w:rsidRPr="00B7374B" w:rsidRDefault="0069725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501</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5A" w:rsidRDefault="00167F64" w:rsidP="00EB2B90">
    <w:pPr>
      <w:tabs>
        <w:tab w:val="center" w:pos="4680"/>
      </w:tabs>
    </w:pPr>
    <w:r>
      <w:pict>
        <v:rect id="_x0000_i1062" style="width:480.95pt;height:1pt" o:hralign="center" o:hrstd="t" o:hrnoshade="t" o:hr="t" fillcolor="black [3213]" stroked="f"/>
      </w:pict>
    </w:r>
  </w:p>
  <w:p w:rsidR="0069725A" w:rsidRPr="0031432F" w:rsidRDefault="0069725A" w:rsidP="00EB2B90">
    <w:pPr>
      <w:tabs>
        <w:tab w:val="center" w:pos="4680"/>
      </w:tabs>
    </w:pPr>
    <w:r>
      <w:tab/>
      <w:t xml:space="preserve">- </w:t>
    </w:r>
    <w:r>
      <w:fldChar w:fldCharType="begin"/>
    </w:r>
    <w:r>
      <w:instrText xml:space="preserve"> PAGE   \* MERGEFORMAT </w:instrText>
    </w:r>
    <w:r>
      <w:fldChar w:fldCharType="separate"/>
    </w:r>
    <w:r w:rsidR="00167F64">
      <w:rPr>
        <w:noProof/>
      </w:rPr>
      <w:t>172</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5A" w:rsidRDefault="006972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9725A" w:rsidRDefault="006972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9725A" w:rsidRDefault="0069725A">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5A" w:rsidRDefault="00167F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4" style="width:480.95pt;height:1pt" o:hralign="center" o:hrstd="t" o:hrnoshade="t" o:hr="t" fillcolor="black [3213]" stroked="f"/>
      </w:pict>
    </w:r>
  </w:p>
  <w:p w:rsidR="0069725A" w:rsidRDefault="0069725A"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5A" w:rsidRDefault="00167F64">
    <w:pPr>
      <w:pStyle w:val="Footer"/>
      <w:rPr>
        <w:lang w:val="fr-CA"/>
      </w:rPr>
    </w:pPr>
    <w:r>
      <w:rPr>
        <w:lang w:val="fr-CA"/>
      </w:rPr>
      <w:pict>
        <v:rect id="_x0000_i1065" style="width:480.95pt;height:1pt" o:hralign="center" o:hrstd="t" o:hrnoshade="t" o:hr="t" fillcolor="black [3213]" stroked="f"/>
      </w:pict>
    </w:r>
  </w:p>
  <w:p w:rsidR="0069725A" w:rsidRDefault="0069725A" w:rsidP="00EB2B90">
    <w:pPr>
      <w:tabs>
        <w:tab w:val="center" w:pos="4680"/>
      </w:tabs>
    </w:pPr>
    <w:r>
      <w:tab/>
      <w:t xml:space="preserve">- </w:t>
    </w:r>
    <w:r>
      <w:fldChar w:fldCharType="begin"/>
    </w:r>
    <w:r>
      <w:instrText xml:space="preserve"> PAGE   \* MERGEFORMAT </w:instrText>
    </w:r>
    <w:r>
      <w:fldChar w:fldCharType="separate"/>
    </w:r>
    <w:r w:rsidR="00167F64">
      <w:rPr>
        <w:noProof/>
      </w:rPr>
      <w:t>174</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5A" w:rsidRDefault="006972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9725A" w:rsidRDefault="006972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9725A" w:rsidRDefault="0069725A">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5A" w:rsidRDefault="00167F64" w:rsidP="00732DB7">
    <w:r>
      <w:pict>
        <v:rect id="_x0000_i1071" style="width:480.95pt;height:1pt" o:hralign="center" o:hrstd="t" o:hrnoshade="t" o:hr="t" fillcolor="black" stroked="f"/>
      </w:pict>
    </w:r>
  </w:p>
  <w:p w:rsidR="0069725A" w:rsidRDefault="0069725A">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5A" w:rsidRDefault="00167F64">
    <w:pPr>
      <w:pStyle w:val="Footer"/>
    </w:pPr>
    <w:r>
      <w:pict>
        <v:rect id="_x0000_i1072" style="width:480.95pt;height:1pt" o:hralign="center" o:hrstd="t" o:hrnoshade="t" o:hr="t" fillcolor="black" stroked="f"/>
      </w:pict>
    </w:r>
  </w:p>
  <w:p w:rsidR="0069725A" w:rsidRPr="00283C52" w:rsidRDefault="0069725A">
    <w:pPr>
      <w:pStyle w:val="Footer"/>
    </w:pPr>
    <w:r>
      <w:tab/>
    </w:r>
    <w:r w:rsidRPr="00283C52">
      <w:t xml:space="preserve">- </w:t>
    </w:r>
    <w:r w:rsidRPr="00283C52">
      <w:pgNum/>
    </w:r>
    <w:r w:rsidRPr="00283C52">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5A" w:rsidRDefault="006972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9725A" w:rsidRDefault="006972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9725A" w:rsidRDefault="0069725A">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5A" w:rsidRDefault="00167F64" w:rsidP="00732DB7">
    <w:r>
      <w:pict>
        <v:rect id="_x0000_i1074" style="width:480.95pt;height:1pt" o:hralign="center" o:hrstd="t" o:hrnoshade="t" o:hr="t" fillcolor="black" stroked="f"/>
      </w:pict>
    </w:r>
  </w:p>
  <w:p w:rsidR="0069725A" w:rsidRDefault="0069725A">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5A" w:rsidRDefault="00167F64">
    <w:pPr>
      <w:pStyle w:val="Footer"/>
    </w:pPr>
    <w:r>
      <w:pict>
        <v:rect id="_x0000_i1075" style="width:480.95pt;height:1pt" o:hralign="center" o:hrstd="t" o:hrnoshade="t" o:hr="t" fillcolor="black [3213]" stroked="f"/>
      </w:pict>
    </w:r>
  </w:p>
  <w:p w:rsidR="0069725A" w:rsidRPr="003C2C0F" w:rsidRDefault="0069725A" w:rsidP="00697C62">
    <w:pPr>
      <w:tabs>
        <w:tab w:val="center" w:pos="4680"/>
      </w:tabs>
    </w:pPr>
    <w:r>
      <w:tab/>
      <w:t xml:space="preserve">- </w:t>
    </w:r>
    <w:r>
      <w:fldChar w:fldCharType="begin"/>
    </w:r>
    <w:r>
      <w:instrText xml:space="preserve"> PAGE   \* MERGEFORMAT </w:instrText>
    </w:r>
    <w:r>
      <w:fldChar w:fldCharType="separate"/>
    </w:r>
    <w:r w:rsidR="00167F64">
      <w:rPr>
        <w:noProof/>
      </w:rPr>
      <w:t>180</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5A" w:rsidRDefault="00167F64" w:rsidP="00755F22">
    <w:pPr>
      <w:tabs>
        <w:tab w:val="left" w:pos="-1440"/>
        <w:tab w:val="left" w:pos="-720"/>
      </w:tabs>
    </w:pPr>
    <w:r>
      <w:pict>
        <v:rect id="_x0000_i1031" style="width:480.95pt;height:1pt" o:hralign="center" o:hrstd="t" o:hrnoshade="t" o:hr="t" fillcolor="black [3213]" stroked="f"/>
      </w:pict>
    </w:r>
  </w:p>
  <w:p w:rsidR="0069725A" w:rsidRPr="00954D22" w:rsidRDefault="0069725A"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167F64">
      <w:rPr>
        <w:noProof/>
        <w:szCs w:val="24"/>
      </w:rPr>
      <w:t>148</w:t>
    </w:r>
    <w:r>
      <w:rPr>
        <w:szCs w:val="24"/>
      </w:rPr>
      <w:fldChar w:fldCharType="end"/>
    </w:r>
    <w:r w:rsidRPr="00954D22">
      <w:rPr>
        <w:szCs w:val="24"/>
      </w:rPr>
      <w:t xml:space="preserve"> -</w:t>
    </w:r>
  </w:p>
  <w:p w:rsidR="0069725A" w:rsidRDefault="0069725A">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591576"/>
      <w:docPartObj>
        <w:docPartGallery w:val="Page Numbers (Bottom of Page)"/>
        <w:docPartUnique/>
      </w:docPartObj>
    </w:sdtPr>
    <w:sdtEndPr>
      <w:rPr>
        <w:noProof/>
      </w:rPr>
    </w:sdtEndPr>
    <w:sdtContent>
      <w:p w:rsidR="00356976" w:rsidRDefault="00167F64">
        <w:pPr>
          <w:pStyle w:val="Footer"/>
          <w:jc w:val="center"/>
        </w:pPr>
        <w:r>
          <w:pict>
            <v:rect id="_x0000_i1079" style="width:480.95pt;height:1pt" o:hralign="center" o:hrstd="t" o:hrnoshade="t" o:hr="t" fillcolor="black [3213]" stroked="f"/>
          </w:pict>
        </w:r>
        <w:r w:rsidR="00356976">
          <w:t xml:space="preserve">- </w:t>
        </w:r>
        <w:r w:rsidR="00356976">
          <w:fldChar w:fldCharType="begin"/>
        </w:r>
        <w:r w:rsidR="00356976">
          <w:instrText xml:space="preserve"> PAGE   \* MERGEFORMAT </w:instrText>
        </w:r>
        <w:r w:rsidR="00356976">
          <w:fldChar w:fldCharType="separate"/>
        </w:r>
        <w:r>
          <w:rPr>
            <w:noProof/>
          </w:rPr>
          <w:t>183</w:t>
        </w:r>
        <w:r w:rsidR="00356976">
          <w:rPr>
            <w:noProof/>
          </w:rPr>
          <w:fldChar w:fldCharType="end"/>
        </w:r>
        <w:r w:rsidR="00356976">
          <w:rPr>
            <w:noProof/>
          </w:rPr>
          <w:t xml:space="preserve"> -</w:t>
        </w:r>
      </w:p>
    </w:sdtContent>
  </w:sdt>
  <w:p w:rsidR="0069725A" w:rsidRPr="00924065" w:rsidRDefault="0069725A"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5A" w:rsidRDefault="00167F64" w:rsidP="00A87207">
    <w:pPr>
      <w:pStyle w:val="Footer"/>
    </w:pPr>
    <w:r>
      <w:pict>
        <v:rect id="_x0000_i1033" style="width:480.95pt;height:1pt" o:hralign="center" o:hrstd="t" o:hrnoshade="t" o:hr="t" fillcolor="black [3213]" stroked="f"/>
      </w:pict>
    </w:r>
  </w:p>
  <w:p w:rsidR="0069725A" w:rsidRPr="00B7374B" w:rsidRDefault="0069725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5A" w:rsidRDefault="00167F64"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4" style="width:480.95pt;height:1pt" o:hralign="center" o:hrstd="t" o:hrnoshade="t" o:hr="t" fillcolor="black [3213]" stroked="f"/>
      </w:pict>
    </w:r>
  </w:p>
  <w:p w:rsidR="0069725A" w:rsidRPr="00954D22" w:rsidRDefault="0069725A"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167F64">
      <w:rPr>
        <w:noProof/>
        <w:szCs w:val="24"/>
      </w:rPr>
      <w:t>149</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5A" w:rsidRDefault="006972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69725A" w:rsidRDefault="006972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9725A" w:rsidRDefault="0069725A">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5A" w:rsidRDefault="00167F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7" style="width:480.95pt;height:1pt" o:hralign="center" o:hrstd="t" o:hrnoshade="t" o:hr="t" fillcolor="black [3213]" stroked="f"/>
      </w:pict>
    </w:r>
  </w:p>
  <w:p w:rsidR="0069725A" w:rsidRPr="0009648D" w:rsidRDefault="0069725A" w:rsidP="00ED7E83">
    <w:pPr>
      <w:tabs>
        <w:tab w:val="center" w:pos="4680"/>
      </w:tabs>
    </w:pPr>
    <w:r>
      <w:tab/>
    </w:r>
    <w:r w:rsidRPr="0009648D">
      <w:t xml:space="preserve">- </w:t>
    </w:r>
    <w:r>
      <w:fldChar w:fldCharType="begin"/>
    </w:r>
    <w:r>
      <w:instrText xml:space="preserve"> PAGE   \* MERGEFORMAT </w:instrText>
    </w:r>
    <w:r>
      <w:fldChar w:fldCharType="separate"/>
    </w:r>
    <w:r w:rsidR="00167F64">
      <w:rPr>
        <w:noProof/>
      </w:rPr>
      <w:t>166</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5A" w:rsidRDefault="00167F64">
    <w:pPr>
      <w:pStyle w:val="Footer"/>
      <w:rPr>
        <w:lang w:val="fr-CA"/>
      </w:rPr>
    </w:pPr>
    <w:r>
      <w:rPr>
        <w:lang w:val="fr-CA"/>
      </w:rPr>
      <w:pict>
        <v:rect id="_x0000_i1058" style="width:480.95pt;height:1pt" o:hralign="center" o:hrstd="t" o:hrnoshade="t" o:hr="t" fillcolor="black [3213]" stroked="f"/>
      </w:pict>
    </w:r>
  </w:p>
  <w:p w:rsidR="0069725A" w:rsidRDefault="0069725A" w:rsidP="00245129">
    <w:pPr>
      <w:tabs>
        <w:tab w:val="center" w:pos="4680"/>
      </w:tabs>
    </w:pPr>
    <w:r>
      <w:tab/>
    </w:r>
    <w:r w:rsidRPr="0009648D">
      <w:t xml:space="preserve">- </w:t>
    </w:r>
    <w:r>
      <w:fldChar w:fldCharType="begin"/>
    </w:r>
    <w:r>
      <w:instrText xml:space="preserve"> PAGE   \* MERGEFORMAT </w:instrText>
    </w:r>
    <w:r>
      <w:fldChar w:fldCharType="separate"/>
    </w:r>
    <w:r w:rsidR="00167F64">
      <w:rPr>
        <w:noProof/>
      </w:rPr>
      <w:t>150</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5A" w:rsidRDefault="006972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9725A" w:rsidRDefault="006972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9725A" w:rsidRDefault="0069725A">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5A" w:rsidRDefault="00167F64" w:rsidP="00755F22">
    <w:pPr>
      <w:tabs>
        <w:tab w:val="left" w:pos="-1440"/>
        <w:tab w:val="left" w:pos="-720"/>
      </w:tabs>
    </w:pPr>
    <w:r>
      <w:pict>
        <v:rect id="_x0000_i1061" style="width:480.95pt;height:1pt" o:hralign="center" o:hrstd="t" o:hrnoshade="t" o:hr="t" fillcolor="black [3213]" stroked="f"/>
      </w:pict>
    </w:r>
  </w:p>
  <w:p w:rsidR="0069725A" w:rsidRDefault="0069725A" w:rsidP="00EB2B90">
    <w:pPr>
      <w:tabs>
        <w:tab w:val="center" w:pos="4680"/>
      </w:tabs>
    </w:pPr>
    <w:r>
      <w:tab/>
      <w:t xml:space="preserve">- </w:t>
    </w:r>
    <w:r>
      <w:fldChar w:fldCharType="begin"/>
    </w:r>
    <w:r>
      <w:instrText xml:space="preserve"> PAGE   \* MERGEFORMAT </w:instrText>
    </w:r>
    <w:r>
      <w:fldChar w:fldCharType="separate"/>
    </w:r>
    <w:r w:rsidR="00167F64">
      <w:rPr>
        <w:noProof/>
      </w:rPr>
      <w:t>173</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25A" w:rsidRDefault="0069725A" w:rsidP="00A87207">
      <w:r>
        <w:separator/>
      </w:r>
    </w:p>
  </w:footnote>
  <w:footnote w:type="continuationSeparator" w:id="0">
    <w:p w:rsidR="0069725A" w:rsidRDefault="0069725A"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69725A" w:rsidRPr="0044776A" w:rsidTr="00245129">
      <w:tc>
        <w:tcPr>
          <w:tcW w:w="4290" w:type="dxa"/>
          <w:tcMar>
            <w:left w:w="0" w:type="dxa"/>
            <w:right w:w="0" w:type="dxa"/>
          </w:tcMar>
        </w:tcPr>
        <w:p w:rsidR="0069725A" w:rsidRPr="0044776A" w:rsidRDefault="0069725A"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69725A" w:rsidRPr="0044776A" w:rsidRDefault="0069725A" w:rsidP="002E2327">
          <w:pPr>
            <w:keepNext/>
            <w:keepLines/>
            <w:tabs>
              <w:tab w:val="left" w:pos="-1440"/>
              <w:tab w:val="left" w:pos="-720"/>
            </w:tabs>
            <w:jc w:val="center"/>
            <w:rPr>
              <w:sz w:val="20"/>
              <w:szCs w:val="20"/>
            </w:rPr>
          </w:pPr>
        </w:p>
        <w:p w:rsidR="0069725A" w:rsidRPr="0044776A" w:rsidRDefault="0069725A" w:rsidP="002E2327">
          <w:pPr>
            <w:keepNext/>
            <w:keepLines/>
            <w:tabs>
              <w:tab w:val="left" w:pos="-1440"/>
              <w:tab w:val="left" w:pos="-720"/>
            </w:tabs>
            <w:jc w:val="center"/>
            <w:rPr>
              <w:sz w:val="20"/>
              <w:szCs w:val="20"/>
            </w:rPr>
          </w:pPr>
        </w:p>
        <w:p w:rsidR="0069725A" w:rsidRPr="0044776A" w:rsidRDefault="0069725A" w:rsidP="002E2327">
          <w:pPr>
            <w:keepNext/>
            <w:keepLines/>
            <w:tabs>
              <w:tab w:val="left" w:pos="-1440"/>
              <w:tab w:val="left" w:pos="-720"/>
            </w:tabs>
            <w:jc w:val="center"/>
            <w:rPr>
              <w:sz w:val="20"/>
              <w:szCs w:val="20"/>
            </w:rPr>
          </w:pPr>
        </w:p>
      </w:tc>
      <w:tc>
        <w:tcPr>
          <w:tcW w:w="4320" w:type="dxa"/>
          <w:tcMar>
            <w:left w:w="0" w:type="dxa"/>
            <w:right w:w="0" w:type="dxa"/>
          </w:tcMar>
        </w:tcPr>
        <w:p w:rsidR="0069725A" w:rsidRPr="0044776A" w:rsidRDefault="0069725A" w:rsidP="002E2327">
          <w:pPr>
            <w:keepLines/>
            <w:rPr>
              <w:sz w:val="20"/>
              <w:szCs w:val="20"/>
              <w:lang w:val="fr-CA"/>
            </w:rPr>
          </w:pPr>
          <w:r w:rsidRPr="0044776A">
            <w:rPr>
              <w:sz w:val="20"/>
              <w:szCs w:val="20"/>
              <w:lang w:val="fr-CA"/>
            </w:rPr>
            <w:t>DEMANDES D'AUTORISATION D'APPEL DÉPOSÉES</w:t>
          </w:r>
        </w:p>
      </w:tc>
    </w:tr>
  </w:tbl>
  <w:p w:rsidR="0069725A" w:rsidRDefault="0069725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5A" w:rsidRDefault="0069725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9725A" w:rsidRPr="00B4434E">
      <w:tc>
        <w:tcPr>
          <w:tcW w:w="4200" w:type="dxa"/>
          <w:tcMar>
            <w:left w:w="0" w:type="dxa"/>
            <w:right w:w="0" w:type="dxa"/>
          </w:tcMar>
        </w:tcPr>
        <w:p w:rsidR="0069725A" w:rsidRDefault="0069725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69725A" w:rsidRDefault="0069725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9725A" w:rsidRPr="00B01A03" w:rsidRDefault="0069725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69725A" w:rsidRPr="00B01A03" w:rsidRDefault="006972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9725A" w:rsidRPr="00B01A03" w:rsidRDefault="006972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69725A" w:rsidRPr="00B4434E" w:rsidTr="00245129">
      <w:tc>
        <w:tcPr>
          <w:tcW w:w="4200" w:type="dxa"/>
          <w:tcMar>
            <w:left w:w="0" w:type="dxa"/>
            <w:right w:w="0" w:type="dxa"/>
          </w:tcMar>
        </w:tcPr>
        <w:p w:rsidR="0069725A" w:rsidRPr="00F40249" w:rsidRDefault="0069725A"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69725A" w:rsidRDefault="0069725A" w:rsidP="00102926">
          <w:pPr>
            <w:keepNext/>
            <w:keepLines/>
            <w:tabs>
              <w:tab w:val="left" w:pos="-1440"/>
              <w:tab w:val="left" w:pos="-720"/>
            </w:tabs>
            <w:jc w:val="center"/>
            <w:rPr>
              <w:sz w:val="20"/>
              <w:szCs w:val="20"/>
            </w:rPr>
          </w:pPr>
        </w:p>
        <w:p w:rsidR="0069725A" w:rsidRDefault="0069725A" w:rsidP="00102926">
          <w:pPr>
            <w:keepNext/>
            <w:keepLines/>
            <w:tabs>
              <w:tab w:val="left" w:pos="-1440"/>
              <w:tab w:val="left" w:pos="-720"/>
            </w:tabs>
            <w:jc w:val="center"/>
            <w:rPr>
              <w:sz w:val="20"/>
              <w:szCs w:val="20"/>
            </w:rPr>
          </w:pPr>
        </w:p>
        <w:p w:rsidR="0069725A" w:rsidRPr="00F40249" w:rsidRDefault="0069725A" w:rsidP="00102926">
          <w:pPr>
            <w:keepNext/>
            <w:keepLines/>
            <w:tabs>
              <w:tab w:val="left" w:pos="-1440"/>
              <w:tab w:val="left" w:pos="-720"/>
            </w:tabs>
            <w:jc w:val="center"/>
            <w:rPr>
              <w:sz w:val="20"/>
              <w:szCs w:val="20"/>
            </w:rPr>
          </w:pPr>
        </w:p>
      </w:tc>
      <w:tc>
        <w:tcPr>
          <w:tcW w:w="4230" w:type="dxa"/>
          <w:tcMar>
            <w:left w:w="0" w:type="dxa"/>
            <w:right w:w="0" w:type="dxa"/>
          </w:tcMar>
        </w:tcPr>
        <w:p w:rsidR="0069725A" w:rsidRPr="00F40249" w:rsidRDefault="0069725A"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69725A" w:rsidRPr="00B01A03" w:rsidRDefault="0069725A"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5A" w:rsidRDefault="0069725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9725A" w:rsidRPr="00B4434E">
      <w:tc>
        <w:tcPr>
          <w:tcW w:w="4200" w:type="dxa"/>
          <w:tcMar>
            <w:left w:w="0" w:type="dxa"/>
            <w:right w:w="0" w:type="dxa"/>
          </w:tcMar>
        </w:tcPr>
        <w:p w:rsidR="0069725A" w:rsidRDefault="0069725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69725A" w:rsidRDefault="0069725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9725A" w:rsidRPr="00283C52" w:rsidRDefault="0069725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69725A" w:rsidRPr="00283C52" w:rsidRDefault="006972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9725A" w:rsidRPr="00283C52" w:rsidRDefault="006972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9725A" w:rsidRPr="00B4434E" w:rsidTr="00245129">
      <w:tc>
        <w:tcPr>
          <w:tcW w:w="4200" w:type="dxa"/>
          <w:tcMar>
            <w:left w:w="0" w:type="dxa"/>
            <w:right w:w="0" w:type="dxa"/>
          </w:tcMar>
        </w:tcPr>
        <w:p w:rsidR="0069725A" w:rsidRPr="00732DB7" w:rsidRDefault="0069725A"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69725A" w:rsidRPr="00732DB7" w:rsidRDefault="0069725A" w:rsidP="00732DB7">
          <w:pPr>
            <w:keepNext/>
            <w:keepLines/>
            <w:tabs>
              <w:tab w:val="left" w:pos="-1440"/>
              <w:tab w:val="left" w:pos="-720"/>
            </w:tabs>
            <w:jc w:val="center"/>
            <w:rPr>
              <w:sz w:val="20"/>
              <w:szCs w:val="20"/>
            </w:rPr>
          </w:pPr>
        </w:p>
        <w:p w:rsidR="0069725A" w:rsidRPr="00732DB7" w:rsidRDefault="0069725A" w:rsidP="00732DB7">
          <w:pPr>
            <w:keepNext/>
            <w:keepLines/>
            <w:tabs>
              <w:tab w:val="left" w:pos="-1440"/>
              <w:tab w:val="left" w:pos="-720"/>
            </w:tabs>
            <w:jc w:val="center"/>
            <w:rPr>
              <w:sz w:val="20"/>
              <w:szCs w:val="20"/>
            </w:rPr>
          </w:pPr>
        </w:p>
        <w:p w:rsidR="0069725A" w:rsidRPr="00732DB7" w:rsidRDefault="0069725A" w:rsidP="00732DB7">
          <w:pPr>
            <w:keepNext/>
            <w:keepLines/>
            <w:tabs>
              <w:tab w:val="left" w:pos="-1440"/>
              <w:tab w:val="left" w:pos="-720"/>
            </w:tabs>
            <w:jc w:val="center"/>
            <w:rPr>
              <w:sz w:val="20"/>
              <w:szCs w:val="20"/>
            </w:rPr>
          </w:pPr>
        </w:p>
      </w:tc>
      <w:tc>
        <w:tcPr>
          <w:tcW w:w="4080" w:type="dxa"/>
          <w:tcMar>
            <w:left w:w="0" w:type="dxa"/>
            <w:right w:w="0" w:type="dxa"/>
          </w:tcMar>
        </w:tcPr>
        <w:p w:rsidR="0069725A" w:rsidRPr="00732DB7" w:rsidRDefault="0069725A"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69725A" w:rsidRPr="00283C52" w:rsidRDefault="0069725A"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5A" w:rsidRDefault="0069725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9725A" w:rsidRPr="00B4434E">
      <w:tc>
        <w:tcPr>
          <w:tcW w:w="4200" w:type="dxa"/>
          <w:tcMar>
            <w:left w:w="0" w:type="dxa"/>
            <w:right w:w="0" w:type="dxa"/>
          </w:tcMar>
        </w:tcPr>
        <w:p w:rsidR="0069725A" w:rsidRDefault="0069725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69725A" w:rsidRDefault="0069725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69725A" w:rsidRDefault="0069725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69725A" w:rsidRPr="003C2C0F" w:rsidRDefault="0069725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69725A" w:rsidRPr="003C2C0F" w:rsidRDefault="006972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69725A" w:rsidRPr="003C2C0F" w:rsidRDefault="006972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9725A" w:rsidRPr="00B4434E" w:rsidTr="00245129">
      <w:tc>
        <w:tcPr>
          <w:tcW w:w="4200" w:type="dxa"/>
          <w:tcMar>
            <w:left w:w="0" w:type="dxa"/>
            <w:right w:w="0" w:type="dxa"/>
          </w:tcMar>
        </w:tcPr>
        <w:p w:rsidR="0069725A" w:rsidRPr="00FF6EEC" w:rsidRDefault="0069725A" w:rsidP="00FF6EEC">
          <w:pPr>
            <w:rPr>
              <w:sz w:val="20"/>
              <w:szCs w:val="20"/>
            </w:rPr>
          </w:pPr>
          <w:r w:rsidRPr="00FF6EEC">
            <w:rPr>
              <w:sz w:val="20"/>
              <w:szCs w:val="20"/>
            </w:rPr>
            <w:t>PRONOUNCEMENTS OF APPEALS RESERVED</w:t>
          </w:r>
        </w:p>
      </w:tc>
      <w:tc>
        <w:tcPr>
          <w:tcW w:w="1200" w:type="dxa"/>
          <w:tcMar>
            <w:left w:w="0" w:type="dxa"/>
            <w:right w:w="0" w:type="dxa"/>
          </w:tcMar>
        </w:tcPr>
        <w:p w:rsidR="0069725A" w:rsidRPr="00FF6EEC" w:rsidRDefault="0069725A" w:rsidP="00FF6EEC">
          <w:pPr>
            <w:jc w:val="center"/>
            <w:rPr>
              <w:sz w:val="20"/>
              <w:szCs w:val="20"/>
            </w:rPr>
          </w:pPr>
        </w:p>
        <w:p w:rsidR="0069725A" w:rsidRPr="00FF6EEC" w:rsidRDefault="0069725A" w:rsidP="00FF6EEC">
          <w:pPr>
            <w:jc w:val="center"/>
            <w:rPr>
              <w:sz w:val="20"/>
              <w:szCs w:val="20"/>
            </w:rPr>
          </w:pPr>
        </w:p>
        <w:p w:rsidR="0069725A" w:rsidRPr="00FF6EEC" w:rsidRDefault="0069725A" w:rsidP="00FF6EEC">
          <w:pPr>
            <w:jc w:val="center"/>
            <w:rPr>
              <w:sz w:val="20"/>
              <w:szCs w:val="20"/>
            </w:rPr>
          </w:pPr>
        </w:p>
      </w:tc>
      <w:tc>
        <w:tcPr>
          <w:tcW w:w="4080" w:type="dxa"/>
          <w:tcMar>
            <w:left w:w="0" w:type="dxa"/>
            <w:right w:w="0" w:type="dxa"/>
          </w:tcMar>
        </w:tcPr>
        <w:p w:rsidR="0069725A" w:rsidRPr="00FF6EEC" w:rsidRDefault="0069725A" w:rsidP="00FF6EEC">
          <w:pPr>
            <w:rPr>
              <w:sz w:val="20"/>
              <w:szCs w:val="20"/>
              <w:lang w:val="fr-CA"/>
            </w:rPr>
          </w:pPr>
          <w:r w:rsidRPr="00FF6EEC">
            <w:rPr>
              <w:sz w:val="20"/>
              <w:szCs w:val="20"/>
              <w:lang w:val="fr-CA"/>
            </w:rPr>
            <w:t>JUGEMENTS RENDUS SUR LES APPELS EN DÉLIBÉRÉ</w:t>
          </w:r>
        </w:p>
      </w:tc>
    </w:tr>
  </w:tbl>
  <w:p w:rsidR="0069725A" w:rsidRPr="003C2C0F" w:rsidRDefault="0069725A"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5A" w:rsidRDefault="006972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5A" w:rsidRDefault="0069725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5A" w:rsidRDefault="00697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9725A" w:rsidRPr="00B4434E" w:rsidTr="00245129">
      <w:tc>
        <w:tcPr>
          <w:tcW w:w="4200" w:type="dxa"/>
          <w:tcMar>
            <w:left w:w="0" w:type="dxa"/>
            <w:right w:w="0" w:type="dxa"/>
          </w:tcMar>
        </w:tcPr>
        <w:p w:rsidR="0069725A" w:rsidRPr="0044776A" w:rsidRDefault="0069725A" w:rsidP="0044776A">
          <w:pPr>
            <w:keepNext/>
            <w:keepLines/>
            <w:widowControl w:val="0"/>
            <w:rPr>
              <w:sz w:val="20"/>
              <w:szCs w:val="20"/>
            </w:rPr>
          </w:pPr>
          <w:r>
            <w:rPr>
              <w:sz w:val="20"/>
              <w:szCs w:val="20"/>
            </w:rPr>
            <w:t>APPLICATIONS FOR LEAVE</w:t>
          </w:r>
        </w:p>
        <w:p w:rsidR="0069725A" w:rsidRPr="0044776A" w:rsidRDefault="0069725A"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69725A" w:rsidRPr="0044776A" w:rsidRDefault="0069725A" w:rsidP="0044776A">
          <w:pPr>
            <w:keepNext/>
            <w:keepLines/>
            <w:widowControl w:val="0"/>
            <w:jc w:val="center"/>
            <w:rPr>
              <w:sz w:val="20"/>
              <w:szCs w:val="20"/>
            </w:rPr>
          </w:pPr>
        </w:p>
        <w:p w:rsidR="0069725A" w:rsidRPr="0044776A" w:rsidRDefault="0069725A" w:rsidP="0044776A">
          <w:pPr>
            <w:keepNext/>
            <w:keepLines/>
            <w:widowControl w:val="0"/>
            <w:jc w:val="center"/>
            <w:rPr>
              <w:sz w:val="20"/>
              <w:szCs w:val="20"/>
            </w:rPr>
          </w:pPr>
        </w:p>
        <w:p w:rsidR="0069725A" w:rsidRPr="0044776A" w:rsidRDefault="0069725A" w:rsidP="0044776A">
          <w:pPr>
            <w:keepNext/>
            <w:keepLines/>
            <w:widowControl w:val="0"/>
            <w:jc w:val="center"/>
            <w:rPr>
              <w:sz w:val="20"/>
              <w:szCs w:val="20"/>
            </w:rPr>
          </w:pPr>
        </w:p>
      </w:tc>
      <w:tc>
        <w:tcPr>
          <w:tcW w:w="4080" w:type="dxa"/>
          <w:tcMar>
            <w:left w:w="0" w:type="dxa"/>
            <w:right w:w="0" w:type="dxa"/>
          </w:tcMar>
        </w:tcPr>
        <w:p w:rsidR="0069725A" w:rsidRPr="0044776A" w:rsidRDefault="0069725A" w:rsidP="0044776A">
          <w:pPr>
            <w:keepLines/>
            <w:widowControl w:val="0"/>
            <w:rPr>
              <w:sz w:val="20"/>
              <w:szCs w:val="20"/>
              <w:lang w:val="fr-CA"/>
            </w:rPr>
          </w:pPr>
          <w:r w:rsidRPr="0044776A">
            <w:rPr>
              <w:sz w:val="20"/>
              <w:szCs w:val="20"/>
              <w:lang w:val="fr-CA"/>
            </w:rPr>
            <w:t>DEMANDES SOUMISES À LA COUR DEPUIS LA DERNIÈRE PARUTION</w:t>
          </w:r>
        </w:p>
        <w:p w:rsidR="0069725A" w:rsidRPr="0044776A" w:rsidRDefault="0069725A" w:rsidP="0044776A">
          <w:pPr>
            <w:widowControl w:val="0"/>
            <w:rPr>
              <w:sz w:val="20"/>
              <w:szCs w:val="20"/>
              <w:lang w:val="fr-CA"/>
            </w:rPr>
          </w:pPr>
        </w:p>
      </w:tc>
    </w:tr>
  </w:tbl>
  <w:p w:rsidR="0069725A" w:rsidRPr="002E2327" w:rsidRDefault="0069725A">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5A" w:rsidRDefault="0069725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9725A" w:rsidRPr="00B4434E">
      <w:tc>
        <w:tcPr>
          <w:tcW w:w="4200" w:type="dxa"/>
          <w:tcMar>
            <w:left w:w="0" w:type="dxa"/>
            <w:right w:w="0" w:type="dxa"/>
          </w:tcMar>
        </w:tcPr>
        <w:p w:rsidR="0069725A" w:rsidRDefault="0069725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69725A" w:rsidRDefault="0069725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69725A" w:rsidRDefault="0069725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9725A" w:rsidRPr="00FF6BA5" w:rsidRDefault="0069725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69725A" w:rsidRPr="00FF6BA5" w:rsidRDefault="006972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69725A" w:rsidRPr="00FF6BA5" w:rsidRDefault="006972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69725A" w:rsidRPr="00FF6BA5" w:rsidRDefault="006972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9725A" w:rsidRPr="00B4434E" w:rsidTr="00245129">
      <w:tc>
        <w:tcPr>
          <w:tcW w:w="4200" w:type="dxa"/>
          <w:tcMar>
            <w:left w:w="0" w:type="dxa"/>
            <w:right w:w="0" w:type="dxa"/>
          </w:tcMar>
        </w:tcPr>
        <w:p w:rsidR="0069725A" w:rsidRPr="00755F22" w:rsidRDefault="0069725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69725A" w:rsidRPr="00755F22" w:rsidRDefault="0069725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69725A" w:rsidRPr="00755F22" w:rsidRDefault="0069725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9725A" w:rsidRPr="00755F22" w:rsidRDefault="0069725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9725A" w:rsidRPr="00755F22" w:rsidRDefault="0069725A"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69725A" w:rsidRPr="00755F22" w:rsidRDefault="0069725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69725A" w:rsidRPr="00FF6BA5" w:rsidRDefault="0069725A"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25A" w:rsidRDefault="0069725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9725A">
      <w:tc>
        <w:tcPr>
          <w:tcW w:w="4230" w:type="dxa"/>
          <w:tcMar>
            <w:left w:w="0" w:type="dxa"/>
            <w:right w:w="0" w:type="dxa"/>
          </w:tcMar>
        </w:tcPr>
        <w:p w:rsidR="0069725A" w:rsidRDefault="0069725A">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69725A" w:rsidRDefault="0069725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9725A" w:rsidRDefault="0069725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69725A">
      <w:trPr>
        <w:gridAfter w:val="2"/>
        <w:wAfter w:w="5250" w:type="dxa"/>
      </w:trPr>
      <w:tc>
        <w:tcPr>
          <w:tcW w:w="4230" w:type="dxa"/>
          <w:tcMar>
            <w:left w:w="0" w:type="dxa"/>
            <w:right w:w="0" w:type="dxa"/>
          </w:tcMar>
        </w:tcPr>
        <w:p w:rsidR="0069725A" w:rsidRDefault="006972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9725A" w:rsidRDefault="006972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9725A" w:rsidRPr="00755F22" w:rsidTr="00245129">
      <w:tc>
        <w:tcPr>
          <w:tcW w:w="4230" w:type="dxa"/>
          <w:tcMar>
            <w:left w:w="0" w:type="dxa"/>
            <w:right w:w="0" w:type="dxa"/>
          </w:tcMar>
        </w:tcPr>
        <w:p w:rsidR="0069725A" w:rsidRPr="00755F22" w:rsidRDefault="0069725A" w:rsidP="00831CA9">
          <w:pPr>
            <w:keepNext/>
            <w:keepLines/>
            <w:rPr>
              <w:sz w:val="20"/>
              <w:szCs w:val="20"/>
            </w:rPr>
          </w:pPr>
          <w:r w:rsidRPr="00755F22">
            <w:rPr>
              <w:sz w:val="20"/>
              <w:szCs w:val="20"/>
            </w:rPr>
            <w:t>MOTIONS</w:t>
          </w:r>
        </w:p>
      </w:tc>
      <w:tc>
        <w:tcPr>
          <w:tcW w:w="1170" w:type="dxa"/>
          <w:tcMar>
            <w:left w:w="0" w:type="dxa"/>
            <w:right w:w="0" w:type="dxa"/>
          </w:tcMar>
        </w:tcPr>
        <w:p w:rsidR="0069725A" w:rsidRPr="00755F22" w:rsidRDefault="0069725A" w:rsidP="00831CA9">
          <w:pPr>
            <w:keepLines/>
            <w:jc w:val="center"/>
            <w:rPr>
              <w:sz w:val="20"/>
              <w:szCs w:val="20"/>
            </w:rPr>
          </w:pPr>
        </w:p>
        <w:p w:rsidR="0069725A" w:rsidRPr="00755F22" w:rsidRDefault="0069725A" w:rsidP="00831CA9">
          <w:pPr>
            <w:keepLines/>
            <w:tabs>
              <w:tab w:val="left" w:pos="-1440"/>
              <w:tab w:val="left" w:pos="-720"/>
            </w:tabs>
            <w:jc w:val="center"/>
            <w:rPr>
              <w:sz w:val="20"/>
              <w:szCs w:val="20"/>
            </w:rPr>
          </w:pPr>
        </w:p>
      </w:tc>
      <w:tc>
        <w:tcPr>
          <w:tcW w:w="4080" w:type="dxa"/>
          <w:tcMar>
            <w:left w:w="0" w:type="dxa"/>
            <w:right w:w="0" w:type="dxa"/>
          </w:tcMar>
        </w:tcPr>
        <w:p w:rsidR="0069725A" w:rsidRPr="00BA6468" w:rsidRDefault="0069725A" w:rsidP="00BA6468">
          <w:pPr>
            <w:keepLines/>
            <w:rPr>
              <w:sz w:val="20"/>
              <w:szCs w:val="20"/>
              <w:lang w:val="fr-CA"/>
            </w:rPr>
          </w:pPr>
          <w:r w:rsidRPr="00BA6468">
            <w:rPr>
              <w:sz w:val="20"/>
              <w:szCs w:val="20"/>
              <w:lang w:val="fr-CA"/>
            </w:rPr>
            <w:t>REQUÊTES</w:t>
          </w:r>
        </w:p>
      </w:tc>
    </w:tr>
  </w:tbl>
  <w:p w:rsidR="0069725A" w:rsidRDefault="0069725A"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A4E"/>
    <w:multiLevelType w:val="hybridMultilevel"/>
    <w:tmpl w:val="1786E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45F44"/>
    <w:multiLevelType w:val="hybridMultilevel"/>
    <w:tmpl w:val="50287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F5C7B"/>
    <w:multiLevelType w:val="hybridMultilevel"/>
    <w:tmpl w:val="8E8E70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FE5456D"/>
    <w:multiLevelType w:val="hybridMultilevel"/>
    <w:tmpl w:val="3F749C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61722"/>
    <w:multiLevelType w:val="hybridMultilevel"/>
    <w:tmpl w:val="AA02B39C"/>
    <w:lvl w:ilvl="0" w:tplc="1F0C7C66">
      <w:start w:val="1"/>
      <w:numFmt w:val="decimal"/>
      <w:lvlText w:val="%1."/>
      <w:lvlJc w:val="left"/>
      <w:pPr>
        <w:ind w:left="720" w:hanging="360"/>
      </w:pPr>
      <w:rPr>
        <w:rFonts w:hint="default"/>
        <w:lang w:val="en-CA"/>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65E8D"/>
    <w:multiLevelType w:val="hybridMultilevel"/>
    <w:tmpl w:val="0B1C7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25BBA"/>
    <w:multiLevelType w:val="hybridMultilevel"/>
    <w:tmpl w:val="92044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0"/>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0"/>
  </w:num>
  <w:num w:numId="10">
    <w:abstractNumId w:val="4"/>
  </w:num>
  <w:num w:numId="11">
    <w:abstractNumId w:val="7"/>
  </w:num>
  <w:num w:numId="12">
    <w:abstractNumId w:val="5"/>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rawingGridHorizontalSpacing w:val="120"/>
  <w:displayHorizontalDrawingGridEvery w:val="2"/>
  <w:characterSpacingControl w:val="doNotCompress"/>
  <w:hdrShapeDefaults>
    <o:shapedefaults v:ext="edit" spidmax="204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59"/>
    <w:rsid w:val="00002704"/>
    <w:rsid w:val="00010265"/>
    <w:rsid w:val="00020DC3"/>
    <w:rsid w:val="00025308"/>
    <w:rsid w:val="0003223B"/>
    <w:rsid w:val="000327B2"/>
    <w:rsid w:val="00034875"/>
    <w:rsid w:val="000431BE"/>
    <w:rsid w:val="0004528B"/>
    <w:rsid w:val="0004555E"/>
    <w:rsid w:val="00054646"/>
    <w:rsid w:val="00064FBA"/>
    <w:rsid w:val="0006775D"/>
    <w:rsid w:val="00070758"/>
    <w:rsid w:val="00091FA6"/>
    <w:rsid w:val="0009324E"/>
    <w:rsid w:val="00096BD9"/>
    <w:rsid w:val="000A42F0"/>
    <w:rsid w:val="000B3C9A"/>
    <w:rsid w:val="000B40A2"/>
    <w:rsid w:val="000B4390"/>
    <w:rsid w:val="000B4624"/>
    <w:rsid w:val="000C0ACD"/>
    <w:rsid w:val="000C0D2A"/>
    <w:rsid w:val="000C5CE8"/>
    <w:rsid w:val="000D61A4"/>
    <w:rsid w:val="000E27A5"/>
    <w:rsid w:val="000E2959"/>
    <w:rsid w:val="000F0ABF"/>
    <w:rsid w:val="000F0B60"/>
    <w:rsid w:val="00102926"/>
    <w:rsid w:val="0010587F"/>
    <w:rsid w:val="00106774"/>
    <w:rsid w:val="00111C6B"/>
    <w:rsid w:val="0011480E"/>
    <w:rsid w:val="0012102B"/>
    <w:rsid w:val="00133204"/>
    <w:rsid w:val="0013369E"/>
    <w:rsid w:val="0013595D"/>
    <w:rsid w:val="00141F33"/>
    <w:rsid w:val="00146830"/>
    <w:rsid w:val="001613F3"/>
    <w:rsid w:val="00164A47"/>
    <w:rsid w:val="00164E6D"/>
    <w:rsid w:val="00167F64"/>
    <w:rsid w:val="00170B4D"/>
    <w:rsid w:val="00175956"/>
    <w:rsid w:val="00181EA3"/>
    <w:rsid w:val="00183454"/>
    <w:rsid w:val="001A61E3"/>
    <w:rsid w:val="001B157C"/>
    <w:rsid w:val="001B4006"/>
    <w:rsid w:val="001B5C23"/>
    <w:rsid w:val="001D0D5F"/>
    <w:rsid w:val="001D6B8C"/>
    <w:rsid w:val="001F1F83"/>
    <w:rsid w:val="001F40DF"/>
    <w:rsid w:val="001F43F8"/>
    <w:rsid w:val="001F51C8"/>
    <w:rsid w:val="001F6B2D"/>
    <w:rsid w:val="002021A9"/>
    <w:rsid w:val="002139A7"/>
    <w:rsid w:val="00214C52"/>
    <w:rsid w:val="00215CDC"/>
    <w:rsid w:val="00215F7C"/>
    <w:rsid w:val="0022323B"/>
    <w:rsid w:val="00226DDF"/>
    <w:rsid w:val="0024094D"/>
    <w:rsid w:val="002410B8"/>
    <w:rsid w:val="00242AEE"/>
    <w:rsid w:val="00245129"/>
    <w:rsid w:val="00245879"/>
    <w:rsid w:val="00253236"/>
    <w:rsid w:val="00254D4B"/>
    <w:rsid w:val="00267FD5"/>
    <w:rsid w:val="002716BE"/>
    <w:rsid w:val="00274D34"/>
    <w:rsid w:val="0028300D"/>
    <w:rsid w:val="00283ED8"/>
    <w:rsid w:val="002868D0"/>
    <w:rsid w:val="00291D45"/>
    <w:rsid w:val="00296A47"/>
    <w:rsid w:val="002A008C"/>
    <w:rsid w:val="002A27D1"/>
    <w:rsid w:val="002A4AFA"/>
    <w:rsid w:val="002A61E6"/>
    <w:rsid w:val="002B516C"/>
    <w:rsid w:val="002C1FA8"/>
    <w:rsid w:val="002D4AB3"/>
    <w:rsid w:val="002D72EB"/>
    <w:rsid w:val="002E2327"/>
    <w:rsid w:val="002E3583"/>
    <w:rsid w:val="002E5576"/>
    <w:rsid w:val="002E5DAD"/>
    <w:rsid w:val="0030050B"/>
    <w:rsid w:val="00313C81"/>
    <w:rsid w:val="00317B2F"/>
    <w:rsid w:val="00322F41"/>
    <w:rsid w:val="00326327"/>
    <w:rsid w:val="00331B52"/>
    <w:rsid w:val="00332B74"/>
    <w:rsid w:val="003359D3"/>
    <w:rsid w:val="00337959"/>
    <w:rsid w:val="00355967"/>
    <w:rsid w:val="00356976"/>
    <w:rsid w:val="00362CE6"/>
    <w:rsid w:val="00365BF2"/>
    <w:rsid w:val="003668B5"/>
    <w:rsid w:val="0038115E"/>
    <w:rsid w:val="00382C47"/>
    <w:rsid w:val="00384384"/>
    <w:rsid w:val="003866AE"/>
    <w:rsid w:val="003A01D0"/>
    <w:rsid w:val="003A5E82"/>
    <w:rsid w:val="003B3977"/>
    <w:rsid w:val="003C4DBD"/>
    <w:rsid w:val="003E1D4C"/>
    <w:rsid w:val="004137A0"/>
    <w:rsid w:val="00422D9A"/>
    <w:rsid w:val="00432989"/>
    <w:rsid w:val="004346D0"/>
    <w:rsid w:val="00440E24"/>
    <w:rsid w:val="0044776A"/>
    <w:rsid w:val="00460AFC"/>
    <w:rsid w:val="00463DF1"/>
    <w:rsid w:val="0047471F"/>
    <w:rsid w:val="004A4001"/>
    <w:rsid w:val="004B195E"/>
    <w:rsid w:val="004B66B4"/>
    <w:rsid w:val="004B7F60"/>
    <w:rsid w:val="004C1AAC"/>
    <w:rsid w:val="004C565C"/>
    <w:rsid w:val="004D7749"/>
    <w:rsid w:val="004E1E0A"/>
    <w:rsid w:val="004E4498"/>
    <w:rsid w:val="004F090E"/>
    <w:rsid w:val="004F53A6"/>
    <w:rsid w:val="00501F3C"/>
    <w:rsid w:val="00503A09"/>
    <w:rsid w:val="0052229C"/>
    <w:rsid w:val="00527CC7"/>
    <w:rsid w:val="005307B0"/>
    <w:rsid w:val="00536E17"/>
    <w:rsid w:val="0055200B"/>
    <w:rsid w:val="0056248C"/>
    <w:rsid w:val="00567326"/>
    <w:rsid w:val="00571CA4"/>
    <w:rsid w:val="0057251E"/>
    <w:rsid w:val="00576BCF"/>
    <w:rsid w:val="00582136"/>
    <w:rsid w:val="00583DC1"/>
    <w:rsid w:val="005946DD"/>
    <w:rsid w:val="005A3031"/>
    <w:rsid w:val="005B5287"/>
    <w:rsid w:val="005C1549"/>
    <w:rsid w:val="005C53E9"/>
    <w:rsid w:val="005C6840"/>
    <w:rsid w:val="005F1ED8"/>
    <w:rsid w:val="005F263E"/>
    <w:rsid w:val="00600252"/>
    <w:rsid w:val="00612A40"/>
    <w:rsid w:val="006250CB"/>
    <w:rsid w:val="0062714A"/>
    <w:rsid w:val="006309C4"/>
    <w:rsid w:val="0063589A"/>
    <w:rsid w:val="006643AB"/>
    <w:rsid w:val="0066495F"/>
    <w:rsid w:val="00675479"/>
    <w:rsid w:val="00680709"/>
    <w:rsid w:val="00681F61"/>
    <w:rsid w:val="006864BE"/>
    <w:rsid w:val="00691E3A"/>
    <w:rsid w:val="00696BF9"/>
    <w:rsid w:val="0069725A"/>
    <w:rsid w:val="00697C62"/>
    <w:rsid w:val="006A0A32"/>
    <w:rsid w:val="006A1EC4"/>
    <w:rsid w:val="006A329B"/>
    <w:rsid w:val="006A443B"/>
    <w:rsid w:val="006A7EB8"/>
    <w:rsid w:val="006B6926"/>
    <w:rsid w:val="006C3F47"/>
    <w:rsid w:val="006C5F7A"/>
    <w:rsid w:val="006E06AF"/>
    <w:rsid w:val="006E1C57"/>
    <w:rsid w:val="006F350F"/>
    <w:rsid w:val="00721C8D"/>
    <w:rsid w:val="00732DB7"/>
    <w:rsid w:val="00733AA8"/>
    <w:rsid w:val="0074238B"/>
    <w:rsid w:val="00745EF7"/>
    <w:rsid w:val="00755F22"/>
    <w:rsid w:val="00766E4A"/>
    <w:rsid w:val="007730A7"/>
    <w:rsid w:val="00781DE4"/>
    <w:rsid w:val="007820CE"/>
    <w:rsid w:val="00782AE4"/>
    <w:rsid w:val="00782F85"/>
    <w:rsid w:val="0078568C"/>
    <w:rsid w:val="0079724F"/>
    <w:rsid w:val="007A3EAE"/>
    <w:rsid w:val="007B34E1"/>
    <w:rsid w:val="007C04FC"/>
    <w:rsid w:val="007C1059"/>
    <w:rsid w:val="007C3DB0"/>
    <w:rsid w:val="007C47C2"/>
    <w:rsid w:val="007C4B7E"/>
    <w:rsid w:val="007D3E0F"/>
    <w:rsid w:val="007E4282"/>
    <w:rsid w:val="007F387B"/>
    <w:rsid w:val="007F5B84"/>
    <w:rsid w:val="00802863"/>
    <w:rsid w:val="008112A9"/>
    <w:rsid w:val="0081473A"/>
    <w:rsid w:val="0081536E"/>
    <w:rsid w:val="00815B3C"/>
    <w:rsid w:val="0081610A"/>
    <w:rsid w:val="0082783A"/>
    <w:rsid w:val="00831CA9"/>
    <w:rsid w:val="00850E1F"/>
    <w:rsid w:val="0085476B"/>
    <w:rsid w:val="00855B20"/>
    <w:rsid w:val="00856807"/>
    <w:rsid w:val="00857DFB"/>
    <w:rsid w:val="0086340B"/>
    <w:rsid w:val="00871ABC"/>
    <w:rsid w:val="0087380F"/>
    <w:rsid w:val="008902B1"/>
    <w:rsid w:val="00890FEB"/>
    <w:rsid w:val="00893E16"/>
    <w:rsid w:val="00895E7E"/>
    <w:rsid w:val="008A3602"/>
    <w:rsid w:val="008A3B94"/>
    <w:rsid w:val="008A5C1A"/>
    <w:rsid w:val="008B057E"/>
    <w:rsid w:val="008C63E0"/>
    <w:rsid w:val="008D292F"/>
    <w:rsid w:val="008D7DD9"/>
    <w:rsid w:val="008E03DC"/>
    <w:rsid w:val="008E39DD"/>
    <w:rsid w:val="008F078D"/>
    <w:rsid w:val="008F0D08"/>
    <w:rsid w:val="00902E51"/>
    <w:rsid w:val="009134A7"/>
    <w:rsid w:val="00924065"/>
    <w:rsid w:val="00926818"/>
    <w:rsid w:val="00930D68"/>
    <w:rsid w:val="00932DB4"/>
    <w:rsid w:val="00941A4B"/>
    <w:rsid w:val="00946242"/>
    <w:rsid w:val="0095096B"/>
    <w:rsid w:val="00950A40"/>
    <w:rsid w:val="00950B68"/>
    <w:rsid w:val="00970CD3"/>
    <w:rsid w:val="009723FA"/>
    <w:rsid w:val="00974A26"/>
    <w:rsid w:val="00975BB1"/>
    <w:rsid w:val="00976839"/>
    <w:rsid w:val="00984546"/>
    <w:rsid w:val="00996402"/>
    <w:rsid w:val="00996510"/>
    <w:rsid w:val="009A09DA"/>
    <w:rsid w:val="009A5732"/>
    <w:rsid w:val="009D1F15"/>
    <w:rsid w:val="009D555E"/>
    <w:rsid w:val="009F3024"/>
    <w:rsid w:val="009F39BA"/>
    <w:rsid w:val="009F69E6"/>
    <w:rsid w:val="00A0355E"/>
    <w:rsid w:val="00A059A9"/>
    <w:rsid w:val="00A212D8"/>
    <w:rsid w:val="00A30D37"/>
    <w:rsid w:val="00A375D1"/>
    <w:rsid w:val="00A44A1F"/>
    <w:rsid w:val="00A51D10"/>
    <w:rsid w:val="00A52A83"/>
    <w:rsid w:val="00A5774C"/>
    <w:rsid w:val="00A57925"/>
    <w:rsid w:val="00A6552C"/>
    <w:rsid w:val="00A65F1E"/>
    <w:rsid w:val="00A7006A"/>
    <w:rsid w:val="00A72EBE"/>
    <w:rsid w:val="00A87207"/>
    <w:rsid w:val="00A935AA"/>
    <w:rsid w:val="00A956D3"/>
    <w:rsid w:val="00AB2201"/>
    <w:rsid w:val="00AC6514"/>
    <w:rsid w:val="00AD1D34"/>
    <w:rsid w:val="00AD3259"/>
    <w:rsid w:val="00AF1715"/>
    <w:rsid w:val="00AF3904"/>
    <w:rsid w:val="00B010C0"/>
    <w:rsid w:val="00B433C1"/>
    <w:rsid w:val="00B4434E"/>
    <w:rsid w:val="00B4740D"/>
    <w:rsid w:val="00B571C0"/>
    <w:rsid w:val="00B61330"/>
    <w:rsid w:val="00B61629"/>
    <w:rsid w:val="00B7374B"/>
    <w:rsid w:val="00B90DC0"/>
    <w:rsid w:val="00B9664E"/>
    <w:rsid w:val="00BA116A"/>
    <w:rsid w:val="00BA5582"/>
    <w:rsid w:val="00BA6468"/>
    <w:rsid w:val="00BB1D44"/>
    <w:rsid w:val="00BB3260"/>
    <w:rsid w:val="00BC5022"/>
    <w:rsid w:val="00BD06DA"/>
    <w:rsid w:val="00BD1C9C"/>
    <w:rsid w:val="00BD4217"/>
    <w:rsid w:val="00BD4227"/>
    <w:rsid w:val="00BF25F3"/>
    <w:rsid w:val="00BF663E"/>
    <w:rsid w:val="00C01FCB"/>
    <w:rsid w:val="00C1697B"/>
    <w:rsid w:val="00C21644"/>
    <w:rsid w:val="00C21CB5"/>
    <w:rsid w:val="00C41564"/>
    <w:rsid w:val="00C46376"/>
    <w:rsid w:val="00C508AC"/>
    <w:rsid w:val="00C50A5C"/>
    <w:rsid w:val="00C50FDF"/>
    <w:rsid w:val="00C51298"/>
    <w:rsid w:val="00C63381"/>
    <w:rsid w:val="00C70F7B"/>
    <w:rsid w:val="00C73D06"/>
    <w:rsid w:val="00C73E1B"/>
    <w:rsid w:val="00C7556C"/>
    <w:rsid w:val="00C759B4"/>
    <w:rsid w:val="00C77713"/>
    <w:rsid w:val="00C85BB7"/>
    <w:rsid w:val="00CA2DEA"/>
    <w:rsid w:val="00CB3520"/>
    <w:rsid w:val="00CB43D5"/>
    <w:rsid w:val="00CC4D84"/>
    <w:rsid w:val="00CE198A"/>
    <w:rsid w:val="00CF08C8"/>
    <w:rsid w:val="00D004FC"/>
    <w:rsid w:val="00D00ECE"/>
    <w:rsid w:val="00D15CC6"/>
    <w:rsid w:val="00D2440B"/>
    <w:rsid w:val="00D30785"/>
    <w:rsid w:val="00D32F6F"/>
    <w:rsid w:val="00D358DA"/>
    <w:rsid w:val="00D37890"/>
    <w:rsid w:val="00D57BF8"/>
    <w:rsid w:val="00D63DA8"/>
    <w:rsid w:val="00D64901"/>
    <w:rsid w:val="00D76BDF"/>
    <w:rsid w:val="00D818B6"/>
    <w:rsid w:val="00D862C1"/>
    <w:rsid w:val="00D93B50"/>
    <w:rsid w:val="00D94028"/>
    <w:rsid w:val="00D94670"/>
    <w:rsid w:val="00DA2882"/>
    <w:rsid w:val="00DA3F5E"/>
    <w:rsid w:val="00DA46F6"/>
    <w:rsid w:val="00DA756F"/>
    <w:rsid w:val="00DB1E27"/>
    <w:rsid w:val="00DD0B49"/>
    <w:rsid w:val="00DE0502"/>
    <w:rsid w:val="00DE349D"/>
    <w:rsid w:val="00DE47D4"/>
    <w:rsid w:val="00DF52E0"/>
    <w:rsid w:val="00E02422"/>
    <w:rsid w:val="00E04135"/>
    <w:rsid w:val="00E06C0D"/>
    <w:rsid w:val="00E06DFA"/>
    <w:rsid w:val="00E16710"/>
    <w:rsid w:val="00E16A1C"/>
    <w:rsid w:val="00E20A0A"/>
    <w:rsid w:val="00E240C2"/>
    <w:rsid w:val="00E25984"/>
    <w:rsid w:val="00E356C7"/>
    <w:rsid w:val="00E3741B"/>
    <w:rsid w:val="00E414CA"/>
    <w:rsid w:val="00E41A5A"/>
    <w:rsid w:val="00E45F15"/>
    <w:rsid w:val="00E45FE4"/>
    <w:rsid w:val="00E64FA7"/>
    <w:rsid w:val="00E75CFD"/>
    <w:rsid w:val="00E770CB"/>
    <w:rsid w:val="00E8544A"/>
    <w:rsid w:val="00E903A1"/>
    <w:rsid w:val="00E940EB"/>
    <w:rsid w:val="00E942C2"/>
    <w:rsid w:val="00E94CBA"/>
    <w:rsid w:val="00E9703F"/>
    <w:rsid w:val="00EB2B90"/>
    <w:rsid w:val="00ED7E83"/>
    <w:rsid w:val="00EE091F"/>
    <w:rsid w:val="00EF4B63"/>
    <w:rsid w:val="00F0068D"/>
    <w:rsid w:val="00F0576D"/>
    <w:rsid w:val="00F067F5"/>
    <w:rsid w:val="00F06E00"/>
    <w:rsid w:val="00F13CB8"/>
    <w:rsid w:val="00F14E6D"/>
    <w:rsid w:val="00F15EA8"/>
    <w:rsid w:val="00F16C8D"/>
    <w:rsid w:val="00F26C61"/>
    <w:rsid w:val="00F33CCE"/>
    <w:rsid w:val="00F40249"/>
    <w:rsid w:val="00F443BC"/>
    <w:rsid w:val="00F526C8"/>
    <w:rsid w:val="00F761A3"/>
    <w:rsid w:val="00F7728B"/>
    <w:rsid w:val="00F9272D"/>
    <w:rsid w:val="00F9518C"/>
    <w:rsid w:val="00F973DA"/>
    <w:rsid w:val="00FA316E"/>
    <w:rsid w:val="00FA3373"/>
    <w:rsid w:val="00FA59EF"/>
    <w:rsid w:val="00FB19A2"/>
    <w:rsid w:val="00FB4A2E"/>
    <w:rsid w:val="00FC2A89"/>
    <w:rsid w:val="00FC73FF"/>
    <w:rsid w:val="00FD0390"/>
    <w:rsid w:val="00FE7673"/>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749"/>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character" w:styleId="FollowedHyperlink">
    <w:name w:val="FollowedHyperlink"/>
    <w:basedOn w:val="DefaultParagraphFont"/>
    <w:uiPriority w:val="99"/>
    <w:semiHidden/>
    <w:unhideWhenUsed/>
    <w:rsid w:val="006A0A32"/>
    <w:rPr>
      <w:color w:val="800080"/>
      <w:u w:val="single"/>
    </w:rPr>
  </w:style>
  <w:style w:type="paragraph" w:customStyle="1" w:styleId="SCCBanSummary">
    <w:name w:val="SCC.BanSummary"/>
    <w:basedOn w:val="Normal"/>
    <w:next w:val="Normal"/>
    <w:link w:val="SCCBanSummaryChar"/>
    <w:rsid w:val="006A0A32"/>
    <w:pPr>
      <w:jc w:val="both"/>
    </w:pPr>
    <w:rPr>
      <w:rFonts w:eastAsia="Calibri" w:cs="Times New Roman"/>
      <w:smallCaps/>
    </w:rPr>
  </w:style>
  <w:style w:type="character" w:customStyle="1" w:styleId="SCCBanSummaryChar">
    <w:name w:val="SCC.BanSummary Char"/>
    <w:basedOn w:val="DefaultParagraphFont"/>
    <w:link w:val="SCCBanSummary"/>
    <w:rsid w:val="006A0A32"/>
    <w:rPr>
      <w:rFonts w:eastAsia="Calibri" w:cs="Times New Roman"/>
      <w:smallCaps/>
      <w:lang w:val="en-CA"/>
    </w:rPr>
  </w:style>
  <w:style w:type="paragraph" w:styleId="NoSpacing">
    <w:name w:val="No Spacing"/>
    <w:uiPriority w:val="1"/>
    <w:qFormat/>
    <w:rsid w:val="006A0A32"/>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6A0A32"/>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6A0A32"/>
    <w:rPr>
      <w:rFonts w:eastAsia="Calibri" w:cs="Times New Roman"/>
      <w:szCs w:val="24"/>
      <w:lang w:val="en-CA"/>
    </w:rPr>
  </w:style>
  <w:style w:type="paragraph" w:styleId="DocumentMap">
    <w:name w:val="Document Map"/>
    <w:basedOn w:val="Normal"/>
    <w:link w:val="DocumentMapChar"/>
    <w:uiPriority w:val="99"/>
    <w:semiHidden/>
    <w:unhideWhenUsed/>
    <w:rsid w:val="006A0A32"/>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6A0A32"/>
    <w:rPr>
      <w:rFonts w:ascii="Tahoma" w:eastAsia="Times New Roman" w:hAnsi="Tahoma" w:cs="Tahoma"/>
      <w:sz w:val="16"/>
      <w:szCs w:val="16"/>
    </w:rPr>
  </w:style>
  <w:style w:type="paragraph" w:customStyle="1" w:styleId="Style268435469">
    <w:name w:val="Style268435469"/>
    <w:rsid w:val="006A0A32"/>
    <w:pPr>
      <w:autoSpaceDE w:val="0"/>
      <w:autoSpaceDN w:val="0"/>
      <w:adjustRightInd w:val="0"/>
    </w:pPr>
    <w:rPr>
      <w:rFonts w:ascii="Arial" w:eastAsia="Calibri" w:hAnsi="Arial" w:cs="Arial"/>
      <w:szCs w:val="24"/>
      <w:lang w:val="en-CA"/>
    </w:rPr>
  </w:style>
  <w:style w:type="paragraph" w:styleId="BalloonText">
    <w:name w:val="Balloon Text"/>
    <w:basedOn w:val="Normal"/>
    <w:link w:val="BalloonTextChar"/>
    <w:uiPriority w:val="99"/>
    <w:semiHidden/>
    <w:unhideWhenUsed/>
    <w:rsid w:val="006A0A32"/>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6A0A32"/>
    <w:rPr>
      <w:rFonts w:ascii="Tahoma" w:eastAsia="Times New Roman" w:hAnsi="Tahoma" w:cs="Tahoma"/>
      <w:sz w:val="16"/>
      <w:szCs w:val="16"/>
    </w:rPr>
  </w:style>
  <w:style w:type="paragraph" w:styleId="PlainText">
    <w:name w:val="Plain Text"/>
    <w:basedOn w:val="Normal"/>
    <w:link w:val="PlainTextChar"/>
    <w:uiPriority w:val="99"/>
    <w:semiHidden/>
    <w:unhideWhenUsed/>
    <w:rsid w:val="006A0A32"/>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6A0A32"/>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6A0A32"/>
    <w:rPr>
      <w:sz w:val="16"/>
      <w:szCs w:val="16"/>
    </w:rPr>
  </w:style>
  <w:style w:type="paragraph" w:styleId="CommentText">
    <w:name w:val="annotation text"/>
    <w:basedOn w:val="Normal"/>
    <w:link w:val="CommentTextChar"/>
    <w:uiPriority w:val="99"/>
    <w:semiHidden/>
    <w:unhideWhenUsed/>
    <w:rsid w:val="006A0A32"/>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6A0A3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0A32"/>
    <w:rPr>
      <w:b/>
      <w:bCs/>
    </w:rPr>
  </w:style>
  <w:style w:type="character" w:customStyle="1" w:styleId="CommentSubjectChar">
    <w:name w:val="Comment Subject Char"/>
    <w:basedOn w:val="CommentTextChar"/>
    <w:link w:val="CommentSubject"/>
    <w:uiPriority w:val="99"/>
    <w:semiHidden/>
    <w:rsid w:val="006A0A32"/>
    <w:rPr>
      <w:rFonts w:eastAsia="Times New Roman" w:cs="Times New Roman"/>
      <w:b/>
      <w:bCs/>
      <w:sz w:val="20"/>
      <w:szCs w:val="20"/>
    </w:rPr>
  </w:style>
  <w:style w:type="character" w:customStyle="1" w:styleId="reflex3-alt">
    <w:name w:val="reflex3-alt"/>
    <w:basedOn w:val="DefaultParagraphFont"/>
    <w:rsid w:val="006A0A32"/>
  </w:style>
  <w:style w:type="table" w:customStyle="1" w:styleId="TableGrid3">
    <w:name w:val="Table Grid3"/>
    <w:basedOn w:val="TableNormal"/>
    <w:next w:val="TableGrid"/>
    <w:uiPriority w:val="59"/>
    <w:rsid w:val="00A65F1E"/>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ab/laws/regu/alta-reg-220-2004/latest/alta-reg-220-2004.html" TargetMode="External"/><Relationship Id="rId21" Type="http://schemas.openxmlformats.org/officeDocument/2006/relationships/hyperlink" Target="https://www.canlii.org/fr/qc/qccs/doc/2015/2015qccs2680/2015qccs2680.pdf" TargetMode="External"/><Relationship Id="rId34" Type="http://schemas.openxmlformats.org/officeDocument/2006/relationships/hyperlink" Target="https://www.canlii.org/en/on/onca/doc/2017/2017onca290/2017onca290.html?resultIndex=1" TargetMode="External"/><Relationship Id="rId42" Type="http://schemas.openxmlformats.org/officeDocument/2006/relationships/hyperlink" Target="http://canlii.ca/t/h4zgt" TargetMode="External"/><Relationship Id="rId47" Type="http://schemas.openxmlformats.org/officeDocument/2006/relationships/hyperlink" Target="https://www.canlii.org/en/pe/pescad/doc/2017/2017peca3/2017peca3.html?autocompleteStr=2017%20PECA%203&amp;autocompletePos=1" TargetMode="External"/><Relationship Id="rId50" Type="http://schemas.openxmlformats.org/officeDocument/2006/relationships/hyperlink" Target="https://www.canlii.org/en/mb/mbca/doc/2017/2017mbca54/2017mbca54.html?autocompleteStr=2017%20MBCA%2054&amp;autocompletePos=1" TargetMode="External"/><Relationship Id="rId55" Type="http://schemas.openxmlformats.org/officeDocument/2006/relationships/hyperlink" Target="https://www.canlii.org/en/on/onsc/doc/2016/2016onsc3937/2016onsc3937.html" TargetMode="External"/><Relationship Id="rId63" Type="http://schemas.openxmlformats.org/officeDocument/2006/relationships/header" Target="header5.xml"/><Relationship Id="rId68" Type="http://schemas.openxmlformats.org/officeDocument/2006/relationships/footer" Target="footer7.xml"/><Relationship Id="rId76" Type="http://schemas.openxmlformats.org/officeDocument/2006/relationships/header" Target="header12.xml"/><Relationship Id="rId84" Type="http://schemas.openxmlformats.org/officeDocument/2006/relationships/hyperlink" Target="http://www.scc-csc.ca/case-dossier/info/sum-som-eng.aspx?cas=37546" TargetMode="External"/><Relationship Id="rId89" Type="http://schemas.openxmlformats.org/officeDocument/2006/relationships/footer" Target="footer15.xml"/><Relationship Id="rId97" Type="http://schemas.openxmlformats.org/officeDocument/2006/relationships/footer" Target="footer19.xml"/><Relationship Id="rId7" Type="http://schemas.openxmlformats.org/officeDocument/2006/relationships/endnotes" Target="endnotes.xml"/><Relationship Id="rId71" Type="http://schemas.openxmlformats.org/officeDocument/2006/relationships/footer" Target="footer8.xml"/><Relationship Id="rId92"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en/ab/laws/stat/rsa-2000-c-m-26/latest/rsa-2000-c-m-26.html" TargetMode="External"/><Relationship Id="rId11" Type="http://schemas.openxmlformats.org/officeDocument/2006/relationships/header" Target="header1.xml"/><Relationship Id="rId24" Type="http://schemas.openxmlformats.org/officeDocument/2006/relationships/hyperlink" Target="https://www.canlii.org/fr/qc/qcca/doc/2017/2017qcca584/2017qcca584.html?autocompleteStr=%202017%20qcca%20584&amp;autocompletePos=1" TargetMode="External"/><Relationship Id="rId32" Type="http://schemas.openxmlformats.org/officeDocument/2006/relationships/hyperlink" Target="https://www.canlii.org/en/ab/abca/doc/2017/2017abca129/2017abca129.html?autocompleteStr=2017%20ABCA%20129&amp;autocompletePos=1" TargetMode="External"/><Relationship Id="rId37" Type="http://schemas.openxmlformats.org/officeDocument/2006/relationships/hyperlink" Target="http://canlii.ca/t/gvf84" TargetMode="External"/><Relationship Id="rId40" Type="http://schemas.openxmlformats.org/officeDocument/2006/relationships/hyperlink" Target="http://canlii.ca/t/h3z0f" TargetMode="External"/><Relationship Id="rId45" Type="http://schemas.openxmlformats.org/officeDocument/2006/relationships/hyperlink" Target="https://www.canlii.org/en/pe/pescad/doc/2017/2017peca9/2017peca9.html?autocompleteStr=2017%20PECA%209&amp;autocompletePos=1" TargetMode="External"/><Relationship Id="rId53" Type="http://schemas.openxmlformats.org/officeDocument/2006/relationships/hyperlink" Target="https://www.canlii.org/en/on/onsc/doc/2016/2016onsc3937/2016onsc3937.html" TargetMode="External"/><Relationship Id="rId58" Type="http://schemas.openxmlformats.org/officeDocument/2006/relationships/hyperlink" Target="https://www.canlii.org/en/nb/nbqb/doc/2015/2015nbqb94/2015nbqb94.html?autocompleteStr=2015%20NBQB%2094&amp;autocompletePos=1" TargetMode="External"/><Relationship Id="rId66" Type="http://schemas.openxmlformats.org/officeDocument/2006/relationships/footer" Target="footer6.xml"/><Relationship Id="rId74" Type="http://schemas.openxmlformats.org/officeDocument/2006/relationships/footer" Target="footer10.xml"/><Relationship Id="rId79" Type="http://schemas.openxmlformats.org/officeDocument/2006/relationships/header" Target="header13.xml"/><Relationship Id="rId87" Type="http://schemas.openxmlformats.org/officeDocument/2006/relationships/header" Target="header15.xm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canlii.org/en/nb/nbqb/doc/2015/2015nbqb94/2015nbqb94.html?autocompleteStr=2015%20NBQB%2094&amp;autocompletePos=1" TargetMode="External"/><Relationship Id="rId82" Type="http://schemas.openxmlformats.org/officeDocument/2006/relationships/hyperlink" Target="http://www.scc-csc.ca/case-dossier/info/sum-som-eng.aspx?cas=37403" TargetMode="External"/><Relationship Id="rId90" Type="http://schemas.openxmlformats.org/officeDocument/2006/relationships/header" Target="header16.xml"/><Relationship Id="rId95" Type="http://schemas.openxmlformats.org/officeDocument/2006/relationships/footer" Target="footer18.xml"/><Relationship Id="rId19" Type="http://schemas.openxmlformats.org/officeDocument/2006/relationships/hyperlink" Target="https://www.canlii.org/fr/qc/qccs/doc/2015/2015qccs2680/2015qccs2680.pdf" TargetMode="External"/><Relationship Id="rId14" Type="http://schemas.openxmlformats.org/officeDocument/2006/relationships/footer" Target="footer2.xml"/><Relationship Id="rId22" Type="http://schemas.openxmlformats.org/officeDocument/2006/relationships/hyperlink" Target="https://www.canlii.org/fr/qc/qcca/doc/2017/2017qcca860/2017qcca860.pdf" TargetMode="External"/><Relationship Id="rId27" Type="http://schemas.openxmlformats.org/officeDocument/2006/relationships/hyperlink" Target="https://www.canlii.org/en/ab/abqb/doc/2016/2016abqb203/2016abqb203.html?autocompleteStr=2016%20ABQB%20203&amp;autocompletePos=1" TargetMode="External"/><Relationship Id="rId30" Type="http://schemas.openxmlformats.org/officeDocument/2006/relationships/hyperlink" Target="https://www.canlii.org/en/ab/laws/regu/alta-reg-220-2004/latest/alta-reg-220-2004.html" TargetMode="External"/><Relationship Id="rId35" Type="http://schemas.openxmlformats.org/officeDocument/2006/relationships/hyperlink" Target="https://www.canlii.org/en/on/onsc/doc/2015/2015onsc1470/2015onsc1470.html?resultIndex=1" TargetMode="External"/><Relationship Id="rId43" Type="http://schemas.openxmlformats.org/officeDocument/2006/relationships/hyperlink" Target="https://www.canlii.org/en/pe/pesctd/doc/2015/2015pesc36/2015pesc36.html?autocompleteStr=2015%20PESC%2036&amp;autocompletePos=1" TargetMode="External"/><Relationship Id="rId48" Type="http://schemas.openxmlformats.org/officeDocument/2006/relationships/hyperlink" Target="https://www.canlii.org/en/pe/pescad/doc/2017/2017peca9/2017peca9.html?autocompleteStr=2017%20PECA%209&amp;autocompletePos=1" TargetMode="External"/><Relationship Id="rId56" Type="http://schemas.openxmlformats.org/officeDocument/2006/relationships/hyperlink" Target="https://www.canlii.org/en/on/onca/doc/2017/2017onca385/2017onca385.html?autocompleteStr=2017%20ONCA%20385&amp;autocompletePos=1" TargetMode="External"/><Relationship Id="rId64" Type="http://schemas.openxmlformats.org/officeDocument/2006/relationships/header" Target="header6.xml"/><Relationship Id="rId69" Type="http://schemas.openxmlformats.org/officeDocument/2006/relationships/header" Target="header8.xml"/><Relationship Id="rId77" Type="http://schemas.openxmlformats.org/officeDocument/2006/relationships/footer" Target="footer11.xml"/><Relationship Id="rId100" Type="http://schemas.openxmlformats.org/officeDocument/2006/relationships/footer" Target="footer20.xml"/><Relationship Id="rId8" Type="http://schemas.openxmlformats.org/officeDocument/2006/relationships/image" Target="media/image1.wmf"/><Relationship Id="rId51" Type="http://schemas.openxmlformats.org/officeDocument/2006/relationships/hyperlink" Target="https://www.canlii.org/en/mb/mbqb/doc/2016/2016mbqb159/2016mbqb159.html?autocompleteStr=2016%20MBQB%20159&amp;autocompletePos=1" TargetMode="External"/><Relationship Id="rId72" Type="http://schemas.openxmlformats.org/officeDocument/2006/relationships/footer" Target="footer9.xml"/><Relationship Id="rId80" Type="http://schemas.openxmlformats.org/officeDocument/2006/relationships/footer" Target="footer13.xml"/><Relationship Id="rId85" Type="http://schemas.openxmlformats.org/officeDocument/2006/relationships/hyperlink" Target="http://www.scc-csc.ca/case-dossier/info/sum-som-eng.aspx?cas=37715" TargetMode="External"/><Relationship Id="rId93" Type="http://schemas.openxmlformats.org/officeDocument/2006/relationships/header" Target="header18.xml"/><Relationship Id="rId98" Type="http://schemas.openxmlformats.org/officeDocument/2006/relationships/hyperlink" Target="http://www.scc-csc.ca/case-dossier/info/sum-som-eng.aspx?cas=37360"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ab/laws/stat/rsa-2000-c-m-26/latest/rsa-2000-c-m-26.html" TargetMode="External"/><Relationship Id="rId33" Type="http://schemas.openxmlformats.org/officeDocument/2006/relationships/hyperlink" Target="https://www.canlii.org/en/on/onsc/doc/2015/2015onsc1470/2015onsc1470.html?resultIndex=1" TargetMode="External"/><Relationship Id="rId38" Type="http://schemas.openxmlformats.org/officeDocument/2006/relationships/hyperlink" Target="http://canlii.ca/t/h3z0f" TargetMode="External"/><Relationship Id="rId46" Type="http://schemas.openxmlformats.org/officeDocument/2006/relationships/hyperlink" Target="https://www.canlii.org/en/pe/pesctd/doc/2015/2015pesc36/2015pesc36.html?autocompleteStr=2015%20PESC%2036&amp;autocompletePos=1" TargetMode="External"/><Relationship Id="rId59" Type="http://schemas.openxmlformats.org/officeDocument/2006/relationships/hyperlink" Target="https://www.canlii.org/en/nb/nbca/doc/2017/2017nbca21/2017nbca21.html?autocompleteStr=2017%20NBCA%2021&amp;autocompletePos=1" TargetMode="External"/><Relationship Id="rId67" Type="http://schemas.openxmlformats.org/officeDocument/2006/relationships/header" Target="header7.xml"/><Relationship Id="rId20" Type="http://schemas.openxmlformats.org/officeDocument/2006/relationships/hyperlink" Target="https://www.canlii.org/fr/qc/qcca/doc/2017/2017qcca860/2017qcca860.pdf" TargetMode="External"/><Relationship Id="rId41" Type="http://schemas.openxmlformats.org/officeDocument/2006/relationships/hyperlink" Target="http://canlii.ca/t/h4zgt" TargetMode="External"/><Relationship Id="rId54" Type="http://schemas.openxmlformats.org/officeDocument/2006/relationships/hyperlink" Target="https://www.canlii.org/en/on/onca/doc/2017/2017onca385/2017onca385.html?autocompleteStr=2017%20ONCA%20385&amp;autocompletePos=1" TargetMode="External"/><Relationship Id="rId62" Type="http://schemas.openxmlformats.org/officeDocument/2006/relationships/hyperlink" Target="https://www.canlii.org/en/nb/nbca/doc/2017/2017nbca21/2017nbca21.html?autocompleteStr=2017%20NBCA%2021&amp;autocompletePos=1" TargetMode="External"/><Relationship Id="rId70" Type="http://schemas.openxmlformats.org/officeDocument/2006/relationships/header" Target="header9.xml"/><Relationship Id="rId75" Type="http://schemas.openxmlformats.org/officeDocument/2006/relationships/header" Target="header11.xml"/><Relationship Id="rId83" Type="http://schemas.openxmlformats.org/officeDocument/2006/relationships/hyperlink" Target="http://www.scc-csc.ca/case-dossier/info/sum-som-fra.aspx?cas=37207" TargetMode="External"/><Relationship Id="rId88" Type="http://schemas.openxmlformats.org/officeDocument/2006/relationships/footer" Target="footer14.xml"/><Relationship Id="rId91" Type="http://schemas.openxmlformats.org/officeDocument/2006/relationships/footer" Target="footer16.xml"/><Relationship Id="rId96"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fr/qc/qcca/doc/2017/2017qcca584/2017qcca584.html?autocompleteStr=%202017%20qcca%20584&amp;autocompletePos=1" TargetMode="External"/><Relationship Id="rId28" Type="http://schemas.openxmlformats.org/officeDocument/2006/relationships/hyperlink" Target="https://www.canlii.org/en/ab/abca/doc/2017/2017abca129/2017abca129.html?autocompleteStr=2017%20ABCA%20129&amp;autocompletePos=1" TargetMode="External"/><Relationship Id="rId36" Type="http://schemas.openxmlformats.org/officeDocument/2006/relationships/hyperlink" Target="https://www.canlii.org/en/on/onca/doc/2017/2017onca290/2017onca290.html?resultIndex=1" TargetMode="External"/><Relationship Id="rId49" Type="http://schemas.openxmlformats.org/officeDocument/2006/relationships/hyperlink" Target="https://www.canlii.org/en/mb/mbqb/doc/2016/2016mbqb159/2016mbqb159.html?autocompleteStr=2016%20MBQB%20159&amp;autocompletePos=1" TargetMode="External"/><Relationship Id="rId57" Type="http://schemas.openxmlformats.org/officeDocument/2006/relationships/hyperlink" Target="https://www.canlii.org/en/nb/nbpc/doc/2010/2010nbpc39/2010nbpc39.html?autocompleteStr=2010%20NBCP%2039&amp;autocompletePos=1" TargetMode="External"/><Relationship Id="rId10" Type="http://schemas.openxmlformats.org/officeDocument/2006/relationships/hyperlink" Target="http://www.scc-csc.ca" TargetMode="External"/><Relationship Id="rId31" Type="http://schemas.openxmlformats.org/officeDocument/2006/relationships/hyperlink" Target="https://www.canlii.org/en/ab/abqb/doc/2016/2016abqb203/2016abqb203.html?autocompleteStr=2016%20ABQB%20203&amp;autocompletePos=1" TargetMode="External"/><Relationship Id="rId44" Type="http://schemas.openxmlformats.org/officeDocument/2006/relationships/hyperlink" Target="https://www.canlii.org/en/pe/pescad/doc/2017/2017peca3/2017peca3.html?autocompleteStr=2017%20PECA%203&amp;autocompletePos=1" TargetMode="External"/><Relationship Id="rId52" Type="http://schemas.openxmlformats.org/officeDocument/2006/relationships/hyperlink" Target="https://www.canlii.org/en/mb/mbca/doc/2017/2017mbca54/2017mbca54.html?autocompleteStr=2017%20MBCA%2054&amp;autocompletePos=1" TargetMode="External"/><Relationship Id="rId60" Type="http://schemas.openxmlformats.org/officeDocument/2006/relationships/hyperlink" Target="https://www.canlii.org/en/nb/nbpc/doc/2010/2010nbpc39/2010nbpc39.html?autocompleteStr=2010%20NBCP%2039&amp;autocompletePos=1" TargetMode="External"/><Relationship Id="rId65" Type="http://schemas.openxmlformats.org/officeDocument/2006/relationships/footer" Target="footer5.xml"/><Relationship Id="rId73" Type="http://schemas.openxmlformats.org/officeDocument/2006/relationships/header" Target="header10.xml"/><Relationship Id="rId78" Type="http://schemas.openxmlformats.org/officeDocument/2006/relationships/footer" Target="footer12.xml"/><Relationship Id="rId81" Type="http://schemas.openxmlformats.org/officeDocument/2006/relationships/hyperlink" Target="http://www.scc-csc.ca/case-dossier/info/sum-som-eng.aspx?cas=37395" TargetMode="External"/><Relationship Id="rId86" Type="http://schemas.openxmlformats.org/officeDocument/2006/relationships/header" Target="header14.xml"/><Relationship Id="rId94" Type="http://schemas.openxmlformats.org/officeDocument/2006/relationships/footer" Target="footer17.xml"/><Relationship Id="rId99" Type="http://schemas.openxmlformats.org/officeDocument/2006/relationships/header" Target="header20.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canlii.ca/t/gvf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4FB0F-BD34-4625-930C-77519CBD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Revised.dotx</Template>
  <TotalTime>0</TotalTime>
  <Pages>38</Pages>
  <Words>15422</Words>
  <Characters>87912</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2018-02-06T13:55:00Z</dcterms:created>
  <dcterms:modified xsi:type="dcterms:W3CDTF">2018-02-09T17:41:00Z</dcterms:modified>
</cp:coreProperties>
</file>